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华文中宋"/>
          <w:bCs/>
          <w:color w:val="000000"/>
          <w:sz w:val="48"/>
          <w:szCs w:val="48"/>
        </w:rPr>
      </w:pPr>
    </w:p>
    <w:p>
      <w:pPr>
        <w:spacing w:before="157" w:beforeLines="50" w:after="157" w:afterLines="50" w:line="480" w:lineRule="auto"/>
        <w:jc w:val="center"/>
        <w:rPr>
          <w:sz w:val="48"/>
          <w:szCs w:val="48"/>
        </w:rPr>
      </w:pPr>
      <w:r>
        <w:rPr>
          <w:rFonts w:hint="eastAsia" w:ascii="宋体" w:hAnsi="宋体" w:cs="华文中宋"/>
          <w:bCs/>
          <w:color w:val="000000"/>
          <w:w w:val="95"/>
          <w:sz w:val="48"/>
          <w:szCs w:val="48"/>
          <w:lang w:eastAsia="zh-CN"/>
        </w:rPr>
        <w:t>广东省妇幼保健院（省儿童医院）儿科医疗科技楼建设工程项目第三方检测和监测服务</w:t>
      </w:r>
    </w:p>
    <w:p>
      <w:pPr>
        <w:rPr>
          <w:rFonts w:ascii="宋体" w:hAnsi="宋体" w:cs="宋体"/>
          <w:color w:val="000000"/>
          <w:sz w:val="72"/>
          <w:szCs w:val="72"/>
        </w:rPr>
      </w:pPr>
    </w:p>
    <w:p>
      <w:pPr>
        <w:pStyle w:val="2"/>
      </w:pPr>
    </w:p>
    <w:p>
      <w:pPr>
        <w:pStyle w:val="2"/>
      </w:pPr>
    </w:p>
    <w:p>
      <w:pPr>
        <w:pStyle w:val="2"/>
      </w:pPr>
    </w:p>
    <w:p>
      <w:pPr>
        <w:rPr>
          <w:rFonts w:ascii="宋体" w:hAnsi="宋体" w:cs="宋体"/>
          <w:color w:val="000000"/>
          <w:sz w:val="72"/>
          <w:szCs w:val="72"/>
        </w:rPr>
      </w:pPr>
    </w:p>
    <w:p>
      <w:pPr>
        <w:jc w:val="center"/>
        <w:rPr>
          <w:rFonts w:ascii="宋体" w:hAnsi="宋体" w:cs="宋体"/>
          <w:b/>
          <w:color w:val="000000"/>
          <w:sz w:val="72"/>
          <w:szCs w:val="72"/>
        </w:rPr>
      </w:pPr>
      <w:r>
        <w:rPr>
          <w:rFonts w:hint="eastAsia" w:ascii="宋体" w:hAnsi="宋体" w:cs="华文中宋"/>
          <w:b/>
          <w:color w:val="000000"/>
          <w:sz w:val="72"/>
          <w:szCs w:val="72"/>
        </w:rPr>
        <w:t>招标文件</w:t>
      </w:r>
    </w:p>
    <w:p>
      <w:pPr>
        <w:rPr>
          <w:rFonts w:ascii="宋体" w:hAnsi="宋体" w:cs="宋体"/>
          <w:color w:val="000000"/>
          <w:sz w:val="72"/>
          <w:szCs w:val="72"/>
        </w:rPr>
      </w:pPr>
    </w:p>
    <w:p>
      <w:pPr>
        <w:rPr>
          <w:rFonts w:ascii="宋体" w:hAnsi="宋体" w:cs="宋体"/>
          <w:color w:val="000000"/>
          <w:sz w:val="72"/>
          <w:szCs w:val="72"/>
        </w:rPr>
      </w:pPr>
    </w:p>
    <w:p>
      <w:pPr>
        <w:rPr>
          <w:rFonts w:ascii="宋体" w:hAnsi="宋体" w:cs="仿宋_GB2312"/>
          <w:bCs/>
          <w:sz w:val="30"/>
          <w:szCs w:val="30"/>
        </w:rPr>
      </w:pPr>
    </w:p>
    <w:p>
      <w:pPr>
        <w:pStyle w:val="14"/>
        <w:ind w:firstLine="0"/>
        <w:rPr>
          <w:rFonts w:ascii="宋体" w:hAnsi="宋体" w:cs="仿宋_GB2312"/>
          <w:bCs/>
          <w:sz w:val="30"/>
          <w:szCs w:val="30"/>
        </w:rPr>
      </w:pPr>
    </w:p>
    <w:p>
      <w:pPr>
        <w:pStyle w:val="14"/>
        <w:ind w:firstLine="0"/>
        <w:rPr>
          <w:rFonts w:ascii="宋体" w:hAnsi="宋体" w:cs="仿宋_GB2312"/>
          <w:bCs/>
          <w:sz w:val="30"/>
          <w:szCs w:val="30"/>
        </w:rPr>
      </w:pPr>
    </w:p>
    <w:p>
      <w:pPr>
        <w:pStyle w:val="14"/>
        <w:ind w:firstLine="0"/>
        <w:rPr>
          <w:rFonts w:ascii="宋体" w:hAnsi="宋体" w:cs="仿宋_GB2312"/>
          <w:bCs/>
          <w:sz w:val="30"/>
          <w:szCs w:val="30"/>
        </w:rPr>
      </w:pPr>
    </w:p>
    <w:p>
      <w:pPr>
        <w:ind w:firstLine="900" w:firstLineChars="300"/>
        <w:rPr>
          <w:rFonts w:ascii="宋体" w:hAnsi="宋体" w:cs="仿宋_GB2312"/>
          <w:bCs/>
          <w:sz w:val="30"/>
          <w:szCs w:val="30"/>
        </w:rPr>
      </w:pPr>
      <w:r>
        <w:rPr>
          <w:rFonts w:hint="eastAsia" w:ascii="宋体" w:hAnsi="宋体" w:cs="仿宋_GB2312"/>
          <w:bCs/>
          <w:sz w:val="30"/>
          <w:szCs w:val="30"/>
        </w:rPr>
        <w:t>招 标 人：</w:t>
      </w:r>
      <w:r>
        <w:rPr>
          <w:rFonts w:hint="eastAsia" w:ascii="宋体" w:hAnsi="宋体" w:cs="仿宋_GB2312"/>
          <w:bCs/>
          <w:sz w:val="30"/>
          <w:szCs w:val="30"/>
          <w:u w:val="single"/>
        </w:rPr>
        <w:t>广东省代建项目管理局</w:t>
      </w:r>
      <w:r>
        <w:rPr>
          <w:rFonts w:hint="eastAsia" w:ascii="宋体" w:hAnsi="宋体" w:cs="仿宋_GB2312"/>
          <w:bCs/>
          <w:sz w:val="30"/>
          <w:szCs w:val="30"/>
        </w:rPr>
        <w:t>（盖单位章）</w:t>
      </w:r>
    </w:p>
    <w:p>
      <w:pPr>
        <w:ind w:firstLine="900" w:firstLineChars="300"/>
        <w:rPr>
          <w:rFonts w:ascii="宋体" w:hAnsi="宋体" w:cs="仿宋_GB2312"/>
          <w:bCs/>
          <w:sz w:val="30"/>
          <w:szCs w:val="30"/>
        </w:rPr>
      </w:pPr>
      <w:r>
        <w:rPr>
          <w:rFonts w:hint="eastAsia" w:ascii="宋体" w:hAnsi="宋体" w:cs="仿宋_GB2312"/>
          <w:bCs/>
          <w:sz w:val="30"/>
          <w:szCs w:val="30"/>
        </w:rPr>
        <w:t>招标代理：</w:t>
      </w:r>
      <w:r>
        <w:rPr>
          <w:rFonts w:hint="eastAsia" w:ascii="宋体" w:hAnsi="宋体" w:cs="仿宋_GB2312"/>
          <w:bCs/>
          <w:sz w:val="30"/>
          <w:szCs w:val="30"/>
          <w:u w:val="single"/>
          <w:lang w:eastAsia="zh-CN"/>
        </w:rPr>
        <w:t>广东省广大工程顾问有限公司</w:t>
      </w:r>
      <w:r>
        <w:rPr>
          <w:rFonts w:hint="eastAsia" w:ascii="宋体" w:hAnsi="宋体" w:cs="仿宋_GB2312"/>
          <w:bCs/>
          <w:sz w:val="30"/>
          <w:szCs w:val="30"/>
        </w:rPr>
        <w:t>（盖单位章）</w:t>
      </w:r>
    </w:p>
    <w:p>
      <w:pPr>
        <w:ind w:firstLine="3300" w:firstLineChars="1100"/>
        <w:rPr>
          <w:rFonts w:ascii="宋体" w:hAnsi="宋体" w:cs="仿宋_GB2312"/>
          <w:bCs/>
          <w:sz w:val="30"/>
          <w:szCs w:val="30"/>
        </w:rPr>
      </w:pPr>
      <w:r>
        <w:rPr>
          <w:rFonts w:hint="eastAsia" w:ascii="宋体" w:hAnsi="宋体" w:cs="仿宋_GB2312"/>
          <w:bCs/>
          <w:sz w:val="30"/>
          <w:szCs w:val="30"/>
        </w:rPr>
        <w:t>202</w:t>
      </w:r>
      <w:r>
        <w:rPr>
          <w:rFonts w:ascii="宋体" w:hAnsi="宋体" w:cs="仿宋_GB2312"/>
          <w:bCs/>
          <w:sz w:val="30"/>
          <w:szCs w:val="30"/>
        </w:rPr>
        <w:t>3</w:t>
      </w:r>
      <w:r>
        <w:rPr>
          <w:rFonts w:hint="eastAsia" w:ascii="宋体" w:hAnsi="宋体" w:cs="仿宋_GB2312"/>
          <w:bCs/>
          <w:sz w:val="30"/>
          <w:szCs w:val="30"/>
          <w:lang w:val="en-US" w:eastAsia="zh-CN"/>
        </w:rPr>
        <w:t xml:space="preserve"> </w:t>
      </w:r>
      <w:r>
        <w:rPr>
          <w:rFonts w:hint="eastAsia" w:ascii="宋体" w:hAnsi="宋体" w:cs="仿宋_GB2312"/>
          <w:bCs/>
          <w:sz w:val="30"/>
          <w:szCs w:val="30"/>
        </w:rPr>
        <w:t>年</w:t>
      </w:r>
      <w:r>
        <w:rPr>
          <w:rFonts w:hint="eastAsia" w:ascii="宋体" w:hAnsi="宋体" w:cs="仿宋_GB2312"/>
          <w:bCs/>
          <w:sz w:val="30"/>
          <w:szCs w:val="30"/>
          <w:lang w:val="en-US" w:eastAsia="zh-CN"/>
        </w:rPr>
        <w:t xml:space="preserve"> 11 </w:t>
      </w:r>
      <w:r>
        <w:rPr>
          <w:rFonts w:hint="eastAsia" w:ascii="宋体" w:hAnsi="宋体" w:cs="仿宋_GB2312"/>
          <w:bCs/>
          <w:sz w:val="30"/>
          <w:szCs w:val="30"/>
        </w:rPr>
        <w:t>月</w:t>
      </w:r>
    </w:p>
    <w:p>
      <w:pPr>
        <w:ind w:firstLine="840" w:firstLineChars="300"/>
        <w:rPr>
          <w:rFonts w:ascii="宋体" w:hAnsi="宋体" w:cs="宋体"/>
          <w:bCs/>
          <w:sz w:val="28"/>
          <w:szCs w:val="28"/>
        </w:rPr>
        <w:sectPr>
          <w:footerReference r:id="rId3" w:type="default"/>
          <w:pgSz w:w="11905" w:h="16838"/>
          <w:pgMar w:top="1418" w:right="1417" w:bottom="1418" w:left="1417" w:header="851" w:footer="794" w:gutter="0"/>
          <w:cols w:space="720" w:num="1"/>
          <w:docGrid w:type="lines" w:linePitch="312" w:charSpace="0"/>
        </w:sectPr>
      </w:pPr>
    </w:p>
    <w:p>
      <w:pPr>
        <w:spacing w:line="360" w:lineRule="auto"/>
        <w:jc w:val="center"/>
        <w:rPr>
          <w:rFonts w:ascii="宋体" w:hAnsi="宋体" w:cs="宋体"/>
          <w:bCs/>
          <w:sz w:val="52"/>
        </w:rPr>
      </w:pPr>
      <w:r>
        <w:rPr>
          <w:rFonts w:hint="eastAsia" w:ascii="宋体" w:hAnsi="宋体" w:cs="宋体"/>
          <w:bCs/>
          <w:sz w:val="52"/>
        </w:rPr>
        <w:t>重要提示</w:t>
      </w:r>
    </w:p>
    <w:p>
      <w:pPr>
        <w:spacing w:line="360" w:lineRule="auto"/>
        <w:ind w:firstLine="537" w:firstLineChars="224"/>
        <w:jc w:val="center"/>
        <w:rPr>
          <w:rFonts w:ascii="宋体" w:hAnsi="宋体" w:cs="宋体"/>
          <w:bCs/>
          <w:sz w:val="24"/>
        </w:rPr>
      </w:pPr>
    </w:p>
    <w:p>
      <w:pPr>
        <w:spacing w:line="360" w:lineRule="auto"/>
        <w:ind w:firstLine="480" w:firstLineChars="200"/>
        <w:rPr>
          <w:rFonts w:ascii="宋体" w:hAnsi="宋体" w:cs="宋体"/>
          <w:sz w:val="24"/>
        </w:rPr>
        <w:sectPr>
          <w:footerReference r:id="rId4" w:type="default"/>
          <w:pgSz w:w="11905" w:h="16838"/>
          <w:pgMar w:top="1418" w:right="1417" w:bottom="1418" w:left="1417" w:header="851" w:footer="794" w:gutter="0"/>
          <w:pgNumType w:start="1"/>
          <w:cols w:space="720" w:num="1"/>
          <w:docGrid w:type="lines" w:linePitch="312" w:charSpace="0"/>
        </w:sectPr>
      </w:pPr>
      <w:r>
        <w:rPr>
          <w:rFonts w:hint="eastAsia" w:ascii="宋体" w:hAnsi="宋体" w:cs="宋体"/>
          <w:sz w:val="24"/>
        </w:rPr>
        <w:t>本项目实施电子招投标，投标人应先认真阅读《房屋建筑和市政基础设施工程全流程电子化项目专章》。</w:t>
      </w:r>
    </w:p>
    <w:p>
      <w:pPr>
        <w:jc w:val="center"/>
        <w:rPr>
          <w:rFonts w:ascii="宋体" w:hAnsi="宋体" w:cs="宋体"/>
          <w:b/>
          <w:sz w:val="36"/>
          <w:szCs w:val="36"/>
        </w:rPr>
      </w:pPr>
      <w:r>
        <w:rPr>
          <w:rFonts w:hint="eastAsia" w:ascii="宋体" w:hAnsi="宋体" w:cs="宋体"/>
          <w:b/>
          <w:sz w:val="36"/>
          <w:szCs w:val="36"/>
        </w:rPr>
        <w:t xml:space="preserve">目 </w:t>
      </w:r>
      <w:r>
        <w:rPr>
          <w:rFonts w:ascii="宋体" w:hAnsi="宋体" w:cs="宋体"/>
          <w:b/>
          <w:sz w:val="36"/>
          <w:szCs w:val="36"/>
        </w:rPr>
        <w:t xml:space="preserve"> </w:t>
      </w:r>
      <w:r>
        <w:rPr>
          <w:rFonts w:hint="eastAsia" w:ascii="宋体" w:hAnsi="宋体" w:cs="宋体"/>
          <w:b/>
          <w:sz w:val="36"/>
          <w:szCs w:val="36"/>
        </w:rPr>
        <w:t>录</w:t>
      </w:r>
    </w:p>
    <w:p>
      <w:pPr>
        <w:pStyle w:val="29"/>
        <w:tabs>
          <w:tab w:val="right" w:leader="dot" w:pos="8493"/>
        </w:tabs>
        <w:spacing w:line="360" w:lineRule="auto"/>
        <w:rPr>
          <w:rFonts w:ascii="宋体" w:hAnsi="宋体" w:cs="宋体"/>
          <w:b w:val="0"/>
          <w:bCs w:val="0"/>
          <w:caps w:val="0"/>
          <w:sz w:val="24"/>
          <w:szCs w:val="24"/>
          <w:lang w:eastAsia="zh-TW"/>
        </w:rPr>
      </w:pPr>
      <w:bookmarkStart w:id="0" w:name="_Toc377719897"/>
      <w:r>
        <w:rPr>
          <w:rFonts w:hint="eastAsia" w:ascii="宋体" w:hAnsi="宋体" w:cs="宋体"/>
          <w:b w:val="0"/>
          <w:bCs w:val="0"/>
          <w:kern w:val="44"/>
          <w:sz w:val="24"/>
          <w:szCs w:val="24"/>
        </w:rPr>
        <w:fldChar w:fldCharType="begin"/>
      </w:r>
      <w:r>
        <w:rPr>
          <w:rFonts w:hint="eastAsia" w:ascii="宋体" w:hAnsi="宋体" w:cs="宋体"/>
          <w:b w:val="0"/>
          <w:bCs w:val="0"/>
          <w:kern w:val="44"/>
          <w:sz w:val="24"/>
          <w:szCs w:val="24"/>
        </w:rPr>
        <w:instrText xml:space="preserve">TOC \o "1-2" \h \u </w:instrText>
      </w:r>
      <w:r>
        <w:rPr>
          <w:rFonts w:hint="eastAsia" w:ascii="宋体" w:hAnsi="宋体" w:cs="宋体"/>
          <w:b w:val="0"/>
          <w:bCs w:val="0"/>
          <w:kern w:val="44"/>
          <w:sz w:val="24"/>
          <w:szCs w:val="24"/>
        </w:rPr>
        <w:fldChar w:fldCharType="separate"/>
      </w:r>
      <w:r>
        <w:fldChar w:fldCharType="begin"/>
      </w:r>
      <w:r>
        <w:instrText xml:space="preserve"> HYPERLINK \l "_Toc38224835" </w:instrText>
      </w:r>
      <w:r>
        <w:fldChar w:fldCharType="separate"/>
      </w:r>
      <w:r>
        <w:rPr>
          <w:rStyle w:val="49"/>
          <w:rFonts w:hint="eastAsia" w:ascii="宋体" w:hAnsi="宋体" w:cs="宋体"/>
          <w:b w:val="0"/>
          <w:bCs w:val="0"/>
          <w:color w:val="auto"/>
          <w:sz w:val="24"/>
          <w:szCs w:val="24"/>
        </w:rPr>
        <w:t>第一章 招标公告</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_Toc38224835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3</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pPr>
        <w:pStyle w:val="29"/>
        <w:tabs>
          <w:tab w:val="right" w:leader="dot" w:pos="8493"/>
        </w:tabs>
        <w:spacing w:line="360" w:lineRule="auto"/>
        <w:jc w:val="left"/>
        <w:rPr>
          <w:rFonts w:ascii="宋体" w:hAnsi="宋体" w:cs="宋体"/>
          <w:b w:val="0"/>
          <w:bCs w:val="0"/>
          <w:caps w:val="0"/>
          <w:sz w:val="24"/>
          <w:szCs w:val="24"/>
          <w:lang w:eastAsia="zh-TW"/>
        </w:rPr>
      </w:pPr>
      <w:r>
        <w:fldChar w:fldCharType="begin"/>
      </w:r>
      <w:r>
        <w:instrText xml:space="preserve"> HYPERLINK \l "_Toc38224836" </w:instrText>
      </w:r>
      <w:r>
        <w:fldChar w:fldCharType="separate"/>
      </w:r>
      <w:r>
        <w:rPr>
          <w:rStyle w:val="49"/>
          <w:rFonts w:hint="eastAsia" w:ascii="宋体" w:hAnsi="宋体" w:cs="宋体"/>
          <w:b w:val="0"/>
          <w:bCs w:val="0"/>
          <w:color w:val="auto"/>
          <w:sz w:val="24"/>
          <w:szCs w:val="24"/>
        </w:rPr>
        <w:t>第二章 投标人须知</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_Toc38224836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4</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"_Toc38224837" </w:instrText>
      </w:r>
      <w:r>
        <w:fldChar w:fldCharType="separate"/>
      </w:r>
      <w:r>
        <w:rPr>
          <w:rStyle w:val="49"/>
          <w:rFonts w:hint="eastAsia" w:ascii="宋体" w:hAnsi="宋体" w:cs="宋体"/>
          <w:color w:val="auto"/>
          <w:sz w:val="24"/>
          <w:szCs w:val="24"/>
        </w:rPr>
        <w:t>投标人须知前附表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_Toc38224837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"_Toc38224838" </w:instrText>
      </w:r>
      <w:r>
        <w:fldChar w:fldCharType="separate"/>
      </w:r>
      <w:r>
        <w:rPr>
          <w:rStyle w:val="49"/>
          <w:rFonts w:hint="eastAsia" w:ascii="宋体" w:hAnsi="宋体" w:cs="宋体"/>
          <w:color w:val="auto"/>
          <w:kern w:val="44"/>
          <w:sz w:val="24"/>
          <w:szCs w:val="24"/>
        </w:rPr>
        <w:t>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_Toc38224838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"_Toc38224839" </w:instrText>
      </w:r>
      <w:r>
        <w:fldChar w:fldCharType="separate"/>
      </w:r>
      <w:r>
        <w:rPr>
          <w:rStyle w:val="49"/>
          <w:rFonts w:hint="eastAsia" w:ascii="宋体" w:hAnsi="宋体" w:cs="宋体"/>
          <w:color w:val="auto"/>
          <w:sz w:val="24"/>
          <w:szCs w:val="24"/>
        </w:rPr>
        <w:t>1.总则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_Toc38224839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"_Toc38224840" </w:instrText>
      </w:r>
      <w:r>
        <w:fldChar w:fldCharType="separate"/>
      </w:r>
      <w:r>
        <w:rPr>
          <w:rStyle w:val="49"/>
          <w:rFonts w:hint="eastAsia" w:ascii="宋体" w:hAnsi="宋体" w:cs="宋体"/>
          <w:color w:val="auto"/>
          <w:sz w:val="24"/>
          <w:szCs w:val="24"/>
        </w:rPr>
        <w:t>2.招标文件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_Toc38224840 \h </w:instrText>
      </w:r>
      <w:r>
        <w:rPr>
          <w:rFonts w:hint="eastAsia" w:ascii="宋体" w:hAnsi="宋体" w:cs="宋体"/>
          <w:sz w:val="24"/>
          <w:szCs w:val="24"/>
        </w:rPr>
        <w:fldChar w:fldCharType="separate"/>
      </w:r>
      <w:r>
        <w:rPr>
          <w:rFonts w:hint="eastAsia" w:ascii="宋体" w:hAnsi="宋体" w:cs="宋体"/>
          <w:sz w:val="24"/>
          <w:szCs w:val="24"/>
        </w:rPr>
        <w:t>17</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"_Toc38224841" </w:instrText>
      </w:r>
      <w:r>
        <w:fldChar w:fldCharType="separate"/>
      </w:r>
      <w:r>
        <w:rPr>
          <w:rStyle w:val="49"/>
          <w:rFonts w:hint="eastAsia" w:ascii="宋体" w:hAnsi="宋体" w:cs="宋体"/>
          <w:color w:val="auto"/>
          <w:sz w:val="24"/>
          <w:szCs w:val="24"/>
        </w:rPr>
        <w:t>3.投标文件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_Toc38224841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"_Toc38224842" </w:instrText>
      </w:r>
      <w:r>
        <w:fldChar w:fldCharType="separate"/>
      </w:r>
      <w:r>
        <w:rPr>
          <w:rStyle w:val="49"/>
          <w:rFonts w:hint="eastAsia" w:ascii="宋体" w:hAnsi="宋体" w:cs="宋体"/>
          <w:color w:val="auto"/>
          <w:sz w:val="24"/>
          <w:szCs w:val="24"/>
        </w:rPr>
        <w:t>4.投标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_Toc38224842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"_Toc38224843" </w:instrText>
      </w:r>
      <w:r>
        <w:fldChar w:fldCharType="separate"/>
      </w:r>
      <w:r>
        <w:rPr>
          <w:rStyle w:val="49"/>
          <w:rFonts w:hint="eastAsia" w:ascii="宋体" w:hAnsi="宋体" w:cs="宋体"/>
          <w:color w:val="auto"/>
          <w:sz w:val="24"/>
          <w:szCs w:val="24"/>
        </w:rPr>
        <w:t>5.开标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_Toc38224843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"_Toc38224844" </w:instrText>
      </w:r>
      <w:r>
        <w:fldChar w:fldCharType="separate"/>
      </w:r>
      <w:r>
        <w:rPr>
          <w:rStyle w:val="49"/>
          <w:rFonts w:hint="eastAsia" w:ascii="宋体" w:hAnsi="宋体" w:cs="宋体"/>
          <w:color w:val="auto"/>
          <w:sz w:val="24"/>
          <w:szCs w:val="24"/>
        </w:rPr>
        <w:t>6.评标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_Toc38224844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"_Toc38224845" </w:instrText>
      </w:r>
      <w:r>
        <w:fldChar w:fldCharType="separate"/>
      </w:r>
      <w:r>
        <w:rPr>
          <w:rStyle w:val="49"/>
          <w:rFonts w:hint="eastAsia" w:ascii="宋体" w:hAnsi="宋体" w:cs="宋体"/>
          <w:color w:val="auto"/>
          <w:sz w:val="24"/>
          <w:szCs w:val="24"/>
        </w:rPr>
        <w:t>7.合同授予</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_Toc38224845 \h </w:instrText>
      </w:r>
      <w:r>
        <w:rPr>
          <w:rFonts w:hint="eastAsia" w:ascii="宋体" w:hAnsi="宋体" w:cs="宋体"/>
          <w:sz w:val="24"/>
          <w:szCs w:val="24"/>
        </w:rPr>
        <w:fldChar w:fldCharType="separate"/>
      </w:r>
      <w:r>
        <w:rPr>
          <w:rFonts w:hint="eastAsia" w:ascii="宋体" w:hAnsi="宋体" w:cs="宋体"/>
          <w:sz w:val="24"/>
          <w:szCs w:val="24"/>
        </w:rPr>
        <w:t>24</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"_Toc38224846" </w:instrText>
      </w:r>
      <w:r>
        <w:fldChar w:fldCharType="separate"/>
      </w:r>
      <w:r>
        <w:rPr>
          <w:rStyle w:val="49"/>
          <w:rFonts w:hint="eastAsia" w:ascii="宋体" w:hAnsi="宋体" w:cs="宋体"/>
          <w:color w:val="auto"/>
          <w:sz w:val="24"/>
          <w:szCs w:val="24"/>
        </w:rPr>
        <w:t>8.纪律和监督</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_Toc38224846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"_Toc38224847" </w:instrText>
      </w:r>
      <w:r>
        <w:fldChar w:fldCharType="separate"/>
      </w:r>
      <w:r>
        <w:rPr>
          <w:rStyle w:val="49"/>
          <w:rFonts w:hint="eastAsia" w:ascii="宋体" w:hAnsi="宋体" w:cs="宋体"/>
          <w:color w:val="auto"/>
          <w:sz w:val="24"/>
          <w:szCs w:val="24"/>
        </w:rPr>
        <w:t>9.是否采用电子招标投标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_Toc38224847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bookmarkStart w:id="403" w:name="_GoBack"/>
      <w:bookmarkEnd w:id="403"/>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"_Toc38224848" </w:instrText>
      </w:r>
      <w:r>
        <w:fldChar w:fldCharType="separate"/>
      </w:r>
      <w:r>
        <w:rPr>
          <w:rStyle w:val="49"/>
          <w:rFonts w:hint="eastAsia" w:ascii="宋体" w:hAnsi="宋体" w:cs="宋体"/>
          <w:color w:val="auto"/>
          <w:sz w:val="24"/>
          <w:szCs w:val="24"/>
        </w:rPr>
        <w:t>10.需要补充的其他内容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_Toc38224848 \h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493"/>
        </w:tabs>
        <w:spacing w:line="360" w:lineRule="auto"/>
        <w:rPr>
          <w:rFonts w:ascii="宋体" w:hAnsi="宋体" w:cs="宋体"/>
          <w:b w:val="0"/>
          <w:bCs w:val="0"/>
          <w:caps w:val="0"/>
          <w:sz w:val="24"/>
          <w:szCs w:val="24"/>
          <w:lang w:eastAsia="zh-TW"/>
        </w:rPr>
      </w:pPr>
      <w:r>
        <w:fldChar w:fldCharType="begin"/>
      </w:r>
      <w:r>
        <w:instrText xml:space="preserve"> HYPERLINK \l "_Toc38224849" </w:instrText>
      </w:r>
      <w:r>
        <w:fldChar w:fldCharType="separate"/>
      </w:r>
      <w:r>
        <w:rPr>
          <w:rStyle w:val="49"/>
          <w:rFonts w:hint="eastAsia" w:ascii="宋体" w:hAnsi="宋体" w:cs="宋体"/>
          <w:b w:val="0"/>
          <w:bCs w:val="0"/>
          <w:color w:val="auto"/>
          <w:sz w:val="24"/>
          <w:szCs w:val="24"/>
        </w:rPr>
        <w:t>第三章 评标办法（综合评分法）</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_Toc38224849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29</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"_Toc38224852" </w:instrText>
      </w:r>
      <w:r>
        <w:fldChar w:fldCharType="separate"/>
      </w:r>
      <w:r>
        <w:rPr>
          <w:rStyle w:val="49"/>
          <w:rFonts w:hint="eastAsia" w:ascii="宋体" w:hAnsi="宋体" w:cs="宋体"/>
          <w:color w:val="auto"/>
          <w:sz w:val="24"/>
          <w:szCs w:val="24"/>
        </w:rPr>
        <w:t>1.评标方法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_Toc38224852 \h </w:instrText>
      </w:r>
      <w:r>
        <w:rPr>
          <w:rFonts w:hint="eastAsia" w:ascii="宋体" w:hAnsi="宋体" w:cs="宋体"/>
          <w:sz w:val="24"/>
          <w:szCs w:val="24"/>
        </w:rPr>
        <w:fldChar w:fldCharType="separate"/>
      </w:r>
      <w:r>
        <w:rPr>
          <w:rFonts w:hint="eastAsia" w:ascii="宋体" w:hAnsi="宋体" w:cs="宋体"/>
          <w:sz w:val="24"/>
          <w:szCs w:val="24"/>
        </w:rPr>
        <w:t>39</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"_Toc38224853" </w:instrText>
      </w:r>
      <w:r>
        <w:fldChar w:fldCharType="separate"/>
      </w:r>
      <w:r>
        <w:rPr>
          <w:rStyle w:val="49"/>
          <w:rFonts w:hint="eastAsia" w:ascii="宋体" w:hAnsi="宋体" w:cs="宋体"/>
          <w:color w:val="auto"/>
          <w:sz w:val="24"/>
          <w:szCs w:val="24"/>
        </w:rPr>
        <w:t>2.评审标准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_Toc38224853 \h </w:instrText>
      </w:r>
      <w:r>
        <w:rPr>
          <w:rFonts w:hint="eastAsia" w:ascii="宋体" w:hAnsi="宋体" w:cs="宋体"/>
          <w:sz w:val="24"/>
          <w:szCs w:val="24"/>
        </w:rPr>
        <w:fldChar w:fldCharType="separate"/>
      </w:r>
      <w:r>
        <w:rPr>
          <w:rFonts w:hint="eastAsia" w:ascii="宋体" w:hAnsi="宋体" w:cs="宋体"/>
          <w:sz w:val="24"/>
          <w:szCs w:val="24"/>
        </w:rPr>
        <w:t>39</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"_Toc38224854" </w:instrText>
      </w:r>
      <w:r>
        <w:fldChar w:fldCharType="separate"/>
      </w:r>
      <w:r>
        <w:rPr>
          <w:rStyle w:val="49"/>
          <w:rFonts w:hint="eastAsia" w:ascii="宋体" w:hAnsi="宋体" w:cs="宋体"/>
          <w:color w:val="auto"/>
          <w:sz w:val="24"/>
          <w:szCs w:val="24"/>
        </w:rPr>
        <w:t>3. 评标程序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_Toc38224854 \h </w:instrText>
      </w:r>
      <w:r>
        <w:rPr>
          <w:rFonts w:hint="eastAsia" w:ascii="宋体" w:hAnsi="宋体" w:cs="宋体"/>
          <w:sz w:val="24"/>
          <w:szCs w:val="24"/>
        </w:rPr>
        <w:fldChar w:fldCharType="separate"/>
      </w:r>
      <w:r>
        <w:rPr>
          <w:rFonts w:hint="eastAsia" w:ascii="宋体" w:hAnsi="宋体" w:cs="宋体"/>
          <w:sz w:val="24"/>
          <w:szCs w:val="24"/>
        </w:rPr>
        <w:t>40</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493"/>
        </w:tabs>
        <w:spacing w:line="360" w:lineRule="auto"/>
        <w:rPr>
          <w:rFonts w:ascii="宋体" w:hAnsi="宋体" w:cs="宋体"/>
          <w:smallCaps w:val="0"/>
          <w:sz w:val="24"/>
          <w:szCs w:val="24"/>
          <w:lang w:eastAsia="zh-TW"/>
        </w:rPr>
      </w:pPr>
      <w:r>
        <w:fldChar w:fldCharType="begin"/>
      </w:r>
      <w:r>
        <w:instrText xml:space="preserve"> HYPERLINK \l "_Toc38224855" </w:instrText>
      </w:r>
      <w:r>
        <w:fldChar w:fldCharType="separate"/>
      </w:r>
      <w:r>
        <w:rPr>
          <w:rStyle w:val="49"/>
          <w:rFonts w:hint="eastAsia" w:ascii="宋体" w:hAnsi="宋体" w:cs="宋体"/>
          <w:color w:val="auto"/>
          <w:sz w:val="24"/>
          <w:szCs w:val="24"/>
        </w:rPr>
        <w:t>4.其他</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_Toc38224855 \h </w:instrText>
      </w:r>
      <w:r>
        <w:rPr>
          <w:rFonts w:hint="eastAsia" w:ascii="宋体" w:hAnsi="宋体" w:cs="宋体"/>
          <w:sz w:val="24"/>
          <w:szCs w:val="24"/>
        </w:rPr>
        <w:fldChar w:fldCharType="separate"/>
      </w:r>
      <w:r>
        <w:rPr>
          <w:rFonts w:hint="eastAsia" w:ascii="宋体" w:hAnsi="宋体" w:cs="宋体"/>
          <w:sz w:val="24"/>
          <w:szCs w:val="24"/>
        </w:rPr>
        <w:t>41</w:t>
      </w:r>
      <w:r>
        <w:rPr>
          <w:rFonts w:hint="eastAsia" w:ascii="宋体" w:hAnsi="宋体" w:cs="宋体"/>
          <w:sz w:val="24"/>
          <w:szCs w:val="24"/>
        </w:rPr>
        <w:fldChar w:fldCharType="end"/>
      </w:r>
      <w:r>
        <w:rPr>
          <w:rFonts w:hint="eastAsia" w:ascii="宋体" w:hAnsi="宋体" w:cs="宋体"/>
          <w:sz w:val="24"/>
          <w:szCs w:val="24"/>
        </w:rPr>
        <w:fldChar w:fldCharType="end"/>
      </w:r>
    </w:p>
    <w:p>
      <w:pPr>
        <w:pStyle w:val="29"/>
        <w:tabs>
          <w:tab w:val="right" w:leader="dot" w:pos="8493"/>
        </w:tabs>
        <w:spacing w:line="360" w:lineRule="auto"/>
        <w:rPr>
          <w:rFonts w:ascii="宋体" w:hAnsi="宋体" w:cs="宋体"/>
          <w:b w:val="0"/>
          <w:bCs w:val="0"/>
          <w:caps w:val="0"/>
          <w:sz w:val="24"/>
          <w:szCs w:val="24"/>
          <w:lang w:eastAsia="zh-TW"/>
        </w:rPr>
      </w:pPr>
      <w:r>
        <w:fldChar w:fldCharType="begin"/>
      </w:r>
      <w:r>
        <w:instrText xml:space="preserve"> HYPERLINK \l "_Toc38224856" </w:instrText>
      </w:r>
      <w:r>
        <w:fldChar w:fldCharType="separate"/>
      </w:r>
      <w:r>
        <w:rPr>
          <w:rStyle w:val="49"/>
          <w:rFonts w:hint="eastAsia" w:ascii="宋体" w:hAnsi="宋体" w:cs="宋体"/>
          <w:b w:val="0"/>
          <w:bCs w:val="0"/>
          <w:color w:val="auto"/>
          <w:sz w:val="24"/>
          <w:szCs w:val="24"/>
        </w:rPr>
        <w:t>第四章 合同条款及格式</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_Toc38224856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42</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pPr>
        <w:pStyle w:val="29"/>
        <w:tabs>
          <w:tab w:val="right" w:leader="dot" w:pos="8493"/>
        </w:tabs>
        <w:spacing w:line="360" w:lineRule="auto"/>
        <w:rPr>
          <w:rFonts w:ascii="宋体" w:hAnsi="宋体" w:cs="宋体"/>
          <w:b w:val="0"/>
          <w:bCs w:val="0"/>
          <w:caps w:val="0"/>
          <w:sz w:val="24"/>
          <w:szCs w:val="24"/>
          <w:lang w:eastAsia="zh-TW"/>
        </w:rPr>
      </w:pPr>
      <w:r>
        <w:fldChar w:fldCharType="begin"/>
      </w:r>
      <w:r>
        <w:instrText xml:space="preserve"> HYPERLINK \l "_Toc38224857" </w:instrText>
      </w:r>
      <w:r>
        <w:fldChar w:fldCharType="separate"/>
      </w:r>
      <w:r>
        <w:rPr>
          <w:rStyle w:val="49"/>
          <w:rFonts w:hint="eastAsia" w:ascii="宋体" w:hAnsi="宋体" w:cs="宋体"/>
          <w:b w:val="0"/>
          <w:bCs w:val="0"/>
          <w:color w:val="auto"/>
          <w:sz w:val="24"/>
          <w:szCs w:val="24"/>
        </w:rPr>
        <w:t>第五章 技术条件</w:t>
      </w:r>
      <w:r>
        <w:rPr>
          <w:rStyle w:val="49"/>
          <w:rFonts w:ascii="宋体" w:hAnsi="宋体" w:cs="宋体"/>
          <w:b w:val="0"/>
          <w:bCs w:val="0"/>
          <w:color w:val="auto"/>
          <w:sz w:val="24"/>
          <w:szCs w:val="24"/>
        </w:rPr>
        <w:t>及检测监测清单</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_Toc38224857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43</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pPr>
        <w:pStyle w:val="29"/>
        <w:tabs>
          <w:tab w:val="right" w:leader="dot" w:pos="8493"/>
        </w:tabs>
        <w:spacing w:line="360" w:lineRule="auto"/>
        <w:rPr>
          <w:rFonts w:ascii="宋体" w:hAnsi="宋体" w:cs="宋体"/>
          <w:b w:val="0"/>
          <w:bCs w:val="0"/>
          <w:caps w:val="0"/>
          <w:sz w:val="24"/>
          <w:szCs w:val="24"/>
          <w:lang w:eastAsia="zh-TW"/>
        </w:rPr>
      </w:pPr>
      <w:r>
        <w:fldChar w:fldCharType="begin"/>
      </w:r>
      <w:r>
        <w:instrText xml:space="preserve"> HYPERLINK \l "_Toc38224859" </w:instrText>
      </w:r>
      <w:r>
        <w:fldChar w:fldCharType="separate"/>
      </w:r>
      <w:r>
        <w:rPr>
          <w:rStyle w:val="49"/>
          <w:rFonts w:hint="eastAsia" w:ascii="宋体" w:hAnsi="宋体" w:cs="宋体"/>
          <w:b w:val="0"/>
          <w:bCs w:val="0"/>
          <w:color w:val="auto"/>
          <w:sz w:val="24"/>
          <w:szCs w:val="24"/>
        </w:rPr>
        <w:t>第六章 投标文件格式</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_Toc38224859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45</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pPr>
        <w:rPr>
          <w:rFonts w:ascii="宋体" w:hAnsi="宋体" w:cs="宋体"/>
          <w:b/>
          <w:bCs/>
          <w:sz w:val="24"/>
          <w:szCs w:val="24"/>
        </w:rPr>
        <w:sectPr>
          <w:footerReference r:id="rId5" w:type="default"/>
          <w:pgSz w:w="11905" w:h="16838"/>
          <w:pgMar w:top="1418" w:right="1417" w:bottom="1418" w:left="1417" w:header="851" w:footer="794" w:gutter="0"/>
          <w:cols w:space="720" w:num="1"/>
          <w:docGrid w:type="lines" w:linePitch="312" w:charSpace="0"/>
        </w:sectPr>
      </w:pPr>
      <w:r>
        <w:rPr>
          <w:rFonts w:hint="eastAsia" w:ascii="宋体" w:hAnsi="宋体" w:cs="宋体"/>
          <w:bCs/>
          <w:kern w:val="44"/>
          <w:sz w:val="24"/>
          <w:szCs w:val="24"/>
        </w:rPr>
        <w:fldChar w:fldCharType="end"/>
      </w:r>
    </w:p>
    <w:p>
      <w:pPr>
        <w:pStyle w:val="4"/>
        <w:keepNext w:val="0"/>
        <w:keepLines w:val="0"/>
        <w:spacing w:line="480" w:lineRule="auto"/>
        <w:jc w:val="center"/>
        <w:rPr>
          <w:rFonts w:ascii="宋体" w:hAnsi="宋体" w:eastAsia="宋体" w:cs="宋体"/>
        </w:rPr>
      </w:pPr>
      <w:bookmarkStart w:id="1" w:name="_Toc532367869"/>
      <w:bookmarkStart w:id="2" w:name="_Toc5050"/>
      <w:bookmarkStart w:id="3" w:name="_Toc17573"/>
      <w:bookmarkStart w:id="4" w:name="_Toc18030"/>
      <w:bookmarkStart w:id="5" w:name="_Toc8029"/>
      <w:bookmarkStart w:id="6" w:name="_Toc525063243"/>
      <w:bookmarkStart w:id="7" w:name="_Toc3857"/>
      <w:bookmarkStart w:id="8" w:name="_Toc30437"/>
      <w:bookmarkStart w:id="9" w:name="_Toc38224835"/>
      <w:bookmarkStart w:id="10" w:name="_Toc11832"/>
      <w:r>
        <w:rPr>
          <w:rFonts w:hint="eastAsia" w:ascii="宋体" w:hAnsi="宋体" w:eastAsia="宋体" w:cs="宋体"/>
        </w:rPr>
        <w:t>第一章 招标公告</w:t>
      </w:r>
      <w:bookmarkEnd w:id="1"/>
      <w:bookmarkEnd w:id="2"/>
      <w:bookmarkEnd w:id="3"/>
      <w:bookmarkEnd w:id="4"/>
      <w:bookmarkEnd w:id="5"/>
      <w:bookmarkEnd w:id="6"/>
      <w:bookmarkEnd w:id="7"/>
      <w:bookmarkEnd w:id="8"/>
      <w:bookmarkEnd w:id="9"/>
      <w:bookmarkEnd w:id="10"/>
    </w:p>
    <w:p>
      <w:pPr>
        <w:spacing w:line="480" w:lineRule="auto"/>
        <w:jc w:val="center"/>
        <w:rPr>
          <w:rFonts w:ascii="宋体" w:hAnsi="宋体" w:cs="宋体"/>
          <w:sz w:val="28"/>
          <w:szCs w:val="28"/>
          <w:u w:val="single"/>
        </w:rPr>
      </w:pPr>
      <w:r>
        <w:rPr>
          <w:rFonts w:hint="eastAsia" w:ascii="宋体" w:hAnsi="宋体" w:cs="宋体"/>
          <w:sz w:val="28"/>
          <w:szCs w:val="28"/>
        </w:rPr>
        <w:t xml:space="preserve"> </w:t>
      </w:r>
    </w:p>
    <w:p>
      <w:pPr>
        <w:spacing w:line="480" w:lineRule="auto"/>
        <w:jc w:val="center"/>
        <w:rPr>
          <w:rFonts w:ascii="宋体" w:hAnsi="宋体" w:cs="宋体"/>
          <w:sz w:val="28"/>
        </w:rPr>
      </w:pPr>
      <w:r>
        <w:rPr>
          <w:rFonts w:hint="eastAsia" w:ascii="宋体" w:hAnsi="宋体" w:cs="宋体"/>
          <w:sz w:val="28"/>
        </w:rPr>
        <w:t>（另册）</w:t>
      </w:r>
    </w:p>
    <w:p>
      <w:pPr>
        <w:rPr>
          <w:rFonts w:ascii="宋体" w:hAnsi="宋体" w:cs="宋体"/>
          <w:b/>
          <w:bCs/>
          <w:sz w:val="44"/>
          <w:szCs w:val="44"/>
        </w:rPr>
      </w:pPr>
    </w:p>
    <w:p>
      <w:pPr>
        <w:rPr>
          <w:rFonts w:ascii="宋体" w:hAnsi="宋体" w:cs="宋体"/>
          <w:b/>
          <w:bCs/>
          <w:sz w:val="44"/>
          <w:szCs w:val="44"/>
        </w:rPr>
        <w:sectPr>
          <w:pgSz w:w="11905" w:h="16838"/>
          <w:pgMar w:top="1418" w:right="1417" w:bottom="1418" w:left="1417" w:header="851" w:footer="794" w:gutter="0"/>
          <w:cols w:space="720" w:num="1"/>
          <w:docGrid w:type="lines" w:linePitch="312" w:charSpace="0"/>
        </w:sectPr>
      </w:pPr>
    </w:p>
    <w:bookmarkEnd w:id="0"/>
    <w:p>
      <w:pPr>
        <w:pStyle w:val="4"/>
        <w:keepNext w:val="0"/>
        <w:keepLines w:val="0"/>
        <w:jc w:val="center"/>
        <w:rPr>
          <w:rFonts w:ascii="宋体" w:hAnsi="宋体" w:eastAsia="宋体" w:cs="宋体"/>
        </w:rPr>
      </w:pPr>
      <w:bookmarkStart w:id="11" w:name="_Toc21577"/>
      <w:bookmarkStart w:id="12" w:name="_Toc32023"/>
      <w:bookmarkStart w:id="13" w:name="_Toc38224836"/>
      <w:bookmarkStart w:id="14" w:name="_Toc25716"/>
      <w:bookmarkStart w:id="15" w:name="_Toc532367870"/>
      <w:bookmarkStart w:id="16" w:name="_Toc525063244"/>
      <w:bookmarkStart w:id="17" w:name="_Toc8572"/>
      <w:bookmarkStart w:id="18" w:name="_Toc25508"/>
      <w:bookmarkStart w:id="19" w:name="_Toc17191"/>
      <w:bookmarkStart w:id="20" w:name="_Toc10944"/>
      <w:r>
        <w:rPr>
          <w:rFonts w:hint="eastAsia" w:ascii="宋体" w:hAnsi="宋体" w:eastAsia="宋体" w:cs="宋体"/>
        </w:rPr>
        <w:t>第二章 投标人须知</w:t>
      </w:r>
      <w:bookmarkEnd w:id="11"/>
      <w:bookmarkEnd w:id="12"/>
      <w:bookmarkEnd w:id="13"/>
      <w:bookmarkEnd w:id="14"/>
      <w:bookmarkEnd w:id="15"/>
      <w:bookmarkEnd w:id="16"/>
      <w:bookmarkEnd w:id="17"/>
      <w:bookmarkEnd w:id="18"/>
      <w:bookmarkEnd w:id="19"/>
      <w:bookmarkEnd w:id="20"/>
    </w:p>
    <w:p>
      <w:pPr>
        <w:pStyle w:val="5"/>
        <w:keepNext w:val="0"/>
        <w:keepLines w:val="0"/>
        <w:jc w:val="center"/>
        <w:rPr>
          <w:rFonts w:ascii="宋体" w:hAnsi="宋体" w:eastAsia="宋体" w:cs="宋体"/>
          <w:sz w:val="32"/>
        </w:rPr>
      </w:pPr>
      <w:bookmarkStart w:id="21" w:name="_Toc24433"/>
      <w:bookmarkStart w:id="22" w:name="_Toc390"/>
      <w:bookmarkStart w:id="23" w:name="_Toc525063245"/>
      <w:bookmarkStart w:id="24" w:name="_Toc16303"/>
      <w:bookmarkStart w:id="25" w:name="_Toc25024"/>
      <w:bookmarkStart w:id="26" w:name="_Toc25608"/>
      <w:bookmarkStart w:id="27" w:name="_Toc38224837"/>
      <w:bookmarkStart w:id="28" w:name="_Toc32479"/>
      <w:bookmarkStart w:id="29" w:name="_Toc21151"/>
      <w:bookmarkStart w:id="30" w:name="_Toc532367871"/>
      <w:r>
        <w:rPr>
          <w:rFonts w:hint="eastAsia" w:ascii="宋体" w:hAnsi="宋体" w:eastAsia="宋体" w:cs="宋体"/>
          <w:sz w:val="32"/>
        </w:rPr>
        <w:t>投标人须知前附表</w:t>
      </w:r>
      <w:bookmarkEnd w:id="21"/>
      <w:bookmarkEnd w:id="22"/>
      <w:bookmarkEnd w:id="23"/>
      <w:bookmarkEnd w:id="24"/>
      <w:bookmarkEnd w:id="25"/>
      <w:bookmarkEnd w:id="26"/>
      <w:bookmarkEnd w:id="27"/>
      <w:bookmarkEnd w:id="28"/>
      <w:bookmarkEnd w:id="29"/>
      <w:bookmarkEnd w:id="30"/>
    </w:p>
    <w:tbl>
      <w:tblPr>
        <w:tblStyle w:val="42"/>
        <w:tblW w:w="1003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3118"/>
        <w:gridCol w:w="59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jc w:val="center"/>
        </w:trPr>
        <w:tc>
          <w:tcPr>
            <w:tcW w:w="959" w:type="dxa"/>
            <w:noWrap w:val="0"/>
            <w:vAlign w:val="center"/>
          </w:tcPr>
          <w:p>
            <w:pPr>
              <w:adjustRightInd w:val="0"/>
              <w:spacing w:line="360" w:lineRule="auto"/>
              <w:jc w:val="center"/>
              <w:rPr>
                <w:rFonts w:ascii="宋体" w:hAnsi="宋体" w:cs="宋体"/>
                <w:b/>
                <w:szCs w:val="21"/>
              </w:rPr>
            </w:pPr>
            <w:r>
              <w:rPr>
                <w:rFonts w:hint="eastAsia" w:ascii="宋体" w:hAnsi="宋体" w:cs="宋体"/>
                <w:b/>
                <w:szCs w:val="21"/>
              </w:rPr>
              <w:t>条款号</w:t>
            </w:r>
          </w:p>
        </w:tc>
        <w:tc>
          <w:tcPr>
            <w:tcW w:w="3118" w:type="dxa"/>
            <w:noWrap w:val="0"/>
            <w:vAlign w:val="center"/>
          </w:tcPr>
          <w:p>
            <w:pPr>
              <w:adjustRightInd w:val="0"/>
              <w:spacing w:line="360" w:lineRule="auto"/>
              <w:jc w:val="center"/>
              <w:rPr>
                <w:rFonts w:ascii="宋体" w:hAnsi="宋体" w:cs="宋体"/>
                <w:b/>
                <w:szCs w:val="21"/>
              </w:rPr>
            </w:pPr>
            <w:r>
              <w:rPr>
                <w:rFonts w:hint="eastAsia" w:ascii="宋体" w:hAnsi="宋体" w:cs="宋体"/>
                <w:b/>
                <w:szCs w:val="21"/>
              </w:rPr>
              <w:t>条款名称</w:t>
            </w:r>
          </w:p>
        </w:tc>
        <w:tc>
          <w:tcPr>
            <w:tcW w:w="5954" w:type="dxa"/>
            <w:noWrap w:val="0"/>
            <w:vAlign w:val="center"/>
          </w:tcPr>
          <w:p>
            <w:pPr>
              <w:adjustRightInd w:val="0"/>
              <w:spacing w:line="360" w:lineRule="auto"/>
              <w:jc w:val="center"/>
              <w:rPr>
                <w:rFonts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6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1.1.2</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招标人</w:t>
            </w:r>
          </w:p>
        </w:tc>
        <w:tc>
          <w:tcPr>
            <w:tcW w:w="5954" w:type="dxa"/>
            <w:noWrap w:val="0"/>
            <w:vAlign w:val="center"/>
          </w:tcPr>
          <w:p>
            <w:pPr>
              <w:adjustRightInd w:val="0"/>
              <w:spacing w:line="360" w:lineRule="auto"/>
              <w:rPr>
                <w:rFonts w:ascii="宋体" w:hAnsi="宋体" w:cs="宋体"/>
                <w:szCs w:val="21"/>
                <w:u w:val="single"/>
              </w:rPr>
            </w:pPr>
            <w:r>
              <w:rPr>
                <w:rFonts w:hint="eastAsia" w:ascii="宋体" w:hAnsi="宋体" w:cs="宋体"/>
                <w:szCs w:val="21"/>
              </w:rPr>
              <w:t>名称：广东省代建项目管理局</w:t>
            </w:r>
          </w:p>
          <w:p>
            <w:pPr>
              <w:adjustRightInd w:val="0"/>
              <w:spacing w:line="360" w:lineRule="auto"/>
              <w:rPr>
                <w:rFonts w:ascii="宋体" w:hAnsi="宋体" w:cs="宋体"/>
                <w:szCs w:val="21"/>
                <w:u w:val="single"/>
              </w:rPr>
            </w:pPr>
            <w:r>
              <w:rPr>
                <w:rFonts w:hint="eastAsia" w:ascii="宋体" w:hAnsi="宋体" w:cs="宋体"/>
                <w:szCs w:val="21"/>
              </w:rPr>
              <w:t>地址：广州市天河区黄埔大道西108号</w:t>
            </w:r>
          </w:p>
          <w:p>
            <w:pPr>
              <w:adjustRightInd w:val="0"/>
              <w:spacing w:line="360" w:lineRule="auto"/>
              <w:rPr>
                <w:rFonts w:ascii="宋体" w:hAnsi="宋体" w:cs="宋体"/>
                <w:szCs w:val="21"/>
              </w:rPr>
            </w:pPr>
            <w:r>
              <w:rPr>
                <w:rFonts w:hint="eastAsia" w:ascii="宋体" w:hAnsi="宋体" w:cs="宋体"/>
                <w:szCs w:val="21"/>
              </w:rPr>
              <w:t>联系人：李工</w:t>
            </w:r>
          </w:p>
          <w:p>
            <w:pPr>
              <w:adjustRightInd w:val="0"/>
              <w:spacing w:line="360" w:lineRule="auto"/>
              <w:rPr>
                <w:rFonts w:ascii="宋体" w:hAnsi="宋体" w:eastAsia="宋体" w:cs="宋体"/>
                <w:szCs w:val="21"/>
              </w:rPr>
            </w:pPr>
            <w:r>
              <w:rPr>
                <w:rFonts w:hint="eastAsia" w:ascii="宋体" w:hAnsi="宋体" w:eastAsia="宋体" w:cs="宋体"/>
                <w:szCs w:val="21"/>
              </w:rPr>
              <w:t>电话：</w:t>
            </w:r>
            <w:r>
              <w:rPr>
                <w:rStyle w:val="50"/>
                <w:rFonts w:hint="eastAsia" w:ascii="宋体" w:hAnsi="宋体" w:eastAsia="宋体"/>
              </w:rPr>
              <w:t>020-83620894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1.1.3</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招标代理机构</w:t>
            </w:r>
          </w:p>
        </w:tc>
        <w:tc>
          <w:tcPr>
            <w:tcW w:w="5954" w:type="dxa"/>
            <w:noWrap w:val="0"/>
            <w:vAlign w:val="center"/>
          </w:tcPr>
          <w:p>
            <w:pPr>
              <w:adjustRightInd w:val="0"/>
              <w:spacing w:line="360" w:lineRule="auto"/>
              <w:rPr>
                <w:rFonts w:hint="eastAsia" w:ascii="宋体" w:hAnsi="宋体" w:eastAsia="宋体" w:cs="仿宋_GB2312"/>
                <w:szCs w:val="21"/>
                <w:lang w:eastAsia="zh-CN"/>
              </w:rPr>
            </w:pPr>
            <w:r>
              <w:rPr>
                <w:rFonts w:hint="eastAsia" w:ascii="宋体" w:hAnsi="宋体" w:cs="仿宋_GB2312"/>
                <w:szCs w:val="21"/>
              </w:rPr>
              <w:t>名称：</w:t>
            </w:r>
            <w:r>
              <w:rPr>
                <w:rFonts w:hint="eastAsia" w:ascii="宋体" w:hAnsi="宋体" w:cs="仿宋_GB2312"/>
                <w:szCs w:val="21"/>
                <w:lang w:eastAsia="zh-CN"/>
              </w:rPr>
              <w:t>广东省广大工程顾问有限公司</w:t>
            </w:r>
          </w:p>
          <w:p>
            <w:pPr>
              <w:adjustRightInd w:val="0"/>
              <w:spacing w:line="360" w:lineRule="auto"/>
              <w:rPr>
                <w:rFonts w:ascii="宋体" w:hAnsi="宋体" w:cs="仿宋_GB2312"/>
                <w:szCs w:val="21"/>
              </w:rPr>
            </w:pPr>
            <w:r>
              <w:rPr>
                <w:rFonts w:hint="eastAsia" w:ascii="宋体" w:hAnsi="宋体" w:cs="仿宋_GB2312"/>
                <w:szCs w:val="21"/>
              </w:rPr>
              <w:t>地址：广州市番禺区东环街文坡路8号8楼</w:t>
            </w:r>
          </w:p>
          <w:p>
            <w:pPr>
              <w:adjustRightInd w:val="0"/>
              <w:spacing w:line="360" w:lineRule="auto"/>
              <w:rPr>
                <w:rFonts w:hint="eastAsia" w:ascii="宋体" w:hAnsi="宋体" w:eastAsia="宋体" w:cs="仿宋_GB2312"/>
                <w:szCs w:val="21"/>
                <w:lang w:eastAsia="zh-CN"/>
              </w:rPr>
            </w:pPr>
            <w:r>
              <w:rPr>
                <w:rFonts w:hint="eastAsia" w:ascii="宋体" w:hAnsi="宋体" w:cs="仿宋_GB2312"/>
                <w:szCs w:val="21"/>
              </w:rPr>
              <w:t>联系人：</w:t>
            </w:r>
            <w:r>
              <w:rPr>
                <w:rFonts w:hint="eastAsia" w:ascii="宋体" w:hAnsi="宋体" w:cs="仿宋_GB2312"/>
                <w:szCs w:val="21"/>
                <w:lang w:val="en-US" w:eastAsia="zh-CN"/>
              </w:rPr>
              <w:t>黄工</w:t>
            </w:r>
          </w:p>
          <w:p>
            <w:pPr>
              <w:adjustRightInd w:val="0"/>
              <w:spacing w:line="360" w:lineRule="auto"/>
              <w:rPr>
                <w:rFonts w:ascii="宋体" w:hAnsi="宋体" w:cs="宋体"/>
                <w:szCs w:val="21"/>
              </w:rPr>
            </w:pPr>
            <w:r>
              <w:rPr>
                <w:rFonts w:hint="eastAsia" w:ascii="宋体" w:hAnsi="宋体" w:cs="仿宋_GB2312"/>
                <w:szCs w:val="21"/>
              </w:rPr>
              <w:t>电话：020-38293607、18898603032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1.1.4</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招标项目名称</w:t>
            </w:r>
          </w:p>
        </w:tc>
        <w:tc>
          <w:tcPr>
            <w:tcW w:w="5954" w:type="dxa"/>
            <w:noWrap w:val="0"/>
            <w:vAlign w:val="center"/>
          </w:tcPr>
          <w:p>
            <w:pPr>
              <w:adjustRightInd w:val="0"/>
              <w:spacing w:line="360" w:lineRule="auto"/>
              <w:rPr>
                <w:rFonts w:hint="eastAsia" w:ascii="宋体" w:hAnsi="宋体" w:eastAsia="宋体" w:cs="宋体"/>
                <w:szCs w:val="21"/>
                <w:lang w:eastAsia="zh-CN"/>
              </w:rPr>
            </w:pPr>
            <w:r>
              <w:rPr>
                <w:rFonts w:hint="eastAsia" w:ascii="宋体" w:hAnsi="宋体" w:cs="宋体"/>
                <w:szCs w:val="21"/>
                <w:lang w:eastAsia="zh-CN"/>
              </w:rPr>
              <w:t>广东省妇幼保健院（省儿童医院）儿科医疗科技楼建设工程项目第三方检测和监测服务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1.1.5</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项目建设地点</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1.1.6</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项目建设规模</w:t>
            </w:r>
          </w:p>
        </w:tc>
        <w:tc>
          <w:tcPr>
            <w:tcW w:w="5954" w:type="dxa"/>
            <w:noWrap w:val="0"/>
            <w:vAlign w:val="top"/>
          </w:tcPr>
          <w:p>
            <w:pPr>
              <w:adjustRightInd w:val="0"/>
              <w:spacing w:line="360" w:lineRule="auto"/>
              <w:rPr>
                <w:rFonts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3"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1.1.7</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工程项目施工预计开工日期和建设周期</w:t>
            </w:r>
          </w:p>
        </w:tc>
        <w:tc>
          <w:tcPr>
            <w:tcW w:w="5954" w:type="dxa"/>
            <w:noWrap w:val="0"/>
            <w:vAlign w:val="center"/>
          </w:tcPr>
          <w:p>
            <w:pPr>
              <w:pStyle w:val="10"/>
              <w:adjustRightInd w:val="0"/>
              <w:spacing w:before="0" w:after="0" w:line="360" w:lineRule="auto"/>
              <w:rPr>
                <w:rFonts w:ascii="宋体" w:hAnsi="宋体" w:cs="宋体"/>
                <w:b w:val="0"/>
                <w:kern w:val="2"/>
                <w:sz w:val="21"/>
                <w:szCs w:val="21"/>
              </w:rPr>
            </w:pPr>
            <w:r>
              <w:rPr>
                <w:rFonts w:hint="eastAsia" w:ascii="宋体" w:hAnsi="宋体" w:cs="宋体"/>
                <w:b w:val="0"/>
                <w:kern w:val="2"/>
                <w:sz w:val="21"/>
                <w:szCs w:val="21"/>
              </w:rPr>
              <w:t>工程项目施工预计开工日期：开工时间以招标人通知为准。</w:t>
            </w:r>
          </w:p>
          <w:p>
            <w:pPr>
              <w:adjustRightInd w:val="0"/>
              <w:spacing w:line="360" w:lineRule="auto"/>
              <w:rPr>
                <w:rFonts w:ascii="宋体" w:hAnsi="宋体" w:cs="宋体"/>
                <w:szCs w:val="21"/>
              </w:rPr>
            </w:pPr>
            <w:r>
              <w:rPr>
                <w:rFonts w:hint="eastAsia" w:ascii="宋体" w:hAnsi="宋体" w:cs="宋体"/>
                <w:szCs w:val="21"/>
              </w:rPr>
              <w:t>服务周期从中标单位进场至所有服务项目完成为止。服务周期必须满足实际施工要求，进场日期以招标人通知时间为准。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1.1.8</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建筑安装工程费/工程概算</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1.2.1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资金来源及比例</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1.2.2</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资金落实情况</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1.3.1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招标内容</w:t>
            </w:r>
          </w:p>
        </w:tc>
        <w:tc>
          <w:tcPr>
            <w:tcW w:w="5954" w:type="dxa"/>
            <w:noWrap w:val="0"/>
            <w:vAlign w:val="top"/>
          </w:tcPr>
          <w:p>
            <w:pPr>
              <w:adjustRightInd w:val="0"/>
              <w:spacing w:line="360" w:lineRule="auto"/>
              <w:rPr>
                <w:rFonts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1.3.2</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服务期</w:t>
            </w:r>
          </w:p>
        </w:tc>
        <w:tc>
          <w:tcPr>
            <w:tcW w:w="5954" w:type="dxa"/>
            <w:noWrap w:val="0"/>
            <w:vAlign w:val="top"/>
          </w:tcPr>
          <w:p>
            <w:pPr>
              <w:pStyle w:val="2"/>
              <w:adjustRightInd w:val="0"/>
              <w:spacing w:after="0" w:line="360" w:lineRule="auto"/>
              <w:ind w:firstLine="0"/>
              <w:rPr>
                <w:rFonts w:ascii="宋体" w:hAnsi="宋体" w:cs="宋体"/>
                <w:szCs w:val="21"/>
              </w:rPr>
            </w:pPr>
            <w:r>
              <w:rPr>
                <w:rFonts w:hint="eastAsia" w:ascii="宋体" w:hAnsi="宋体" w:cs="宋体"/>
                <w:szCs w:val="21"/>
              </w:rPr>
              <w:t>本项目的服务期限为：从中标单位进场至本项目顺利完成竣工验收备案，且所有服务项目完成时止，服务周期必须满足实际施工要求。进场日期以发包人通知时间为准。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1.3.3</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质量标准</w:t>
            </w:r>
          </w:p>
        </w:tc>
        <w:tc>
          <w:tcPr>
            <w:tcW w:w="5954" w:type="dxa"/>
            <w:noWrap w:val="0"/>
            <w:vAlign w:val="center"/>
          </w:tcPr>
          <w:p>
            <w:pPr>
              <w:pStyle w:val="2"/>
              <w:adjustRightInd w:val="0"/>
              <w:spacing w:after="0" w:line="360" w:lineRule="auto"/>
              <w:ind w:firstLine="0"/>
              <w:rPr>
                <w:rFonts w:ascii="宋体" w:hAnsi="宋体" w:cs="宋体"/>
                <w:szCs w:val="21"/>
              </w:rPr>
            </w:pPr>
            <w:r>
              <w:rPr>
                <w:rFonts w:hint="eastAsia" w:ascii="宋体" w:hAnsi="宋体" w:cs="宋体"/>
                <w:kern w:val="0"/>
                <w:szCs w:val="21"/>
              </w:rPr>
              <w:t>符合国家及省、市有关检测、监测标准。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1.4.1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投标人资质条件、能力、信誉</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（1）资质要求：详见招标公告投标人资格要求。</w:t>
            </w:r>
          </w:p>
          <w:p>
            <w:pPr>
              <w:adjustRightInd w:val="0"/>
              <w:spacing w:line="360" w:lineRule="auto"/>
              <w:rPr>
                <w:rFonts w:ascii="宋体" w:hAnsi="宋体" w:cs="宋体"/>
                <w:szCs w:val="21"/>
              </w:rPr>
            </w:pPr>
            <w:r>
              <w:rPr>
                <w:rFonts w:hint="eastAsia" w:ascii="宋体" w:hAnsi="宋体" w:cs="宋体"/>
                <w:szCs w:val="21"/>
              </w:rPr>
              <w:t>（2）财务要求：</w:t>
            </w:r>
            <w:r>
              <w:rPr>
                <w:rFonts w:hint="eastAsia" w:ascii="宋体" w:hAnsi="宋体" w:cs="宋体"/>
                <w:szCs w:val="21"/>
                <w:u w:val="single"/>
              </w:rPr>
              <w:t xml:space="preserve"> / </w:t>
            </w:r>
            <w:r>
              <w:rPr>
                <w:rFonts w:hint="eastAsia" w:ascii="宋体" w:hAnsi="宋体" w:cs="宋体"/>
                <w:szCs w:val="21"/>
              </w:rPr>
              <w:t>（不作为资格审查内容）</w:t>
            </w:r>
          </w:p>
          <w:p>
            <w:pPr>
              <w:adjustRightInd w:val="0"/>
              <w:spacing w:line="360" w:lineRule="auto"/>
              <w:rPr>
                <w:rFonts w:ascii="宋体" w:hAnsi="宋体" w:cs="宋体"/>
                <w:szCs w:val="21"/>
              </w:rPr>
            </w:pPr>
            <w:r>
              <w:rPr>
                <w:rFonts w:hint="eastAsia" w:ascii="宋体" w:hAnsi="宋体" w:cs="宋体"/>
                <w:szCs w:val="21"/>
              </w:rPr>
              <w:t>（3）业绩要求：</w:t>
            </w:r>
            <w:r>
              <w:rPr>
                <w:rFonts w:hint="eastAsia" w:ascii="宋体" w:hAnsi="宋体" w:cs="宋体"/>
                <w:szCs w:val="21"/>
                <w:u w:val="single"/>
              </w:rPr>
              <w:t xml:space="preserve"> / </w:t>
            </w:r>
            <w:r>
              <w:rPr>
                <w:rFonts w:hint="eastAsia" w:ascii="宋体" w:hAnsi="宋体" w:cs="宋体"/>
                <w:szCs w:val="21"/>
              </w:rPr>
              <w:t>（不作为资格审查内容）</w:t>
            </w:r>
          </w:p>
          <w:p>
            <w:pPr>
              <w:adjustRightInd w:val="0"/>
              <w:spacing w:line="360" w:lineRule="auto"/>
              <w:rPr>
                <w:rFonts w:ascii="宋体" w:hAnsi="宋体" w:cs="宋体"/>
                <w:szCs w:val="21"/>
              </w:rPr>
            </w:pPr>
            <w:r>
              <w:rPr>
                <w:rFonts w:hint="eastAsia" w:ascii="宋体" w:hAnsi="宋体" w:cs="宋体"/>
                <w:szCs w:val="21"/>
              </w:rPr>
              <w:t>（4）信誉要求：</w:t>
            </w:r>
            <w:r>
              <w:rPr>
                <w:rFonts w:hint="eastAsia" w:ascii="宋体" w:hAnsi="宋体" w:cs="宋体"/>
                <w:szCs w:val="21"/>
                <w:u w:val="single"/>
              </w:rPr>
              <w:t xml:space="preserve"> / </w:t>
            </w:r>
            <w:r>
              <w:rPr>
                <w:rFonts w:hint="eastAsia" w:ascii="宋体" w:hAnsi="宋体" w:cs="宋体"/>
                <w:szCs w:val="21"/>
              </w:rPr>
              <w:t>（不作为资格审查内容）</w:t>
            </w:r>
          </w:p>
          <w:p>
            <w:pPr>
              <w:adjustRightInd w:val="0"/>
              <w:spacing w:line="360" w:lineRule="auto"/>
              <w:rPr>
                <w:rFonts w:ascii="宋体" w:hAnsi="宋体" w:cs="宋体"/>
                <w:szCs w:val="21"/>
              </w:rPr>
            </w:pPr>
            <w:r>
              <w:rPr>
                <w:rFonts w:hint="eastAsia" w:ascii="宋体" w:hAnsi="宋体" w:cs="宋体"/>
                <w:szCs w:val="21"/>
              </w:rPr>
              <w:t>（5）项目负责人的资格要求：详见招标公告投标人资格要求。</w:t>
            </w:r>
          </w:p>
          <w:p>
            <w:pPr>
              <w:adjustRightInd w:val="0"/>
              <w:spacing w:line="360" w:lineRule="auto"/>
              <w:rPr>
                <w:rFonts w:ascii="宋体" w:hAnsi="宋体" w:cs="宋体"/>
                <w:szCs w:val="21"/>
              </w:rPr>
            </w:pPr>
            <w:r>
              <w:rPr>
                <w:rFonts w:hint="eastAsia" w:ascii="宋体" w:hAnsi="宋体" w:cs="宋体"/>
                <w:szCs w:val="21"/>
              </w:rPr>
              <w:t>（6）其他主要人员要求：</w:t>
            </w:r>
            <w:r>
              <w:rPr>
                <w:rFonts w:hint="eastAsia" w:ascii="宋体" w:hAnsi="宋体" w:cs="宋体"/>
                <w:szCs w:val="21"/>
                <w:u w:val="single"/>
              </w:rPr>
              <w:t xml:space="preserve"> / </w:t>
            </w:r>
            <w:r>
              <w:rPr>
                <w:rFonts w:hint="eastAsia" w:ascii="宋体" w:hAnsi="宋体" w:cs="宋体"/>
                <w:szCs w:val="21"/>
              </w:rPr>
              <w:t>（不作为资格审查内容）</w:t>
            </w:r>
          </w:p>
          <w:p>
            <w:pPr>
              <w:adjustRightInd w:val="0"/>
              <w:spacing w:line="360" w:lineRule="auto"/>
              <w:rPr>
                <w:rFonts w:ascii="宋体" w:hAnsi="宋体" w:cs="宋体"/>
                <w:szCs w:val="21"/>
              </w:rPr>
            </w:pPr>
            <w:r>
              <w:rPr>
                <w:rFonts w:hint="eastAsia" w:ascii="宋体" w:hAnsi="宋体" w:cs="宋体"/>
                <w:szCs w:val="21"/>
              </w:rPr>
              <w:t>（7）试验检测仪器设备要求：</w:t>
            </w:r>
            <w:r>
              <w:rPr>
                <w:rFonts w:hint="eastAsia" w:ascii="宋体" w:hAnsi="宋体" w:cs="宋体"/>
                <w:szCs w:val="21"/>
                <w:u w:val="single"/>
              </w:rPr>
              <w:t xml:space="preserve"> / </w:t>
            </w:r>
            <w:r>
              <w:rPr>
                <w:rFonts w:hint="eastAsia" w:ascii="宋体" w:hAnsi="宋体" w:cs="宋体"/>
                <w:szCs w:val="21"/>
              </w:rPr>
              <w:t>（不作为资格审查内容）</w:t>
            </w:r>
          </w:p>
          <w:p>
            <w:pPr>
              <w:adjustRightInd w:val="0"/>
              <w:spacing w:line="360" w:lineRule="auto"/>
              <w:rPr>
                <w:rFonts w:ascii="宋体" w:hAnsi="宋体" w:cs="宋体"/>
                <w:szCs w:val="21"/>
              </w:rPr>
            </w:pPr>
            <w:r>
              <w:rPr>
                <w:rFonts w:hint="eastAsia" w:ascii="宋体" w:hAnsi="宋体" w:cs="宋体"/>
                <w:szCs w:val="21"/>
              </w:rPr>
              <w:t>（8）其他要求：详见招标公告投标人资格要求。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1.4.2</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是否接受联合体投标</w:t>
            </w:r>
          </w:p>
        </w:tc>
        <w:tc>
          <w:tcPr>
            <w:tcW w:w="5954" w:type="dxa"/>
            <w:noWrap w:val="0"/>
            <w:vAlign w:val="center"/>
          </w:tcPr>
          <w:p>
            <w:pPr>
              <w:topLinePunct/>
              <w:adjustRightInd w:val="0"/>
              <w:spacing w:line="360" w:lineRule="auto"/>
              <w:rPr>
                <w:rFonts w:ascii="宋体" w:hAnsi="宋体" w:cs="宋体"/>
                <w:szCs w:val="21"/>
              </w:rPr>
            </w:pPr>
            <w:r>
              <w:rPr>
                <w:rFonts w:hint="eastAsia" w:ascii="宋体" w:hAnsi="宋体" w:cs="宋体"/>
                <w:szCs w:val="21"/>
              </w:rPr>
              <w:t>□不接受</w:t>
            </w:r>
          </w:p>
          <w:p>
            <w:pPr>
              <w:topLinePunct/>
              <w:adjustRightInd w:val="0"/>
              <w:spacing w:line="360" w:lineRule="auto"/>
              <w:rPr>
                <w:rFonts w:ascii="宋体" w:hAnsi="宋体" w:cs="宋体"/>
                <w:szCs w:val="21"/>
              </w:rPr>
            </w:pPr>
            <w:r>
              <w:rPr>
                <w:rFonts w:hint="eastAsia" w:ascii="宋体" w:hAnsi="宋体" w:cs="宋体"/>
                <w:szCs w:val="21"/>
              </w:rPr>
              <w:t>■接受,</w:t>
            </w:r>
            <w:r>
              <w:rPr>
                <w:rFonts w:hint="eastAsia"/>
              </w:rPr>
              <w:t xml:space="preserve"> </w:t>
            </w:r>
            <w:r>
              <w:rPr>
                <w:rFonts w:hint="eastAsia" w:ascii="宋体" w:hAnsi="宋体" w:cs="宋体"/>
                <w:szCs w:val="21"/>
              </w:rPr>
              <w:t xml:space="preserve">应满足要求详见招标公告资格要求。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1.4.3</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投标人不得存在的其他情形</w:t>
            </w:r>
          </w:p>
        </w:tc>
        <w:tc>
          <w:tcPr>
            <w:tcW w:w="5954" w:type="dxa"/>
            <w:noWrap w:val="0"/>
            <w:vAlign w:val="center"/>
          </w:tcPr>
          <w:p>
            <w:pPr>
              <w:pStyle w:val="269"/>
              <w:adjustRightInd w:val="0"/>
              <w:ind w:firstLine="0"/>
              <w:rPr>
                <w:rFonts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1.9.1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踏勘现场</w:t>
            </w:r>
          </w:p>
        </w:tc>
        <w:tc>
          <w:tcPr>
            <w:tcW w:w="5954" w:type="dxa"/>
            <w:noWrap w:val="0"/>
            <w:vAlign w:val="center"/>
          </w:tcPr>
          <w:p>
            <w:pPr>
              <w:pStyle w:val="17"/>
              <w:topLinePunct/>
              <w:adjustRightInd w:val="0"/>
              <w:spacing w:line="360" w:lineRule="auto"/>
              <w:rPr>
                <w:rFonts w:hAnsi="宋体" w:cs="宋体"/>
                <w:sz w:val="21"/>
                <w:szCs w:val="21"/>
              </w:rPr>
            </w:pPr>
            <w:r>
              <w:rPr>
                <w:rFonts w:hint="eastAsia" w:hAnsi="宋体" w:cs="宋体"/>
                <w:sz w:val="21"/>
                <w:szCs w:val="21"/>
              </w:rPr>
              <w:t>■不组织，</w:t>
            </w:r>
            <w:r>
              <w:rPr>
                <w:rFonts w:hint="eastAsia" w:hAnsi="宋体" w:cs="宋体"/>
                <w:sz w:val="21"/>
                <w:szCs w:val="21"/>
                <w:u w:val="single"/>
              </w:rPr>
              <w:t>由投标人自行现场考察。</w:t>
            </w:r>
          </w:p>
          <w:p>
            <w:pPr>
              <w:pStyle w:val="17"/>
              <w:topLinePunct/>
              <w:adjustRightInd w:val="0"/>
              <w:spacing w:line="360" w:lineRule="auto"/>
              <w:rPr>
                <w:rFonts w:hAnsi="宋体" w:cs="宋体"/>
                <w:sz w:val="21"/>
                <w:szCs w:val="21"/>
              </w:rPr>
            </w:pPr>
            <w:r>
              <w:rPr>
                <w:rFonts w:hint="eastAsia" w:hAnsi="宋体" w:cs="宋体"/>
                <w:sz w:val="21"/>
                <w:szCs w:val="21"/>
              </w:rPr>
              <w:t>□组织，踏勘时间：</w:t>
            </w:r>
          </w:p>
          <w:p>
            <w:pPr>
              <w:pStyle w:val="17"/>
              <w:topLinePunct/>
              <w:adjustRightInd w:val="0"/>
              <w:spacing w:line="360" w:lineRule="auto"/>
              <w:rPr>
                <w:rFonts w:hAnsi="宋体" w:cs="宋体"/>
                <w:sz w:val="21"/>
                <w:szCs w:val="21"/>
              </w:rPr>
            </w:pPr>
            <w:r>
              <w:rPr>
                <w:rFonts w:hint="eastAsia" w:hAnsi="宋体" w:cs="宋体"/>
                <w:sz w:val="21"/>
                <w:szCs w:val="21"/>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1.10.1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投标预备会</w:t>
            </w:r>
          </w:p>
        </w:tc>
        <w:tc>
          <w:tcPr>
            <w:tcW w:w="5954" w:type="dxa"/>
            <w:noWrap w:val="0"/>
            <w:vAlign w:val="center"/>
          </w:tcPr>
          <w:p>
            <w:pPr>
              <w:pStyle w:val="17"/>
              <w:topLinePunct/>
              <w:adjustRightInd w:val="0"/>
              <w:spacing w:line="360" w:lineRule="auto"/>
              <w:rPr>
                <w:rFonts w:hAnsi="宋体" w:cs="宋体"/>
                <w:sz w:val="21"/>
                <w:szCs w:val="21"/>
              </w:rPr>
            </w:pPr>
            <w:r>
              <w:rPr>
                <w:rFonts w:hint="eastAsia" w:hAnsi="宋体" w:cs="宋体"/>
                <w:sz w:val="21"/>
                <w:szCs w:val="21"/>
              </w:rPr>
              <w:t>■不召开</w:t>
            </w:r>
          </w:p>
          <w:p>
            <w:pPr>
              <w:adjustRightInd w:val="0"/>
              <w:spacing w:line="360" w:lineRule="auto"/>
              <w:rPr>
                <w:rFonts w:ascii="宋体" w:hAnsi="宋体" w:cs="宋体"/>
                <w:szCs w:val="21"/>
              </w:rPr>
            </w:pPr>
            <w:r>
              <w:rPr>
                <w:rFonts w:hint="eastAsia" w:ascii="宋体" w:hAnsi="宋体" w:cs="宋体"/>
                <w:szCs w:val="21"/>
              </w:rPr>
              <w:t>□召开，召开时间：</w:t>
            </w:r>
          </w:p>
          <w:p>
            <w:pPr>
              <w:adjustRightInd w:val="0"/>
              <w:spacing w:line="360" w:lineRule="auto"/>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 w:hRule="atLeast"/>
          <w:jc w:val="center"/>
        </w:trPr>
        <w:tc>
          <w:tcPr>
            <w:tcW w:w="959" w:type="dxa"/>
            <w:vMerge w:val="restart"/>
            <w:noWrap w:val="0"/>
            <w:vAlign w:val="center"/>
          </w:tcPr>
          <w:p>
            <w:pPr>
              <w:adjustRightInd w:val="0"/>
              <w:spacing w:line="360" w:lineRule="auto"/>
              <w:jc w:val="center"/>
              <w:rPr>
                <w:rFonts w:ascii="宋体" w:hAnsi="宋体" w:cs="宋体"/>
                <w:szCs w:val="21"/>
              </w:rPr>
            </w:pPr>
            <w:r>
              <w:rPr>
                <w:rFonts w:hint="eastAsia" w:ascii="宋体" w:hAnsi="宋体" w:cs="宋体"/>
                <w:szCs w:val="21"/>
              </w:rPr>
              <w:t>1.10.2</w:t>
            </w:r>
          </w:p>
        </w:tc>
        <w:tc>
          <w:tcPr>
            <w:tcW w:w="3118" w:type="dxa"/>
            <w:vMerge w:val="restart"/>
            <w:noWrap w:val="0"/>
            <w:vAlign w:val="center"/>
          </w:tcPr>
          <w:p>
            <w:pPr>
              <w:adjustRightInd w:val="0"/>
              <w:spacing w:line="360" w:lineRule="auto"/>
              <w:jc w:val="center"/>
              <w:rPr>
                <w:rFonts w:ascii="宋体" w:hAnsi="宋体" w:cs="宋体"/>
                <w:szCs w:val="21"/>
              </w:rPr>
            </w:pPr>
            <w:r>
              <w:rPr>
                <w:rFonts w:hint="eastAsia" w:ascii="宋体" w:hAnsi="宋体" w:cs="宋体"/>
                <w:szCs w:val="21"/>
              </w:rPr>
              <w:t>投标人在投标预备会前提出问题</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 xml:space="preserve"> / </w:t>
            </w:r>
            <w:r>
              <w:rPr>
                <w:rFonts w:hint="eastAsia" w:ascii="宋体" w:hAnsi="宋体" w:cs="宋体"/>
                <w:szCs w:val="21"/>
              </w:rPr>
              <w:t>（本项目不召开投标预备会）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959" w:type="dxa"/>
            <w:vMerge w:val="continue"/>
            <w:noWrap w:val="0"/>
            <w:vAlign w:val="center"/>
          </w:tcPr>
          <w:p>
            <w:pPr>
              <w:keepNext/>
              <w:keepLines/>
              <w:adjustRightInd w:val="0"/>
              <w:spacing w:line="360" w:lineRule="auto"/>
              <w:jc w:val="center"/>
              <w:rPr>
                <w:rFonts w:ascii="宋体" w:hAnsi="宋体" w:cs="宋体"/>
                <w:szCs w:val="21"/>
              </w:rPr>
            </w:pPr>
          </w:p>
        </w:tc>
        <w:tc>
          <w:tcPr>
            <w:tcW w:w="3118" w:type="dxa"/>
            <w:vMerge w:val="continue"/>
            <w:noWrap w:val="0"/>
            <w:vAlign w:val="center"/>
          </w:tcPr>
          <w:p>
            <w:pPr>
              <w:keepNext/>
              <w:keepLines/>
              <w:adjustRightInd w:val="0"/>
              <w:spacing w:line="360" w:lineRule="auto"/>
              <w:jc w:val="center"/>
              <w:rPr>
                <w:rFonts w:ascii="宋体" w:hAnsi="宋体" w:cs="宋体"/>
                <w:szCs w:val="21"/>
              </w:rPr>
            </w:pP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形式：</w:t>
            </w:r>
            <w:r>
              <w:rPr>
                <w:rFonts w:hint="eastAsia" w:ascii="宋体" w:hAnsi="宋体" w:cs="宋体"/>
                <w:szCs w:val="21"/>
                <w:u w:val="single"/>
              </w:rPr>
              <w:t xml:space="preserve"> / </w:t>
            </w:r>
            <w:r>
              <w:rPr>
                <w:rFonts w:hint="eastAsia" w:ascii="宋体" w:hAnsi="宋体" w:cs="宋体"/>
                <w:szCs w:val="21"/>
              </w:rPr>
              <w:t>（本项目不召开投标预备会）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1.10.3</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招标文件澄清发出的形式</w:t>
            </w:r>
          </w:p>
        </w:tc>
        <w:tc>
          <w:tcPr>
            <w:tcW w:w="5954" w:type="dxa"/>
            <w:noWrap w:val="0"/>
            <w:vAlign w:val="center"/>
          </w:tcPr>
          <w:p>
            <w:pPr>
              <w:adjustRightInd w:val="0"/>
              <w:spacing w:line="360" w:lineRule="auto"/>
              <w:rPr>
                <w:rFonts w:ascii="宋体" w:hAnsi="宋体" w:cs="宋体"/>
                <w:szCs w:val="21"/>
                <w:u w:val="single"/>
              </w:rPr>
            </w:pPr>
            <w:r>
              <w:rPr>
                <w:rFonts w:hint="eastAsia" w:ascii="宋体" w:hAnsi="宋体" w:cs="宋体"/>
                <w:szCs w:val="21"/>
                <w:u w:val="single"/>
              </w:rPr>
              <w:t xml:space="preserve">   /  </w:t>
            </w:r>
            <w:r>
              <w:rPr>
                <w:rFonts w:hint="eastAsia" w:ascii="宋体" w:hAnsi="宋体" w:cs="宋体"/>
                <w:szCs w:val="21"/>
              </w:rPr>
              <w:t>（不召开投标预备会，此为投标预备会的答疑澄清）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1.11.1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分包</w:t>
            </w:r>
          </w:p>
        </w:tc>
        <w:tc>
          <w:tcPr>
            <w:tcW w:w="5954" w:type="dxa"/>
            <w:noWrap w:val="0"/>
            <w:vAlign w:val="center"/>
          </w:tcPr>
          <w:p>
            <w:pPr>
              <w:adjustRightInd w:val="0"/>
              <w:spacing w:line="360" w:lineRule="auto"/>
              <w:rPr>
                <w:rFonts w:ascii="宋体" w:hAnsi="宋体" w:cs="宋体"/>
                <w:szCs w:val="21"/>
                <w:u w:val="single"/>
              </w:rPr>
            </w:pPr>
            <w:r>
              <w:rPr>
                <w:rFonts w:hint="eastAsia" w:ascii="宋体" w:hAnsi="宋体" w:cs="宋体"/>
                <w:szCs w:val="21"/>
                <w:u w:val="single"/>
              </w:rPr>
              <w:t>本工程所涉及的部分检测各监测工作，如中标单位不具备相关资质，中标单位在报发包人同意的情况下可将上述工作另行分包给具有相应资质的其它机构。但分包项目的检测和监测质量及检测和监测工期及成果由中标单位负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6"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1.12.1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实质性要求和条件</w:t>
            </w:r>
          </w:p>
        </w:tc>
        <w:tc>
          <w:tcPr>
            <w:tcW w:w="5954" w:type="dxa"/>
            <w:noWrap w:val="0"/>
            <w:vAlign w:val="center"/>
          </w:tcPr>
          <w:p>
            <w:pPr>
              <w:pStyle w:val="17"/>
              <w:topLinePunct/>
              <w:adjustRightInd w:val="0"/>
              <w:spacing w:line="360" w:lineRule="auto"/>
              <w:rPr>
                <w:rFonts w:hAnsi="宋体" w:cs="宋体"/>
                <w:sz w:val="21"/>
                <w:szCs w:val="21"/>
              </w:rPr>
            </w:pPr>
            <w:r>
              <w:rPr>
                <w:rFonts w:hint="eastAsia" w:hAnsi="宋体" w:cs="宋体"/>
                <w:sz w:val="21"/>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1.12.3</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偏差</w:t>
            </w:r>
          </w:p>
        </w:tc>
        <w:tc>
          <w:tcPr>
            <w:tcW w:w="5954" w:type="dxa"/>
            <w:noWrap w:val="0"/>
            <w:vAlign w:val="top"/>
          </w:tcPr>
          <w:p>
            <w:pPr>
              <w:adjustRightInd w:val="0"/>
              <w:spacing w:line="360" w:lineRule="auto"/>
              <w:rPr>
                <w:rFonts w:ascii="宋体" w:hAnsi="宋体" w:cs="宋体"/>
                <w:szCs w:val="21"/>
              </w:rPr>
            </w:pPr>
            <w:r>
              <w:rPr>
                <w:rFonts w:hint="eastAsia" w:ascii="宋体" w:hAnsi="宋体" w:cs="宋体"/>
                <w:szCs w:val="21"/>
              </w:rPr>
              <w:t>■不允许</w:t>
            </w:r>
          </w:p>
          <w:p>
            <w:pPr>
              <w:pStyle w:val="17"/>
              <w:topLinePunct/>
              <w:adjustRightInd w:val="0"/>
              <w:spacing w:line="360" w:lineRule="auto"/>
              <w:rPr>
                <w:rFonts w:hAnsi="宋体" w:cs="宋体"/>
                <w:sz w:val="21"/>
                <w:szCs w:val="21"/>
              </w:rPr>
            </w:pPr>
            <w:r>
              <w:rPr>
                <w:rFonts w:hint="eastAsia" w:hAnsi="宋体" w:cs="宋体"/>
                <w:sz w:val="21"/>
                <w:szCs w:val="21"/>
              </w:rPr>
              <w:t>□允许，偏差范围：</w:t>
            </w:r>
          </w:p>
          <w:p>
            <w:pPr>
              <w:pStyle w:val="17"/>
              <w:topLinePunct/>
              <w:adjustRightInd w:val="0"/>
              <w:spacing w:line="360" w:lineRule="auto"/>
              <w:rPr>
                <w:rFonts w:hAnsi="宋体" w:cs="宋体"/>
                <w:sz w:val="21"/>
                <w:szCs w:val="21"/>
              </w:rPr>
            </w:pPr>
            <w:r>
              <w:rPr>
                <w:rFonts w:hint="eastAsia" w:hAnsi="宋体" w:cs="宋体"/>
                <w:sz w:val="21"/>
                <w:szCs w:val="21"/>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2.1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构成招标文件的其他资料</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jc w:val="center"/>
        </w:trPr>
        <w:tc>
          <w:tcPr>
            <w:tcW w:w="959" w:type="dxa"/>
            <w:vMerge w:val="restart"/>
            <w:noWrap w:val="0"/>
            <w:vAlign w:val="center"/>
          </w:tcPr>
          <w:p>
            <w:pPr>
              <w:adjustRightInd w:val="0"/>
              <w:spacing w:line="360" w:lineRule="auto"/>
              <w:jc w:val="center"/>
              <w:rPr>
                <w:rFonts w:ascii="宋体" w:hAnsi="宋体" w:cs="宋体"/>
                <w:szCs w:val="21"/>
              </w:rPr>
            </w:pPr>
            <w:r>
              <w:rPr>
                <w:rFonts w:hint="eastAsia" w:ascii="宋体" w:hAnsi="宋体" w:cs="宋体"/>
                <w:szCs w:val="21"/>
              </w:rPr>
              <w:t>2.2.1</w:t>
            </w:r>
          </w:p>
        </w:tc>
        <w:tc>
          <w:tcPr>
            <w:tcW w:w="3118" w:type="dxa"/>
            <w:vMerge w:val="restart"/>
            <w:noWrap w:val="0"/>
            <w:vAlign w:val="center"/>
          </w:tcPr>
          <w:p>
            <w:pPr>
              <w:adjustRightInd w:val="0"/>
              <w:spacing w:line="360" w:lineRule="auto"/>
              <w:jc w:val="center"/>
              <w:rPr>
                <w:rFonts w:ascii="宋体" w:hAnsi="宋体" w:cs="宋体"/>
                <w:szCs w:val="21"/>
              </w:rPr>
            </w:pPr>
            <w:r>
              <w:rPr>
                <w:rFonts w:hint="eastAsia" w:ascii="宋体" w:hAnsi="宋体" w:cs="宋体"/>
                <w:szCs w:val="21"/>
              </w:rPr>
              <w:t>投标人要求澄清招标文件</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在提交投标文件截止时间18天前提出。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jc w:val="center"/>
        </w:trPr>
        <w:tc>
          <w:tcPr>
            <w:tcW w:w="959" w:type="dxa"/>
            <w:vMerge w:val="continue"/>
            <w:noWrap w:val="0"/>
            <w:vAlign w:val="center"/>
          </w:tcPr>
          <w:p>
            <w:pPr>
              <w:keepNext/>
              <w:keepLines/>
              <w:adjustRightInd w:val="0"/>
              <w:spacing w:line="360" w:lineRule="auto"/>
              <w:jc w:val="center"/>
              <w:rPr>
                <w:rFonts w:ascii="宋体" w:hAnsi="宋体" w:cs="宋体"/>
                <w:szCs w:val="21"/>
              </w:rPr>
            </w:pPr>
          </w:p>
        </w:tc>
        <w:tc>
          <w:tcPr>
            <w:tcW w:w="3118" w:type="dxa"/>
            <w:vMerge w:val="continue"/>
            <w:noWrap w:val="0"/>
            <w:vAlign w:val="center"/>
          </w:tcPr>
          <w:p>
            <w:pPr>
              <w:keepNext/>
              <w:keepLines/>
              <w:adjustRightInd w:val="0"/>
              <w:spacing w:line="360" w:lineRule="auto"/>
              <w:jc w:val="center"/>
              <w:rPr>
                <w:rFonts w:ascii="宋体" w:hAnsi="宋体" w:cs="宋体"/>
                <w:szCs w:val="21"/>
              </w:rPr>
            </w:pPr>
          </w:p>
        </w:tc>
        <w:tc>
          <w:tcPr>
            <w:tcW w:w="5954" w:type="dxa"/>
            <w:noWrap w:val="0"/>
            <w:vAlign w:val="center"/>
          </w:tcPr>
          <w:p>
            <w:pPr>
              <w:pStyle w:val="2"/>
              <w:adjustRightInd w:val="0"/>
              <w:spacing w:after="0" w:line="360" w:lineRule="auto"/>
              <w:ind w:firstLine="0"/>
              <w:rPr>
                <w:rFonts w:ascii="宋体" w:hAnsi="宋体" w:cs="宋体"/>
                <w:szCs w:val="21"/>
              </w:rPr>
            </w:pPr>
            <w:r>
              <w:rPr>
                <w:rFonts w:hint="eastAsia" w:ascii="宋体" w:hAnsi="宋体" w:cs="宋体"/>
                <w:szCs w:val="21"/>
              </w:rPr>
              <w:t>形式：</w:t>
            </w:r>
            <w:r>
              <w:rPr>
                <w:rFonts w:hint="eastAsia" w:ascii="宋体" w:hAnsi="宋体" w:cs="宋体"/>
                <w:szCs w:val="21"/>
                <w:u w:val="single"/>
              </w:rPr>
              <w:t>投标人的疑问通过广州公共资源交易中心数字交易平台提交。具体操作方法详见广州公共资源交易中心网站发布的《 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2.2.2</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招标文件澄清发出的形式</w:t>
            </w:r>
          </w:p>
        </w:tc>
        <w:tc>
          <w:tcPr>
            <w:tcW w:w="5954" w:type="dxa"/>
            <w:noWrap w:val="0"/>
            <w:vAlign w:val="center"/>
          </w:tcPr>
          <w:p>
            <w:pPr>
              <w:pStyle w:val="2"/>
              <w:adjustRightInd w:val="0"/>
              <w:spacing w:after="0" w:line="360" w:lineRule="auto"/>
              <w:ind w:firstLine="0"/>
              <w:rPr>
                <w:rFonts w:ascii="宋体" w:hAnsi="宋体" w:cs="宋体"/>
                <w:szCs w:val="21"/>
                <w:u w:val="single"/>
              </w:rPr>
            </w:pPr>
            <w:r>
              <w:rPr>
                <w:rFonts w:hint="eastAsia" w:ascii="宋体" w:hAnsi="宋体" w:cs="宋体"/>
                <w:szCs w:val="21"/>
                <w:u w:val="single"/>
              </w:rPr>
              <w:t>在递交投标文件截止时间15天前；在广州公共资源交易中心网站通过项目答疑专区网上公开发布。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959" w:type="dxa"/>
            <w:vMerge w:val="restart"/>
            <w:noWrap w:val="0"/>
            <w:vAlign w:val="center"/>
          </w:tcPr>
          <w:p>
            <w:pPr>
              <w:adjustRightInd w:val="0"/>
              <w:spacing w:line="360" w:lineRule="auto"/>
              <w:jc w:val="center"/>
              <w:rPr>
                <w:rFonts w:ascii="宋体" w:hAnsi="宋体" w:cs="宋体"/>
                <w:szCs w:val="21"/>
              </w:rPr>
            </w:pPr>
            <w:r>
              <w:rPr>
                <w:rFonts w:hint="eastAsia" w:ascii="宋体" w:hAnsi="宋体" w:cs="宋体"/>
                <w:szCs w:val="21"/>
              </w:rPr>
              <w:t>2.2.3</w:t>
            </w:r>
          </w:p>
        </w:tc>
        <w:tc>
          <w:tcPr>
            <w:tcW w:w="3118" w:type="dxa"/>
            <w:vMerge w:val="restart"/>
            <w:noWrap w:val="0"/>
            <w:vAlign w:val="center"/>
          </w:tcPr>
          <w:p>
            <w:pPr>
              <w:adjustRightInd w:val="0"/>
              <w:spacing w:line="360" w:lineRule="auto"/>
              <w:jc w:val="center"/>
              <w:rPr>
                <w:rFonts w:ascii="宋体" w:hAnsi="宋体" w:cs="宋体"/>
                <w:szCs w:val="21"/>
              </w:rPr>
            </w:pPr>
            <w:r>
              <w:rPr>
                <w:rFonts w:hint="eastAsia" w:ascii="宋体" w:hAnsi="宋体" w:cs="宋体"/>
                <w:szCs w:val="21"/>
              </w:rPr>
              <w:t>投标人确认收到招标文件澄清</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959" w:type="dxa"/>
            <w:vMerge w:val="continue"/>
            <w:noWrap w:val="0"/>
            <w:vAlign w:val="center"/>
          </w:tcPr>
          <w:p>
            <w:pPr>
              <w:keepNext/>
              <w:keepLines/>
              <w:adjustRightInd w:val="0"/>
              <w:spacing w:line="360" w:lineRule="auto"/>
              <w:jc w:val="center"/>
              <w:rPr>
                <w:rFonts w:ascii="宋体" w:hAnsi="宋体" w:cs="宋体"/>
                <w:szCs w:val="21"/>
              </w:rPr>
            </w:pPr>
          </w:p>
        </w:tc>
        <w:tc>
          <w:tcPr>
            <w:tcW w:w="3118" w:type="dxa"/>
            <w:vMerge w:val="continue"/>
            <w:noWrap w:val="0"/>
            <w:vAlign w:val="center"/>
          </w:tcPr>
          <w:p>
            <w:pPr>
              <w:keepNext/>
              <w:keepLines/>
              <w:adjustRightInd w:val="0"/>
              <w:spacing w:line="360" w:lineRule="auto"/>
              <w:jc w:val="center"/>
              <w:rPr>
                <w:rFonts w:ascii="宋体" w:hAnsi="宋体" w:cs="宋体"/>
                <w:szCs w:val="21"/>
              </w:rPr>
            </w:pP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形式：</w:t>
            </w:r>
            <w:r>
              <w:rPr>
                <w:rFonts w:hint="eastAsia" w:ascii="宋体" w:hAnsi="宋体" w:cs="宋体"/>
                <w:szCs w:val="21"/>
                <w:u w:val="single"/>
              </w:rPr>
              <w:t>招标文件澄清（招标答疑纪要）一经在广州公共资源交易中心网站发布，视作已发放给所有投标人，无需确认。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2.3.1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招标文件修改发出的形式</w:t>
            </w:r>
          </w:p>
        </w:tc>
        <w:tc>
          <w:tcPr>
            <w:tcW w:w="5954" w:type="dxa"/>
            <w:noWrap w:val="0"/>
            <w:vAlign w:val="center"/>
          </w:tcPr>
          <w:p>
            <w:pPr>
              <w:adjustRightInd w:val="0"/>
              <w:spacing w:line="360" w:lineRule="auto"/>
              <w:rPr>
                <w:rFonts w:ascii="宋体" w:hAnsi="宋体" w:cs="宋体"/>
                <w:szCs w:val="21"/>
                <w:u w:val="single"/>
              </w:rPr>
            </w:pPr>
            <w:r>
              <w:rPr>
                <w:rFonts w:hint="eastAsia" w:ascii="宋体" w:hAnsi="宋体" w:cs="宋体"/>
                <w:szCs w:val="21"/>
                <w:u w:val="singl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959" w:type="dxa"/>
            <w:vMerge w:val="restart"/>
            <w:noWrap w:val="0"/>
            <w:vAlign w:val="center"/>
          </w:tcPr>
          <w:p>
            <w:pPr>
              <w:adjustRightInd w:val="0"/>
              <w:spacing w:line="360" w:lineRule="auto"/>
              <w:jc w:val="center"/>
              <w:rPr>
                <w:rFonts w:ascii="宋体" w:hAnsi="宋体" w:cs="宋体"/>
                <w:szCs w:val="21"/>
              </w:rPr>
            </w:pPr>
            <w:r>
              <w:rPr>
                <w:rFonts w:hint="eastAsia" w:ascii="宋体" w:hAnsi="宋体" w:cs="宋体"/>
                <w:szCs w:val="21"/>
              </w:rPr>
              <w:t>2.3.2</w:t>
            </w:r>
          </w:p>
        </w:tc>
        <w:tc>
          <w:tcPr>
            <w:tcW w:w="3118" w:type="dxa"/>
            <w:vMerge w:val="restart"/>
            <w:noWrap w:val="0"/>
            <w:vAlign w:val="center"/>
          </w:tcPr>
          <w:p>
            <w:pPr>
              <w:adjustRightInd w:val="0"/>
              <w:spacing w:line="360" w:lineRule="auto"/>
              <w:jc w:val="center"/>
              <w:rPr>
                <w:rFonts w:ascii="宋体" w:hAnsi="宋体" w:cs="宋体"/>
                <w:szCs w:val="21"/>
              </w:rPr>
            </w:pPr>
            <w:r>
              <w:rPr>
                <w:rFonts w:hint="eastAsia" w:ascii="宋体" w:hAnsi="宋体" w:cs="宋体"/>
                <w:szCs w:val="21"/>
              </w:rPr>
              <w:t>投标人确认收到招标文件修改</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4" w:hRule="atLeast"/>
          <w:jc w:val="center"/>
        </w:trPr>
        <w:tc>
          <w:tcPr>
            <w:tcW w:w="959" w:type="dxa"/>
            <w:vMerge w:val="continue"/>
            <w:noWrap w:val="0"/>
            <w:vAlign w:val="center"/>
          </w:tcPr>
          <w:p>
            <w:pPr>
              <w:keepNext/>
              <w:keepLines/>
              <w:adjustRightInd w:val="0"/>
              <w:spacing w:line="360" w:lineRule="auto"/>
              <w:jc w:val="center"/>
              <w:rPr>
                <w:rFonts w:ascii="宋体" w:hAnsi="宋体" w:cs="宋体"/>
                <w:szCs w:val="21"/>
              </w:rPr>
            </w:pPr>
          </w:p>
        </w:tc>
        <w:tc>
          <w:tcPr>
            <w:tcW w:w="3118" w:type="dxa"/>
            <w:vMerge w:val="continue"/>
            <w:noWrap w:val="0"/>
            <w:vAlign w:val="center"/>
          </w:tcPr>
          <w:p>
            <w:pPr>
              <w:keepNext/>
              <w:keepLines/>
              <w:adjustRightInd w:val="0"/>
              <w:spacing w:line="360" w:lineRule="auto"/>
              <w:jc w:val="center"/>
              <w:rPr>
                <w:rFonts w:ascii="宋体" w:hAnsi="宋体" w:cs="宋体"/>
                <w:szCs w:val="21"/>
              </w:rPr>
            </w:pP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形式：</w:t>
            </w:r>
            <w:r>
              <w:rPr>
                <w:rFonts w:hint="eastAsia" w:ascii="宋体" w:hAnsi="宋体" w:cs="宋体"/>
                <w:szCs w:val="21"/>
                <w:u w:val="single"/>
              </w:rPr>
              <w:t>招标文件修改一经在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3.1.1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构成投标文件的其他资料</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3.2.1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增值税税金的计算方法</w:t>
            </w:r>
          </w:p>
        </w:tc>
        <w:tc>
          <w:tcPr>
            <w:tcW w:w="5954" w:type="dxa"/>
            <w:noWrap w:val="0"/>
            <w:vAlign w:val="center"/>
          </w:tcPr>
          <w:p>
            <w:pPr>
              <w:adjustRightInd w:val="0"/>
              <w:spacing w:line="360" w:lineRule="auto"/>
              <w:rPr>
                <w:rFonts w:ascii="宋体" w:hAnsi="宋体" w:cs="宋体"/>
                <w:szCs w:val="21"/>
                <w:u w:val="single"/>
              </w:rPr>
            </w:pPr>
            <w:r>
              <w:rPr>
                <w:rFonts w:hint="eastAsia" w:ascii="宋体" w:hAnsi="宋体" w:cs="宋体"/>
                <w:szCs w:val="21"/>
                <w:u w:val="single"/>
              </w:rPr>
              <w:t>按国家税务机关的规定执行。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3.2.3</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报价方式</w:t>
            </w:r>
          </w:p>
        </w:tc>
        <w:tc>
          <w:tcPr>
            <w:tcW w:w="5954" w:type="dxa"/>
            <w:noWrap w:val="0"/>
            <w:vAlign w:val="center"/>
          </w:tcPr>
          <w:p>
            <w:pPr>
              <w:adjustRightInd w:val="0"/>
              <w:spacing w:line="360" w:lineRule="auto"/>
              <w:rPr>
                <w:rFonts w:hint="eastAsia" w:ascii="宋体" w:hAnsi="宋体" w:cs="宋体"/>
                <w:szCs w:val="21"/>
                <w:u w:val="single"/>
              </w:rPr>
            </w:pPr>
            <w:r>
              <w:rPr>
                <w:rFonts w:hint="eastAsia" w:ascii="宋体" w:hAnsi="宋体" w:cs="宋体"/>
                <w:szCs w:val="21"/>
                <w:u w:val="single"/>
              </w:rPr>
              <w:t xml:space="preserve">自行报价（以“元”为单位，精确到小数位后2位）。 </w:t>
            </w:r>
          </w:p>
          <w:p>
            <w:pPr>
              <w:adjustRightInd w:val="0"/>
              <w:spacing w:line="360" w:lineRule="auto"/>
              <w:rPr>
                <w:rFonts w:ascii="宋体" w:hAnsi="宋体" w:cs="宋体"/>
                <w:szCs w:val="21"/>
              </w:rPr>
            </w:pPr>
            <w:r>
              <w:rPr>
                <w:rFonts w:hint="eastAsia" w:ascii="宋体" w:hAnsi="宋体" w:cs="宋体"/>
                <w:szCs w:val="21"/>
                <w:u w:val="single"/>
              </w:rPr>
              <w:t>注：投标报价包括但不限于人工费、材料费、设备使用费、设备进出场费、检测监测费和损坏修复费（并且包括在建筑物全过程中检测频率不得少于设计文件和规范要求所规定的频率）、检测试验费、检测和监测过程中的安全措施费、机械使用费、报告编写费、各项管理费、中标人所有因工程质量检测应交纳的政府规费、利润、税金、风险费用等，不论实际费用有无发生，亦不论各项费用有无涨落，均不再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3.2.4</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最高投标限价</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□无</w:t>
            </w:r>
          </w:p>
          <w:p>
            <w:pPr>
              <w:adjustRightInd w:val="0"/>
              <w:spacing w:line="360" w:lineRule="auto"/>
              <w:rPr>
                <w:rFonts w:hint="eastAsia" w:ascii="宋体" w:hAnsi="宋体" w:cs="宋体"/>
                <w:szCs w:val="21"/>
              </w:rPr>
            </w:pPr>
            <w:r>
              <w:rPr>
                <w:rFonts w:hint="eastAsia" w:ascii="宋体" w:hAnsi="宋体" w:cs="宋体"/>
                <w:szCs w:val="21"/>
              </w:rPr>
              <w:t>■有，最高投标限价（总价）：</w:t>
            </w:r>
            <w:r>
              <w:rPr>
                <w:rFonts w:hint="eastAsia" w:ascii="宋体" w:hAnsi="宋体"/>
                <w:szCs w:val="21"/>
                <w:highlight w:val="none"/>
                <w:u w:val="single"/>
              </w:rPr>
              <w:t>人民币</w:t>
            </w:r>
            <w:r>
              <w:rPr>
                <w:rFonts w:hint="eastAsia" w:ascii="宋体" w:hAnsi="宋体"/>
                <w:szCs w:val="21"/>
                <w:highlight w:val="none"/>
                <w:u w:val="single"/>
                <w:lang w:val="en-US" w:eastAsia="zh-CN"/>
              </w:rPr>
              <w:t>8414911.04</w:t>
            </w:r>
            <w:r>
              <w:rPr>
                <w:rFonts w:hint="eastAsia" w:ascii="宋体" w:hAnsi="宋体" w:cs="宋体"/>
                <w:szCs w:val="21"/>
                <w:highlight w:val="none"/>
              </w:rPr>
              <w:t>元</w:t>
            </w:r>
            <w:r>
              <w:rPr>
                <w:rFonts w:hint="eastAsia" w:ascii="宋体" w:hAnsi="宋体" w:cs="宋体"/>
                <w:szCs w:val="21"/>
              </w:rPr>
              <w:t>（其中暂列金为</w:t>
            </w:r>
            <w:r>
              <w:rPr>
                <w:rFonts w:hint="eastAsia" w:ascii="宋体" w:hAnsi="宋体" w:cs="宋体"/>
                <w:szCs w:val="21"/>
                <w:lang w:eastAsia="zh-CN"/>
              </w:rPr>
              <w:t>7</w:t>
            </w:r>
            <w:r>
              <w:rPr>
                <w:rFonts w:hint="eastAsia" w:ascii="宋体" w:hAnsi="宋体" w:cs="宋体"/>
                <w:szCs w:val="21"/>
                <w:lang w:val="en-US" w:eastAsia="zh-CN"/>
              </w:rPr>
              <w:t>64991.91</w:t>
            </w:r>
            <w:r>
              <w:rPr>
                <w:rFonts w:hint="eastAsia" w:ascii="宋体" w:hAnsi="宋体" w:cs="宋体"/>
                <w:szCs w:val="21"/>
              </w:rPr>
              <w:t>元）（招标控制单价详见招标文件），投标报价超过最高投标限价的投标文件将被拒绝。</w:t>
            </w:r>
          </w:p>
          <w:p>
            <w:pPr>
              <w:adjustRightInd w:val="0"/>
              <w:spacing w:line="360" w:lineRule="auto"/>
              <w:rPr>
                <w:rFonts w:ascii="宋体" w:hAnsi="宋体" w:cs="宋体"/>
                <w:szCs w:val="21"/>
              </w:rPr>
            </w:pPr>
            <w:r>
              <w:rPr>
                <w:rFonts w:hint="eastAsia" w:ascii="宋体" w:hAnsi="宋体" w:cs="宋体"/>
                <w:szCs w:val="21"/>
              </w:rPr>
              <w:t>其中工程量清单的综合单价详见清单文件（投标人在最高投标限价及工程量清单中的单价限价以内（含本数）自行填报，超出最高投标限价及工程量清单中的单价限价的报价作否决投标处理）。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3.2.5</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投标报价的其他要求</w:t>
            </w:r>
          </w:p>
        </w:tc>
        <w:tc>
          <w:tcPr>
            <w:tcW w:w="5954" w:type="dxa"/>
            <w:noWrap w:val="0"/>
            <w:vAlign w:val="center"/>
          </w:tcPr>
          <w:p>
            <w:pPr>
              <w:adjustRightInd w:val="0"/>
              <w:spacing w:line="360" w:lineRule="auto"/>
              <w:rPr>
                <w:rFonts w:hint="eastAsia" w:ascii="宋体" w:hAnsi="宋体" w:cs="宋体"/>
                <w:szCs w:val="21"/>
              </w:rPr>
            </w:pPr>
            <w:r>
              <w:rPr>
                <w:rFonts w:hint="eastAsia" w:ascii="宋体" w:hAnsi="宋体" w:cs="宋体"/>
                <w:szCs w:val="21"/>
              </w:rPr>
              <w:t>1.投标总报价不能超过招标人公布的最高投标限价（且单价报价不能超过工程量清单中相对应的单价限价），否则报价无效，投标文件将被否决。</w:t>
            </w:r>
          </w:p>
          <w:p>
            <w:pPr>
              <w:adjustRightInd w:val="0"/>
              <w:spacing w:line="360" w:lineRule="auto"/>
              <w:rPr>
                <w:rFonts w:hint="eastAsia" w:ascii="宋体" w:hAnsi="宋体" w:cs="宋体"/>
                <w:szCs w:val="21"/>
              </w:rPr>
            </w:pPr>
            <w:r>
              <w:rPr>
                <w:rFonts w:hint="eastAsia" w:ascii="宋体" w:hAnsi="宋体" w:cs="宋体"/>
                <w:szCs w:val="21"/>
              </w:rPr>
              <w:t>2.本次招标的检测范围为本招标文件规定的全部服务范围，并以投标人提交的工程量清单中的单价和合价为基础。</w:t>
            </w:r>
          </w:p>
          <w:p>
            <w:pPr>
              <w:adjustRightInd w:val="0"/>
              <w:spacing w:line="360" w:lineRule="auto"/>
              <w:rPr>
                <w:rFonts w:hint="eastAsia" w:ascii="宋体" w:hAnsi="宋体" w:cs="宋体"/>
                <w:szCs w:val="21"/>
              </w:rPr>
            </w:pPr>
            <w:r>
              <w:rPr>
                <w:rFonts w:hint="eastAsia" w:ascii="宋体" w:hAnsi="宋体" w:cs="宋体"/>
                <w:szCs w:val="21"/>
              </w:rPr>
              <w:t>3.相同的单价包干项目以及相同的合价包干项目单价必须相同。</w:t>
            </w:r>
          </w:p>
          <w:p>
            <w:pPr>
              <w:adjustRightInd w:val="0"/>
              <w:spacing w:line="360" w:lineRule="auto"/>
              <w:rPr>
                <w:rFonts w:hint="eastAsia" w:ascii="宋体" w:hAnsi="宋体" w:cs="宋体"/>
                <w:szCs w:val="21"/>
              </w:rPr>
            </w:pPr>
            <w:r>
              <w:rPr>
                <w:rFonts w:hint="eastAsia" w:ascii="宋体" w:hAnsi="宋体" w:cs="宋体"/>
                <w:szCs w:val="21"/>
              </w:rPr>
              <w:t>4.投标人报价应包含本项目实施应缴纳的一切税费及办理相关证件、手续的一切费用。</w:t>
            </w:r>
          </w:p>
          <w:p>
            <w:pPr>
              <w:adjustRightInd w:val="0"/>
              <w:spacing w:line="360" w:lineRule="auto"/>
              <w:rPr>
                <w:rFonts w:hint="eastAsia" w:ascii="宋体" w:hAnsi="宋体" w:cs="宋体"/>
                <w:szCs w:val="21"/>
              </w:rPr>
            </w:pPr>
            <w:r>
              <w:rPr>
                <w:rFonts w:hint="eastAsia" w:ascii="宋体" w:hAnsi="宋体" w:cs="宋体"/>
                <w:szCs w:val="21"/>
              </w:rPr>
              <w:t>5.除合同另有规定调整外，投标人所报的单价和合价在合同实施期间不因价格变动而调整。</w:t>
            </w:r>
          </w:p>
          <w:p>
            <w:pPr>
              <w:adjustRightInd w:val="0"/>
              <w:spacing w:line="360" w:lineRule="auto"/>
              <w:rPr>
                <w:rFonts w:hint="eastAsia" w:ascii="宋体" w:hAnsi="宋体" w:cs="宋体"/>
                <w:szCs w:val="21"/>
              </w:rPr>
            </w:pPr>
            <w:r>
              <w:rPr>
                <w:rFonts w:hint="eastAsia" w:ascii="宋体" w:hAnsi="宋体" w:cs="宋体"/>
                <w:szCs w:val="21"/>
              </w:rPr>
              <w:t>6.投标文件的单价和合价全部用人民币(元)表示。</w:t>
            </w:r>
          </w:p>
          <w:p>
            <w:pPr>
              <w:adjustRightInd w:val="0"/>
              <w:spacing w:line="360" w:lineRule="auto"/>
              <w:rPr>
                <w:rFonts w:hint="eastAsia" w:ascii="宋体" w:hAnsi="宋体" w:cs="宋体"/>
                <w:szCs w:val="21"/>
              </w:rPr>
            </w:pPr>
            <w:r>
              <w:rPr>
                <w:rFonts w:hint="eastAsia" w:ascii="宋体" w:hAnsi="宋体" w:cs="宋体"/>
                <w:szCs w:val="21"/>
              </w:rPr>
              <w:t>7.投标人应填写工程量清单中所述的所有项目的单价和总价，投标人没有填入单价或合价的项目，招标人将不予支付，并认为此项目费用已包含在工程量清单的其它单价或合价之中。</w:t>
            </w:r>
          </w:p>
          <w:p>
            <w:pPr>
              <w:adjustRightInd w:val="0"/>
              <w:spacing w:line="360" w:lineRule="auto"/>
              <w:rPr>
                <w:rFonts w:hint="eastAsia" w:ascii="宋体" w:hAnsi="宋体" w:cs="宋体"/>
                <w:szCs w:val="21"/>
              </w:rPr>
            </w:pPr>
            <w:r>
              <w:rPr>
                <w:rFonts w:hint="eastAsia" w:ascii="宋体" w:hAnsi="宋体" w:cs="宋体"/>
                <w:szCs w:val="21"/>
              </w:rPr>
              <w:t>8.投标书的报价应与工程量清单总价一致。</w:t>
            </w:r>
          </w:p>
          <w:p>
            <w:pPr>
              <w:adjustRightInd w:val="0"/>
              <w:spacing w:line="360" w:lineRule="auto"/>
              <w:rPr>
                <w:rFonts w:ascii="宋体" w:hAnsi="宋体"/>
                <w:szCs w:val="21"/>
              </w:rPr>
            </w:pPr>
            <w:r>
              <w:rPr>
                <w:rFonts w:hint="eastAsia" w:ascii="宋体" w:hAnsi="宋体" w:cs="宋体"/>
                <w:szCs w:val="21"/>
              </w:rPr>
              <w:t>9.投标报价应包含第三方检测单位在工程实施中往返工地的交通费用，需配备交通车辆一台以上以满足工作需要。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3.3.1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投标有效期</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u w:val="single"/>
              </w:rPr>
              <w:t>120</w:t>
            </w:r>
            <w:r>
              <w:rPr>
                <w:rFonts w:hint="eastAsia" w:ascii="宋体" w:hAnsi="宋体" w:cs="宋体"/>
                <w:szCs w:val="21"/>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3.4.1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投标保证金</w:t>
            </w:r>
          </w:p>
        </w:tc>
        <w:tc>
          <w:tcPr>
            <w:tcW w:w="5954" w:type="dxa"/>
            <w:noWrap w:val="0"/>
            <w:vAlign w:val="center"/>
          </w:tcPr>
          <w:p>
            <w:pPr>
              <w:pStyle w:val="17"/>
              <w:topLinePunct/>
              <w:adjustRightInd w:val="0"/>
              <w:spacing w:line="360" w:lineRule="auto"/>
              <w:rPr>
                <w:rFonts w:hAnsi="宋体" w:cs="宋体"/>
                <w:sz w:val="21"/>
                <w:szCs w:val="21"/>
              </w:rPr>
            </w:pPr>
            <w:r>
              <w:rPr>
                <w:rFonts w:hint="eastAsia" w:hAnsi="宋体" w:cs="宋体"/>
                <w:sz w:val="21"/>
                <w:szCs w:val="21"/>
              </w:rPr>
              <w:t>是否要求投标人递交投标保证金：</w:t>
            </w:r>
          </w:p>
          <w:p>
            <w:pPr>
              <w:pStyle w:val="17"/>
              <w:topLinePunct/>
              <w:adjustRightInd w:val="0"/>
              <w:spacing w:line="360" w:lineRule="auto"/>
              <w:rPr>
                <w:rFonts w:hAnsi="宋体" w:cs="宋体"/>
                <w:sz w:val="21"/>
                <w:szCs w:val="21"/>
              </w:rPr>
            </w:pPr>
            <w:r>
              <w:rPr>
                <w:rFonts w:hint="eastAsia" w:hAnsi="宋体" w:cs="宋体"/>
                <w:b/>
                <w:sz w:val="21"/>
                <w:szCs w:val="21"/>
              </w:rPr>
              <w:t>■</w:t>
            </w:r>
            <w:r>
              <w:rPr>
                <w:rFonts w:hint="eastAsia" w:hAnsi="宋体" w:cs="宋体"/>
                <w:sz w:val="21"/>
                <w:szCs w:val="21"/>
              </w:rPr>
              <w:t>不要求</w:t>
            </w:r>
          </w:p>
          <w:p>
            <w:pPr>
              <w:pStyle w:val="17"/>
              <w:topLinePunct/>
              <w:adjustRightInd w:val="0"/>
              <w:spacing w:line="360" w:lineRule="auto"/>
              <w:rPr>
                <w:rFonts w:hAnsi="宋体" w:cs="宋体"/>
                <w:sz w:val="21"/>
                <w:szCs w:val="21"/>
              </w:rPr>
            </w:pPr>
            <w:r>
              <w:rPr>
                <w:rFonts w:hint="eastAsia" w:hAnsi="宋体" w:cs="宋体"/>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3.4.4</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其他可以不予退还投标保证金的情形</w:t>
            </w:r>
          </w:p>
        </w:tc>
        <w:tc>
          <w:tcPr>
            <w:tcW w:w="5954" w:type="dxa"/>
            <w:noWrap w:val="0"/>
            <w:vAlign w:val="center"/>
          </w:tcPr>
          <w:p>
            <w:pPr>
              <w:adjustRightInd w:val="0"/>
              <w:spacing w:line="360" w:lineRule="auto"/>
              <w:rPr>
                <w:rFonts w:ascii="宋体" w:hAnsi="宋体" w:cs="宋体"/>
                <w:szCs w:val="21"/>
                <w:u w:val="single"/>
              </w:rPr>
            </w:pP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3.5</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资格审查资料的特殊要求</w:t>
            </w:r>
          </w:p>
        </w:tc>
        <w:tc>
          <w:tcPr>
            <w:tcW w:w="5954" w:type="dxa"/>
            <w:noWrap w:val="0"/>
            <w:vAlign w:val="center"/>
          </w:tcPr>
          <w:p>
            <w:pPr>
              <w:pStyle w:val="17"/>
              <w:topLinePunct/>
              <w:adjustRightInd w:val="0"/>
              <w:spacing w:line="360" w:lineRule="auto"/>
              <w:rPr>
                <w:rFonts w:hAnsi="宋体" w:cs="宋体"/>
                <w:sz w:val="21"/>
                <w:szCs w:val="21"/>
              </w:rPr>
            </w:pPr>
            <w:r>
              <w:rPr>
                <w:rFonts w:hint="eastAsia" w:hAnsi="宋体" w:cs="宋体"/>
                <w:sz w:val="21"/>
                <w:szCs w:val="21"/>
              </w:rPr>
              <w:t>□无</w:t>
            </w:r>
          </w:p>
          <w:p>
            <w:pPr>
              <w:pStyle w:val="17"/>
              <w:topLinePunct/>
              <w:adjustRightInd w:val="0"/>
              <w:spacing w:line="360" w:lineRule="auto"/>
              <w:rPr>
                <w:rFonts w:hAnsi="宋体" w:cs="宋体"/>
                <w:sz w:val="21"/>
                <w:szCs w:val="21"/>
              </w:rPr>
            </w:pPr>
            <w:r>
              <w:rPr>
                <w:rFonts w:hint="eastAsia" w:hAnsi="宋体" w:cs="宋体"/>
                <w:sz w:val="21"/>
                <w:szCs w:val="21"/>
              </w:rPr>
              <w:t>■有，具体要求：</w:t>
            </w:r>
          </w:p>
          <w:p>
            <w:pPr>
              <w:pStyle w:val="17"/>
              <w:topLinePunct/>
              <w:adjustRightInd w:val="0"/>
              <w:spacing w:line="360" w:lineRule="auto"/>
              <w:rPr>
                <w:rFonts w:hAnsi="宋体" w:cs="宋体"/>
                <w:sz w:val="21"/>
                <w:szCs w:val="21"/>
              </w:rPr>
            </w:pPr>
            <w:r>
              <w:rPr>
                <w:rFonts w:hint="eastAsia" w:hAnsi="宋体" w:cs="宋体"/>
                <w:sz w:val="21"/>
                <w:szCs w:val="21"/>
              </w:rPr>
              <w:t>1、本招标项目不要求提供“近年财务状况表”、“近年发生的诉讼及仲裁情况”、“正在服务和新承接的项目情况表”，相关内容不作为资格审查内容；本招标项目要求提供的“近年完成的类似项目情况表”、“拟投入本项目的检测和监测人员一览表”、“拟投入本项目的主要人员简历表”、“拟投入本项目的主要检测和监测仪器设备一览表”资料，不作为资格审查内容，但（如有）需提供，仅作为投标人的评标（综合评分）资料进行考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3.5.2</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近年财务状况的年份要求</w:t>
            </w:r>
          </w:p>
        </w:tc>
        <w:tc>
          <w:tcPr>
            <w:tcW w:w="5954" w:type="dxa"/>
            <w:noWrap w:val="0"/>
            <w:vAlign w:val="center"/>
          </w:tcPr>
          <w:p>
            <w:pPr>
              <w:adjustRightInd w:val="0"/>
              <w:spacing w:line="360" w:lineRule="auto"/>
              <w:rPr>
                <w:rFonts w:ascii="宋体" w:hAnsi="宋体" w:cs="宋体"/>
                <w:szCs w:val="21"/>
                <w:u w:val="single"/>
              </w:rPr>
            </w:pP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3.5.3</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近年完成的类似项目情况的时间要求</w:t>
            </w:r>
          </w:p>
        </w:tc>
        <w:tc>
          <w:tcPr>
            <w:tcW w:w="5954" w:type="dxa"/>
            <w:noWrap w:val="0"/>
            <w:vAlign w:val="center"/>
          </w:tcPr>
          <w:p>
            <w:pPr>
              <w:adjustRightInd w:val="0"/>
              <w:spacing w:line="360" w:lineRule="auto"/>
              <w:rPr>
                <w:rFonts w:ascii="宋体" w:hAnsi="宋体" w:cs="宋体"/>
                <w:szCs w:val="21"/>
                <w:u w:val="single"/>
              </w:rPr>
            </w:pPr>
            <w:r>
              <w:rPr>
                <w:rFonts w:hint="eastAsia" w:ascii="宋体" w:hAnsi="宋体" w:cs="宋体"/>
                <w:szCs w:val="21"/>
                <w:u w:val="single"/>
              </w:rPr>
              <w:t xml:space="preserve"> / </w:t>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3.5.5</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近年发生的诉讼及仲裁情况的时间要求</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3.6.1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是否允许递交备选投标方案</w:t>
            </w:r>
          </w:p>
        </w:tc>
        <w:tc>
          <w:tcPr>
            <w:tcW w:w="5954" w:type="dxa"/>
            <w:noWrap w:val="0"/>
            <w:vAlign w:val="center"/>
          </w:tcPr>
          <w:p>
            <w:pPr>
              <w:pStyle w:val="17"/>
              <w:topLinePunct/>
              <w:adjustRightInd w:val="0"/>
              <w:spacing w:line="360" w:lineRule="auto"/>
              <w:rPr>
                <w:rFonts w:hAnsi="宋体" w:cs="宋体"/>
                <w:sz w:val="21"/>
                <w:szCs w:val="21"/>
              </w:rPr>
            </w:pPr>
            <w:r>
              <w:rPr>
                <w:rFonts w:hint="eastAsia" w:hAnsi="宋体" w:cs="宋体"/>
                <w:sz w:val="21"/>
                <w:szCs w:val="21"/>
              </w:rPr>
              <w:t>■不允许</w:t>
            </w:r>
          </w:p>
          <w:p>
            <w:pPr>
              <w:adjustRightInd w:val="0"/>
              <w:spacing w:line="360" w:lineRule="auto"/>
              <w:rPr>
                <w:rFonts w:ascii="宋体" w:hAnsi="宋体" w:cs="宋体"/>
                <w:szCs w:val="21"/>
              </w:rPr>
            </w:pPr>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3.7.3</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投标文件所附证书证件要求</w:t>
            </w:r>
          </w:p>
        </w:tc>
        <w:tc>
          <w:tcPr>
            <w:tcW w:w="5954" w:type="dxa"/>
            <w:noWrap w:val="0"/>
            <w:vAlign w:val="center"/>
          </w:tcPr>
          <w:p>
            <w:pPr>
              <w:pStyle w:val="17"/>
              <w:adjustRightInd w:val="0"/>
              <w:spacing w:line="360" w:lineRule="auto"/>
              <w:rPr>
                <w:rFonts w:hAnsi="宋体" w:cs="宋体"/>
                <w:sz w:val="21"/>
                <w:szCs w:val="21"/>
              </w:rPr>
            </w:pPr>
            <w:r>
              <w:rPr>
                <w:rFonts w:hint="eastAsia" w:hAnsi="宋体" w:cs="宋体"/>
                <w:sz w:val="21"/>
                <w:szCs w:val="21"/>
              </w:rPr>
              <w:t>证书证件需为清晰扫描件，并采用单位数字证书，按照招标文件要求在相应位置加盖电子印章。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3.7.3</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投标文件签字或盖章要求</w:t>
            </w:r>
          </w:p>
        </w:tc>
        <w:tc>
          <w:tcPr>
            <w:tcW w:w="5954" w:type="dxa"/>
            <w:noWrap w:val="0"/>
            <w:vAlign w:val="center"/>
          </w:tcPr>
          <w:p>
            <w:pPr>
              <w:pStyle w:val="17"/>
              <w:topLinePunct/>
              <w:adjustRightInd w:val="0"/>
              <w:spacing w:line="360" w:lineRule="auto"/>
              <w:rPr>
                <w:rFonts w:hAnsi="宋体" w:cs="宋体"/>
                <w:color w:val="000000"/>
                <w:sz w:val="21"/>
                <w:szCs w:val="21"/>
                <w:u w:val="single"/>
              </w:rPr>
            </w:pPr>
            <w:r>
              <w:rPr>
                <w:rFonts w:hint="eastAsia" w:hAnsi="宋体" w:cs="宋体"/>
                <w:color w:val="000000"/>
                <w:sz w:val="21"/>
                <w:szCs w:val="21"/>
                <w:u w:val="single"/>
              </w:rPr>
              <w:t>取消在招标文件中采用个人数字证书和加盖个人电子印章要求，投标文件中需个人签字或盖章的，应在线下完成后扫描上传。投标文件按招标文件要求加盖单位电子印章。具体操作详见附件《房屋建筑和市政基础设施工程全流程电子化项目专章》。</w:t>
            </w:r>
          </w:p>
          <w:p>
            <w:pPr>
              <w:pStyle w:val="17"/>
              <w:topLinePunct/>
              <w:adjustRightInd w:val="0"/>
              <w:spacing w:line="360" w:lineRule="auto"/>
              <w:rPr>
                <w:rFonts w:hAnsi="宋体" w:cs="宋体"/>
                <w:sz w:val="21"/>
                <w:szCs w:val="21"/>
                <w:u w:val="single"/>
              </w:rPr>
            </w:pPr>
            <w:r>
              <w:rPr>
                <w:rFonts w:hint="eastAsia" w:hAnsi="宋体" w:cs="仿宋_GB2312"/>
                <w:b/>
                <w:sz w:val="21"/>
                <w:szCs w:val="21"/>
                <w:u w:val="single"/>
              </w:rPr>
              <w:t>联合体投标时，除《投标人声明》、《联合体协议书》、《法定代表人身份证明或授权委托书》必须由联合体各方分别按要求进行签字、盖章外，投标文件封面及其他内容落款中的“投标人”、“投标人名称”、“承诺企业”应填写联合体各方的单位全称【格式为：(主)XXXX公司(成)XXXX公司】，由联合体主办方签字、盖章即可。电子签章由牵头人（主办方）进行签章即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4.1.1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投标文件加密要求</w:t>
            </w:r>
          </w:p>
        </w:tc>
        <w:tc>
          <w:tcPr>
            <w:tcW w:w="5954" w:type="dxa"/>
            <w:noWrap w:val="0"/>
            <w:vAlign w:val="center"/>
          </w:tcPr>
          <w:p>
            <w:pPr>
              <w:pStyle w:val="17"/>
              <w:topLinePunct/>
              <w:adjustRightInd w:val="0"/>
              <w:spacing w:line="360" w:lineRule="auto"/>
              <w:rPr>
                <w:rFonts w:hAnsi="宋体" w:cs="宋体"/>
                <w:sz w:val="21"/>
                <w:szCs w:val="21"/>
                <w:u w:val="single"/>
              </w:rPr>
            </w:pPr>
            <w:r>
              <w:rPr>
                <w:rFonts w:hint="eastAsia" w:hAnsi="宋体" w:cs="宋体"/>
                <w:sz w:val="21"/>
                <w:szCs w:val="21"/>
              </w:rPr>
              <w:t>网上递交的电子投标文件须进行加密。具体操作详见《房屋建筑和市政基础设施工程全流程电子化项目专章》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4.1.2</w:t>
            </w:r>
          </w:p>
        </w:tc>
        <w:tc>
          <w:tcPr>
            <w:tcW w:w="3118" w:type="dxa"/>
            <w:noWrap w:val="0"/>
            <w:vAlign w:val="center"/>
          </w:tcPr>
          <w:p>
            <w:pPr>
              <w:adjustRightInd w:val="0"/>
              <w:spacing w:line="360" w:lineRule="auto"/>
              <w:jc w:val="center"/>
              <w:rPr>
                <w:rFonts w:ascii="宋体" w:hAnsi="宋体" w:cs="宋体"/>
                <w:szCs w:val="21"/>
                <w:shd w:val="clear" w:color="FFFFFF" w:fill="D9D9D9"/>
              </w:rPr>
            </w:pPr>
            <w:r>
              <w:rPr>
                <w:rFonts w:hint="eastAsia" w:ascii="宋体" w:hAnsi="宋体" w:cs="宋体"/>
                <w:szCs w:val="21"/>
              </w:rPr>
              <w:t>封套上应载明的信息</w:t>
            </w:r>
          </w:p>
        </w:tc>
        <w:tc>
          <w:tcPr>
            <w:tcW w:w="5954" w:type="dxa"/>
            <w:noWrap w:val="0"/>
            <w:vAlign w:val="center"/>
          </w:tcPr>
          <w:p>
            <w:pPr>
              <w:pStyle w:val="17"/>
              <w:topLinePunct/>
              <w:adjustRightInd w:val="0"/>
              <w:spacing w:line="360" w:lineRule="auto"/>
              <w:rPr>
                <w:rFonts w:hAnsi="宋体" w:cs="宋体"/>
                <w:sz w:val="21"/>
                <w:szCs w:val="21"/>
              </w:rPr>
            </w:pPr>
            <w:r>
              <w:rPr>
                <w:rFonts w:hint="eastAsia" w:hAnsi="宋体" w:cs="宋体"/>
                <w:sz w:val="21"/>
                <w:szCs w:val="21"/>
              </w:rPr>
              <w:t>对递交的备用投标文件电子光盘要求封装。</w:t>
            </w:r>
          </w:p>
          <w:p>
            <w:pPr>
              <w:pStyle w:val="17"/>
              <w:topLinePunct/>
              <w:adjustRightInd w:val="0"/>
              <w:spacing w:line="360" w:lineRule="auto"/>
              <w:rPr>
                <w:rFonts w:hAnsi="宋体" w:cs="宋体"/>
                <w:sz w:val="21"/>
                <w:szCs w:val="21"/>
              </w:rPr>
            </w:pPr>
            <w:r>
              <w:rPr>
                <w:rFonts w:hint="eastAsia" w:hAnsi="宋体" w:cs="宋体"/>
                <w:sz w:val="21"/>
                <w:szCs w:val="21"/>
              </w:rPr>
              <w:t>招标人名称：广东省代建项目管理局</w:t>
            </w:r>
          </w:p>
          <w:p>
            <w:pPr>
              <w:pStyle w:val="17"/>
              <w:topLinePunct/>
              <w:adjustRightInd w:val="0"/>
              <w:spacing w:line="360" w:lineRule="auto"/>
              <w:rPr>
                <w:rFonts w:hAnsi="宋体" w:cs="宋体"/>
                <w:sz w:val="21"/>
                <w:szCs w:val="21"/>
              </w:rPr>
            </w:pPr>
            <w:r>
              <w:rPr>
                <w:rFonts w:hint="eastAsia" w:hAnsi="宋体" w:cs="宋体"/>
                <w:sz w:val="21"/>
                <w:szCs w:val="21"/>
              </w:rPr>
              <w:t>招标人地址：广州市天河区黄埔大道西108号</w:t>
            </w:r>
          </w:p>
          <w:p>
            <w:pPr>
              <w:pStyle w:val="17"/>
              <w:topLinePunct/>
              <w:adjustRightInd w:val="0"/>
              <w:spacing w:line="360" w:lineRule="auto"/>
              <w:rPr>
                <w:rFonts w:hAnsi="宋体" w:cs="宋体"/>
                <w:sz w:val="21"/>
                <w:szCs w:val="21"/>
              </w:rPr>
            </w:pPr>
            <w:r>
              <w:rPr>
                <w:rFonts w:hint="eastAsia" w:hAnsi="宋体" w:cs="宋体"/>
                <w:sz w:val="21"/>
                <w:szCs w:val="21"/>
                <w:u w:val="single"/>
                <w:lang w:eastAsia="zh-CN"/>
              </w:rPr>
              <w:t>广东省妇幼保健院（省儿童医院）儿科医疗科技楼建设工程项目第三方检测和监测服务</w:t>
            </w:r>
            <w:r>
              <w:rPr>
                <w:rFonts w:hint="eastAsia" w:hAnsi="宋体" w:cs="宋体"/>
                <w:sz w:val="21"/>
                <w:szCs w:val="21"/>
              </w:rPr>
              <w:t>投标文件</w:t>
            </w:r>
          </w:p>
          <w:p>
            <w:pPr>
              <w:pStyle w:val="17"/>
              <w:topLinePunct/>
              <w:adjustRightInd w:val="0"/>
              <w:spacing w:line="360" w:lineRule="auto"/>
              <w:rPr>
                <w:rFonts w:hAnsi="宋体" w:cs="宋体"/>
                <w:sz w:val="21"/>
                <w:szCs w:val="21"/>
              </w:rPr>
            </w:pPr>
            <w:r>
              <w:rPr>
                <w:rFonts w:hint="eastAsia" w:hAnsi="宋体" w:cs="宋体"/>
                <w:sz w:val="21"/>
                <w:szCs w:val="21"/>
              </w:rPr>
              <w:t>招标项目编号：</w:t>
            </w:r>
          </w:p>
          <w:p>
            <w:pPr>
              <w:pStyle w:val="17"/>
              <w:topLinePunct/>
              <w:adjustRightInd w:val="0"/>
              <w:spacing w:line="360" w:lineRule="auto"/>
              <w:rPr>
                <w:rFonts w:hAnsi="宋体" w:cs="宋体"/>
                <w:sz w:val="21"/>
                <w:szCs w:val="21"/>
              </w:rPr>
            </w:pPr>
            <w:r>
              <w:rPr>
                <w:rFonts w:hint="eastAsia" w:hAnsi="宋体" w:cs="宋体"/>
                <w:sz w:val="21"/>
                <w:szCs w:val="21"/>
              </w:rPr>
              <w:t>在</w:t>
            </w:r>
            <w:r>
              <w:rPr>
                <w:rFonts w:hint="eastAsia" w:hAnsi="宋体" w:cs="宋体"/>
                <w:sz w:val="21"/>
                <w:szCs w:val="21"/>
                <w:u w:val="single"/>
              </w:rPr>
              <w:t>202</w:t>
            </w:r>
            <w:r>
              <w:rPr>
                <w:rFonts w:hAnsi="宋体" w:cs="宋体"/>
                <w:sz w:val="21"/>
                <w:szCs w:val="21"/>
                <w:u w:val="single"/>
              </w:rPr>
              <w:t>3</w:t>
            </w:r>
            <w:r>
              <w:rPr>
                <w:rFonts w:hint="eastAsia" w:hAnsi="宋体" w:cs="宋体"/>
                <w:sz w:val="21"/>
                <w:szCs w:val="21"/>
              </w:rPr>
              <w:t>年</w:t>
            </w:r>
            <w:r>
              <w:rPr>
                <w:rFonts w:hint="eastAsia" w:hAnsi="宋体" w:cs="宋体"/>
                <w:sz w:val="21"/>
                <w:szCs w:val="21"/>
                <w:u w:val="single"/>
                <w:lang w:val="en-US" w:eastAsia="zh-CN"/>
              </w:rPr>
              <w:t xml:space="preserve">   </w:t>
            </w:r>
            <w:r>
              <w:rPr>
                <w:rFonts w:hint="eastAsia" w:hAnsi="宋体" w:cs="宋体"/>
                <w:sz w:val="21"/>
                <w:szCs w:val="21"/>
              </w:rPr>
              <w:t>月</w:t>
            </w:r>
            <w:r>
              <w:rPr>
                <w:rFonts w:hint="eastAsia" w:hAnsi="宋体" w:cs="宋体"/>
                <w:sz w:val="21"/>
                <w:szCs w:val="21"/>
                <w:u w:val="single"/>
                <w:lang w:val="en-US" w:eastAsia="zh-CN"/>
              </w:rPr>
              <w:t xml:space="preserve">   </w:t>
            </w:r>
            <w:r>
              <w:rPr>
                <w:rFonts w:hint="eastAsia" w:hAnsi="宋体" w:cs="宋体"/>
                <w:sz w:val="21"/>
                <w:szCs w:val="21"/>
              </w:rPr>
              <w:t>日</w:t>
            </w:r>
            <w:r>
              <w:rPr>
                <w:rFonts w:hint="eastAsia" w:hAnsi="宋体" w:cs="宋体"/>
                <w:sz w:val="21"/>
                <w:szCs w:val="21"/>
                <w:u w:val="single"/>
                <w:lang w:val="en-US" w:eastAsia="zh-CN"/>
              </w:rPr>
              <w:t xml:space="preserve">   </w:t>
            </w:r>
            <w:r>
              <w:rPr>
                <w:rFonts w:hint="eastAsia" w:hAnsi="宋体" w:cs="宋体"/>
                <w:sz w:val="21"/>
                <w:szCs w:val="21"/>
              </w:rPr>
              <w:t>时</w:t>
            </w:r>
            <w:r>
              <w:rPr>
                <w:rFonts w:hint="eastAsia" w:hAnsi="宋体" w:cs="宋体"/>
                <w:sz w:val="21"/>
                <w:szCs w:val="21"/>
                <w:u w:val="single"/>
                <w:lang w:val="en-US" w:eastAsia="zh-CN"/>
              </w:rPr>
              <w:t xml:space="preserve">   </w:t>
            </w:r>
            <w:r>
              <w:rPr>
                <w:rFonts w:hint="eastAsia" w:hAnsi="宋体" w:cs="宋体"/>
                <w:sz w:val="21"/>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4.2.1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投标截止时间</w:t>
            </w:r>
          </w:p>
        </w:tc>
        <w:tc>
          <w:tcPr>
            <w:tcW w:w="5954" w:type="dxa"/>
            <w:noWrap w:val="0"/>
            <w:vAlign w:val="center"/>
          </w:tcPr>
          <w:p>
            <w:pPr>
              <w:adjustRightInd w:val="0"/>
              <w:spacing w:line="360" w:lineRule="auto"/>
              <w:rPr>
                <w:rFonts w:ascii="宋体" w:hAnsi="宋体" w:cs="宋体"/>
                <w:szCs w:val="21"/>
                <w:u w:val="single"/>
              </w:rPr>
            </w:pPr>
            <w:r>
              <w:rPr>
                <w:rFonts w:hint="eastAsia" w:hAnsi="宋体" w:cs="宋体"/>
                <w:sz w:val="21"/>
                <w:szCs w:val="21"/>
                <w:u w:val="single"/>
              </w:rPr>
              <w:t>202</w:t>
            </w:r>
            <w:r>
              <w:rPr>
                <w:rFonts w:hAnsi="宋体" w:cs="宋体"/>
                <w:sz w:val="21"/>
                <w:szCs w:val="21"/>
                <w:u w:val="single"/>
              </w:rPr>
              <w:t>3</w:t>
            </w:r>
            <w:r>
              <w:rPr>
                <w:rFonts w:hint="eastAsia" w:hAnsi="宋体" w:cs="宋体"/>
                <w:sz w:val="21"/>
                <w:szCs w:val="21"/>
              </w:rPr>
              <w:t>年</w:t>
            </w:r>
            <w:r>
              <w:rPr>
                <w:rFonts w:hint="eastAsia" w:hAnsi="宋体" w:cs="宋体"/>
                <w:sz w:val="21"/>
                <w:szCs w:val="21"/>
                <w:u w:val="single"/>
                <w:lang w:val="en-US" w:eastAsia="zh-CN"/>
              </w:rPr>
              <w:t xml:space="preserve">   </w:t>
            </w:r>
            <w:r>
              <w:rPr>
                <w:rFonts w:hint="eastAsia" w:hAnsi="宋体" w:cs="宋体"/>
                <w:sz w:val="21"/>
                <w:szCs w:val="21"/>
              </w:rPr>
              <w:t>月</w:t>
            </w:r>
            <w:r>
              <w:rPr>
                <w:rFonts w:hint="eastAsia" w:hAnsi="宋体" w:cs="宋体"/>
                <w:sz w:val="21"/>
                <w:szCs w:val="21"/>
                <w:u w:val="single"/>
                <w:lang w:val="en-US" w:eastAsia="zh-CN"/>
              </w:rPr>
              <w:t xml:space="preserve">   </w:t>
            </w:r>
            <w:r>
              <w:rPr>
                <w:rFonts w:hint="eastAsia" w:hAnsi="宋体" w:cs="宋体"/>
                <w:sz w:val="21"/>
                <w:szCs w:val="21"/>
              </w:rPr>
              <w:t>日</w:t>
            </w:r>
            <w:r>
              <w:rPr>
                <w:rFonts w:hint="eastAsia" w:hAnsi="宋体" w:cs="宋体"/>
                <w:sz w:val="21"/>
                <w:szCs w:val="21"/>
                <w:u w:val="single"/>
                <w:lang w:val="en-US" w:eastAsia="zh-CN"/>
              </w:rPr>
              <w:t xml:space="preserve">   </w:t>
            </w:r>
            <w:r>
              <w:rPr>
                <w:rFonts w:hint="eastAsia" w:hAnsi="宋体" w:cs="宋体"/>
                <w:sz w:val="21"/>
                <w:szCs w:val="21"/>
              </w:rPr>
              <w:t>时</w:t>
            </w:r>
            <w:r>
              <w:rPr>
                <w:rFonts w:hint="eastAsia" w:hAnsi="宋体" w:cs="宋体"/>
                <w:sz w:val="21"/>
                <w:szCs w:val="21"/>
                <w:u w:val="single"/>
                <w:lang w:val="en-US" w:eastAsia="zh-CN"/>
              </w:rPr>
              <w:t xml:space="preserve">   </w:t>
            </w:r>
            <w:r>
              <w:rPr>
                <w:rFonts w:hint="eastAsia" w:hAnsi="宋体" w:cs="宋体"/>
                <w:sz w:val="21"/>
                <w:szCs w:val="21"/>
              </w:rPr>
              <w:t>分</w:t>
            </w:r>
            <w:r>
              <w:rPr>
                <w:rFonts w:hint="eastAsia" w:ascii="宋体" w:hAnsi="宋体" w:cs="宋体"/>
                <w:szCs w:val="21"/>
                <w:u w:val="none"/>
              </w:rPr>
              <w:t>（北京时间）</w:t>
            </w:r>
          </w:p>
          <w:p>
            <w:pPr>
              <w:adjustRightInd w:val="0"/>
              <w:spacing w:line="360" w:lineRule="auto"/>
              <w:rPr>
                <w:rFonts w:ascii="宋体" w:hAnsi="宋体" w:cs="宋体"/>
                <w:szCs w:val="21"/>
              </w:rPr>
            </w:pPr>
            <w:r>
              <w:rPr>
                <w:rFonts w:hint="eastAsia" w:ascii="宋体" w:hAnsi="宋体" w:cs="宋体"/>
                <w:szCs w:val="21"/>
                <w:u w:val="single"/>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4.2.2</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递交电子投标文件交易平台</w:t>
            </w:r>
          </w:p>
        </w:tc>
        <w:tc>
          <w:tcPr>
            <w:tcW w:w="5954" w:type="dxa"/>
            <w:noWrap w:val="0"/>
            <w:vAlign w:val="center"/>
          </w:tcPr>
          <w:p>
            <w:pPr>
              <w:adjustRightInd w:val="0"/>
              <w:spacing w:line="360" w:lineRule="auto"/>
              <w:rPr>
                <w:rFonts w:ascii="宋体" w:hAnsi="宋体" w:cs="宋体"/>
                <w:szCs w:val="21"/>
                <w:u w:val="single"/>
              </w:rPr>
            </w:pPr>
            <w:r>
              <w:rPr>
                <w:rFonts w:hint="eastAsia" w:ascii="宋体" w:hAnsi="宋体" w:cs="宋体"/>
                <w:szCs w:val="21"/>
                <w:u w:val="single"/>
              </w:rPr>
              <w:t>1.递交方式：网上递交投标文件</w:t>
            </w:r>
          </w:p>
          <w:p>
            <w:pPr>
              <w:adjustRightInd w:val="0"/>
              <w:spacing w:line="360" w:lineRule="auto"/>
              <w:rPr>
                <w:rFonts w:ascii="宋体" w:hAnsi="宋体" w:cs="宋体"/>
                <w:szCs w:val="21"/>
                <w:u w:val="single"/>
              </w:rPr>
            </w:pPr>
            <w:r>
              <w:rPr>
                <w:rFonts w:hint="eastAsia" w:ascii="宋体" w:hAnsi="宋体" w:cs="宋体"/>
                <w:szCs w:val="21"/>
                <w:u w:val="single"/>
              </w:rPr>
              <w:t>2.递交投标文件的起始时间：（详见广州公共资源交易中心网站信息）。</w:t>
            </w:r>
          </w:p>
          <w:p>
            <w:pPr>
              <w:adjustRightInd w:val="0"/>
              <w:spacing w:line="360" w:lineRule="auto"/>
              <w:rPr>
                <w:rFonts w:ascii="宋体" w:hAnsi="宋体" w:cs="宋体"/>
                <w:szCs w:val="21"/>
                <w:u w:val="single"/>
              </w:rPr>
            </w:pPr>
            <w:r>
              <w:rPr>
                <w:rFonts w:hint="eastAsia" w:ascii="宋体" w:hAnsi="宋体" w:cs="宋体"/>
                <w:szCs w:val="21"/>
                <w:u w:val="single"/>
              </w:rPr>
              <w:t>截止时间：（详见广州公共资源交易中心网站信息）</w:t>
            </w:r>
          </w:p>
          <w:p>
            <w:pPr>
              <w:adjustRightInd w:val="0"/>
              <w:spacing w:line="360" w:lineRule="auto"/>
              <w:rPr>
                <w:rFonts w:ascii="宋体" w:hAnsi="宋体" w:cs="宋体"/>
                <w:szCs w:val="21"/>
                <w:u w:val="single"/>
              </w:rPr>
            </w:pPr>
            <w:r>
              <w:rPr>
                <w:rFonts w:hint="eastAsia" w:ascii="宋体" w:hAnsi="宋体" w:cs="宋体"/>
                <w:szCs w:val="21"/>
                <w:u w:val="single"/>
              </w:rPr>
              <w:t>3.地点：广州公共资源交易中心网站。</w:t>
            </w:r>
          </w:p>
          <w:p>
            <w:pPr>
              <w:adjustRightInd w:val="0"/>
              <w:spacing w:line="360" w:lineRule="auto"/>
              <w:rPr>
                <w:rFonts w:ascii="宋体" w:hAnsi="宋体" w:cs="宋体"/>
                <w:szCs w:val="21"/>
              </w:rPr>
            </w:pPr>
            <w:r>
              <w:rPr>
                <w:rFonts w:hint="eastAsia" w:ascii="宋体" w:hAnsi="宋体" w:cs="宋体"/>
                <w:szCs w:val="21"/>
                <w:u w:val="single"/>
              </w:rPr>
              <w:t>4.上述时间及地点是否有改变，请密切留意招标答疑中的相关信息。也可登录广州公共资源交易中心网站首页，点击“服务指南”专栏中的“交易活动安排”，输入项目编号或项目名称查询最新信息。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4.2.3</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投标文件是否退还</w:t>
            </w:r>
          </w:p>
        </w:tc>
        <w:tc>
          <w:tcPr>
            <w:tcW w:w="5954" w:type="dxa"/>
            <w:noWrap w:val="0"/>
            <w:vAlign w:val="center"/>
          </w:tcPr>
          <w:p>
            <w:pPr>
              <w:pStyle w:val="17"/>
              <w:topLinePunct/>
              <w:adjustRightInd w:val="0"/>
              <w:spacing w:line="360" w:lineRule="auto"/>
              <w:rPr>
                <w:rFonts w:hAnsi="宋体" w:cs="宋体"/>
                <w:sz w:val="21"/>
                <w:szCs w:val="21"/>
              </w:rPr>
            </w:pPr>
            <w:r>
              <w:rPr>
                <w:rFonts w:hint="eastAsia" w:hAnsi="宋体" w:cs="宋体"/>
                <w:sz w:val="21"/>
                <w:szCs w:val="21"/>
              </w:rPr>
              <w:t>■否</w:t>
            </w:r>
          </w:p>
          <w:p>
            <w:pPr>
              <w:pStyle w:val="17"/>
              <w:topLinePunct/>
              <w:adjustRightInd w:val="0"/>
              <w:spacing w:line="360" w:lineRule="auto"/>
              <w:rPr>
                <w:rFonts w:hAnsi="宋体" w:cs="宋体"/>
                <w:sz w:val="21"/>
                <w:szCs w:val="21"/>
              </w:rPr>
            </w:pPr>
            <w:r>
              <w:rPr>
                <w:rFonts w:hint="eastAsia" w:hAnsi="宋体" w:cs="宋体"/>
                <w:sz w:val="21"/>
                <w:szCs w:val="21"/>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5.1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开标时间和地点</w:t>
            </w:r>
          </w:p>
        </w:tc>
        <w:tc>
          <w:tcPr>
            <w:tcW w:w="5954" w:type="dxa"/>
            <w:noWrap w:val="0"/>
            <w:vAlign w:val="center"/>
          </w:tcPr>
          <w:p>
            <w:pPr>
              <w:adjustRightInd w:val="0"/>
              <w:spacing w:line="360" w:lineRule="auto"/>
              <w:rPr>
                <w:rFonts w:ascii="宋体" w:hAnsi="宋体" w:cs="宋体"/>
                <w:szCs w:val="21"/>
                <w:u w:val="single"/>
              </w:rPr>
            </w:pPr>
            <w:r>
              <w:rPr>
                <w:rFonts w:hint="eastAsia" w:ascii="宋体" w:hAnsi="宋体" w:cs="宋体"/>
                <w:szCs w:val="21"/>
                <w:u w:val="single"/>
              </w:rPr>
              <w:t>本电子招投标项目在本章4.2.1项规定的投标截止时间（开标时间），在广州公共资源交易中心公开开标，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5.2</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开标程序</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电子招投标项目开标按下列程序进行：</w:t>
            </w:r>
          </w:p>
          <w:p>
            <w:pPr>
              <w:adjustRightInd w:val="0"/>
              <w:spacing w:line="360" w:lineRule="auto"/>
              <w:rPr>
                <w:rFonts w:ascii="宋体" w:hAnsi="宋体" w:cs="宋体"/>
                <w:szCs w:val="21"/>
                <w:u w:val="single"/>
              </w:rPr>
            </w:pPr>
            <w:r>
              <w:rPr>
                <w:rFonts w:hint="eastAsia" w:ascii="宋体" w:hAnsi="宋体" w:cs="宋体"/>
                <w:szCs w:val="21"/>
                <w:u w:val="single"/>
              </w:rPr>
              <w:t>5.2.1主持人按下列程序进行开标：</w:t>
            </w:r>
          </w:p>
          <w:p>
            <w:pPr>
              <w:adjustRightInd w:val="0"/>
              <w:spacing w:line="360" w:lineRule="auto"/>
              <w:rPr>
                <w:rFonts w:ascii="宋体" w:hAnsi="宋体" w:cs="宋体"/>
                <w:szCs w:val="21"/>
                <w:u w:val="single"/>
              </w:rPr>
            </w:pPr>
            <w:r>
              <w:rPr>
                <w:rFonts w:hint="eastAsia" w:ascii="宋体" w:hAnsi="宋体" w:cs="宋体"/>
                <w:szCs w:val="21"/>
                <w:u w:val="single"/>
              </w:rPr>
              <w:t>（1）宣布开标纪律；</w:t>
            </w:r>
          </w:p>
          <w:p>
            <w:pPr>
              <w:adjustRightInd w:val="0"/>
              <w:spacing w:line="360" w:lineRule="auto"/>
              <w:rPr>
                <w:rFonts w:ascii="宋体" w:hAnsi="宋体" w:cs="宋体"/>
                <w:szCs w:val="21"/>
                <w:u w:val="single"/>
              </w:rPr>
            </w:pPr>
            <w:r>
              <w:rPr>
                <w:rFonts w:hint="eastAsia" w:ascii="宋体" w:hAnsi="宋体" w:cs="宋体"/>
                <w:szCs w:val="21"/>
                <w:u w:val="single"/>
              </w:rPr>
              <w:t>（2）公布在投标截止时间前递交投标文件的投标人名称；</w:t>
            </w:r>
          </w:p>
          <w:p>
            <w:pPr>
              <w:adjustRightInd w:val="0"/>
              <w:spacing w:line="360" w:lineRule="auto"/>
              <w:rPr>
                <w:rFonts w:ascii="宋体" w:hAnsi="宋体" w:cs="宋体"/>
                <w:szCs w:val="21"/>
                <w:u w:val="single"/>
              </w:rPr>
            </w:pPr>
            <w:r>
              <w:rPr>
                <w:rFonts w:hint="eastAsia" w:ascii="宋体" w:hAnsi="宋体" w:cs="宋体"/>
                <w:szCs w:val="21"/>
                <w:u w:val="single"/>
              </w:rPr>
              <w:t>（3）宣布开标人、唱标人、记录人、监标人等有关人员姓名；</w:t>
            </w:r>
          </w:p>
          <w:p>
            <w:pPr>
              <w:adjustRightInd w:val="0"/>
              <w:spacing w:line="360" w:lineRule="auto"/>
              <w:rPr>
                <w:rFonts w:ascii="宋体" w:hAnsi="宋体" w:cs="宋体"/>
                <w:szCs w:val="21"/>
                <w:u w:val="single"/>
              </w:rPr>
            </w:pPr>
            <w:r>
              <w:rPr>
                <w:rFonts w:hint="eastAsia" w:ascii="宋体" w:hAnsi="宋体" w:cs="宋体"/>
                <w:szCs w:val="21"/>
                <w:u w:val="single"/>
              </w:rPr>
              <w:t>（4）投标人通过电子招标投标交易平台对已递交的电子投标文件进行解密，公布招标项目名称、投标人名称、投标</w:t>
            </w:r>
            <w:r>
              <w:rPr>
                <w:rFonts w:hint="eastAsia" w:ascii="宋体" w:hAnsi="宋体" w:cs="宋体"/>
                <w:szCs w:val="21"/>
                <w:u w:val="single"/>
                <w:lang w:val="en-US" w:eastAsia="zh-CN"/>
              </w:rPr>
              <w:t>总报价</w:t>
            </w:r>
            <w:r>
              <w:rPr>
                <w:rFonts w:hint="eastAsia" w:ascii="宋体" w:hAnsi="宋体" w:cs="宋体"/>
                <w:szCs w:val="21"/>
                <w:u w:val="single"/>
              </w:rPr>
              <w:t>、服务期限及其他内容，并记录在案；</w:t>
            </w:r>
          </w:p>
          <w:p>
            <w:pPr>
              <w:adjustRightInd w:val="0"/>
              <w:spacing w:line="360" w:lineRule="auto"/>
              <w:rPr>
                <w:rFonts w:ascii="宋体" w:hAnsi="宋体" w:cs="宋体"/>
                <w:szCs w:val="21"/>
                <w:u w:val="single"/>
              </w:rPr>
            </w:pPr>
            <w:r>
              <w:rPr>
                <w:rFonts w:hint="eastAsia" w:ascii="宋体" w:hAnsi="宋体" w:cs="宋体"/>
                <w:szCs w:val="21"/>
                <w:u w:val="single"/>
              </w:rPr>
              <w:t>（5）投标人代表、招标人代表、监标人、记录人等有关人员在开标记录上签字确认；若有关人员不签字的，不影响开标程序；</w:t>
            </w:r>
          </w:p>
          <w:p>
            <w:pPr>
              <w:adjustRightInd w:val="0"/>
              <w:spacing w:line="360" w:lineRule="auto"/>
              <w:rPr>
                <w:rFonts w:ascii="宋体" w:hAnsi="宋体" w:cs="宋体"/>
                <w:szCs w:val="21"/>
                <w:u w:val="single"/>
              </w:rPr>
            </w:pPr>
            <w:r>
              <w:rPr>
                <w:rFonts w:hint="eastAsia" w:ascii="宋体" w:hAnsi="宋体" w:cs="宋体"/>
                <w:szCs w:val="21"/>
                <w:u w:val="single"/>
              </w:rPr>
              <w:t>（6）开标结束。</w:t>
            </w:r>
          </w:p>
          <w:p>
            <w:pPr>
              <w:adjustRightInd w:val="0"/>
              <w:spacing w:line="360" w:lineRule="auto"/>
              <w:rPr>
                <w:rFonts w:ascii="宋体" w:hAnsi="宋体" w:cs="宋体"/>
                <w:szCs w:val="21"/>
                <w:u w:val="single"/>
              </w:rPr>
            </w:pPr>
            <w:r>
              <w:rPr>
                <w:rFonts w:hint="eastAsia" w:ascii="宋体" w:hAnsi="宋体" w:cs="宋体"/>
                <w:szCs w:val="21"/>
                <w:u w:val="single"/>
              </w:rPr>
              <w:t>5.2.2投标截止时间前未完成投标文件传输的或因投标人之外的原因造成投标文件未解密的且未递交电子光盘或递交的电子光盘不能读取的，视为投标人其撤回投标文件。因投标人原因造成投标文件未解密的或未在投标截止时间后半小时解密的，视为撤销其投标文件。</w:t>
            </w:r>
          </w:p>
          <w:p>
            <w:pPr>
              <w:adjustRightInd w:val="0"/>
              <w:spacing w:line="360" w:lineRule="auto"/>
              <w:rPr>
                <w:rFonts w:ascii="宋体" w:hAnsi="宋体" w:cs="宋体"/>
                <w:szCs w:val="21"/>
                <w:u w:val="single"/>
              </w:rPr>
            </w:pPr>
            <w:r>
              <w:rPr>
                <w:rFonts w:hint="eastAsia" w:ascii="宋体" w:hAnsi="宋体" w:cs="宋体"/>
                <w:szCs w:val="21"/>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6.1.1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评标委员会的组建</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评标委员会构成：</w:t>
            </w:r>
            <w:r>
              <w:rPr>
                <w:rFonts w:hint="eastAsia" w:ascii="宋体" w:hAnsi="宋体" w:cs="宋体"/>
                <w:szCs w:val="21"/>
                <w:u w:val="single"/>
                <w:lang w:val="en-US" w:eastAsia="zh-CN"/>
              </w:rPr>
              <w:t xml:space="preserve"> 7 </w:t>
            </w:r>
            <w:r>
              <w:rPr>
                <w:rFonts w:hint="eastAsia" w:ascii="宋体" w:hAnsi="宋体" w:cs="宋体"/>
                <w:szCs w:val="21"/>
              </w:rPr>
              <w:t>人；</w:t>
            </w:r>
          </w:p>
          <w:p>
            <w:pPr>
              <w:adjustRightInd w:val="0"/>
              <w:spacing w:line="360" w:lineRule="auto"/>
              <w:rPr>
                <w:rFonts w:ascii="宋体" w:hAnsi="宋体" w:cs="宋体"/>
                <w:szCs w:val="21"/>
              </w:rPr>
            </w:pPr>
            <w:r>
              <w:rPr>
                <w:rFonts w:hint="eastAsia" w:ascii="宋体" w:hAnsi="宋体" w:cs="宋体"/>
                <w:szCs w:val="21"/>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6.3.2</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评标委员会推荐中标候选人的人数</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推荐中标候选人：</w:t>
            </w:r>
            <w:r>
              <w:rPr>
                <w:rFonts w:hint="eastAsia" w:ascii="宋体" w:hAnsi="宋体" w:cs="宋体"/>
                <w:szCs w:val="21"/>
                <w:u w:val="single"/>
                <w:lang w:val="en-US" w:eastAsia="zh-CN"/>
              </w:rPr>
              <w:t xml:space="preserve"> 3 </w:t>
            </w:r>
            <w:r>
              <w:rPr>
                <w:rFonts w:hint="eastAsia" w:ascii="宋体" w:hAnsi="宋体" w:cs="宋体"/>
                <w:szCs w:val="21"/>
                <w:u w:val="none"/>
              </w:rPr>
              <w:t>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7.1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中标候选人公示媒介及期限</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公示媒介：</w:t>
            </w:r>
            <w:r>
              <w:rPr>
                <w:rFonts w:hint="eastAsia" w:ascii="宋体" w:hAnsi="宋体" w:cs="宋体"/>
                <w:szCs w:val="21"/>
                <w:u w:val="single"/>
              </w:rPr>
              <w:t>广州公共资源交易中心网站、广东省招标投标监管网、中国招标投标公共服务平台</w:t>
            </w:r>
          </w:p>
          <w:p>
            <w:pPr>
              <w:adjustRightInd w:val="0"/>
              <w:spacing w:line="360" w:lineRule="auto"/>
              <w:rPr>
                <w:rFonts w:ascii="宋体" w:hAnsi="宋体" w:cs="宋体"/>
                <w:szCs w:val="21"/>
              </w:rPr>
            </w:pPr>
            <w:r>
              <w:rPr>
                <w:rFonts w:hint="eastAsia" w:ascii="宋体" w:hAnsi="宋体" w:cs="宋体"/>
                <w:szCs w:val="21"/>
              </w:rPr>
              <w:t>公示期限：</w:t>
            </w:r>
            <w:r>
              <w:rPr>
                <w:rFonts w:hint="eastAsia" w:ascii="宋体" w:hAnsi="宋体" w:cs="宋体"/>
                <w:szCs w:val="21"/>
                <w:u w:val="single"/>
                <w:lang w:val="en-US" w:eastAsia="zh-CN"/>
              </w:rPr>
              <w:t xml:space="preserve"> 3 </w:t>
            </w:r>
            <w:r>
              <w:rPr>
                <w:rFonts w:hint="eastAsia" w:ascii="宋体" w:hAnsi="宋体" w:cs="宋体"/>
                <w:szCs w:val="21"/>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7.4</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是否授权评标委员会确定中标人</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□是</w:t>
            </w:r>
          </w:p>
          <w:p>
            <w:pPr>
              <w:adjustRightInd w:val="0"/>
              <w:spacing w:line="360" w:lineRule="auto"/>
              <w:rPr>
                <w:rFonts w:ascii="宋体" w:hAnsi="宋体" w:cs="宋体"/>
                <w:szCs w:val="21"/>
              </w:rPr>
            </w:pP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6"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7.6.1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履约保证金</w:t>
            </w:r>
          </w:p>
        </w:tc>
        <w:tc>
          <w:tcPr>
            <w:tcW w:w="5954" w:type="dxa"/>
            <w:noWrap w:val="0"/>
            <w:vAlign w:val="center"/>
          </w:tcPr>
          <w:p>
            <w:pPr>
              <w:pStyle w:val="17"/>
              <w:topLinePunct/>
              <w:adjustRightInd w:val="0"/>
              <w:spacing w:line="360" w:lineRule="auto"/>
              <w:rPr>
                <w:rFonts w:hAnsi="宋体" w:cs="宋体"/>
                <w:b/>
                <w:sz w:val="21"/>
                <w:szCs w:val="21"/>
              </w:rPr>
            </w:pPr>
            <w:r>
              <w:rPr>
                <w:rFonts w:hint="eastAsia" w:hAnsi="宋体" w:cs="宋体"/>
                <w:b/>
                <w:sz w:val="21"/>
                <w:szCs w:val="21"/>
              </w:rPr>
              <w:t>是否要求中标人提交履约保证金：</w:t>
            </w:r>
          </w:p>
          <w:p>
            <w:pPr>
              <w:pStyle w:val="17"/>
              <w:topLinePunct/>
              <w:adjustRightInd w:val="0"/>
              <w:spacing w:line="360" w:lineRule="auto"/>
              <w:rPr>
                <w:rFonts w:hAnsi="宋体" w:cs="宋体"/>
                <w:sz w:val="21"/>
                <w:szCs w:val="21"/>
              </w:rPr>
            </w:pPr>
            <w:r>
              <w:rPr>
                <w:rFonts w:hint="eastAsia" w:hAnsi="宋体" w:cs="宋体"/>
                <w:b/>
                <w:sz w:val="21"/>
                <w:szCs w:val="21"/>
              </w:rPr>
              <w:t>■要求，履约保证金的形式：</w:t>
            </w:r>
            <w:r>
              <w:rPr>
                <w:rFonts w:hint="eastAsia" w:hAnsi="宋体" w:cs="宋体"/>
                <w:sz w:val="21"/>
                <w:szCs w:val="21"/>
                <w:u w:val="single"/>
              </w:rPr>
              <w:t>《履约银行保函》</w:t>
            </w:r>
          </w:p>
          <w:p>
            <w:pPr>
              <w:adjustRightInd w:val="0"/>
              <w:spacing w:line="360" w:lineRule="auto"/>
              <w:rPr>
                <w:rFonts w:ascii="宋体" w:hAnsi="宋体" w:cs="宋体"/>
                <w:szCs w:val="21"/>
                <w:u w:val="single"/>
              </w:rPr>
            </w:pPr>
            <w:r>
              <w:rPr>
                <w:rFonts w:hint="eastAsia" w:ascii="宋体" w:hAnsi="宋体" w:cs="宋体"/>
                <w:b/>
                <w:szCs w:val="21"/>
              </w:rPr>
              <w:t>履约保证金的金额：</w:t>
            </w:r>
            <w:r>
              <w:rPr>
                <w:rFonts w:hint="eastAsia" w:ascii="宋体" w:hAnsi="宋体" w:cs="宋体"/>
                <w:szCs w:val="21"/>
                <w:u w:val="single"/>
              </w:rPr>
              <w:t>合同价款的10％</w:t>
            </w:r>
          </w:p>
          <w:p>
            <w:pPr>
              <w:pStyle w:val="17"/>
              <w:topLinePunct/>
              <w:adjustRightInd w:val="0"/>
              <w:spacing w:line="360" w:lineRule="auto"/>
              <w:rPr>
                <w:rFonts w:hAnsi="宋体" w:cs="宋体"/>
                <w:sz w:val="21"/>
                <w:szCs w:val="21"/>
              </w:rPr>
            </w:pPr>
            <w:r>
              <w:rPr>
                <w:rFonts w:hint="eastAsia" w:hAnsi="宋体" w:cs="宋体"/>
                <w:b/>
                <w:sz w:val="21"/>
                <w:szCs w:val="21"/>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9</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是否采用电子招标投标</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rPr>
              <w:t>□否</w:t>
            </w:r>
          </w:p>
          <w:p>
            <w:pPr>
              <w:adjustRightInd w:val="0"/>
              <w:spacing w:line="360" w:lineRule="auto"/>
              <w:rPr>
                <w:rFonts w:ascii="宋体" w:hAnsi="宋体" w:cs="宋体"/>
                <w:szCs w:val="21"/>
              </w:rPr>
            </w:pPr>
            <w:r>
              <w:rPr>
                <w:rFonts w:hint="eastAsia" w:ascii="宋体" w:hAnsi="宋体" w:cs="宋体"/>
                <w:szCs w:val="21"/>
              </w:rPr>
              <w:t>■是，具体要求：</w:t>
            </w:r>
          </w:p>
          <w:p>
            <w:pPr>
              <w:adjustRightInd w:val="0"/>
              <w:spacing w:line="360" w:lineRule="auto"/>
              <w:rPr>
                <w:rFonts w:ascii="宋体" w:hAnsi="宋体" w:cs="宋体"/>
                <w:szCs w:val="21"/>
                <w:u w:val="single"/>
              </w:rPr>
            </w:pPr>
            <w:r>
              <w:rPr>
                <w:rFonts w:hint="eastAsia" w:ascii="宋体" w:hAnsi="宋体" w:cs="宋体"/>
                <w:szCs w:val="21"/>
                <w:u w:val="single"/>
              </w:rPr>
              <w:t>1.具体操作详见附件《房屋建筑和市政基础设施工程全流程电子化项目专章》。</w:t>
            </w:r>
          </w:p>
          <w:p>
            <w:pPr>
              <w:adjustRightInd w:val="0"/>
              <w:spacing w:line="360" w:lineRule="auto"/>
              <w:rPr>
                <w:rFonts w:ascii="宋体" w:hAnsi="宋体" w:cs="宋体"/>
                <w:szCs w:val="21"/>
                <w:u w:val="single"/>
              </w:rPr>
            </w:pPr>
            <w:r>
              <w:rPr>
                <w:rFonts w:hint="eastAsia" w:ascii="宋体" w:hAnsi="宋体" w:cs="宋体"/>
                <w:szCs w:val="21"/>
                <w:u w:val="single"/>
              </w:rPr>
              <w:t>2.提交投标文件光盘备用</w:t>
            </w:r>
          </w:p>
          <w:p>
            <w:pPr>
              <w:adjustRightInd w:val="0"/>
              <w:spacing w:line="360" w:lineRule="auto"/>
              <w:rPr>
                <w:rFonts w:ascii="宋体" w:hAnsi="宋体" w:cs="宋体"/>
                <w:szCs w:val="21"/>
                <w:u w:val="single"/>
              </w:rPr>
            </w:pPr>
            <w:r>
              <w:rPr>
                <w:rFonts w:hint="eastAsia" w:ascii="宋体" w:hAnsi="宋体" w:cs="宋体"/>
                <w:szCs w:val="21"/>
                <w:u w:val="single"/>
              </w:rPr>
              <w:t>投标人可按《房屋建筑和市政基础设施工程全流程电子化项目专章》的操作方法制作的非加密的电子投标文件刻入光盘（1份），</w:t>
            </w:r>
            <w:r>
              <w:rPr>
                <w:rFonts w:hint="eastAsia" w:ascii="宋体" w:hAnsi="宋体" w:cs="宋体"/>
                <w:szCs w:val="21"/>
              </w:rPr>
              <w:t>在开标现场（投标截止时间前）</w:t>
            </w:r>
            <w:r>
              <w:rPr>
                <w:rFonts w:hint="eastAsia" w:ascii="宋体" w:hAnsi="宋体" w:cs="宋体"/>
                <w:szCs w:val="21"/>
                <w:u w:val="single"/>
              </w:rPr>
              <w:t>提交备用。刻录好的投标文件光盘密封在密封袋中，并在封口处加盖投标人单位公章。密封袋上应写明的内容见投标人须知前附表要求4.1.2。</w:t>
            </w:r>
          </w:p>
          <w:p>
            <w:pPr>
              <w:adjustRightInd w:val="0"/>
              <w:spacing w:line="360" w:lineRule="auto"/>
              <w:rPr>
                <w:rFonts w:ascii="宋体" w:hAnsi="宋体" w:cs="宋体"/>
                <w:szCs w:val="21"/>
                <w:u w:val="single"/>
              </w:rPr>
            </w:pPr>
            <w:r>
              <w:rPr>
                <w:rFonts w:hint="eastAsia" w:ascii="宋体" w:hAnsi="宋体" w:cs="宋体"/>
                <w:szCs w:val="21"/>
                <w:u w:val="single"/>
              </w:rPr>
              <w:t>现场递交的投标文件（光盘）不得加密。光盘（投标文件）无法读取或导入的，则视为未提交备用投标文件光盘。如果投标人没有按规定通过交易平台网上递交电子投标文件的，不再读取现场提交的光盘。投标人可选择不提交光盘备用。</w:t>
            </w:r>
          </w:p>
          <w:p>
            <w:pPr>
              <w:adjustRightInd w:val="0"/>
              <w:spacing w:line="360" w:lineRule="auto"/>
              <w:rPr>
                <w:rFonts w:ascii="宋体" w:hAnsi="宋体" w:cs="宋体"/>
                <w:szCs w:val="21"/>
                <w:u w:val="single"/>
              </w:rPr>
            </w:pPr>
            <w:r>
              <w:rPr>
                <w:rFonts w:hint="eastAsia" w:ascii="宋体" w:hAnsi="宋体" w:cs="宋体"/>
                <w:szCs w:val="21"/>
                <w:u w:val="single"/>
              </w:rPr>
              <w:t>3.补救方案</w:t>
            </w:r>
          </w:p>
          <w:p>
            <w:pPr>
              <w:adjustRightInd w:val="0"/>
              <w:spacing w:line="360" w:lineRule="auto"/>
              <w:rPr>
                <w:rFonts w:ascii="宋体" w:hAnsi="宋体" w:cs="宋体"/>
                <w:szCs w:val="21"/>
                <w:u w:val="single"/>
              </w:rPr>
            </w:pPr>
            <w:r>
              <w:rPr>
                <w:rFonts w:hint="eastAsia" w:ascii="宋体" w:hAnsi="宋体" w:cs="宋体"/>
                <w:szCs w:val="21"/>
                <w:u w:val="single"/>
              </w:rPr>
              <w:t>（1）投标文件解密失败的补救方案：</w:t>
            </w:r>
          </w:p>
          <w:p>
            <w:pPr>
              <w:adjustRightInd w:val="0"/>
              <w:spacing w:line="360" w:lineRule="auto"/>
              <w:rPr>
                <w:rFonts w:ascii="宋体" w:hAnsi="宋体" w:cs="宋体"/>
                <w:szCs w:val="21"/>
                <w:u w:val="single"/>
              </w:rPr>
            </w:pPr>
            <w:r>
              <w:rPr>
                <w:rFonts w:hint="eastAsia" w:ascii="宋体" w:hAnsi="宋体" w:cs="宋体"/>
                <w:szCs w:val="21"/>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pPr>
              <w:adjustRightInd w:val="0"/>
              <w:spacing w:line="360" w:lineRule="auto"/>
              <w:rPr>
                <w:rFonts w:ascii="宋体" w:hAnsi="宋体" w:cs="宋体"/>
                <w:szCs w:val="21"/>
                <w:u w:val="single"/>
              </w:rPr>
            </w:pPr>
            <w:r>
              <w:rPr>
                <w:rFonts w:hint="eastAsia" w:ascii="宋体" w:hAnsi="宋体" w:cs="宋体"/>
                <w:szCs w:val="21"/>
                <w:u w:val="single"/>
              </w:rPr>
              <w:t>（2）评标时突发情况的补救方案</w:t>
            </w:r>
          </w:p>
          <w:p>
            <w:pPr>
              <w:adjustRightInd w:val="0"/>
              <w:spacing w:line="360" w:lineRule="auto"/>
              <w:rPr>
                <w:rFonts w:ascii="宋体" w:hAnsi="宋体" w:cs="宋体"/>
                <w:szCs w:val="21"/>
                <w:u w:val="single"/>
              </w:rPr>
            </w:pPr>
            <w:r>
              <w:rPr>
                <w:rFonts w:hint="eastAsia" w:ascii="宋体" w:hAnsi="宋体" w:cs="宋体"/>
                <w:szCs w:val="21"/>
                <w:u w:val="single"/>
              </w:rPr>
              <w:t>若遇不可抗力发生（如：网络瘫痪、服务器损坏、交易系统故障短期无法恢复等因素），由评标委员会开启递交的全部投标文件光盘，并按光盘内容进行评审。</w:t>
            </w:r>
          </w:p>
          <w:p>
            <w:pPr>
              <w:adjustRightInd w:val="0"/>
              <w:spacing w:line="360" w:lineRule="auto"/>
              <w:rPr>
                <w:rFonts w:ascii="宋体" w:hAnsi="宋体" w:cs="宋体"/>
                <w:szCs w:val="21"/>
                <w:u w:val="single"/>
              </w:rPr>
            </w:pPr>
            <w:r>
              <w:rPr>
                <w:rFonts w:hint="eastAsia" w:ascii="宋体" w:hAnsi="宋体" w:cs="宋体"/>
                <w:szCs w:val="21"/>
                <w:u w:val="singl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10</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需要补充的其他内容</w:t>
            </w:r>
          </w:p>
        </w:tc>
        <w:tc>
          <w:tcPr>
            <w:tcW w:w="5954" w:type="dxa"/>
            <w:noWrap w:val="0"/>
            <w:vAlign w:val="center"/>
          </w:tcPr>
          <w:p>
            <w:pPr>
              <w:keepNext/>
              <w:keepLines/>
              <w:adjustRightInd w:val="0"/>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10.1</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特别提示</w:t>
            </w:r>
          </w:p>
        </w:tc>
        <w:tc>
          <w:tcPr>
            <w:tcW w:w="5954" w:type="dxa"/>
            <w:noWrap w:val="0"/>
            <w:vAlign w:val="center"/>
          </w:tcPr>
          <w:p>
            <w:pPr>
              <w:widowControl/>
              <w:adjustRightInd w:val="0"/>
              <w:spacing w:line="360" w:lineRule="auto"/>
              <w:rPr>
                <w:rFonts w:ascii="宋体" w:hAnsi="宋体" w:cs="宋体"/>
                <w:szCs w:val="21"/>
              </w:rPr>
            </w:pPr>
            <w:r>
              <w:rPr>
                <w:rFonts w:hint="eastAsia" w:ascii="宋体" w:hAnsi="宋体" w:cs="宋体"/>
                <w:szCs w:val="21"/>
              </w:rPr>
              <w:t>投标人在本项目招标人的工程项目中存在下列行为的，将被拒绝一年内参与我单位后续工程投标。（注：拒绝投标时限由招标人视严重程度确定，最低三个月起，自招标人发出通知之日起计）：</w:t>
            </w:r>
          </w:p>
          <w:p>
            <w:pPr>
              <w:widowControl/>
              <w:adjustRightInd w:val="0"/>
              <w:spacing w:line="360" w:lineRule="auto"/>
              <w:rPr>
                <w:rFonts w:ascii="宋体" w:hAnsi="宋体" w:cs="宋体"/>
                <w:szCs w:val="21"/>
              </w:rPr>
            </w:pPr>
            <w:r>
              <w:rPr>
                <w:rFonts w:hint="eastAsia" w:ascii="宋体" w:hAnsi="宋体" w:cs="宋体"/>
                <w:szCs w:val="21"/>
              </w:rPr>
              <w:t>1.将中标工程转包或者违法分包的；</w:t>
            </w:r>
          </w:p>
          <w:p>
            <w:pPr>
              <w:widowControl/>
              <w:adjustRightInd w:val="0"/>
              <w:spacing w:line="360" w:lineRule="auto"/>
              <w:rPr>
                <w:rFonts w:ascii="宋体" w:hAnsi="宋体" w:cs="宋体"/>
                <w:szCs w:val="21"/>
              </w:rPr>
            </w:pPr>
            <w:r>
              <w:rPr>
                <w:rFonts w:hint="eastAsia" w:ascii="宋体" w:hAnsi="宋体" w:cs="宋体"/>
                <w:szCs w:val="21"/>
              </w:rPr>
              <w:t>2.在中标工程中不执行质量、安全生产相关规定的，造成质量或安全事故的；</w:t>
            </w:r>
          </w:p>
          <w:p>
            <w:pPr>
              <w:widowControl/>
              <w:adjustRightInd w:val="0"/>
              <w:spacing w:line="360" w:lineRule="auto"/>
              <w:rPr>
                <w:rFonts w:ascii="宋体" w:hAnsi="宋体" w:cs="宋体"/>
                <w:szCs w:val="21"/>
              </w:rPr>
            </w:pPr>
            <w:r>
              <w:rPr>
                <w:rFonts w:hint="eastAsia" w:ascii="宋体" w:hAnsi="宋体" w:cs="宋体"/>
                <w:szCs w:val="21"/>
              </w:rPr>
              <w:t>3.存在围标或串标情形的；</w:t>
            </w:r>
          </w:p>
          <w:p>
            <w:pPr>
              <w:adjustRightInd w:val="0"/>
              <w:spacing w:line="360" w:lineRule="auto"/>
              <w:rPr>
                <w:rFonts w:ascii="宋体" w:hAnsi="宋体" w:cs="宋体"/>
                <w:szCs w:val="21"/>
              </w:rPr>
            </w:pPr>
            <w:r>
              <w:rPr>
                <w:rFonts w:hint="eastAsia" w:ascii="宋体" w:hAnsi="宋体" w:cs="宋体"/>
                <w:szCs w:val="21"/>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10.2</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送达</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kern w:val="0"/>
                <w:szCs w:val="21"/>
              </w:rPr>
              <w:t>《投诉处理决定书》和《行政处理决定书》在广州市住房和城乡建设委员会网站上公布的，视为送达其他与决定书有关的当事人。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10.3</w:t>
            </w:r>
          </w:p>
        </w:tc>
        <w:tc>
          <w:tcPr>
            <w:tcW w:w="3118" w:type="dxa"/>
            <w:noWrap w:val="0"/>
            <w:vAlign w:val="center"/>
          </w:tcPr>
          <w:p>
            <w:pPr>
              <w:widowControl/>
              <w:shd w:val="clear" w:color="auto" w:fill="FFFFFF"/>
              <w:adjustRightInd w:val="0"/>
              <w:spacing w:line="360" w:lineRule="auto"/>
              <w:jc w:val="center"/>
              <w:rPr>
                <w:rFonts w:ascii="宋体" w:hAnsi="宋体" w:cs="宋体"/>
                <w:szCs w:val="21"/>
              </w:rPr>
            </w:pPr>
            <w:r>
              <w:rPr>
                <w:rFonts w:hint="eastAsia" w:ascii="宋体" w:hAnsi="宋体" w:cs="宋体"/>
                <w:szCs w:val="21"/>
              </w:rPr>
              <w:t>招标失败情形</w:t>
            </w:r>
          </w:p>
        </w:tc>
        <w:tc>
          <w:tcPr>
            <w:tcW w:w="5954" w:type="dxa"/>
            <w:noWrap w:val="0"/>
            <w:vAlign w:val="center"/>
          </w:tcPr>
          <w:p>
            <w:pPr>
              <w:adjustRightInd w:val="0"/>
              <w:spacing w:line="360" w:lineRule="auto"/>
              <w:rPr>
                <w:rFonts w:ascii="宋体" w:hAnsi="宋体" w:cs="宋体"/>
                <w:strike/>
                <w:szCs w:val="21"/>
              </w:rPr>
            </w:pPr>
            <w:r>
              <w:rPr>
                <w:rFonts w:hint="eastAsia" w:ascii="宋体" w:hAnsi="宋体" w:cs="宋体"/>
                <w:szCs w:val="21"/>
              </w:rPr>
              <w:t>本项目采用资格后审方式。</w:t>
            </w:r>
            <w:r>
              <w:rPr>
                <w:rFonts w:hint="eastAsia" w:ascii="宋体" w:hAnsi="宋体" w:cs="宋体"/>
                <w:szCs w:val="21"/>
                <w:u w:val="single"/>
              </w:rPr>
              <w:t>若本次投标登记或递交投标文件的投标人数量或通过初步评审（含形式评审、资格评审、响应性评审）的合格投标人家数不足3家的，则该次招标失败。</w:t>
            </w:r>
            <w:r>
              <w:rPr>
                <w:rFonts w:hint="eastAsia" w:ascii="宋体" w:hAnsi="宋体" w:cs="宋体"/>
                <w:szCs w:val="21"/>
              </w:rPr>
              <w:t>对于招标失败的项目，招标人分析招标失败原因，修正招标方案，报有关管理部门核准后，重新组织招标。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10.4</w:t>
            </w:r>
          </w:p>
        </w:tc>
        <w:tc>
          <w:tcPr>
            <w:tcW w:w="3118"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招标人拒绝接收其投标文件情况</w:t>
            </w:r>
          </w:p>
        </w:tc>
        <w:tc>
          <w:tcPr>
            <w:tcW w:w="5954" w:type="dxa"/>
            <w:noWrap w:val="0"/>
            <w:vAlign w:val="center"/>
          </w:tcPr>
          <w:p>
            <w:pPr>
              <w:pStyle w:val="2"/>
              <w:adjustRightInd w:val="0"/>
              <w:spacing w:after="0" w:line="360" w:lineRule="auto"/>
              <w:ind w:firstLine="0"/>
              <w:rPr>
                <w:rFonts w:ascii="宋体" w:hAnsi="宋体" w:cs="宋体"/>
                <w:szCs w:val="21"/>
              </w:rPr>
            </w:pPr>
            <w:r>
              <w:rPr>
                <w:rFonts w:hint="eastAsia" w:ascii="宋体" w:hAnsi="宋体" w:cs="宋体"/>
                <w:szCs w:val="21"/>
              </w:rPr>
              <w:t>在投标截止期后逾期上传递交电子投标文件的。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10.5</w:t>
            </w:r>
          </w:p>
        </w:tc>
        <w:tc>
          <w:tcPr>
            <w:tcW w:w="3118" w:type="dxa"/>
            <w:noWrap w:val="0"/>
            <w:vAlign w:val="center"/>
          </w:tcPr>
          <w:p>
            <w:pPr>
              <w:widowControl/>
              <w:shd w:val="clear" w:color="auto" w:fill="FFFFFF"/>
              <w:adjustRightInd w:val="0"/>
              <w:spacing w:line="360" w:lineRule="auto"/>
              <w:jc w:val="center"/>
              <w:rPr>
                <w:rFonts w:ascii="宋体" w:hAnsi="宋体" w:cs="宋体"/>
                <w:szCs w:val="21"/>
              </w:rPr>
            </w:pPr>
            <w:r>
              <w:rPr>
                <w:rFonts w:hint="eastAsia" w:ascii="宋体" w:hAnsi="宋体" w:cs="宋体"/>
                <w:szCs w:val="21"/>
              </w:rPr>
              <w:t>其他</w:t>
            </w:r>
          </w:p>
        </w:tc>
        <w:tc>
          <w:tcPr>
            <w:tcW w:w="5954" w:type="dxa"/>
            <w:noWrap w:val="0"/>
            <w:vAlign w:val="center"/>
          </w:tcPr>
          <w:p>
            <w:pPr>
              <w:adjustRightInd w:val="0"/>
              <w:spacing w:line="360" w:lineRule="auto"/>
              <w:rPr>
                <w:rFonts w:ascii="宋体" w:hAnsi="宋体" w:cs="宋体"/>
                <w:kern w:val="0"/>
                <w:szCs w:val="21"/>
              </w:rPr>
            </w:pPr>
            <w:r>
              <w:rPr>
                <w:rFonts w:hint="eastAsia" w:ascii="宋体" w:hAnsi="宋体" w:cs="宋体"/>
                <w:szCs w:val="21"/>
              </w:rPr>
              <w:t>1．在产生中标候选人后，招标人将中标候选人的投标文件商务部分的电子版（报价清单、方案等涉及商业秘密的内容除外）在广州公共资源交易中心网站公开。</w:t>
            </w:r>
          </w:p>
          <w:p>
            <w:pPr>
              <w:adjustRightInd w:val="0"/>
              <w:spacing w:line="360" w:lineRule="auto"/>
              <w:rPr>
                <w:rFonts w:ascii="宋体" w:hAnsi="宋体" w:cs="宋体"/>
                <w:kern w:val="0"/>
                <w:szCs w:val="21"/>
              </w:rPr>
            </w:pPr>
            <w:r>
              <w:rPr>
                <w:rFonts w:hint="eastAsia" w:ascii="宋体" w:hAnsi="宋体" w:cs="宋体"/>
                <w:szCs w:val="21"/>
              </w:rPr>
              <w:t>2.满足资格审查合格条件的投标人不足3名或通过有效性审查的投标人不足3名时为招标失败。招标人分析招标失败原因，修正招标方案，报有关管理部门核准后，重新组织招标。</w:t>
            </w:r>
          </w:p>
          <w:p>
            <w:pPr>
              <w:adjustRightInd w:val="0"/>
              <w:spacing w:line="360" w:lineRule="auto"/>
              <w:rPr>
                <w:rFonts w:ascii="宋体" w:hAnsi="宋体" w:cs="宋体"/>
                <w:szCs w:val="21"/>
              </w:rPr>
            </w:pPr>
            <w:r>
              <w:rPr>
                <w:rFonts w:hint="eastAsia" w:ascii="宋体" w:hAnsi="宋体" w:cs="宋体"/>
                <w:szCs w:val="21"/>
              </w:rPr>
              <w:t>3.招标公告、招标文件、答疑纪要、图纸等招标资料全部发布在广州公共资源交易中心网站（具体在网站主页“服务指南”中“交易活动安排”栏目上以“项目名称”或“项目编号”进行查询），由投标人自行下载查阅。</w:t>
            </w:r>
          </w:p>
          <w:p>
            <w:pPr>
              <w:adjustRightInd w:val="0"/>
              <w:spacing w:line="360" w:lineRule="auto"/>
              <w:rPr>
                <w:rFonts w:ascii="宋体" w:hAnsi="宋体" w:cs="宋体"/>
                <w:szCs w:val="21"/>
              </w:rPr>
            </w:pPr>
            <w:r>
              <w:rPr>
                <w:rFonts w:hint="eastAsia" w:ascii="宋体" w:hAnsi="宋体" w:cs="宋体"/>
                <w:szCs w:val="21"/>
              </w:rPr>
              <w:t>4.投标截止时间、开标时间和地点：发布在广州公共资源交易中心网站（具体在网站主页“服务指南”中“交易活动安排”栏目上以“项目名称”或“项目编号”进行查询）。</w:t>
            </w:r>
          </w:p>
          <w:p>
            <w:pPr>
              <w:adjustRightInd w:val="0"/>
              <w:spacing w:line="360" w:lineRule="auto"/>
              <w:rPr>
                <w:rFonts w:ascii="宋体" w:hAnsi="宋体" w:cs="宋体"/>
                <w:szCs w:val="21"/>
              </w:rPr>
            </w:pPr>
            <w:r>
              <w:rPr>
                <w:rFonts w:hint="eastAsia" w:ascii="宋体" w:hAnsi="宋体" w:cs="宋体"/>
                <w:szCs w:val="21"/>
              </w:rPr>
              <w:t>5.中标单位需在中标通知书发出后3个工作日内，补送一正四副正式书面投标文件（加盖公章）及电子文件光盘给招标人。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10.6</w:t>
            </w:r>
          </w:p>
        </w:tc>
        <w:tc>
          <w:tcPr>
            <w:tcW w:w="3118" w:type="dxa"/>
            <w:noWrap w:val="0"/>
            <w:vAlign w:val="center"/>
          </w:tcPr>
          <w:p>
            <w:pPr>
              <w:widowControl/>
              <w:shd w:val="clear" w:color="auto" w:fill="FFFFFF"/>
              <w:adjustRightInd w:val="0"/>
              <w:spacing w:line="360" w:lineRule="auto"/>
              <w:jc w:val="center"/>
              <w:rPr>
                <w:rFonts w:ascii="宋体" w:hAnsi="宋体" w:cs="宋体"/>
                <w:szCs w:val="21"/>
              </w:rPr>
            </w:pPr>
            <w:r>
              <w:rPr>
                <w:rFonts w:hint="eastAsia" w:ascii="宋体" w:hAnsi="宋体" w:cs="宋体"/>
                <w:szCs w:val="21"/>
              </w:rPr>
              <w:t>其他</w:t>
            </w:r>
          </w:p>
        </w:tc>
        <w:tc>
          <w:tcPr>
            <w:tcW w:w="5954" w:type="dxa"/>
            <w:noWrap w:val="0"/>
            <w:vAlign w:val="center"/>
          </w:tcPr>
          <w:p>
            <w:pPr>
              <w:adjustRightInd w:val="0"/>
              <w:spacing w:line="360" w:lineRule="auto"/>
              <w:rPr>
                <w:rFonts w:ascii="宋体" w:hAnsi="宋体" w:cs="宋体"/>
                <w:szCs w:val="21"/>
              </w:rPr>
            </w:pPr>
            <w:r>
              <w:rPr>
                <w:rFonts w:hint="eastAsia" w:ascii="宋体" w:hAnsi="宋体" w:cs="宋体"/>
                <w:szCs w:val="21"/>
                <w:u w:val="single"/>
              </w:rPr>
              <w:t>如招标文件与《投标须知前附表》不一致时，以《投标须知前附表》为准。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pacing w:line="360" w:lineRule="auto"/>
              <w:jc w:val="center"/>
              <w:rPr>
                <w:rFonts w:ascii="宋体" w:hAnsi="宋体" w:cs="宋体"/>
                <w:szCs w:val="21"/>
              </w:rPr>
            </w:pPr>
            <w:r>
              <w:rPr>
                <w:rFonts w:hint="eastAsia" w:ascii="宋体" w:hAnsi="宋体" w:cs="宋体"/>
                <w:szCs w:val="21"/>
              </w:rPr>
              <w:t>10.7</w:t>
            </w:r>
          </w:p>
        </w:tc>
        <w:tc>
          <w:tcPr>
            <w:tcW w:w="3118" w:type="dxa"/>
            <w:noWrap w:val="0"/>
            <w:vAlign w:val="center"/>
          </w:tcPr>
          <w:p>
            <w:pPr>
              <w:widowControl/>
              <w:shd w:val="clear" w:color="auto" w:fill="FFFFFF"/>
              <w:adjustRightInd w:val="0"/>
              <w:spacing w:line="360" w:lineRule="auto"/>
              <w:jc w:val="center"/>
              <w:rPr>
                <w:rFonts w:ascii="宋体" w:hAnsi="宋体" w:cs="宋体"/>
                <w:szCs w:val="21"/>
              </w:rPr>
            </w:pPr>
            <w:r>
              <w:rPr>
                <w:rFonts w:hint="eastAsia" w:ascii="宋体" w:hAnsi="宋体" w:cs="宋体"/>
                <w:szCs w:val="21"/>
              </w:rPr>
              <w:t>招标代理服务费</w:t>
            </w:r>
          </w:p>
        </w:tc>
        <w:tc>
          <w:tcPr>
            <w:tcW w:w="5954" w:type="dxa"/>
            <w:noWrap w:val="0"/>
            <w:vAlign w:val="center"/>
          </w:tcPr>
          <w:p>
            <w:pPr>
              <w:adjustRightInd w:val="0"/>
              <w:spacing w:line="360" w:lineRule="auto"/>
              <w:rPr>
                <w:rFonts w:ascii="宋体" w:hAnsi="宋体" w:cs="宋体"/>
                <w:szCs w:val="21"/>
              </w:rPr>
            </w:pPr>
            <w:r>
              <w:rPr>
                <w:rFonts w:hint="eastAsia" w:ascii="宋体" w:hAnsi="宋体" w:cs="仿宋_GB2312"/>
                <w:szCs w:val="21"/>
              </w:rPr>
              <w:t>招标代理服务费由招标人向招标代理机构支付。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10.8</w:t>
            </w:r>
          </w:p>
        </w:tc>
        <w:tc>
          <w:tcPr>
            <w:tcW w:w="3118" w:type="dxa"/>
            <w:noWrap w:val="0"/>
            <w:vAlign w:val="center"/>
          </w:tcPr>
          <w:p>
            <w:pPr>
              <w:widowControl/>
              <w:shd w:val="clear" w:color="auto" w:fill="FFFFFF"/>
              <w:adjustRightInd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其他费用</w:t>
            </w:r>
          </w:p>
        </w:tc>
        <w:tc>
          <w:tcPr>
            <w:tcW w:w="5954" w:type="dxa"/>
            <w:noWrap w:val="0"/>
            <w:vAlign w:val="center"/>
          </w:tcPr>
          <w:p>
            <w:pPr>
              <w:adjustRightInd w:val="0"/>
              <w:spacing w:line="360" w:lineRule="auto"/>
              <w:rPr>
                <w:rFonts w:hint="eastAsia" w:ascii="宋体" w:hAnsi="宋体" w:cs="仿宋_GB2312"/>
                <w:szCs w:val="21"/>
              </w:rPr>
            </w:pPr>
            <w:r>
              <w:rPr>
                <w:rFonts w:hint="eastAsia" w:ascii="宋体" w:hAnsi="宋体" w:cs="仿宋_GB2312"/>
                <w:szCs w:val="21"/>
              </w:rPr>
              <w:t>交易服务费：由中标单位支付，根据政府相关文件规定缴纳。</w:t>
            </w:r>
          </w:p>
        </w:tc>
      </w:tr>
    </w:tbl>
    <w:p>
      <w:pPr>
        <w:keepNext/>
        <w:keepLines/>
        <w:spacing w:line="578" w:lineRule="auto"/>
        <w:jc w:val="center"/>
        <w:outlineLvl w:val="1"/>
        <w:rPr>
          <w:rFonts w:ascii="宋体" w:hAnsi="宋体" w:cs="宋体"/>
          <w:b/>
          <w:bCs/>
          <w:kern w:val="44"/>
          <w:sz w:val="32"/>
          <w:szCs w:val="32"/>
        </w:rPr>
      </w:pPr>
      <w:r>
        <w:rPr>
          <w:rFonts w:hint="eastAsia" w:ascii="宋体" w:hAnsi="宋体" w:cs="宋体"/>
          <w:b/>
          <w:bCs/>
          <w:kern w:val="44"/>
          <w:sz w:val="44"/>
          <w:szCs w:val="44"/>
        </w:rPr>
        <w:br w:type="page"/>
      </w:r>
      <w:bookmarkStart w:id="31" w:name="_Toc532367872"/>
      <w:bookmarkStart w:id="32" w:name="_Toc21141"/>
      <w:bookmarkStart w:id="33" w:name="_Toc7730"/>
      <w:bookmarkStart w:id="34" w:name="_Toc38224838"/>
      <w:bookmarkStart w:id="35" w:name="_Toc304808641"/>
      <w:bookmarkStart w:id="36" w:name="_Toc377719898"/>
      <w:bookmarkStart w:id="37" w:name="_Toc16349"/>
      <w:bookmarkStart w:id="38" w:name="_Toc22854"/>
      <w:r>
        <w:rPr>
          <w:rFonts w:hint="eastAsia" w:ascii="宋体" w:hAnsi="宋体" w:cs="宋体"/>
          <w:b/>
          <w:bCs/>
          <w:kern w:val="44"/>
          <w:sz w:val="32"/>
          <w:szCs w:val="32"/>
        </w:rPr>
        <w:t>投标人须知</w:t>
      </w:r>
      <w:bookmarkEnd w:id="31"/>
      <w:bookmarkEnd w:id="32"/>
      <w:bookmarkEnd w:id="33"/>
      <w:bookmarkEnd w:id="34"/>
    </w:p>
    <w:p>
      <w:pPr>
        <w:keepNext/>
        <w:keepLines/>
        <w:spacing w:before="240" w:after="240" w:line="416" w:lineRule="auto"/>
        <w:jc w:val="left"/>
        <w:outlineLvl w:val="1"/>
        <w:rPr>
          <w:rFonts w:ascii="宋体" w:hAnsi="宋体" w:cs="宋体"/>
          <w:b/>
          <w:bCs/>
          <w:sz w:val="40"/>
          <w:szCs w:val="32"/>
        </w:rPr>
      </w:pPr>
      <w:bookmarkStart w:id="39" w:name="_Toc7950"/>
      <w:bookmarkStart w:id="40" w:name="_Toc21041"/>
      <w:bookmarkStart w:id="41" w:name="_Toc29394"/>
      <w:bookmarkStart w:id="42" w:name="_Toc38224839"/>
      <w:bookmarkStart w:id="43" w:name="_Toc6964"/>
      <w:bookmarkStart w:id="44" w:name="_Toc9352"/>
      <w:bookmarkStart w:id="45" w:name="_Toc31905"/>
      <w:bookmarkStart w:id="46" w:name="_Toc13865"/>
      <w:bookmarkStart w:id="47" w:name="_Toc27896"/>
      <w:bookmarkStart w:id="48" w:name="_Toc8300"/>
      <w:bookmarkStart w:id="49" w:name="_Toc32719"/>
      <w:bookmarkStart w:id="50" w:name="_Toc532367873"/>
      <w:bookmarkStart w:id="51" w:name="_Toc377719900"/>
      <w:r>
        <w:rPr>
          <w:rFonts w:hint="eastAsia" w:ascii="宋体" w:hAnsi="宋体" w:cs="宋体"/>
          <w:b/>
          <w:bCs/>
          <w:sz w:val="40"/>
          <w:szCs w:val="32"/>
        </w:rPr>
        <w:t>1.总则</w:t>
      </w:r>
      <w:bookmarkEnd w:id="39"/>
      <w:bookmarkEnd w:id="40"/>
      <w:bookmarkEnd w:id="41"/>
      <w:bookmarkEnd w:id="42"/>
      <w:bookmarkEnd w:id="43"/>
      <w:bookmarkEnd w:id="44"/>
      <w:bookmarkEnd w:id="45"/>
      <w:bookmarkEnd w:id="46"/>
      <w:bookmarkEnd w:id="47"/>
      <w:bookmarkEnd w:id="48"/>
      <w:bookmarkEnd w:id="49"/>
      <w:bookmarkEnd w:id="50"/>
      <w:bookmarkEnd w:id="51"/>
    </w:p>
    <w:p>
      <w:pPr>
        <w:keepNext/>
        <w:keepLines/>
        <w:spacing w:before="120" w:after="120" w:line="360" w:lineRule="auto"/>
        <w:outlineLvl w:val="2"/>
        <w:rPr>
          <w:rFonts w:ascii="宋体" w:hAnsi="宋体" w:cs="宋体"/>
          <w:b/>
          <w:bCs/>
          <w:sz w:val="22"/>
        </w:rPr>
      </w:pPr>
      <w:r>
        <w:rPr>
          <w:rFonts w:hint="eastAsia" w:ascii="宋体" w:hAnsi="宋体" w:cs="宋体"/>
          <w:b/>
          <w:bCs/>
          <w:sz w:val="22"/>
        </w:rPr>
        <w:t>1.1  招标项目概况</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1.1.1根据《中华人民共和国招标投标法》、《中华人民共和国招标投标法实施条例》等有关法律、法规和规章的规定，本招标项目已具备招标条件，现对</w:t>
      </w:r>
      <w:r>
        <w:rPr>
          <w:rFonts w:hint="eastAsia" w:ascii="宋体" w:hAnsi="宋体" w:cs="宋体"/>
          <w:sz w:val="22"/>
          <w:u w:val="single"/>
          <w:lang w:eastAsia="zh-CN"/>
        </w:rPr>
        <w:t>第三方</w:t>
      </w:r>
      <w:r>
        <w:rPr>
          <w:rFonts w:hint="eastAsia" w:ascii="宋体" w:hAnsi="宋体" w:cs="宋体"/>
          <w:sz w:val="22"/>
          <w:u w:val="single"/>
        </w:rPr>
        <w:t>检测和监测</w:t>
      </w:r>
      <w:r>
        <w:rPr>
          <w:rFonts w:hint="eastAsia" w:ascii="宋体" w:hAnsi="宋体" w:cs="宋体"/>
          <w:sz w:val="22"/>
        </w:rPr>
        <w:t>服务进行招标。</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1.1.2招标人：见投标人须知前附表。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1.1.3招标代理机构：见投标人须知前附表。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1.1.4招标项目名称：见投标人须知前附表。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1.1.5项目建设地点：见投标人须知前附表。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1.1.6项目建设规模：见投标人须知前附表。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1.1.7工程项目施工预计开工日期和建设周期：见投标人须知前附表。</w:t>
      </w:r>
    </w:p>
    <w:p>
      <w:pPr>
        <w:spacing w:line="360" w:lineRule="auto"/>
        <w:ind w:firstLine="444" w:firstLineChars="202"/>
        <w:jc w:val="left"/>
        <w:rPr>
          <w:rFonts w:ascii="宋体" w:hAnsi="宋体" w:cs="宋体"/>
          <w:sz w:val="22"/>
        </w:rPr>
      </w:pPr>
      <w:r>
        <w:rPr>
          <w:rFonts w:hint="eastAsia" w:ascii="宋体" w:hAnsi="宋体" w:cs="宋体"/>
          <w:sz w:val="22"/>
        </w:rPr>
        <w:t>1.1.8建筑安装工程费/工程概算：见投标人须知前附表。</w:t>
      </w:r>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1.2 招标项目的资金来源和落实情况</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1.2.1资金来源及比例：见投标人须知前附表。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1.2.2资金落实情况：见投标人须知前附表。</w:t>
      </w:r>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1.3 招标内容、服务期限和质量标准</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1.3.1招标范围及招标内容：见投标人须知前附表。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1.3.2服务期：见投标人须知前附表。</w:t>
      </w:r>
    </w:p>
    <w:p>
      <w:pPr>
        <w:spacing w:line="360" w:lineRule="auto"/>
        <w:ind w:firstLine="444" w:firstLineChars="202"/>
        <w:jc w:val="left"/>
        <w:rPr>
          <w:rFonts w:ascii="宋体" w:hAnsi="宋体" w:cs="宋体"/>
          <w:sz w:val="22"/>
        </w:rPr>
      </w:pPr>
      <w:r>
        <w:rPr>
          <w:rFonts w:hint="eastAsia" w:ascii="宋体" w:hAnsi="宋体" w:cs="宋体"/>
          <w:sz w:val="22"/>
        </w:rPr>
        <w:t>1.3.3质量标准：见投标人须知前附表</w:t>
      </w:r>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1.4 投标人资格要求</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1.4.1投标人应具备承担本招标项目资质条件、能力和信誉：</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（1）资质要求：见投标人须知前附表；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（2）财务要求：见投标人须知前附表；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（3）业绩要求：见投标人须知前附表；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（4）信誉要求：见投标人须知前附表；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（5）项目负责人的资格要求：具体要求见投标人须知前附表；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（6）其他主要人员要求：见投标人须知前附表。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（7）试验检测和监测仪器设备要求：见投标人须知前附表。</w:t>
      </w:r>
    </w:p>
    <w:p>
      <w:pPr>
        <w:spacing w:line="360" w:lineRule="auto"/>
        <w:ind w:firstLine="444" w:firstLineChars="202"/>
        <w:jc w:val="left"/>
        <w:rPr>
          <w:rFonts w:ascii="宋体" w:hAnsi="宋体" w:cs="宋体"/>
          <w:sz w:val="22"/>
        </w:rPr>
      </w:pPr>
      <w:r>
        <w:rPr>
          <w:rFonts w:hint="eastAsia" w:ascii="宋体" w:hAnsi="宋体" w:cs="宋体"/>
          <w:sz w:val="22"/>
        </w:rPr>
        <w:t>（8）其他要求：见投标人须知前附表。需要提交的相关证明材料见本章第3.5款的规定。</w:t>
      </w:r>
    </w:p>
    <w:p>
      <w:pPr>
        <w:spacing w:line="360" w:lineRule="auto"/>
        <w:ind w:firstLine="444" w:firstLineChars="202"/>
        <w:jc w:val="left"/>
        <w:rPr>
          <w:rFonts w:ascii="宋体" w:hAnsi="宋体" w:cs="宋体"/>
          <w:sz w:val="22"/>
        </w:rPr>
      </w:pPr>
      <w:r>
        <w:rPr>
          <w:rFonts w:hint="eastAsia" w:ascii="宋体" w:hAnsi="宋体" w:cs="宋体"/>
          <w:sz w:val="22"/>
        </w:rPr>
        <w:t>1.4.2投标人须知前附表规定接受联合体投标的，联合体除应符合本章第1.4.1项和投标人须知前附表的要求外，还应遵守以下规定：</w:t>
      </w:r>
    </w:p>
    <w:p>
      <w:pPr>
        <w:spacing w:line="360" w:lineRule="auto"/>
        <w:ind w:firstLine="444" w:firstLineChars="202"/>
        <w:jc w:val="left"/>
        <w:rPr>
          <w:rFonts w:ascii="宋体" w:hAnsi="宋体" w:cs="宋体"/>
          <w:sz w:val="22"/>
        </w:rPr>
      </w:pPr>
      <w:r>
        <w:rPr>
          <w:rFonts w:hint="eastAsia" w:ascii="宋体" w:hAnsi="宋体" w:cs="宋体"/>
          <w:sz w:val="22"/>
        </w:rPr>
        <w:t>（1）联合体各方应按招标文件提供的格式签订联合体协议书，明确联合体牵头人和各方权利义务，并承诺就中标项目向招标人承担连带责任；</w:t>
      </w:r>
    </w:p>
    <w:p>
      <w:pPr>
        <w:spacing w:line="360" w:lineRule="auto"/>
        <w:ind w:firstLine="444" w:firstLineChars="202"/>
        <w:jc w:val="left"/>
        <w:rPr>
          <w:rFonts w:ascii="宋体" w:hAnsi="宋体" w:cs="宋体"/>
          <w:sz w:val="22"/>
        </w:rPr>
      </w:pPr>
      <w:r>
        <w:rPr>
          <w:rFonts w:hint="eastAsia" w:ascii="宋体" w:hAnsi="宋体" w:cs="宋体"/>
          <w:sz w:val="22"/>
        </w:rPr>
        <w:t>（2）联合体各方不得再以自己名义单独或参加其他联合体在本招标项目中投标，否则各相关投标均无效。</w:t>
      </w:r>
    </w:p>
    <w:p>
      <w:pPr>
        <w:spacing w:line="360" w:lineRule="auto"/>
        <w:ind w:firstLine="444" w:firstLineChars="202"/>
        <w:jc w:val="left"/>
        <w:rPr>
          <w:rFonts w:ascii="宋体" w:hAnsi="宋体" w:cs="宋体"/>
          <w:sz w:val="22"/>
        </w:rPr>
      </w:pPr>
      <w:r>
        <w:rPr>
          <w:rFonts w:hint="eastAsia" w:ascii="宋体" w:hAnsi="宋体" w:cs="宋体"/>
          <w:sz w:val="22"/>
        </w:rPr>
        <w:t>1.4.3投标人不得存在下列情形之一：</w:t>
      </w:r>
    </w:p>
    <w:p>
      <w:pPr>
        <w:spacing w:line="360" w:lineRule="auto"/>
        <w:ind w:firstLine="444" w:firstLineChars="202"/>
        <w:jc w:val="left"/>
        <w:rPr>
          <w:rFonts w:ascii="宋体" w:hAnsi="宋体" w:cs="宋体"/>
          <w:sz w:val="22"/>
        </w:rPr>
      </w:pPr>
      <w:r>
        <w:rPr>
          <w:rFonts w:hint="eastAsia" w:ascii="宋体" w:hAnsi="宋体" w:cs="宋体"/>
          <w:sz w:val="22"/>
        </w:rPr>
        <w:t>（1）为招标人不具有独立法人资格的附属机构（单位）；</w:t>
      </w:r>
    </w:p>
    <w:p>
      <w:pPr>
        <w:spacing w:line="360" w:lineRule="auto"/>
        <w:ind w:firstLine="444" w:firstLineChars="202"/>
        <w:jc w:val="left"/>
        <w:rPr>
          <w:rFonts w:ascii="宋体" w:hAnsi="宋体" w:cs="宋体"/>
          <w:sz w:val="22"/>
        </w:rPr>
      </w:pPr>
      <w:r>
        <w:rPr>
          <w:rFonts w:hint="eastAsia" w:ascii="宋体" w:hAnsi="宋体" w:cs="宋体"/>
          <w:sz w:val="22"/>
        </w:rPr>
        <w:t>（2）与招标人存在利害关系且可能影响招标公正性；</w:t>
      </w:r>
    </w:p>
    <w:p>
      <w:pPr>
        <w:spacing w:line="360" w:lineRule="auto"/>
        <w:ind w:firstLine="444" w:firstLineChars="202"/>
        <w:jc w:val="left"/>
        <w:rPr>
          <w:rFonts w:ascii="宋体" w:hAnsi="宋体" w:cs="宋体"/>
          <w:sz w:val="22"/>
        </w:rPr>
      </w:pPr>
      <w:r>
        <w:rPr>
          <w:rFonts w:hint="eastAsia" w:ascii="宋体" w:hAnsi="宋体" w:cs="宋体"/>
          <w:sz w:val="22"/>
        </w:rPr>
        <w:t>（3）与本招标项目的其他投标人为同一个单位负责人；</w:t>
      </w:r>
    </w:p>
    <w:p>
      <w:pPr>
        <w:spacing w:line="360" w:lineRule="auto"/>
        <w:ind w:firstLine="444" w:firstLineChars="202"/>
        <w:jc w:val="left"/>
        <w:rPr>
          <w:rFonts w:ascii="宋体" w:hAnsi="宋体" w:cs="宋体"/>
          <w:sz w:val="22"/>
        </w:rPr>
      </w:pPr>
      <w:r>
        <w:rPr>
          <w:rFonts w:hint="eastAsia" w:ascii="宋体" w:hAnsi="宋体" w:cs="宋体"/>
          <w:sz w:val="22"/>
        </w:rPr>
        <w:t>（4）与本招标项目的其他投标人存在控股、管理关系；</w:t>
      </w:r>
    </w:p>
    <w:p>
      <w:pPr>
        <w:spacing w:line="360" w:lineRule="auto"/>
        <w:ind w:firstLine="444" w:firstLineChars="202"/>
        <w:jc w:val="left"/>
        <w:rPr>
          <w:rFonts w:ascii="宋体" w:hAnsi="宋体" w:cs="宋体"/>
          <w:sz w:val="22"/>
        </w:rPr>
      </w:pPr>
      <w:r>
        <w:rPr>
          <w:rFonts w:hint="eastAsia" w:ascii="宋体" w:hAnsi="宋体" w:cs="宋体"/>
          <w:sz w:val="22"/>
        </w:rPr>
        <w:t>（5）为本招标项目的代建人；</w:t>
      </w:r>
    </w:p>
    <w:p>
      <w:pPr>
        <w:spacing w:line="360" w:lineRule="auto"/>
        <w:ind w:firstLine="444" w:firstLineChars="202"/>
        <w:jc w:val="left"/>
        <w:rPr>
          <w:rFonts w:ascii="宋体" w:hAnsi="宋体" w:cs="宋体"/>
          <w:sz w:val="22"/>
        </w:rPr>
      </w:pPr>
      <w:r>
        <w:rPr>
          <w:rFonts w:hint="eastAsia" w:ascii="宋体" w:hAnsi="宋体" w:cs="宋体"/>
          <w:sz w:val="22"/>
        </w:rPr>
        <w:t>（6）为本招标项目的招标代理机构；</w:t>
      </w:r>
    </w:p>
    <w:p>
      <w:pPr>
        <w:spacing w:line="360" w:lineRule="auto"/>
        <w:ind w:firstLine="444" w:firstLineChars="202"/>
        <w:jc w:val="left"/>
        <w:rPr>
          <w:rFonts w:ascii="宋体" w:hAnsi="宋体" w:cs="宋体"/>
          <w:sz w:val="22"/>
        </w:rPr>
      </w:pPr>
      <w:r>
        <w:rPr>
          <w:rFonts w:hint="eastAsia" w:ascii="宋体" w:hAnsi="宋体" w:cs="宋体"/>
          <w:sz w:val="22"/>
        </w:rPr>
        <w:t>（7）与本招标项目的代建人或招标代理机构同为一个法定代表人；</w:t>
      </w:r>
    </w:p>
    <w:p>
      <w:pPr>
        <w:spacing w:line="360" w:lineRule="auto"/>
        <w:ind w:firstLine="444" w:firstLineChars="202"/>
        <w:jc w:val="left"/>
        <w:rPr>
          <w:rFonts w:ascii="宋体" w:hAnsi="宋体" w:cs="宋体"/>
          <w:sz w:val="22"/>
        </w:rPr>
      </w:pPr>
      <w:r>
        <w:rPr>
          <w:rFonts w:hint="eastAsia" w:ascii="宋体" w:hAnsi="宋体" w:cs="宋体"/>
          <w:sz w:val="22"/>
        </w:rPr>
        <w:t>（8）与本招标项目的代建人或招标代理机构存在控股或参股关系；</w:t>
      </w:r>
    </w:p>
    <w:p>
      <w:pPr>
        <w:spacing w:line="360" w:lineRule="auto"/>
        <w:ind w:firstLine="444" w:firstLineChars="202"/>
        <w:jc w:val="left"/>
        <w:rPr>
          <w:rFonts w:ascii="宋体" w:hAnsi="宋体" w:cs="宋体"/>
          <w:sz w:val="22"/>
        </w:rPr>
      </w:pPr>
      <w:r>
        <w:rPr>
          <w:rFonts w:hint="eastAsia" w:ascii="宋体" w:hAnsi="宋体" w:cs="宋体"/>
          <w:sz w:val="22"/>
        </w:rPr>
        <w:t>（9）与本招标项目的施工承包人以及建筑材料、建筑构配件和设备供应商有隶属关系或者其他利害关系；</w:t>
      </w:r>
    </w:p>
    <w:p>
      <w:pPr>
        <w:spacing w:line="360" w:lineRule="auto"/>
        <w:ind w:firstLine="444" w:firstLineChars="202"/>
        <w:jc w:val="left"/>
        <w:rPr>
          <w:rFonts w:ascii="宋体" w:hAnsi="宋体" w:cs="宋体"/>
          <w:sz w:val="22"/>
        </w:rPr>
      </w:pPr>
      <w:r>
        <w:rPr>
          <w:rFonts w:hint="eastAsia" w:ascii="宋体" w:hAnsi="宋体" w:cs="宋体"/>
          <w:sz w:val="22"/>
        </w:rPr>
        <w:t>（10）被依法暂停或者取消投标资格；</w:t>
      </w:r>
    </w:p>
    <w:p>
      <w:pPr>
        <w:spacing w:line="360" w:lineRule="auto"/>
        <w:ind w:firstLine="444" w:firstLineChars="202"/>
        <w:jc w:val="left"/>
        <w:rPr>
          <w:rFonts w:ascii="宋体" w:hAnsi="宋体" w:cs="宋体"/>
          <w:sz w:val="22"/>
        </w:rPr>
      </w:pPr>
      <w:r>
        <w:rPr>
          <w:rFonts w:hint="eastAsia" w:ascii="宋体" w:hAnsi="宋体" w:cs="宋体"/>
          <w:sz w:val="22"/>
        </w:rPr>
        <w:t>（11）被责令停产停业、暂扣或者吊销许可证、暂扣或者吊销执照；</w:t>
      </w:r>
    </w:p>
    <w:p>
      <w:pPr>
        <w:spacing w:line="360" w:lineRule="auto"/>
        <w:ind w:firstLine="444" w:firstLineChars="202"/>
        <w:jc w:val="left"/>
        <w:rPr>
          <w:rFonts w:ascii="宋体" w:hAnsi="宋体" w:cs="宋体"/>
          <w:sz w:val="22"/>
        </w:rPr>
      </w:pPr>
      <w:r>
        <w:rPr>
          <w:rFonts w:hint="eastAsia" w:ascii="宋体" w:hAnsi="宋体" w:cs="宋体"/>
          <w:sz w:val="22"/>
        </w:rPr>
        <w:t>（12）进入清算程序，或被宣告破产，或其他丧失履约能力的情形；</w:t>
      </w:r>
    </w:p>
    <w:p>
      <w:pPr>
        <w:spacing w:line="360" w:lineRule="auto"/>
        <w:ind w:firstLine="444" w:firstLineChars="202"/>
        <w:jc w:val="left"/>
        <w:rPr>
          <w:rFonts w:ascii="宋体" w:hAnsi="宋体" w:cs="宋体"/>
          <w:sz w:val="22"/>
        </w:rPr>
      </w:pPr>
      <w:r>
        <w:rPr>
          <w:rFonts w:hint="eastAsia" w:ascii="宋体" w:hAnsi="宋体" w:cs="宋体"/>
          <w:sz w:val="22"/>
        </w:rPr>
        <w:t>（13）在最近三年内发生重大质量问题（以相关行招标人管部门的行政处罚决定或司法机关出具的有关法律文书为准）；</w:t>
      </w:r>
    </w:p>
    <w:p>
      <w:pPr>
        <w:spacing w:line="360" w:lineRule="auto"/>
        <w:ind w:firstLine="444" w:firstLineChars="202"/>
        <w:jc w:val="left"/>
        <w:rPr>
          <w:rFonts w:ascii="宋体" w:hAnsi="宋体" w:cs="宋体"/>
          <w:sz w:val="22"/>
        </w:rPr>
      </w:pPr>
      <w:r>
        <w:rPr>
          <w:rFonts w:hint="eastAsia" w:ascii="宋体" w:hAnsi="宋体" w:cs="宋体"/>
          <w:sz w:val="22"/>
        </w:rPr>
        <w:t>（14）被工商行政管理机关在全国企业信用信息公示系统中列入严重违法失信企业名单；</w:t>
      </w:r>
    </w:p>
    <w:p>
      <w:pPr>
        <w:spacing w:line="360" w:lineRule="auto"/>
        <w:ind w:firstLine="444" w:firstLineChars="202"/>
        <w:jc w:val="left"/>
        <w:rPr>
          <w:rFonts w:ascii="宋体" w:hAnsi="宋体" w:cs="宋体"/>
          <w:sz w:val="22"/>
        </w:rPr>
      </w:pPr>
      <w:r>
        <w:rPr>
          <w:rFonts w:hint="eastAsia" w:ascii="宋体" w:hAnsi="宋体" w:cs="宋体"/>
          <w:sz w:val="22"/>
        </w:rPr>
        <w:t>（15）被最高人民法院在“信用中国”网站（www.creditchina.gov.cn）或各级信用信息共享平台中列入失信被执行人名单；</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（16）在近三年内投标人或其法定代表人、拟委任的项目负责人有行贿犯罪行为的；</w:t>
      </w:r>
    </w:p>
    <w:p>
      <w:pPr>
        <w:spacing w:line="360" w:lineRule="auto"/>
        <w:ind w:firstLine="444" w:firstLineChars="202"/>
        <w:jc w:val="left"/>
        <w:rPr>
          <w:rFonts w:ascii="宋体" w:hAnsi="宋体" w:cs="宋体"/>
          <w:sz w:val="22"/>
        </w:rPr>
      </w:pPr>
      <w:r>
        <w:rPr>
          <w:rFonts w:hint="eastAsia" w:ascii="宋体" w:hAnsi="宋体" w:cs="宋体"/>
          <w:sz w:val="22"/>
        </w:rPr>
        <w:t>（17）法律法规或投标人须知前附表规定的其他情形。</w:t>
      </w:r>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1.5 费用承担</w:t>
      </w:r>
    </w:p>
    <w:p>
      <w:pPr>
        <w:pStyle w:val="3"/>
        <w:kinsoku w:val="0"/>
        <w:overflowPunct w:val="0"/>
        <w:spacing w:line="360" w:lineRule="auto"/>
        <w:ind w:firstLine="330" w:firstLineChars="150"/>
        <w:jc w:val="left"/>
        <w:rPr>
          <w:rFonts w:ascii="宋体" w:hAnsi="宋体" w:cs="宋体"/>
          <w:sz w:val="22"/>
          <w:szCs w:val="22"/>
        </w:rPr>
      </w:pPr>
      <w:r>
        <w:rPr>
          <w:rFonts w:hint="eastAsia" w:ascii="宋体" w:hAnsi="宋体" w:cs="宋体"/>
          <w:sz w:val="22"/>
          <w:szCs w:val="22"/>
        </w:rPr>
        <w:t>投标人准备和参加投标活动发生的费用自理。</w:t>
      </w:r>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1.6 保密</w:t>
      </w:r>
    </w:p>
    <w:p>
      <w:pPr>
        <w:pStyle w:val="3"/>
        <w:kinsoku w:val="0"/>
        <w:overflowPunct w:val="0"/>
        <w:spacing w:after="0" w:line="360" w:lineRule="auto"/>
        <w:ind w:firstLine="330" w:firstLineChars="150"/>
        <w:rPr>
          <w:rFonts w:ascii="宋体" w:hAnsi="宋体" w:cs="宋体"/>
          <w:sz w:val="22"/>
          <w:szCs w:val="22"/>
        </w:rPr>
      </w:pPr>
      <w:r>
        <w:rPr>
          <w:rFonts w:hint="eastAsia" w:ascii="宋体" w:hAnsi="宋体" w:cs="宋体"/>
          <w:sz w:val="22"/>
          <w:szCs w:val="22"/>
        </w:rPr>
        <w:t>参与招标投标活动的各方应对招标文件和投标文件中的商业和技术等秘密保密，否则应承担相应的法律责任。</w:t>
      </w:r>
    </w:p>
    <w:p>
      <w:pPr>
        <w:kinsoku w:val="0"/>
        <w:overflowPunct w:val="0"/>
        <w:spacing w:before="120" w:after="120" w:line="360" w:lineRule="auto"/>
        <w:outlineLvl w:val="2"/>
        <w:rPr>
          <w:rFonts w:ascii="宋体" w:hAnsi="宋体" w:cs="宋体"/>
          <w:b/>
          <w:bCs/>
          <w:sz w:val="22"/>
        </w:rPr>
      </w:pPr>
      <w:bookmarkStart w:id="52" w:name="bookmark27"/>
      <w:bookmarkEnd w:id="52"/>
      <w:r>
        <w:rPr>
          <w:rFonts w:hint="eastAsia" w:ascii="宋体" w:hAnsi="宋体" w:cs="宋体"/>
          <w:b/>
          <w:bCs/>
          <w:sz w:val="22"/>
        </w:rPr>
        <w:t>1.7 语言文字</w:t>
      </w:r>
    </w:p>
    <w:p>
      <w:pPr>
        <w:pStyle w:val="3"/>
        <w:kinsoku w:val="0"/>
        <w:overflowPunct w:val="0"/>
        <w:spacing w:after="0" w:line="360" w:lineRule="auto"/>
        <w:ind w:firstLine="330" w:firstLineChars="150"/>
        <w:rPr>
          <w:rFonts w:ascii="宋体" w:hAnsi="宋体" w:cs="宋体"/>
          <w:sz w:val="22"/>
          <w:szCs w:val="22"/>
        </w:rPr>
      </w:pPr>
      <w:r>
        <w:rPr>
          <w:rFonts w:hint="eastAsia" w:ascii="宋体" w:hAnsi="宋体" w:cs="宋体"/>
          <w:sz w:val="22"/>
          <w:szCs w:val="22"/>
        </w:rPr>
        <w:t>招标投标文件使用的语言文字为中文。专用术语使用外文的，应附有中文注释。</w:t>
      </w:r>
    </w:p>
    <w:p>
      <w:pPr>
        <w:kinsoku w:val="0"/>
        <w:overflowPunct w:val="0"/>
        <w:spacing w:before="120" w:after="120" w:line="360" w:lineRule="auto"/>
        <w:outlineLvl w:val="2"/>
        <w:rPr>
          <w:rFonts w:ascii="宋体" w:hAnsi="宋体" w:cs="宋体"/>
          <w:b/>
          <w:bCs/>
          <w:sz w:val="22"/>
        </w:rPr>
      </w:pPr>
      <w:bookmarkStart w:id="53" w:name="bookmark28"/>
      <w:bookmarkEnd w:id="53"/>
      <w:r>
        <w:rPr>
          <w:rFonts w:hint="eastAsia" w:ascii="宋体" w:hAnsi="宋体" w:cs="宋体"/>
          <w:b/>
          <w:bCs/>
          <w:sz w:val="22"/>
        </w:rPr>
        <w:t>1.8 计量单位</w:t>
      </w:r>
    </w:p>
    <w:p>
      <w:pPr>
        <w:pStyle w:val="3"/>
        <w:kinsoku w:val="0"/>
        <w:overflowPunct w:val="0"/>
        <w:spacing w:line="360" w:lineRule="auto"/>
        <w:ind w:firstLine="436" w:firstLineChars="200"/>
        <w:rPr>
          <w:rFonts w:ascii="宋体" w:hAnsi="宋体" w:cs="宋体"/>
          <w:sz w:val="22"/>
          <w:szCs w:val="22"/>
        </w:rPr>
      </w:pPr>
      <w:r>
        <w:rPr>
          <w:rFonts w:hint="eastAsia" w:ascii="宋体" w:hAnsi="宋体" w:cs="宋体"/>
          <w:spacing w:val="-1"/>
          <w:sz w:val="22"/>
          <w:szCs w:val="22"/>
        </w:rPr>
        <w:t>所有计量均采用中华人民共和国法定计量单位。</w:t>
      </w:r>
    </w:p>
    <w:p>
      <w:pPr>
        <w:kinsoku w:val="0"/>
        <w:overflowPunct w:val="0"/>
        <w:spacing w:before="120" w:after="120" w:line="360" w:lineRule="auto"/>
        <w:outlineLvl w:val="2"/>
        <w:rPr>
          <w:rFonts w:ascii="宋体" w:hAnsi="宋体" w:cs="宋体"/>
          <w:b/>
          <w:bCs/>
          <w:sz w:val="22"/>
        </w:rPr>
      </w:pPr>
      <w:bookmarkStart w:id="54" w:name="bookmark29"/>
      <w:bookmarkEnd w:id="54"/>
      <w:r>
        <w:rPr>
          <w:rFonts w:hint="eastAsia" w:ascii="宋体" w:hAnsi="宋体" w:cs="宋体"/>
          <w:b/>
          <w:bCs/>
          <w:sz w:val="22"/>
        </w:rPr>
        <w:t>1.9 踏勘现场</w:t>
      </w:r>
    </w:p>
    <w:p>
      <w:pPr>
        <w:pStyle w:val="3"/>
        <w:kinsoku w:val="0"/>
        <w:overflowPunct w:val="0"/>
        <w:spacing w:after="0" w:line="360" w:lineRule="auto"/>
        <w:ind w:firstLine="440" w:firstLineChars="200"/>
        <w:rPr>
          <w:rFonts w:ascii="宋体" w:hAnsi="宋体" w:cs="宋体"/>
          <w:sz w:val="22"/>
          <w:szCs w:val="22"/>
        </w:rPr>
      </w:pPr>
      <w:r>
        <w:rPr>
          <w:rFonts w:hint="eastAsia" w:ascii="宋体" w:hAnsi="宋体" w:cs="宋体"/>
          <w:sz w:val="22"/>
          <w:szCs w:val="22"/>
        </w:rPr>
        <w:t>1.9.1投标人须知前附表规定组织踏勘现场的，招标人按投标人须知前附表规定的时间、地点组织投标人踏勘项目现场。部分投标人未按时参加踏勘现场的，不影响踏勘现场的正常进行。</w:t>
      </w:r>
    </w:p>
    <w:p>
      <w:pPr>
        <w:pStyle w:val="3"/>
        <w:kinsoku w:val="0"/>
        <w:overflowPunct w:val="0"/>
        <w:spacing w:after="0" w:line="360" w:lineRule="auto"/>
        <w:ind w:firstLine="440" w:firstLineChars="200"/>
        <w:rPr>
          <w:rFonts w:ascii="宋体" w:hAnsi="宋体" w:cs="宋体"/>
          <w:sz w:val="22"/>
          <w:szCs w:val="22"/>
        </w:rPr>
      </w:pPr>
      <w:r>
        <w:rPr>
          <w:rFonts w:hint="eastAsia" w:ascii="宋体" w:hAnsi="宋体" w:cs="宋体"/>
          <w:sz w:val="22"/>
          <w:szCs w:val="22"/>
        </w:rPr>
        <w:t>1.9.2投标人踏勘现场发生的费用自理。</w:t>
      </w:r>
    </w:p>
    <w:p>
      <w:pPr>
        <w:pStyle w:val="3"/>
        <w:kinsoku w:val="0"/>
        <w:overflowPunct w:val="0"/>
        <w:spacing w:after="0" w:line="360" w:lineRule="auto"/>
        <w:ind w:firstLine="440" w:firstLineChars="200"/>
        <w:rPr>
          <w:rFonts w:ascii="宋体" w:hAnsi="宋体" w:cs="宋体"/>
          <w:sz w:val="22"/>
          <w:szCs w:val="22"/>
        </w:rPr>
      </w:pPr>
      <w:r>
        <w:rPr>
          <w:rFonts w:hint="eastAsia" w:ascii="宋体" w:hAnsi="宋体" w:cs="宋体"/>
          <w:sz w:val="22"/>
          <w:szCs w:val="22"/>
        </w:rPr>
        <w:t>1.9.3除招标人的原因外，投标人自行负责在踏勘现场中所发生的人员伤亡和财产损失。</w:t>
      </w:r>
    </w:p>
    <w:p>
      <w:pPr>
        <w:pStyle w:val="3"/>
        <w:kinsoku w:val="0"/>
        <w:overflowPunct w:val="0"/>
        <w:spacing w:after="0" w:line="360" w:lineRule="auto"/>
        <w:ind w:firstLine="440" w:firstLineChars="200"/>
        <w:rPr>
          <w:rFonts w:ascii="宋体" w:hAnsi="宋体" w:cs="宋体"/>
          <w:sz w:val="22"/>
          <w:szCs w:val="22"/>
        </w:rPr>
      </w:pPr>
      <w:r>
        <w:rPr>
          <w:rFonts w:hint="eastAsia" w:ascii="宋体" w:hAnsi="宋体" w:cs="宋体"/>
          <w:sz w:val="22"/>
          <w:szCs w:val="22"/>
        </w:rPr>
        <w:t>1.9.4招标人在踏勘现场中介绍的工程场地和相关的周边环境情况，供投标人在编制投标文件时参考，招标人不对投标人据此作出的判断和决策负责。</w:t>
      </w:r>
    </w:p>
    <w:p>
      <w:pPr>
        <w:kinsoku w:val="0"/>
        <w:overflowPunct w:val="0"/>
        <w:spacing w:before="120" w:after="120" w:line="360" w:lineRule="auto"/>
        <w:outlineLvl w:val="2"/>
        <w:rPr>
          <w:rFonts w:ascii="宋体" w:hAnsi="宋体" w:cs="宋体"/>
          <w:b/>
          <w:bCs/>
          <w:sz w:val="22"/>
        </w:rPr>
      </w:pPr>
      <w:bookmarkStart w:id="55" w:name="bookmark30"/>
      <w:bookmarkEnd w:id="55"/>
      <w:r>
        <w:rPr>
          <w:rFonts w:hint="eastAsia" w:ascii="宋体" w:hAnsi="宋体" w:cs="宋体"/>
          <w:b/>
          <w:bCs/>
          <w:sz w:val="22"/>
        </w:rPr>
        <w:t>1.10 投标预备会</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1.10.1投标人须知前附表规定召开投标预备会的，招标人按投标人须知前附表规定的时间和地点召开投标预备会，澄清投标人提出的问题。</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1.10.2投标人应按投标人须知前附表规定的时间和形式将提出的问题送达招标人，以便招标人在会议期间澄清。</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1.10.3投标预备会后，招标人将对投标人所提问题的澄清，以投标人须知前附表规定的形式通知所有潜在投标人。该澄清内容为招标文件的组成部分。</w:t>
      </w:r>
      <w:bookmarkStart w:id="56" w:name="bookmark31"/>
      <w:bookmarkEnd w:id="56"/>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1.11 分包</w:t>
      </w:r>
    </w:p>
    <w:p>
      <w:pPr>
        <w:kinsoku w:val="0"/>
        <w:overflowPunct w:val="0"/>
        <w:spacing w:before="120" w:after="120" w:line="360" w:lineRule="auto"/>
        <w:outlineLvl w:val="2"/>
        <w:rPr>
          <w:rFonts w:ascii="宋体" w:hAnsi="宋体" w:cs="宋体"/>
          <w:sz w:val="22"/>
        </w:rPr>
      </w:pPr>
      <w:bookmarkStart w:id="57" w:name="bookmark32"/>
      <w:bookmarkEnd w:id="57"/>
      <w:r>
        <w:rPr>
          <w:rFonts w:hint="eastAsia" w:ascii="宋体" w:hAnsi="宋体" w:cs="宋体"/>
          <w:sz w:val="22"/>
        </w:rPr>
        <w:t>1.11.1分包：</w:t>
      </w:r>
      <w:r>
        <w:rPr>
          <w:rFonts w:hint="eastAsia" w:ascii="宋体" w:hAnsi="宋体" w:cs="宋体"/>
          <w:sz w:val="22"/>
          <w:u w:val="single"/>
        </w:rPr>
        <w:t>见投标人须知前附表</w:t>
      </w:r>
      <w:r>
        <w:rPr>
          <w:rFonts w:hint="eastAsia" w:ascii="宋体" w:hAnsi="宋体" w:cs="宋体"/>
          <w:sz w:val="22"/>
        </w:rPr>
        <w:t>。</w:t>
      </w:r>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1.12 响应和偏差</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1.12.1投标文件应当对招标文件的实质性要求和条件作出满足性或更有利于招标人的响应，否则，投标人的投标将被否决。实质性要求和条件见投标人须知前附表。</w:t>
      </w:r>
    </w:p>
    <w:p>
      <w:pPr>
        <w:kinsoku w:val="0"/>
        <w:overflowPunct w:val="0"/>
        <w:spacing w:line="360" w:lineRule="auto"/>
        <w:ind w:firstLine="444" w:firstLineChars="202"/>
        <w:jc w:val="left"/>
        <w:rPr>
          <w:rFonts w:ascii="宋体" w:hAnsi="宋体" w:cs="宋体"/>
          <w:sz w:val="22"/>
        </w:rPr>
      </w:pPr>
      <w:r>
        <w:rPr>
          <w:rFonts w:hint="eastAsia" w:ascii="宋体" w:hAnsi="宋体" w:cs="宋体"/>
          <w:sz w:val="22"/>
        </w:rPr>
        <w:t>1.12.2投标人应根据招标文件的要求提供技术方案等内容以对招标文件作出响应。</w:t>
      </w:r>
    </w:p>
    <w:p>
      <w:pPr>
        <w:kinsoku w:val="0"/>
        <w:overflowPunct w:val="0"/>
        <w:spacing w:line="360" w:lineRule="auto"/>
        <w:ind w:firstLine="444" w:firstLineChars="202"/>
        <w:jc w:val="left"/>
        <w:rPr>
          <w:rFonts w:ascii="宋体" w:hAnsi="宋体" w:cs="宋体"/>
          <w:sz w:val="28"/>
          <w:szCs w:val="28"/>
        </w:rPr>
      </w:pPr>
      <w:r>
        <w:rPr>
          <w:rFonts w:hint="eastAsia" w:ascii="宋体" w:hAnsi="宋体" w:cs="宋体"/>
          <w:sz w:val="22"/>
        </w:rPr>
        <w:t>1.12.3投标人须知前附表允许投标文件偏离招标文件某些要求，偏差应当符合招标文件规定的偏差范围和幅度。</w:t>
      </w:r>
      <w:bookmarkStart w:id="58" w:name="_Toc377719901"/>
      <w:bookmarkStart w:id="59" w:name="_Toc532367874"/>
      <w:bookmarkStart w:id="60" w:name="_Toc8160"/>
      <w:bookmarkStart w:id="61" w:name="_Toc8885"/>
      <w:bookmarkStart w:id="62" w:name="_Toc4330"/>
      <w:bookmarkStart w:id="63" w:name="_Toc31365"/>
      <w:bookmarkStart w:id="64" w:name="_Toc22910"/>
      <w:bookmarkStart w:id="65" w:name="_Toc3119"/>
    </w:p>
    <w:p>
      <w:pPr>
        <w:keepNext/>
        <w:keepLines/>
        <w:spacing w:before="240" w:after="240" w:line="416" w:lineRule="auto"/>
        <w:outlineLvl w:val="1"/>
        <w:rPr>
          <w:rFonts w:ascii="宋体" w:hAnsi="宋体" w:cs="宋体"/>
          <w:b/>
          <w:bCs/>
          <w:sz w:val="40"/>
          <w:szCs w:val="32"/>
        </w:rPr>
      </w:pPr>
      <w:bookmarkStart w:id="66" w:name="_Toc38224840"/>
      <w:bookmarkStart w:id="67" w:name="_Toc31503"/>
      <w:bookmarkStart w:id="68" w:name="_Toc32443"/>
      <w:bookmarkStart w:id="69" w:name="_Toc16602"/>
      <w:bookmarkStart w:id="70" w:name="_Toc24924"/>
      <w:r>
        <w:rPr>
          <w:rFonts w:hint="eastAsia" w:ascii="宋体" w:hAnsi="宋体" w:cs="宋体"/>
          <w:b/>
          <w:bCs/>
          <w:sz w:val="40"/>
          <w:szCs w:val="32"/>
        </w:rPr>
        <w:t>2.招标文件</w:t>
      </w:r>
      <w:bookmarkEnd w:id="58"/>
      <w:bookmarkEnd w:id="59"/>
      <w:bookmarkEnd w:id="60"/>
      <w:bookmarkEnd w:id="61"/>
      <w:bookmarkEnd w:id="62"/>
      <w:bookmarkEnd w:id="63"/>
      <w:bookmarkEnd w:id="64"/>
      <w:bookmarkEnd w:id="65"/>
      <w:bookmarkEnd w:id="66"/>
      <w:bookmarkEnd w:id="67"/>
      <w:bookmarkEnd w:id="68"/>
      <w:bookmarkEnd w:id="69"/>
      <w:bookmarkEnd w:id="70"/>
    </w:p>
    <w:p>
      <w:pPr>
        <w:keepNext/>
        <w:keepLines/>
        <w:spacing w:before="120" w:after="120" w:line="360" w:lineRule="auto"/>
        <w:outlineLvl w:val="2"/>
        <w:rPr>
          <w:rFonts w:ascii="宋体" w:hAnsi="宋体" w:cs="宋体"/>
          <w:b/>
          <w:bCs/>
          <w:sz w:val="22"/>
        </w:rPr>
      </w:pPr>
      <w:r>
        <w:rPr>
          <w:rFonts w:hint="eastAsia" w:ascii="宋体" w:hAnsi="宋体" w:cs="宋体"/>
          <w:b/>
          <w:bCs/>
          <w:sz w:val="22"/>
        </w:rPr>
        <w:t>2.1  招标文件的组成</w:t>
      </w:r>
    </w:p>
    <w:p>
      <w:pPr>
        <w:spacing w:line="360" w:lineRule="auto"/>
        <w:ind w:firstLine="444" w:firstLineChars="202"/>
        <w:jc w:val="left"/>
        <w:rPr>
          <w:rFonts w:ascii="宋体" w:hAnsi="宋体" w:cs="宋体"/>
          <w:sz w:val="22"/>
        </w:rPr>
      </w:pPr>
      <w:r>
        <w:rPr>
          <w:rFonts w:hint="eastAsia" w:ascii="宋体" w:hAnsi="宋体" w:cs="宋体"/>
          <w:sz w:val="22"/>
        </w:rPr>
        <w:t>本招标文件包括：</w:t>
      </w:r>
    </w:p>
    <w:p>
      <w:pPr>
        <w:spacing w:line="360" w:lineRule="auto"/>
        <w:ind w:firstLine="444" w:firstLineChars="202"/>
        <w:jc w:val="left"/>
        <w:rPr>
          <w:rFonts w:ascii="宋体" w:hAnsi="宋体" w:cs="宋体"/>
          <w:sz w:val="22"/>
        </w:rPr>
      </w:pPr>
      <w:r>
        <w:rPr>
          <w:rFonts w:hint="eastAsia" w:ascii="宋体" w:hAnsi="宋体" w:cs="宋体"/>
          <w:sz w:val="22"/>
        </w:rPr>
        <w:t>（1）招标公告（或投标邀请书）；</w:t>
      </w:r>
    </w:p>
    <w:p>
      <w:pPr>
        <w:spacing w:line="360" w:lineRule="auto"/>
        <w:ind w:firstLine="444" w:firstLineChars="202"/>
        <w:jc w:val="left"/>
        <w:rPr>
          <w:rFonts w:ascii="宋体" w:hAnsi="宋体" w:cs="宋体"/>
          <w:sz w:val="22"/>
        </w:rPr>
      </w:pPr>
      <w:r>
        <w:rPr>
          <w:rFonts w:hint="eastAsia" w:ascii="宋体" w:hAnsi="宋体" w:cs="宋体"/>
          <w:sz w:val="22"/>
        </w:rPr>
        <w:t>（2）投标人须知；</w:t>
      </w:r>
    </w:p>
    <w:p>
      <w:pPr>
        <w:spacing w:line="360" w:lineRule="auto"/>
        <w:ind w:firstLine="444" w:firstLineChars="202"/>
        <w:jc w:val="left"/>
        <w:rPr>
          <w:rFonts w:ascii="宋体" w:hAnsi="宋体" w:cs="宋体"/>
          <w:sz w:val="22"/>
        </w:rPr>
      </w:pPr>
      <w:r>
        <w:rPr>
          <w:rFonts w:hint="eastAsia" w:ascii="宋体" w:hAnsi="宋体" w:cs="宋体"/>
          <w:sz w:val="22"/>
        </w:rPr>
        <w:t>（3）评标办法；</w:t>
      </w:r>
    </w:p>
    <w:p>
      <w:pPr>
        <w:spacing w:line="360" w:lineRule="auto"/>
        <w:ind w:firstLine="444" w:firstLineChars="202"/>
        <w:jc w:val="left"/>
        <w:rPr>
          <w:rFonts w:ascii="宋体" w:hAnsi="宋体" w:cs="宋体"/>
          <w:sz w:val="22"/>
        </w:rPr>
      </w:pPr>
      <w:r>
        <w:rPr>
          <w:rFonts w:hint="eastAsia" w:ascii="宋体" w:hAnsi="宋体" w:cs="宋体"/>
          <w:sz w:val="22"/>
        </w:rPr>
        <w:t>（4）合同条款及格式；</w:t>
      </w:r>
    </w:p>
    <w:p>
      <w:pPr>
        <w:spacing w:line="360" w:lineRule="auto"/>
        <w:ind w:firstLine="444" w:firstLineChars="202"/>
        <w:jc w:val="left"/>
        <w:rPr>
          <w:rFonts w:ascii="宋体" w:hAnsi="宋体" w:cs="宋体"/>
          <w:strike/>
          <w:sz w:val="22"/>
        </w:rPr>
      </w:pPr>
      <w:r>
        <w:rPr>
          <w:rFonts w:hint="eastAsia" w:ascii="宋体" w:hAnsi="宋体" w:cs="宋体"/>
          <w:strike/>
          <w:sz w:val="22"/>
        </w:rPr>
        <w:t>（5）技术条件</w:t>
      </w:r>
    </w:p>
    <w:p>
      <w:pPr>
        <w:spacing w:line="360" w:lineRule="auto"/>
        <w:ind w:firstLine="444" w:firstLineChars="202"/>
        <w:jc w:val="left"/>
        <w:rPr>
          <w:rFonts w:ascii="宋体" w:hAnsi="宋体" w:cs="宋体"/>
          <w:strike w:val="0"/>
          <w:sz w:val="22"/>
        </w:rPr>
      </w:pPr>
      <w:r>
        <w:rPr>
          <w:rFonts w:hint="eastAsia" w:ascii="宋体" w:hAnsi="宋体" w:cs="宋体"/>
          <w:strike w:val="0"/>
          <w:sz w:val="22"/>
        </w:rPr>
        <w:t>（6）工程量清单；</w:t>
      </w:r>
    </w:p>
    <w:p>
      <w:pPr>
        <w:spacing w:line="360" w:lineRule="auto"/>
        <w:ind w:firstLine="444" w:firstLineChars="202"/>
        <w:jc w:val="left"/>
        <w:rPr>
          <w:rFonts w:ascii="宋体" w:hAnsi="宋体" w:cs="宋体"/>
          <w:sz w:val="22"/>
        </w:rPr>
      </w:pPr>
      <w:r>
        <w:rPr>
          <w:rFonts w:hint="eastAsia" w:ascii="宋体" w:hAnsi="宋体" w:cs="宋体"/>
          <w:sz w:val="22"/>
        </w:rPr>
        <w:t>（7）投标文件格式；</w:t>
      </w:r>
    </w:p>
    <w:p>
      <w:pPr>
        <w:spacing w:line="360" w:lineRule="auto"/>
        <w:ind w:firstLine="444" w:firstLineChars="202"/>
        <w:jc w:val="left"/>
        <w:rPr>
          <w:rFonts w:ascii="宋体" w:hAnsi="宋体" w:cs="宋体"/>
          <w:sz w:val="22"/>
        </w:rPr>
      </w:pPr>
      <w:r>
        <w:rPr>
          <w:rFonts w:hint="eastAsia" w:ascii="宋体" w:hAnsi="宋体" w:cs="宋体"/>
          <w:sz w:val="22"/>
        </w:rPr>
        <w:t>（8）投标人须知前附表规定的其他资料。</w:t>
      </w:r>
    </w:p>
    <w:p>
      <w:pPr>
        <w:spacing w:line="360" w:lineRule="auto"/>
        <w:ind w:firstLine="444" w:firstLineChars="202"/>
        <w:jc w:val="left"/>
        <w:rPr>
          <w:rFonts w:ascii="宋体" w:hAnsi="宋体" w:cs="宋体"/>
          <w:sz w:val="22"/>
        </w:rPr>
      </w:pPr>
      <w:r>
        <w:rPr>
          <w:rFonts w:hint="eastAsia" w:ascii="宋体" w:hAnsi="宋体" w:cs="宋体"/>
          <w:sz w:val="22"/>
        </w:rPr>
        <w:t>根据本章第1.10款、第2.2款和第2.3款对招标文件所作的澄清、修改，构成招标文件的组成部分。</w:t>
      </w:r>
    </w:p>
    <w:p>
      <w:pPr>
        <w:keepNext/>
        <w:keepLines/>
        <w:spacing w:before="120" w:after="120" w:line="360" w:lineRule="auto"/>
        <w:outlineLvl w:val="2"/>
        <w:rPr>
          <w:rFonts w:ascii="宋体" w:hAnsi="宋体" w:cs="宋体"/>
          <w:b/>
          <w:bCs/>
          <w:sz w:val="22"/>
        </w:rPr>
      </w:pPr>
      <w:bookmarkStart w:id="71" w:name="_Toc377719902"/>
      <w:r>
        <w:rPr>
          <w:rFonts w:hint="eastAsia" w:ascii="宋体" w:hAnsi="宋体" w:cs="宋体"/>
          <w:b/>
          <w:bCs/>
          <w:sz w:val="22"/>
        </w:rPr>
        <w:t>2.2.招标文件的澄清</w:t>
      </w:r>
    </w:p>
    <w:p>
      <w:pPr>
        <w:spacing w:line="360" w:lineRule="auto"/>
        <w:ind w:firstLine="444" w:firstLineChars="202"/>
        <w:jc w:val="left"/>
        <w:rPr>
          <w:rFonts w:ascii="宋体" w:hAnsi="宋体" w:cs="宋体"/>
          <w:sz w:val="22"/>
        </w:rPr>
      </w:pPr>
      <w:r>
        <w:rPr>
          <w:rFonts w:hint="eastAsia" w:ascii="宋体" w:hAnsi="宋体" w:cs="宋体"/>
          <w:sz w:val="22"/>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44" w:firstLineChars="202"/>
        <w:jc w:val="left"/>
        <w:rPr>
          <w:rFonts w:ascii="宋体" w:hAnsi="宋体" w:cs="宋体"/>
          <w:sz w:val="22"/>
        </w:rPr>
      </w:pPr>
      <w:r>
        <w:rPr>
          <w:rFonts w:hint="eastAsia" w:ascii="宋体" w:hAnsi="宋体" w:cs="宋体"/>
          <w:sz w:val="22"/>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pPr>
        <w:spacing w:line="360" w:lineRule="auto"/>
        <w:ind w:firstLine="444" w:firstLineChars="202"/>
        <w:jc w:val="left"/>
        <w:rPr>
          <w:rFonts w:ascii="宋体" w:hAnsi="宋体" w:cs="宋体"/>
          <w:sz w:val="22"/>
        </w:rPr>
      </w:pPr>
      <w:r>
        <w:rPr>
          <w:rFonts w:hint="eastAsia" w:ascii="宋体" w:hAnsi="宋体" w:cs="宋体"/>
          <w:sz w:val="22"/>
        </w:rPr>
        <w:t>2.2.3 投标人在收到澄清后，应按投标人须知前附表规定的时间和形式通知招标人，确认已收到该澄清。</w:t>
      </w:r>
    </w:p>
    <w:p>
      <w:pPr>
        <w:spacing w:line="360" w:lineRule="auto"/>
        <w:ind w:firstLine="444" w:firstLineChars="202"/>
        <w:jc w:val="left"/>
        <w:rPr>
          <w:rFonts w:ascii="宋体" w:hAnsi="宋体" w:cs="宋体"/>
          <w:sz w:val="22"/>
        </w:rPr>
      </w:pPr>
      <w:r>
        <w:rPr>
          <w:rFonts w:hint="eastAsia" w:ascii="宋体" w:hAnsi="宋体" w:cs="宋体"/>
          <w:sz w:val="22"/>
        </w:rPr>
        <w:t>2.2.4除非招标人认为确有必要答复，否则，招标人有权拒绝回复投标人在本章第2.2.1项规定的时间后的任何澄清要求。</w:t>
      </w:r>
    </w:p>
    <w:p>
      <w:pPr>
        <w:kinsoku w:val="0"/>
        <w:overflowPunct w:val="0"/>
        <w:spacing w:before="120" w:after="120" w:line="360" w:lineRule="auto"/>
        <w:outlineLvl w:val="2"/>
        <w:rPr>
          <w:rFonts w:ascii="宋体" w:hAnsi="宋体" w:cs="宋体"/>
          <w:b/>
          <w:bCs/>
          <w:sz w:val="22"/>
        </w:rPr>
      </w:pPr>
      <w:r>
        <w:rPr>
          <w:rFonts w:hint="eastAsia" w:ascii="宋体" w:hAnsi="宋体" w:cs="宋体"/>
          <w:b/>
          <w:bCs/>
          <w:sz w:val="22"/>
        </w:rPr>
        <w:t>2.3 招标文件的修改</w:t>
      </w:r>
    </w:p>
    <w:p>
      <w:pPr>
        <w:spacing w:line="360" w:lineRule="auto"/>
        <w:ind w:firstLine="444" w:firstLineChars="202"/>
        <w:jc w:val="left"/>
        <w:rPr>
          <w:rFonts w:ascii="宋体" w:hAnsi="宋体" w:cs="宋体"/>
          <w:sz w:val="22"/>
        </w:rPr>
      </w:pPr>
      <w:r>
        <w:rPr>
          <w:rFonts w:hint="eastAsia" w:ascii="宋体" w:hAnsi="宋体" w:cs="宋体"/>
          <w:sz w:val="22"/>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pPr>
        <w:spacing w:line="360" w:lineRule="auto"/>
        <w:ind w:firstLine="444" w:firstLineChars="202"/>
        <w:jc w:val="left"/>
        <w:rPr>
          <w:rFonts w:ascii="宋体" w:hAnsi="宋体" w:cs="宋体"/>
          <w:sz w:val="22"/>
        </w:rPr>
      </w:pPr>
      <w:r>
        <w:rPr>
          <w:rFonts w:hint="eastAsia" w:ascii="宋体" w:hAnsi="宋体" w:cs="宋体"/>
          <w:sz w:val="22"/>
        </w:rPr>
        <w:t>2.3.2投标人收到修改内容后，应按投标人须知前附表规定的时间和形式通知招标人，确认已收到该修改。</w:t>
      </w:r>
    </w:p>
    <w:p>
      <w:pPr>
        <w:kinsoku w:val="0"/>
        <w:overflowPunct w:val="0"/>
        <w:spacing w:before="120" w:after="120" w:line="360" w:lineRule="auto"/>
        <w:outlineLvl w:val="2"/>
        <w:rPr>
          <w:rFonts w:ascii="宋体" w:hAnsi="宋体" w:cs="宋体"/>
          <w:b/>
          <w:bCs/>
          <w:sz w:val="22"/>
        </w:rPr>
      </w:pPr>
      <w:bookmarkStart w:id="72" w:name="bookmark37"/>
      <w:bookmarkEnd w:id="72"/>
      <w:r>
        <w:rPr>
          <w:rFonts w:hint="eastAsia" w:ascii="宋体" w:hAnsi="宋体" w:cs="宋体"/>
          <w:b/>
          <w:bCs/>
          <w:sz w:val="22"/>
        </w:rPr>
        <w:t>2.4 招标文件的异议</w:t>
      </w:r>
    </w:p>
    <w:p>
      <w:pPr>
        <w:spacing w:line="360" w:lineRule="auto"/>
        <w:ind w:firstLine="444" w:firstLineChars="202"/>
        <w:jc w:val="left"/>
        <w:rPr>
          <w:rFonts w:ascii="宋体" w:hAnsi="宋体" w:cs="宋体"/>
          <w:sz w:val="28"/>
          <w:szCs w:val="28"/>
        </w:rPr>
      </w:pPr>
      <w:r>
        <w:rPr>
          <w:rFonts w:hint="eastAsia" w:ascii="宋体" w:hAnsi="宋体" w:cs="宋体"/>
          <w:sz w:val="22"/>
        </w:rPr>
        <w:t>投标人或者其他利害关系人对招标文件有异议的，应当在投标截止时间10日前以书面形式提出。招标人将在收到异议之日起3日内作出答复；作出答复前，将暂停招标投标活动。</w:t>
      </w:r>
    </w:p>
    <w:p>
      <w:pPr>
        <w:keepNext/>
        <w:keepLines/>
        <w:spacing w:before="240" w:after="240" w:line="416" w:lineRule="auto"/>
        <w:jc w:val="left"/>
        <w:outlineLvl w:val="1"/>
        <w:rPr>
          <w:rFonts w:ascii="宋体" w:hAnsi="宋体" w:cs="宋体"/>
          <w:b/>
          <w:bCs/>
          <w:sz w:val="40"/>
          <w:szCs w:val="32"/>
        </w:rPr>
      </w:pPr>
      <w:bookmarkStart w:id="73" w:name="_Toc3526"/>
      <w:bookmarkStart w:id="74" w:name="_Toc1157"/>
      <w:bookmarkStart w:id="75" w:name="_Toc29001"/>
      <w:bookmarkStart w:id="76" w:name="_Toc30380"/>
      <w:bookmarkStart w:id="77" w:name="_Toc15723"/>
      <w:bookmarkStart w:id="78" w:name="_Toc14848"/>
      <w:bookmarkStart w:id="79" w:name="_Toc25005"/>
      <w:bookmarkStart w:id="80" w:name="_Toc38224841"/>
      <w:bookmarkStart w:id="81" w:name="_Toc6920"/>
      <w:bookmarkStart w:id="82" w:name="_Toc25907"/>
      <w:bookmarkStart w:id="83" w:name="_Toc23329"/>
      <w:bookmarkStart w:id="84" w:name="_Toc532367875"/>
      <w:r>
        <w:rPr>
          <w:rFonts w:hint="eastAsia" w:ascii="宋体" w:hAnsi="宋体" w:cs="宋体"/>
          <w:b/>
          <w:bCs/>
          <w:sz w:val="40"/>
          <w:szCs w:val="32"/>
        </w:rPr>
        <w:t>3.投标文件</w:t>
      </w:r>
      <w:bookmarkEnd w:id="71"/>
      <w:bookmarkEnd w:id="73"/>
      <w:bookmarkEnd w:id="74"/>
      <w:bookmarkEnd w:id="75"/>
      <w:bookmarkEnd w:id="76"/>
      <w:bookmarkEnd w:id="77"/>
      <w:bookmarkEnd w:id="78"/>
      <w:bookmarkEnd w:id="79"/>
      <w:bookmarkEnd w:id="80"/>
      <w:bookmarkEnd w:id="81"/>
      <w:bookmarkEnd w:id="82"/>
      <w:bookmarkEnd w:id="83"/>
      <w:bookmarkEnd w:id="84"/>
    </w:p>
    <w:p>
      <w:pPr>
        <w:keepNext/>
        <w:keepLines/>
        <w:spacing w:before="120" w:after="120" w:line="360" w:lineRule="auto"/>
        <w:outlineLvl w:val="2"/>
        <w:rPr>
          <w:rFonts w:ascii="宋体" w:hAnsi="宋体" w:cs="宋体"/>
          <w:b/>
          <w:bCs/>
          <w:sz w:val="22"/>
        </w:rPr>
      </w:pPr>
      <w:r>
        <w:rPr>
          <w:rFonts w:hint="eastAsia" w:ascii="宋体" w:hAnsi="宋体" w:cs="宋体"/>
          <w:b/>
          <w:bCs/>
          <w:sz w:val="22"/>
        </w:rPr>
        <w:t>3.1  组成投标文件的文件</w:t>
      </w:r>
    </w:p>
    <w:p>
      <w:pPr>
        <w:spacing w:line="360" w:lineRule="auto"/>
        <w:ind w:firstLine="444" w:firstLineChars="202"/>
        <w:jc w:val="left"/>
        <w:rPr>
          <w:rFonts w:ascii="宋体" w:hAnsi="宋体" w:cs="宋体"/>
          <w:sz w:val="22"/>
        </w:rPr>
      </w:pPr>
      <w:r>
        <w:rPr>
          <w:rFonts w:hint="eastAsia" w:ascii="宋体" w:hAnsi="宋体" w:cs="宋体"/>
          <w:sz w:val="22"/>
        </w:rPr>
        <w:t>3.1.1投标文件应包括下列内容：</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（1）投标函及投标函附录；</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（2）法定代表人身份证明或授权委托书；</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（3）资格审查资料；</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（4）联合体协议书；</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（5）投标保证金（本项不适用）；</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（6）合同条款响应一览表；</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（7）投标人声明；</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（8）拟投入本项目的检测和监测人员一览表；</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（9）拟投入本项目的检测和监测人员简历表；</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（10）类似经验；</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（11）拟投入本项目的主要检测和监测仪器设备一览表；</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（12）检测和监测方案；</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（13）廉洁承诺书；</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（14）投标报价书；</w:t>
      </w:r>
    </w:p>
    <w:p>
      <w:pPr>
        <w:spacing w:line="360" w:lineRule="auto"/>
        <w:ind w:firstLine="444" w:firstLineChars="202"/>
        <w:jc w:val="left"/>
        <w:rPr>
          <w:rFonts w:ascii="宋体" w:hAnsi="宋体" w:cs="宋体"/>
          <w:sz w:val="22"/>
          <w:u w:val="single"/>
        </w:rPr>
      </w:pPr>
      <w:r>
        <w:rPr>
          <w:rFonts w:hint="eastAsia" w:ascii="宋体" w:hAnsi="宋体" w:cs="宋体"/>
          <w:sz w:val="22"/>
          <w:u w:val="single"/>
        </w:rPr>
        <w:t>（15）其他资料。</w:t>
      </w:r>
    </w:p>
    <w:p>
      <w:pPr>
        <w:spacing w:line="360" w:lineRule="auto"/>
        <w:ind w:firstLine="444" w:firstLineChars="202"/>
        <w:jc w:val="left"/>
        <w:rPr>
          <w:rFonts w:ascii="宋体" w:hAnsi="宋体" w:cs="宋体"/>
          <w:sz w:val="22"/>
        </w:rPr>
      </w:pPr>
      <w:r>
        <w:rPr>
          <w:rFonts w:hint="eastAsia" w:ascii="宋体" w:hAnsi="宋体" w:cs="宋体"/>
          <w:sz w:val="22"/>
        </w:rPr>
        <w:t>投标人须知前附表规定的其他资料，投标人认为有必要提交的其他资料。投标人在评标过程中作出的符合法律法规和招标文件规定的澄清确认，构成投标文件的组成部分。</w:t>
      </w:r>
    </w:p>
    <w:p>
      <w:pPr>
        <w:spacing w:line="360" w:lineRule="auto"/>
        <w:ind w:firstLine="444" w:firstLineChars="202"/>
        <w:jc w:val="left"/>
        <w:rPr>
          <w:rFonts w:ascii="宋体" w:hAnsi="宋体" w:cs="宋体"/>
          <w:sz w:val="22"/>
        </w:rPr>
      </w:pPr>
      <w:r>
        <w:rPr>
          <w:rFonts w:hint="eastAsia" w:ascii="宋体" w:hAnsi="宋体" w:cs="宋体"/>
          <w:sz w:val="22"/>
        </w:rPr>
        <w:t>3.1.2投标人须知前附表规定不接受联合体投标的，或投标人没有组成联合体的，投标文件不包括本章第3.1.1（5）所指的联合体协议书。</w:t>
      </w:r>
    </w:p>
    <w:p>
      <w:pPr>
        <w:spacing w:line="360" w:lineRule="auto"/>
        <w:ind w:firstLine="444" w:firstLineChars="202"/>
        <w:jc w:val="left"/>
        <w:rPr>
          <w:rFonts w:ascii="宋体" w:hAnsi="宋体" w:cs="宋体"/>
          <w:sz w:val="22"/>
        </w:rPr>
      </w:pPr>
      <w:r>
        <w:rPr>
          <w:rFonts w:hint="eastAsia" w:ascii="宋体" w:hAnsi="宋体" w:cs="宋体"/>
          <w:sz w:val="22"/>
        </w:rPr>
        <w:t>3.1.3投标人须知前附表未要求提交投标保证金的，投标文件不包括本章第3.1.1（6）所指的投标保证金。</w:t>
      </w:r>
    </w:p>
    <w:p>
      <w:pPr>
        <w:keepNext/>
        <w:keepLines/>
        <w:spacing w:before="120" w:after="120" w:line="360" w:lineRule="auto"/>
        <w:outlineLvl w:val="2"/>
        <w:rPr>
          <w:rFonts w:ascii="宋体" w:hAnsi="宋体" w:cs="宋体"/>
          <w:b/>
          <w:bCs/>
          <w:sz w:val="22"/>
        </w:rPr>
      </w:pPr>
      <w:r>
        <w:rPr>
          <w:rFonts w:hint="eastAsia" w:ascii="宋体" w:hAnsi="宋体" w:cs="宋体"/>
          <w:b/>
          <w:bCs/>
          <w:sz w:val="22"/>
        </w:rPr>
        <w:t>3.2  投标价格</w:t>
      </w:r>
    </w:p>
    <w:p>
      <w:pPr>
        <w:spacing w:line="360" w:lineRule="auto"/>
        <w:ind w:firstLine="444" w:firstLineChars="202"/>
        <w:jc w:val="left"/>
        <w:rPr>
          <w:rFonts w:ascii="宋体" w:hAnsi="宋体" w:cs="宋体"/>
          <w:sz w:val="22"/>
        </w:rPr>
      </w:pPr>
      <w:r>
        <w:rPr>
          <w:rFonts w:hint="eastAsia" w:ascii="宋体" w:hAnsi="宋体" w:cs="宋体"/>
          <w:sz w:val="22"/>
        </w:rPr>
        <w:t>3.2.1投标报价应包括国家规定的增值税税金，除投标人须知前附表另有规定外，增值税税金按一般计税方法计算。投标人应按第六章“投标文件格式”的要求在投标函中进行报价并填写报价书。</w:t>
      </w:r>
    </w:p>
    <w:p>
      <w:pPr>
        <w:spacing w:line="360" w:lineRule="auto"/>
        <w:ind w:firstLine="444" w:firstLineChars="202"/>
        <w:jc w:val="left"/>
        <w:rPr>
          <w:rFonts w:ascii="宋体" w:hAnsi="宋体" w:cs="宋体"/>
          <w:sz w:val="22"/>
        </w:rPr>
      </w:pPr>
      <w:r>
        <w:rPr>
          <w:rFonts w:hint="eastAsia" w:ascii="宋体" w:hAnsi="宋体" w:cs="宋体"/>
          <w:sz w:val="22"/>
        </w:rPr>
        <w:t>3.2.2投标人应充分了解该项目的总体情况以及影响投标报价的其他要素。</w:t>
      </w:r>
    </w:p>
    <w:p>
      <w:pPr>
        <w:spacing w:line="360" w:lineRule="auto"/>
        <w:ind w:firstLine="444" w:firstLineChars="202"/>
        <w:jc w:val="left"/>
        <w:rPr>
          <w:rFonts w:ascii="宋体" w:hAnsi="宋体" w:cs="宋体"/>
          <w:sz w:val="22"/>
        </w:rPr>
      </w:pPr>
      <w:r>
        <w:rPr>
          <w:rFonts w:hint="eastAsia" w:ascii="宋体" w:hAnsi="宋体" w:cs="宋体"/>
          <w:sz w:val="22"/>
        </w:rPr>
        <w:t>3.2.3本项目的报价方式见投标人须知前附表。投标人在投标截止时间前修改投标函中的投标报价总额，应同时修改投标文件“报价书”中的相应报价。此修改须符合本章第4.3款的有关要求。</w:t>
      </w:r>
    </w:p>
    <w:p>
      <w:pPr>
        <w:spacing w:line="360" w:lineRule="auto"/>
        <w:ind w:firstLine="444" w:firstLineChars="202"/>
        <w:jc w:val="left"/>
        <w:rPr>
          <w:rFonts w:ascii="宋体" w:hAnsi="宋体" w:cs="宋体"/>
          <w:sz w:val="22"/>
        </w:rPr>
      </w:pPr>
      <w:r>
        <w:rPr>
          <w:rFonts w:hint="eastAsia" w:ascii="宋体" w:hAnsi="宋体" w:cs="宋体"/>
          <w:sz w:val="22"/>
        </w:rPr>
        <w:t>3.2.4招标人设有最高投标限价的，投标人的投标报价不得超过最高投标限价，最高投标限价在投标人须知前附表中载明。</w:t>
      </w:r>
    </w:p>
    <w:p>
      <w:pPr>
        <w:spacing w:line="360" w:lineRule="auto"/>
        <w:ind w:firstLine="444" w:firstLineChars="202"/>
        <w:jc w:val="left"/>
        <w:rPr>
          <w:rFonts w:ascii="宋体" w:hAnsi="宋体" w:cs="宋体"/>
          <w:sz w:val="22"/>
        </w:rPr>
      </w:pPr>
      <w:r>
        <w:rPr>
          <w:rFonts w:hint="eastAsia" w:ascii="宋体" w:hAnsi="宋体" w:cs="宋体"/>
          <w:sz w:val="22"/>
        </w:rPr>
        <w:t>3.2.5投标报价的其他要求见投标人须知前附表。</w:t>
      </w:r>
    </w:p>
    <w:p>
      <w:pPr>
        <w:keepNext/>
        <w:keepLines/>
        <w:spacing w:before="120" w:after="120" w:line="360" w:lineRule="auto"/>
        <w:outlineLvl w:val="2"/>
        <w:rPr>
          <w:rFonts w:ascii="宋体" w:hAnsi="宋体" w:cs="宋体"/>
          <w:b/>
          <w:bCs/>
          <w:sz w:val="22"/>
        </w:rPr>
      </w:pPr>
      <w:r>
        <w:rPr>
          <w:rFonts w:hint="eastAsia" w:ascii="宋体" w:hAnsi="宋体" w:cs="宋体"/>
          <w:b/>
          <w:bCs/>
          <w:sz w:val="22"/>
        </w:rPr>
        <w:t>3.3 投标有效期</w:t>
      </w:r>
    </w:p>
    <w:p>
      <w:pPr>
        <w:spacing w:line="360" w:lineRule="auto"/>
        <w:ind w:firstLine="444" w:firstLineChars="202"/>
        <w:jc w:val="left"/>
        <w:rPr>
          <w:rFonts w:ascii="宋体" w:hAnsi="宋体" w:cs="宋体"/>
          <w:sz w:val="22"/>
        </w:rPr>
      </w:pPr>
      <w:r>
        <w:rPr>
          <w:rFonts w:hint="eastAsia" w:ascii="宋体" w:hAnsi="宋体" w:cs="宋体"/>
          <w:sz w:val="22"/>
        </w:rPr>
        <w:t>3.3.1除投标人须知前附表另有规定外，投标有效期为120天。</w:t>
      </w:r>
    </w:p>
    <w:p>
      <w:pPr>
        <w:spacing w:line="360" w:lineRule="auto"/>
        <w:ind w:firstLine="444" w:firstLineChars="202"/>
        <w:jc w:val="left"/>
        <w:rPr>
          <w:rFonts w:ascii="宋体" w:hAnsi="宋体" w:cs="宋体"/>
          <w:sz w:val="22"/>
        </w:rPr>
      </w:pPr>
      <w:r>
        <w:rPr>
          <w:rFonts w:hint="eastAsia" w:ascii="宋体" w:hAnsi="宋体" w:cs="宋体"/>
          <w:sz w:val="22"/>
        </w:rPr>
        <w:t>3.3.2在投标有效期内，投标人撤销投标文件的，应承担招标文件和法律规定的责任。</w:t>
      </w:r>
    </w:p>
    <w:p>
      <w:pPr>
        <w:spacing w:line="360" w:lineRule="auto"/>
        <w:ind w:firstLine="444" w:firstLineChars="202"/>
        <w:jc w:val="left"/>
        <w:rPr>
          <w:rFonts w:ascii="宋体" w:hAnsi="宋体" w:cs="宋体"/>
          <w:sz w:val="22"/>
        </w:rPr>
      </w:pPr>
      <w:r>
        <w:rPr>
          <w:rFonts w:hint="eastAsia" w:ascii="宋体" w:hAnsi="宋体" w:cs="宋体"/>
          <w:sz w:val="22"/>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keepNext/>
        <w:keepLines/>
        <w:spacing w:before="120" w:after="120" w:line="360" w:lineRule="auto"/>
        <w:outlineLvl w:val="2"/>
        <w:rPr>
          <w:rFonts w:ascii="宋体" w:hAnsi="宋体" w:cs="宋体"/>
          <w:b/>
          <w:bCs/>
          <w:sz w:val="22"/>
        </w:rPr>
      </w:pPr>
      <w:r>
        <w:rPr>
          <w:rFonts w:hint="eastAsia" w:ascii="宋体" w:hAnsi="宋体" w:cs="宋体"/>
          <w:b/>
          <w:bCs/>
          <w:sz w:val="22"/>
        </w:rPr>
        <w:t>3.4  投标保证金（</w:t>
      </w:r>
      <w:r>
        <w:rPr>
          <w:rFonts w:hint="eastAsia" w:ascii="宋体" w:hAnsi="宋体" w:cs="宋体"/>
          <w:b/>
          <w:bCs/>
          <w:sz w:val="22"/>
          <w:u w:val="single"/>
        </w:rPr>
        <w:t>本项不适用</w:t>
      </w:r>
      <w:r>
        <w:rPr>
          <w:rFonts w:hint="eastAsia" w:ascii="宋体" w:hAnsi="宋体" w:cs="宋体"/>
          <w:b/>
          <w:bCs/>
          <w:sz w:val="22"/>
        </w:rPr>
        <w:t>）</w:t>
      </w:r>
    </w:p>
    <w:p>
      <w:pPr>
        <w:spacing w:line="360" w:lineRule="auto"/>
        <w:ind w:firstLine="440" w:firstLineChars="200"/>
        <w:jc w:val="left"/>
        <w:rPr>
          <w:rFonts w:ascii="宋体" w:hAnsi="宋体" w:cs="宋体"/>
          <w:strike/>
          <w:sz w:val="22"/>
        </w:rPr>
      </w:pPr>
      <w:r>
        <w:rPr>
          <w:rFonts w:hint="eastAsia" w:ascii="宋体" w:hAnsi="宋体" w:cs="宋体"/>
          <w:strike/>
          <w:sz w:val="22"/>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40" w:firstLineChars="200"/>
        <w:jc w:val="left"/>
        <w:rPr>
          <w:rFonts w:ascii="宋体" w:hAnsi="宋体" w:cs="宋体"/>
          <w:strike/>
          <w:sz w:val="22"/>
        </w:rPr>
      </w:pPr>
      <w:r>
        <w:rPr>
          <w:rFonts w:hint="eastAsia" w:ascii="宋体" w:hAnsi="宋体" w:cs="宋体"/>
          <w:strike/>
          <w:sz w:val="22"/>
        </w:rPr>
        <w:t>3.4.2投标人不按本章第3.4.1项要求提交投标保证金的，评标委员会将否决其投标。</w:t>
      </w:r>
    </w:p>
    <w:p>
      <w:pPr>
        <w:spacing w:line="360" w:lineRule="auto"/>
        <w:ind w:firstLine="440" w:firstLineChars="200"/>
        <w:jc w:val="left"/>
        <w:rPr>
          <w:rFonts w:ascii="宋体" w:hAnsi="宋体" w:cs="宋体"/>
          <w:strike/>
          <w:sz w:val="22"/>
        </w:rPr>
      </w:pPr>
      <w:r>
        <w:rPr>
          <w:rFonts w:hint="eastAsia" w:ascii="宋体" w:hAnsi="宋体" w:cs="宋体"/>
          <w:strike/>
          <w:sz w:val="22"/>
        </w:rPr>
        <w:t>3.4.3招标人最迟将在与中标人签订合同后5日内，向未中标的投标人和中标人退还投标保证金。投标保证金以现金或者支票形式递交的，还应退还银行同期存款利息。</w:t>
      </w:r>
    </w:p>
    <w:p>
      <w:pPr>
        <w:spacing w:line="360" w:lineRule="auto"/>
        <w:ind w:firstLine="440" w:firstLineChars="200"/>
        <w:jc w:val="left"/>
        <w:rPr>
          <w:rFonts w:ascii="宋体" w:hAnsi="宋体" w:cs="宋体"/>
          <w:strike/>
          <w:sz w:val="22"/>
        </w:rPr>
      </w:pPr>
      <w:r>
        <w:rPr>
          <w:rFonts w:hint="eastAsia" w:ascii="宋体" w:hAnsi="宋体" w:cs="宋体"/>
          <w:strike/>
          <w:sz w:val="22"/>
        </w:rPr>
        <w:t>3.4.4有下列情形之一的，投标保证金将不予退还：</w:t>
      </w:r>
    </w:p>
    <w:p>
      <w:pPr>
        <w:spacing w:line="360" w:lineRule="auto"/>
        <w:ind w:firstLine="220" w:firstLineChars="100"/>
        <w:jc w:val="left"/>
        <w:rPr>
          <w:rFonts w:ascii="宋体" w:hAnsi="宋体" w:cs="宋体"/>
          <w:strike/>
          <w:sz w:val="22"/>
        </w:rPr>
      </w:pPr>
      <w:r>
        <w:rPr>
          <w:rFonts w:hint="eastAsia" w:ascii="宋体" w:hAnsi="宋体" w:cs="宋体"/>
          <w:strike/>
          <w:sz w:val="22"/>
        </w:rPr>
        <w:t>（1）投标人在投标有效期内撤销投标文件；</w:t>
      </w:r>
    </w:p>
    <w:p>
      <w:pPr>
        <w:spacing w:line="360" w:lineRule="auto"/>
        <w:ind w:firstLine="220" w:firstLineChars="100"/>
        <w:jc w:val="left"/>
        <w:rPr>
          <w:rFonts w:ascii="宋体" w:hAnsi="宋体" w:cs="宋体"/>
          <w:strike/>
          <w:sz w:val="22"/>
        </w:rPr>
      </w:pPr>
      <w:r>
        <w:rPr>
          <w:rFonts w:hint="eastAsia" w:ascii="宋体" w:hAnsi="宋体" w:cs="宋体"/>
          <w:strike/>
          <w:sz w:val="22"/>
        </w:rPr>
        <w:t>（2）中标人在收到中标通知书后，无正当理由不与招标人订立合同，在签订合同时向招标人提出附加条件，或者不按照招标文件要求提交履约保证金；</w:t>
      </w:r>
    </w:p>
    <w:p>
      <w:pPr>
        <w:spacing w:line="360" w:lineRule="auto"/>
        <w:ind w:firstLine="220" w:firstLineChars="100"/>
        <w:jc w:val="left"/>
        <w:rPr>
          <w:rFonts w:ascii="宋体" w:hAnsi="宋体" w:cs="宋体"/>
          <w:strike/>
          <w:sz w:val="22"/>
        </w:rPr>
      </w:pPr>
      <w:r>
        <w:rPr>
          <w:rFonts w:hint="eastAsia" w:ascii="宋体" w:hAnsi="宋体" w:cs="宋体"/>
          <w:strike/>
          <w:sz w:val="22"/>
        </w:rPr>
        <w:t>（3）发生投标人须知前附表规定的其他可以不予退还投标保证金的情形。</w:t>
      </w:r>
    </w:p>
    <w:p>
      <w:pPr>
        <w:keepNext/>
        <w:keepLines/>
        <w:spacing w:before="120" w:after="120" w:line="360" w:lineRule="auto"/>
        <w:jc w:val="left"/>
        <w:outlineLvl w:val="2"/>
        <w:rPr>
          <w:rFonts w:ascii="宋体" w:hAnsi="宋体" w:cs="宋体"/>
          <w:b/>
          <w:bCs/>
          <w:sz w:val="22"/>
        </w:rPr>
      </w:pPr>
      <w:r>
        <w:rPr>
          <w:rFonts w:hint="eastAsia" w:ascii="宋体" w:hAnsi="宋体" w:cs="宋体"/>
          <w:b/>
          <w:bCs/>
          <w:sz w:val="22"/>
        </w:rPr>
        <w:t xml:space="preserve">3.5  </w:t>
      </w:r>
      <w:bookmarkStart w:id="85" w:name="_Toc511383850"/>
      <w:r>
        <w:rPr>
          <w:rFonts w:hint="eastAsia" w:ascii="宋体" w:hAnsi="宋体" w:cs="宋体"/>
          <w:b/>
          <w:bCs/>
          <w:sz w:val="22"/>
        </w:rPr>
        <w:t>资格审查资料（适用于未进行资格预审的）</w:t>
      </w:r>
      <w:bookmarkEnd w:id="85"/>
    </w:p>
    <w:p>
      <w:pPr>
        <w:spacing w:line="360" w:lineRule="auto"/>
        <w:ind w:firstLine="444" w:firstLineChars="202"/>
        <w:jc w:val="left"/>
        <w:rPr>
          <w:rFonts w:ascii="宋体" w:hAnsi="宋体" w:cs="宋体"/>
          <w:sz w:val="22"/>
        </w:rPr>
      </w:pPr>
      <w:r>
        <w:rPr>
          <w:rFonts w:hint="eastAsia" w:ascii="宋体" w:hAnsi="宋体" w:cs="宋体"/>
          <w:sz w:val="22"/>
        </w:rPr>
        <w:t>除投标人须知前附表另有规定外，投标人应按下列规定提供资格审查资料，以证明其满足本章第1.4款规定的资质、财务、业绩、信誉等要求。</w:t>
      </w:r>
    </w:p>
    <w:p>
      <w:pPr>
        <w:spacing w:line="360" w:lineRule="auto"/>
        <w:ind w:firstLine="444" w:firstLineChars="202"/>
        <w:jc w:val="left"/>
        <w:rPr>
          <w:rFonts w:ascii="宋体" w:hAnsi="宋体" w:cs="宋体"/>
          <w:sz w:val="22"/>
        </w:rPr>
      </w:pPr>
      <w:r>
        <w:rPr>
          <w:rFonts w:hint="eastAsia" w:ascii="宋体" w:hAnsi="宋体" w:cs="宋体"/>
          <w:sz w:val="22"/>
        </w:rPr>
        <w:t>3.5.1“投标人基本情况表”应附检测投标单位的营业执照副本或事业单位法人证书副本、建设工程质量检测机构资质证书、工程勘察资质证书、CMA计量认证合格证书(检验检测机构资质认定证书)以及其他相关资料。</w:t>
      </w:r>
    </w:p>
    <w:p>
      <w:pPr>
        <w:spacing w:line="360" w:lineRule="auto"/>
        <w:ind w:firstLine="444" w:firstLineChars="202"/>
        <w:jc w:val="left"/>
        <w:rPr>
          <w:rFonts w:ascii="宋体" w:hAnsi="宋体" w:cs="宋体"/>
          <w:sz w:val="22"/>
        </w:rPr>
      </w:pPr>
      <w:r>
        <w:rPr>
          <w:rFonts w:hint="eastAsia" w:ascii="宋体" w:hAnsi="宋体" w:cs="宋体"/>
          <w:sz w:val="22"/>
        </w:rPr>
        <w:t>3.5.2“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pPr>
        <w:spacing w:line="360" w:lineRule="auto"/>
        <w:ind w:firstLine="444" w:firstLineChars="202"/>
        <w:jc w:val="left"/>
        <w:rPr>
          <w:rFonts w:ascii="宋体" w:hAnsi="宋体" w:cs="宋体"/>
          <w:sz w:val="22"/>
        </w:rPr>
      </w:pPr>
      <w:r>
        <w:rPr>
          <w:rFonts w:hint="eastAsia" w:ascii="宋体" w:hAnsi="宋体" w:cs="宋体"/>
          <w:sz w:val="22"/>
        </w:rPr>
        <w:t>3.5.3“近年完成的类似项目情况表”应附合同协议书、检测报告关键页的证明文件；具体时间要求见投标人须知前附表，每张表格只填写一个项目，并标明序号。</w:t>
      </w:r>
    </w:p>
    <w:p>
      <w:pPr>
        <w:spacing w:line="360" w:lineRule="auto"/>
        <w:ind w:firstLine="444" w:firstLineChars="202"/>
        <w:jc w:val="left"/>
        <w:rPr>
          <w:rFonts w:ascii="宋体" w:hAnsi="宋体" w:cs="宋体"/>
          <w:sz w:val="22"/>
        </w:rPr>
      </w:pPr>
      <w:r>
        <w:rPr>
          <w:rFonts w:hint="eastAsia" w:ascii="宋体" w:hAnsi="宋体" w:cs="宋体"/>
          <w:sz w:val="22"/>
        </w:rPr>
        <w:t>3.5.4 “正在服务和新承接的项目情况表”应附中标通知书或合同协议书扫描件。每张表格只填写一个项目，并标明序号。</w:t>
      </w:r>
    </w:p>
    <w:p>
      <w:pPr>
        <w:spacing w:line="360" w:lineRule="auto"/>
        <w:ind w:firstLine="444" w:firstLineChars="202"/>
        <w:jc w:val="left"/>
        <w:rPr>
          <w:rFonts w:ascii="宋体" w:hAnsi="宋体" w:cs="宋体"/>
          <w:sz w:val="22"/>
        </w:rPr>
      </w:pPr>
      <w:r>
        <w:rPr>
          <w:rFonts w:hint="eastAsia" w:ascii="宋体" w:hAnsi="宋体" w:cs="宋体"/>
          <w:sz w:val="22"/>
        </w:rPr>
        <w:t>3.5.5“近年发生的诉讼及仲裁情况”应说明投标人败诉的服务合同的相关情况，并附法院或仲裁机构作出的判决、裁决等有关法律文书扫描件，具体时间要求见投标人须知前附表。</w:t>
      </w:r>
    </w:p>
    <w:p>
      <w:pPr>
        <w:spacing w:line="360" w:lineRule="auto"/>
        <w:ind w:firstLine="444" w:firstLineChars="202"/>
        <w:jc w:val="left"/>
        <w:rPr>
          <w:rFonts w:ascii="宋体" w:hAnsi="宋体" w:cs="宋体"/>
          <w:sz w:val="22"/>
        </w:rPr>
      </w:pPr>
      <w:r>
        <w:rPr>
          <w:rFonts w:hint="eastAsia" w:ascii="宋体" w:hAnsi="宋体" w:cs="宋体"/>
          <w:sz w:val="22"/>
        </w:rPr>
        <w:t>3.5.6“拟投入本项目的检测和监测人员一览表”应填报满足本章第1.4.1项规定的项目负责人和其他主要人员的相关信息。“拟投入本项目的主要人员简历表”中项目负责人应附学历证、职称证、身份证、上岗证或检测员证和社保缴费证明扫描件，主持过类似检测（监测）工程的业绩合同扫描件；其他主要人员应附学历证、职称证、身份证、上岗证或检测员证等有关证书和社保缴费证明扫描件。</w:t>
      </w:r>
    </w:p>
    <w:p>
      <w:pPr>
        <w:spacing w:line="360" w:lineRule="auto"/>
        <w:ind w:firstLine="444" w:firstLineChars="202"/>
        <w:jc w:val="left"/>
        <w:rPr>
          <w:rFonts w:ascii="宋体" w:hAnsi="宋体" w:cs="宋体"/>
          <w:sz w:val="22"/>
        </w:rPr>
      </w:pPr>
      <w:r>
        <w:rPr>
          <w:rFonts w:hint="eastAsia" w:ascii="宋体" w:hAnsi="宋体" w:cs="宋体"/>
          <w:sz w:val="22"/>
        </w:rPr>
        <w:t>3.5.7“拟投入本项目的主要检测和监测仪器设备一览表”应填报满足本章第1.4.1项规定的试验检测和监测仪器设备。</w:t>
      </w:r>
    </w:p>
    <w:p>
      <w:pPr>
        <w:spacing w:line="360" w:lineRule="auto"/>
        <w:ind w:firstLine="444" w:firstLineChars="202"/>
        <w:jc w:val="left"/>
        <w:rPr>
          <w:rFonts w:ascii="宋体" w:hAnsi="宋体" w:cs="宋体"/>
          <w:sz w:val="22"/>
        </w:rPr>
      </w:pPr>
      <w:r>
        <w:rPr>
          <w:rFonts w:hint="eastAsia" w:ascii="宋体" w:hAnsi="宋体" w:cs="宋体"/>
          <w:sz w:val="22"/>
        </w:rPr>
        <w:t>3.5.8投标人须知前附表规定接受联合体投标的，本章第3.5.1项至第3.5.7项规定的表格和资料应包括联合体各方相关情况。</w:t>
      </w:r>
    </w:p>
    <w:p>
      <w:pPr>
        <w:kinsoku w:val="0"/>
        <w:overflowPunct w:val="0"/>
        <w:spacing w:line="360" w:lineRule="auto"/>
        <w:jc w:val="left"/>
        <w:rPr>
          <w:rFonts w:ascii="宋体" w:hAnsi="宋体" w:cs="宋体"/>
          <w:sz w:val="22"/>
        </w:rPr>
      </w:pPr>
    </w:p>
    <w:p>
      <w:pPr>
        <w:keepNext/>
        <w:keepLines/>
        <w:spacing w:before="120" w:after="120" w:line="360" w:lineRule="auto"/>
        <w:jc w:val="left"/>
        <w:outlineLvl w:val="2"/>
        <w:rPr>
          <w:rFonts w:ascii="宋体" w:hAnsi="宋体" w:cs="宋体"/>
          <w:b/>
          <w:bCs/>
          <w:sz w:val="22"/>
        </w:rPr>
      </w:pPr>
      <w:r>
        <w:rPr>
          <w:rFonts w:hint="eastAsia" w:ascii="宋体" w:hAnsi="宋体" w:cs="宋体"/>
          <w:b/>
          <w:bCs/>
          <w:sz w:val="22"/>
        </w:rPr>
        <w:t>3.6 备选投标方案</w:t>
      </w:r>
    </w:p>
    <w:p>
      <w:pPr>
        <w:spacing w:line="360" w:lineRule="auto"/>
        <w:ind w:firstLine="444" w:firstLineChars="202"/>
        <w:jc w:val="left"/>
        <w:rPr>
          <w:rFonts w:ascii="宋体" w:hAnsi="宋体" w:cs="宋体"/>
          <w:sz w:val="22"/>
        </w:rPr>
      </w:pPr>
      <w:r>
        <w:rPr>
          <w:rFonts w:hint="eastAsia" w:ascii="宋体" w:hAnsi="宋体" w:cs="宋体"/>
          <w:sz w:val="22"/>
        </w:rPr>
        <w:t>3.6.1除投标人须知前附表规定允许外，投标人不得递交备选投标方案，否则其投标将被否决。</w:t>
      </w:r>
    </w:p>
    <w:p>
      <w:pPr>
        <w:spacing w:line="360" w:lineRule="auto"/>
        <w:ind w:firstLine="444" w:firstLineChars="202"/>
        <w:jc w:val="left"/>
        <w:rPr>
          <w:rFonts w:ascii="宋体" w:hAnsi="宋体" w:cs="宋体"/>
          <w:sz w:val="22"/>
        </w:rPr>
      </w:pPr>
      <w:r>
        <w:rPr>
          <w:rFonts w:hint="eastAsia" w:ascii="宋体" w:hAnsi="宋体" w:cs="宋体"/>
          <w:sz w:val="22"/>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44" w:firstLineChars="202"/>
        <w:jc w:val="left"/>
        <w:rPr>
          <w:rFonts w:ascii="宋体" w:hAnsi="宋体" w:cs="宋体"/>
          <w:sz w:val="22"/>
        </w:rPr>
      </w:pPr>
      <w:r>
        <w:rPr>
          <w:rFonts w:hint="eastAsia" w:ascii="宋体" w:hAnsi="宋体" w:cs="宋体"/>
          <w:sz w:val="22"/>
        </w:rPr>
        <w:t>3.6.3投标人提供两个或两个以上投标报价，或者在投标文件中提供一个报价，但同时提供两个或两个以上服务方案的，视为提供备选方案。</w:t>
      </w:r>
    </w:p>
    <w:p>
      <w:pPr>
        <w:spacing w:line="360" w:lineRule="auto"/>
        <w:rPr>
          <w:rFonts w:ascii="宋体" w:hAnsi="宋体" w:cs="宋体"/>
          <w:sz w:val="22"/>
        </w:rPr>
      </w:pPr>
    </w:p>
    <w:p>
      <w:pPr>
        <w:keepNext/>
        <w:keepLines/>
        <w:spacing w:before="120" w:after="120" w:line="360" w:lineRule="auto"/>
        <w:jc w:val="left"/>
        <w:outlineLvl w:val="2"/>
        <w:rPr>
          <w:rFonts w:ascii="宋体" w:hAnsi="宋体" w:cs="宋体"/>
          <w:b/>
          <w:bCs/>
          <w:sz w:val="22"/>
        </w:rPr>
      </w:pPr>
      <w:bookmarkStart w:id="86" w:name="bookmark46"/>
      <w:bookmarkEnd w:id="86"/>
      <w:r>
        <w:rPr>
          <w:rFonts w:hint="eastAsia" w:ascii="宋体" w:hAnsi="宋体" w:cs="宋体"/>
          <w:b/>
          <w:bCs/>
          <w:sz w:val="22"/>
        </w:rPr>
        <w:t>3.7 投标文件的编制</w:t>
      </w:r>
    </w:p>
    <w:p>
      <w:pPr>
        <w:spacing w:line="360" w:lineRule="auto"/>
        <w:ind w:firstLine="440" w:firstLineChars="200"/>
        <w:jc w:val="left"/>
        <w:rPr>
          <w:rFonts w:ascii="宋体" w:hAnsi="宋体" w:cs="宋体"/>
          <w:sz w:val="22"/>
        </w:rPr>
      </w:pPr>
      <w:r>
        <w:rPr>
          <w:rFonts w:hint="eastAsia" w:ascii="宋体" w:hAnsi="宋体" w:cs="宋体"/>
          <w:sz w:val="22"/>
        </w:rPr>
        <w:t>3.7.1投标文件应按第六章“投标文件格式”进行编写，如有必要，可以增加附页，作为投标文件的组成部分。</w:t>
      </w:r>
    </w:p>
    <w:p>
      <w:pPr>
        <w:spacing w:line="360" w:lineRule="auto"/>
        <w:ind w:firstLine="440" w:firstLineChars="200"/>
        <w:jc w:val="left"/>
        <w:rPr>
          <w:rFonts w:ascii="宋体" w:hAnsi="宋体" w:cs="宋体"/>
          <w:sz w:val="22"/>
        </w:rPr>
      </w:pPr>
      <w:r>
        <w:rPr>
          <w:rFonts w:hint="eastAsia" w:ascii="宋体" w:hAnsi="宋体" w:cs="宋体"/>
          <w:sz w:val="22"/>
        </w:rPr>
        <w:t>3.7.2投标文件应当对招标文件有关服务期限、投标有效期、委托人要求、招标范围等实质性内容作出响应。</w:t>
      </w:r>
    </w:p>
    <w:p>
      <w:pPr>
        <w:spacing w:line="360" w:lineRule="auto"/>
        <w:ind w:firstLine="440" w:firstLineChars="200"/>
        <w:jc w:val="left"/>
        <w:rPr>
          <w:rFonts w:ascii="宋体" w:hAnsi="宋体" w:cs="宋体"/>
          <w:sz w:val="28"/>
          <w:szCs w:val="28"/>
        </w:rPr>
      </w:pPr>
      <w:r>
        <w:rPr>
          <w:rFonts w:hint="eastAsia" w:ascii="宋体" w:hAnsi="宋体" w:cs="宋体"/>
          <w:sz w:val="22"/>
        </w:rPr>
        <w:t>3.7.3投标文件全部采用电子文档，除投标人须知前附表另有规定外，投标文件所附证书证件均为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keepNext/>
        <w:keepLines/>
        <w:spacing w:before="240" w:after="240" w:line="416" w:lineRule="auto"/>
        <w:jc w:val="left"/>
        <w:outlineLvl w:val="1"/>
        <w:rPr>
          <w:rFonts w:ascii="宋体" w:hAnsi="宋体" w:cs="宋体"/>
          <w:b/>
          <w:bCs/>
          <w:sz w:val="40"/>
          <w:szCs w:val="32"/>
        </w:rPr>
      </w:pPr>
      <w:bookmarkStart w:id="87" w:name="_Toc377719903"/>
      <w:bookmarkStart w:id="88" w:name="_Toc24378"/>
      <w:bookmarkStart w:id="89" w:name="_Toc32552"/>
      <w:bookmarkStart w:id="90" w:name="_Toc21930"/>
      <w:bookmarkStart w:id="91" w:name="_Toc38224842"/>
      <w:bookmarkStart w:id="92" w:name="_Toc23284"/>
      <w:bookmarkStart w:id="93" w:name="_Toc29593"/>
      <w:bookmarkStart w:id="94" w:name="_Toc3554"/>
      <w:bookmarkStart w:id="95" w:name="_Toc31557"/>
      <w:bookmarkStart w:id="96" w:name="_Toc532367876"/>
      <w:bookmarkStart w:id="97" w:name="_Toc23220"/>
      <w:bookmarkStart w:id="98" w:name="_Toc25065"/>
      <w:bookmarkStart w:id="99" w:name="_Toc9342"/>
      <w:r>
        <w:rPr>
          <w:rFonts w:hint="eastAsia" w:ascii="宋体" w:hAnsi="宋体" w:cs="宋体"/>
          <w:b/>
          <w:bCs/>
          <w:sz w:val="40"/>
          <w:szCs w:val="32"/>
        </w:rPr>
        <w:t>4.投标</w:t>
      </w:r>
      <w:bookmarkEnd w:id="87"/>
      <w:bookmarkEnd w:id="88"/>
      <w:bookmarkEnd w:id="89"/>
      <w:bookmarkEnd w:id="90"/>
      <w:bookmarkEnd w:id="91"/>
      <w:bookmarkEnd w:id="92"/>
      <w:bookmarkEnd w:id="93"/>
      <w:bookmarkEnd w:id="94"/>
      <w:bookmarkEnd w:id="95"/>
      <w:bookmarkEnd w:id="96"/>
      <w:bookmarkEnd w:id="97"/>
      <w:bookmarkEnd w:id="98"/>
      <w:bookmarkEnd w:id="99"/>
    </w:p>
    <w:p>
      <w:pPr>
        <w:keepNext/>
        <w:keepLines/>
        <w:spacing w:before="120" w:after="120" w:line="360" w:lineRule="auto"/>
        <w:outlineLvl w:val="2"/>
        <w:rPr>
          <w:rFonts w:ascii="宋体" w:hAnsi="宋体" w:cs="宋体"/>
          <w:b/>
          <w:bCs/>
          <w:sz w:val="22"/>
        </w:rPr>
      </w:pPr>
      <w:r>
        <w:rPr>
          <w:rFonts w:hint="eastAsia" w:ascii="宋体" w:hAnsi="宋体" w:cs="宋体"/>
          <w:b/>
          <w:bCs/>
          <w:sz w:val="22"/>
        </w:rPr>
        <w:t>4.1  投标文件的密封和标记</w:t>
      </w:r>
    </w:p>
    <w:p>
      <w:pPr>
        <w:spacing w:line="360" w:lineRule="auto"/>
        <w:ind w:firstLine="444" w:firstLineChars="202"/>
        <w:jc w:val="left"/>
        <w:rPr>
          <w:rFonts w:ascii="宋体" w:hAnsi="宋体" w:cs="宋体"/>
          <w:sz w:val="22"/>
        </w:rPr>
      </w:pPr>
      <w:r>
        <w:rPr>
          <w:rFonts w:hint="eastAsia" w:ascii="宋体" w:hAnsi="宋体" w:cs="宋体"/>
          <w:sz w:val="22"/>
        </w:rPr>
        <w:t>4.1.1 投标人应当按照招标文件和电子招标投标交易平台的要求加密投标文件，具体要求见投标人须知前附表。</w:t>
      </w:r>
    </w:p>
    <w:p>
      <w:pPr>
        <w:spacing w:line="360" w:lineRule="auto"/>
        <w:ind w:firstLine="444" w:firstLineChars="202"/>
        <w:jc w:val="left"/>
        <w:rPr>
          <w:rFonts w:ascii="宋体" w:hAnsi="宋体" w:cs="宋体"/>
          <w:sz w:val="22"/>
        </w:rPr>
      </w:pPr>
      <w:r>
        <w:rPr>
          <w:rFonts w:hint="eastAsia" w:ascii="宋体" w:hAnsi="宋体" w:cs="宋体"/>
          <w:sz w:val="22"/>
        </w:rPr>
        <w:t>4.1.2 投标文件封套上应写明的内容见投标人须知前附表。</w:t>
      </w:r>
    </w:p>
    <w:p>
      <w:pPr>
        <w:spacing w:line="360" w:lineRule="auto"/>
        <w:ind w:firstLine="444" w:firstLineChars="202"/>
        <w:jc w:val="left"/>
        <w:rPr>
          <w:rFonts w:ascii="宋体" w:hAnsi="宋体" w:cs="宋体"/>
          <w:sz w:val="22"/>
        </w:rPr>
      </w:pPr>
      <w:r>
        <w:rPr>
          <w:rFonts w:hint="eastAsia" w:ascii="宋体" w:hAnsi="宋体" w:cs="宋体"/>
          <w:sz w:val="22"/>
        </w:rPr>
        <w:t>4.1.3 未按本章第 4.1.1 项要求密封的投标文件，招标人将予以拒收。</w:t>
      </w:r>
    </w:p>
    <w:p>
      <w:pPr>
        <w:keepNext/>
        <w:keepLines/>
        <w:spacing w:before="120" w:after="120" w:line="360" w:lineRule="auto"/>
        <w:outlineLvl w:val="2"/>
        <w:rPr>
          <w:rFonts w:ascii="宋体" w:hAnsi="宋体" w:cs="宋体"/>
          <w:b/>
          <w:bCs/>
          <w:sz w:val="22"/>
        </w:rPr>
      </w:pPr>
      <w:r>
        <w:rPr>
          <w:rFonts w:hint="eastAsia" w:ascii="宋体" w:hAnsi="宋体" w:cs="宋体"/>
          <w:b/>
          <w:bCs/>
          <w:sz w:val="22"/>
        </w:rPr>
        <w:t>4.2  投标文件的递交</w:t>
      </w:r>
    </w:p>
    <w:p>
      <w:pPr>
        <w:spacing w:line="360" w:lineRule="auto"/>
        <w:ind w:firstLine="444" w:firstLineChars="202"/>
        <w:jc w:val="left"/>
        <w:rPr>
          <w:rFonts w:ascii="宋体" w:hAnsi="宋体" w:cs="宋体"/>
          <w:sz w:val="22"/>
        </w:rPr>
      </w:pPr>
      <w:r>
        <w:rPr>
          <w:rFonts w:hint="eastAsia" w:ascii="宋体" w:hAnsi="宋体" w:cs="宋体"/>
          <w:sz w:val="22"/>
        </w:rPr>
        <w:t>4.2.1 投标人应在投标人须知前附表规定的投标截止时间前递交投标文件。</w:t>
      </w:r>
    </w:p>
    <w:p>
      <w:pPr>
        <w:spacing w:line="360" w:lineRule="auto"/>
        <w:ind w:firstLine="444" w:firstLineChars="202"/>
        <w:jc w:val="left"/>
        <w:rPr>
          <w:rFonts w:ascii="宋体" w:hAnsi="宋体" w:cs="宋体"/>
          <w:sz w:val="22"/>
        </w:rPr>
      </w:pPr>
      <w:r>
        <w:rPr>
          <w:rFonts w:hint="eastAsia" w:ascii="宋体" w:hAnsi="宋体" w:cs="宋体"/>
          <w:sz w:val="22"/>
        </w:rPr>
        <w:t>4.2.2 投标人通过下载招标文件的电子招标投标交易平台递交电子投标文件。</w:t>
      </w:r>
    </w:p>
    <w:p>
      <w:pPr>
        <w:spacing w:line="360" w:lineRule="auto"/>
        <w:ind w:firstLine="444" w:firstLineChars="202"/>
        <w:jc w:val="left"/>
        <w:rPr>
          <w:rFonts w:ascii="宋体" w:hAnsi="宋体" w:cs="宋体"/>
          <w:sz w:val="22"/>
        </w:rPr>
      </w:pPr>
      <w:r>
        <w:rPr>
          <w:rFonts w:hint="eastAsia" w:ascii="宋体" w:hAnsi="宋体" w:cs="宋体"/>
          <w:sz w:val="22"/>
        </w:rPr>
        <w:t>4.2.3 除投标人须知前附表另有规定外，投标人所递交的投标文件不予退还。</w:t>
      </w:r>
    </w:p>
    <w:p>
      <w:pPr>
        <w:spacing w:line="360" w:lineRule="auto"/>
        <w:ind w:firstLine="444" w:firstLineChars="202"/>
        <w:jc w:val="left"/>
        <w:rPr>
          <w:rFonts w:ascii="宋体" w:hAnsi="宋体" w:cs="宋体"/>
          <w:sz w:val="22"/>
        </w:rPr>
      </w:pPr>
      <w:r>
        <w:rPr>
          <w:rFonts w:hint="eastAsia" w:ascii="宋体" w:hAnsi="宋体" w:cs="宋体"/>
          <w:sz w:val="22"/>
        </w:rPr>
        <w:t>4.2.4 投标人完成电子投标文件上传后，电子招标投标交易平台即时向投标人发出递交回执通知。递交时间以递交回执通知载明的传输完成时间为准。</w:t>
      </w:r>
    </w:p>
    <w:p>
      <w:pPr>
        <w:spacing w:line="360" w:lineRule="auto"/>
        <w:ind w:firstLine="444" w:firstLineChars="202"/>
        <w:jc w:val="left"/>
        <w:rPr>
          <w:rFonts w:ascii="宋体" w:hAnsi="宋体" w:cs="宋体"/>
          <w:sz w:val="22"/>
        </w:rPr>
      </w:pPr>
      <w:r>
        <w:rPr>
          <w:rFonts w:hint="eastAsia" w:ascii="宋体" w:hAnsi="宋体" w:cs="宋体"/>
          <w:sz w:val="22"/>
        </w:rPr>
        <w:t>4.2.5 逾期送达的投标文件，电子招标投标交易平台将予以拒收。</w:t>
      </w:r>
    </w:p>
    <w:p>
      <w:pPr>
        <w:keepNext/>
        <w:keepLines/>
        <w:spacing w:before="120" w:after="120" w:line="360" w:lineRule="auto"/>
        <w:outlineLvl w:val="2"/>
        <w:rPr>
          <w:rFonts w:ascii="宋体" w:hAnsi="宋体" w:cs="宋体"/>
          <w:b/>
          <w:bCs/>
          <w:sz w:val="22"/>
        </w:rPr>
      </w:pPr>
      <w:r>
        <w:rPr>
          <w:rFonts w:hint="eastAsia" w:ascii="宋体" w:hAnsi="宋体" w:cs="宋体"/>
          <w:b/>
          <w:bCs/>
          <w:sz w:val="22"/>
        </w:rPr>
        <w:t>4.3  投标文件的修改与撤回</w:t>
      </w:r>
    </w:p>
    <w:p>
      <w:pPr>
        <w:spacing w:line="360" w:lineRule="auto"/>
        <w:ind w:firstLine="444" w:firstLineChars="202"/>
        <w:jc w:val="left"/>
        <w:rPr>
          <w:rFonts w:ascii="宋体" w:hAnsi="宋体" w:cs="宋体"/>
          <w:sz w:val="22"/>
        </w:rPr>
      </w:pPr>
      <w:r>
        <w:rPr>
          <w:rFonts w:hint="eastAsia" w:ascii="宋体" w:hAnsi="宋体" w:cs="宋体"/>
          <w:sz w:val="22"/>
        </w:rPr>
        <w:t>4.3.1 在本章第 4.2.1 项规定的投标截止时间前，投标人可以修改或撤回已递交的投标文件，但应以书面形式通知招标人。</w:t>
      </w:r>
    </w:p>
    <w:p>
      <w:pPr>
        <w:spacing w:line="360" w:lineRule="auto"/>
        <w:ind w:firstLine="444" w:firstLineChars="202"/>
        <w:jc w:val="left"/>
        <w:rPr>
          <w:rFonts w:ascii="宋体" w:hAnsi="宋体" w:cs="宋体"/>
          <w:sz w:val="22"/>
        </w:rPr>
      </w:pPr>
      <w:r>
        <w:rPr>
          <w:rFonts w:hint="eastAsia" w:ascii="宋体" w:hAnsi="宋体" w:cs="宋体"/>
          <w:sz w:val="22"/>
        </w:rPr>
        <w:t>4.3.2 投标人修改或撤回已递交投标文件的通知，应按照本章第 3.7.3项的要求加盖电子印章。电子招标投标交易平台收到通知后，即时向投标人发出确认回执通知。</w:t>
      </w:r>
    </w:p>
    <w:p>
      <w:pPr>
        <w:spacing w:line="360" w:lineRule="auto"/>
        <w:ind w:firstLine="444" w:firstLineChars="202"/>
        <w:jc w:val="left"/>
        <w:rPr>
          <w:rFonts w:ascii="宋体" w:hAnsi="宋体" w:cs="宋体"/>
          <w:strike/>
          <w:sz w:val="22"/>
        </w:rPr>
      </w:pPr>
      <w:r>
        <w:rPr>
          <w:rFonts w:hint="eastAsia" w:ascii="宋体" w:hAnsi="宋体" w:cs="宋体"/>
          <w:strike/>
          <w:sz w:val="22"/>
        </w:rPr>
        <w:t>4.3.3 投标人撤回投标文件的，招标人自收到投标人书面撤回通知之日起 5 日内退还已收取的投标保证金。</w:t>
      </w:r>
    </w:p>
    <w:p>
      <w:pPr>
        <w:spacing w:line="360" w:lineRule="auto"/>
        <w:ind w:firstLine="444" w:firstLineChars="202"/>
        <w:jc w:val="left"/>
        <w:rPr>
          <w:rFonts w:ascii="宋体" w:hAnsi="宋体" w:cs="宋体"/>
          <w:sz w:val="28"/>
          <w:szCs w:val="28"/>
        </w:rPr>
      </w:pPr>
      <w:r>
        <w:rPr>
          <w:rFonts w:hint="eastAsia" w:ascii="宋体" w:hAnsi="宋体" w:cs="宋体"/>
          <w:sz w:val="22"/>
        </w:rPr>
        <w:t>4.3.4 修改的内容为投标文件的组成部分。修改的投标文件应按照本章第 3 条、第 4 条的规定进行编制、密封、标记和递交，并标明“修改”字样。</w:t>
      </w:r>
    </w:p>
    <w:p>
      <w:pPr>
        <w:keepNext/>
        <w:keepLines/>
        <w:spacing w:before="240" w:after="240" w:line="416" w:lineRule="auto"/>
        <w:outlineLvl w:val="1"/>
        <w:rPr>
          <w:rFonts w:ascii="宋体" w:hAnsi="宋体" w:cs="宋体"/>
          <w:b/>
          <w:bCs/>
          <w:sz w:val="40"/>
          <w:szCs w:val="32"/>
        </w:rPr>
      </w:pPr>
      <w:bookmarkStart w:id="100" w:name="_Toc11066"/>
      <w:bookmarkStart w:id="101" w:name="_Toc19088"/>
      <w:bookmarkStart w:id="102" w:name="_Toc17138"/>
      <w:bookmarkStart w:id="103" w:name="_Toc38224843"/>
      <w:bookmarkStart w:id="104" w:name="_Toc31567"/>
      <w:bookmarkStart w:id="105" w:name="_Toc5302"/>
      <w:bookmarkStart w:id="106" w:name="_Toc6570"/>
      <w:bookmarkStart w:id="107" w:name="_Toc111"/>
      <w:bookmarkStart w:id="108" w:name="_Toc1684"/>
      <w:bookmarkStart w:id="109" w:name="_Toc377719904"/>
      <w:bookmarkStart w:id="110" w:name="_Toc532367877"/>
      <w:bookmarkStart w:id="111" w:name="_Toc10549"/>
      <w:bookmarkStart w:id="112" w:name="_Toc17418"/>
      <w:r>
        <w:rPr>
          <w:rFonts w:hint="eastAsia" w:ascii="宋体" w:hAnsi="宋体" w:cs="宋体"/>
          <w:b/>
          <w:bCs/>
          <w:sz w:val="40"/>
          <w:szCs w:val="32"/>
        </w:rPr>
        <w:t>5.开标</w:t>
      </w:r>
      <w:bookmarkEnd w:id="100"/>
      <w:bookmarkEnd w:id="101"/>
      <w:bookmarkEnd w:id="102"/>
      <w:bookmarkEnd w:id="103"/>
      <w:bookmarkEnd w:id="104"/>
      <w:bookmarkEnd w:id="105"/>
      <w:bookmarkEnd w:id="106"/>
      <w:bookmarkEnd w:id="107"/>
      <w:bookmarkEnd w:id="108"/>
      <w:bookmarkEnd w:id="109"/>
      <w:bookmarkEnd w:id="110"/>
      <w:bookmarkEnd w:id="111"/>
      <w:bookmarkEnd w:id="112"/>
    </w:p>
    <w:p>
      <w:pPr>
        <w:keepNext/>
        <w:keepLines/>
        <w:spacing w:before="120" w:after="120" w:line="360" w:lineRule="auto"/>
        <w:outlineLvl w:val="2"/>
        <w:rPr>
          <w:rFonts w:ascii="宋体" w:hAnsi="宋体" w:cs="宋体"/>
          <w:b/>
          <w:bCs/>
          <w:sz w:val="22"/>
        </w:rPr>
      </w:pPr>
      <w:r>
        <w:rPr>
          <w:rFonts w:hint="eastAsia" w:ascii="宋体" w:hAnsi="宋体" w:cs="宋体"/>
          <w:b/>
          <w:bCs/>
          <w:sz w:val="22"/>
        </w:rPr>
        <w:t>5.1 开标时间和地点</w:t>
      </w:r>
    </w:p>
    <w:p>
      <w:pPr>
        <w:spacing w:line="360" w:lineRule="auto"/>
        <w:ind w:firstLine="444" w:firstLineChars="202"/>
        <w:jc w:val="left"/>
        <w:rPr>
          <w:rFonts w:ascii="宋体" w:hAnsi="宋体" w:cs="宋体"/>
          <w:sz w:val="22"/>
        </w:rPr>
      </w:pPr>
      <w:r>
        <w:rPr>
          <w:rFonts w:hint="eastAsia" w:ascii="宋体" w:hAnsi="宋体" w:cs="宋体"/>
          <w:sz w:val="22"/>
        </w:rPr>
        <w:t>招标人在本章第 4.2.1 项规定的投标截止时间（开标时间）,通过电子招标投标交易平台公开开标，邀请所有投标人的法定代表人或其委托代理人准时参加。投标人可选择在开标室参与开标或准时在线参加开标，也可不参加开标。参加在线开标的投标人登录交易平台实时查看开标、唱标情况。</w:t>
      </w:r>
    </w:p>
    <w:p>
      <w:pPr>
        <w:keepNext/>
        <w:keepLines/>
        <w:spacing w:before="120" w:after="120" w:line="360" w:lineRule="auto"/>
        <w:outlineLvl w:val="2"/>
        <w:rPr>
          <w:rFonts w:ascii="宋体" w:hAnsi="宋体" w:cs="宋体"/>
          <w:b/>
          <w:bCs/>
          <w:sz w:val="22"/>
        </w:rPr>
      </w:pPr>
      <w:r>
        <w:rPr>
          <w:rFonts w:hint="eastAsia" w:ascii="宋体" w:hAnsi="宋体" w:cs="宋体"/>
          <w:b/>
          <w:bCs/>
          <w:sz w:val="22"/>
        </w:rPr>
        <w:t>5.2 开标程序</w:t>
      </w:r>
    </w:p>
    <w:p>
      <w:pPr>
        <w:spacing w:line="360" w:lineRule="auto"/>
        <w:ind w:firstLine="444" w:firstLineChars="202"/>
        <w:jc w:val="left"/>
        <w:rPr>
          <w:rFonts w:ascii="宋体" w:hAnsi="宋体" w:cs="宋体"/>
          <w:sz w:val="22"/>
        </w:rPr>
      </w:pPr>
      <w:r>
        <w:rPr>
          <w:rFonts w:hint="eastAsia" w:ascii="宋体" w:hAnsi="宋体" w:cs="宋体"/>
          <w:sz w:val="22"/>
        </w:rPr>
        <w:t>5.2.1主持人按下列程序进行开标：</w:t>
      </w:r>
    </w:p>
    <w:p>
      <w:pPr>
        <w:spacing w:line="360" w:lineRule="auto"/>
        <w:ind w:firstLine="444" w:firstLineChars="202"/>
        <w:jc w:val="left"/>
        <w:rPr>
          <w:rFonts w:ascii="宋体" w:hAnsi="宋体" w:cs="宋体"/>
          <w:sz w:val="22"/>
        </w:rPr>
      </w:pPr>
      <w:r>
        <w:rPr>
          <w:rFonts w:hint="eastAsia" w:ascii="宋体" w:hAnsi="宋体" w:cs="宋体"/>
          <w:sz w:val="22"/>
        </w:rPr>
        <w:t>（1）宣布开标纪律；</w:t>
      </w:r>
    </w:p>
    <w:p>
      <w:pPr>
        <w:spacing w:line="360" w:lineRule="auto"/>
        <w:ind w:firstLine="444" w:firstLineChars="202"/>
        <w:jc w:val="left"/>
        <w:rPr>
          <w:rFonts w:ascii="宋体" w:hAnsi="宋体" w:cs="宋体"/>
          <w:sz w:val="22"/>
        </w:rPr>
      </w:pPr>
      <w:r>
        <w:rPr>
          <w:rFonts w:hint="eastAsia" w:ascii="宋体" w:hAnsi="宋体" w:cs="宋体"/>
          <w:sz w:val="22"/>
        </w:rPr>
        <w:t>（2）公布在投标截止时间前递交投标文件的投标人名称；</w:t>
      </w:r>
    </w:p>
    <w:p>
      <w:pPr>
        <w:spacing w:line="360" w:lineRule="auto"/>
        <w:ind w:firstLine="444" w:firstLineChars="202"/>
        <w:jc w:val="left"/>
        <w:rPr>
          <w:rFonts w:ascii="宋体" w:hAnsi="宋体" w:cs="宋体"/>
          <w:sz w:val="22"/>
        </w:rPr>
      </w:pPr>
      <w:r>
        <w:rPr>
          <w:rFonts w:hint="eastAsia" w:ascii="宋体" w:hAnsi="宋体" w:cs="宋体"/>
          <w:sz w:val="22"/>
        </w:rPr>
        <w:t>（3）宣布开标人、唱标人、记录人、监标人等有关人员姓名；</w:t>
      </w:r>
    </w:p>
    <w:p>
      <w:pPr>
        <w:spacing w:line="360" w:lineRule="auto"/>
        <w:ind w:firstLine="444" w:firstLineChars="202"/>
        <w:jc w:val="left"/>
        <w:rPr>
          <w:rFonts w:ascii="宋体" w:hAnsi="宋体" w:cs="宋体"/>
          <w:sz w:val="22"/>
        </w:rPr>
      </w:pPr>
      <w:r>
        <w:rPr>
          <w:rFonts w:hint="eastAsia" w:ascii="宋体" w:hAnsi="宋体" w:cs="宋体"/>
          <w:sz w:val="22"/>
        </w:rPr>
        <w:t>（4）投标人通过电子招标投标交易平台对已递交的电子投标文件进行解密，公布招标项目名称、投标人名称、投标</w:t>
      </w:r>
      <w:r>
        <w:rPr>
          <w:rFonts w:hint="eastAsia" w:ascii="宋体" w:hAnsi="宋体" w:cs="宋体"/>
          <w:sz w:val="22"/>
          <w:lang w:val="en-US" w:eastAsia="zh-CN"/>
        </w:rPr>
        <w:t>总报价</w:t>
      </w:r>
      <w:r>
        <w:rPr>
          <w:rFonts w:hint="eastAsia" w:ascii="宋体" w:hAnsi="宋体" w:cs="宋体"/>
          <w:sz w:val="22"/>
        </w:rPr>
        <w:t>、服务期限及其他内容，并记录在案；</w:t>
      </w:r>
    </w:p>
    <w:p>
      <w:pPr>
        <w:spacing w:line="360" w:lineRule="auto"/>
        <w:ind w:firstLine="444" w:firstLineChars="202"/>
        <w:jc w:val="left"/>
        <w:rPr>
          <w:rFonts w:ascii="宋体" w:hAnsi="宋体" w:cs="宋体"/>
          <w:sz w:val="22"/>
        </w:rPr>
      </w:pPr>
      <w:r>
        <w:rPr>
          <w:rFonts w:hint="eastAsia" w:ascii="宋体" w:hAnsi="宋体" w:cs="宋体"/>
          <w:sz w:val="22"/>
        </w:rPr>
        <w:t>（5）投标人代表、招标人代表、监标人、记录人等有关人员使用本人的电子印章在开标记录上签字确认；若有关人员不签字的，不影响开标程序；</w:t>
      </w:r>
    </w:p>
    <w:p>
      <w:pPr>
        <w:spacing w:line="360" w:lineRule="auto"/>
        <w:ind w:firstLine="444" w:firstLineChars="202"/>
        <w:jc w:val="left"/>
        <w:rPr>
          <w:rFonts w:ascii="宋体" w:hAnsi="宋体" w:cs="宋体"/>
          <w:sz w:val="22"/>
        </w:rPr>
      </w:pPr>
      <w:r>
        <w:rPr>
          <w:rFonts w:hint="eastAsia" w:ascii="宋体" w:hAnsi="宋体" w:cs="宋体"/>
          <w:sz w:val="22"/>
        </w:rPr>
        <w:t>（6）开标结束。</w:t>
      </w:r>
    </w:p>
    <w:p>
      <w:pPr>
        <w:spacing w:line="360" w:lineRule="auto"/>
        <w:ind w:firstLine="444" w:firstLineChars="202"/>
        <w:jc w:val="left"/>
        <w:rPr>
          <w:rFonts w:ascii="宋体" w:hAnsi="宋体" w:cs="宋体"/>
          <w:sz w:val="22"/>
          <w:u w:val="single"/>
        </w:rPr>
      </w:pPr>
      <w:r>
        <w:rPr>
          <w:rFonts w:hint="eastAsia" w:ascii="宋体" w:hAnsi="宋体" w:cs="宋体"/>
          <w:sz w:val="22"/>
        </w:rPr>
        <w:t>5.2.2</w:t>
      </w:r>
      <w:r>
        <w:rPr>
          <w:rFonts w:hint="eastAsia" w:ascii="宋体" w:hAnsi="宋体" w:cs="宋体"/>
          <w:sz w:val="22"/>
          <w:u w:val="single"/>
        </w:rPr>
        <w:t>投标截止时间前未完成投标文件传输的或因投标人之外的原因造成投标文件未解密的且未递交电子光盘或递交的电子光盘不能读取的，视为投标人其撤回投标文件。因投标人原因造成投标文件未解密的或未在投标截止时间后半小时解密的，视为撤销其投标文件。</w:t>
      </w:r>
    </w:p>
    <w:p>
      <w:pPr>
        <w:spacing w:line="360" w:lineRule="auto"/>
        <w:ind w:firstLine="444" w:firstLineChars="202"/>
        <w:jc w:val="left"/>
        <w:rPr>
          <w:rFonts w:ascii="宋体" w:hAnsi="宋体" w:cs="宋体"/>
          <w:sz w:val="22"/>
        </w:rPr>
      </w:pPr>
      <w:r>
        <w:rPr>
          <w:rFonts w:hint="eastAsia" w:ascii="宋体" w:hAnsi="宋体" w:cs="宋体"/>
          <w:sz w:val="22"/>
        </w:rPr>
        <w:t>5.2.3开标时，两个（含两个）以上的投标人加密打包投标文件电脑机器特征码一致的，不参与下一程序，并由评标委员会否决其投标。</w:t>
      </w:r>
    </w:p>
    <w:p>
      <w:pPr>
        <w:keepNext/>
        <w:keepLines/>
        <w:spacing w:before="120" w:after="120" w:line="360" w:lineRule="auto"/>
        <w:outlineLvl w:val="2"/>
        <w:rPr>
          <w:rFonts w:ascii="宋体" w:hAnsi="宋体" w:cs="宋体"/>
          <w:b/>
          <w:bCs/>
          <w:sz w:val="22"/>
        </w:rPr>
      </w:pPr>
      <w:r>
        <w:rPr>
          <w:rFonts w:hint="eastAsia" w:ascii="宋体" w:hAnsi="宋体" w:cs="宋体"/>
          <w:b/>
          <w:bCs/>
          <w:sz w:val="22"/>
        </w:rPr>
        <w:t>5.3 开标异议</w:t>
      </w:r>
    </w:p>
    <w:p>
      <w:pPr>
        <w:spacing w:line="360" w:lineRule="auto"/>
        <w:ind w:firstLine="444" w:firstLineChars="202"/>
        <w:jc w:val="left"/>
        <w:rPr>
          <w:rFonts w:ascii="宋体" w:hAnsi="宋体" w:cs="宋体"/>
          <w:sz w:val="22"/>
        </w:rPr>
      </w:pPr>
      <w:bookmarkStart w:id="113" w:name="_Toc24608"/>
      <w:bookmarkStart w:id="114" w:name="_Toc17328"/>
      <w:bookmarkStart w:id="115" w:name="_Toc5463"/>
      <w:bookmarkStart w:id="116" w:name="_Toc532367878"/>
      <w:bookmarkStart w:id="117" w:name="_Toc38224844"/>
      <w:bookmarkStart w:id="118" w:name="_Toc11500"/>
      <w:r>
        <w:rPr>
          <w:rFonts w:hint="eastAsia" w:ascii="宋体" w:hAnsi="宋体" w:cs="宋体"/>
          <w:sz w:val="22"/>
        </w:rPr>
        <w:t>5.3.1 参加现场开标的投标人对开标有异议的，应当在开标现场提出，招标人应当当场作出答复，并制作记录。</w:t>
      </w:r>
    </w:p>
    <w:p>
      <w:pPr>
        <w:spacing w:line="360" w:lineRule="auto"/>
        <w:ind w:firstLine="444" w:firstLineChars="202"/>
        <w:jc w:val="left"/>
        <w:rPr>
          <w:rFonts w:ascii="宋体" w:hAnsi="宋体" w:cs="宋体"/>
          <w:sz w:val="22"/>
        </w:rPr>
      </w:pPr>
      <w:r>
        <w:rPr>
          <w:rFonts w:hint="eastAsia" w:ascii="宋体" w:hAnsi="宋体" w:cs="宋体"/>
          <w:sz w:val="22"/>
        </w:rPr>
        <w:t>5.3.2 参加在线开标的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360" w:lineRule="auto"/>
        <w:ind w:firstLine="444" w:firstLineChars="202"/>
        <w:jc w:val="left"/>
        <w:rPr>
          <w:rFonts w:ascii="宋体" w:hAnsi="宋体" w:cs="宋体"/>
          <w:sz w:val="22"/>
        </w:rPr>
      </w:pPr>
      <w:r>
        <w:rPr>
          <w:rFonts w:hint="eastAsia" w:ascii="宋体" w:hAnsi="宋体" w:cs="宋体"/>
          <w:sz w:val="22"/>
        </w:rPr>
        <w:t>5.3.</w:t>
      </w:r>
      <w:r>
        <w:rPr>
          <w:rFonts w:ascii="宋体" w:hAnsi="宋体" w:cs="宋体"/>
          <w:sz w:val="22"/>
        </w:rPr>
        <w:t>3</w:t>
      </w:r>
      <w:r>
        <w:rPr>
          <w:rFonts w:hint="eastAsia" w:ascii="宋体" w:hAnsi="宋体" w:cs="宋体"/>
          <w:sz w:val="22"/>
        </w:rPr>
        <w:t>投标人未参加开标或在规定的时间内未提出异议的，视为对开标无异议。</w:t>
      </w:r>
    </w:p>
    <w:p>
      <w:pPr>
        <w:keepNext/>
        <w:keepLines/>
        <w:spacing w:before="240" w:after="240" w:line="416" w:lineRule="auto"/>
        <w:jc w:val="left"/>
        <w:outlineLvl w:val="1"/>
        <w:rPr>
          <w:rFonts w:ascii="宋体" w:hAnsi="宋体" w:cs="宋体"/>
          <w:b/>
          <w:bCs/>
          <w:sz w:val="40"/>
          <w:szCs w:val="32"/>
        </w:rPr>
      </w:pPr>
      <w:r>
        <w:rPr>
          <w:rFonts w:hint="eastAsia" w:ascii="宋体" w:hAnsi="宋体" w:cs="宋体"/>
          <w:b/>
          <w:bCs/>
          <w:sz w:val="40"/>
          <w:szCs w:val="32"/>
        </w:rPr>
        <w:t>6.评标</w:t>
      </w:r>
      <w:bookmarkEnd w:id="113"/>
      <w:bookmarkEnd w:id="114"/>
      <w:bookmarkEnd w:id="115"/>
      <w:bookmarkEnd w:id="116"/>
      <w:bookmarkEnd w:id="117"/>
      <w:bookmarkEnd w:id="118"/>
    </w:p>
    <w:p>
      <w:pPr>
        <w:keepNext/>
        <w:keepLines/>
        <w:spacing w:before="120" w:after="120" w:line="360" w:lineRule="auto"/>
        <w:jc w:val="left"/>
        <w:outlineLvl w:val="2"/>
        <w:rPr>
          <w:rFonts w:ascii="宋体" w:hAnsi="宋体" w:cs="宋体"/>
          <w:b/>
          <w:bCs/>
          <w:sz w:val="22"/>
        </w:rPr>
      </w:pPr>
      <w:r>
        <w:rPr>
          <w:rFonts w:hint="eastAsia" w:ascii="宋体" w:hAnsi="宋体" w:cs="宋体"/>
          <w:b/>
          <w:bCs/>
          <w:sz w:val="22"/>
        </w:rPr>
        <w:t>6.1 评标委员会</w:t>
      </w:r>
    </w:p>
    <w:p>
      <w:pPr>
        <w:spacing w:line="360" w:lineRule="auto"/>
        <w:ind w:firstLine="444" w:firstLineChars="202"/>
        <w:jc w:val="left"/>
        <w:rPr>
          <w:rFonts w:ascii="宋体" w:hAnsi="宋体" w:cs="宋体"/>
          <w:sz w:val="22"/>
        </w:rPr>
      </w:pPr>
      <w:r>
        <w:rPr>
          <w:rFonts w:hint="eastAsia" w:ascii="宋体" w:hAnsi="宋体" w:cs="宋体"/>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44" w:firstLineChars="202"/>
        <w:jc w:val="left"/>
        <w:rPr>
          <w:rFonts w:ascii="宋体" w:hAnsi="宋体" w:cs="宋体"/>
          <w:sz w:val="22"/>
        </w:rPr>
      </w:pPr>
      <w:r>
        <w:rPr>
          <w:rFonts w:hint="eastAsia" w:ascii="宋体" w:hAnsi="宋体" w:cs="宋体"/>
          <w:sz w:val="22"/>
        </w:rPr>
        <w:t>6.1.2 评标委员会成员有下列情形之一的，应当回避：</w:t>
      </w:r>
    </w:p>
    <w:p>
      <w:pPr>
        <w:spacing w:line="360" w:lineRule="auto"/>
        <w:ind w:firstLine="444" w:firstLineChars="202"/>
        <w:jc w:val="left"/>
        <w:rPr>
          <w:rFonts w:ascii="宋体" w:hAnsi="宋体" w:cs="宋体"/>
          <w:sz w:val="22"/>
        </w:rPr>
      </w:pPr>
      <w:r>
        <w:rPr>
          <w:rFonts w:hint="eastAsia" w:ascii="宋体" w:hAnsi="宋体" w:cs="宋体"/>
          <w:sz w:val="22"/>
        </w:rPr>
        <w:t>（1）投标人或投标人主要负责人的近亲属；</w:t>
      </w:r>
    </w:p>
    <w:p>
      <w:pPr>
        <w:spacing w:line="360" w:lineRule="auto"/>
        <w:ind w:firstLine="444" w:firstLineChars="202"/>
        <w:jc w:val="left"/>
        <w:rPr>
          <w:rFonts w:ascii="宋体" w:hAnsi="宋体" w:cs="宋体"/>
          <w:sz w:val="22"/>
        </w:rPr>
      </w:pPr>
      <w:r>
        <w:rPr>
          <w:rFonts w:hint="eastAsia" w:ascii="宋体" w:hAnsi="宋体" w:cs="宋体"/>
          <w:sz w:val="22"/>
        </w:rPr>
        <w:t>（2）项目主管部门或者行政监督部门的人员；</w:t>
      </w:r>
    </w:p>
    <w:p>
      <w:pPr>
        <w:spacing w:line="360" w:lineRule="auto"/>
        <w:ind w:firstLine="444" w:firstLineChars="202"/>
        <w:jc w:val="left"/>
        <w:rPr>
          <w:rFonts w:ascii="宋体" w:hAnsi="宋体" w:cs="宋体"/>
          <w:sz w:val="22"/>
        </w:rPr>
      </w:pPr>
      <w:r>
        <w:rPr>
          <w:rFonts w:hint="eastAsia" w:ascii="宋体" w:hAnsi="宋体" w:cs="宋体"/>
          <w:sz w:val="22"/>
        </w:rPr>
        <w:t>（3）与投标人有经济利益关系，可能影响对投标公正评审的；</w:t>
      </w:r>
    </w:p>
    <w:p>
      <w:pPr>
        <w:spacing w:line="360" w:lineRule="auto"/>
        <w:ind w:firstLine="444" w:firstLineChars="202"/>
        <w:jc w:val="left"/>
        <w:rPr>
          <w:rFonts w:ascii="宋体" w:hAnsi="宋体" w:cs="宋体"/>
          <w:sz w:val="22"/>
        </w:rPr>
      </w:pPr>
      <w:r>
        <w:rPr>
          <w:rFonts w:hint="eastAsia" w:ascii="宋体" w:hAnsi="宋体" w:cs="宋体"/>
          <w:sz w:val="22"/>
        </w:rPr>
        <w:t>（4）曾因在招标、评标以及其他与招标投标有关活动中从事违法行为而受过行政处罚或刑事处罚的；</w:t>
      </w:r>
    </w:p>
    <w:p>
      <w:pPr>
        <w:spacing w:line="360" w:lineRule="auto"/>
        <w:ind w:firstLine="444" w:firstLineChars="202"/>
        <w:jc w:val="left"/>
        <w:rPr>
          <w:rFonts w:ascii="宋体" w:hAnsi="宋体" w:cs="宋体"/>
          <w:sz w:val="22"/>
        </w:rPr>
      </w:pPr>
      <w:r>
        <w:rPr>
          <w:rFonts w:hint="eastAsia" w:ascii="宋体" w:hAnsi="宋体" w:cs="宋体"/>
          <w:sz w:val="22"/>
        </w:rPr>
        <w:t>（5）与投标人有其他利害关系。</w:t>
      </w:r>
    </w:p>
    <w:p>
      <w:pPr>
        <w:spacing w:line="360" w:lineRule="auto"/>
        <w:ind w:firstLine="444" w:firstLineChars="202"/>
        <w:jc w:val="left"/>
        <w:rPr>
          <w:rFonts w:ascii="宋体" w:hAnsi="宋体" w:cs="宋体"/>
          <w:sz w:val="22"/>
        </w:rPr>
      </w:pPr>
      <w:r>
        <w:rPr>
          <w:rFonts w:hint="eastAsia" w:ascii="宋体" w:hAnsi="宋体" w:cs="宋体"/>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keepNext/>
        <w:keepLines/>
        <w:spacing w:before="120" w:after="120" w:line="360" w:lineRule="auto"/>
        <w:jc w:val="left"/>
        <w:outlineLvl w:val="2"/>
        <w:rPr>
          <w:rFonts w:ascii="宋体" w:hAnsi="宋体" w:cs="宋体"/>
          <w:b/>
          <w:bCs/>
          <w:sz w:val="22"/>
        </w:rPr>
      </w:pPr>
      <w:r>
        <w:rPr>
          <w:rFonts w:hint="eastAsia" w:ascii="宋体" w:hAnsi="宋体" w:cs="宋体"/>
          <w:b/>
          <w:bCs/>
          <w:sz w:val="22"/>
        </w:rPr>
        <w:t>6.2 评标原则</w:t>
      </w:r>
    </w:p>
    <w:p>
      <w:pPr>
        <w:spacing w:line="360" w:lineRule="auto"/>
        <w:ind w:firstLine="444" w:firstLineChars="202"/>
        <w:jc w:val="left"/>
        <w:rPr>
          <w:rFonts w:ascii="宋体" w:hAnsi="宋体" w:cs="宋体"/>
          <w:sz w:val="22"/>
        </w:rPr>
      </w:pPr>
      <w:r>
        <w:rPr>
          <w:rFonts w:hint="eastAsia" w:ascii="宋体" w:hAnsi="宋体" w:cs="宋体"/>
          <w:sz w:val="22"/>
        </w:rPr>
        <w:t>评标活动遵循公平、公正、科学和择优的原则。</w:t>
      </w:r>
    </w:p>
    <w:p>
      <w:pPr>
        <w:keepNext/>
        <w:keepLines/>
        <w:spacing w:before="120" w:after="120" w:line="360" w:lineRule="auto"/>
        <w:jc w:val="left"/>
        <w:outlineLvl w:val="2"/>
        <w:rPr>
          <w:rFonts w:ascii="宋体" w:hAnsi="宋体" w:cs="宋体"/>
          <w:b/>
          <w:bCs/>
          <w:sz w:val="22"/>
        </w:rPr>
      </w:pPr>
      <w:r>
        <w:rPr>
          <w:rFonts w:hint="eastAsia" w:ascii="宋体" w:hAnsi="宋体" w:cs="宋体"/>
          <w:b/>
          <w:bCs/>
          <w:sz w:val="22"/>
        </w:rPr>
        <w:t>6.3 评标</w:t>
      </w:r>
    </w:p>
    <w:p>
      <w:pPr>
        <w:spacing w:line="360" w:lineRule="auto"/>
        <w:ind w:firstLine="444" w:firstLineChars="202"/>
        <w:jc w:val="left"/>
        <w:rPr>
          <w:rFonts w:ascii="宋体" w:hAnsi="宋体" w:cs="宋体"/>
          <w:sz w:val="22"/>
        </w:rPr>
      </w:pPr>
      <w:r>
        <w:rPr>
          <w:rFonts w:hint="eastAsia" w:ascii="宋体" w:hAnsi="宋体" w:cs="宋体"/>
          <w:sz w:val="22"/>
        </w:rPr>
        <w:t>6.3.1 评标委员会按照第三章“评标办法”规定的方法、评审因素、标准和程序对投标文件进行评审。第三章“评标办法”没有规定的方法、评审因素和标准，不作为评标依据。</w:t>
      </w:r>
    </w:p>
    <w:p>
      <w:pPr>
        <w:spacing w:line="360" w:lineRule="auto"/>
        <w:ind w:firstLine="444" w:firstLineChars="202"/>
        <w:jc w:val="left"/>
        <w:rPr>
          <w:rFonts w:ascii="宋体" w:hAnsi="宋体" w:cs="宋体"/>
          <w:sz w:val="28"/>
          <w:szCs w:val="28"/>
        </w:rPr>
      </w:pPr>
      <w:r>
        <w:rPr>
          <w:rFonts w:hint="eastAsia" w:ascii="宋体" w:hAnsi="宋体" w:cs="宋体"/>
          <w:sz w:val="22"/>
        </w:rPr>
        <w:t>6.3.2 评标完成后，评标委员会应当向招标人提交书面评标报告和中标候选人名单。评标委员会推荐中标候选人的人数见投标人须知前附表。</w:t>
      </w:r>
    </w:p>
    <w:p>
      <w:pPr>
        <w:keepNext/>
        <w:keepLines/>
        <w:spacing w:before="240" w:after="240" w:line="416" w:lineRule="auto"/>
        <w:outlineLvl w:val="1"/>
        <w:rPr>
          <w:rFonts w:ascii="宋体" w:hAnsi="宋体" w:cs="宋体"/>
          <w:b/>
          <w:bCs/>
          <w:sz w:val="40"/>
          <w:szCs w:val="32"/>
        </w:rPr>
      </w:pPr>
      <w:bookmarkStart w:id="119" w:name="_Toc31080"/>
      <w:bookmarkStart w:id="120" w:name="_Toc27928"/>
      <w:bookmarkStart w:id="121" w:name="_Toc15742"/>
      <w:bookmarkStart w:id="122" w:name="_Toc23147"/>
      <w:bookmarkStart w:id="123" w:name="_Toc377719905"/>
      <w:bookmarkStart w:id="124" w:name="_Toc24971"/>
      <w:bookmarkStart w:id="125" w:name="_Toc17606"/>
      <w:bookmarkStart w:id="126" w:name="_Toc38224845"/>
      <w:bookmarkStart w:id="127" w:name="_Toc18237"/>
      <w:bookmarkStart w:id="128" w:name="_Toc21343"/>
      <w:bookmarkStart w:id="129" w:name="_Toc532367879"/>
      <w:bookmarkStart w:id="130" w:name="_Toc11665"/>
      <w:bookmarkStart w:id="131" w:name="_Toc22463"/>
      <w:r>
        <w:rPr>
          <w:rFonts w:hint="eastAsia" w:ascii="宋体" w:hAnsi="宋体" w:cs="宋体"/>
          <w:b/>
          <w:bCs/>
          <w:sz w:val="40"/>
          <w:szCs w:val="32"/>
        </w:rPr>
        <w:t>7.合同</w:t>
      </w:r>
      <w:bookmarkEnd w:id="119"/>
      <w:bookmarkEnd w:id="120"/>
      <w:bookmarkEnd w:id="121"/>
      <w:bookmarkEnd w:id="122"/>
      <w:bookmarkEnd w:id="123"/>
      <w:bookmarkEnd w:id="124"/>
      <w:bookmarkEnd w:id="125"/>
      <w:r>
        <w:rPr>
          <w:rFonts w:hint="eastAsia" w:ascii="宋体" w:hAnsi="宋体" w:cs="宋体"/>
          <w:b/>
          <w:bCs/>
          <w:sz w:val="40"/>
          <w:szCs w:val="32"/>
        </w:rPr>
        <w:t>授予</w:t>
      </w:r>
      <w:bookmarkEnd w:id="126"/>
      <w:bookmarkEnd w:id="127"/>
      <w:bookmarkEnd w:id="128"/>
      <w:bookmarkEnd w:id="129"/>
      <w:bookmarkEnd w:id="130"/>
      <w:bookmarkEnd w:id="131"/>
    </w:p>
    <w:p>
      <w:pPr>
        <w:spacing w:line="360" w:lineRule="auto"/>
        <w:jc w:val="left"/>
        <w:rPr>
          <w:rFonts w:ascii="宋体" w:hAnsi="宋体" w:cs="宋体"/>
          <w:b/>
          <w:bCs/>
          <w:sz w:val="22"/>
        </w:rPr>
      </w:pPr>
      <w:r>
        <w:rPr>
          <w:rFonts w:hint="eastAsia" w:ascii="宋体" w:hAnsi="宋体" w:cs="宋体"/>
          <w:b/>
          <w:bCs/>
          <w:sz w:val="22"/>
        </w:rPr>
        <w:t>7.1 中标候选人公示</w:t>
      </w:r>
    </w:p>
    <w:p>
      <w:pPr>
        <w:spacing w:line="360" w:lineRule="auto"/>
        <w:ind w:firstLine="444" w:firstLineChars="202"/>
        <w:jc w:val="left"/>
        <w:rPr>
          <w:rFonts w:ascii="宋体" w:hAnsi="宋体" w:cs="宋体"/>
          <w:sz w:val="22"/>
        </w:rPr>
      </w:pPr>
      <w:r>
        <w:rPr>
          <w:rFonts w:hint="eastAsia" w:ascii="宋体" w:hAnsi="宋体" w:cs="宋体"/>
          <w:sz w:val="22"/>
        </w:rPr>
        <w:t>招标人在收到评标报告之日起 3 日内，按照投标人须知前附表规定的公示媒介和期限公示中标候选人，公示期不得少于 3 天。</w:t>
      </w:r>
    </w:p>
    <w:p>
      <w:pPr>
        <w:spacing w:line="360" w:lineRule="auto"/>
        <w:jc w:val="left"/>
        <w:rPr>
          <w:rFonts w:ascii="宋体" w:hAnsi="宋体" w:cs="宋体"/>
          <w:b/>
          <w:bCs/>
          <w:sz w:val="22"/>
        </w:rPr>
      </w:pPr>
      <w:r>
        <w:rPr>
          <w:rFonts w:hint="eastAsia" w:ascii="宋体" w:hAnsi="宋体" w:cs="宋体"/>
          <w:b/>
          <w:bCs/>
          <w:sz w:val="22"/>
        </w:rPr>
        <w:t>7.2 评标结果异议</w:t>
      </w:r>
    </w:p>
    <w:p>
      <w:pPr>
        <w:spacing w:line="360" w:lineRule="auto"/>
        <w:ind w:firstLine="444" w:firstLineChars="202"/>
        <w:jc w:val="left"/>
        <w:rPr>
          <w:rFonts w:ascii="宋体" w:hAnsi="宋体" w:cs="宋体"/>
          <w:sz w:val="22"/>
        </w:rPr>
      </w:pPr>
      <w:r>
        <w:rPr>
          <w:rFonts w:hint="eastAsia" w:ascii="宋体" w:hAnsi="宋体" w:cs="宋体"/>
          <w:sz w:val="22"/>
        </w:rPr>
        <w:t>投标人或者其他利害关系人对评标结果有异议的，应当在中标候选人公示期间提出。招标人将在收到异议之日起 3 日内作出答复；作出答复前，将暂停招标投标活动。</w:t>
      </w:r>
    </w:p>
    <w:p>
      <w:pPr>
        <w:spacing w:line="360" w:lineRule="auto"/>
        <w:jc w:val="left"/>
        <w:rPr>
          <w:rFonts w:ascii="宋体" w:hAnsi="宋体" w:cs="宋体"/>
          <w:b/>
          <w:bCs/>
          <w:sz w:val="22"/>
        </w:rPr>
      </w:pPr>
      <w:r>
        <w:rPr>
          <w:rFonts w:hint="eastAsia" w:ascii="宋体" w:hAnsi="宋体" w:cs="宋体"/>
          <w:b/>
          <w:bCs/>
          <w:sz w:val="22"/>
        </w:rPr>
        <w:t>7.3 中标候选人履约能力审查</w:t>
      </w:r>
    </w:p>
    <w:p>
      <w:pPr>
        <w:spacing w:line="360" w:lineRule="auto"/>
        <w:ind w:firstLine="444" w:firstLineChars="202"/>
        <w:jc w:val="left"/>
        <w:rPr>
          <w:rFonts w:ascii="宋体" w:hAnsi="宋体" w:cs="宋体"/>
          <w:sz w:val="22"/>
        </w:rPr>
      </w:pPr>
      <w:r>
        <w:rPr>
          <w:rFonts w:hint="eastAsia" w:ascii="宋体" w:hAnsi="宋体" w:cs="宋体"/>
          <w:sz w:val="22"/>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jc w:val="left"/>
        <w:rPr>
          <w:rFonts w:ascii="宋体" w:hAnsi="宋体" w:cs="宋体"/>
          <w:b/>
          <w:bCs/>
          <w:sz w:val="22"/>
        </w:rPr>
      </w:pPr>
      <w:r>
        <w:rPr>
          <w:rFonts w:hint="eastAsia" w:ascii="宋体" w:hAnsi="宋体" w:cs="宋体"/>
          <w:b/>
          <w:bCs/>
          <w:sz w:val="22"/>
        </w:rPr>
        <w:t>7.4 定标</w:t>
      </w:r>
    </w:p>
    <w:p>
      <w:pPr>
        <w:spacing w:line="360" w:lineRule="auto"/>
        <w:ind w:firstLine="444" w:firstLineChars="202"/>
        <w:jc w:val="left"/>
        <w:rPr>
          <w:rFonts w:ascii="宋体" w:hAnsi="宋体" w:cs="宋体"/>
          <w:sz w:val="22"/>
        </w:rPr>
      </w:pPr>
      <w:r>
        <w:rPr>
          <w:rFonts w:hint="eastAsia" w:ascii="宋体" w:hAnsi="宋体" w:cs="宋体"/>
          <w:sz w:val="22"/>
        </w:rPr>
        <w:t>按照投标人须知前附表的规定，招标人或招标人授权的评标委员会依法确定中标人。</w:t>
      </w:r>
    </w:p>
    <w:p>
      <w:pPr>
        <w:spacing w:line="360" w:lineRule="auto"/>
        <w:jc w:val="left"/>
        <w:rPr>
          <w:rFonts w:ascii="宋体" w:hAnsi="宋体" w:cs="宋体"/>
          <w:b/>
          <w:bCs/>
          <w:sz w:val="22"/>
        </w:rPr>
      </w:pPr>
      <w:r>
        <w:rPr>
          <w:rFonts w:hint="eastAsia" w:ascii="宋体" w:hAnsi="宋体" w:cs="宋体"/>
          <w:b/>
          <w:bCs/>
          <w:sz w:val="22"/>
        </w:rPr>
        <w:t>7.5 中标通知</w:t>
      </w:r>
    </w:p>
    <w:p>
      <w:pPr>
        <w:spacing w:line="360" w:lineRule="auto"/>
        <w:ind w:firstLine="444" w:firstLineChars="202"/>
        <w:jc w:val="left"/>
        <w:rPr>
          <w:rFonts w:ascii="宋体" w:hAnsi="宋体" w:cs="宋体"/>
          <w:sz w:val="22"/>
        </w:rPr>
      </w:pPr>
      <w:r>
        <w:rPr>
          <w:rFonts w:hint="eastAsia" w:ascii="宋体" w:hAnsi="宋体" w:cs="宋体"/>
          <w:sz w:val="22"/>
        </w:rPr>
        <w:t>在本章第 3.3 款规定的投标有效期内，招标人以书面形式向中标人发出中标通知书，同时将中标结果通知未中标的投标人。</w:t>
      </w:r>
    </w:p>
    <w:p>
      <w:pPr>
        <w:spacing w:line="360" w:lineRule="auto"/>
        <w:jc w:val="left"/>
        <w:rPr>
          <w:rFonts w:ascii="宋体" w:hAnsi="宋体" w:cs="宋体"/>
          <w:b/>
          <w:bCs/>
          <w:sz w:val="22"/>
        </w:rPr>
      </w:pPr>
      <w:r>
        <w:rPr>
          <w:rFonts w:hint="eastAsia" w:ascii="宋体" w:hAnsi="宋体" w:cs="宋体"/>
          <w:b/>
          <w:bCs/>
          <w:sz w:val="22"/>
        </w:rPr>
        <w:t>7.6 履约保证金</w:t>
      </w:r>
    </w:p>
    <w:p>
      <w:pPr>
        <w:spacing w:line="360" w:lineRule="auto"/>
        <w:ind w:firstLine="444" w:firstLineChars="202"/>
        <w:jc w:val="left"/>
        <w:rPr>
          <w:rFonts w:ascii="宋体" w:hAnsi="宋体" w:cs="宋体"/>
          <w:sz w:val="22"/>
        </w:rPr>
      </w:pPr>
      <w:r>
        <w:rPr>
          <w:rFonts w:hint="eastAsia" w:ascii="宋体" w:hAnsi="宋体" w:cs="宋体"/>
          <w:sz w:val="22"/>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pacing w:line="360" w:lineRule="auto"/>
        <w:ind w:firstLine="444" w:firstLineChars="202"/>
        <w:jc w:val="left"/>
        <w:rPr>
          <w:rFonts w:ascii="宋体" w:hAnsi="宋体" w:cs="宋体"/>
          <w:sz w:val="22"/>
        </w:rPr>
      </w:pPr>
      <w:r>
        <w:rPr>
          <w:rFonts w:hint="eastAsia" w:ascii="宋体" w:hAnsi="宋体" w:cs="宋体"/>
          <w:sz w:val="22"/>
        </w:rPr>
        <w:t>7.6.2 中标人不能按本章第 7.6.1 项要求提交履约保证金的，视为放弃中标，其投标保证金不予退还，给招标人造成的损失超过投标保证金数额的，中标人还应当对超过部分予以赔偿。</w:t>
      </w:r>
    </w:p>
    <w:p>
      <w:pPr>
        <w:spacing w:line="360" w:lineRule="auto"/>
        <w:jc w:val="left"/>
        <w:rPr>
          <w:rFonts w:ascii="宋体" w:hAnsi="宋体" w:cs="宋体"/>
          <w:b/>
          <w:bCs/>
          <w:sz w:val="22"/>
        </w:rPr>
      </w:pPr>
      <w:r>
        <w:rPr>
          <w:rFonts w:hint="eastAsia" w:ascii="宋体" w:hAnsi="宋体" w:cs="宋体"/>
          <w:b/>
          <w:bCs/>
          <w:sz w:val="22"/>
        </w:rPr>
        <w:t>7.7 签订合同</w:t>
      </w:r>
    </w:p>
    <w:p>
      <w:pPr>
        <w:spacing w:line="360" w:lineRule="auto"/>
        <w:ind w:firstLine="444" w:firstLineChars="202"/>
        <w:jc w:val="left"/>
        <w:rPr>
          <w:rFonts w:ascii="宋体" w:hAnsi="宋体" w:cs="宋体"/>
          <w:sz w:val="22"/>
        </w:rPr>
      </w:pPr>
      <w:r>
        <w:rPr>
          <w:rFonts w:hint="eastAsia" w:ascii="宋体" w:hAnsi="宋体" w:cs="宋体"/>
          <w:sz w:val="22"/>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44" w:firstLineChars="202"/>
        <w:jc w:val="left"/>
        <w:rPr>
          <w:rFonts w:ascii="宋体" w:hAnsi="宋体" w:cs="宋体"/>
          <w:sz w:val="22"/>
        </w:rPr>
      </w:pPr>
      <w:r>
        <w:rPr>
          <w:rFonts w:hint="eastAsia" w:ascii="宋体" w:hAnsi="宋体" w:cs="宋体"/>
          <w:sz w:val="22"/>
        </w:rPr>
        <w:t>7.7.2 发出中标通知书后，招标人无正当理由拒签合同，或者在签订合同时向中标人提出附加条件的，招标人向中标人退还投标保证金；给中标人造成损失的，还应当赔偿损失。</w:t>
      </w:r>
    </w:p>
    <w:p>
      <w:pPr>
        <w:spacing w:line="360" w:lineRule="exact"/>
        <w:ind w:firstLine="565" w:firstLineChars="202"/>
        <w:jc w:val="left"/>
        <w:rPr>
          <w:rFonts w:ascii="宋体" w:hAnsi="宋体" w:cs="宋体"/>
          <w:sz w:val="28"/>
          <w:szCs w:val="28"/>
        </w:rPr>
      </w:pPr>
    </w:p>
    <w:p>
      <w:pPr>
        <w:keepNext/>
        <w:keepLines/>
        <w:spacing w:before="240" w:after="240" w:line="416" w:lineRule="auto"/>
        <w:jc w:val="left"/>
        <w:outlineLvl w:val="1"/>
        <w:rPr>
          <w:rFonts w:ascii="宋体" w:hAnsi="宋体" w:cs="宋体"/>
          <w:b/>
          <w:bCs/>
          <w:sz w:val="40"/>
          <w:szCs w:val="32"/>
        </w:rPr>
      </w:pPr>
      <w:bookmarkStart w:id="132" w:name="_Toc15512"/>
      <w:bookmarkStart w:id="133" w:name="_Toc19621"/>
      <w:bookmarkStart w:id="134" w:name="_Toc15378"/>
      <w:bookmarkStart w:id="135" w:name="_Toc38224846"/>
      <w:bookmarkStart w:id="136" w:name="_Toc532367880"/>
      <w:bookmarkStart w:id="137" w:name="_Toc25746"/>
      <w:r>
        <w:rPr>
          <w:rFonts w:hint="eastAsia" w:ascii="宋体" w:hAnsi="宋体" w:cs="宋体"/>
          <w:b/>
          <w:bCs/>
          <w:sz w:val="40"/>
          <w:szCs w:val="32"/>
        </w:rPr>
        <w:t>8.纪律和监督</w:t>
      </w:r>
      <w:bookmarkEnd w:id="132"/>
      <w:bookmarkEnd w:id="133"/>
      <w:bookmarkEnd w:id="134"/>
      <w:bookmarkEnd w:id="135"/>
      <w:bookmarkEnd w:id="136"/>
      <w:bookmarkEnd w:id="137"/>
    </w:p>
    <w:p>
      <w:pPr>
        <w:spacing w:line="360" w:lineRule="auto"/>
        <w:jc w:val="left"/>
        <w:rPr>
          <w:rFonts w:ascii="宋体" w:hAnsi="宋体" w:cs="宋体"/>
          <w:b/>
          <w:bCs/>
          <w:sz w:val="22"/>
        </w:rPr>
      </w:pPr>
      <w:r>
        <w:rPr>
          <w:rFonts w:hint="eastAsia" w:ascii="宋体" w:hAnsi="宋体" w:cs="宋体"/>
          <w:b/>
          <w:bCs/>
          <w:sz w:val="22"/>
        </w:rPr>
        <w:t>8.1 对招标人的纪律要求</w:t>
      </w:r>
    </w:p>
    <w:p>
      <w:pPr>
        <w:spacing w:line="360" w:lineRule="auto"/>
        <w:ind w:firstLine="444" w:firstLineChars="202"/>
        <w:jc w:val="left"/>
        <w:rPr>
          <w:rFonts w:ascii="宋体" w:hAnsi="宋体" w:cs="宋体"/>
          <w:sz w:val="22"/>
        </w:rPr>
      </w:pPr>
      <w:r>
        <w:rPr>
          <w:rFonts w:hint="eastAsia" w:ascii="宋体" w:hAnsi="宋体" w:cs="宋体"/>
          <w:sz w:val="22"/>
        </w:rPr>
        <w:t>招标人不得泄露招标投标活动中应当保密的情况和资料，不得与投标人串通损害国家利益、社会公共利益或者他人合法权益。</w:t>
      </w:r>
    </w:p>
    <w:p>
      <w:pPr>
        <w:spacing w:line="360" w:lineRule="auto"/>
        <w:jc w:val="left"/>
        <w:rPr>
          <w:rFonts w:ascii="宋体" w:hAnsi="宋体" w:cs="宋体"/>
          <w:b/>
          <w:bCs/>
          <w:sz w:val="22"/>
        </w:rPr>
      </w:pPr>
      <w:r>
        <w:rPr>
          <w:rFonts w:hint="eastAsia" w:ascii="宋体" w:hAnsi="宋体" w:cs="宋体"/>
          <w:b/>
          <w:bCs/>
          <w:sz w:val="22"/>
        </w:rPr>
        <w:t>8.2 对投标人的纪律要求</w:t>
      </w:r>
    </w:p>
    <w:p>
      <w:pPr>
        <w:spacing w:line="360" w:lineRule="auto"/>
        <w:ind w:firstLine="444" w:firstLineChars="202"/>
        <w:jc w:val="left"/>
        <w:rPr>
          <w:rFonts w:ascii="宋体" w:hAnsi="宋体" w:cs="宋体"/>
          <w:sz w:val="22"/>
        </w:rPr>
      </w:pPr>
      <w:r>
        <w:rPr>
          <w:rFonts w:hint="eastAsia" w:ascii="宋体" w:hAnsi="宋体" w:cs="宋体"/>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jc w:val="left"/>
        <w:rPr>
          <w:rFonts w:ascii="宋体" w:hAnsi="宋体" w:cs="宋体"/>
          <w:b/>
          <w:bCs/>
          <w:sz w:val="22"/>
        </w:rPr>
      </w:pPr>
      <w:r>
        <w:rPr>
          <w:rFonts w:hint="eastAsia" w:ascii="宋体" w:hAnsi="宋体" w:cs="宋体"/>
          <w:b/>
          <w:bCs/>
          <w:sz w:val="22"/>
        </w:rPr>
        <w:t>8.3 对评标委员会成员的纪律要求</w:t>
      </w:r>
    </w:p>
    <w:p>
      <w:pPr>
        <w:spacing w:line="360" w:lineRule="auto"/>
        <w:ind w:firstLine="444" w:firstLineChars="202"/>
        <w:jc w:val="left"/>
        <w:rPr>
          <w:rFonts w:ascii="宋体" w:hAnsi="宋体" w:cs="宋体"/>
          <w:sz w:val="22"/>
        </w:rPr>
      </w:pPr>
      <w:r>
        <w:rPr>
          <w:rFonts w:hint="eastAsia" w:ascii="宋体" w:hAnsi="宋体" w:cs="宋体"/>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jc w:val="left"/>
        <w:rPr>
          <w:rFonts w:ascii="宋体" w:hAnsi="宋体" w:cs="宋体"/>
          <w:b/>
          <w:bCs/>
          <w:sz w:val="22"/>
        </w:rPr>
      </w:pPr>
      <w:r>
        <w:rPr>
          <w:rFonts w:hint="eastAsia" w:ascii="宋体" w:hAnsi="宋体" w:cs="宋体"/>
          <w:b/>
          <w:bCs/>
          <w:sz w:val="22"/>
        </w:rPr>
        <w:t>8.4 对与评标活动有关的工作人员的纪律要求</w:t>
      </w:r>
    </w:p>
    <w:p>
      <w:pPr>
        <w:spacing w:line="360" w:lineRule="auto"/>
        <w:ind w:firstLine="444" w:firstLineChars="202"/>
        <w:jc w:val="left"/>
        <w:rPr>
          <w:rFonts w:ascii="宋体" w:hAnsi="宋体" w:cs="宋体"/>
          <w:sz w:val="22"/>
        </w:rPr>
      </w:pPr>
      <w:r>
        <w:rPr>
          <w:rFonts w:hint="eastAsia" w:ascii="宋体" w:hAnsi="宋体" w:cs="宋体"/>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jc w:val="left"/>
        <w:rPr>
          <w:rFonts w:ascii="宋体" w:hAnsi="宋体" w:cs="宋体"/>
          <w:b/>
          <w:bCs/>
          <w:sz w:val="22"/>
        </w:rPr>
      </w:pPr>
      <w:r>
        <w:rPr>
          <w:rFonts w:hint="eastAsia" w:ascii="宋体" w:hAnsi="宋体" w:cs="宋体"/>
          <w:b/>
          <w:bCs/>
          <w:sz w:val="22"/>
        </w:rPr>
        <w:t>8.5 投诉</w:t>
      </w:r>
    </w:p>
    <w:p>
      <w:pPr>
        <w:spacing w:line="360" w:lineRule="auto"/>
        <w:ind w:firstLine="444" w:firstLineChars="202"/>
        <w:jc w:val="left"/>
        <w:rPr>
          <w:rFonts w:ascii="宋体" w:hAnsi="宋体" w:cs="宋体"/>
          <w:sz w:val="22"/>
        </w:rPr>
      </w:pPr>
      <w:r>
        <w:rPr>
          <w:rFonts w:hint="eastAsia" w:ascii="宋体" w:hAnsi="宋体" w:cs="宋体"/>
          <w:sz w:val="22"/>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44" w:firstLineChars="202"/>
        <w:jc w:val="left"/>
        <w:rPr>
          <w:rFonts w:ascii="宋体" w:hAnsi="宋体" w:cs="宋体"/>
          <w:sz w:val="22"/>
        </w:rPr>
      </w:pPr>
      <w:r>
        <w:rPr>
          <w:rFonts w:hint="eastAsia" w:ascii="宋体" w:hAnsi="宋体" w:cs="宋体"/>
          <w:sz w:val="22"/>
        </w:rPr>
        <w:t>8.5.2 投标人或者其他利害关系人对招标文件、开标和评标结果提出投诉的，应当按照投标人须知第 2.4 款、第 5.3 款和第 7.2 款的规定先向招标人提出异议。异议答复期间不计算在第 8.5.1项规定的期限内。</w:t>
      </w:r>
    </w:p>
    <w:p>
      <w:pPr>
        <w:keepNext/>
        <w:keepLines/>
        <w:spacing w:before="240" w:after="240" w:line="416" w:lineRule="auto"/>
        <w:jc w:val="left"/>
        <w:outlineLvl w:val="1"/>
        <w:rPr>
          <w:rFonts w:ascii="宋体" w:hAnsi="宋体" w:cs="宋体"/>
          <w:b/>
          <w:bCs/>
          <w:sz w:val="40"/>
          <w:szCs w:val="32"/>
        </w:rPr>
      </w:pPr>
      <w:bookmarkStart w:id="138" w:name="_Toc38224847"/>
      <w:bookmarkStart w:id="139" w:name="_Toc3441"/>
      <w:r>
        <w:rPr>
          <w:rFonts w:hint="eastAsia" w:ascii="宋体" w:hAnsi="宋体" w:cs="宋体"/>
          <w:b/>
          <w:bCs/>
          <w:sz w:val="40"/>
          <w:szCs w:val="32"/>
        </w:rPr>
        <w:t>9.是否采用电子招标投标</w:t>
      </w:r>
      <w:bookmarkEnd w:id="138"/>
      <w:bookmarkEnd w:id="139"/>
    </w:p>
    <w:p>
      <w:pPr>
        <w:spacing w:line="360" w:lineRule="exact"/>
        <w:ind w:firstLine="444" w:firstLineChars="202"/>
        <w:jc w:val="left"/>
        <w:rPr>
          <w:rFonts w:ascii="宋体" w:hAnsi="宋体" w:cs="宋体"/>
          <w:sz w:val="22"/>
        </w:rPr>
      </w:pPr>
      <w:r>
        <w:rPr>
          <w:rFonts w:hint="eastAsia" w:ascii="宋体" w:hAnsi="宋体" w:cs="宋体"/>
          <w:sz w:val="22"/>
        </w:rPr>
        <w:t>本招标项目是否采用电子招标投标方式，见投标人须知前附表。</w:t>
      </w:r>
    </w:p>
    <w:p>
      <w:pPr>
        <w:keepNext/>
        <w:keepLines/>
        <w:spacing w:before="240" w:after="240" w:line="416" w:lineRule="auto"/>
        <w:jc w:val="left"/>
        <w:outlineLvl w:val="1"/>
        <w:rPr>
          <w:rFonts w:ascii="宋体" w:hAnsi="宋体" w:cs="宋体"/>
          <w:b/>
          <w:bCs/>
          <w:sz w:val="40"/>
          <w:szCs w:val="32"/>
        </w:rPr>
      </w:pPr>
      <w:bookmarkStart w:id="140" w:name="_Toc5234"/>
      <w:bookmarkStart w:id="141" w:name="_Toc38224848"/>
      <w:r>
        <w:rPr>
          <w:rFonts w:hint="eastAsia" w:ascii="宋体" w:hAnsi="宋体" w:cs="宋体"/>
          <w:b/>
          <w:bCs/>
          <w:sz w:val="40"/>
          <w:szCs w:val="32"/>
        </w:rPr>
        <w:t>10.需要补充的其他内容</w:t>
      </w:r>
      <w:bookmarkEnd w:id="140"/>
      <w:bookmarkEnd w:id="141"/>
    </w:p>
    <w:p>
      <w:pPr>
        <w:spacing w:line="360" w:lineRule="exact"/>
        <w:ind w:firstLine="444" w:firstLineChars="202"/>
        <w:jc w:val="left"/>
        <w:rPr>
          <w:rFonts w:ascii="宋体" w:hAnsi="宋体" w:cs="宋体"/>
          <w:sz w:val="22"/>
        </w:rPr>
      </w:pPr>
      <w:r>
        <w:rPr>
          <w:rFonts w:hint="eastAsia" w:ascii="宋体" w:hAnsi="宋体" w:cs="宋体"/>
          <w:sz w:val="22"/>
        </w:rPr>
        <w:t>需要补充的其他内容：见投标人须知前附表。</w:t>
      </w:r>
    </w:p>
    <w:p>
      <w:pPr>
        <w:pStyle w:val="6"/>
        <w:keepNext w:val="0"/>
        <w:keepLines w:val="0"/>
        <w:ind w:firstLine="137"/>
        <w:rPr>
          <w:rFonts w:ascii="宋体" w:hAnsi="宋体" w:eastAsia="宋体" w:cs="宋体"/>
        </w:rPr>
        <w:sectPr>
          <w:pgSz w:w="11905" w:h="16838"/>
          <w:pgMar w:top="1418" w:right="1417" w:bottom="1418" w:left="1417" w:header="851" w:footer="794" w:gutter="0"/>
          <w:cols w:space="720" w:num="1"/>
          <w:docGrid w:type="lines" w:linePitch="312" w:charSpace="0"/>
        </w:sectPr>
      </w:pPr>
      <w:bookmarkStart w:id="142" w:name="_Toc532147716"/>
    </w:p>
    <w:p>
      <w:pPr>
        <w:pStyle w:val="6"/>
        <w:keepNext w:val="0"/>
        <w:keepLines w:val="0"/>
        <w:ind w:firstLine="137"/>
        <w:rPr>
          <w:rFonts w:ascii="宋体" w:hAnsi="宋体" w:eastAsia="宋体" w:cs="宋体"/>
        </w:rPr>
      </w:pPr>
      <w:r>
        <w:rPr>
          <w:rFonts w:hint="eastAsia" w:ascii="宋体" w:hAnsi="宋体" w:eastAsia="宋体" w:cs="宋体"/>
        </w:rPr>
        <w:t>附件一：开标记录表</w:t>
      </w:r>
      <w:bookmarkEnd w:id="142"/>
    </w:p>
    <w:p>
      <w:pPr>
        <w:spacing w:line="440" w:lineRule="exact"/>
        <w:jc w:val="center"/>
        <w:rPr>
          <w:rFonts w:ascii="宋体" w:hAnsi="宋体" w:cs="宋体"/>
          <w:sz w:val="28"/>
        </w:rPr>
      </w:pPr>
      <w:r>
        <w:rPr>
          <w:rFonts w:hint="eastAsia" w:ascii="宋体" w:hAnsi="宋体" w:cs="宋体"/>
          <w:sz w:val="28"/>
        </w:rPr>
        <w:t>开标记录表</w:t>
      </w:r>
    </w:p>
    <w:p>
      <w:pPr>
        <w:spacing w:before="156" w:beforeLines="50" w:after="156" w:afterLines="50" w:line="400" w:lineRule="exact"/>
        <w:ind w:right="420"/>
        <w:jc w:val="left"/>
        <w:rPr>
          <w:rFonts w:ascii="宋体" w:hAnsi="宋体" w:cs="宋体"/>
          <w:sz w:val="18"/>
          <w:szCs w:val="18"/>
        </w:rPr>
      </w:pPr>
      <w:r>
        <w:rPr>
          <w:rFonts w:hint="eastAsia" w:ascii="宋体" w:hAnsi="宋体" w:cs="宋体"/>
          <w:sz w:val="18"/>
          <w:szCs w:val="18"/>
        </w:rPr>
        <w:t>开标时间：    年   月   日   时   分</w:t>
      </w:r>
    </w:p>
    <w:tbl>
      <w:tblPr>
        <w:tblStyle w:val="42"/>
        <w:tblW w:w="10065" w:type="dxa"/>
        <w:tblInd w:w="-459" w:type="dxa"/>
        <w:tblLayout w:type="fixed"/>
        <w:tblCellMar>
          <w:top w:w="0" w:type="dxa"/>
          <w:left w:w="108" w:type="dxa"/>
          <w:bottom w:w="0" w:type="dxa"/>
          <w:right w:w="108" w:type="dxa"/>
        </w:tblCellMar>
      </w:tblPr>
      <w:tblGrid>
        <w:gridCol w:w="648"/>
        <w:gridCol w:w="1019"/>
        <w:gridCol w:w="992"/>
        <w:gridCol w:w="802"/>
        <w:gridCol w:w="1252"/>
        <w:gridCol w:w="828"/>
        <w:gridCol w:w="1296"/>
        <w:gridCol w:w="1044"/>
        <w:gridCol w:w="972"/>
        <w:gridCol w:w="1212"/>
      </w:tblGrid>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 w:val="18"/>
                <w:szCs w:val="18"/>
              </w:rPr>
            </w:pPr>
            <w:r>
              <w:rPr>
                <w:rFonts w:hint="eastAsia" w:ascii="宋体" w:hAnsi="宋体" w:cs="宋体"/>
                <w:sz w:val="18"/>
                <w:szCs w:val="18"/>
              </w:rPr>
              <w:t>序号</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 w:val="18"/>
                <w:szCs w:val="18"/>
              </w:rPr>
            </w:pPr>
            <w:r>
              <w:rPr>
                <w:rFonts w:hint="eastAsia" w:ascii="宋体" w:hAnsi="宋体" w:cs="宋体"/>
                <w:sz w:val="18"/>
                <w:szCs w:val="18"/>
              </w:rPr>
              <w:t>投标人</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宋体"/>
                <w:sz w:val="18"/>
                <w:szCs w:val="18"/>
              </w:rPr>
            </w:pPr>
            <w:r>
              <w:rPr>
                <w:rFonts w:hint="eastAsia" w:ascii="宋体" w:hAnsi="宋体" w:cs="宋体"/>
                <w:color w:val="000000"/>
                <w:sz w:val="18"/>
                <w:szCs w:val="18"/>
                <w:u w:val="single"/>
              </w:rPr>
              <w:t>投标总报价（元）</w:t>
            </w: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宋体"/>
                <w:sz w:val="18"/>
                <w:szCs w:val="18"/>
              </w:rPr>
            </w:pPr>
            <w:r>
              <w:rPr>
                <w:rFonts w:hint="eastAsia" w:ascii="宋体" w:hAnsi="宋体" w:cs="宋体"/>
                <w:strike/>
                <w:sz w:val="18"/>
                <w:szCs w:val="18"/>
              </w:rPr>
              <w:t>保证金</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 w:val="18"/>
                <w:szCs w:val="18"/>
              </w:rPr>
            </w:pPr>
            <w:r>
              <w:rPr>
                <w:rFonts w:hint="eastAsia" w:ascii="宋体" w:hAnsi="宋体" w:cs="宋体"/>
                <w:sz w:val="18"/>
                <w:szCs w:val="18"/>
              </w:rPr>
              <w:t>项目负责人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 w:val="18"/>
                <w:szCs w:val="18"/>
              </w:rPr>
            </w:pPr>
            <w:r>
              <w:rPr>
                <w:rFonts w:hint="eastAsia" w:ascii="宋体" w:hAnsi="宋体" w:cs="宋体"/>
                <w:sz w:val="18"/>
                <w:szCs w:val="18"/>
              </w:rPr>
              <w:t>服务期</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 w:val="18"/>
                <w:szCs w:val="18"/>
              </w:rPr>
            </w:pPr>
            <w:r>
              <w:rPr>
                <w:rFonts w:hint="eastAsia" w:ascii="宋体" w:hAnsi="宋体" w:cs="宋体"/>
                <w:sz w:val="18"/>
                <w:szCs w:val="18"/>
              </w:rPr>
              <w:t>投标文件递交情况</w:t>
            </w:r>
          </w:p>
        </w:tc>
        <w:tc>
          <w:tcPr>
            <w:tcW w:w="104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cs="宋体"/>
                <w:sz w:val="18"/>
                <w:szCs w:val="18"/>
              </w:rPr>
            </w:pPr>
            <w:r>
              <w:rPr>
                <w:rFonts w:hint="eastAsia" w:ascii="宋体" w:hAnsi="宋体" w:cs="宋体"/>
                <w:sz w:val="18"/>
                <w:szCs w:val="18"/>
              </w:rPr>
              <w:t>投标文件解密情况</w:t>
            </w:r>
          </w:p>
        </w:tc>
        <w:tc>
          <w:tcPr>
            <w:tcW w:w="9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cs="宋体"/>
                <w:sz w:val="18"/>
                <w:szCs w:val="18"/>
              </w:rPr>
            </w:pPr>
            <w:r>
              <w:rPr>
                <w:rFonts w:hint="eastAsia" w:ascii="宋体" w:hAnsi="宋体" w:cs="宋体"/>
                <w:sz w:val="18"/>
                <w:szCs w:val="18"/>
              </w:rPr>
              <w:t>备注</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sz w:val="18"/>
                <w:szCs w:val="18"/>
              </w:rPr>
            </w:pPr>
            <w:r>
              <w:rPr>
                <w:rFonts w:hint="eastAsia" w:ascii="宋体" w:hAnsi="宋体" w:cs="宋体"/>
                <w:sz w:val="18"/>
                <w:szCs w:val="18"/>
              </w:rPr>
              <w:t>投标人代表签名</w:t>
            </w: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2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9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4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2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9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4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2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9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4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2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9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4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2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9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4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rPr>
          <w:trHeight w:val="140" w:hRule="atLeast"/>
        </w:trPr>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2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9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4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2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9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4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2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9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4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rPr>
          <w:trHeight w:val="502" w:hRule="atLeast"/>
        </w:trPr>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2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9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4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2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9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4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bookmarkStart w:id="143" w:name="_Toc17638"/>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0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2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9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4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r>
      <w:tr>
        <w:tblPrEx>
          <w:tblCellMar>
            <w:top w:w="0" w:type="dxa"/>
            <w:left w:w="108" w:type="dxa"/>
            <w:bottom w:w="0" w:type="dxa"/>
            <w:right w:w="108" w:type="dxa"/>
          </w:tblCellMar>
        </w:tblPrEx>
        <w:tc>
          <w:tcPr>
            <w:tcW w:w="265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r>
              <w:rPr>
                <w:rFonts w:hint="eastAsia" w:ascii="宋体" w:hAnsi="宋体" w:cs="宋体"/>
                <w:sz w:val="18"/>
                <w:szCs w:val="18"/>
              </w:rPr>
              <w:t>最高投标限价：</w:t>
            </w:r>
          </w:p>
        </w:tc>
        <w:tc>
          <w:tcPr>
            <w:tcW w:w="80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82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9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04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9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宋体" w:hAnsi="宋体" w:cs="宋体"/>
                <w:sz w:val="18"/>
                <w:szCs w:val="18"/>
              </w:rPr>
            </w:pPr>
          </w:p>
        </w:tc>
      </w:tr>
      <w:bookmarkEnd w:id="143"/>
    </w:tbl>
    <w:p>
      <w:pPr>
        <w:spacing w:line="440" w:lineRule="exact"/>
        <w:rPr>
          <w:rFonts w:ascii="宋体" w:hAnsi="宋体" w:cs="宋体"/>
          <w:sz w:val="18"/>
          <w:szCs w:val="18"/>
        </w:rPr>
      </w:pPr>
      <w:r>
        <w:rPr>
          <w:rFonts w:hint="eastAsia" w:ascii="宋体" w:hAnsi="宋体" w:cs="宋体"/>
          <w:sz w:val="18"/>
          <w:szCs w:val="18"/>
        </w:rPr>
        <w:t>　　　</w:t>
      </w:r>
    </w:p>
    <w:p>
      <w:pPr>
        <w:spacing w:line="620" w:lineRule="exact"/>
        <w:rPr>
          <w:rFonts w:ascii="宋体" w:hAnsi="宋体" w:cs="宋体"/>
          <w:sz w:val="18"/>
          <w:szCs w:val="18"/>
        </w:rPr>
      </w:pPr>
      <w:r>
        <w:rPr>
          <w:rFonts w:hint="eastAsia" w:ascii="宋体" w:hAnsi="宋体" w:cs="宋体"/>
          <w:sz w:val="18"/>
          <w:szCs w:val="18"/>
        </w:rPr>
        <w:t>招标人代表：                      记录人：                       监标人：</w:t>
      </w:r>
    </w:p>
    <w:p>
      <w:pPr>
        <w:spacing w:line="620" w:lineRule="exact"/>
        <w:jc w:val="right"/>
        <w:rPr>
          <w:rFonts w:ascii="宋体" w:hAnsi="宋体" w:cs="宋体"/>
          <w:sz w:val="20"/>
        </w:rPr>
      </w:pPr>
      <w:r>
        <w:rPr>
          <w:rFonts w:hint="eastAsia" w:ascii="宋体" w:hAnsi="宋体" w:cs="宋体"/>
          <w:sz w:val="18"/>
          <w:szCs w:val="18"/>
        </w:rPr>
        <w:t>年   月   日</w:t>
      </w:r>
    </w:p>
    <w:p>
      <w:pPr>
        <w:keepNext/>
        <w:keepLines/>
        <w:spacing w:line="578" w:lineRule="auto"/>
        <w:rPr>
          <w:rFonts w:ascii="宋体" w:hAnsi="宋体" w:cs="宋体"/>
          <w:b/>
          <w:bCs/>
          <w:kern w:val="44"/>
          <w:sz w:val="32"/>
          <w:szCs w:val="32"/>
        </w:rPr>
        <w:sectPr>
          <w:pgSz w:w="11905" w:h="16838"/>
          <w:pgMar w:top="1418" w:right="1417" w:bottom="1418" w:left="1417" w:header="851" w:footer="794" w:gutter="0"/>
          <w:cols w:space="720" w:num="1"/>
          <w:docGrid w:type="lines" w:linePitch="312" w:charSpace="0"/>
        </w:sectPr>
      </w:pPr>
    </w:p>
    <w:p>
      <w:pPr>
        <w:keepNext/>
        <w:keepLines/>
        <w:spacing w:line="578" w:lineRule="auto"/>
        <w:jc w:val="center"/>
        <w:outlineLvl w:val="0"/>
        <w:rPr>
          <w:rFonts w:ascii="宋体" w:hAnsi="宋体" w:cs="宋体"/>
          <w:b/>
          <w:bCs/>
          <w:sz w:val="44"/>
          <w:szCs w:val="44"/>
        </w:rPr>
        <w:sectPr>
          <w:pgSz w:w="11905" w:h="16838"/>
          <w:pgMar w:top="1418" w:right="1417" w:bottom="1418" w:left="1417" w:header="851" w:footer="794" w:gutter="0"/>
          <w:cols w:space="720" w:num="1"/>
          <w:docGrid w:type="lines" w:linePitch="312" w:charSpace="0"/>
        </w:sectPr>
      </w:pPr>
      <w:bookmarkStart w:id="144" w:name="_Toc27037"/>
      <w:bookmarkStart w:id="145" w:name="_Toc532367881"/>
      <w:bookmarkStart w:id="146" w:name="_Toc766"/>
      <w:bookmarkStart w:id="147" w:name="_Toc13967"/>
      <w:bookmarkStart w:id="148" w:name="_Toc23272"/>
      <w:bookmarkStart w:id="149" w:name="_Toc28959"/>
      <w:bookmarkStart w:id="150" w:name="_Toc10229"/>
      <w:bookmarkStart w:id="151" w:name="_Toc525063254"/>
      <w:bookmarkStart w:id="152" w:name="_Toc38224849"/>
      <w:bookmarkStart w:id="153" w:name="_Toc11766"/>
      <w:r>
        <w:rPr>
          <w:rFonts w:hint="eastAsia" w:ascii="宋体" w:hAnsi="宋体" w:cs="宋体"/>
          <w:b/>
          <w:bCs/>
          <w:sz w:val="44"/>
          <w:szCs w:val="44"/>
        </w:rPr>
        <w:t>第三章 评标办法（综合评分法）</w:t>
      </w:r>
      <w:bookmarkEnd w:id="144"/>
      <w:bookmarkEnd w:id="145"/>
      <w:bookmarkEnd w:id="146"/>
      <w:bookmarkEnd w:id="147"/>
      <w:bookmarkEnd w:id="148"/>
      <w:bookmarkEnd w:id="149"/>
      <w:bookmarkEnd w:id="150"/>
      <w:bookmarkEnd w:id="151"/>
      <w:bookmarkEnd w:id="152"/>
      <w:bookmarkEnd w:id="153"/>
    </w:p>
    <w:p>
      <w:pPr>
        <w:keepNext/>
        <w:keepLines/>
        <w:spacing w:line="578" w:lineRule="auto"/>
        <w:jc w:val="center"/>
        <w:outlineLvl w:val="1"/>
        <w:rPr>
          <w:rFonts w:ascii="宋体" w:hAnsi="宋体" w:cs="宋体"/>
          <w:b/>
          <w:bCs/>
          <w:kern w:val="44"/>
          <w:sz w:val="32"/>
          <w:szCs w:val="32"/>
        </w:rPr>
      </w:pPr>
      <w:bookmarkStart w:id="154" w:name="_Toc525063255"/>
      <w:bookmarkStart w:id="155" w:name="_Toc38224850"/>
      <w:bookmarkStart w:id="156" w:name="_Toc2287"/>
      <w:bookmarkStart w:id="157" w:name="_Toc5360"/>
      <w:bookmarkStart w:id="158" w:name="_Toc31115"/>
      <w:bookmarkStart w:id="159" w:name="_Toc10395"/>
      <w:bookmarkStart w:id="160" w:name="_Toc30148"/>
      <w:bookmarkStart w:id="161" w:name="_Toc24355"/>
      <w:bookmarkStart w:id="162" w:name="_Toc19559"/>
      <w:bookmarkStart w:id="163" w:name="_Toc532367882"/>
      <w:r>
        <w:rPr>
          <w:rFonts w:hint="eastAsia" w:ascii="宋体" w:hAnsi="宋体" w:cs="宋体"/>
          <w:b/>
          <w:bCs/>
          <w:kern w:val="44"/>
          <w:sz w:val="32"/>
          <w:szCs w:val="32"/>
        </w:rPr>
        <w:t>评标办法前附表</w:t>
      </w:r>
      <w:bookmarkEnd w:id="154"/>
      <w:bookmarkEnd w:id="155"/>
      <w:bookmarkEnd w:id="156"/>
      <w:bookmarkEnd w:id="157"/>
      <w:bookmarkEnd w:id="158"/>
      <w:bookmarkEnd w:id="159"/>
      <w:bookmarkEnd w:id="160"/>
      <w:bookmarkEnd w:id="161"/>
      <w:bookmarkEnd w:id="162"/>
      <w:bookmarkEnd w:id="163"/>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068"/>
        <w:gridCol w:w="1356"/>
        <w:gridCol w:w="1272"/>
        <w:gridCol w:w="4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674" w:type="dxa"/>
            <w:gridSpan w:val="2"/>
            <w:noWrap w:val="0"/>
            <w:vAlign w:val="center"/>
          </w:tcPr>
          <w:p>
            <w:pPr>
              <w:adjustRightInd w:val="0"/>
              <w:spacing w:before="120" w:beforeLines="50" w:line="360" w:lineRule="auto"/>
              <w:jc w:val="center"/>
              <w:rPr>
                <w:rFonts w:ascii="宋体" w:hAnsi="宋体" w:cs="宋体"/>
                <w:b/>
                <w:color w:val="auto"/>
                <w:sz w:val="21"/>
                <w:szCs w:val="21"/>
              </w:rPr>
            </w:pPr>
            <w:r>
              <w:rPr>
                <w:rFonts w:hint="eastAsia" w:ascii="宋体" w:hAnsi="宋体" w:cs="宋体"/>
                <w:b/>
                <w:color w:val="auto"/>
                <w:sz w:val="21"/>
                <w:szCs w:val="21"/>
              </w:rPr>
              <w:t>条款号</w:t>
            </w:r>
          </w:p>
        </w:tc>
        <w:tc>
          <w:tcPr>
            <w:tcW w:w="1356" w:type="dxa"/>
            <w:noWrap w:val="0"/>
            <w:vAlign w:val="center"/>
          </w:tcPr>
          <w:p>
            <w:pPr>
              <w:adjustRightInd w:val="0"/>
              <w:spacing w:before="120" w:beforeLines="50" w:line="360" w:lineRule="auto"/>
              <w:jc w:val="center"/>
              <w:rPr>
                <w:rFonts w:ascii="宋体" w:hAnsi="宋体" w:cs="宋体"/>
                <w:b/>
                <w:color w:val="auto"/>
                <w:sz w:val="21"/>
                <w:szCs w:val="21"/>
              </w:rPr>
            </w:pPr>
            <w:r>
              <w:rPr>
                <w:rFonts w:hint="eastAsia" w:ascii="宋体" w:hAnsi="宋体" w:cs="宋体"/>
                <w:b/>
                <w:color w:val="auto"/>
                <w:sz w:val="21"/>
                <w:szCs w:val="21"/>
              </w:rPr>
              <w:t>评审因素</w:t>
            </w:r>
          </w:p>
        </w:tc>
        <w:tc>
          <w:tcPr>
            <w:tcW w:w="6257" w:type="dxa"/>
            <w:gridSpan w:val="2"/>
            <w:noWrap w:val="0"/>
            <w:vAlign w:val="center"/>
          </w:tcPr>
          <w:p>
            <w:pPr>
              <w:adjustRightInd w:val="0"/>
              <w:spacing w:before="120" w:beforeLines="50" w:line="360" w:lineRule="auto"/>
              <w:jc w:val="center"/>
              <w:rPr>
                <w:rFonts w:ascii="宋体" w:hAnsi="宋体" w:cs="宋体"/>
                <w:b/>
                <w:color w:val="auto"/>
                <w:sz w:val="21"/>
                <w:szCs w:val="21"/>
              </w:rPr>
            </w:pPr>
            <w:r>
              <w:rPr>
                <w:rFonts w:hint="eastAsia" w:ascii="宋体" w:hAnsi="宋体" w:cs="宋体"/>
                <w:b/>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1</w:t>
            </w:r>
          </w:p>
        </w:tc>
        <w:tc>
          <w:tcPr>
            <w:tcW w:w="1068"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评标方法</w:t>
            </w: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中标候选人排序方法</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1、本次评标采用综合评估法。</w:t>
            </w:r>
          </w:p>
          <w:p>
            <w:pPr>
              <w:spacing w:line="360" w:lineRule="auto"/>
              <w:rPr>
                <w:rFonts w:ascii="宋体" w:hAnsi="宋体" w:cs="宋体"/>
                <w:color w:val="auto"/>
                <w:sz w:val="21"/>
                <w:szCs w:val="21"/>
              </w:rPr>
            </w:pPr>
            <w:r>
              <w:rPr>
                <w:rFonts w:hint="eastAsia" w:ascii="宋体" w:hAnsi="宋体" w:cs="宋体"/>
                <w:color w:val="auto"/>
                <w:sz w:val="21"/>
                <w:szCs w:val="21"/>
              </w:rPr>
              <w:t>2、评标委员会对满足招标文件实质性要求的投标文件，按照本章第2.2款规定的评分标准进行打分，并按综合得分由高到低排序前3名作为第一、第二、第三中标候选人。若两家或以上的投标人综合得分相同时，则诚信综合评价排名得分高的排前；若诚信综合评价排名得分相同时，则投标报价得分高的排前；若投标报价得分相同，则技术部分得分高的排前；若诚信综合评价排名得分、投标报价得分和技术部分得分均相同，则对具有相同情况的投标人，按中标候选人数量规定，由评标委员会采用记名投票方式，确定中标候选人的排序。</w:t>
            </w:r>
          </w:p>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记名投票方式确定排序的具体步骤为：由评标委员会对出现该情况的的投标人采用记名投票的方式确定，按得票数高低进行排序，根据得票数高低确定中标候选人排序。</w:t>
            </w:r>
          </w:p>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3、若投标登记或递交投标文件的投标人数量、或通过初步评审的合格投标人家数不足3家的，则该招标失败。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restart"/>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2.1.1</w:t>
            </w:r>
          </w:p>
        </w:tc>
        <w:tc>
          <w:tcPr>
            <w:tcW w:w="1068" w:type="dxa"/>
            <w:vMerge w:val="restart"/>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形式评审标准</w:t>
            </w: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投标人名称</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与营业执照、资质证书一致（</w:t>
            </w:r>
            <w:r>
              <w:rPr>
                <w:rFonts w:hint="eastAsia" w:ascii="宋体" w:hAnsi="宋体" w:cs="宋体"/>
                <w:b/>
                <w:color w:val="auto"/>
                <w:sz w:val="21"/>
                <w:szCs w:val="21"/>
              </w:rPr>
              <w:t>联合体投标的，联合体各方名称需和相应营业执照、资质证书的名称一致</w:t>
            </w: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投标函及投标函附录签字盖章</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有法定代表人或其委托代理人签字（或盖章）或加盖单位章。由法定代表人签字（或盖章）的，应附法定代表人身份证明，由代理人签字（或盖章）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投标文件格式</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符合第六章“投标文件格式一《投标函及投标函附录》”的规定；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联合体投标人</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本项目接受联合体投标；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备选投标方案</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u w:val="single"/>
              </w:rPr>
            </w:pPr>
            <w:r>
              <w:rPr>
                <w:rFonts w:hint="eastAsia" w:ascii="宋体" w:hAnsi="宋体" w:cs="宋体"/>
                <w:color w:val="auto"/>
                <w:sz w:val="21"/>
                <w:szCs w:val="21"/>
              </w:rPr>
              <w:t>投标人机器码</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投标人与其他投标人加密打包投标文件电脑机器特征码一致的(以广州公共资源交易中心评标系统的检索信息为准),其投标将被否决；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restart"/>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2.1.2</w:t>
            </w:r>
          </w:p>
        </w:tc>
        <w:tc>
          <w:tcPr>
            <w:tcW w:w="1068" w:type="dxa"/>
            <w:vMerge w:val="restart"/>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资格评审标准</w:t>
            </w: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营业执照</w:t>
            </w:r>
            <w:r>
              <w:rPr>
                <w:rFonts w:hint="eastAsia" w:ascii="宋体" w:hAnsi="宋体" w:cs="宋体"/>
                <w:color w:val="auto"/>
                <w:sz w:val="21"/>
                <w:szCs w:val="21"/>
                <w:u w:val="single"/>
              </w:rPr>
              <w:t>或事业单位法人证书</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符合第二章“投标人须知”第 3.5.1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资质要求</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财务要求</w:t>
            </w:r>
          </w:p>
        </w:tc>
        <w:tc>
          <w:tcPr>
            <w:tcW w:w="6257" w:type="dxa"/>
            <w:gridSpan w:val="2"/>
            <w:noWrap w:val="0"/>
            <w:vAlign w:val="center"/>
          </w:tcPr>
          <w:p>
            <w:pPr>
              <w:adjustRightInd w:val="0"/>
              <w:spacing w:before="120" w:beforeLines="50" w:line="360" w:lineRule="auto"/>
              <w:rPr>
                <w:rFonts w:ascii="宋体" w:hAnsi="宋体" w:cs="宋体"/>
                <w:color w:val="auto"/>
                <w:sz w:val="21"/>
                <w:szCs w:val="21"/>
                <w:u w:val="single"/>
              </w:rPr>
            </w:pPr>
            <w:r>
              <w:rPr>
                <w:rFonts w:hint="eastAsia" w:ascii="宋体" w:hAnsi="宋体" w:cs="宋体"/>
                <w:color w:val="auto"/>
                <w:sz w:val="21"/>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业绩要求</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信誉要求</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u w:val="single"/>
              </w:rPr>
              <w:t>项目负责人</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其他主要人员</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试验检测仪器设备</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其他要求</w:t>
            </w:r>
          </w:p>
        </w:tc>
        <w:tc>
          <w:tcPr>
            <w:tcW w:w="6257" w:type="dxa"/>
            <w:gridSpan w:val="2"/>
            <w:noWrap w:val="0"/>
            <w:vAlign w:val="center"/>
          </w:tcPr>
          <w:p>
            <w:pPr>
              <w:adjustRightInd w:val="0"/>
              <w:spacing w:before="120" w:beforeLines="50" w:line="360" w:lineRule="auto"/>
              <w:rPr>
                <w:rFonts w:ascii="宋体" w:hAnsi="宋体" w:cs="宋体"/>
                <w:color w:val="auto"/>
                <w:sz w:val="21"/>
                <w:szCs w:val="21"/>
                <w:u w:val="single"/>
              </w:rPr>
            </w:pPr>
            <w:r>
              <w:rPr>
                <w:rFonts w:hint="eastAsia" w:ascii="宋体" w:hAnsi="宋体" w:cs="宋体"/>
                <w:color w:val="auto"/>
                <w:sz w:val="21"/>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联合体投标人</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不存在禁止投标的情形</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不存在第二章“投标人须知”第 1.4.3 项规定的任何一种情形（以《投标人声明》为准）。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restart"/>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2.1.3</w:t>
            </w:r>
          </w:p>
        </w:tc>
        <w:tc>
          <w:tcPr>
            <w:tcW w:w="1068" w:type="dxa"/>
            <w:vMerge w:val="restart"/>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响应性评审标准</w:t>
            </w:r>
          </w:p>
        </w:tc>
        <w:tc>
          <w:tcPr>
            <w:tcW w:w="1356" w:type="dxa"/>
            <w:noWrap w:val="0"/>
            <w:vAlign w:val="center"/>
          </w:tcPr>
          <w:p>
            <w:pPr>
              <w:adjustRightInd w:val="0"/>
              <w:spacing w:before="120" w:beforeLines="50" w:line="360" w:lineRule="auto"/>
              <w:jc w:val="center"/>
              <w:rPr>
                <w:rFonts w:ascii="宋体" w:hAnsi="宋体" w:cs="宋体"/>
                <w:strike/>
                <w:color w:val="auto"/>
                <w:sz w:val="21"/>
                <w:szCs w:val="21"/>
                <w:u w:val="single"/>
              </w:rPr>
            </w:pPr>
            <w:r>
              <w:rPr>
                <w:rFonts w:hint="eastAsia" w:ascii="宋体" w:hAnsi="宋体" w:cs="宋体"/>
                <w:color w:val="auto"/>
                <w:sz w:val="21"/>
                <w:szCs w:val="21"/>
              </w:rPr>
              <w:t>投标报价</w:t>
            </w:r>
          </w:p>
        </w:tc>
        <w:tc>
          <w:tcPr>
            <w:tcW w:w="6257" w:type="dxa"/>
            <w:gridSpan w:val="2"/>
            <w:noWrap w:val="0"/>
            <w:vAlign w:val="center"/>
          </w:tcPr>
          <w:p>
            <w:pPr>
              <w:adjustRightInd w:val="0"/>
              <w:spacing w:before="120" w:beforeLines="50" w:line="360" w:lineRule="auto"/>
              <w:rPr>
                <w:rFonts w:ascii="宋体" w:hAnsi="宋体" w:cs="宋体"/>
                <w:strike/>
                <w:color w:val="auto"/>
                <w:sz w:val="21"/>
                <w:szCs w:val="21"/>
                <w:u w:val="single"/>
              </w:rPr>
            </w:pPr>
            <w:r>
              <w:rPr>
                <w:rFonts w:hint="eastAsia" w:ascii="宋体" w:hAnsi="宋体" w:cs="宋体"/>
                <w:color w:val="auto"/>
                <w:sz w:val="21"/>
                <w:szCs w:val="21"/>
              </w:rPr>
              <w:t>符合第二章“投标人须知”第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投标内容</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服务期限</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质量标准</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投标有效期</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strike/>
                <w:color w:val="auto"/>
                <w:sz w:val="21"/>
                <w:szCs w:val="21"/>
              </w:rPr>
              <w:t>投标保证金</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串通投标情形</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674" w:type="dxa"/>
            <w:gridSpan w:val="2"/>
            <w:noWrap w:val="0"/>
            <w:vAlign w:val="center"/>
          </w:tcPr>
          <w:p>
            <w:pPr>
              <w:adjustRightInd w:val="0"/>
              <w:spacing w:before="120" w:beforeLines="50" w:line="360" w:lineRule="auto"/>
              <w:jc w:val="center"/>
              <w:rPr>
                <w:rFonts w:ascii="宋体" w:hAnsi="宋体" w:cs="宋体"/>
                <w:b/>
                <w:color w:val="auto"/>
                <w:sz w:val="21"/>
                <w:szCs w:val="21"/>
              </w:rPr>
            </w:pPr>
            <w:r>
              <w:rPr>
                <w:rFonts w:hint="eastAsia" w:ascii="宋体" w:hAnsi="宋体" w:cs="宋体"/>
                <w:b/>
                <w:color w:val="auto"/>
                <w:sz w:val="21"/>
                <w:szCs w:val="21"/>
              </w:rPr>
              <w:t>条款号</w:t>
            </w:r>
          </w:p>
        </w:tc>
        <w:tc>
          <w:tcPr>
            <w:tcW w:w="1356" w:type="dxa"/>
            <w:noWrap w:val="0"/>
            <w:vAlign w:val="center"/>
          </w:tcPr>
          <w:p>
            <w:pPr>
              <w:adjustRightInd w:val="0"/>
              <w:spacing w:before="120" w:beforeLines="50" w:line="360" w:lineRule="auto"/>
              <w:jc w:val="center"/>
              <w:rPr>
                <w:rFonts w:ascii="宋体" w:hAnsi="宋体" w:cs="宋体"/>
                <w:b/>
                <w:color w:val="auto"/>
                <w:sz w:val="21"/>
                <w:szCs w:val="21"/>
              </w:rPr>
            </w:pPr>
            <w:r>
              <w:rPr>
                <w:rFonts w:hint="eastAsia" w:ascii="宋体" w:hAnsi="宋体" w:cs="宋体"/>
                <w:b/>
                <w:color w:val="auto"/>
                <w:sz w:val="21"/>
                <w:szCs w:val="21"/>
              </w:rPr>
              <w:t>条款内容</w:t>
            </w:r>
          </w:p>
        </w:tc>
        <w:tc>
          <w:tcPr>
            <w:tcW w:w="6257" w:type="dxa"/>
            <w:gridSpan w:val="2"/>
            <w:noWrap w:val="0"/>
            <w:vAlign w:val="center"/>
          </w:tcPr>
          <w:p>
            <w:pPr>
              <w:adjustRightInd w:val="0"/>
              <w:spacing w:before="120" w:beforeLines="50" w:line="360" w:lineRule="auto"/>
              <w:rPr>
                <w:rFonts w:ascii="宋体" w:hAnsi="宋体" w:cs="宋体"/>
                <w:b/>
                <w:color w:val="auto"/>
                <w:sz w:val="21"/>
                <w:szCs w:val="21"/>
              </w:rPr>
            </w:pPr>
            <w:r>
              <w:rPr>
                <w:rFonts w:hint="eastAsia" w:ascii="宋体" w:hAnsi="宋体" w:cs="宋体"/>
                <w:b/>
                <w:color w:val="auto"/>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4" w:type="dxa"/>
            <w:gridSpan w:val="2"/>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2.2.1</w:t>
            </w: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分值构成</w:t>
            </w:r>
          </w:p>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(总分 100 分)</w:t>
            </w:r>
          </w:p>
        </w:tc>
        <w:tc>
          <w:tcPr>
            <w:tcW w:w="6257" w:type="dxa"/>
            <w:gridSpan w:val="2"/>
            <w:noWrap w:val="0"/>
            <w:vAlign w:val="center"/>
          </w:tcPr>
          <w:p>
            <w:pPr>
              <w:adjustRightInd w:val="0"/>
              <w:spacing w:before="120" w:beforeLines="50" w:line="360" w:lineRule="auto"/>
              <w:rPr>
                <w:rFonts w:ascii="宋体" w:hAnsi="宋体"/>
                <w:color w:val="auto"/>
                <w:sz w:val="21"/>
                <w:szCs w:val="21"/>
              </w:rPr>
            </w:pPr>
            <w:r>
              <w:rPr>
                <w:rFonts w:hint="eastAsia" w:ascii="宋体" w:hAnsi="宋体"/>
                <w:color w:val="auto"/>
                <w:sz w:val="21"/>
                <w:szCs w:val="21"/>
                <w:lang w:val="en-US" w:eastAsia="zh-CN"/>
              </w:rPr>
              <w:t>商务部分</w:t>
            </w:r>
            <w:r>
              <w:rPr>
                <w:rFonts w:hint="eastAsia" w:ascii="宋体" w:hAnsi="宋体"/>
                <w:color w:val="auto"/>
                <w:sz w:val="21"/>
                <w:szCs w:val="21"/>
              </w:rPr>
              <w:t>：60分</w:t>
            </w:r>
          </w:p>
          <w:p>
            <w:pPr>
              <w:adjustRightInd w:val="0"/>
              <w:spacing w:before="120" w:beforeLines="50" w:line="360" w:lineRule="auto"/>
              <w:rPr>
                <w:rFonts w:ascii="宋体" w:hAnsi="宋体"/>
                <w:color w:val="auto"/>
                <w:sz w:val="21"/>
                <w:szCs w:val="21"/>
              </w:rPr>
            </w:pPr>
            <w:r>
              <w:rPr>
                <w:rFonts w:hint="eastAsia" w:ascii="宋体" w:hAnsi="宋体"/>
                <w:color w:val="auto"/>
                <w:sz w:val="21"/>
                <w:szCs w:val="21"/>
                <w:lang w:val="en-US" w:eastAsia="zh-CN"/>
              </w:rPr>
              <w:t>技术方案</w:t>
            </w:r>
            <w:r>
              <w:rPr>
                <w:rFonts w:hint="eastAsia" w:ascii="宋体" w:hAnsi="宋体"/>
                <w:color w:val="auto"/>
                <w:sz w:val="21"/>
                <w:szCs w:val="21"/>
              </w:rPr>
              <w:t>：20分</w:t>
            </w:r>
          </w:p>
          <w:p>
            <w:pPr>
              <w:adjustRightInd w:val="0"/>
              <w:spacing w:before="120" w:beforeLines="50" w:line="360" w:lineRule="auto"/>
              <w:rPr>
                <w:rFonts w:ascii="宋体" w:hAnsi="宋体"/>
                <w:color w:val="auto"/>
                <w:sz w:val="21"/>
                <w:szCs w:val="21"/>
              </w:rPr>
            </w:pPr>
            <w:r>
              <w:rPr>
                <w:rFonts w:hint="eastAsia" w:ascii="宋体" w:hAnsi="宋体"/>
                <w:color w:val="auto"/>
                <w:sz w:val="21"/>
                <w:szCs w:val="21"/>
              </w:rPr>
              <w:t>投标报价：20分</w:t>
            </w:r>
          </w:p>
          <w:p>
            <w:pPr>
              <w:adjustRightInd w:val="0"/>
              <w:spacing w:before="120" w:beforeLines="50" w:line="360" w:lineRule="auto"/>
              <w:rPr>
                <w:rFonts w:ascii="宋体" w:hAnsi="宋体"/>
                <w:color w:val="auto"/>
                <w:sz w:val="21"/>
                <w:szCs w:val="21"/>
              </w:rPr>
            </w:pPr>
            <w:r>
              <w:rPr>
                <w:rFonts w:hint="eastAsia" w:ascii="宋体" w:hAnsi="宋体"/>
                <w:color w:val="auto"/>
                <w:sz w:val="21"/>
                <w:szCs w:val="21"/>
              </w:rPr>
              <w:t>其他因素：/</w:t>
            </w:r>
          </w:p>
          <w:p>
            <w:pPr>
              <w:adjustRightInd w:val="0"/>
              <w:spacing w:before="120" w:beforeLines="50" w:line="360" w:lineRule="auto"/>
              <w:rPr>
                <w:rFonts w:ascii="宋体" w:hAnsi="宋体" w:cs="宋体"/>
                <w:color w:val="auto"/>
                <w:sz w:val="21"/>
                <w:szCs w:val="21"/>
              </w:rPr>
            </w:pPr>
            <w:r>
              <w:rPr>
                <w:rFonts w:hint="eastAsia" w:ascii="宋体" w:hAnsi="宋体"/>
                <w:color w:val="auto"/>
                <w:sz w:val="21"/>
                <w:szCs w:val="21"/>
              </w:rPr>
              <w:t>投标人总得分=商务部分得分+技术部分得分+投标报价得分。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674" w:type="dxa"/>
            <w:gridSpan w:val="2"/>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2.2.2</w:t>
            </w: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评标基准价计算方法</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参与评标基准价计算范围为[投标总报价最高投标限价×90%，投标总报价最高投标限价]，</w:t>
            </w:r>
            <w:r>
              <w:rPr>
                <w:rFonts w:hint="eastAsia" w:ascii="宋体" w:hAnsi="宋体" w:cs="宋体"/>
                <w:color w:val="auto"/>
                <w:sz w:val="21"/>
                <w:szCs w:val="21"/>
                <w:lang w:eastAsia="zh-CN"/>
              </w:rPr>
              <w:t>在</w:t>
            </w:r>
            <w:r>
              <w:rPr>
                <w:rFonts w:hint="eastAsia" w:ascii="宋体" w:hAnsi="宋体" w:cs="宋体"/>
                <w:color w:val="auto"/>
                <w:sz w:val="21"/>
                <w:szCs w:val="21"/>
              </w:rPr>
              <w:t>此范围</w:t>
            </w:r>
            <w:r>
              <w:rPr>
                <w:rFonts w:hint="eastAsia" w:ascii="宋体" w:hAnsi="宋体" w:cs="宋体"/>
                <w:color w:val="auto"/>
                <w:sz w:val="21"/>
                <w:szCs w:val="21"/>
                <w:lang w:eastAsia="zh-CN"/>
              </w:rPr>
              <w:t>外</w:t>
            </w:r>
            <w:r>
              <w:rPr>
                <w:rFonts w:hint="eastAsia" w:ascii="宋体" w:hAnsi="宋体" w:cs="宋体"/>
                <w:color w:val="auto"/>
                <w:sz w:val="21"/>
                <w:szCs w:val="21"/>
              </w:rPr>
              <w:t>的报价</w:t>
            </w:r>
            <w:r>
              <w:rPr>
                <w:rFonts w:hint="eastAsia" w:ascii="宋体" w:hAnsi="宋体" w:cs="宋体"/>
                <w:color w:val="auto"/>
                <w:sz w:val="21"/>
                <w:szCs w:val="21"/>
                <w:lang w:eastAsia="zh-CN"/>
              </w:rPr>
              <w:t>不参与</w:t>
            </w:r>
            <w:r>
              <w:rPr>
                <w:rFonts w:hint="eastAsia" w:ascii="宋体" w:hAnsi="宋体" w:cs="宋体"/>
                <w:color w:val="auto"/>
                <w:szCs w:val="21"/>
              </w:rPr>
              <w:t>评标基准价计算</w:t>
            </w:r>
            <w:r>
              <w:rPr>
                <w:rFonts w:hint="eastAsia" w:ascii="宋体" w:hAnsi="宋体" w:cs="宋体"/>
                <w:color w:val="auto"/>
                <w:sz w:val="21"/>
                <w:szCs w:val="21"/>
              </w:rPr>
              <w:t>：</w:t>
            </w:r>
          </w:p>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1.当投标报价在参与评标基准价计算范围内且通过形式评审、资格评审、响应性评审的有效投标人大于等于5名时，去掉一个最高价和一个最低价，取余下投标价的算术平均值的作为评标基准价。</w:t>
            </w:r>
          </w:p>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2.当投标报价在参与评标基准价计算范围内且通过形式评审、资格评审、响应性评审的有效投标人小于5名（不包含0）时，取所有投标价的算术平均值的作为评标基准价。</w:t>
            </w:r>
          </w:p>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3.若没有投标报价在参与评标基准价计算范围内且通过形式评审、资格评审、响应性评审的有效投标人时，由招标人依法重新招标。</w:t>
            </w:r>
          </w:p>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4.评标基准价保留到小数点后两位，第三位四舍五入。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gridSpan w:val="2"/>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2.2.3</w:t>
            </w: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投标</w:t>
            </w:r>
            <w:r>
              <w:rPr>
                <w:rFonts w:hint="eastAsia" w:ascii="宋体" w:hAnsi="宋体" w:cs="宋体"/>
                <w:color w:val="auto"/>
                <w:sz w:val="21"/>
                <w:szCs w:val="21"/>
                <w:lang w:eastAsia="zh-CN"/>
              </w:rPr>
              <w:t>总</w:t>
            </w:r>
            <w:r>
              <w:rPr>
                <w:rFonts w:hint="eastAsia" w:ascii="宋体" w:hAnsi="宋体" w:cs="宋体"/>
                <w:color w:val="auto"/>
                <w:sz w:val="21"/>
                <w:szCs w:val="21"/>
              </w:rPr>
              <w:t>报价的偏差率计算公式</w:t>
            </w:r>
          </w:p>
        </w:tc>
        <w:tc>
          <w:tcPr>
            <w:tcW w:w="6257" w:type="dxa"/>
            <w:gridSpan w:val="2"/>
            <w:noWrap w:val="0"/>
            <w:vAlign w:val="center"/>
          </w:tcPr>
          <w:p>
            <w:pPr>
              <w:adjustRightInd w:val="0"/>
              <w:spacing w:before="120" w:beforeLines="50" w:line="360" w:lineRule="auto"/>
              <w:rPr>
                <w:rFonts w:ascii="宋体" w:hAnsi="宋体" w:cs="宋体"/>
                <w:color w:val="auto"/>
                <w:sz w:val="21"/>
                <w:szCs w:val="21"/>
              </w:rPr>
            </w:pPr>
            <w:r>
              <w:rPr>
                <w:rFonts w:hint="eastAsia" w:ascii="宋体" w:hAnsi="宋体" w:cs="宋体"/>
                <w:color w:val="auto"/>
                <w:sz w:val="21"/>
                <w:szCs w:val="21"/>
              </w:rPr>
              <w:t>投标</w:t>
            </w:r>
            <w:r>
              <w:rPr>
                <w:rFonts w:hint="eastAsia" w:ascii="宋体" w:hAnsi="宋体" w:cs="宋体"/>
                <w:color w:val="auto"/>
                <w:sz w:val="21"/>
                <w:szCs w:val="21"/>
                <w:lang w:eastAsia="zh-CN"/>
              </w:rPr>
              <w:t>总</w:t>
            </w:r>
            <w:r>
              <w:rPr>
                <w:rFonts w:hint="eastAsia" w:ascii="宋体" w:hAnsi="宋体" w:cs="宋体"/>
                <w:color w:val="auto"/>
                <w:sz w:val="21"/>
                <w:szCs w:val="21"/>
              </w:rPr>
              <w:t>报价的偏差率=|（投标</w:t>
            </w:r>
            <w:r>
              <w:rPr>
                <w:rFonts w:hint="eastAsia" w:ascii="宋体" w:hAnsi="宋体" w:cs="宋体"/>
                <w:color w:val="auto"/>
                <w:sz w:val="21"/>
                <w:szCs w:val="21"/>
                <w:lang w:eastAsia="zh-CN"/>
              </w:rPr>
              <w:t>总</w:t>
            </w:r>
            <w:r>
              <w:rPr>
                <w:rFonts w:hint="eastAsia" w:ascii="宋体" w:hAnsi="宋体" w:cs="宋体"/>
                <w:color w:val="auto"/>
                <w:sz w:val="21"/>
                <w:szCs w:val="21"/>
              </w:rPr>
              <w:t>报价-评标基准价）|/评标基准价×100%（偏差率出现小数点时，保留小数点后2位，第三位小数四舍五入）。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74" w:type="dxa"/>
            <w:gridSpan w:val="2"/>
            <w:noWrap w:val="0"/>
            <w:vAlign w:val="center"/>
          </w:tcPr>
          <w:p>
            <w:pPr>
              <w:adjustRightInd w:val="0"/>
              <w:spacing w:before="120" w:beforeLines="50" w:line="360" w:lineRule="auto"/>
              <w:jc w:val="center"/>
              <w:rPr>
                <w:rFonts w:ascii="宋体" w:hAnsi="宋体" w:cs="宋体"/>
                <w:b/>
                <w:color w:val="auto"/>
                <w:sz w:val="21"/>
                <w:szCs w:val="21"/>
              </w:rPr>
            </w:pPr>
            <w:r>
              <w:rPr>
                <w:rFonts w:hint="eastAsia" w:ascii="宋体" w:hAnsi="宋体" w:cs="宋体"/>
                <w:b/>
                <w:color w:val="auto"/>
                <w:sz w:val="21"/>
                <w:szCs w:val="21"/>
              </w:rPr>
              <w:t>条款号</w:t>
            </w:r>
          </w:p>
        </w:tc>
        <w:tc>
          <w:tcPr>
            <w:tcW w:w="1356" w:type="dxa"/>
            <w:noWrap w:val="0"/>
            <w:vAlign w:val="center"/>
          </w:tcPr>
          <w:p>
            <w:pPr>
              <w:adjustRightInd w:val="0"/>
              <w:spacing w:before="120" w:beforeLines="50" w:line="360" w:lineRule="auto"/>
              <w:jc w:val="center"/>
              <w:rPr>
                <w:rFonts w:ascii="宋体" w:hAnsi="宋体" w:cs="宋体"/>
                <w:b/>
                <w:color w:val="auto"/>
                <w:sz w:val="21"/>
                <w:szCs w:val="21"/>
              </w:rPr>
            </w:pPr>
            <w:r>
              <w:rPr>
                <w:rFonts w:hint="eastAsia" w:ascii="宋体" w:hAnsi="宋体" w:cs="宋体"/>
                <w:b/>
                <w:color w:val="auto"/>
                <w:sz w:val="21"/>
                <w:szCs w:val="21"/>
              </w:rPr>
              <w:t>评分因素</w:t>
            </w:r>
          </w:p>
        </w:tc>
        <w:tc>
          <w:tcPr>
            <w:tcW w:w="6257" w:type="dxa"/>
            <w:gridSpan w:val="2"/>
            <w:noWrap w:val="0"/>
            <w:vAlign w:val="center"/>
          </w:tcPr>
          <w:p>
            <w:pPr>
              <w:adjustRightInd w:val="0"/>
              <w:spacing w:before="120" w:beforeLines="50" w:line="360" w:lineRule="auto"/>
              <w:rPr>
                <w:rFonts w:ascii="宋体" w:hAnsi="宋体" w:cs="宋体"/>
                <w:b/>
                <w:color w:val="auto"/>
                <w:sz w:val="21"/>
                <w:szCs w:val="21"/>
              </w:rPr>
            </w:pPr>
            <w:r>
              <w:rPr>
                <w:rFonts w:hint="eastAsia" w:ascii="宋体" w:hAnsi="宋体" w:cs="宋体"/>
                <w:b/>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06" w:type="dxa"/>
            <w:vMerge w:val="restart"/>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2.2.4</w:t>
            </w:r>
          </w:p>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（1）</w:t>
            </w:r>
          </w:p>
        </w:tc>
        <w:tc>
          <w:tcPr>
            <w:tcW w:w="1068" w:type="dxa"/>
            <w:vMerge w:val="restart"/>
            <w:noWrap w:val="0"/>
            <w:vAlign w:val="center"/>
          </w:tcPr>
          <w:p>
            <w:pPr>
              <w:widowControl/>
              <w:tabs>
                <w:tab w:val="left" w:pos="720"/>
              </w:tabs>
              <w:snapToGrid w:val="0"/>
              <w:spacing w:before="50" w:line="360" w:lineRule="auto"/>
              <w:ind w:left="63" w:leftChars="30" w:right="63" w:rightChars="30"/>
              <w:jc w:val="center"/>
              <w:rPr>
                <w:rFonts w:ascii="宋体" w:hAnsi="宋体" w:cs="宋体"/>
                <w:color w:val="auto"/>
                <w:sz w:val="21"/>
                <w:szCs w:val="21"/>
              </w:rPr>
            </w:pPr>
            <w:r>
              <w:rPr>
                <w:rFonts w:hint="eastAsia" w:ascii="宋体" w:hAnsi="宋体" w:cs="宋体"/>
                <w:color w:val="auto"/>
                <w:sz w:val="21"/>
                <w:szCs w:val="21"/>
              </w:rPr>
              <w:t>商务部分评分标准</w:t>
            </w:r>
          </w:p>
          <w:p>
            <w:pPr>
              <w:widowControl/>
              <w:tabs>
                <w:tab w:val="left" w:pos="720"/>
              </w:tabs>
              <w:snapToGrid w:val="0"/>
              <w:spacing w:before="50" w:line="360" w:lineRule="auto"/>
              <w:ind w:right="63" w:rightChars="30"/>
              <w:jc w:val="center"/>
              <w:rPr>
                <w:rFonts w:ascii="宋体" w:hAnsi="宋体" w:cs="宋体"/>
                <w:color w:val="auto"/>
                <w:sz w:val="21"/>
                <w:szCs w:val="21"/>
              </w:rPr>
            </w:pPr>
            <w:r>
              <w:rPr>
                <w:rFonts w:hint="eastAsia" w:ascii="宋体" w:hAnsi="宋体" w:cs="宋体"/>
                <w:color w:val="auto"/>
                <w:sz w:val="21"/>
                <w:szCs w:val="21"/>
              </w:rPr>
              <w:t>（60分）</w:t>
            </w:r>
          </w:p>
        </w:tc>
        <w:tc>
          <w:tcPr>
            <w:tcW w:w="1356" w:type="dxa"/>
            <w:noWrap w:val="0"/>
            <w:vAlign w:val="center"/>
          </w:tcPr>
          <w:p>
            <w:pPr>
              <w:widowControl/>
              <w:tabs>
                <w:tab w:val="left" w:pos="720"/>
              </w:tabs>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类似项目业绩（10分）</w:t>
            </w:r>
          </w:p>
        </w:tc>
        <w:tc>
          <w:tcPr>
            <w:tcW w:w="6257" w:type="dxa"/>
            <w:gridSpan w:val="2"/>
            <w:noWrap w:val="0"/>
            <w:vAlign w:val="center"/>
          </w:tcPr>
          <w:p>
            <w:pPr>
              <w:widowControl/>
              <w:tabs>
                <w:tab w:val="left" w:pos="720"/>
              </w:tabs>
              <w:snapToGrid w:val="0"/>
              <w:spacing w:before="50" w:line="360" w:lineRule="auto"/>
              <w:ind w:left="63" w:leftChars="30" w:right="63" w:rightChars="30"/>
              <w:jc w:val="left"/>
              <w:rPr>
                <w:rFonts w:hint="eastAsia" w:ascii="宋体" w:hAnsi="宋体" w:cs="宋体"/>
                <w:color w:val="auto"/>
                <w:sz w:val="21"/>
                <w:szCs w:val="21"/>
                <w:lang w:val="zh-CN"/>
              </w:rPr>
            </w:pPr>
            <w:r>
              <w:rPr>
                <w:rFonts w:hint="eastAsia" w:ascii="宋体" w:hAnsi="宋体" w:cs="宋体"/>
                <w:color w:val="auto"/>
                <w:sz w:val="21"/>
                <w:szCs w:val="21"/>
                <w:lang w:val="zh-CN"/>
              </w:rPr>
              <w:t>投标人（如为联合体，指联合体各方）从20</w:t>
            </w:r>
            <w:r>
              <w:rPr>
                <w:rFonts w:hint="eastAsia" w:ascii="宋体" w:hAnsi="宋体" w:cs="宋体"/>
                <w:color w:val="auto"/>
                <w:sz w:val="21"/>
                <w:szCs w:val="21"/>
                <w:lang w:val="en-US" w:eastAsia="zh-CN"/>
              </w:rPr>
              <w:t>20</w:t>
            </w:r>
            <w:r>
              <w:rPr>
                <w:rFonts w:hint="eastAsia" w:ascii="宋体" w:hAnsi="宋体" w:cs="宋体"/>
                <w:color w:val="auto"/>
                <w:sz w:val="21"/>
                <w:szCs w:val="21"/>
                <w:lang w:val="zh-CN"/>
              </w:rPr>
              <w:t>年1月1日至投标截止时间为止承接过单个合同额</w:t>
            </w:r>
            <w:r>
              <w:rPr>
                <w:rFonts w:hint="eastAsia" w:ascii="宋体" w:hAnsi="宋体" w:cs="宋体"/>
                <w:color w:val="auto"/>
                <w:sz w:val="21"/>
                <w:szCs w:val="21"/>
                <w:lang w:val="en-US" w:eastAsia="zh-CN"/>
              </w:rPr>
              <w:t>500</w:t>
            </w:r>
            <w:r>
              <w:rPr>
                <w:rFonts w:hint="eastAsia" w:ascii="宋体" w:hAnsi="宋体" w:cs="宋体"/>
                <w:color w:val="auto"/>
                <w:sz w:val="21"/>
                <w:szCs w:val="21"/>
                <w:lang w:val="zh-CN"/>
              </w:rPr>
              <w:t>万元或以上的类似检测（监测）业绩。每项2分，本项最多10分。</w:t>
            </w:r>
          </w:p>
          <w:p>
            <w:pPr>
              <w:widowControl/>
              <w:tabs>
                <w:tab w:val="left" w:pos="720"/>
              </w:tabs>
              <w:snapToGrid w:val="0"/>
              <w:spacing w:before="50" w:line="360" w:lineRule="auto"/>
              <w:ind w:left="63" w:leftChars="30" w:right="63" w:rightChars="30"/>
              <w:jc w:val="left"/>
              <w:rPr>
                <w:rFonts w:ascii="宋体" w:hAnsi="宋体" w:cs="宋体"/>
                <w:b/>
                <w:color w:val="auto"/>
                <w:sz w:val="21"/>
                <w:szCs w:val="21"/>
              </w:rPr>
            </w:pPr>
            <w:r>
              <w:rPr>
                <w:rFonts w:hint="eastAsia" w:ascii="宋体" w:hAnsi="宋体" w:cs="宋体"/>
                <w:color w:val="auto"/>
                <w:sz w:val="21"/>
                <w:szCs w:val="21"/>
                <w:lang w:val="zh-CN"/>
              </w:rPr>
              <w:t>注：类似检测</w:t>
            </w:r>
            <w:r>
              <w:rPr>
                <w:rFonts w:hint="eastAsia" w:ascii="宋体" w:hAnsi="宋体" w:cs="宋体"/>
                <w:color w:val="auto"/>
                <w:sz w:val="21"/>
                <w:szCs w:val="21"/>
                <w:lang w:val="zh-CN" w:eastAsia="zh-CN"/>
              </w:rPr>
              <w:t>（</w:t>
            </w:r>
            <w:r>
              <w:rPr>
                <w:rFonts w:hint="eastAsia" w:ascii="宋体" w:hAnsi="宋体" w:cs="宋体"/>
                <w:color w:val="auto"/>
                <w:sz w:val="21"/>
                <w:szCs w:val="21"/>
                <w:lang w:val="en-US" w:eastAsia="zh-CN"/>
              </w:rPr>
              <w:t>监测</w:t>
            </w:r>
            <w:r>
              <w:rPr>
                <w:rFonts w:hint="eastAsia" w:ascii="宋体" w:hAnsi="宋体" w:cs="宋体"/>
                <w:color w:val="auto"/>
                <w:sz w:val="21"/>
                <w:szCs w:val="21"/>
                <w:lang w:val="zh-CN" w:eastAsia="zh-CN"/>
              </w:rPr>
              <w:t>）</w:t>
            </w:r>
            <w:r>
              <w:rPr>
                <w:rFonts w:hint="eastAsia" w:ascii="宋体" w:hAnsi="宋体" w:cs="宋体"/>
                <w:color w:val="auto"/>
                <w:sz w:val="21"/>
                <w:szCs w:val="21"/>
                <w:lang w:val="zh-CN"/>
              </w:rPr>
              <w:t>业绩是指包含本次招标内容中的一项或多项的检测</w:t>
            </w:r>
            <w:r>
              <w:rPr>
                <w:rFonts w:hint="eastAsia" w:ascii="宋体" w:hAnsi="宋体" w:cs="宋体"/>
                <w:color w:val="auto"/>
                <w:sz w:val="21"/>
                <w:szCs w:val="21"/>
                <w:lang w:val="zh-CN" w:eastAsia="zh-CN"/>
              </w:rPr>
              <w:t>（</w:t>
            </w:r>
            <w:r>
              <w:rPr>
                <w:rFonts w:hint="eastAsia" w:ascii="宋体" w:hAnsi="宋体" w:cs="宋体"/>
                <w:color w:val="auto"/>
                <w:sz w:val="21"/>
                <w:szCs w:val="21"/>
                <w:lang w:val="en-US" w:eastAsia="zh-CN"/>
              </w:rPr>
              <w:t>监测</w:t>
            </w:r>
            <w:r>
              <w:rPr>
                <w:rFonts w:hint="eastAsia" w:ascii="宋体" w:hAnsi="宋体" w:cs="宋体"/>
                <w:color w:val="auto"/>
                <w:sz w:val="21"/>
                <w:szCs w:val="21"/>
                <w:lang w:val="zh-CN" w:eastAsia="zh-CN"/>
              </w:rPr>
              <w:t>）</w:t>
            </w:r>
            <w:r>
              <w:rPr>
                <w:rFonts w:hint="eastAsia" w:ascii="宋体" w:hAnsi="宋体" w:cs="宋体"/>
                <w:color w:val="auto"/>
                <w:sz w:val="21"/>
                <w:szCs w:val="21"/>
                <w:lang w:val="zh-CN"/>
              </w:rPr>
              <w:t>业绩。需提供服务合同、检测</w:t>
            </w:r>
            <w:r>
              <w:rPr>
                <w:rFonts w:hint="eastAsia" w:ascii="宋体" w:hAnsi="宋体" w:cs="宋体"/>
                <w:color w:val="auto"/>
                <w:sz w:val="21"/>
                <w:szCs w:val="21"/>
                <w:lang w:val="zh-CN" w:eastAsia="zh-CN"/>
              </w:rPr>
              <w:t>（</w:t>
            </w:r>
            <w:r>
              <w:rPr>
                <w:rFonts w:hint="eastAsia" w:ascii="宋体" w:hAnsi="宋体" w:cs="宋体"/>
                <w:color w:val="auto"/>
                <w:sz w:val="21"/>
                <w:szCs w:val="21"/>
                <w:lang w:val="en-US" w:eastAsia="zh-CN"/>
              </w:rPr>
              <w:t>监测</w:t>
            </w:r>
            <w:r>
              <w:rPr>
                <w:rFonts w:hint="eastAsia" w:ascii="宋体" w:hAnsi="宋体" w:cs="宋体"/>
                <w:color w:val="auto"/>
                <w:sz w:val="21"/>
                <w:szCs w:val="21"/>
                <w:lang w:val="zh-CN" w:eastAsia="zh-CN"/>
              </w:rPr>
              <w:t>）</w:t>
            </w:r>
            <w:r>
              <w:rPr>
                <w:rFonts w:hint="eastAsia" w:ascii="宋体" w:hAnsi="宋体" w:cs="宋体"/>
                <w:color w:val="auto"/>
                <w:sz w:val="21"/>
                <w:szCs w:val="21"/>
                <w:lang w:val="zh-CN"/>
              </w:rPr>
              <w:t>报告关键页等清晰的证明材料扫描件。业绩时间、金额以合同签订时间为准。</w:t>
            </w:r>
            <w:r>
              <w:rPr>
                <w:rFonts w:hint="eastAsia" w:ascii="宋体" w:hAnsi="宋体" w:cs="宋体"/>
                <w:color w:val="auto"/>
                <w:szCs w:val="21"/>
                <w:lang w:val="zh-CN"/>
              </w:rPr>
              <w:t>提供相关证明材料扫描件，并加盖投标人电子公章，未提供上述资料或不符合要求的不得分。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widowControl/>
              <w:tabs>
                <w:tab w:val="left" w:pos="720"/>
              </w:tabs>
              <w:adjustRightInd w:val="0"/>
              <w:spacing w:before="120" w:beforeLines="50" w:line="360" w:lineRule="auto"/>
              <w:jc w:val="center"/>
              <w:rPr>
                <w:rFonts w:ascii="宋体" w:hAnsi="宋体" w:cs="宋体"/>
                <w:color w:val="auto"/>
                <w:sz w:val="21"/>
                <w:szCs w:val="21"/>
              </w:rPr>
            </w:pPr>
          </w:p>
        </w:tc>
        <w:tc>
          <w:tcPr>
            <w:tcW w:w="1356" w:type="dxa"/>
            <w:vMerge w:val="restart"/>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人才团队（</w:t>
            </w:r>
            <w:r>
              <w:rPr>
                <w:rFonts w:hint="eastAsia" w:ascii="宋体" w:hAnsi="宋体" w:cs="宋体"/>
                <w:color w:val="auto"/>
                <w:sz w:val="21"/>
                <w:szCs w:val="21"/>
                <w:lang w:val="en-US" w:eastAsia="zh-CN"/>
              </w:rPr>
              <w:t>1</w:t>
            </w:r>
            <w:r>
              <w:rPr>
                <w:rFonts w:hint="eastAsia" w:ascii="宋体" w:hAnsi="宋体" w:cs="宋体"/>
                <w:color w:val="auto"/>
                <w:sz w:val="21"/>
                <w:szCs w:val="21"/>
              </w:rPr>
              <w:t>5分）</w:t>
            </w:r>
          </w:p>
        </w:tc>
        <w:tc>
          <w:tcPr>
            <w:tcW w:w="1272" w:type="dxa"/>
            <w:noWrap w:val="0"/>
            <w:vAlign w:val="center"/>
          </w:tcPr>
          <w:p>
            <w:pPr>
              <w:adjustRightInd w:val="0"/>
              <w:spacing w:before="120" w:beforeLines="50" w:line="360" w:lineRule="auto"/>
              <w:jc w:val="center"/>
              <w:rPr>
                <w:rFonts w:ascii="宋体" w:hAnsi="宋体" w:cs="宋体"/>
                <w:color w:val="auto"/>
                <w:sz w:val="21"/>
                <w:szCs w:val="21"/>
              </w:rPr>
            </w:pPr>
            <w:r>
              <w:rPr>
                <w:rFonts w:ascii="宋体" w:hAnsi="宋体" w:cs="宋体"/>
                <w:color w:val="auto"/>
                <w:sz w:val="21"/>
                <w:szCs w:val="21"/>
              </w:rPr>
              <w:t>持证检（监）测技术人员数量</w:t>
            </w:r>
            <w:r>
              <w:rPr>
                <w:rFonts w:hint="eastAsia" w:ascii="宋体" w:hAnsi="宋体" w:cs="宋体"/>
                <w:color w:val="auto"/>
                <w:sz w:val="21"/>
                <w:szCs w:val="21"/>
              </w:rPr>
              <w:t>（5分）</w:t>
            </w:r>
          </w:p>
        </w:tc>
        <w:tc>
          <w:tcPr>
            <w:tcW w:w="4985" w:type="dxa"/>
            <w:noWrap w:val="0"/>
            <w:vAlign w:val="top"/>
          </w:tcPr>
          <w:p>
            <w:pPr>
              <w:adjustRightInd w:val="0"/>
              <w:spacing w:before="120" w:before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投入本项目的人员须是投标人（如为联合体，指联合体各方提供的均予以认可）的正式员工。</w:t>
            </w:r>
          </w:p>
          <w:p>
            <w:pPr>
              <w:adjustRightInd w:val="0"/>
              <w:spacing w:before="120" w:before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1、配备在职持证检测技术人员[应持有省级（或以上）建设工程质量安全监督部门或其委托的机构、行业协会颁发的相关检测员证或检测鉴定培训合格证]人数达</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人或以上的得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分；5-</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人得</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分；3-4人得1分；其他不得分。本小项最多得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pPr>
              <w:adjustRightInd w:val="0"/>
              <w:spacing w:before="120" w:before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2、上述人员具有高级工程师或以上职称的，每满足1人得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分；本小项最多得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pPr>
              <w:adjustRightInd w:val="0"/>
              <w:spacing w:before="120" w:before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本项最多得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pPr>
              <w:adjustRightInd w:val="0"/>
              <w:spacing w:before="120" w:beforeLines="50" w:line="360" w:lineRule="auto"/>
              <w:rPr>
                <w:rFonts w:ascii="宋体" w:hAnsi="宋体"/>
                <w:color w:val="auto"/>
                <w:sz w:val="21"/>
                <w:szCs w:val="21"/>
              </w:rPr>
            </w:pPr>
            <w:r>
              <w:rPr>
                <w:rFonts w:hint="eastAsia" w:ascii="宋体" w:hAnsi="宋体" w:eastAsia="宋体" w:cs="宋体"/>
                <w:color w:val="auto"/>
                <w:sz w:val="21"/>
                <w:szCs w:val="21"/>
              </w:rPr>
              <w:t>注：须提供职称证（如有）、检测员证（或检测鉴定培训合格证）（如有）和</w:t>
            </w:r>
            <w:r>
              <w:rPr>
                <w:rFonts w:hint="eastAsia" w:ascii="宋体" w:hAnsi="宋体" w:eastAsia="宋体" w:cs="宋体"/>
                <w:color w:val="auto"/>
                <w:sz w:val="21"/>
                <w:szCs w:val="21"/>
                <w:lang w:val="zh-CN"/>
              </w:rPr>
              <w:t>近</w:t>
            </w:r>
            <w:r>
              <w:rPr>
                <w:rFonts w:hint="eastAsia" w:ascii="宋体" w:hAnsi="宋体" w:eastAsia="宋体" w:cs="宋体"/>
                <w:color w:val="auto"/>
                <w:sz w:val="21"/>
                <w:szCs w:val="21"/>
                <w:lang w:val="en-US" w:eastAsia="zh-CN"/>
              </w:rPr>
              <w:t>1个月</w:t>
            </w:r>
            <w:r>
              <w:rPr>
                <w:rFonts w:hint="eastAsia" w:ascii="宋体" w:hAnsi="宋体" w:eastAsia="宋体" w:cs="宋体"/>
                <w:color w:val="auto"/>
                <w:sz w:val="21"/>
                <w:szCs w:val="21"/>
                <w:lang w:val="zh-CN"/>
              </w:rPr>
              <w:t>（2023年</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zh-CN"/>
              </w:rPr>
              <w:t>月）的社保证明资料</w:t>
            </w:r>
            <w:r>
              <w:rPr>
                <w:rFonts w:hint="eastAsia" w:ascii="宋体" w:hAnsi="宋体" w:eastAsia="宋体" w:cs="宋体"/>
                <w:color w:val="auto"/>
                <w:sz w:val="21"/>
                <w:szCs w:val="21"/>
              </w:rPr>
              <w:t>并加盖投标人电子公章。未提供上述资料或不符合要求的不得分。</w:t>
            </w:r>
            <w:r>
              <w:rPr>
                <w:rFonts w:hint="eastAsia" w:ascii="宋体" w:hAnsi="宋体" w:eastAsia="宋体" w:cs="宋体"/>
                <w:color w:val="auto"/>
                <w:szCs w:val="21"/>
              </w:rPr>
              <w:t>提供相关证明材料扫描件，并加盖投标人电子公章，未提供上述资料或不符合要求的不得分。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6" w:type="dxa"/>
            <w:vMerge w:val="continue"/>
            <w:noWrap w:val="0"/>
            <w:vAlign w:val="center"/>
          </w:tcPr>
          <w:p>
            <w:pPr>
              <w:widowControl/>
              <w:tabs>
                <w:tab w:val="left" w:pos="720"/>
              </w:tabs>
              <w:snapToGrid w:val="0"/>
              <w:spacing w:before="50" w:line="360" w:lineRule="auto"/>
              <w:ind w:left="63" w:leftChars="30" w:right="63" w:rightChars="30"/>
              <w:rPr>
                <w:color w:val="auto"/>
                <w:sz w:val="21"/>
                <w:szCs w:val="21"/>
              </w:rPr>
            </w:pPr>
          </w:p>
        </w:tc>
        <w:tc>
          <w:tcPr>
            <w:tcW w:w="1068" w:type="dxa"/>
            <w:vMerge w:val="continue"/>
            <w:noWrap w:val="0"/>
            <w:vAlign w:val="center"/>
          </w:tcPr>
          <w:p>
            <w:pPr>
              <w:widowControl/>
              <w:tabs>
                <w:tab w:val="left" w:pos="720"/>
              </w:tabs>
              <w:snapToGrid w:val="0"/>
              <w:spacing w:before="50" w:line="360" w:lineRule="auto"/>
              <w:ind w:left="63" w:leftChars="30" w:right="63" w:rightChars="30"/>
              <w:rPr>
                <w:color w:val="auto"/>
                <w:sz w:val="21"/>
                <w:szCs w:val="21"/>
              </w:rPr>
            </w:pPr>
          </w:p>
        </w:tc>
        <w:tc>
          <w:tcPr>
            <w:tcW w:w="135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272" w:type="dxa"/>
            <w:noWrap w:val="0"/>
            <w:vAlign w:val="center"/>
          </w:tcPr>
          <w:p>
            <w:pPr>
              <w:adjustRightInd w:val="0"/>
              <w:spacing w:before="120" w:beforeLines="50" w:line="360" w:lineRule="auto"/>
              <w:jc w:val="center"/>
              <w:rPr>
                <w:rFonts w:ascii="宋体" w:hAnsi="宋体" w:cs="宋体"/>
                <w:color w:val="auto"/>
                <w:sz w:val="21"/>
                <w:szCs w:val="21"/>
              </w:rPr>
            </w:pPr>
            <w:r>
              <w:rPr>
                <w:rFonts w:ascii="宋体" w:hAnsi="宋体" w:cs="宋体"/>
                <w:color w:val="auto"/>
                <w:sz w:val="21"/>
                <w:szCs w:val="21"/>
              </w:rPr>
              <w:t>项目负责人专业水平</w:t>
            </w:r>
            <w:r>
              <w:rPr>
                <w:rFonts w:hint="eastAsia" w:ascii="宋体" w:hAnsi="宋体" w:cs="宋体"/>
                <w:color w:val="auto"/>
                <w:sz w:val="21"/>
                <w:szCs w:val="21"/>
              </w:rPr>
              <w:t>（5分）</w:t>
            </w:r>
          </w:p>
        </w:tc>
        <w:tc>
          <w:tcPr>
            <w:tcW w:w="4985" w:type="dxa"/>
            <w:noWrap w:val="0"/>
            <w:vAlign w:val="top"/>
          </w:tcPr>
          <w:p>
            <w:pPr>
              <w:widowControl/>
              <w:tabs>
                <w:tab w:val="left" w:pos="720"/>
              </w:tabs>
              <w:snapToGrid w:val="0"/>
              <w:spacing w:before="50" w:line="360" w:lineRule="auto"/>
              <w:ind w:left="63" w:leftChars="30" w:right="63" w:rightChars="30"/>
              <w:rPr>
                <w:rFonts w:hint="eastAsia" w:ascii="宋体" w:hAnsi="宋体" w:cs="宋体"/>
                <w:color w:val="auto"/>
                <w:sz w:val="21"/>
                <w:szCs w:val="21"/>
              </w:rPr>
            </w:pPr>
            <w:r>
              <w:rPr>
                <w:rFonts w:hint="eastAsia" w:ascii="宋体" w:hAnsi="宋体" w:cs="宋体"/>
                <w:color w:val="auto"/>
                <w:sz w:val="21"/>
                <w:szCs w:val="21"/>
              </w:rPr>
              <w:t>1、具有工程类专业正（教授级）高级工程师职称的得3分，具有工程类高级工程师职称的，得1分；</w:t>
            </w:r>
          </w:p>
          <w:p>
            <w:pPr>
              <w:widowControl/>
              <w:tabs>
                <w:tab w:val="left" w:pos="720"/>
              </w:tabs>
              <w:snapToGrid w:val="0"/>
              <w:spacing w:before="50" w:line="360" w:lineRule="auto"/>
              <w:ind w:left="63" w:leftChars="30" w:right="63" w:rightChars="30"/>
              <w:rPr>
                <w:rFonts w:hint="eastAsia" w:ascii="宋体" w:hAnsi="宋体" w:cs="宋体"/>
                <w:color w:val="auto"/>
                <w:sz w:val="21"/>
                <w:szCs w:val="21"/>
              </w:rPr>
            </w:pPr>
            <w:r>
              <w:rPr>
                <w:rFonts w:hint="eastAsia" w:ascii="宋体" w:hAnsi="宋体" w:cs="宋体"/>
                <w:color w:val="auto"/>
                <w:sz w:val="21"/>
                <w:szCs w:val="21"/>
              </w:rPr>
              <w:t>2、具有注册土木工程师（岩土）</w:t>
            </w:r>
            <w:r>
              <w:rPr>
                <w:rFonts w:hint="eastAsia" w:ascii="宋体" w:hAnsi="宋体" w:cs="宋体"/>
                <w:color w:val="auto"/>
                <w:szCs w:val="21"/>
              </w:rPr>
              <w:t>执业资格</w:t>
            </w:r>
            <w:r>
              <w:rPr>
                <w:rFonts w:hint="eastAsia" w:ascii="宋体" w:hAnsi="宋体" w:cs="宋体"/>
                <w:color w:val="auto"/>
                <w:sz w:val="21"/>
                <w:szCs w:val="21"/>
              </w:rPr>
              <w:t>证书，且注册单位为投标单位的，得1分；</w:t>
            </w:r>
          </w:p>
          <w:p>
            <w:pPr>
              <w:widowControl/>
              <w:tabs>
                <w:tab w:val="left" w:pos="720"/>
              </w:tabs>
              <w:snapToGrid w:val="0"/>
              <w:spacing w:before="50" w:line="360" w:lineRule="auto"/>
              <w:ind w:left="63" w:leftChars="30" w:right="63" w:rightChars="30"/>
              <w:rPr>
                <w:rFonts w:hint="eastAsia" w:ascii="宋体" w:hAnsi="宋体" w:cs="宋体"/>
                <w:color w:val="auto"/>
                <w:sz w:val="21"/>
                <w:szCs w:val="21"/>
              </w:rPr>
            </w:pPr>
            <w:r>
              <w:rPr>
                <w:rFonts w:hint="eastAsia" w:ascii="宋体" w:hAnsi="宋体" w:cs="宋体"/>
                <w:color w:val="auto"/>
                <w:sz w:val="21"/>
                <w:szCs w:val="21"/>
              </w:rPr>
              <w:t>3、具有一级注册结构工程师执业资格证书，且注册单位为投标单位的得1分，具有二级注册结构工程师执业资格证书，且注册单位为投标单位的得0.5分。</w:t>
            </w:r>
          </w:p>
          <w:p>
            <w:pPr>
              <w:widowControl/>
              <w:tabs>
                <w:tab w:val="left" w:pos="720"/>
              </w:tabs>
              <w:snapToGrid w:val="0"/>
              <w:spacing w:before="50" w:line="360" w:lineRule="auto"/>
              <w:ind w:left="63" w:leftChars="30" w:right="63" w:rightChars="30"/>
              <w:jc w:val="left"/>
              <w:rPr>
                <w:rFonts w:ascii="宋体" w:hAnsi="宋体"/>
                <w:color w:val="auto"/>
                <w:sz w:val="21"/>
                <w:szCs w:val="21"/>
              </w:rPr>
            </w:pPr>
            <w:r>
              <w:rPr>
                <w:rFonts w:hint="eastAsia" w:ascii="宋体" w:hAnsi="宋体" w:cs="宋体"/>
                <w:color w:val="auto"/>
                <w:sz w:val="21"/>
                <w:szCs w:val="21"/>
              </w:rPr>
              <w:t xml:space="preserve">上述三项合计最多得5分。                   </w:t>
            </w:r>
            <w:r>
              <w:rPr>
                <w:rFonts w:hint="eastAsia" w:ascii="宋体" w:hAnsi="宋体" w:cs="宋体"/>
                <w:color w:val="auto"/>
                <w:sz w:val="21"/>
                <w:szCs w:val="21"/>
                <w:lang w:val="zh-CN"/>
              </w:rPr>
              <w:t>注：项目负责人</w:t>
            </w:r>
            <w:r>
              <w:rPr>
                <w:rFonts w:hint="eastAsia" w:ascii="宋体" w:hAnsi="宋体" w:cs="宋体"/>
                <w:color w:val="auto"/>
                <w:sz w:val="21"/>
                <w:szCs w:val="21"/>
              </w:rPr>
              <w:t>（如为联合体，指联合体主办方）</w:t>
            </w:r>
            <w:r>
              <w:rPr>
                <w:rFonts w:hint="eastAsia" w:ascii="宋体" w:hAnsi="宋体" w:cs="宋体"/>
                <w:color w:val="auto"/>
                <w:sz w:val="21"/>
                <w:szCs w:val="21"/>
                <w:lang w:val="zh-CN"/>
              </w:rPr>
              <w:t>①本项最多得5分；②提供相关证书</w:t>
            </w:r>
            <w:r>
              <w:rPr>
                <w:rFonts w:hint="eastAsia" w:ascii="宋体" w:hAnsi="宋体" w:cs="宋体"/>
                <w:color w:val="auto"/>
                <w:sz w:val="21"/>
                <w:szCs w:val="21"/>
                <w:lang w:val="zh-CN" w:eastAsia="zh-CN"/>
              </w:rPr>
              <w:t>；</w:t>
            </w:r>
            <w:r>
              <w:rPr>
                <w:rFonts w:ascii="宋体" w:hAnsi="宋体" w:cs="Calibri"/>
                <w:color w:val="auto"/>
                <w:sz w:val="21"/>
                <w:szCs w:val="21"/>
                <w:lang w:val="zh-CN"/>
              </w:rPr>
              <w:t>③近</w:t>
            </w:r>
            <w:r>
              <w:rPr>
                <w:rFonts w:hint="eastAsia" w:ascii="宋体" w:hAnsi="宋体" w:cs="Calibri"/>
                <w:color w:val="auto"/>
                <w:sz w:val="21"/>
                <w:szCs w:val="21"/>
                <w:lang w:val="en-US" w:eastAsia="zh-CN"/>
              </w:rPr>
              <w:t>1个月</w:t>
            </w:r>
            <w:r>
              <w:rPr>
                <w:rFonts w:hint="eastAsia" w:ascii="宋体" w:hAnsi="宋体" w:cs="Calibri"/>
                <w:color w:val="auto"/>
                <w:sz w:val="21"/>
                <w:szCs w:val="21"/>
                <w:lang w:val="zh-CN"/>
              </w:rPr>
              <w:t>（2</w:t>
            </w:r>
            <w:r>
              <w:rPr>
                <w:rFonts w:ascii="宋体" w:hAnsi="宋体" w:cs="Calibri"/>
                <w:color w:val="auto"/>
                <w:sz w:val="21"/>
                <w:szCs w:val="21"/>
                <w:lang w:val="zh-CN"/>
              </w:rPr>
              <w:t>023</w:t>
            </w:r>
            <w:r>
              <w:rPr>
                <w:rFonts w:hint="eastAsia" w:ascii="宋体" w:hAnsi="宋体" w:cs="Calibri"/>
                <w:color w:val="auto"/>
                <w:sz w:val="21"/>
                <w:szCs w:val="21"/>
                <w:lang w:val="zh-CN"/>
              </w:rPr>
              <w:t>年</w:t>
            </w:r>
            <w:r>
              <w:rPr>
                <w:rFonts w:hint="eastAsia" w:ascii="宋体" w:hAnsi="宋体" w:cs="Calibri"/>
                <w:color w:val="auto"/>
                <w:sz w:val="21"/>
                <w:szCs w:val="21"/>
                <w:lang w:val="en-US" w:eastAsia="zh-CN"/>
              </w:rPr>
              <w:t>10</w:t>
            </w:r>
            <w:r>
              <w:rPr>
                <w:rFonts w:hint="eastAsia" w:ascii="宋体" w:hAnsi="宋体" w:cs="Calibri"/>
                <w:color w:val="auto"/>
                <w:sz w:val="21"/>
                <w:szCs w:val="21"/>
                <w:lang w:val="zh-CN"/>
              </w:rPr>
              <w:t>月）</w:t>
            </w:r>
            <w:r>
              <w:rPr>
                <w:rFonts w:ascii="宋体" w:hAnsi="宋体" w:cs="Calibri"/>
                <w:color w:val="auto"/>
                <w:sz w:val="21"/>
                <w:szCs w:val="21"/>
                <w:lang w:val="zh-CN"/>
              </w:rPr>
              <w:t>的社保证明资料</w:t>
            </w:r>
            <w:r>
              <w:rPr>
                <w:rFonts w:hint="eastAsia" w:ascii="宋体" w:hAnsi="宋体" w:cs="宋体"/>
                <w:color w:val="auto"/>
                <w:sz w:val="21"/>
                <w:szCs w:val="21"/>
                <w:lang w:val="zh-CN"/>
              </w:rPr>
              <w:t>并加盖投标人电子公章。</w:t>
            </w:r>
            <w:r>
              <w:rPr>
                <w:rFonts w:hint="eastAsia" w:ascii="宋体" w:hAnsi="宋体" w:cs="宋体"/>
                <w:color w:val="auto"/>
                <w:szCs w:val="21"/>
                <w:lang w:val="zh-CN"/>
              </w:rPr>
              <w:t>提供相关证明材料扫描件，并加盖投标人电子公章，未提供上述资料或不符合要求的不得分。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6" w:type="dxa"/>
            <w:vMerge w:val="continue"/>
            <w:noWrap w:val="0"/>
            <w:vAlign w:val="center"/>
          </w:tcPr>
          <w:p>
            <w:pPr>
              <w:widowControl/>
              <w:tabs>
                <w:tab w:val="left" w:pos="720"/>
              </w:tabs>
              <w:snapToGrid w:val="0"/>
              <w:spacing w:before="50" w:line="360" w:lineRule="auto"/>
              <w:ind w:left="63" w:leftChars="30" w:right="63" w:rightChars="30"/>
              <w:rPr>
                <w:rFonts w:ascii="宋体" w:hAnsi="宋体"/>
                <w:color w:val="auto"/>
                <w:sz w:val="21"/>
                <w:szCs w:val="21"/>
              </w:rPr>
            </w:pPr>
          </w:p>
        </w:tc>
        <w:tc>
          <w:tcPr>
            <w:tcW w:w="1068" w:type="dxa"/>
            <w:vMerge w:val="continue"/>
            <w:noWrap w:val="0"/>
            <w:vAlign w:val="center"/>
          </w:tcPr>
          <w:p>
            <w:pPr>
              <w:widowControl/>
              <w:tabs>
                <w:tab w:val="left" w:pos="720"/>
              </w:tabs>
              <w:snapToGrid w:val="0"/>
              <w:spacing w:before="50" w:line="360" w:lineRule="auto"/>
              <w:ind w:left="63" w:leftChars="30" w:right="63" w:rightChars="30"/>
              <w:rPr>
                <w:rFonts w:ascii="宋体" w:hAnsi="宋体"/>
                <w:color w:val="auto"/>
                <w:sz w:val="21"/>
                <w:szCs w:val="21"/>
              </w:rPr>
            </w:pPr>
          </w:p>
        </w:tc>
        <w:tc>
          <w:tcPr>
            <w:tcW w:w="135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272" w:type="dxa"/>
            <w:noWrap w:val="0"/>
            <w:vAlign w:val="center"/>
          </w:tcPr>
          <w:p>
            <w:pPr>
              <w:widowControl/>
              <w:tabs>
                <w:tab w:val="left" w:pos="720"/>
              </w:tabs>
              <w:snapToGrid w:val="0"/>
              <w:spacing w:before="50" w:line="360" w:lineRule="auto"/>
              <w:ind w:left="63" w:leftChars="30" w:right="63" w:rightChars="30"/>
              <w:jc w:val="center"/>
              <w:rPr>
                <w:rFonts w:ascii="宋体" w:hAnsi="宋体"/>
                <w:color w:val="auto"/>
                <w:sz w:val="21"/>
                <w:szCs w:val="21"/>
              </w:rPr>
            </w:pPr>
            <w:r>
              <w:rPr>
                <w:rFonts w:ascii="宋体" w:hAnsi="宋体" w:cs="宋体"/>
                <w:bCs/>
                <w:color w:val="auto"/>
                <w:sz w:val="21"/>
                <w:szCs w:val="21"/>
              </w:rPr>
              <w:t>技术负责人专业水平</w:t>
            </w:r>
            <w:r>
              <w:rPr>
                <w:rFonts w:hint="eastAsia" w:ascii="宋体" w:hAnsi="宋体" w:cs="宋体"/>
                <w:bCs/>
                <w:color w:val="auto"/>
                <w:sz w:val="21"/>
                <w:szCs w:val="21"/>
              </w:rPr>
              <w:t>（5分）</w:t>
            </w:r>
          </w:p>
        </w:tc>
        <w:tc>
          <w:tcPr>
            <w:tcW w:w="4985" w:type="dxa"/>
            <w:noWrap w:val="0"/>
            <w:vAlign w:val="top"/>
          </w:tcPr>
          <w:p>
            <w:pPr>
              <w:widowControl/>
              <w:tabs>
                <w:tab w:val="left" w:pos="720"/>
              </w:tabs>
              <w:snapToGrid w:val="0"/>
              <w:spacing w:before="50" w:line="360" w:lineRule="auto"/>
              <w:ind w:left="63" w:leftChars="30" w:right="63" w:rightChars="30"/>
              <w:rPr>
                <w:rFonts w:hint="eastAsia" w:ascii="宋体" w:hAnsi="宋体" w:cs="宋体"/>
                <w:color w:val="auto"/>
                <w:sz w:val="21"/>
                <w:szCs w:val="21"/>
                <w:lang w:val="zh-CN"/>
              </w:rPr>
            </w:pPr>
            <w:r>
              <w:rPr>
                <w:rFonts w:hint="eastAsia" w:ascii="宋体" w:hAnsi="宋体" w:cs="宋体"/>
                <w:color w:val="auto"/>
                <w:sz w:val="21"/>
                <w:szCs w:val="21"/>
                <w:lang w:val="zh-CN"/>
              </w:rPr>
              <w:t>技术负责人须是投标人（如为联合体，指联合体主办方）的正式员工。</w:t>
            </w:r>
          </w:p>
          <w:p>
            <w:pPr>
              <w:widowControl/>
              <w:tabs>
                <w:tab w:val="left" w:pos="720"/>
              </w:tabs>
              <w:snapToGrid w:val="0"/>
              <w:spacing w:before="50" w:line="360" w:lineRule="auto"/>
              <w:ind w:left="63" w:leftChars="30" w:right="63" w:rightChars="30"/>
              <w:rPr>
                <w:rFonts w:hint="eastAsia" w:ascii="宋体" w:hAnsi="宋体" w:cs="宋体"/>
                <w:color w:val="auto"/>
                <w:sz w:val="21"/>
                <w:szCs w:val="21"/>
                <w:lang w:val="zh-CN"/>
              </w:rPr>
            </w:pPr>
            <w:r>
              <w:rPr>
                <w:rFonts w:hint="eastAsia" w:ascii="宋体" w:hAnsi="宋体" w:cs="宋体"/>
                <w:color w:val="auto"/>
                <w:sz w:val="21"/>
                <w:szCs w:val="21"/>
                <w:lang w:val="zh-CN"/>
              </w:rPr>
              <w:t>1、具有注册土木工程师（岩土）执业资格证书，且注册单位为投标单位，得1分；</w:t>
            </w:r>
          </w:p>
          <w:p>
            <w:pPr>
              <w:widowControl/>
              <w:tabs>
                <w:tab w:val="left" w:pos="720"/>
              </w:tabs>
              <w:snapToGrid w:val="0"/>
              <w:spacing w:before="50" w:line="360" w:lineRule="auto"/>
              <w:ind w:left="63" w:leftChars="30" w:right="63" w:rightChars="30"/>
              <w:rPr>
                <w:rFonts w:hint="eastAsia" w:ascii="宋体" w:hAnsi="宋体" w:cs="宋体"/>
                <w:color w:val="auto"/>
                <w:sz w:val="21"/>
                <w:szCs w:val="21"/>
                <w:lang w:val="zh-CN"/>
              </w:rPr>
            </w:pPr>
            <w:r>
              <w:rPr>
                <w:rFonts w:hint="eastAsia" w:ascii="宋体" w:hAnsi="宋体" w:cs="宋体"/>
                <w:color w:val="auto"/>
                <w:sz w:val="21"/>
                <w:szCs w:val="21"/>
                <w:lang w:val="zh-CN"/>
              </w:rPr>
              <w:t>2、具有工程类正（教授级）高级工程师职称的，得3分，具有工程类高级工程师职称的，得1分；</w:t>
            </w:r>
          </w:p>
          <w:p>
            <w:pPr>
              <w:widowControl/>
              <w:tabs>
                <w:tab w:val="left" w:pos="720"/>
              </w:tabs>
              <w:snapToGrid w:val="0"/>
              <w:spacing w:before="50" w:line="360" w:lineRule="auto"/>
              <w:ind w:left="63" w:leftChars="30" w:right="63" w:rightChars="30"/>
              <w:rPr>
                <w:rFonts w:hint="eastAsia" w:ascii="宋体" w:hAnsi="宋体" w:cs="宋体"/>
                <w:color w:val="auto"/>
                <w:sz w:val="21"/>
                <w:szCs w:val="21"/>
                <w:lang w:val="zh-CN"/>
              </w:rPr>
            </w:pPr>
            <w:r>
              <w:rPr>
                <w:rFonts w:hint="eastAsia" w:ascii="宋体" w:hAnsi="宋体" w:cs="宋体"/>
                <w:color w:val="auto"/>
                <w:sz w:val="21"/>
                <w:szCs w:val="21"/>
                <w:lang w:val="zh-CN"/>
              </w:rPr>
              <w:t>3、具有省级（或以上）建设工程质量安全监督部门或其委托的机构、行业协会颁发的相关检测员证或检测鉴定培训合格证，得1分。</w:t>
            </w:r>
          </w:p>
          <w:p>
            <w:pPr>
              <w:widowControl/>
              <w:tabs>
                <w:tab w:val="left" w:pos="720"/>
              </w:tabs>
              <w:snapToGrid w:val="0"/>
              <w:spacing w:before="50" w:line="360" w:lineRule="auto"/>
              <w:ind w:left="63" w:leftChars="30" w:right="63" w:rightChars="30"/>
              <w:rPr>
                <w:rFonts w:hint="eastAsia" w:ascii="宋体" w:hAnsi="宋体" w:cs="宋体"/>
                <w:color w:val="auto"/>
                <w:sz w:val="21"/>
                <w:szCs w:val="21"/>
                <w:lang w:val="zh-CN"/>
              </w:rPr>
            </w:pPr>
            <w:r>
              <w:rPr>
                <w:rFonts w:hint="eastAsia" w:ascii="宋体" w:hAnsi="宋体" w:cs="宋体"/>
                <w:color w:val="auto"/>
                <w:sz w:val="21"/>
                <w:szCs w:val="21"/>
                <w:lang w:val="zh-CN"/>
              </w:rPr>
              <w:t>上述三项合计最多得5分。</w:t>
            </w:r>
          </w:p>
          <w:p>
            <w:pPr>
              <w:widowControl/>
              <w:tabs>
                <w:tab w:val="left" w:pos="720"/>
              </w:tabs>
              <w:snapToGrid w:val="0"/>
              <w:spacing w:before="50" w:line="360" w:lineRule="auto"/>
              <w:ind w:left="63" w:leftChars="30" w:right="63" w:rightChars="30"/>
              <w:rPr>
                <w:rFonts w:ascii="宋体" w:hAnsi="宋体"/>
                <w:color w:val="auto"/>
                <w:sz w:val="21"/>
                <w:szCs w:val="21"/>
              </w:rPr>
            </w:pPr>
            <w:r>
              <w:rPr>
                <w:rFonts w:hint="eastAsia" w:ascii="宋体" w:hAnsi="宋体" w:cs="宋体"/>
                <w:color w:val="auto"/>
                <w:sz w:val="21"/>
                <w:szCs w:val="21"/>
                <w:lang w:val="zh-CN"/>
              </w:rPr>
              <w:t>注：须提供注册证（如有）、执业资格查询网页截图（如有）、职称证（如有）、检测员证（或检测鉴定培训合格证）（如有）和</w:t>
            </w:r>
            <w:r>
              <w:rPr>
                <w:rFonts w:hint="eastAsia" w:ascii="宋体" w:hAnsi="宋体" w:eastAsia="宋体" w:cs="宋体"/>
                <w:color w:val="auto"/>
                <w:sz w:val="21"/>
                <w:szCs w:val="21"/>
                <w:lang w:val="zh-CN"/>
              </w:rPr>
              <w:t>近</w:t>
            </w:r>
            <w:r>
              <w:rPr>
                <w:rFonts w:hint="eastAsia" w:ascii="宋体" w:hAnsi="宋体" w:eastAsia="宋体" w:cs="宋体"/>
                <w:color w:val="auto"/>
                <w:sz w:val="21"/>
                <w:szCs w:val="21"/>
                <w:lang w:val="en-US" w:eastAsia="zh-CN"/>
              </w:rPr>
              <w:t>1个月</w:t>
            </w:r>
            <w:r>
              <w:rPr>
                <w:rFonts w:hint="eastAsia" w:ascii="宋体" w:hAnsi="宋体" w:eastAsia="宋体" w:cs="宋体"/>
                <w:color w:val="auto"/>
                <w:sz w:val="21"/>
                <w:szCs w:val="21"/>
                <w:lang w:val="zh-CN"/>
              </w:rPr>
              <w:t>（2023年</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zh-CN"/>
              </w:rPr>
              <w:t>月）的社保证明资料</w:t>
            </w:r>
            <w:r>
              <w:rPr>
                <w:rFonts w:hint="eastAsia" w:ascii="宋体" w:hAnsi="宋体" w:cs="宋体"/>
                <w:color w:val="auto"/>
                <w:sz w:val="21"/>
                <w:szCs w:val="21"/>
                <w:lang w:val="zh-CN"/>
              </w:rPr>
              <w:t>，并加盖投标人电子公章。本项目的技术负责人与项目负责人不能为同一人，否则，项目负责人评分项计算得分，技术负责人评分项为零分。</w:t>
            </w:r>
            <w:r>
              <w:rPr>
                <w:rFonts w:hint="eastAsia" w:ascii="宋体" w:hAnsi="宋体" w:cs="宋体"/>
                <w:color w:val="auto"/>
                <w:szCs w:val="21"/>
                <w:lang w:val="zh-CN"/>
              </w:rPr>
              <w:t>提供相关证明材料扫描件，并加盖投标人电子公章，</w:t>
            </w:r>
            <w:r>
              <w:rPr>
                <w:rFonts w:hint="eastAsia" w:ascii="宋体" w:hAnsi="宋体" w:cs="宋体"/>
                <w:color w:val="auto"/>
                <w:sz w:val="21"/>
                <w:szCs w:val="21"/>
                <w:lang w:val="zh-CN"/>
              </w:rPr>
              <w:t>未提供上述资料或不符合要求的不得分。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widowControl/>
              <w:tabs>
                <w:tab w:val="left" w:pos="720"/>
              </w:tabs>
              <w:adjustRightInd w:val="0"/>
              <w:spacing w:before="120" w:beforeLines="50" w:line="360" w:lineRule="auto"/>
              <w:jc w:val="center"/>
              <w:rPr>
                <w:rFonts w:ascii="宋体" w:hAnsi="宋体" w:cs="宋体"/>
                <w:color w:val="auto"/>
                <w:sz w:val="21"/>
                <w:szCs w:val="21"/>
              </w:rPr>
            </w:pPr>
          </w:p>
        </w:tc>
        <w:tc>
          <w:tcPr>
            <w:tcW w:w="1356" w:type="dxa"/>
            <w:vMerge w:val="restart"/>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企业技术能力（1</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tc>
        <w:tc>
          <w:tcPr>
            <w:tcW w:w="1272" w:type="dxa"/>
            <w:noWrap w:val="0"/>
            <w:vAlign w:val="center"/>
          </w:tcPr>
          <w:p>
            <w:pPr>
              <w:widowControl/>
              <w:tabs>
                <w:tab w:val="left" w:pos="720"/>
              </w:tabs>
              <w:snapToGrid w:val="0"/>
              <w:spacing w:before="50" w:line="360" w:lineRule="auto"/>
              <w:ind w:left="63" w:leftChars="30" w:right="63" w:rightChars="30"/>
              <w:jc w:val="center"/>
              <w:rPr>
                <w:rFonts w:ascii="宋体" w:hAnsi="宋体" w:cs="宋体"/>
                <w:color w:val="auto"/>
                <w:sz w:val="21"/>
                <w:szCs w:val="21"/>
              </w:rPr>
            </w:pPr>
            <w:r>
              <w:rPr>
                <w:rFonts w:hint="eastAsia" w:ascii="宋体" w:hAnsi="宋体" w:cs="宋体"/>
                <w:color w:val="auto"/>
                <w:sz w:val="21"/>
                <w:szCs w:val="21"/>
              </w:rPr>
              <w:t>获奖/受表彰成果（</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rPr>
              <w:t>分）</w:t>
            </w:r>
          </w:p>
        </w:tc>
        <w:tc>
          <w:tcPr>
            <w:tcW w:w="4985" w:type="dxa"/>
            <w:noWrap w:val="0"/>
            <w:vAlign w:val="top"/>
          </w:tcPr>
          <w:p>
            <w:pPr>
              <w:widowControl/>
              <w:tabs>
                <w:tab w:val="left" w:pos="720"/>
              </w:tabs>
              <w:snapToGrid w:val="0"/>
              <w:spacing w:before="50" w:line="360" w:lineRule="auto"/>
              <w:ind w:left="63" w:leftChars="30" w:right="63" w:rightChars="30"/>
              <w:jc w:val="left"/>
              <w:rPr>
                <w:rFonts w:hint="eastAsia" w:ascii="宋体" w:hAnsi="宋体" w:cs="宋体"/>
                <w:color w:val="auto"/>
                <w:sz w:val="21"/>
                <w:szCs w:val="21"/>
              </w:rPr>
            </w:pPr>
            <w:r>
              <w:rPr>
                <w:rFonts w:hint="eastAsia" w:ascii="宋体" w:hAnsi="宋体" w:cs="宋体"/>
                <w:color w:val="auto"/>
                <w:sz w:val="21"/>
                <w:szCs w:val="21"/>
              </w:rPr>
              <w:t>获得过中国建筑业协会工程建设质量监督与检测分会“建设工程质量检测行业先进单位”表彰，一次得</w:t>
            </w:r>
            <w:r>
              <w:rPr>
                <w:rFonts w:hint="eastAsia" w:ascii="宋体" w:hAnsi="宋体" w:cs="宋体"/>
                <w:color w:val="auto"/>
                <w:sz w:val="21"/>
                <w:szCs w:val="21"/>
                <w:lang w:val="en-US" w:eastAsia="zh-CN"/>
              </w:rPr>
              <w:t>2</w:t>
            </w:r>
            <w:r>
              <w:rPr>
                <w:rFonts w:hint="eastAsia" w:ascii="宋体" w:hAnsi="宋体" w:cs="宋体"/>
                <w:color w:val="auto"/>
                <w:sz w:val="21"/>
                <w:szCs w:val="21"/>
              </w:rPr>
              <w:t>分，最多得</w:t>
            </w:r>
            <w:r>
              <w:rPr>
                <w:rFonts w:hint="eastAsia" w:ascii="宋体" w:hAnsi="宋体" w:cs="宋体"/>
                <w:color w:val="auto"/>
                <w:sz w:val="21"/>
                <w:szCs w:val="21"/>
                <w:lang w:val="en-US" w:eastAsia="zh-CN"/>
              </w:rPr>
              <w:t>6</w:t>
            </w:r>
            <w:r>
              <w:rPr>
                <w:rFonts w:hint="eastAsia" w:ascii="宋体" w:hAnsi="宋体" w:cs="宋体"/>
                <w:color w:val="auto"/>
                <w:sz w:val="21"/>
                <w:szCs w:val="21"/>
              </w:rPr>
              <w:t>分。</w:t>
            </w:r>
          </w:p>
          <w:p>
            <w:pPr>
              <w:widowControl/>
              <w:tabs>
                <w:tab w:val="left" w:pos="720"/>
              </w:tabs>
              <w:snapToGrid w:val="0"/>
              <w:spacing w:before="50" w:line="360" w:lineRule="auto"/>
              <w:ind w:left="63" w:leftChars="30" w:right="63" w:rightChars="30"/>
              <w:jc w:val="left"/>
              <w:rPr>
                <w:rFonts w:ascii="宋体" w:hAnsi="宋体" w:cs="宋体"/>
                <w:color w:val="auto"/>
                <w:sz w:val="21"/>
                <w:szCs w:val="21"/>
              </w:rPr>
            </w:pPr>
            <w:r>
              <w:rPr>
                <w:rFonts w:hint="eastAsia" w:ascii="宋体" w:hAnsi="宋体" w:cs="宋体"/>
                <w:color w:val="auto"/>
                <w:sz w:val="21"/>
                <w:szCs w:val="21"/>
              </w:rPr>
              <w:t>注：</w:t>
            </w:r>
            <w:r>
              <w:rPr>
                <w:rFonts w:hint="eastAsia" w:ascii="宋体" w:hAnsi="宋体" w:cs="宋体"/>
                <w:color w:val="auto"/>
                <w:szCs w:val="21"/>
              </w:rPr>
              <w:t>提供相关证明材料扫描件，并加盖投标人电子公章，未提供上述资料或不符合要求的不得分。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06" w:type="dxa"/>
            <w:vMerge w:val="continue"/>
            <w:noWrap w:val="0"/>
            <w:vAlign w:val="center"/>
          </w:tcPr>
          <w:p>
            <w:pPr>
              <w:widowControl/>
              <w:tabs>
                <w:tab w:val="left" w:pos="720"/>
              </w:tabs>
              <w:snapToGrid w:val="0"/>
              <w:spacing w:before="50" w:line="360" w:lineRule="auto"/>
              <w:ind w:left="63" w:leftChars="30" w:right="63" w:rightChars="30"/>
              <w:jc w:val="left"/>
              <w:rPr>
                <w:color w:val="auto"/>
                <w:sz w:val="21"/>
                <w:szCs w:val="21"/>
              </w:rPr>
            </w:pPr>
          </w:p>
        </w:tc>
        <w:tc>
          <w:tcPr>
            <w:tcW w:w="1068" w:type="dxa"/>
            <w:vMerge w:val="continue"/>
            <w:noWrap w:val="0"/>
            <w:vAlign w:val="center"/>
          </w:tcPr>
          <w:p>
            <w:pPr>
              <w:widowControl/>
              <w:tabs>
                <w:tab w:val="left" w:pos="720"/>
              </w:tabs>
              <w:snapToGrid w:val="0"/>
              <w:spacing w:before="50" w:line="360" w:lineRule="auto"/>
              <w:ind w:left="63" w:leftChars="30" w:right="63" w:rightChars="30"/>
              <w:jc w:val="left"/>
              <w:rPr>
                <w:color w:val="auto"/>
                <w:sz w:val="21"/>
                <w:szCs w:val="21"/>
              </w:rPr>
            </w:pPr>
          </w:p>
        </w:tc>
        <w:tc>
          <w:tcPr>
            <w:tcW w:w="135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272" w:type="dxa"/>
            <w:noWrap w:val="0"/>
            <w:vAlign w:val="center"/>
          </w:tcPr>
          <w:p>
            <w:pPr>
              <w:widowControl/>
              <w:tabs>
                <w:tab w:val="left" w:pos="720"/>
              </w:tabs>
              <w:snapToGrid w:val="0"/>
              <w:spacing w:before="50" w:line="360" w:lineRule="auto"/>
              <w:ind w:left="63" w:leftChars="30" w:right="63" w:rightChars="30"/>
              <w:jc w:val="center"/>
              <w:rPr>
                <w:color w:val="auto"/>
                <w:sz w:val="21"/>
                <w:szCs w:val="21"/>
              </w:rPr>
            </w:pPr>
            <w:r>
              <w:rPr>
                <w:rFonts w:hint="eastAsia" w:ascii="宋体" w:hAnsi="宋体" w:cs="宋体"/>
                <w:color w:val="auto"/>
                <w:sz w:val="21"/>
                <w:szCs w:val="21"/>
                <w:lang w:val="en-US" w:eastAsia="zh-CN"/>
              </w:rPr>
              <w:t>技术</w:t>
            </w:r>
            <w:r>
              <w:rPr>
                <w:rFonts w:hint="eastAsia" w:ascii="宋体" w:hAnsi="宋体" w:cs="宋体"/>
                <w:color w:val="auto"/>
                <w:sz w:val="21"/>
                <w:szCs w:val="21"/>
              </w:rPr>
              <w:t>创新能力（</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tc>
        <w:tc>
          <w:tcPr>
            <w:tcW w:w="4985" w:type="dxa"/>
            <w:noWrap w:val="0"/>
            <w:vAlign w:val="top"/>
          </w:tcPr>
          <w:p>
            <w:pPr>
              <w:widowControl/>
              <w:tabs>
                <w:tab w:val="left" w:pos="720"/>
              </w:tabs>
              <w:snapToGrid w:val="0"/>
              <w:spacing w:before="50" w:line="360" w:lineRule="auto"/>
              <w:ind w:left="63" w:leftChars="30" w:right="63" w:rightChars="30"/>
              <w:jc w:val="left"/>
              <w:rPr>
                <w:rFonts w:ascii="宋体" w:hAnsi="宋体" w:cs="宋体"/>
                <w:color w:val="auto"/>
                <w:sz w:val="21"/>
                <w:szCs w:val="21"/>
              </w:rPr>
            </w:pPr>
            <w:r>
              <w:rPr>
                <w:rFonts w:hint="eastAsia" w:ascii="宋体" w:hAnsi="宋体" w:cs="宋体"/>
                <w:color w:val="auto"/>
                <w:sz w:val="21"/>
                <w:szCs w:val="21"/>
              </w:rPr>
              <w:t>投标人（如为联合体，指联合体主办方）被认定为省级或以上“工程技术研究中心”且具有“高新技术企业”证书，得</w:t>
            </w:r>
            <w:r>
              <w:rPr>
                <w:rFonts w:hint="eastAsia" w:ascii="宋体" w:hAnsi="宋体" w:cs="宋体"/>
                <w:color w:val="auto"/>
                <w:sz w:val="21"/>
                <w:szCs w:val="21"/>
                <w:lang w:val="en-US" w:eastAsia="zh-CN"/>
              </w:rPr>
              <w:t>5</w:t>
            </w:r>
            <w:r>
              <w:rPr>
                <w:rFonts w:hint="eastAsia" w:ascii="宋体" w:hAnsi="宋体" w:cs="宋体"/>
                <w:color w:val="auto"/>
                <w:sz w:val="21"/>
                <w:szCs w:val="21"/>
              </w:rPr>
              <w:t>分，无不得分。</w:t>
            </w:r>
          </w:p>
          <w:p>
            <w:pPr>
              <w:widowControl/>
              <w:tabs>
                <w:tab w:val="left" w:pos="720"/>
              </w:tabs>
              <w:snapToGrid w:val="0"/>
              <w:spacing w:before="50" w:line="360" w:lineRule="auto"/>
              <w:ind w:left="63" w:leftChars="30" w:right="63" w:rightChars="30"/>
              <w:jc w:val="left"/>
              <w:rPr>
                <w:color w:val="auto"/>
                <w:sz w:val="21"/>
                <w:szCs w:val="21"/>
              </w:rPr>
            </w:pPr>
            <w:r>
              <w:rPr>
                <w:rFonts w:hint="eastAsia" w:ascii="宋体" w:hAnsi="宋体" w:cs="宋体"/>
                <w:color w:val="auto"/>
                <w:sz w:val="21"/>
                <w:szCs w:val="21"/>
              </w:rPr>
              <w:t>注：</w:t>
            </w:r>
            <w:r>
              <w:rPr>
                <w:rFonts w:hint="eastAsia" w:ascii="宋体" w:hAnsi="宋体" w:cs="宋体"/>
                <w:color w:val="auto"/>
                <w:szCs w:val="21"/>
              </w:rPr>
              <w:t>提供相关证明材料扫描件，并加盖投标人电子公章，未提供上述资料或不符合要求的不得分。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06" w:type="dxa"/>
            <w:vMerge w:val="continue"/>
            <w:noWrap w:val="0"/>
            <w:vAlign w:val="center"/>
          </w:tcPr>
          <w:p>
            <w:pPr>
              <w:widowControl/>
              <w:tabs>
                <w:tab w:val="left" w:pos="720"/>
              </w:tabs>
              <w:snapToGrid w:val="0"/>
              <w:spacing w:before="50" w:line="360" w:lineRule="auto"/>
              <w:ind w:left="63" w:leftChars="30" w:right="63" w:rightChars="30"/>
              <w:jc w:val="left"/>
              <w:rPr>
                <w:color w:val="auto"/>
                <w:sz w:val="21"/>
                <w:szCs w:val="21"/>
              </w:rPr>
            </w:pPr>
          </w:p>
        </w:tc>
        <w:tc>
          <w:tcPr>
            <w:tcW w:w="1068" w:type="dxa"/>
            <w:vMerge w:val="continue"/>
            <w:noWrap w:val="0"/>
            <w:vAlign w:val="center"/>
          </w:tcPr>
          <w:p>
            <w:pPr>
              <w:widowControl/>
              <w:tabs>
                <w:tab w:val="left" w:pos="720"/>
              </w:tabs>
              <w:snapToGrid w:val="0"/>
              <w:spacing w:before="50" w:line="360" w:lineRule="auto"/>
              <w:ind w:left="63" w:leftChars="30" w:right="63" w:rightChars="30"/>
              <w:jc w:val="left"/>
              <w:rPr>
                <w:color w:val="auto"/>
                <w:sz w:val="21"/>
                <w:szCs w:val="21"/>
              </w:rPr>
            </w:pPr>
          </w:p>
        </w:tc>
        <w:tc>
          <w:tcPr>
            <w:tcW w:w="135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272" w:type="dxa"/>
            <w:noWrap w:val="0"/>
            <w:vAlign w:val="center"/>
          </w:tcPr>
          <w:p>
            <w:pPr>
              <w:widowControl/>
              <w:tabs>
                <w:tab w:val="left" w:pos="720"/>
              </w:tabs>
              <w:snapToGrid w:val="0"/>
              <w:spacing w:before="50" w:line="360" w:lineRule="auto"/>
              <w:ind w:left="63" w:leftChars="30" w:right="63" w:rightChars="30"/>
              <w:jc w:val="center"/>
              <w:rPr>
                <w:color w:val="auto"/>
                <w:sz w:val="21"/>
                <w:szCs w:val="21"/>
              </w:rPr>
            </w:pPr>
            <w:r>
              <w:rPr>
                <w:rFonts w:hint="eastAsia" w:ascii="宋体" w:hAnsi="宋体" w:cs="宋体"/>
                <w:color w:val="auto"/>
                <w:sz w:val="21"/>
                <w:szCs w:val="21"/>
              </w:rPr>
              <w:t>CNAS证书（4分）</w:t>
            </w:r>
          </w:p>
        </w:tc>
        <w:tc>
          <w:tcPr>
            <w:tcW w:w="4985" w:type="dxa"/>
            <w:noWrap w:val="0"/>
            <w:vAlign w:val="top"/>
          </w:tcPr>
          <w:p>
            <w:pPr>
              <w:widowControl/>
              <w:tabs>
                <w:tab w:val="left" w:pos="720"/>
              </w:tabs>
              <w:snapToGrid w:val="0"/>
              <w:spacing w:before="50" w:line="360" w:lineRule="auto"/>
              <w:ind w:left="63" w:leftChars="30" w:right="63" w:rightChars="30"/>
              <w:jc w:val="left"/>
              <w:rPr>
                <w:rFonts w:hint="eastAsia" w:ascii="宋体" w:hAnsi="宋体" w:cs="宋体"/>
                <w:color w:val="auto"/>
                <w:sz w:val="21"/>
                <w:szCs w:val="21"/>
              </w:rPr>
            </w:pPr>
            <w:r>
              <w:rPr>
                <w:rFonts w:hint="eastAsia" w:ascii="宋体" w:hAnsi="宋体" w:cs="宋体"/>
                <w:color w:val="auto"/>
                <w:sz w:val="21"/>
                <w:szCs w:val="21"/>
              </w:rPr>
              <w:t>投标人（如为联合体，指联合体主办方）具备中国合格评定国家认可委员会实验室认可证书（CNAS）和中国合格评定国家认可委员会检验机构认可证书（CNAS），并在有效期内的，得4分，具备其中一项得2分，本项最多得4分。</w:t>
            </w:r>
          </w:p>
          <w:p>
            <w:pPr>
              <w:widowControl/>
              <w:tabs>
                <w:tab w:val="left" w:pos="720"/>
              </w:tabs>
              <w:snapToGrid w:val="0"/>
              <w:spacing w:before="50" w:line="360" w:lineRule="auto"/>
              <w:ind w:left="63" w:leftChars="30" w:right="63" w:rightChars="30"/>
              <w:jc w:val="left"/>
              <w:rPr>
                <w:color w:val="auto"/>
                <w:sz w:val="21"/>
                <w:szCs w:val="21"/>
              </w:rPr>
            </w:pPr>
            <w:r>
              <w:rPr>
                <w:rFonts w:hint="eastAsia" w:ascii="宋体" w:hAnsi="宋体" w:cs="宋体"/>
                <w:color w:val="auto"/>
                <w:sz w:val="21"/>
                <w:szCs w:val="21"/>
              </w:rPr>
              <w:t>注：</w:t>
            </w:r>
            <w:r>
              <w:rPr>
                <w:rFonts w:hint="eastAsia" w:ascii="宋体" w:hAnsi="宋体" w:cs="宋体"/>
                <w:color w:val="auto"/>
                <w:szCs w:val="21"/>
              </w:rPr>
              <w:t>须提供有效期内的证书扫描件，并加盖投标人电子公章，未提供上述资料或不符合要求的不得分。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widowControl/>
              <w:tabs>
                <w:tab w:val="left" w:pos="720"/>
              </w:tabs>
              <w:adjustRightInd w:val="0"/>
              <w:spacing w:before="120" w:beforeLines="50" w:line="360" w:lineRule="auto"/>
              <w:jc w:val="center"/>
              <w:rPr>
                <w:rFonts w:ascii="宋体" w:hAnsi="宋体" w:cs="宋体"/>
                <w:color w:val="auto"/>
                <w:sz w:val="21"/>
                <w:szCs w:val="21"/>
              </w:rPr>
            </w:pPr>
          </w:p>
        </w:tc>
        <w:tc>
          <w:tcPr>
            <w:tcW w:w="1356" w:type="dxa"/>
            <w:vMerge w:val="restart"/>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企业信用等级（1</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tc>
        <w:tc>
          <w:tcPr>
            <w:tcW w:w="1272" w:type="dxa"/>
            <w:noWrap w:val="0"/>
            <w:vAlign w:val="center"/>
          </w:tcPr>
          <w:p>
            <w:pPr>
              <w:widowControl/>
              <w:tabs>
                <w:tab w:val="left" w:pos="720"/>
              </w:tabs>
              <w:snapToGrid w:val="0"/>
              <w:spacing w:before="50" w:line="360" w:lineRule="auto"/>
              <w:ind w:left="63" w:leftChars="30" w:right="63" w:rightChars="30"/>
              <w:jc w:val="center"/>
              <w:rPr>
                <w:rFonts w:ascii="宋体" w:hAnsi="宋体" w:cs="宋体"/>
                <w:color w:val="auto"/>
                <w:sz w:val="21"/>
                <w:szCs w:val="21"/>
              </w:rPr>
            </w:pPr>
            <w:r>
              <w:rPr>
                <w:rFonts w:hint="eastAsia" w:ascii="宋体" w:hAnsi="宋体" w:cs="宋体"/>
                <w:color w:val="auto"/>
                <w:sz w:val="21"/>
                <w:szCs w:val="21"/>
              </w:rPr>
              <w:t>广州市住建行业信用管理平台广州市检测机构诚信排名（</w:t>
            </w:r>
            <w:r>
              <w:rPr>
                <w:rFonts w:hint="eastAsia" w:ascii="宋体" w:hAnsi="宋体" w:cs="宋体"/>
                <w:color w:val="auto"/>
                <w:sz w:val="21"/>
                <w:szCs w:val="21"/>
                <w:lang w:val="en-US" w:eastAsia="zh-CN"/>
              </w:rPr>
              <w:t>10</w:t>
            </w:r>
            <w:r>
              <w:rPr>
                <w:rFonts w:hint="eastAsia" w:ascii="宋体" w:hAnsi="宋体" w:cs="宋体"/>
                <w:color w:val="auto"/>
                <w:sz w:val="21"/>
                <w:szCs w:val="21"/>
              </w:rPr>
              <w:t>分）</w:t>
            </w:r>
          </w:p>
        </w:tc>
        <w:tc>
          <w:tcPr>
            <w:tcW w:w="4985" w:type="dxa"/>
            <w:noWrap w:val="0"/>
            <w:vAlign w:val="center"/>
          </w:tcPr>
          <w:p>
            <w:pPr>
              <w:widowControl/>
              <w:tabs>
                <w:tab w:val="left" w:pos="720"/>
              </w:tabs>
              <w:snapToGrid w:val="0"/>
              <w:spacing w:before="50" w:line="360" w:lineRule="auto"/>
              <w:ind w:left="63" w:leftChars="30" w:right="63" w:rightChars="3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投标人（如为联合体，指联合体主办方）诚信得分=诚信综合评价排名得分（满分100分）×10%。本项最多得10分。</w:t>
            </w:r>
          </w:p>
          <w:p>
            <w:pPr>
              <w:widowControl/>
              <w:tabs>
                <w:tab w:val="left" w:pos="720"/>
              </w:tabs>
              <w:snapToGrid w:val="0"/>
              <w:spacing w:before="50" w:line="360" w:lineRule="auto"/>
              <w:ind w:left="63" w:leftChars="30" w:right="63" w:rightChars="30"/>
              <w:jc w:val="both"/>
              <w:rPr>
                <w:rFonts w:ascii="宋体" w:hAnsi="宋体" w:cs="宋体"/>
                <w:color w:val="auto"/>
                <w:sz w:val="21"/>
                <w:szCs w:val="21"/>
              </w:rPr>
            </w:pPr>
            <w:r>
              <w:rPr>
                <w:rFonts w:hint="eastAsia" w:ascii="宋体" w:hAnsi="宋体" w:cs="宋体"/>
                <w:color w:val="auto"/>
                <w:sz w:val="21"/>
                <w:szCs w:val="21"/>
                <w:highlight w:val="none"/>
              </w:rPr>
              <w:t>注：企业的诚信综合评价排名得分以开标当天广州市住房和城乡建设局网站上公布的“诚信综合评价专栏”的检测企业60日诚信分为准。如为联合体，指联合体主办方的60日诚信分。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06" w:type="dxa"/>
            <w:vMerge w:val="continue"/>
            <w:noWrap w:val="0"/>
            <w:vAlign w:val="center"/>
          </w:tcPr>
          <w:p>
            <w:pPr>
              <w:widowControl/>
              <w:tabs>
                <w:tab w:val="left" w:pos="720"/>
              </w:tabs>
              <w:snapToGrid w:val="0"/>
              <w:spacing w:before="50" w:line="360" w:lineRule="auto"/>
              <w:ind w:left="63" w:leftChars="30" w:right="63" w:rightChars="30"/>
              <w:jc w:val="center"/>
              <w:rPr>
                <w:color w:val="auto"/>
                <w:sz w:val="21"/>
                <w:szCs w:val="21"/>
              </w:rPr>
            </w:pPr>
          </w:p>
        </w:tc>
        <w:tc>
          <w:tcPr>
            <w:tcW w:w="1068" w:type="dxa"/>
            <w:vMerge w:val="continue"/>
            <w:noWrap w:val="0"/>
            <w:vAlign w:val="center"/>
          </w:tcPr>
          <w:p>
            <w:pPr>
              <w:widowControl/>
              <w:tabs>
                <w:tab w:val="left" w:pos="720"/>
              </w:tabs>
              <w:snapToGrid w:val="0"/>
              <w:spacing w:before="50" w:line="360" w:lineRule="auto"/>
              <w:ind w:left="63" w:leftChars="30" w:right="63" w:rightChars="30"/>
              <w:jc w:val="center"/>
              <w:rPr>
                <w:color w:val="auto"/>
                <w:sz w:val="21"/>
                <w:szCs w:val="21"/>
              </w:rPr>
            </w:pPr>
          </w:p>
        </w:tc>
        <w:tc>
          <w:tcPr>
            <w:tcW w:w="135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272" w:type="dxa"/>
            <w:noWrap w:val="0"/>
            <w:vAlign w:val="center"/>
          </w:tcPr>
          <w:p>
            <w:pPr>
              <w:widowControl/>
              <w:tabs>
                <w:tab w:val="left" w:pos="720"/>
              </w:tabs>
              <w:snapToGrid w:val="0"/>
              <w:spacing w:before="50" w:line="360" w:lineRule="auto"/>
              <w:ind w:left="63" w:leftChars="30" w:right="63" w:rightChars="30"/>
              <w:jc w:val="center"/>
              <w:rPr>
                <w:rFonts w:hint="eastAsia" w:ascii="宋体" w:hAnsi="宋体" w:eastAsia="宋体" w:cs="宋体"/>
                <w:color w:val="auto"/>
                <w:sz w:val="21"/>
                <w:szCs w:val="21"/>
                <w:lang w:eastAsia="zh-CN"/>
              </w:rPr>
            </w:pPr>
            <w:r>
              <w:rPr>
                <w:rFonts w:hint="eastAsia" w:ascii="宋体" w:hAnsi="宋体" w:cs="宋体"/>
                <w:color w:val="auto"/>
                <w:sz w:val="21"/>
                <w:szCs w:val="21"/>
              </w:rPr>
              <w:t>检（监）测机构企业信用等级</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5分</w:t>
            </w:r>
            <w:r>
              <w:rPr>
                <w:rFonts w:hint="eastAsia" w:ascii="宋体" w:hAnsi="宋体" w:cs="宋体"/>
                <w:color w:val="auto"/>
                <w:sz w:val="21"/>
                <w:szCs w:val="21"/>
                <w:lang w:eastAsia="zh-CN"/>
              </w:rPr>
              <w:t>）</w:t>
            </w:r>
          </w:p>
        </w:tc>
        <w:tc>
          <w:tcPr>
            <w:tcW w:w="4985" w:type="dxa"/>
            <w:noWrap w:val="0"/>
            <w:vAlign w:val="top"/>
          </w:tcPr>
          <w:p>
            <w:pPr>
              <w:widowControl/>
              <w:tabs>
                <w:tab w:val="left" w:pos="720"/>
              </w:tabs>
              <w:snapToGrid w:val="0"/>
              <w:spacing w:before="50" w:line="360" w:lineRule="auto"/>
              <w:ind w:left="63" w:leftChars="30" w:right="63" w:rightChars="3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投标人（如为联合体，指联合体主办方）获得企业信用等级证书：</w:t>
            </w:r>
          </w:p>
          <w:p>
            <w:pPr>
              <w:widowControl/>
              <w:tabs>
                <w:tab w:val="left" w:pos="720"/>
              </w:tabs>
              <w:snapToGrid w:val="0"/>
              <w:spacing w:before="50" w:line="360" w:lineRule="auto"/>
              <w:ind w:left="63" w:leftChars="30" w:right="63" w:rightChars="3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（1）信用等级评价为AAA级，得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p>
            <w:pPr>
              <w:widowControl/>
              <w:tabs>
                <w:tab w:val="left" w:pos="720"/>
              </w:tabs>
              <w:snapToGrid w:val="0"/>
              <w:spacing w:before="50" w:line="360" w:lineRule="auto"/>
              <w:ind w:left="63" w:leftChars="30" w:right="63" w:rightChars="3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（2）信用等级评价为AA级，得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p>
            <w:pPr>
              <w:widowControl/>
              <w:tabs>
                <w:tab w:val="left" w:pos="720"/>
              </w:tabs>
              <w:snapToGrid w:val="0"/>
              <w:spacing w:before="50" w:line="360" w:lineRule="auto"/>
              <w:ind w:left="63" w:leftChars="30" w:right="63" w:rightChars="3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（3）信用等级评价为A级得1分；</w:t>
            </w:r>
          </w:p>
          <w:p>
            <w:pPr>
              <w:widowControl/>
              <w:tabs>
                <w:tab w:val="left" w:pos="720"/>
              </w:tabs>
              <w:snapToGrid w:val="0"/>
              <w:spacing w:before="50" w:line="360" w:lineRule="auto"/>
              <w:ind w:left="63" w:leftChars="30" w:right="63" w:rightChars="3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（4）没有获得的，不得分。</w:t>
            </w:r>
          </w:p>
          <w:p>
            <w:pPr>
              <w:widowControl/>
              <w:tabs>
                <w:tab w:val="left" w:pos="720"/>
              </w:tabs>
              <w:snapToGrid w:val="0"/>
              <w:spacing w:before="50" w:line="360" w:lineRule="auto"/>
              <w:ind w:left="63" w:leftChars="30" w:right="63" w:rightChars="3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本项最多得3分。</w:t>
            </w:r>
          </w:p>
          <w:p>
            <w:pPr>
              <w:widowControl/>
              <w:tabs>
                <w:tab w:val="left" w:pos="720"/>
              </w:tabs>
              <w:snapToGrid w:val="0"/>
              <w:spacing w:before="50" w:line="360" w:lineRule="auto"/>
              <w:ind w:left="63" w:leftChars="30" w:right="63" w:rightChars="3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注：须提供有效期内的等级证书</w:t>
            </w:r>
            <w:r>
              <w:rPr>
                <w:rFonts w:hint="eastAsia" w:ascii="宋体" w:hAnsi="宋体" w:cs="宋体"/>
                <w:color w:val="auto"/>
                <w:szCs w:val="21"/>
                <w:highlight w:val="none"/>
              </w:rPr>
              <w:t>扫描件，并加盖投标人电子公章。</w:t>
            </w:r>
            <w:r>
              <w:rPr>
                <w:rFonts w:hint="eastAsia" w:ascii="宋体" w:hAnsi="宋体" w:cs="宋体"/>
                <w:color w:val="auto"/>
                <w:sz w:val="21"/>
                <w:szCs w:val="21"/>
                <w:highlight w:val="none"/>
              </w:rPr>
              <w:t>按最高等级计算一次，不重复累加计算分值。企业信用等级证书以“中国建筑业协会”颁发的证书为准，且证书上的单位名称需与投标人名称一致。未提供上述资料或不符合要求的不得分</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widowControl/>
              <w:tabs>
                <w:tab w:val="left" w:pos="720"/>
              </w:tabs>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lang w:val="zh-CN"/>
              </w:rPr>
              <w:t>企业管理水平</w:t>
            </w:r>
            <w:r>
              <w:rPr>
                <w:rFonts w:hint="eastAsia" w:ascii="宋体" w:hAnsi="宋体" w:cs="宋体"/>
                <w:color w:val="auto"/>
                <w:sz w:val="21"/>
                <w:szCs w:val="21"/>
              </w:rPr>
              <w:t>（5分）</w:t>
            </w:r>
          </w:p>
        </w:tc>
        <w:tc>
          <w:tcPr>
            <w:tcW w:w="1272" w:type="dxa"/>
            <w:noWrap w:val="0"/>
            <w:vAlign w:val="center"/>
          </w:tcPr>
          <w:p>
            <w:pPr>
              <w:pStyle w:val="2"/>
              <w:adjustRightInd w:val="0"/>
              <w:spacing w:before="120" w:beforeLines="50" w:after="0" w:line="360" w:lineRule="auto"/>
              <w:ind w:firstLine="0"/>
              <w:jc w:val="center"/>
              <w:rPr>
                <w:rFonts w:ascii="宋体" w:hAnsi="宋体"/>
                <w:color w:val="auto"/>
                <w:sz w:val="21"/>
                <w:szCs w:val="21"/>
              </w:rPr>
            </w:pPr>
            <w:r>
              <w:rPr>
                <w:rFonts w:hint="eastAsia" w:ascii="宋体" w:hAnsi="宋体" w:cs="宋体"/>
                <w:color w:val="auto"/>
                <w:sz w:val="21"/>
                <w:szCs w:val="21"/>
                <w:lang w:val="zh-CN"/>
              </w:rPr>
              <w:t>ISO管理体系认证</w:t>
            </w:r>
            <w:r>
              <w:rPr>
                <w:rFonts w:hint="eastAsia" w:ascii="宋体" w:hAnsi="宋体" w:cs="宋体"/>
                <w:color w:val="auto"/>
                <w:sz w:val="21"/>
                <w:szCs w:val="21"/>
              </w:rPr>
              <w:t>（5分）</w:t>
            </w:r>
          </w:p>
        </w:tc>
        <w:tc>
          <w:tcPr>
            <w:tcW w:w="4985" w:type="dxa"/>
            <w:noWrap w:val="0"/>
            <w:vAlign w:val="center"/>
          </w:tcPr>
          <w:p>
            <w:pPr>
              <w:pStyle w:val="2"/>
              <w:adjustRightInd w:val="0"/>
              <w:spacing w:before="120" w:beforeLines="50" w:after="0" w:line="360" w:lineRule="auto"/>
              <w:ind w:firstLine="0"/>
              <w:rPr>
                <w:rFonts w:hint="eastAsia" w:ascii="宋体" w:hAnsi="宋体" w:cs="宋体"/>
                <w:color w:val="auto"/>
                <w:sz w:val="21"/>
                <w:szCs w:val="21"/>
              </w:rPr>
            </w:pPr>
            <w:r>
              <w:rPr>
                <w:rFonts w:hint="eastAsia" w:ascii="宋体" w:hAnsi="宋体" w:cs="宋体"/>
                <w:color w:val="auto"/>
                <w:sz w:val="21"/>
                <w:szCs w:val="21"/>
              </w:rPr>
              <w:t>投标人（如为联合体，指联合体主办方）具有质量管理体系认证、环境管理体系认证、职业健康安全管理体系认证、知识产权管理体系认证：</w:t>
            </w:r>
          </w:p>
          <w:p>
            <w:pPr>
              <w:pStyle w:val="2"/>
              <w:adjustRightInd w:val="0"/>
              <w:spacing w:before="120" w:beforeLines="50" w:after="0" w:line="360" w:lineRule="auto"/>
              <w:ind w:firstLine="0"/>
              <w:rPr>
                <w:rFonts w:hint="eastAsia" w:ascii="宋体" w:hAnsi="宋体" w:cs="宋体"/>
                <w:color w:val="auto"/>
                <w:sz w:val="21"/>
                <w:szCs w:val="21"/>
              </w:rPr>
            </w:pPr>
            <w:r>
              <w:rPr>
                <w:rFonts w:hint="eastAsia" w:ascii="宋体" w:hAnsi="宋体" w:cs="宋体"/>
                <w:color w:val="auto"/>
                <w:sz w:val="21"/>
                <w:szCs w:val="21"/>
              </w:rPr>
              <w:t>（1）具有</w:t>
            </w:r>
            <w:r>
              <w:rPr>
                <w:rFonts w:hint="eastAsia" w:ascii="宋体" w:hAnsi="宋体" w:cs="宋体"/>
                <w:color w:val="auto"/>
                <w:sz w:val="21"/>
                <w:szCs w:val="21"/>
                <w:lang w:val="en-US" w:eastAsia="zh-CN"/>
              </w:rPr>
              <w:t>四</w:t>
            </w:r>
            <w:r>
              <w:rPr>
                <w:rFonts w:hint="eastAsia" w:ascii="宋体" w:hAnsi="宋体" w:cs="宋体"/>
                <w:color w:val="auto"/>
                <w:sz w:val="21"/>
                <w:szCs w:val="21"/>
              </w:rPr>
              <w:t>项体系认证的，得5分；</w:t>
            </w:r>
          </w:p>
          <w:p>
            <w:pPr>
              <w:pStyle w:val="2"/>
              <w:adjustRightInd w:val="0"/>
              <w:spacing w:before="120" w:beforeLines="50" w:after="0" w:line="360" w:lineRule="auto"/>
              <w:ind w:firstLine="0"/>
              <w:rPr>
                <w:rFonts w:hint="eastAsia" w:ascii="宋体" w:hAnsi="宋体" w:cs="宋体"/>
                <w:color w:val="auto"/>
                <w:sz w:val="21"/>
                <w:szCs w:val="21"/>
              </w:rPr>
            </w:pPr>
            <w:r>
              <w:rPr>
                <w:rFonts w:hint="eastAsia" w:ascii="宋体" w:hAnsi="宋体" w:cs="宋体"/>
                <w:color w:val="auto"/>
                <w:sz w:val="21"/>
                <w:szCs w:val="21"/>
              </w:rPr>
              <w:t>（2）具有其中</w:t>
            </w:r>
            <w:r>
              <w:rPr>
                <w:rFonts w:hint="eastAsia" w:ascii="宋体" w:hAnsi="宋体" w:cs="宋体"/>
                <w:color w:val="auto"/>
                <w:sz w:val="21"/>
                <w:szCs w:val="21"/>
                <w:lang w:eastAsia="zh-CN"/>
              </w:rPr>
              <w:t>三</w:t>
            </w:r>
            <w:r>
              <w:rPr>
                <w:rFonts w:hint="eastAsia" w:ascii="宋体" w:hAnsi="宋体" w:cs="宋体"/>
                <w:color w:val="auto"/>
                <w:sz w:val="21"/>
                <w:szCs w:val="21"/>
              </w:rPr>
              <w:t>项体系认证的，得3分；</w:t>
            </w:r>
          </w:p>
          <w:p>
            <w:pPr>
              <w:pStyle w:val="2"/>
              <w:adjustRightInd w:val="0"/>
              <w:spacing w:before="120" w:beforeLines="50" w:after="0" w:line="360" w:lineRule="auto"/>
              <w:ind w:firstLine="0"/>
              <w:rPr>
                <w:rFonts w:hint="eastAsia" w:ascii="宋体" w:hAnsi="宋体" w:cs="宋体"/>
                <w:color w:val="auto"/>
                <w:sz w:val="21"/>
                <w:szCs w:val="21"/>
              </w:rPr>
            </w:pPr>
            <w:r>
              <w:rPr>
                <w:rFonts w:hint="eastAsia" w:ascii="宋体" w:hAnsi="宋体" w:cs="宋体"/>
                <w:color w:val="auto"/>
                <w:sz w:val="21"/>
                <w:szCs w:val="21"/>
              </w:rPr>
              <w:t>（3）具有其中二项体系认证的，得1分；</w:t>
            </w:r>
          </w:p>
          <w:p>
            <w:pPr>
              <w:pStyle w:val="2"/>
              <w:adjustRightInd w:val="0"/>
              <w:spacing w:before="120" w:beforeLines="50" w:after="0" w:line="360" w:lineRule="auto"/>
              <w:ind w:firstLine="0"/>
              <w:rPr>
                <w:rFonts w:hint="eastAsia" w:ascii="宋体" w:hAnsi="宋体" w:cs="宋体"/>
                <w:color w:val="auto"/>
                <w:sz w:val="21"/>
                <w:szCs w:val="21"/>
              </w:rPr>
            </w:pPr>
            <w:r>
              <w:rPr>
                <w:rFonts w:hint="eastAsia" w:ascii="宋体" w:hAnsi="宋体" w:cs="宋体"/>
                <w:color w:val="auto"/>
                <w:sz w:val="21"/>
                <w:szCs w:val="21"/>
              </w:rPr>
              <w:t>（4）其他不得分。</w:t>
            </w:r>
          </w:p>
          <w:p>
            <w:pPr>
              <w:pStyle w:val="2"/>
              <w:adjustRightInd w:val="0"/>
              <w:spacing w:before="120" w:beforeLines="50" w:after="0" w:line="360" w:lineRule="auto"/>
              <w:ind w:firstLine="0"/>
              <w:rPr>
                <w:rFonts w:hint="eastAsia" w:ascii="宋体" w:hAnsi="宋体" w:cs="宋体"/>
                <w:color w:val="auto"/>
                <w:sz w:val="21"/>
                <w:szCs w:val="21"/>
              </w:rPr>
            </w:pPr>
            <w:r>
              <w:rPr>
                <w:rFonts w:hint="eastAsia" w:ascii="宋体" w:hAnsi="宋体" w:cs="宋体"/>
                <w:color w:val="auto"/>
                <w:sz w:val="21"/>
                <w:szCs w:val="21"/>
              </w:rPr>
              <w:t>本项最多得5分。</w:t>
            </w:r>
          </w:p>
          <w:p>
            <w:pPr>
              <w:pStyle w:val="2"/>
              <w:adjustRightInd w:val="0"/>
              <w:spacing w:before="120" w:beforeLines="50" w:after="0" w:line="360" w:lineRule="auto"/>
              <w:ind w:firstLine="0"/>
              <w:rPr>
                <w:rFonts w:ascii="宋体" w:hAnsi="宋体" w:cs="宋体"/>
                <w:color w:val="auto"/>
                <w:sz w:val="21"/>
                <w:szCs w:val="21"/>
                <w:lang w:val="zh-CN"/>
              </w:rPr>
            </w:pPr>
            <w:r>
              <w:rPr>
                <w:rFonts w:hint="eastAsia" w:ascii="宋体" w:hAnsi="宋体" w:cs="宋体"/>
                <w:color w:val="auto"/>
                <w:sz w:val="21"/>
                <w:szCs w:val="21"/>
              </w:rPr>
              <w:t>注：须提供有效期内的认证证书</w:t>
            </w:r>
            <w:r>
              <w:rPr>
                <w:rFonts w:hint="eastAsia" w:ascii="宋体" w:hAnsi="宋体" w:cs="宋体"/>
                <w:color w:val="auto"/>
                <w:szCs w:val="21"/>
              </w:rPr>
              <w:t>扫描件，并加盖投标人电子公章，未提供上述资料或不符合要求的不得分。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06" w:type="dxa"/>
            <w:vMerge w:val="restart"/>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2.2.4</w:t>
            </w:r>
          </w:p>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（2）</w:t>
            </w:r>
          </w:p>
        </w:tc>
        <w:tc>
          <w:tcPr>
            <w:tcW w:w="1068" w:type="dxa"/>
            <w:vMerge w:val="restart"/>
            <w:noWrap w:val="0"/>
            <w:vAlign w:val="center"/>
          </w:tcPr>
          <w:p>
            <w:pPr>
              <w:widowControl/>
              <w:tabs>
                <w:tab w:val="left" w:pos="720"/>
              </w:tabs>
              <w:adjustRightInd w:val="0"/>
              <w:spacing w:before="120" w:beforeLines="50" w:line="360" w:lineRule="auto"/>
              <w:jc w:val="center"/>
              <w:rPr>
                <w:rFonts w:ascii="宋体" w:hAnsi="宋体" w:cs="宋体"/>
                <w:color w:val="auto"/>
                <w:sz w:val="21"/>
                <w:szCs w:val="21"/>
                <w:lang w:val="zh-CN"/>
              </w:rPr>
            </w:pPr>
            <w:r>
              <w:rPr>
                <w:rFonts w:hint="eastAsia" w:ascii="宋体" w:hAnsi="宋体" w:cs="宋体"/>
                <w:color w:val="auto"/>
                <w:sz w:val="21"/>
                <w:szCs w:val="21"/>
                <w:lang w:val="zh-CN"/>
              </w:rPr>
              <w:t>技术部分评分标准</w:t>
            </w:r>
          </w:p>
          <w:p>
            <w:pPr>
              <w:widowControl/>
              <w:tabs>
                <w:tab w:val="left" w:pos="720"/>
              </w:tabs>
              <w:adjustRightInd w:val="0"/>
              <w:spacing w:before="120" w:beforeLines="50" w:line="360" w:lineRule="auto"/>
              <w:jc w:val="center"/>
              <w:rPr>
                <w:rFonts w:ascii="宋体" w:hAnsi="宋体" w:cs="宋体"/>
                <w:color w:val="auto"/>
                <w:sz w:val="21"/>
                <w:szCs w:val="21"/>
                <w:lang w:val="zh-CN"/>
              </w:rPr>
            </w:pPr>
            <w:r>
              <w:rPr>
                <w:rFonts w:hint="eastAsia" w:ascii="宋体" w:hAnsi="宋体" w:cs="宋体"/>
                <w:color w:val="auto"/>
                <w:sz w:val="21"/>
                <w:szCs w:val="21"/>
                <w:lang w:val="zh-CN"/>
              </w:rPr>
              <w:t>（</w:t>
            </w:r>
            <w:r>
              <w:rPr>
                <w:rFonts w:hint="eastAsia" w:ascii="宋体" w:hAnsi="宋体" w:cs="宋体"/>
                <w:color w:val="auto"/>
                <w:sz w:val="21"/>
                <w:szCs w:val="21"/>
              </w:rPr>
              <w:t>2</w:t>
            </w:r>
            <w:r>
              <w:rPr>
                <w:rFonts w:hint="eastAsia" w:ascii="宋体" w:hAnsi="宋体" w:cs="宋体"/>
                <w:color w:val="auto"/>
                <w:sz w:val="21"/>
                <w:szCs w:val="21"/>
                <w:lang w:val="zh-CN"/>
              </w:rPr>
              <w:t>0分）</w:t>
            </w:r>
          </w:p>
        </w:tc>
        <w:tc>
          <w:tcPr>
            <w:tcW w:w="1356" w:type="dxa"/>
            <w:vMerge w:val="restart"/>
            <w:noWrap w:val="0"/>
            <w:vAlign w:val="center"/>
          </w:tcPr>
          <w:p>
            <w:pPr>
              <w:adjustRightInd w:val="0"/>
              <w:spacing w:before="120" w:beforeLines="50" w:line="360" w:lineRule="auto"/>
              <w:jc w:val="center"/>
              <w:rPr>
                <w:rFonts w:ascii="宋体" w:hAnsi="宋体" w:cs="宋体"/>
                <w:color w:val="auto"/>
                <w:sz w:val="21"/>
                <w:szCs w:val="21"/>
                <w:lang w:val="zh-CN"/>
              </w:rPr>
            </w:pPr>
            <w:r>
              <w:rPr>
                <w:rFonts w:hint="eastAsia" w:ascii="宋体" w:hAnsi="宋体" w:cs="宋体"/>
                <w:color w:val="auto"/>
                <w:sz w:val="21"/>
                <w:szCs w:val="21"/>
                <w:lang w:val="zh-CN"/>
              </w:rPr>
              <w:t>检测和监测方案（</w:t>
            </w:r>
            <w:r>
              <w:rPr>
                <w:rFonts w:hint="eastAsia" w:ascii="宋体" w:hAnsi="宋体" w:cs="宋体"/>
                <w:color w:val="auto"/>
                <w:sz w:val="21"/>
                <w:szCs w:val="21"/>
              </w:rPr>
              <w:t xml:space="preserve"> 20</w:t>
            </w:r>
            <w:r>
              <w:rPr>
                <w:rFonts w:hint="eastAsia" w:ascii="宋体" w:hAnsi="宋体" w:cs="宋体"/>
                <w:color w:val="auto"/>
                <w:sz w:val="21"/>
                <w:szCs w:val="21"/>
                <w:lang w:val="zh-CN"/>
              </w:rPr>
              <w:t>分）</w:t>
            </w:r>
          </w:p>
        </w:tc>
        <w:tc>
          <w:tcPr>
            <w:tcW w:w="1272" w:type="dxa"/>
            <w:noWrap w:val="0"/>
            <w:vAlign w:val="center"/>
          </w:tcPr>
          <w:p>
            <w:pPr>
              <w:widowControl/>
              <w:tabs>
                <w:tab w:val="left" w:pos="720"/>
              </w:tabs>
              <w:adjustRightInd w:val="0"/>
              <w:spacing w:before="120" w:beforeLines="50"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整体工作方案（5分）</w:t>
            </w:r>
          </w:p>
        </w:tc>
        <w:tc>
          <w:tcPr>
            <w:tcW w:w="4985" w:type="dxa"/>
            <w:noWrap w:val="0"/>
            <w:vAlign w:val="center"/>
          </w:tcPr>
          <w:p>
            <w:pPr>
              <w:widowControl/>
              <w:tabs>
                <w:tab w:val="left" w:pos="720"/>
              </w:tabs>
              <w:adjustRightInd w:val="0"/>
              <w:spacing w:before="120" w:beforeLines="50" w:line="360" w:lineRule="auto"/>
              <w:rPr>
                <w:rFonts w:hint="eastAsia"/>
                <w:sz w:val="21"/>
                <w:szCs w:val="21"/>
              </w:rPr>
            </w:pPr>
            <w:r>
              <w:rPr>
                <w:rFonts w:hint="eastAsia"/>
                <w:sz w:val="21"/>
                <w:szCs w:val="21"/>
              </w:rPr>
              <w:t>优：检测和监测方案跟据招标工作内容编制，方案编制详细、具体，内容齐全，能满足本工程提出的所有项目，有合理可行的保证通过相关验收、满足工程进度确保措施，得5分；</w:t>
            </w:r>
          </w:p>
          <w:p>
            <w:pPr>
              <w:widowControl/>
              <w:tabs>
                <w:tab w:val="left" w:pos="720"/>
              </w:tabs>
              <w:adjustRightInd w:val="0"/>
              <w:spacing w:before="120" w:beforeLines="50" w:line="360" w:lineRule="auto"/>
              <w:rPr>
                <w:rFonts w:hint="eastAsia"/>
                <w:sz w:val="21"/>
                <w:szCs w:val="21"/>
              </w:rPr>
            </w:pPr>
            <w:r>
              <w:rPr>
                <w:rFonts w:hint="eastAsia"/>
                <w:sz w:val="21"/>
                <w:szCs w:val="21"/>
              </w:rPr>
              <w:t>良：检测和监测方案跟据招标工作内容编制，方案编制较详细、较具体，内容较齐全，有比较可行的保证通过相关验收、满足工程进度确保措施，得3-4分；</w:t>
            </w:r>
          </w:p>
          <w:p>
            <w:pPr>
              <w:widowControl/>
              <w:tabs>
                <w:tab w:val="left" w:pos="720"/>
              </w:tabs>
              <w:adjustRightInd w:val="0"/>
              <w:spacing w:before="120" w:beforeLines="50" w:line="360" w:lineRule="auto"/>
              <w:rPr>
                <w:rFonts w:hint="eastAsia"/>
                <w:sz w:val="21"/>
                <w:szCs w:val="21"/>
              </w:rPr>
            </w:pPr>
            <w:r>
              <w:rPr>
                <w:rFonts w:hint="eastAsia"/>
                <w:sz w:val="21"/>
                <w:szCs w:val="21"/>
              </w:rPr>
              <w:t>中：检测和监测方案跟据招标工作内容编制，方案编制基本内容满足要求，方法符合规范要求，有能通过相关验收、满足工程进度的确保措施，得1-2分；</w:t>
            </w:r>
          </w:p>
          <w:p>
            <w:pPr>
              <w:widowControl/>
              <w:tabs>
                <w:tab w:val="left" w:pos="720"/>
              </w:tabs>
              <w:adjustRightInd w:val="0"/>
              <w:spacing w:before="120" w:beforeLines="50" w:line="360" w:lineRule="auto"/>
              <w:rPr>
                <w:rFonts w:ascii="宋体" w:hAnsi="宋体" w:cs="宋体"/>
                <w:color w:val="auto"/>
                <w:sz w:val="21"/>
                <w:szCs w:val="21"/>
                <w:lang w:val="zh-CN"/>
              </w:rPr>
            </w:pPr>
            <w:r>
              <w:rPr>
                <w:rFonts w:hint="eastAsia"/>
                <w:sz w:val="21"/>
                <w:szCs w:val="21"/>
              </w:rPr>
              <w:t>差：方案基本内容阐述缺项，方法基本不能满足检测和监测要求，不得分。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06" w:type="dxa"/>
            <w:vMerge w:val="continue"/>
            <w:noWrap w:val="0"/>
            <w:vAlign w:val="center"/>
          </w:tcPr>
          <w:p>
            <w:pPr>
              <w:widowControl/>
              <w:tabs>
                <w:tab w:val="left" w:pos="720"/>
              </w:tabs>
              <w:adjustRightInd w:val="0"/>
              <w:spacing w:before="120" w:beforeLines="50" w:line="360" w:lineRule="auto"/>
              <w:rPr>
                <w:sz w:val="21"/>
                <w:szCs w:val="21"/>
              </w:rPr>
            </w:pPr>
          </w:p>
        </w:tc>
        <w:tc>
          <w:tcPr>
            <w:tcW w:w="1068" w:type="dxa"/>
            <w:vMerge w:val="continue"/>
            <w:noWrap w:val="0"/>
            <w:vAlign w:val="center"/>
          </w:tcPr>
          <w:p>
            <w:pPr>
              <w:widowControl/>
              <w:tabs>
                <w:tab w:val="left" w:pos="720"/>
              </w:tabs>
              <w:adjustRightInd w:val="0"/>
              <w:spacing w:before="120" w:beforeLines="50" w:line="360" w:lineRule="auto"/>
              <w:rPr>
                <w:sz w:val="21"/>
                <w:szCs w:val="21"/>
              </w:rPr>
            </w:pPr>
          </w:p>
        </w:tc>
        <w:tc>
          <w:tcPr>
            <w:tcW w:w="1356" w:type="dxa"/>
            <w:vMerge w:val="continue"/>
            <w:noWrap w:val="0"/>
            <w:vAlign w:val="center"/>
          </w:tcPr>
          <w:p>
            <w:pPr>
              <w:widowControl/>
              <w:tabs>
                <w:tab w:val="left" w:pos="720"/>
              </w:tabs>
              <w:adjustRightInd w:val="0"/>
              <w:spacing w:before="120" w:beforeLines="50" w:line="360" w:lineRule="auto"/>
              <w:rPr>
                <w:sz w:val="21"/>
                <w:szCs w:val="21"/>
              </w:rPr>
            </w:pPr>
          </w:p>
        </w:tc>
        <w:tc>
          <w:tcPr>
            <w:tcW w:w="1272" w:type="dxa"/>
            <w:noWrap w:val="0"/>
            <w:vAlign w:val="center"/>
          </w:tcPr>
          <w:p>
            <w:pPr>
              <w:widowControl/>
              <w:tabs>
                <w:tab w:val="left" w:pos="720"/>
              </w:tabs>
              <w:adjustRightInd w:val="0"/>
              <w:spacing w:before="120" w:beforeLines="50" w:line="360" w:lineRule="auto"/>
              <w:rPr>
                <w:rFonts w:hint="eastAsia" w:eastAsia="宋体"/>
                <w:sz w:val="21"/>
                <w:szCs w:val="21"/>
                <w:lang w:eastAsia="zh-CN"/>
              </w:rPr>
            </w:pPr>
            <w:r>
              <w:rPr>
                <w:rFonts w:hint="eastAsia"/>
                <w:sz w:val="21"/>
                <w:szCs w:val="21"/>
              </w:rPr>
              <w:t>重点、难点及关键部分的技术性建议及措施</w:t>
            </w:r>
            <w:r>
              <w:rPr>
                <w:rFonts w:hint="eastAsia"/>
                <w:sz w:val="21"/>
                <w:szCs w:val="21"/>
                <w:lang w:eastAsia="zh-CN"/>
              </w:rPr>
              <w:t>（</w:t>
            </w:r>
            <w:r>
              <w:rPr>
                <w:rFonts w:hint="eastAsia"/>
                <w:sz w:val="21"/>
                <w:szCs w:val="21"/>
                <w:lang w:val="en-US" w:eastAsia="zh-CN"/>
              </w:rPr>
              <w:t>4分</w:t>
            </w:r>
            <w:r>
              <w:rPr>
                <w:rFonts w:hint="eastAsia"/>
                <w:sz w:val="21"/>
                <w:szCs w:val="21"/>
                <w:lang w:eastAsia="zh-CN"/>
              </w:rPr>
              <w:t>）</w:t>
            </w:r>
          </w:p>
        </w:tc>
        <w:tc>
          <w:tcPr>
            <w:tcW w:w="4985" w:type="dxa"/>
            <w:noWrap w:val="0"/>
            <w:vAlign w:val="center"/>
          </w:tcPr>
          <w:p>
            <w:pPr>
              <w:widowControl/>
              <w:tabs>
                <w:tab w:val="left" w:pos="720"/>
              </w:tabs>
              <w:adjustRightInd w:val="0"/>
              <w:spacing w:before="120" w:beforeLines="50" w:line="360" w:lineRule="auto"/>
              <w:rPr>
                <w:rFonts w:hint="eastAsia"/>
                <w:sz w:val="21"/>
                <w:szCs w:val="21"/>
              </w:rPr>
            </w:pPr>
            <w:r>
              <w:rPr>
                <w:rFonts w:hint="eastAsia"/>
                <w:sz w:val="21"/>
                <w:szCs w:val="21"/>
              </w:rPr>
              <w:t>优：有依据工程特点制定专项检测和监测方案，并对本项目工程重点、难点分析透切，制定的相应对策及关键部分的技术性建议及措施针对性强，可行性高，得4分；</w:t>
            </w:r>
          </w:p>
          <w:p>
            <w:pPr>
              <w:widowControl/>
              <w:tabs>
                <w:tab w:val="left" w:pos="720"/>
              </w:tabs>
              <w:adjustRightInd w:val="0"/>
              <w:spacing w:before="120" w:beforeLines="50" w:line="360" w:lineRule="auto"/>
              <w:rPr>
                <w:rFonts w:hint="eastAsia"/>
                <w:sz w:val="21"/>
                <w:szCs w:val="21"/>
              </w:rPr>
            </w:pPr>
            <w:r>
              <w:rPr>
                <w:rFonts w:hint="eastAsia"/>
                <w:sz w:val="21"/>
                <w:szCs w:val="21"/>
              </w:rPr>
              <w:t>良：对本项目工程重点、难点分析透切，制定的相应对策及关键部分的技术性建议及措施针对性较强，可行性较高，得3分；</w:t>
            </w:r>
          </w:p>
          <w:p>
            <w:pPr>
              <w:widowControl/>
              <w:tabs>
                <w:tab w:val="left" w:pos="720"/>
              </w:tabs>
              <w:adjustRightInd w:val="0"/>
              <w:spacing w:before="120" w:beforeLines="50" w:line="360" w:lineRule="auto"/>
              <w:rPr>
                <w:rFonts w:hint="eastAsia"/>
                <w:sz w:val="21"/>
                <w:szCs w:val="21"/>
              </w:rPr>
            </w:pPr>
            <w:r>
              <w:rPr>
                <w:rFonts w:hint="eastAsia"/>
                <w:sz w:val="21"/>
                <w:szCs w:val="21"/>
              </w:rPr>
              <w:t>中：对本项目工程重点、难点分析透切，制定的相应对策及关键部分的技术性建议及措施针对性一般，可行性一般，得1-2分；</w:t>
            </w:r>
          </w:p>
          <w:p>
            <w:pPr>
              <w:widowControl/>
              <w:tabs>
                <w:tab w:val="left" w:pos="720"/>
              </w:tabs>
              <w:adjustRightInd w:val="0"/>
              <w:spacing w:before="120" w:beforeLines="50" w:line="360" w:lineRule="auto"/>
              <w:rPr>
                <w:sz w:val="21"/>
                <w:szCs w:val="21"/>
              </w:rPr>
            </w:pPr>
            <w:r>
              <w:rPr>
                <w:rFonts w:hint="eastAsia"/>
                <w:sz w:val="21"/>
                <w:szCs w:val="21"/>
              </w:rPr>
              <w:t>差：不满足前述要求者，不得分。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06" w:type="dxa"/>
            <w:vMerge w:val="continue"/>
            <w:noWrap w:val="0"/>
            <w:vAlign w:val="center"/>
          </w:tcPr>
          <w:p>
            <w:pPr>
              <w:widowControl/>
              <w:tabs>
                <w:tab w:val="left" w:pos="720"/>
              </w:tabs>
              <w:adjustRightInd w:val="0"/>
              <w:spacing w:before="120" w:beforeLines="50" w:line="360" w:lineRule="auto"/>
              <w:rPr>
                <w:sz w:val="21"/>
                <w:szCs w:val="21"/>
              </w:rPr>
            </w:pPr>
          </w:p>
        </w:tc>
        <w:tc>
          <w:tcPr>
            <w:tcW w:w="1068" w:type="dxa"/>
            <w:vMerge w:val="continue"/>
            <w:noWrap w:val="0"/>
            <w:vAlign w:val="center"/>
          </w:tcPr>
          <w:p>
            <w:pPr>
              <w:widowControl/>
              <w:tabs>
                <w:tab w:val="left" w:pos="720"/>
              </w:tabs>
              <w:adjustRightInd w:val="0"/>
              <w:spacing w:before="120" w:beforeLines="50" w:line="360" w:lineRule="auto"/>
              <w:rPr>
                <w:sz w:val="21"/>
                <w:szCs w:val="21"/>
              </w:rPr>
            </w:pPr>
          </w:p>
        </w:tc>
        <w:tc>
          <w:tcPr>
            <w:tcW w:w="1356" w:type="dxa"/>
            <w:vMerge w:val="continue"/>
            <w:noWrap w:val="0"/>
            <w:vAlign w:val="center"/>
          </w:tcPr>
          <w:p>
            <w:pPr>
              <w:widowControl/>
              <w:tabs>
                <w:tab w:val="left" w:pos="720"/>
              </w:tabs>
              <w:adjustRightInd w:val="0"/>
              <w:spacing w:before="120" w:beforeLines="50" w:line="360" w:lineRule="auto"/>
              <w:rPr>
                <w:sz w:val="21"/>
                <w:szCs w:val="21"/>
              </w:rPr>
            </w:pPr>
          </w:p>
        </w:tc>
        <w:tc>
          <w:tcPr>
            <w:tcW w:w="1272" w:type="dxa"/>
            <w:noWrap w:val="0"/>
            <w:vAlign w:val="center"/>
          </w:tcPr>
          <w:p>
            <w:pPr>
              <w:widowControl/>
              <w:tabs>
                <w:tab w:val="left" w:pos="720"/>
              </w:tabs>
              <w:adjustRightInd w:val="0"/>
              <w:spacing w:before="120" w:beforeLines="50" w:line="360" w:lineRule="auto"/>
              <w:rPr>
                <w:rFonts w:hint="eastAsia" w:eastAsia="宋体"/>
                <w:sz w:val="21"/>
                <w:szCs w:val="21"/>
                <w:lang w:eastAsia="zh-CN"/>
              </w:rPr>
            </w:pPr>
            <w:r>
              <w:rPr>
                <w:rFonts w:hint="eastAsia"/>
                <w:sz w:val="21"/>
                <w:szCs w:val="21"/>
              </w:rPr>
              <w:t>质量保证体系</w:t>
            </w:r>
            <w:r>
              <w:rPr>
                <w:rFonts w:hint="eastAsia"/>
                <w:sz w:val="21"/>
                <w:szCs w:val="21"/>
                <w:lang w:eastAsia="zh-CN"/>
              </w:rPr>
              <w:t>（</w:t>
            </w:r>
            <w:r>
              <w:rPr>
                <w:rFonts w:hint="eastAsia"/>
                <w:sz w:val="21"/>
                <w:szCs w:val="21"/>
                <w:lang w:val="en-US" w:eastAsia="zh-CN"/>
              </w:rPr>
              <w:t>3分</w:t>
            </w:r>
            <w:r>
              <w:rPr>
                <w:rFonts w:hint="eastAsia"/>
                <w:sz w:val="21"/>
                <w:szCs w:val="21"/>
                <w:lang w:eastAsia="zh-CN"/>
              </w:rPr>
              <w:t>）</w:t>
            </w:r>
          </w:p>
        </w:tc>
        <w:tc>
          <w:tcPr>
            <w:tcW w:w="4985" w:type="dxa"/>
            <w:noWrap w:val="0"/>
            <w:vAlign w:val="center"/>
          </w:tcPr>
          <w:p>
            <w:pPr>
              <w:widowControl/>
              <w:tabs>
                <w:tab w:val="left" w:pos="720"/>
              </w:tabs>
              <w:adjustRightInd w:val="0"/>
              <w:spacing w:before="120" w:beforeLines="50" w:line="360" w:lineRule="auto"/>
              <w:rPr>
                <w:rFonts w:hint="eastAsia"/>
                <w:sz w:val="21"/>
                <w:szCs w:val="21"/>
              </w:rPr>
            </w:pPr>
            <w:r>
              <w:rPr>
                <w:rFonts w:hint="eastAsia"/>
                <w:sz w:val="21"/>
                <w:szCs w:val="21"/>
              </w:rPr>
              <w:t>优：有质量保证措施和质量保证体系，质量保证体系完善，得3分；</w:t>
            </w:r>
          </w:p>
          <w:p>
            <w:pPr>
              <w:widowControl/>
              <w:tabs>
                <w:tab w:val="left" w:pos="720"/>
              </w:tabs>
              <w:adjustRightInd w:val="0"/>
              <w:spacing w:before="120" w:beforeLines="50" w:line="360" w:lineRule="auto"/>
              <w:rPr>
                <w:rFonts w:hint="eastAsia"/>
                <w:sz w:val="21"/>
                <w:szCs w:val="21"/>
              </w:rPr>
            </w:pPr>
            <w:r>
              <w:rPr>
                <w:rFonts w:hint="eastAsia"/>
                <w:sz w:val="21"/>
                <w:szCs w:val="21"/>
              </w:rPr>
              <w:t>良：有质量保证措施和质量保证体系，质量保证体系较完善，得2分；</w:t>
            </w:r>
          </w:p>
          <w:p>
            <w:pPr>
              <w:widowControl/>
              <w:tabs>
                <w:tab w:val="left" w:pos="720"/>
              </w:tabs>
              <w:adjustRightInd w:val="0"/>
              <w:spacing w:before="120" w:beforeLines="50" w:line="360" w:lineRule="auto"/>
              <w:rPr>
                <w:rFonts w:hint="eastAsia"/>
                <w:sz w:val="21"/>
                <w:szCs w:val="21"/>
              </w:rPr>
            </w:pPr>
            <w:r>
              <w:rPr>
                <w:rFonts w:hint="eastAsia"/>
                <w:sz w:val="21"/>
                <w:szCs w:val="21"/>
              </w:rPr>
              <w:t>中：有质量保证措施和质量保证体系，质量保证体系一般，得1分；</w:t>
            </w:r>
          </w:p>
          <w:p>
            <w:pPr>
              <w:widowControl/>
              <w:tabs>
                <w:tab w:val="left" w:pos="720"/>
              </w:tabs>
              <w:adjustRightInd w:val="0"/>
              <w:spacing w:before="120" w:beforeLines="50" w:line="360" w:lineRule="auto"/>
              <w:rPr>
                <w:sz w:val="21"/>
                <w:szCs w:val="21"/>
              </w:rPr>
            </w:pPr>
            <w:r>
              <w:rPr>
                <w:rFonts w:hint="eastAsia"/>
                <w:sz w:val="21"/>
                <w:szCs w:val="21"/>
              </w:rPr>
              <w:t>差：不满足前述要求者，不得分。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06" w:type="dxa"/>
            <w:vMerge w:val="continue"/>
            <w:noWrap w:val="0"/>
            <w:vAlign w:val="center"/>
          </w:tcPr>
          <w:p>
            <w:pPr>
              <w:widowControl/>
              <w:tabs>
                <w:tab w:val="left" w:pos="720"/>
              </w:tabs>
              <w:adjustRightInd w:val="0"/>
              <w:spacing w:before="120" w:beforeLines="50" w:line="360" w:lineRule="auto"/>
              <w:rPr>
                <w:sz w:val="21"/>
                <w:szCs w:val="21"/>
              </w:rPr>
            </w:pPr>
          </w:p>
        </w:tc>
        <w:tc>
          <w:tcPr>
            <w:tcW w:w="1068" w:type="dxa"/>
            <w:vMerge w:val="continue"/>
            <w:noWrap w:val="0"/>
            <w:vAlign w:val="center"/>
          </w:tcPr>
          <w:p>
            <w:pPr>
              <w:widowControl/>
              <w:tabs>
                <w:tab w:val="left" w:pos="720"/>
              </w:tabs>
              <w:adjustRightInd w:val="0"/>
              <w:spacing w:before="120" w:beforeLines="50" w:line="360" w:lineRule="auto"/>
              <w:rPr>
                <w:sz w:val="21"/>
                <w:szCs w:val="21"/>
              </w:rPr>
            </w:pPr>
          </w:p>
        </w:tc>
        <w:tc>
          <w:tcPr>
            <w:tcW w:w="1356" w:type="dxa"/>
            <w:vMerge w:val="continue"/>
            <w:noWrap w:val="0"/>
            <w:vAlign w:val="center"/>
          </w:tcPr>
          <w:p>
            <w:pPr>
              <w:widowControl/>
              <w:tabs>
                <w:tab w:val="left" w:pos="720"/>
              </w:tabs>
              <w:adjustRightInd w:val="0"/>
              <w:spacing w:before="120" w:beforeLines="50" w:line="360" w:lineRule="auto"/>
              <w:rPr>
                <w:sz w:val="21"/>
                <w:szCs w:val="21"/>
              </w:rPr>
            </w:pPr>
          </w:p>
        </w:tc>
        <w:tc>
          <w:tcPr>
            <w:tcW w:w="1272" w:type="dxa"/>
            <w:noWrap w:val="0"/>
            <w:vAlign w:val="center"/>
          </w:tcPr>
          <w:p>
            <w:pPr>
              <w:widowControl/>
              <w:tabs>
                <w:tab w:val="left" w:pos="720"/>
              </w:tabs>
              <w:adjustRightInd w:val="0"/>
              <w:spacing w:before="120" w:beforeLines="50" w:line="360" w:lineRule="auto"/>
              <w:rPr>
                <w:rFonts w:hint="eastAsia" w:eastAsia="宋体"/>
                <w:sz w:val="21"/>
                <w:szCs w:val="21"/>
                <w:lang w:eastAsia="zh-CN"/>
              </w:rPr>
            </w:pPr>
            <w:r>
              <w:rPr>
                <w:rFonts w:hint="eastAsia"/>
                <w:sz w:val="21"/>
                <w:szCs w:val="21"/>
              </w:rPr>
              <w:t>进度保证体系</w:t>
            </w:r>
            <w:r>
              <w:rPr>
                <w:rFonts w:hint="eastAsia"/>
                <w:sz w:val="21"/>
                <w:szCs w:val="21"/>
                <w:lang w:eastAsia="zh-CN"/>
              </w:rPr>
              <w:t>（</w:t>
            </w:r>
            <w:r>
              <w:rPr>
                <w:rFonts w:hint="eastAsia"/>
                <w:sz w:val="21"/>
                <w:szCs w:val="21"/>
                <w:lang w:val="en-US" w:eastAsia="zh-CN"/>
              </w:rPr>
              <w:t>3分</w:t>
            </w:r>
            <w:r>
              <w:rPr>
                <w:rFonts w:hint="eastAsia"/>
                <w:sz w:val="21"/>
                <w:szCs w:val="21"/>
                <w:lang w:eastAsia="zh-CN"/>
              </w:rPr>
              <w:t>）</w:t>
            </w:r>
          </w:p>
        </w:tc>
        <w:tc>
          <w:tcPr>
            <w:tcW w:w="4985" w:type="dxa"/>
            <w:noWrap w:val="0"/>
            <w:vAlign w:val="center"/>
          </w:tcPr>
          <w:p>
            <w:pPr>
              <w:widowControl/>
              <w:tabs>
                <w:tab w:val="left" w:pos="720"/>
              </w:tabs>
              <w:adjustRightInd w:val="0"/>
              <w:spacing w:before="120" w:beforeLines="50" w:line="360" w:lineRule="auto"/>
              <w:rPr>
                <w:rFonts w:hint="eastAsia"/>
                <w:sz w:val="21"/>
                <w:szCs w:val="21"/>
              </w:rPr>
            </w:pPr>
            <w:r>
              <w:rPr>
                <w:rFonts w:hint="eastAsia"/>
                <w:sz w:val="21"/>
                <w:szCs w:val="21"/>
              </w:rPr>
              <w:t>优：有进度保证措施和进度保证体系，进度保证体系完善，得3分；</w:t>
            </w:r>
          </w:p>
          <w:p>
            <w:pPr>
              <w:widowControl/>
              <w:tabs>
                <w:tab w:val="left" w:pos="720"/>
              </w:tabs>
              <w:adjustRightInd w:val="0"/>
              <w:spacing w:before="120" w:beforeLines="50" w:line="360" w:lineRule="auto"/>
              <w:rPr>
                <w:rFonts w:hint="eastAsia"/>
                <w:sz w:val="21"/>
                <w:szCs w:val="21"/>
              </w:rPr>
            </w:pPr>
            <w:r>
              <w:rPr>
                <w:rFonts w:hint="eastAsia"/>
                <w:sz w:val="21"/>
                <w:szCs w:val="21"/>
              </w:rPr>
              <w:t>良：有进度保证措施和进度保证体系，进度保证体系较完善，得2分；</w:t>
            </w:r>
          </w:p>
          <w:p>
            <w:pPr>
              <w:widowControl/>
              <w:tabs>
                <w:tab w:val="left" w:pos="720"/>
              </w:tabs>
              <w:adjustRightInd w:val="0"/>
              <w:spacing w:before="120" w:beforeLines="50" w:line="360" w:lineRule="auto"/>
              <w:rPr>
                <w:rFonts w:hint="eastAsia"/>
                <w:sz w:val="21"/>
                <w:szCs w:val="21"/>
              </w:rPr>
            </w:pPr>
            <w:r>
              <w:rPr>
                <w:rFonts w:hint="eastAsia"/>
                <w:sz w:val="21"/>
                <w:szCs w:val="21"/>
              </w:rPr>
              <w:t>中：有进度保证措施和进度保证体系，进度保证体系一般，得1分；</w:t>
            </w:r>
          </w:p>
          <w:p>
            <w:pPr>
              <w:widowControl/>
              <w:tabs>
                <w:tab w:val="left" w:pos="720"/>
              </w:tabs>
              <w:adjustRightInd w:val="0"/>
              <w:spacing w:before="120" w:beforeLines="50" w:line="360" w:lineRule="auto"/>
              <w:rPr>
                <w:sz w:val="21"/>
                <w:szCs w:val="21"/>
              </w:rPr>
            </w:pPr>
            <w:r>
              <w:rPr>
                <w:rFonts w:hint="eastAsia"/>
                <w:sz w:val="21"/>
                <w:szCs w:val="21"/>
              </w:rPr>
              <w:t>差：不满足前述要求者，不得分。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06" w:type="dxa"/>
            <w:vMerge w:val="continue"/>
            <w:noWrap w:val="0"/>
            <w:vAlign w:val="center"/>
          </w:tcPr>
          <w:p>
            <w:pPr>
              <w:widowControl/>
              <w:tabs>
                <w:tab w:val="left" w:pos="720"/>
              </w:tabs>
              <w:adjustRightInd w:val="0"/>
              <w:spacing w:before="120" w:beforeLines="50" w:line="360" w:lineRule="auto"/>
              <w:rPr>
                <w:sz w:val="21"/>
                <w:szCs w:val="21"/>
              </w:rPr>
            </w:pPr>
          </w:p>
        </w:tc>
        <w:tc>
          <w:tcPr>
            <w:tcW w:w="1068" w:type="dxa"/>
            <w:vMerge w:val="continue"/>
            <w:noWrap w:val="0"/>
            <w:vAlign w:val="center"/>
          </w:tcPr>
          <w:p>
            <w:pPr>
              <w:widowControl/>
              <w:tabs>
                <w:tab w:val="left" w:pos="720"/>
              </w:tabs>
              <w:adjustRightInd w:val="0"/>
              <w:spacing w:before="120" w:beforeLines="50" w:line="360" w:lineRule="auto"/>
              <w:rPr>
                <w:sz w:val="21"/>
                <w:szCs w:val="21"/>
              </w:rPr>
            </w:pPr>
          </w:p>
        </w:tc>
        <w:tc>
          <w:tcPr>
            <w:tcW w:w="1356" w:type="dxa"/>
            <w:vMerge w:val="continue"/>
            <w:noWrap w:val="0"/>
            <w:vAlign w:val="center"/>
          </w:tcPr>
          <w:p>
            <w:pPr>
              <w:widowControl/>
              <w:tabs>
                <w:tab w:val="left" w:pos="720"/>
              </w:tabs>
              <w:adjustRightInd w:val="0"/>
              <w:spacing w:before="120" w:beforeLines="50" w:line="360" w:lineRule="auto"/>
              <w:rPr>
                <w:sz w:val="21"/>
                <w:szCs w:val="21"/>
              </w:rPr>
            </w:pPr>
          </w:p>
        </w:tc>
        <w:tc>
          <w:tcPr>
            <w:tcW w:w="1272" w:type="dxa"/>
            <w:noWrap w:val="0"/>
            <w:vAlign w:val="center"/>
          </w:tcPr>
          <w:p>
            <w:pPr>
              <w:widowControl/>
              <w:tabs>
                <w:tab w:val="left" w:pos="720"/>
              </w:tabs>
              <w:adjustRightInd w:val="0"/>
              <w:spacing w:before="120" w:beforeLines="50" w:line="360" w:lineRule="auto"/>
              <w:rPr>
                <w:rFonts w:hint="eastAsia" w:eastAsia="宋体"/>
                <w:sz w:val="21"/>
                <w:szCs w:val="21"/>
                <w:lang w:eastAsia="zh-CN"/>
              </w:rPr>
            </w:pPr>
            <w:r>
              <w:rPr>
                <w:rFonts w:hint="eastAsia"/>
                <w:sz w:val="21"/>
                <w:szCs w:val="21"/>
              </w:rPr>
              <w:t>设备投入情况</w:t>
            </w:r>
            <w:r>
              <w:rPr>
                <w:rFonts w:hint="eastAsia"/>
                <w:sz w:val="21"/>
                <w:szCs w:val="21"/>
                <w:lang w:eastAsia="zh-CN"/>
              </w:rPr>
              <w:t>（</w:t>
            </w:r>
            <w:r>
              <w:rPr>
                <w:rFonts w:hint="eastAsia"/>
                <w:sz w:val="21"/>
                <w:szCs w:val="21"/>
                <w:lang w:val="en-US" w:eastAsia="zh-CN"/>
              </w:rPr>
              <w:t>5分</w:t>
            </w:r>
            <w:r>
              <w:rPr>
                <w:rFonts w:hint="eastAsia"/>
                <w:sz w:val="21"/>
                <w:szCs w:val="21"/>
                <w:lang w:eastAsia="zh-CN"/>
              </w:rPr>
              <w:t>）</w:t>
            </w:r>
          </w:p>
        </w:tc>
        <w:tc>
          <w:tcPr>
            <w:tcW w:w="4985" w:type="dxa"/>
            <w:noWrap w:val="0"/>
            <w:vAlign w:val="center"/>
          </w:tcPr>
          <w:p>
            <w:pPr>
              <w:widowControl/>
              <w:tabs>
                <w:tab w:val="left" w:pos="720"/>
              </w:tabs>
              <w:adjustRightInd w:val="0"/>
              <w:spacing w:before="120" w:beforeLines="50" w:line="360" w:lineRule="auto"/>
              <w:rPr>
                <w:rFonts w:hint="eastAsia"/>
                <w:sz w:val="21"/>
                <w:szCs w:val="21"/>
              </w:rPr>
            </w:pPr>
            <w:r>
              <w:rPr>
                <w:rFonts w:hint="eastAsia"/>
                <w:sz w:val="21"/>
                <w:szCs w:val="21"/>
              </w:rPr>
              <w:t>优：拟投入检测（监测）设备先进、配备合理，完全满足服务要求，得[5，4)分；</w:t>
            </w:r>
          </w:p>
          <w:p>
            <w:pPr>
              <w:widowControl/>
              <w:tabs>
                <w:tab w:val="left" w:pos="720"/>
              </w:tabs>
              <w:adjustRightInd w:val="0"/>
              <w:spacing w:before="120" w:beforeLines="50" w:line="360" w:lineRule="auto"/>
              <w:rPr>
                <w:rFonts w:hint="eastAsia"/>
                <w:sz w:val="21"/>
                <w:szCs w:val="21"/>
              </w:rPr>
            </w:pPr>
            <w:r>
              <w:rPr>
                <w:rFonts w:hint="eastAsia"/>
                <w:sz w:val="21"/>
                <w:szCs w:val="21"/>
              </w:rPr>
              <w:t>良：拟投入检测（监测）设备较先进、配备较合理，能较好满足服务要求，得[4，3)分；</w:t>
            </w:r>
          </w:p>
          <w:p>
            <w:pPr>
              <w:widowControl/>
              <w:tabs>
                <w:tab w:val="left" w:pos="720"/>
              </w:tabs>
              <w:adjustRightInd w:val="0"/>
              <w:spacing w:before="120" w:beforeLines="50" w:line="360" w:lineRule="auto"/>
              <w:rPr>
                <w:rFonts w:hint="eastAsia"/>
                <w:sz w:val="21"/>
                <w:szCs w:val="21"/>
              </w:rPr>
            </w:pPr>
            <w:r>
              <w:rPr>
                <w:rFonts w:hint="eastAsia"/>
                <w:sz w:val="21"/>
                <w:szCs w:val="21"/>
              </w:rPr>
              <w:t>中：拟投入检测（监测）设备略先进、配备基本合理，基本满足服务要求，得[3,1）分；</w:t>
            </w:r>
          </w:p>
          <w:p>
            <w:pPr>
              <w:widowControl/>
              <w:tabs>
                <w:tab w:val="left" w:pos="720"/>
              </w:tabs>
              <w:adjustRightInd w:val="0"/>
              <w:spacing w:before="120" w:beforeLines="50" w:line="360" w:lineRule="auto"/>
              <w:rPr>
                <w:rFonts w:hint="eastAsia"/>
                <w:sz w:val="21"/>
                <w:szCs w:val="21"/>
              </w:rPr>
            </w:pPr>
            <w:r>
              <w:rPr>
                <w:rFonts w:hint="eastAsia"/>
                <w:sz w:val="21"/>
                <w:szCs w:val="21"/>
              </w:rPr>
              <w:t>差：拟投入设备有欠缺，无法满足服务要求，得[1,0]分。</w:t>
            </w:r>
          </w:p>
          <w:p>
            <w:pPr>
              <w:widowControl/>
              <w:tabs>
                <w:tab w:val="left" w:pos="720"/>
              </w:tabs>
              <w:adjustRightInd w:val="0"/>
              <w:spacing w:before="120" w:beforeLines="50" w:line="360" w:lineRule="auto"/>
              <w:rPr>
                <w:sz w:val="21"/>
                <w:szCs w:val="21"/>
              </w:rPr>
            </w:pPr>
            <w:r>
              <w:rPr>
                <w:rFonts w:hint="eastAsia"/>
                <w:sz w:val="21"/>
                <w:szCs w:val="21"/>
              </w:rPr>
              <w:t>注：需提交设备购置发票（或租赁证明）、仪器检定证书或其他证明材料的清晰扫描件；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restart"/>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2.2.4</w:t>
            </w:r>
          </w:p>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（3）</w:t>
            </w:r>
          </w:p>
        </w:tc>
        <w:tc>
          <w:tcPr>
            <w:tcW w:w="1068" w:type="dxa"/>
            <w:vMerge w:val="restart"/>
            <w:noWrap w:val="0"/>
            <w:vAlign w:val="center"/>
          </w:tcPr>
          <w:p>
            <w:pPr>
              <w:adjustRightInd w:val="0"/>
              <w:spacing w:before="120" w:beforeLines="50" w:line="360" w:lineRule="auto"/>
              <w:jc w:val="center"/>
              <w:rPr>
                <w:rFonts w:ascii="宋体" w:hAnsi="宋体" w:cs="宋体"/>
                <w:color w:val="auto"/>
                <w:sz w:val="21"/>
                <w:szCs w:val="21"/>
              </w:rPr>
            </w:pPr>
            <w:r>
              <w:rPr>
                <w:rFonts w:hint="eastAsia" w:ascii="宋体" w:hAnsi="宋体" w:cs="宋体"/>
                <w:color w:val="auto"/>
                <w:sz w:val="21"/>
                <w:szCs w:val="21"/>
              </w:rPr>
              <w:t>投标报价评分标准（20分）</w:t>
            </w:r>
          </w:p>
        </w:tc>
        <w:tc>
          <w:tcPr>
            <w:tcW w:w="1356" w:type="dxa"/>
            <w:noWrap w:val="0"/>
            <w:vAlign w:val="center"/>
          </w:tcPr>
          <w:p>
            <w:pPr>
              <w:adjustRightInd w:val="0"/>
              <w:spacing w:before="120" w:beforeLines="50" w:line="360" w:lineRule="auto"/>
              <w:jc w:val="center"/>
              <w:rPr>
                <w:rFonts w:ascii="宋体" w:hAnsi="宋体" w:cs="宋体"/>
                <w:color w:val="auto"/>
                <w:sz w:val="21"/>
                <w:szCs w:val="21"/>
                <w:lang w:val="zh-CN"/>
              </w:rPr>
            </w:pPr>
            <w:r>
              <w:rPr>
                <w:rFonts w:hint="eastAsia" w:ascii="宋体" w:hAnsi="宋体" w:cs="宋体"/>
                <w:color w:val="auto"/>
                <w:sz w:val="21"/>
                <w:szCs w:val="21"/>
                <w:lang w:val="zh-CN"/>
              </w:rPr>
              <w:t>偏差率</w:t>
            </w:r>
          </w:p>
        </w:tc>
        <w:tc>
          <w:tcPr>
            <w:tcW w:w="6257" w:type="dxa"/>
            <w:gridSpan w:val="2"/>
            <w:noWrap w:val="0"/>
            <w:vAlign w:val="center"/>
          </w:tcPr>
          <w:p>
            <w:pPr>
              <w:widowControl/>
              <w:tabs>
                <w:tab w:val="left" w:pos="720"/>
              </w:tabs>
              <w:adjustRightInd w:val="0"/>
              <w:spacing w:before="120" w:beforeLines="50" w:line="360" w:lineRule="auto"/>
              <w:rPr>
                <w:rFonts w:ascii="宋体" w:hAnsi="宋体" w:cs="宋体"/>
                <w:color w:val="auto"/>
                <w:sz w:val="21"/>
                <w:szCs w:val="21"/>
                <w:lang w:val="zh-CN"/>
              </w:rPr>
            </w:pPr>
            <w:r>
              <w:rPr>
                <w:rFonts w:hint="eastAsia" w:ascii="宋体" w:hAnsi="宋体" w:cs="宋体"/>
                <w:color w:val="auto"/>
                <w:sz w:val="21"/>
                <w:szCs w:val="21"/>
                <w:lang w:val="zh-CN"/>
              </w:rPr>
              <w:t>偏差率=∣投标报价-评标基准价∣/评标基准价*100%</w:t>
            </w:r>
          </w:p>
          <w:p>
            <w:pPr>
              <w:widowControl/>
              <w:tabs>
                <w:tab w:val="left" w:pos="720"/>
              </w:tabs>
              <w:adjustRightInd w:val="0"/>
              <w:spacing w:before="120" w:beforeLines="50" w:line="360" w:lineRule="auto"/>
              <w:rPr>
                <w:rFonts w:ascii="宋体" w:hAnsi="宋体" w:cs="宋体"/>
                <w:color w:val="auto"/>
                <w:sz w:val="21"/>
                <w:szCs w:val="21"/>
                <w:lang w:val="zh-CN"/>
              </w:rPr>
            </w:pPr>
            <w:r>
              <w:rPr>
                <w:rFonts w:hint="eastAsia" w:ascii="宋体" w:hAnsi="宋体" w:cs="宋体"/>
                <w:color w:val="auto"/>
                <w:sz w:val="21"/>
                <w:szCs w:val="21"/>
                <w:lang w:val="zh-CN"/>
              </w:rPr>
              <w:t>偏差率四舍五入保留2位小数，报价偏差率不足1%的，按直线内插法计算投标报价得分。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068" w:type="dxa"/>
            <w:vMerge w:val="continue"/>
            <w:noWrap w:val="0"/>
            <w:vAlign w:val="center"/>
          </w:tcPr>
          <w:p>
            <w:pPr>
              <w:adjustRightInd w:val="0"/>
              <w:spacing w:before="120" w:beforeLines="50" w:line="360" w:lineRule="auto"/>
              <w:jc w:val="center"/>
              <w:rPr>
                <w:rFonts w:ascii="宋体" w:hAnsi="宋体" w:cs="宋体"/>
                <w:color w:val="auto"/>
                <w:sz w:val="21"/>
                <w:szCs w:val="21"/>
              </w:rPr>
            </w:pPr>
          </w:p>
        </w:tc>
        <w:tc>
          <w:tcPr>
            <w:tcW w:w="1356" w:type="dxa"/>
            <w:noWrap w:val="0"/>
            <w:vAlign w:val="center"/>
          </w:tcPr>
          <w:p>
            <w:pPr>
              <w:adjustRightInd w:val="0"/>
              <w:spacing w:before="120" w:beforeLines="50" w:line="360" w:lineRule="auto"/>
              <w:jc w:val="center"/>
              <w:rPr>
                <w:rFonts w:ascii="宋体" w:hAnsi="宋体" w:cs="宋体"/>
                <w:color w:val="auto"/>
                <w:sz w:val="21"/>
                <w:szCs w:val="21"/>
                <w:lang w:val="zh-CN"/>
              </w:rPr>
            </w:pPr>
            <w:r>
              <w:rPr>
                <w:rFonts w:hint="eastAsia" w:ascii="宋体" w:hAnsi="宋体" w:cs="宋体"/>
                <w:color w:val="auto"/>
                <w:sz w:val="21"/>
                <w:szCs w:val="21"/>
                <w:lang w:val="zh-CN"/>
              </w:rPr>
              <w:t>计算方法</w:t>
            </w:r>
          </w:p>
        </w:tc>
        <w:tc>
          <w:tcPr>
            <w:tcW w:w="6257" w:type="dxa"/>
            <w:gridSpan w:val="2"/>
            <w:noWrap w:val="0"/>
            <w:vAlign w:val="center"/>
          </w:tcPr>
          <w:p>
            <w:pPr>
              <w:widowControl/>
              <w:tabs>
                <w:tab w:val="left" w:pos="720"/>
              </w:tabs>
              <w:adjustRightInd w:val="0"/>
              <w:spacing w:before="120" w:beforeLines="50" w:line="360" w:lineRule="auto"/>
              <w:rPr>
                <w:rFonts w:ascii="宋体" w:hAnsi="宋体" w:cs="宋体"/>
                <w:color w:val="auto"/>
                <w:sz w:val="21"/>
                <w:szCs w:val="21"/>
                <w:lang w:val="zh-CN"/>
              </w:rPr>
            </w:pPr>
            <w:r>
              <w:rPr>
                <w:rFonts w:hint="eastAsia" w:ascii="宋体" w:hAnsi="宋体" w:cs="宋体"/>
                <w:color w:val="auto"/>
                <w:sz w:val="21"/>
                <w:szCs w:val="21"/>
                <w:lang w:val="zh-CN"/>
              </w:rPr>
              <w:t>以评标参考价作为计算各有效投标报价得分的基础，当有效投标报价等于评标参考价时得</w:t>
            </w:r>
            <w:r>
              <w:rPr>
                <w:rFonts w:hint="eastAsia" w:ascii="宋体" w:hAnsi="宋体" w:cs="宋体"/>
                <w:color w:val="auto"/>
                <w:sz w:val="21"/>
                <w:szCs w:val="21"/>
              </w:rPr>
              <w:t>2</w:t>
            </w:r>
            <w:r>
              <w:rPr>
                <w:rFonts w:hint="eastAsia" w:ascii="宋体" w:hAnsi="宋体" w:cs="宋体"/>
                <w:color w:val="auto"/>
                <w:sz w:val="21"/>
                <w:szCs w:val="21"/>
                <w:lang w:val="zh-CN"/>
              </w:rPr>
              <w:t>0分；投标有效报价与评标参考价之差，每上偏1%扣</w:t>
            </w:r>
            <w:r>
              <w:rPr>
                <w:rFonts w:ascii="宋体" w:hAnsi="宋体" w:cs="宋体"/>
                <w:color w:val="auto"/>
                <w:sz w:val="21"/>
                <w:szCs w:val="21"/>
              </w:rPr>
              <w:t>1</w:t>
            </w:r>
            <w:r>
              <w:rPr>
                <w:rFonts w:hint="eastAsia" w:ascii="宋体" w:hAnsi="宋体" w:cs="宋体"/>
                <w:color w:val="auto"/>
                <w:sz w:val="21"/>
                <w:szCs w:val="21"/>
                <w:lang w:val="zh-CN"/>
              </w:rPr>
              <w:t>分，下偏1%扣0.5分；最多减至0分止。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gridSpan w:val="5"/>
            <w:noWrap w:val="0"/>
            <w:vAlign w:val="center"/>
          </w:tcPr>
          <w:p>
            <w:pPr>
              <w:spacing w:line="440" w:lineRule="exact"/>
              <w:rPr>
                <w:rFonts w:ascii="宋体" w:hAnsi="宋体" w:cs="宋体"/>
                <w:color w:val="auto"/>
                <w:sz w:val="21"/>
                <w:szCs w:val="21"/>
              </w:rPr>
            </w:pPr>
            <w:r>
              <w:rPr>
                <w:rFonts w:hint="eastAsia" w:ascii="宋体" w:hAnsi="宋体" w:cs="宋体"/>
                <w:color w:val="auto"/>
                <w:sz w:val="21"/>
                <w:szCs w:val="21"/>
              </w:rPr>
              <w:t>说明：1、投标单位的评分确定方式：投标人的得分为各评委的评分去掉一个最高分和一个最低分后计取的算术平均分（分数出现小数点时，保留小数点后二位，第三位小数四舍五入）。</w:t>
            </w:r>
          </w:p>
          <w:p>
            <w:pPr>
              <w:spacing w:line="440" w:lineRule="exact"/>
              <w:rPr>
                <w:rFonts w:ascii="宋体" w:hAnsi="宋体" w:cs="宋体"/>
                <w:color w:val="auto"/>
                <w:sz w:val="21"/>
                <w:szCs w:val="21"/>
              </w:rPr>
            </w:pPr>
            <w:r>
              <w:rPr>
                <w:rFonts w:hint="eastAsia" w:ascii="宋体" w:hAnsi="宋体" w:cs="宋体"/>
                <w:color w:val="auto"/>
                <w:sz w:val="21"/>
                <w:szCs w:val="21"/>
              </w:rPr>
              <w:t>2、类似项目业绩是指包含本次招标内容中的一项或多项的建设工程质量检测（或监测）业绩，需提供服务合同、检测（或监测）报告关键页等清晰的证明材料扫描件。业绩时间、金额以合同签订时间为准，并加盖投标人电子公章。</w:t>
            </w:r>
          </w:p>
          <w:p>
            <w:pPr>
              <w:pStyle w:val="2"/>
              <w:spacing w:line="440" w:lineRule="exact"/>
              <w:ind w:firstLine="0"/>
              <w:rPr>
                <w:rFonts w:ascii="宋体" w:hAnsi="宋体" w:cs="宋体"/>
                <w:color w:val="auto"/>
                <w:sz w:val="21"/>
                <w:szCs w:val="21"/>
              </w:rPr>
            </w:pPr>
            <w:r>
              <w:rPr>
                <w:rFonts w:hint="eastAsia" w:ascii="宋体" w:hAnsi="宋体" w:cs="宋体"/>
                <w:color w:val="auto"/>
                <w:sz w:val="21"/>
                <w:szCs w:val="21"/>
              </w:rPr>
              <w:t>3、本项目的项目负责人与技术负责人不能为同一人。如委派项目负责人与技术负责人为同一人，以项目负责人评分项计算得分、技术负责人评分项零分。拟投入本项目的人员需提供职称证、相关检测员证及</w:t>
            </w:r>
            <w:r>
              <w:rPr>
                <w:rFonts w:hint="eastAsia" w:ascii="宋体" w:hAnsi="宋体" w:cs="宋体"/>
                <w:color w:val="auto"/>
                <w:sz w:val="21"/>
                <w:szCs w:val="21"/>
                <w:lang w:val="en-US" w:eastAsia="zh-CN"/>
              </w:rPr>
              <w:t>1个</w:t>
            </w:r>
            <w:r>
              <w:rPr>
                <w:rFonts w:hint="eastAsia" w:ascii="宋体" w:hAnsi="宋体" w:cs="宋体"/>
                <w:color w:val="auto"/>
                <w:sz w:val="21"/>
                <w:szCs w:val="21"/>
                <w:highlight w:val="none"/>
                <w:lang w:val="en-US" w:eastAsia="zh-CN"/>
              </w:rPr>
              <w:t>月</w:t>
            </w:r>
            <w:r>
              <w:rPr>
                <w:rFonts w:hint="eastAsia" w:ascii="宋体" w:hAnsi="宋体" w:cs="宋体"/>
                <w:color w:val="auto"/>
                <w:sz w:val="21"/>
                <w:szCs w:val="21"/>
                <w:highlight w:val="none"/>
              </w:rPr>
              <w:t>（2</w:t>
            </w:r>
            <w:r>
              <w:rPr>
                <w:rFonts w:ascii="宋体" w:hAnsi="宋体" w:cs="宋体"/>
                <w:color w:val="auto"/>
                <w:sz w:val="21"/>
                <w:szCs w:val="21"/>
                <w:highlight w:val="none"/>
              </w:rPr>
              <w:t>023</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月）或以上有效</w:t>
            </w:r>
            <w:r>
              <w:rPr>
                <w:rFonts w:hint="eastAsia" w:ascii="宋体" w:hAnsi="宋体" w:cs="宋体"/>
                <w:color w:val="auto"/>
                <w:sz w:val="21"/>
                <w:szCs w:val="21"/>
              </w:rPr>
              <w:t>的所在投标单位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w:t>
            </w:r>
          </w:p>
          <w:p>
            <w:pPr>
              <w:spacing w:line="360" w:lineRule="exact"/>
              <w:ind w:right="84" w:rightChars="40"/>
              <w:rPr>
                <w:rFonts w:ascii="宋体" w:hAnsi="宋体" w:cs="宋体"/>
                <w:color w:val="auto"/>
                <w:sz w:val="21"/>
                <w:szCs w:val="21"/>
              </w:rPr>
            </w:pPr>
            <w:r>
              <w:rPr>
                <w:rFonts w:hint="eastAsia" w:ascii="宋体" w:hAnsi="宋体" w:cs="宋体"/>
                <w:color w:val="auto"/>
                <w:sz w:val="21"/>
                <w:szCs w:val="21"/>
              </w:rPr>
              <w:t>4、若以联合体方式参与投标的，项目负责人、技术负责人的评分内容以联合体主办方信息为准，其他成员单位不进行累计计分；主要技术人员、拟投入本项目的检测、监测仪器设备的评分内容联合体各成员可以累计加分；相关检测员证是指涉及本项目招标范围内的检测项目（如</w:t>
            </w:r>
            <w:r>
              <w:rPr>
                <w:rFonts w:hint="eastAsia" w:ascii="宋体" w:hAnsi="宋体" w:cs="宋体"/>
                <w:color w:val="auto"/>
                <w:sz w:val="21"/>
                <w:szCs w:val="21"/>
                <w:u w:val="single"/>
              </w:rPr>
              <w:t>见证取样检测、地基基础工程检测、主体结构工程现场检测、钢结构工程检测</w:t>
            </w:r>
            <w:r>
              <w:rPr>
                <w:rFonts w:hint="eastAsia" w:ascii="宋体" w:hAnsi="宋体" w:cs="宋体"/>
                <w:color w:val="auto"/>
                <w:sz w:val="21"/>
                <w:szCs w:val="21"/>
              </w:rPr>
              <w:t>）中的一项或多项的检测员证。</w:t>
            </w:r>
          </w:p>
          <w:p>
            <w:pPr>
              <w:spacing w:line="360" w:lineRule="exact"/>
              <w:ind w:right="84" w:rightChars="40"/>
              <w:rPr>
                <w:rFonts w:ascii="宋体" w:hAnsi="宋体" w:cs="宋体"/>
                <w:color w:val="auto"/>
                <w:sz w:val="21"/>
                <w:szCs w:val="21"/>
              </w:rPr>
            </w:pPr>
            <w:r>
              <w:rPr>
                <w:rFonts w:hint="eastAsia" w:ascii="宋体" w:hAnsi="宋体" w:cs="宋体"/>
                <w:color w:val="auto"/>
                <w:sz w:val="21"/>
                <w:szCs w:val="21"/>
              </w:rPr>
              <w:t>5、检测设备的情况说明：</w:t>
            </w:r>
          </w:p>
          <w:p>
            <w:pPr>
              <w:spacing w:line="360" w:lineRule="exact"/>
              <w:ind w:right="84" w:rightChars="40"/>
              <w:rPr>
                <w:rFonts w:ascii="宋体" w:hAnsi="宋体" w:cs="宋体"/>
                <w:color w:val="auto"/>
                <w:sz w:val="21"/>
                <w:szCs w:val="21"/>
              </w:rPr>
            </w:pPr>
            <w:r>
              <w:rPr>
                <w:rFonts w:hint="eastAsia" w:ascii="宋体" w:hAnsi="宋体" w:cs="宋体"/>
                <w:color w:val="auto"/>
                <w:sz w:val="21"/>
                <w:szCs w:val="21"/>
              </w:rPr>
              <w:t>① 要求投标人同时提供发票（或租赁合同）和检定校准证书扫描件；</w:t>
            </w:r>
          </w:p>
          <w:p>
            <w:pPr>
              <w:spacing w:line="360" w:lineRule="exact"/>
              <w:ind w:right="84" w:rightChars="40"/>
              <w:rPr>
                <w:rFonts w:ascii="宋体" w:hAnsi="宋体" w:cs="宋体"/>
                <w:color w:val="auto"/>
                <w:sz w:val="21"/>
                <w:szCs w:val="21"/>
              </w:rPr>
            </w:pPr>
            <w:r>
              <w:rPr>
                <w:rFonts w:hint="eastAsia" w:ascii="宋体" w:hAnsi="宋体" w:cs="宋体"/>
                <w:color w:val="auto"/>
                <w:sz w:val="21"/>
                <w:szCs w:val="21"/>
              </w:rPr>
              <w:t>② 仪器发票开具发票单位或租赁使用单位如果和投标人不一致时，开具发票单位或租赁使用单位必须与投标人同为一个相同的法人单位，并附单位营业执照等相关证明文件；</w:t>
            </w:r>
          </w:p>
          <w:p>
            <w:pPr>
              <w:spacing w:line="360" w:lineRule="exact"/>
              <w:ind w:right="84" w:rightChars="40"/>
              <w:rPr>
                <w:rFonts w:ascii="宋体" w:hAnsi="宋体" w:cs="宋体"/>
                <w:color w:val="auto"/>
                <w:sz w:val="21"/>
                <w:szCs w:val="21"/>
              </w:rPr>
            </w:pPr>
            <w:r>
              <w:rPr>
                <w:rFonts w:hint="eastAsia" w:ascii="宋体" w:hAnsi="宋体" w:cs="宋体"/>
                <w:color w:val="auto"/>
                <w:sz w:val="21"/>
                <w:szCs w:val="21"/>
              </w:rPr>
              <w:t>③ 检定证书送检单位必须与投标人一致，否则不予认可。</w:t>
            </w:r>
          </w:p>
          <w:p>
            <w:pPr>
              <w:pStyle w:val="2"/>
              <w:adjustRightInd w:val="0"/>
              <w:spacing w:before="120" w:beforeLines="50" w:after="0" w:line="360" w:lineRule="auto"/>
              <w:ind w:firstLine="0"/>
              <w:jc w:val="left"/>
              <w:rPr>
                <w:rFonts w:ascii="宋体" w:hAnsi="宋体" w:cs="宋体"/>
                <w:color w:val="auto"/>
                <w:sz w:val="21"/>
                <w:szCs w:val="21"/>
              </w:rPr>
            </w:pPr>
            <w:r>
              <w:rPr>
                <w:rFonts w:hint="eastAsia" w:ascii="宋体" w:hAnsi="宋体" w:cs="宋体"/>
                <w:color w:val="auto"/>
                <w:sz w:val="21"/>
                <w:szCs w:val="21"/>
              </w:rPr>
              <w:t>6、评分如出现小数点，则保留小数点后两位，第三位四舍五入。</w:t>
            </w:r>
          </w:p>
        </w:tc>
      </w:tr>
    </w:tbl>
    <w:p>
      <w:pPr>
        <w:pStyle w:val="5"/>
        <w:keepNext w:val="0"/>
        <w:keepLines w:val="0"/>
        <w:jc w:val="center"/>
        <w:rPr>
          <w:rFonts w:ascii="宋体" w:hAnsi="宋体" w:eastAsia="宋体" w:cs="宋体"/>
          <w:sz w:val="84"/>
          <w:szCs w:val="84"/>
        </w:rPr>
      </w:pPr>
      <w:bookmarkStart w:id="164" w:name="_Toc16761"/>
      <w:bookmarkStart w:id="165" w:name="_Toc6317"/>
      <w:bookmarkStart w:id="166" w:name="_Toc38224851"/>
      <w:bookmarkStart w:id="167" w:name="_Toc25831"/>
      <w:bookmarkStart w:id="168" w:name="_Toc26875"/>
      <w:bookmarkStart w:id="169" w:name="_Toc28853"/>
      <w:bookmarkStart w:id="170" w:name="_Toc27844"/>
      <w:bookmarkStart w:id="171" w:name="_Toc12458"/>
      <w:bookmarkStart w:id="172" w:name="_Toc525063256"/>
      <w:bookmarkStart w:id="173" w:name="_Toc532367883"/>
      <w:r>
        <w:rPr>
          <w:rFonts w:hint="eastAsia" w:ascii="宋体" w:hAnsi="宋体" w:eastAsia="宋体" w:cs="宋体"/>
        </w:rPr>
        <w:br w:type="page"/>
      </w:r>
      <w:r>
        <w:rPr>
          <w:rFonts w:hint="eastAsia" w:ascii="宋体" w:hAnsi="宋体" w:eastAsia="宋体" w:cs="宋体"/>
        </w:rPr>
        <w:t>评标方法</w:t>
      </w:r>
      <w:bookmarkEnd w:id="164"/>
      <w:bookmarkEnd w:id="165"/>
      <w:bookmarkEnd w:id="166"/>
      <w:bookmarkEnd w:id="167"/>
      <w:bookmarkEnd w:id="168"/>
      <w:bookmarkEnd w:id="169"/>
      <w:bookmarkEnd w:id="170"/>
      <w:bookmarkEnd w:id="171"/>
      <w:bookmarkEnd w:id="172"/>
      <w:bookmarkEnd w:id="173"/>
      <w:r>
        <w:rPr>
          <w:rFonts w:hint="eastAsia" w:ascii="宋体" w:hAnsi="宋体" w:eastAsia="宋体" w:cs="宋体"/>
          <w:b w:val="0"/>
          <w:sz w:val="44"/>
          <w:szCs w:val="44"/>
        </w:rPr>
        <w:t>　</w:t>
      </w:r>
    </w:p>
    <w:p>
      <w:pPr>
        <w:keepNext/>
        <w:keepLines/>
        <w:spacing w:before="120" w:after="120"/>
        <w:jc w:val="left"/>
        <w:outlineLvl w:val="1"/>
        <w:rPr>
          <w:rFonts w:ascii="宋体" w:hAnsi="宋体" w:cs="宋体"/>
          <w:b/>
          <w:bCs/>
          <w:sz w:val="40"/>
          <w:szCs w:val="32"/>
        </w:rPr>
      </w:pPr>
      <w:bookmarkStart w:id="174" w:name="_Toc38224852"/>
      <w:bookmarkStart w:id="175" w:name="_Toc5223"/>
      <w:r>
        <w:rPr>
          <w:rFonts w:hint="eastAsia" w:ascii="宋体" w:hAnsi="宋体" w:cs="宋体"/>
          <w:b/>
          <w:bCs/>
          <w:sz w:val="28"/>
        </w:rPr>
        <w:t>1.评标方法</w:t>
      </w:r>
      <w:bookmarkEnd w:id="174"/>
      <w:bookmarkEnd w:id="175"/>
    </w:p>
    <w:p>
      <w:pPr>
        <w:snapToGrid w:val="0"/>
        <w:spacing w:line="360" w:lineRule="auto"/>
        <w:ind w:firstLine="440" w:firstLineChars="200"/>
        <w:rPr>
          <w:rFonts w:ascii="宋体" w:hAnsi="宋体" w:cs="宋体"/>
          <w:sz w:val="24"/>
          <w:szCs w:val="24"/>
        </w:rPr>
      </w:pPr>
      <w:r>
        <w:rPr>
          <w:rFonts w:hint="eastAsia" w:ascii="宋体" w:hAnsi="宋体" w:cs="宋体"/>
          <w:sz w:val="22"/>
        </w:rPr>
        <w:t>本次评标采用综合评分法。评标委员会对满足招标文件实质性要求的投标文件，按照本章第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则诚信综合评价排名得分高的排前；若诚信综合评价排名得分相同时，则投标报价得分高的排前；若投标报价得分相同，则技术部分得分高的排前；若诚信综合评价排名得分、投标报价得分和技术部分得分均相同，则对具有相同情况的投标人，按中标候选人数量规定，由评标委员会采用记名投票方式，确定中标候选人的排序。</w:t>
      </w:r>
    </w:p>
    <w:p>
      <w:pPr>
        <w:keepNext/>
        <w:keepLines/>
        <w:spacing w:before="120" w:after="120"/>
        <w:jc w:val="left"/>
        <w:outlineLvl w:val="1"/>
        <w:rPr>
          <w:rFonts w:ascii="宋体" w:hAnsi="宋体" w:cs="宋体"/>
          <w:b/>
          <w:bCs/>
          <w:sz w:val="40"/>
          <w:szCs w:val="32"/>
        </w:rPr>
      </w:pPr>
      <w:bookmarkStart w:id="176" w:name="_Toc23335"/>
      <w:bookmarkStart w:id="177" w:name="_Toc38224853"/>
      <w:r>
        <w:rPr>
          <w:rFonts w:hint="eastAsia" w:ascii="宋体" w:hAnsi="宋体" w:cs="宋体"/>
          <w:b/>
          <w:bCs/>
          <w:sz w:val="28"/>
          <w:szCs w:val="28"/>
        </w:rPr>
        <w:t>2.评审标准</w:t>
      </w:r>
      <w:bookmarkEnd w:id="176"/>
      <w:bookmarkEnd w:id="177"/>
    </w:p>
    <w:p>
      <w:pPr>
        <w:keepNext/>
        <w:keepLines/>
        <w:spacing w:line="360" w:lineRule="auto"/>
        <w:jc w:val="left"/>
        <w:outlineLvl w:val="2"/>
        <w:rPr>
          <w:rFonts w:ascii="宋体" w:hAnsi="宋体" w:cs="宋体"/>
          <w:b/>
          <w:bCs/>
          <w:sz w:val="22"/>
        </w:rPr>
      </w:pPr>
      <w:r>
        <w:rPr>
          <w:rFonts w:hint="eastAsia" w:ascii="宋体" w:hAnsi="宋体" w:cs="宋体"/>
          <w:b/>
          <w:bCs/>
          <w:sz w:val="22"/>
        </w:rPr>
        <w:t>2.1 初步评审标准</w:t>
      </w:r>
    </w:p>
    <w:p>
      <w:pPr>
        <w:spacing w:line="360" w:lineRule="auto"/>
        <w:ind w:firstLine="444" w:firstLineChars="202"/>
        <w:jc w:val="left"/>
        <w:rPr>
          <w:rFonts w:ascii="宋体" w:hAnsi="宋体" w:cs="宋体"/>
          <w:sz w:val="22"/>
        </w:rPr>
      </w:pPr>
      <w:r>
        <w:rPr>
          <w:rFonts w:hint="eastAsia" w:ascii="宋体" w:hAnsi="宋体" w:cs="宋体"/>
          <w:sz w:val="22"/>
        </w:rPr>
        <w:t>2.1.1 形式评审标准：见评标办法前附表。</w:t>
      </w:r>
    </w:p>
    <w:p>
      <w:pPr>
        <w:spacing w:line="360" w:lineRule="auto"/>
        <w:ind w:firstLine="444" w:firstLineChars="202"/>
        <w:jc w:val="left"/>
        <w:rPr>
          <w:rFonts w:ascii="宋体" w:hAnsi="宋体" w:cs="宋体"/>
          <w:sz w:val="22"/>
        </w:rPr>
      </w:pPr>
      <w:r>
        <w:rPr>
          <w:rFonts w:hint="eastAsia" w:ascii="宋体" w:hAnsi="宋体" w:cs="宋体"/>
          <w:sz w:val="22"/>
        </w:rPr>
        <w:t>2.1.2 资格评审标准：见评标办法前附表。</w:t>
      </w:r>
    </w:p>
    <w:p>
      <w:pPr>
        <w:spacing w:line="360" w:lineRule="auto"/>
        <w:ind w:firstLine="444" w:firstLineChars="202"/>
        <w:jc w:val="left"/>
        <w:rPr>
          <w:rFonts w:ascii="宋体" w:hAnsi="宋体" w:cs="宋体"/>
          <w:sz w:val="22"/>
        </w:rPr>
      </w:pPr>
      <w:r>
        <w:rPr>
          <w:rFonts w:hint="eastAsia" w:ascii="宋体" w:hAnsi="宋体" w:cs="宋体"/>
          <w:sz w:val="22"/>
        </w:rPr>
        <w:t>2.1.3 响应性评审标准：见评标办法前附表。</w:t>
      </w:r>
    </w:p>
    <w:p>
      <w:pPr>
        <w:keepNext/>
        <w:keepLines/>
        <w:spacing w:line="360" w:lineRule="auto"/>
        <w:jc w:val="left"/>
        <w:outlineLvl w:val="2"/>
        <w:rPr>
          <w:rFonts w:ascii="宋体" w:hAnsi="宋体" w:cs="宋体"/>
          <w:b/>
          <w:bCs/>
          <w:sz w:val="22"/>
        </w:rPr>
      </w:pPr>
      <w:r>
        <w:rPr>
          <w:rFonts w:hint="eastAsia" w:ascii="宋体" w:hAnsi="宋体" w:cs="宋体"/>
          <w:b/>
          <w:bCs/>
          <w:sz w:val="22"/>
        </w:rPr>
        <w:t>2.2 分值构成与评分标准</w:t>
      </w:r>
    </w:p>
    <w:p>
      <w:pPr>
        <w:spacing w:line="360" w:lineRule="auto"/>
        <w:ind w:firstLine="444" w:firstLineChars="202"/>
        <w:jc w:val="left"/>
        <w:rPr>
          <w:rFonts w:ascii="宋体" w:hAnsi="宋体" w:cs="宋体"/>
          <w:sz w:val="22"/>
        </w:rPr>
      </w:pPr>
      <w:r>
        <w:rPr>
          <w:rFonts w:hint="eastAsia" w:ascii="宋体" w:hAnsi="宋体" w:cs="宋体"/>
          <w:sz w:val="22"/>
        </w:rPr>
        <w:t>2.2.1 分值构成</w:t>
      </w:r>
    </w:p>
    <w:p>
      <w:pPr>
        <w:spacing w:line="360" w:lineRule="auto"/>
        <w:ind w:firstLine="440" w:firstLineChars="200"/>
        <w:rPr>
          <w:rFonts w:ascii="宋体" w:hAnsi="宋体" w:cs="宋体"/>
          <w:sz w:val="22"/>
        </w:rPr>
      </w:pPr>
      <w:r>
        <w:rPr>
          <w:rFonts w:hint="eastAsia" w:ascii="宋体" w:hAnsi="宋体" w:cs="宋体"/>
          <w:sz w:val="22"/>
        </w:rPr>
        <w:t>（1）商务部分：见评标办法前附表；</w:t>
      </w:r>
    </w:p>
    <w:p>
      <w:pPr>
        <w:spacing w:line="360" w:lineRule="auto"/>
        <w:ind w:firstLine="440" w:firstLineChars="200"/>
        <w:rPr>
          <w:rFonts w:ascii="宋体" w:hAnsi="宋体" w:cs="宋体"/>
          <w:sz w:val="22"/>
        </w:rPr>
      </w:pPr>
      <w:r>
        <w:rPr>
          <w:rFonts w:hint="eastAsia" w:ascii="宋体" w:hAnsi="宋体" w:cs="宋体"/>
          <w:sz w:val="22"/>
        </w:rPr>
        <w:t>（2）技术部分：见评标办法前附表；</w:t>
      </w:r>
    </w:p>
    <w:p>
      <w:pPr>
        <w:spacing w:line="360" w:lineRule="auto"/>
        <w:ind w:firstLine="440" w:firstLineChars="200"/>
        <w:rPr>
          <w:rFonts w:ascii="宋体" w:hAnsi="宋体" w:cs="宋体"/>
          <w:sz w:val="22"/>
        </w:rPr>
      </w:pPr>
      <w:r>
        <w:rPr>
          <w:rFonts w:hint="eastAsia" w:ascii="宋体" w:hAnsi="宋体" w:cs="宋体"/>
          <w:sz w:val="22"/>
        </w:rPr>
        <w:t>（3）投标报价：见评标办法前附表；</w:t>
      </w:r>
    </w:p>
    <w:p>
      <w:pPr>
        <w:spacing w:line="360" w:lineRule="auto"/>
        <w:ind w:firstLine="444" w:firstLineChars="202"/>
        <w:jc w:val="left"/>
        <w:rPr>
          <w:rFonts w:ascii="宋体" w:hAnsi="宋体" w:cs="宋体"/>
          <w:sz w:val="22"/>
        </w:rPr>
      </w:pPr>
      <w:r>
        <w:rPr>
          <w:rFonts w:hint="eastAsia" w:ascii="宋体" w:hAnsi="宋体" w:cs="宋体"/>
          <w:sz w:val="22"/>
        </w:rPr>
        <w:t>（4）其他评分因素：见评标办法前附表。</w:t>
      </w:r>
    </w:p>
    <w:p>
      <w:pPr>
        <w:spacing w:line="360" w:lineRule="auto"/>
        <w:ind w:firstLine="444" w:firstLineChars="202"/>
        <w:jc w:val="left"/>
        <w:rPr>
          <w:rFonts w:ascii="宋体" w:hAnsi="宋体" w:cs="宋体"/>
          <w:sz w:val="22"/>
        </w:rPr>
      </w:pPr>
      <w:r>
        <w:rPr>
          <w:rFonts w:hint="eastAsia" w:ascii="宋体" w:hAnsi="宋体" w:cs="宋体"/>
          <w:sz w:val="22"/>
        </w:rPr>
        <w:t>2.2.2 评标基准价计算</w:t>
      </w:r>
    </w:p>
    <w:p>
      <w:pPr>
        <w:spacing w:line="360" w:lineRule="auto"/>
        <w:ind w:firstLine="444" w:firstLineChars="202"/>
        <w:jc w:val="left"/>
        <w:rPr>
          <w:rFonts w:ascii="宋体" w:hAnsi="宋体" w:cs="宋体"/>
          <w:sz w:val="22"/>
        </w:rPr>
      </w:pPr>
      <w:r>
        <w:rPr>
          <w:rFonts w:hint="eastAsia" w:ascii="宋体" w:hAnsi="宋体" w:cs="宋体"/>
          <w:sz w:val="22"/>
        </w:rPr>
        <w:t>评标基准价计算方法：见评标办法前附表。</w:t>
      </w:r>
    </w:p>
    <w:p>
      <w:pPr>
        <w:spacing w:line="360" w:lineRule="auto"/>
        <w:ind w:firstLine="444" w:firstLineChars="202"/>
        <w:jc w:val="left"/>
        <w:rPr>
          <w:rFonts w:ascii="宋体" w:hAnsi="宋体" w:cs="宋体"/>
          <w:sz w:val="22"/>
        </w:rPr>
      </w:pPr>
      <w:r>
        <w:rPr>
          <w:rFonts w:hint="eastAsia" w:ascii="宋体" w:hAnsi="宋体" w:cs="宋体"/>
          <w:sz w:val="22"/>
        </w:rPr>
        <w:t>2.2.3 投标报价的计算</w:t>
      </w:r>
    </w:p>
    <w:p>
      <w:pPr>
        <w:spacing w:line="360" w:lineRule="auto"/>
        <w:ind w:firstLine="444" w:firstLineChars="202"/>
        <w:jc w:val="left"/>
        <w:rPr>
          <w:rFonts w:ascii="宋体" w:hAnsi="宋体" w:cs="宋体"/>
          <w:sz w:val="22"/>
        </w:rPr>
      </w:pPr>
      <w:r>
        <w:rPr>
          <w:rFonts w:hint="eastAsia" w:ascii="宋体" w:hAnsi="宋体" w:cs="宋体"/>
          <w:sz w:val="22"/>
        </w:rPr>
        <w:t>投标报价的计算公式：见评标办法前附表。</w:t>
      </w:r>
    </w:p>
    <w:p>
      <w:pPr>
        <w:spacing w:line="360" w:lineRule="auto"/>
        <w:ind w:firstLine="444" w:firstLineChars="202"/>
        <w:jc w:val="left"/>
        <w:rPr>
          <w:rFonts w:ascii="宋体" w:hAnsi="宋体" w:cs="宋体"/>
          <w:sz w:val="22"/>
        </w:rPr>
      </w:pPr>
      <w:r>
        <w:rPr>
          <w:rFonts w:hint="eastAsia" w:ascii="宋体" w:hAnsi="宋体" w:cs="宋体"/>
          <w:sz w:val="22"/>
        </w:rPr>
        <w:t>2.2.4 评分标准</w:t>
      </w:r>
    </w:p>
    <w:p>
      <w:pPr>
        <w:spacing w:line="360" w:lineRule="auto"/>
        <w:ind w:firstLine="440" w:firstLineChars="200"/>
        <w:rPr>
          <w:rFonts w:ascii="宋体" w:hAnsi="宋体" w:cs="宋体"/>
          <w:sz w:val="22"/>
        </w:rPr>
      </w:pPr>
      <w:r>
        <w:rPr>
          <w:rFonts w:hint="eastAsia" w:ascii="宋体" w:hAnsi="宋体" w:cs="宋体"/>
          <w:sz w:val="22"/>
        </w:rPr>
        <w:t>（1）商务部分：见评标办法前附表；</w:t>
      </w:r>
    </w:p>
    <w:p>
      <w:pPr>
        <w:spacing w:line="360" w:lineRule="auto"/>
        <w:ind w:firstLine="440" w:firstLineChars="200"/>
        <w:rPr>
          <w:rFonts w:ascii="宋体" w:hAnsi="宋体" w:cs="宋体"/>
          <w:sz w:val="22"/>
        </w:rPr>
      </w:pPr>
      <w:r>
        <w:rPr>
          <w:rFonts w:hint="eastAsia" w:ascii="宋体" w:hAnsi="宋体" w:cs="宋体"/>
          <w:sz w:val="22"/>
        </w:rPr>
        <w:t>（2）技术部分：见评标办法前附表；</w:t>
      </w:r>
    </w:p>
    <w:p>
      <w:pPr>
        <w:spacing w:line="360" w:lineRule="auto"/>
        <w:jc w:val="left"/>
        <w:rPr>
          <w:rFonts w:ascii="宋体" w:hAnsi="宋体" w:cs="宋体"/>
          <w:sz w:val="22"/>
        </w:rPr>
      </w:pPr>
      <w:r>
        <w:rPr>
          <w:rFonts w:hint="eastAsia" w:ascii="宋体" w:hAnsi="宋体" w:cs="宋体"/>
          <w:sz w:val="22"/>
        </w:rPr>
        <w:t xml:space="preserve">    （3）投标报价：见评标办法前附表；</w:t>
      </w:r>
    </w:p>
    <w:p>
      <w:pPr>
        <w:spacing w:line="360" w:lineRule="auto"/>
        <w:jc w:val="left"/>
        <w:rPr>
          <w:rFonts w:ascii="宋体" w:hAnsi="宋体" w:cs="宋体"/>
          <w:sz w:val="28"/>
          <w:szCs w:val="28"/>
        </w:rPr>
      </w:pPr>
      <w:r>
        <w:rPr>
          <w:rFonts w:hint="eastAsia" w:ascii="宋体" w:hAnsi="宋体" w:cs="宋体"/>
          <w:sz w:val="22"/>
        </w:rPr>
        <w:t xml:space="preserve">    （4）其他评分因素：见评标办法前附表。</w:t>
      </w:r>
    </w:p>
    <w:p>
      <w:pPr>
        <w:keepNext/>
        <w:keepLines/>
        <w:spacing w:before="120" w:after="120"/>
        <w:jc w:val="left"/>
        <w:outlineLvl w:val="1"/>
        <w:rPr>
          <w:rFonts w:ascii="宋体" w:hAnsi="宋体" w:cs="宋体"/>
          <w:b/>
          <w:bCs/>
          <w:sz w:val="40"/>
          <w:szCs w:val="32"/>
        </w:rPr>
      </w:pPr>
      <w:bookmarkStart w:id="178" w:name="_Toc38224854"/>
      <w:bookmarkStart w:id="179" w:name="_Toc25401"/>
      <w:r>
        <w:rPr>
          <w:rFonts w:hint="eastAsia" w:ascii="宋体" w:hAnsi="宋体" w:cs="宋体"/>
          <w:b/>
          <w:bCs/>
          <w:sz w:val="28"/>
          <w:szCs w:val="28"/>
        </w:rPr>
        <w:t>3. 评标程序</w:t>
      </w:r>
      <w:bookmarkEnd w:id="178"/>
      <w:bookmarkEnd w:id="179"/>
    </w:p>
    <w:p>
      <w:pPr>
        <w:keepNext/>
        <w:keepLines/>
        <w:spacing w:line="360" w:lineRule="auto"/>
        <w:jc w:val="left"/>
        <w:outlineLvl w:val="2"/>
        <w:rPr>
          <w:rFonts w:ascii="宋体" w:hAnsi="宋体" w:cs="宋体"/>
          <w:b/>
          <w:bCs/>
          <w:sz w:val="22"/>
        </w:rPr>
      </w:pPr>
      <w:r>
        <w:rPr>
          <w:rFonts w:hint="eastAsia" w:ascii="宋体" w:hAnsi="宋体" w:cs="宋体"/>
          <w:b/>
          <w:bCs/>
          <w:sz w:val="22"/>
        </w:rPr>
        <w:t>3.1 初步评审</w:t>
      </w:r>
    </w:p>
    <w:p>
      <w:pPr>
        <w:spacing w:line="360" w:lineRule="auto"/>
        <w:ind w:firstLine="444" w:firstLineChars="202"/>
        <w:jc w:val="left"/>
        <w:rPr>
          <w:rFonts w:ascii="宋体" w:hAnsi="宋体" w:cs="宋体"/>
          <w:sz w:val="22"/>
        </w:rPr>
      </w:pPr>
      <w:r>
        <w:rPr>
          <w:rFonts w:hint="eastAsia" w:ascii="宋体" w:hAnsi="宋体" w:cs="宋体"/>
          <w:sz w:val="22"/>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444" w:firstLineChars="202"/>
        <w:jc w:val="left"/>
        <w:rPr>
          <w:rFonts w:ascii="宋体" w:hAnsi="宋体" w:cs="宋体"/>
          <w:sz w:val="22"/>
        </w:rPr>
      </w:pPr>
      <w:r>
        <w:rPr>
          <w:rFonts w:hint="eastAsia" w:ascii="宋体" w:hAnsi="宋体" w:cs="宋体"/>
          <w:sz w:val="22"/>
        </w:rPr>
        <w:t>3.1.2 投标人有以下情形之一的，评标委员会应当否决其投标：</w:t>
      </w:r>
    </w:p>
    <w:p>
      <w:pPr>
        <w:spacing w:line="360" w:lineRule="auto"/>
        <w:ind w:firstLine="444" w:firstLineChars="202"/>
        <w:jc w:val="left"/>
        <w:rPr>
          <w:rFonts w:ascii="宋体" w:hAnsi="宋体" w:cs="宋体"/>
          <w:sz w:val="22"/>
        </w:rPr>
      </w:pPr>
      <w:r>
        <w:rPr>
          <w:rFonts w:hint="eastAsia" w:ascii="宋体" w:hAnsi="宋体" w:cs="宋体"/>
          <w:sz w:val="22"/>
        </w:rPr>
        <w:t>（1）投标文件没有对招标文件的实质性要求和条件作出响应，或者对招标文件的偏差超出招标文件规定的偏差范围或最高项数；</w:t>
      </w:r>
    </w:p>
    <w:p>
      <w:pPr>
        <w:spacing w:line="360" w:lineRule="auto"/>
        <w:ind w:firstLine="444" w:firstLineChars="202"/>
        <w:jc w:val="left"/>
        <w:rPr>
          <w:rFonts w:ascii="宋体" w:hAnsi="宋体" w:cs="宋体"/>
          <w:sz w:val="22"/>
        </w:rPr>
      </w:pPr>
      <w:r>
        <w:rPr>
          <w:rFonts w:hint="eastAsia" w:ascii="宋体" w:hAnsi="宋体" w:cs="宋体"/>
          <w:sz w:val="22"/>
        </w:rPr>
        <w:t>（2）有串通投标、弄虚作假、行贿等违法行为。</w:t>
      </w:r>
    </w:p>
    <w:p>
      <w:pPr>
        <w:spacing w:line="360" w:lineRule="auto"/>
        <w:ind w:firstLine="444" w:firstLineChars="202"/>
        <w:jc w:val="left"/>
        <w:rPr>
          <w:rFonts w:ascii="宋体" w:hAnsi="宋体" w:cs="宋体"/>
          <w:sz w:val="22"/>
        </w:rPr>
      </w:pPr>
      <w:r>
        <w:rPr>
          <w:rFonts w:hint="eastAsia" w:ascii="宋体" w:hAnsi="宋体" w:cs="宋体"/>
          <w:sz w:val="22"/>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44" w:firstLineChars="202"/>
        <w:jc w:val="left"/>
        <w:rPr>
          <w:rFonts w:ascii="宋体" w:hAnsi="宋体" w:cs="宋体"/>
          <w:sz w:val="22"/>
        </w:rPr>
      </w:pPr>
      <w:r>
        <w:rPr>
          <w:rFonts w:hint="eastAsia" w:ascii="宋体" w:hAnsi="宋体" w:cs="宋体"/>
          <w:sz w:val="22"/>
        </w:rPr>
        <w:t>（1）投标文件中的大写金额与小写金额不一致的，以大写金额为准；</w:t>
      </w:r>
    </w:p>
    <w:p>
      <w:pPr>
        <w:spacing w:line="360" w:lineRule="auto"/>
        <w:ind w:firstLine="444" w:firstLineChars="202"/>
        <w:jc w:val="left"/>
        <w:rPr>
          <w:rFonts w:ascii="宋体" w:hAnsi="宋体" w:cs="宋体"/>
          <w:sz w:val="22"/>
        </w:rPr>
      </w:pPr>
      <w:r>
        <w:rPr>
          <w:rFonts w:hint="eastAsia" w:ascii="宋体" w:hAnsi="宋体" w:cs="宋体"/>
          <w:sz w:val="22"/>
        </w:rPr>
        <w:t>（2）总价金额与单价金额不一致的，以单价金额为准，但单价金额小数点有明显错误的除外。</w:t>
      </w:r>
    </w:p>
    <w:p>
      <w:pPr>
        <w:pStyle w:val="2"/>
        <w:rPr>
          <w:u w:val="single"/>
        </w:rPr>
      </w:pPr>
      <w:r>
        <w:rPr>
          <w:rFonts w:hint="eastAsia" w:ascii="宋体" w:hAnsi="宋体" w:cs="宋体"/>
          <w:sz w:val="22"/>
        </w:rPr>
        <w:t>（3）</w:t>
      </w:r>
      <w:r>
        <w:rPr>
          <w:rFonts w:hint="eastAsia" w:ascii="宋体" w:hAnsi="宋体" w:cs="宋体"/>
          <w:b/>
          <w:bCs/>
          <w:sz w:val="22"/>
          <w:szCs w:val="22"/>
          <w:u w:val="single"/>
        </w:rPr>
        <w:t>投标文件中如有盖章、签字遗漏，评标委员会可以书面形式要求投标人澄清其内容，直至满足评标委员会的要求。</w:t>
      </w:r>
    </w:p>
    <w:p>
      <w:pPr>
        <w:keepNext/>
        <w:keepLines/>
        <w:spacing w:line="360" w:lineRule="auto"/>
        <w:jc w:val="left"/>
        <w:outlineLvl w:val="2"/>
        <w:rPr>
          <w:rFonts w:ascii="宋体" w:hAnsi="宋体" w:cs="宋体"/>
          <w:b/>
          <w:bCs/>
          <w:sz w:val="22"/>
        </w:rPr>
      </w:pPr>
      <w:r>
        <w:rPr>
          <w:rFonts w:hint="eastAsia" w:ascii="宋体" w:hAnsi="宋体" w:cs="宋体"/>
          <w:b/>
          <w:bCs/>
          <w:sz w:val="22"/>
        </w:rPr>
        <w:t>3.2 详细评审</w:t>
      </w:r>
    </w:p>
    <w:p>
      <w:pPr>
        <w:spacing w:line="360" w:lineRule="auto"/>
        <w:ind w:firstLine="444" w:firstLineChars="202"/>
        <w:jc w:val="left"/>
        <w:rPr>
          <w:rFonts w:ascii="宋体" w:hAnsi="宋体" w:cs="宋体"/>
          <w:sz w:val="22"/>
        </w:rPr>
      </w:pPr>
      <w:r>
        <w:rPr>
          <w:rFonts w:hint="eastAsia" w:ascii="宋体" w:hAnsi="宋体" w:cs="宋体"/>
          <w:sz w:val="22"/>
        </w:rPr>
        <w:t>3.2.1 评标委员会按本章第 2.2 款规定的量化因素和分值进行打分，并计算出综合评分得分。</w:t>
      </w:r>
    </w:p>
    <w:p>
      <w:pPr>
        <w:spacing w:line="360" w:lineRule="auto"/>
        <w:ind w:firstLine="446" w:firstLineChars="202"/>
        <w:jc w:val="left"/>
        <w:rPr>
          <w:rFonts w:ascii="宋体" w:hAnsi="宋体" w:cs="宋体"/>
          <w:b/>
          <w:bCs/>
          <w:sz w:val="22"/>
        </w:rPr>
      </w:pPr>
      <w:r>
        <w:rPr>
          <w:rFonts w:hint="eastAsia" w:ascii="宋体" w:hAnsi="宋体" w:cs="宋体"/>
          <w:b/>
          <w:bCs/>
          <w:sz w:val="22"/>
        </w:rPr>
        <w:t>（1）按本章第2.2.4（1）目规定的评审因素和分值对商务部分计算出得分A；</w:t>
      </w:r>
    </w:p>
    <w:p>
      <w:pPr>
        <w:spacing w:line="360" w:lineRule="auto"/>
        <w:ind w:firstLine="446" w:firstLineChars="202"/>
        <w:jc w:val="left"/>
        <w:rPr>
          <w:rFonts w:ascii="宋体" w:hAnsi="宋体" w:cs="宋体"/>
          <w:b/>
          <w:bCs/>
          <w:sz w:val="22"/>
        </w:rPr>
      </w:pPr>
      <w:r>
        <w:rPr>
          <w:rFonts w:hint="eastAsia" w:ascii="宋体" w:hAnsi="宋体" w:cs="宋体"/>
          <w:b/>
          <w:bCs/>
          <w:sz w:val="22"/>
        </w:rPr>
        <w:t>（2）按本章第2.2.4（2）目规定评审因素和分值对技术部分计算出得分B；</w:t>
      </w:r>
    </w:p>
    <w:p>
      <w:pPr>
        <w:spacing w:line="360" w:lineRule="auto"/>
        <w:ind w:firstLine="446" w:firstLineChars="202"/>
        <w:jc w:val="left"/>
        <w:rPr>
          <w:rFonts w:ascii="宋体" w:hAnsi="宋体" w:cs="宋体"/>
          <w:b/>
          <w:bCs/>
          <w:sz w:val="22"/>
        </w:rPr>
      </w:pPr>
      <w:r>
        <w:rPr>
          <w:rFonts w:hint="eastAsia" w:ascii="宋体" w:hAnsi="宋体" w:cs="宋体"/>
          <w:b/>
          <w:bCs/>
          <w:sz w:val="22"/>
        </w:rPr>
        <w:t>（3）按本章第2.2.4（3）目规定的评审因素和分值对投标报价计算出得分C。</w:t>
      </w:r>
    </w:p>
    <w:p>
      <w:pPr>
        <w:spacing w:line="360" w:lineRule="auto"/>
        <w:ind w:firstLine="444" w:firstLineChars="202"/>
        <w:jc w:val="left"/>
        <w:rPr>
          <w:rFonts w:ascii="宋体" w:hAnsi="宋体" w:cs="宋体"/>
          <w:sz w:val="22"/>
        </w:rPr>
      </w:pPr>
      <w:r>
        <w:rPr>
          <w:rFonts w:hint="eastAsia" w:ascii="宋体" w:hAnsi="宋体" w:cs="宋体"/>
          <w:sz w:val="22"/>
        </w:rPr>
        <w:t>3.2.2 评分分值计算保留小数点后两位，小数点后第三位“四舍五入”。</w:t>
      </w:r>
    </w:p>
    <w:p>
      <w:pPr>
        <w:spacing w:line="360" w:lineRule="auto"/>
        <w:ind w:firstLine="444" w:firstLineChars="202"/>
        <w:jc w:val="left"/>
        <w:rPr>
          <w:rFonts w:ascii="宋体" w:hAnsi="宋体" w:cs="宋体"/>
          <w:sz w:val="22"/>
        </w:rPr>
      </w:pPr>
      <w:r>
        <w:rPr>
          <w:rFonts w:hint="eastAsia" w:ascii="宋体" w:hAnsi="宋体" w:cs="宋体"/>
          <w:sz w:val="22"/>
        </w:rPr>
        <w:t>3.2.3 投标人得分= A+B+C。</w:t>
      </w:r>
    </w:p>
    <w:p>
      <w:pPr>
        <w:spacing w:line="360" w:lineRule="auto"/>
        <w:ind w:firstLine="444" w:firstLineChars="202"/>
        <w:jc w:val="left"/>
        <w:rPr>
          <w:rFonts w:ascii="宋体" w:hAnsi="宋体" w:cs="宋体"/>
          <w:sz w:val="22"/>
        </w:rPr>
      </w:pPr>
      <w:r>
        <w:rPr>
          <w:rFonts w:hint="eastAsia" w:ascii="宋体" w:hAnsi="宋体" w:cs="宋体"/>
          <w:sz w:val="22"/>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line="360" w:lineRule="auto"/>
        <w:jc w:val="left"/>
        <w:outlineLvl w:val="2"/>
        <w:rPr>
          <w:rFonts w:ascii="宋体" w:hAnsi="宋体" w:cs="宋体"/>
          <w:b/>
          <w:bCs/>
          <w:sz w:val="22"/>
        </w:rPr>
      </w:pPr>
      <w:r>
        <w:rPr>
          <w:rFonts w:hint="eastAsia" w:ascii="宋体" w:hAnsi="宋体" w:cs="宋体"/>
          <w:b/>
          <w:bCs/>
          <w:sz w:val="22"/>
        </w:rPr>
        <w:t>3.3 投标文件的澄清</w:t>
      </w:r>
    </w:p>
    <w:p>
      <w:pPr>
        <w:spacing w:line="360" w:lineRule="auto"/>
        <w:ind w:firstLine="444" w:firstLineChars="202"/>
        <w:jc w:val="left"/>
        <w:rPr>
          <w:rFonts w:ascii="宋体" w:hAnsi="宋体" w:cs="宋体"/>
          <w:sz w:val="22"/>
        </w:rPr>
      </w:pPr>
      <w:r>
        <w:rPr>
          <w:rFonts w:hint="eastAsia" w:ascii="宋体" w:hAnsi="宋体" w:cs="宋体"/>
          <w:sz w:val="22"/>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44" w:firstLineChars="202"/>
        <w:jc w:val="left"/>
        <w:rPr>
          <w:rFonts w:ascii="宋体" w:hAnsi="宋体" w:cs="宋体"/>
          <w:sz w:val="22"/>
        </w:rPr>
      </w:pPr>
      <w:r>
        <w:rPr>
          <w:rFonts w:hint="eastAsia" w:ascii="宋体" w:hAnsi="宋体" w:cs="宋体"/>
          <w:sz w:val="22"/>
        </w:rPr>
        <w:t>3.3.2 澄清、说明或补正不得超出投标文件的范围且不得改变投标文件的实质性内容，并构成投标文件的组成部分。</w:t>
      </w:r>
    </w:p>
    <w:p>
      <w:pPr>
        <w:spacing w:line="360" w:lineRule="auto"/>
        <w:ind w:firstLine="444" w:firstLineChars="202"/>
        <w:jc w:val="left"/>
        <w:rPr>
          <w:rFonts w:ascii="宋体" w:hAnsi="宋体" w:cs="宋体"/>
          <w:sz w:val="22"/>
        </w:rPr>
      </w:pPr>
      <w:r>
        <w:rPr>
          <w:rFonts w:hint="eastAsia" w:ascii="宋体" w:hAnsi="宋体" w:cs="宋体"/>
          <w:sz w:val="22"/>
        </w:rPr>
        <w:t>3.3.3 评标委员会对投标人提交的澄清、说明或补正有疑问的，可以要求投标人进一步澄清、说明或补正，直至满足评标委员会的要求。</w:t>
      </w:r>
    </w:p>
    <w:p>
      <w:pPr>
        <w:keepNext/>
        <w:keepLines/>
        <w:spacing w:line="360" w:lineRule="auto"/>
        <w:jc w:val="left"/>
        <w:outlineLvl w:val="2"/>
        <w:rPr>
          <w:rFonts w:ascii="宋体" w:hAnsi="宋体" w:cs="宋体"/>
          <w:b/>
          <w:bCs/>
          <w:sz w:val="22"/>
        </w:rPr>
      </w:pPr>
      <w:r>
        <w:rPr>
          <w:rFonts w:hint="eastAsia" w:ascii="宋体" w:hAnsi="宋体" w:cs="宋体"/>
          <w:b/>
          <w:bCs/>
          <w:sz w:val="22"/>
        </w:rPr>
        <w:t>3.4 评标结果</w:t>
      </w:r>
    </w:p>
    <w:p>
      <w:pPr>
        <w:spacing w:line="360" w:lineRule="auto"/>
        <w:ind w:firstLine="444" w:firstLineChars="202"/>
        <w:jc w:val="left"/>
        <w:rPr>
          <w:rFonts w:ascii="宋体" w:hAnsi="宋体" w:cs="宋体"/>
          <w:sz w:val="22"/>
        </w:rPr>
      </w:pPr>
      <w:r>
        <w:rPr>
          <w:rFonts w:hint="eastAsia" w:ascii="宋体" w:hAnsi="宋体" w:cs="宋体"/>
          <w:sz w:val="22"/>
        </w:rPr>
        <w:t>3.4.1 除第二章“投标人须知”前附表授权直接确定中标人外，评标委员会按照得分由高到低的顺序推荐中标候选人，并标明排序。</w:t>
      </w:r>
    </w:p>
    <w:p>
      <w:pPr>
        <w:spacing w:line="360" w:lineRule="auto"/>
        <w:ind w:firstLine="444" w:firstLineChars="202"/>
        <w:jc w:val="left"/>
        <w:rPr>
          <w:rFonts w:ascii="宋体" w:hAnsi="宋体" w:cs="宋体"/>
          <w:sz w:val="22"/>
        </w:rPr>
      </w:pPr>
      <w:r>
        <w:rPr>
          <w:rFonts w:hint="eastAsia" w:ascii="宋体" w:hAnsi="宋体" w:cs="宋体"/>
          <w:sz w:val="22"/>
        </w:rPr>
        <w:t>3.4.2 评标委员会完成评标后，应当向招标人提交书面评标报告和中标候选人名单。</w:t>
      </w:r>
    </w:p>
    <w:p>
      <w:pPr>
        <w:keepNext/>
        <w:keepLines/>
        <w:spacing w:before="120" w:after="120"/>
        <w:jc w:val="left"/>
        <w:outlineLvl w:val="1"/>
        <w:rPr>
          <w:rFonts w:ascii="宋体" w:hAnsi="宋体" w:cs="宋体"/>
          <w:b/>
          <w:bCs/>
          <w:sz w:val="28"/>
          <w:szCs w:val="28"/>
        </w:rPr>
      </w:pPr>
      <w:bookmarkStart w:id="180" w:name="_Toc38224855"/>
      <w:bookmarkStart w:id="181" w:name="_Toc9533"/>
      <w:r>
        <w:rPr>
          <w:rFonts w:hint="eastAsia" w:ascii="宋体" w:hAnsi="宋体" w:cs="宋体"/>
          <w:b/>
          <w:bCs/>
          <w:sz w:val="28"/>
          <w:szCs w:val="28"/>
        </w:rPr>
        <w:t>4.其他</w:t>
      </w:r>
      <w:bookmarkEnd w:id="180"/>
      <w:bookmarkEnd w:id="181"/>
    </w:p>
    <w:p>
      <w:pPr>
        <w:spacing w:line="360" w:lineRule="auto"/>
        <w:ind w:firstLine="444" w:firstLineChars="202"/>
        <w:jc w:val="left"/>
        <w:rPr>
          <w:rFonts w:ascii="宋体" w:hAnsi="宋体" w:cs="宋体"/>
          <w:sz w:val="22"/>
        </w:rPr>
      </w:pPr>
      <w:r>
        <w:rPr>
          <w:rFonts w:hint="eastAsia" w:ascii="宋体" w:hAnsi="宋体" w:cs="宋体"/>
          <w:sz w:val="22"/>
        </w:rPr>
        <w:t>若本次投标登记或递交投标文件的投标人数量或通过初步评审（含形式评审、资格评审、响应性评审）的合格投标人家数不足3家的，则该次招标失败。招标人分析招标失败原因，修正招标方案，报有关管理部门核准后，重新组织招标。</w:t>
      </w:r>
    </w:p>
    <w:p>
      <w:pPr>
        <w:spacing w:line="360" w:lineRule="auto"/>
        <w:ind w:firstLine="444" w:firstLineChars="202"/>
        <w:jc w:val="left"/>
        <w:rPr>
          <w:rFonts w:ascii="宋体" w:hAnsi="宋体" w:cs="宋体"/>
          <w:sz w:val="22"/>
        </w:rPr>
      </w:pPr>
    </w:p>
    <w:p>
      <w:pPr>
        <w:rPr>
          <w:rFonts w:ascii="宋体" w:hAnsi="宋体" w:cs="宋体"/>
        </w:rPr>
      </w:pPr>
    </w:p>
    <w:p>
      <w:pPr>
        <w:rPr>
          <w:rFonts w:ascii="宋体" w:hAnsi="宋体" w:cs="宋体"/>
        </w:rPr>
      </w:pPr>
    </w:p>
    <w:p>
      <w:pPr>
        <w:rPr>
          <w:rFonts w:ascii="宋体" w:hAnsi="宋体" w:cs="宋体"/>
        </w:rPr>
      </w:pPr>
    </w:p>
    <w:p>
      <w:pPr>
        <w:pStyle w:val="4"/>
        <w:keepNext w:val="0"/>
        <w:keepLines w:val="0"/>
        <w:rPr>
          <w:rFonts w:ascii="宋体" w:hAnsi="宋体" w:eastAsia="宋体" w:cs="宋体"/>
        </w:rPr>
        <w:sectPr>
          <w:pgSz w:w="11905" w:h="16838"/>
          <w:pgMar w:top="1417" w:right="1417" w:bottom="1417" w:left="1417" w:header="720" w:footer="720" w:gutter="0"/>
          <w:cols w:space="720" w:num="1"/>
          <w:docGrid w:linePitch="286" w:charSpace="0"/>
        </w:sectPr>
      </w:pPr>
      <w:bookmarkStart w:id="182" w:name="_Toc525063257"/>
    </w:p>
    <w:p>
      <w:pPr>
        <w:keepNext/>
        <w:keepLines/>
        <w:adjustRightInd w:val="0"/>
        <w:snapToGrid w:val="0"/>
        <w:spacing w:before="240" w:beforeLines="100" w:after="240" w:afterLines="100"/>
        <w:jc w:val="center"/>
        <w:textAlignment w:val="center"/>
        <w:outlineLvl w:val="0"/>
        <w:rPr>
          <w:rFonts w:ascii="宋体" w:hAnsi="宋体" w:cs="宋体"/>
        </w:rPr>
      </w:pPr>
      <w:bookmarkStart w:id="183" w:name="_Toc7907"/>
      <w:bookmarkStart w:id="184" w:name="_Toc24053"/>
      <w:bookmarkStart w:id="185" w:name="_Toc695"/>
      <w:bookmarkStart w:id="186" w:name="_Toc17141"/>
      <w:bookmarkStart w:id="187" w:name="_Toc532367884"/>
      <w:bookmarkStart w:id="188" w:name="_Toc22323"/>
      <w:bookmarkStart w:id="189" w:name="_Toc38224856"/>
      <w:bookmarkStart w:id="190" w:name="_Toc32167"/>
      <w:bookmarkStart w:id="191" w:name="_Toc25859"/>
      <w:r>
        <w:rPr>
          <w:rFonts w:hint="eastAsia" w:ascii="宋体" w:hAnsi="宋体" w:cs="宋体"/>
          <w:b/>
          <w:bCs/>
          <w:sz w:val="44"/>
          <w:szCs w:val="44"/>
        </w:rPr>
        <w:t>第四章 合同条款及格式</w:t>
      </w:r>
      <w:bookmarkEnd w:id="182"/>
      <w:bookmarkEnd w:id="183"/>
      <w:bookmarkEnd w:id="184"/>
      <w:bookmarkEnd w:id="185"/>
      <w:bookmarkEnd w:id="186"/>
      <w:bookmarkEnd w:id="187"/>
      <w:bookmarkEnd w:id="188"/>
      <w:bookmarkEnd w:id="189"/>
      <w:bookmarkEnd w:id="190"/>
      <w:bookmarkEnd w:id="191"/>
    </w:p>
    <w:p>
      <w:pPr>
        <w:jc w:val="center"/>
        <w:rPr>
          <w:rFonts w:ascii="宋体" w:hAnsi="宋体" w:cs="宋体"/>
          <w:sz w:val="32"/>
          <w:szCs w:val="32"/>
        </w:rPr>
        <w:sectPr>
          <w:pgSz w:w="11905" w:h="16838"/>
          <w:pgMar w:top="1417" w:right="1417" w:bottom="1417" w:left="1417" w:header="720" w:footer="720" w:gutter="0"/>
          <w:cols w:space="720" w:num="1"/>
          <w:docGrid w:linePitch="286" w:charSpace="0"/>
        </w:sectPr>
      </w:pPr>
      <w:r>
        <w:rPr>
          <w:rFonts w:hint="eastAsia" w:ascii="宋体" w:hAnsi="宋体" w:cs="宋体"/>
          <w:sz w:val="32"/>
          <w:szCs w:val="32"/>
        </w:rPr>
        <w:t>（另册）</w:t>
      </w:r>
    </w:p>
    <w:p>
      <w:pPr>
        <w:keepNext/>
        <w:keepLines/>
        <w:tabs>
          <w:tab w:val="center" w:pos="0"/>
        </w:tabs>
        <w:adjustRightInd w:val="0"/>
        <w:snapToGrid w:val="0"/>
        <w:spacing w:before="240" w:beforeLines="100" w:after="240" w:afterLines="100"/>
        <w:jc w:val="center"/>
        <w:textAlignment w:val="center"/>
        <w:outlineLvl w:val="0"/>
        <w:rPr>
          <w:rFonts w:ascii="宋体" w:hAnsi="宋体" w:cs="宋体"/>
        </w:rPr>
      </w:pPr>
      <w:bookmarkStart w:id="192" w:name="_Toc10037"/>
      <w:bookmarkStart w:id="193" w:name="_Toc38224857"/>
      <w:bookmarkStart w:id="194" w:name="_Toc10031"/>
      <w:r>
        <w:rPr>
          <w:rFonts w:hint="eastAsia" w:ascii="宋体" w:hAnsi="宋体" w:cs="宋体"/>
          <w:b/>
          <w:bCs/>
          <w:sz w:val="44"/>
          <w:szCs w:val="44"/>
        </w:rPr>
        <w:t>第五章 技术条件</w:t>
      </w:r>
      <w:bookmarkEnd w:id="192"/>
      <w:bookmarkEnd w:id="193"/>
      <w:bookmarkEnd w:id="194"/>
      <w:bookmarkStart w:id="195" w:name="_Toc246996338"/>
      <w:bookmarkStart w:id="196" w:name="_Toc179632787"/>
      <w:bookmarkStart w:id="197" w:name="_Toc246997081"/>
      <w:bookmarkStart w:id="198" w:name="_Toc247085853"/>
      <w:r>
        <w:rPr>
          <w:rFonts w:hint="eastAsia" w:ascii="宋体" w:hAnsi="宋体" w:cs="宋体"/>
          <w:b/>
          <w:bCs/>
          <w:sz w:val="44"/>
          <w:szCs w:val="44"/>
        </w:rPr>
        <w:t>及检测监测清单</w:t>
      </w:r>
    </w:p>
    <w:bookmarkEnd w:id="195"/>
    <w:bookmarkEnd w:id="196"/>
    <w:bookmarkEnd w:id="197"/>
    <w:bookmarkEnd w:id="198"/>
    <w:p>
      <w:pPr>
        <w:keepNext/>
        <w:keepLines/>
        <w:spacing w:line="360" w:lineRule="auto"/>
        <w:ind w:firstLine="420" w:firstLineChars="200"/>
        <w:jc w:val="left"/>
        <w:outlineLvl w:val="1"/>
        <w:rPr>
          <w:rFonts w:hint="default" w:ascii="宋体" w:hAnsi="宋体" w:eastAsia="宋体" w:cs="仿宋_GB2312"/>
          <w:b w:val="0"/>
          <w:bCs w:val="0"/>
          <w:color w:val="auto"/>
          <w:szCs w:val="21"/>
          <w:highlight w:val="none"/>
          <w:lang w:val="en-US" w:eastAsia="zh-CN"/>
        </w:rPr>
      </w:pPr>
      <w:bookmarkStart w:id="199" w:name="_Toc492300706"/>
      <w:bookmarkStart w:id="200" w:name="_Toc32617"/>
      <w:bookmarkStart w:id="201" w:name="_Toc14538"/>
      <w:bookmarkStart w:id="202" w:name="_Toc520363157"/>
      <w:bookmarkStart w:id="203" w:name="_Toc525063259"/>
      <w:bookmarkStart w:id="204" w:name="_Toc532367885"/>
      <w:bookmarkStart w:id="205" w:name="_Toc3473"/>
      <w:bookmarkStart w:id="206" w:name="_Toc24140"/>
      <w:bookmarkStart w:id="207" w:name="_Toc21109"/>
      <w:bookmarkStart w:id="208" w:name="_Toc20979"/>
      <w:r>
        <w:rPr>
          <w:rFonts w:hint="eastAsia" w:ascii="宋体" w:hAnsi="宋体" w:cs="仿宋_GB2312"/>
          <w:b w:val="0"/>
          <w:bCs w:val="0"/>
          <w:color w:val="auto"/>
          <w:szCs w:val="21"/>
          <w:highlight w:val="none"/>
          <w:lang w:val="en-US" w:eastAsia="zh-CN"/>
        </w:rPr>
        <w:t>一、技术条件按国家、广东省、广州市相关规范执行。</w:t>
      </w:r>
    </w:p>
    <w:p>
      <w:pPr>
        <w:keepNext/>
        <w:keepLines/>
        <w:spacing w:line="360" w:lineRule="auto"/>
        <w:ind w:firstLine="420" w:firstLineChars="200"/>
        <w:jc w:val="left"/>
        <w:outlineLvl w:val="1"/>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lang w:val="en-US" w:eastAsia="zh-CN"/>
        </w:rPr>
        <w:t>二</w:t>
      </w:r>
      <w:r>
        <w:rPr>
          <w:rFonts w:hint="eastAsia" w:ascii="宋体" w:hAnsi="宋体" w:cs="仿宋_GB2312"/>
          <w:b w:val="0"/>
          <w:bCs w:val="0"/>
          <w:color w:val="auto"/>
          <w:szCs w:val="21"/>
          <w:highlight w:val="none"/>
        </w:rPr>
        <w:t>、工程量清单项目计量计价原则</w:t>
      </w:r>
    </w:p>
    <w:p>
      <w:pPr>
        <w:keepNext/>
        <w:keepLines/>
        <w:spacing w:line="360" w:lineRule="auto"/>
        <w:ind w:firstLine="420" w:firstLineChars="200"/>
        <w:jc w:val="left"/>
        <w:outlineLvl w:val="1"/>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1、投标人应充分分析市场的价格变动风险及本单位的承受能力，并不得低于成本报价竞价。</w:t>
      </w:r>
    </w:p>
    <w:p>
      <w:pPr>
        <w:keepNext/>
        <w:keepLines/>
        <w:spacing w:line="360" w:lineRule="auto"/>
        <w:ind w:firstLine="420" w:firstLineChars="200"/>
        <w:jc w:val="left"/>
        <w:outlineLvl w:val="1"/>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2、报价为投标人的报价文件中提出的各项支付金额的总和。应是完成本次招标范围及工期的全部费用，不得以任何理由予以重复，并作为投标人计算单价或总价的依据。</w:t>
      </w:r>
    </w:p>
    <w:p>
      <w:pPr>
        <w:keepNext/>
        <w:keepLines/>
        <w:spacing w:line="360" w:lineRule="auto"/>
        <w:ind w:firstLine="420" w:firstLineChars="200"/>
        <w:jc w:val="left"/>
        <w:outlineLvl w:val="1"/>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3、除非招标人对招标文件予以修改，投标人应按招标人提供的工程量报价书中列出的工程项目填报单价。每一项目只允许有一个报价。任何有选择的报价将不予以支付，并视为该项费用已包括在其它有价款的单价或合价内。</w:t>
      </w:r>
    </w:p>
    <w:p>
      <w:pPr>
        <w:keepNext/>
        <w:keepLines/>
        <w:spacing w:line="360" w:lineRule="auto"/>
        <w:ind w:firstLine="420" w:firstLineChars="200"/>
        <w:jc w:val="left"/>
        <w:outlineLvl w:val="1"/>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4、投标人在报价中所报的全费用综合单价均包括但不限于人工费、材料费、设备使用费、设备进出场费、监测试验费、报告编写费、技术工作费、各项管理费，以及所有因工程</w:t>
      </w:r>
      <w:r>
        <w:rPr>
          <w:rFonts w:hint="eastAsia" w:ascii="宋体" w:hAnsi="宋体" w:cs="仿宋_GB2312"/>
          <w:b w:val="0"/>
          <w:bCs w:val="0"/>
          <w:color w:val="auto"/>
          <w:szCs w:val="21"/>
          <w:highlight w:val="none"/>
          <w:lang w:val="en-US" w:eastAsia="zh-CN"/>
        </w:rPr>
        <w:t>检测</w:t>
      </w:r>
      <w:r>
        <w:rPr>
          <w:rFonts w:hint="eastAsia" w:ascii="宋体" w:hAnsi="宋体" w:cs="仿宋_GB2312"/>
          <w:b w:val="0"/>
          <w:bCs w:val="0"/>
          <w:color w:val="auto"/>
          <w:szCs w:val="21"/>
          <w:highlight w:val="none"/>
        </w:rPr>
        <w:t>监测应交纳的政府规费、利润、税金、风险费用等，无论实际费用有无发生，无论各项费用有无涨落，均不再调整。</w:t>
      </w:r>
    </w:p>
    <w:p>
      <w:pPr>
        <w:keepNext/>
        <w:keepLines/>
        <w:spacing w:line="360" w:lineRule="auto"/>
        <w:ind w:firstLine="420" w:firstLineChars="200"/>
        <w:jc w:val="left"/>
        <w:outlineLvl w:val="1"/>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5、本次投标报价采用全费用综合单价包干，结算不作调整。包工、包料、包工期、包质量、包安全、包文明、包服务和工作成果、并按招标人及建设行政主管部门要求完成资料整理和备案。结算时工程量清单计价表中的综合单价包干项目以监理工程师和招标人共同确认的数量，综合单价以工程量清单计价表中的投标全费用综合单价为准。质量符合国家和行业现行规定验收标准，确保监测项目及数量能满足建设行政主管部门的施工安全的验收。确定的综合单价为全费用综合单价，投标人根据招标人提供的有关要求完善所有咨询及服务工作，投标人以实际完成的</w:t>
      </w:r>
      <w:r>
        <w:rPr>
          <w:rFonts w:hint="eastAsia" w:ascii="宋体" w:hAnsi="宋体" w:cs="仿宋_GB2312"/>
          <w:b w:val="0"/>
          <w:bCs w:val="0"/>
          <w:color w:val="auto"/>
          <w:szCs w:val="21"/>
          <w:highlight w:val="none"/>
          <w:lang w:val="en-US" w:eastAsia="zh-CN"/>
        </w:rPr>
        <w:t>检测、监测</w:t>
      </w:r>
      <w:r>
        <w:rPr>
          <w:rFonts w:hint="eastAsia" w:ascii="宋体" w:hAnsi="宋体" w:cs="仿宋_GB2312"/>
          <w:b w:val="0"/>
          <w:bCs w:val="0"/>
          <w:color w:val="auto"/>
          <w:szCs w:val="21"/>
          <w:highlight w:val="none"/>
        </w:rPr>
        <w:t>工作量乘以按上述方式确定的综合单价计算总价，该总价已包含了为完成所有招标要求所可能产生的不可预见的费用。</w:t>
      </w:r>
    </w:p>
    <w:p>
      <w:pPr>
        <w:keepNext/>
        <w:keepLines/>
        <w:spacing w:line="360" w:lineRule="auto"/>
        <w:ind w:firstLine="420" w:firstLineChars="200"/>
        <w:jc w:val="left"/>
        <w:outlineLvl w:val="1"/>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6、实施完成的</w:t>
      </w:r>
      <w:r>
        <w:rPr>
          <w:rFonts w:hint="eastAsia" w:ascii="宋体" w:hAnsi="宋体" w:cs="仿宋_GB2312"/>
          <w:b w:val="0"/>
          <w:bCs w:val="0"/>
          <w:color w:val="auto"/>
          <w:szCs w:val="21"/>
          <w:highlight w:val="none"/>
          <w:lang w:val="en-US" w:eastAsia="zh-CN"/>
        </w:rPr>
        <w:t>检测、</w:t>
      </w:r>
      <w:r>
        <w:rPr>
          <w:rFonts w:hint="eastAsia" w:ascii="宋体" w:hAnsi="宋体" w:cs="仿宋_GB2312"/>
          <w:b w:val="0"/>
          <w:bCs w:val="0"/>
          <w:color w:val="auto"/>
          <w:szCs w:val="21"/>
          <w:highlight w:val="none"/>
        </w:rPr>
        <w:t>监测工作量确定方式：投标人根据本项目服务范围制定服务方案，结算以确定的服务方案为依据，工程量以实际发生为准。实际发生的监测工程量须由监理和建设单位现场负责人书面确认，否则不予结算。</w:t>
      </w:r>
    </w:p>
    <w:p>
      <w:pPr>
        <w:keepNext/>
        <w:keepLines/>
        <w:spacing w:line="360" w:lineRule="auto"/>
        <w:ind w:firstLine="420" w:firstLineChars="200"/>
        <w:jc w:val="left"/>
        <w:outlineLvl w:val="1"/>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7、工程量清单中未列项目的</w:t>
      </w:r>
      <w:r>
        <w:rPr>
          <w:rFonts w:hint="eastAsia" w:ascii="宋体" w:hAnsi="宋体" w:cs="仿宋_GB2312"/>
          <w:b w:val="0"/>
          <w:bCs w:val="0"/>
          <w:color w:val="auto"/>
          <w:szCs w:val="21"/>
          <w:highlight w:val="none"/>
          <w:lang w:val="en-US" w:eastAsia="zh-CN"/>
        </w:rPr>
        <w:t>检测、</w:t>
      </w:r>
      <w:r>
        <w:rPr>
          <w:rFonts w:hint="eastAsia" w:ascii="宋体" w:hAnsi="宋体" w:cs="仿宋_GB2312"/>
          <w:b w:val="0"/>
          <w:bCs w:val="0"/>
          <w:color w:val="auto"/>
          <w:szCs w:val="21"/>
          <w:highlight w:val="none"/>
        </w:rPr>
        <w:t>监测费，综合单价参考市场价格或相关收费标准×（1-20%）×（中标价/招标控制价）执行，最终以发包人审定价格为准。</w:t>
      </w:r>
    </w:p>
    <w:p>
      <w:pPr>
        <w:keepNext/>
        <w:keepLines/>
        <w:spacing w:line="360" w:lineRule="auto"/>
        <w:ind w:firstLine="420" w:firstLineChars="200"/>
        <w:jc w:val="left"/>
        <w:outlineLvl w:val="1"/>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8、清单所列的</w:t>
      </w:r>
      <w:r>
        <w:rPr>
          <w:rFonts w:hint="eastAsia" w:ascii="宋体" w:hAnsi="宋体" w:cs="仿宋_GB2312"/>
          <w:b w:val="0"/>
          <w:bCs w:val="0"/>
          <w:color w:val="auto"/>
          <w:szCs w:val="21"/>
          <w:highlight w:val="none"/>
          <w:lang w:val="en-US" w:eastAsia="zh-CN"/>
        </w:rPr>
        <w:t>检测和</w:t>
      </w:r>
      <w:r>
        <w:rPr>
          <w:rFonts w:hint="eastAsia" w:ascii="宋体" w:hAnsi="宋体" w:cs="仿宋_GB2312"/>
          <w:b w:val="0"/>
          <w:bCs w:val="0"/>
          <w:color w:val="auto"/>
          <w:szCs w:val="21"/>
          <w:highlight w:val="none"/>
        </w:rPr>
        <w:t>监测项目并不代表本项目所有的</w:t>
      </w:r>
      <w:r>
        <w:rPr>
          <w:rFonts w:hint="eastAsia" w:ascii="宋体" w:hAnsi="宋体" w:cs="仿宋_GB2312"/>
          <w:b w:val="0"/>
          <w:bCs w:val="0"/>
          <w:color w:val="auto"/>
          <w:szCs w:val="21"/>
          <w:highlight w:val="none"/>
          <w:lang w:val="en-US" w:eastAsia="zh-CN"/>
        </w:rPr>
        <w:t>检测和</w:t>
      </w:r>
      <w:r>
        <w:rPr>
          <w:rFonts w:hint="eastAsia" w:ascii="宋体" w:hAnsi="宋体" w:cs="仿宋_GB2312"/>
          <w:b w:val="0"/>
          <w:bCs w:val="0"/>
          <w:color w:val="auto"/>
          <w:szCs w:val="21"/>
          <w:highlight w:val="none"/>
        </w:rPr>
        <w:t>监测内容，实际实施时可根据项目实际情况进行调整，以甲方审定的</w:t>
      </w:r>
      <w:r>
        <w:rPr>
          <w:rFonts w:hint="eastAsia" w:ascii="宋体" w:hAnsi="宋体" w:cs="仿宋_GB2312"/>
          <w:b w:val="0"/>
          <w:bCs w:val="0"/>
          <w:color w:val="auto"/>
          <w:szCs w:val="21"/>
          <w:highlight w:val="none"/>
          <w:lang w:val="en-US" w:eastAsia="zh-CN"/>
        </w:rPr>
        <w:t>检测和</w:t>
      </w:r>
      <w:r>
        <w:rPr>
          <w:rFonts w:hint="eastAsia" w:ascii="宋体" w:hAnsi="宋体" w:cs="仿宋_GB2312"/>
          <w:b w:val="0"/>
          <w:bCs w:val="0"/>
          <w:color w:val="auto"/>
          <w:szCs w:val="21"/>
          <w:highlight w:val="none"/>
        </w:rPr>
        <w:t>监测方案、</w:t>
      </w:r>
      <w:r>
        <w:rPr>
          <w:rFonts w:hint="eastAsia" w:ascii="宋体" w:hAnsi="宋体" w:cs="仿宋_GB2312"/>
          <w:b w:val="0"/>
          <w:bCs w:val="0"/>
          <w:color w:val="auto"/>
          <w:szCs w:val="21"/>
          <w:highlight w:val="none"/>
          <w:lang w:val="en-US" w:eastAsia="zh-CN"/>
        </w:rPr>
        <w:t>检测和</w:t>
      </w:r>
      <w:r>
        <w:rPr>
          <w:rFonts w:hint="eastAsia" w:ascii="宋体" w:hAnsi="宋体" w:cs="仿宋_GB2312"/>
          <w:b w:val="0"/>
          <w:bCs w:val="0"/>
          <w:color w:val="auto"/>
          <w:szCs w:val="21"/>
          <w:highlight w:val="none"/>
        </w:rPr>
        <w:t>监测报告的内容为准进行结算。</w:t>
      </w:r>
    </w:p>
    <w:p>
      <w:pPr>
        <w:keepNext/>
        <w:keepLines/>
        <w:spacing w:line="360" w:lineRule="auto"/>
        <w:ind w:firstLine="420" w:firstLineChars="200"/>
        <w:jc w:val="left"/>
        <w:outlineLvl w:val="1"/>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9、本项目合同结算总价不超过合同暂定总价（即</w:t>
      </w:r>
      <w:r>
        <w:rPr>
          <w:rFonts w:hint="eastAsia" w:ascii="宋体" w:hAnsi="宋体" w:cs="仿宋_GB2312"/>
          <w:b w:val="0"/>
          <w:bCs w:val="0"/>
          <w:color w:val="auto"/>
          <w:szCs w:val="21"/>
          <w:highlight w:val="none"/>
          <w:lang w:val="en-US" w:eastAsia="zh-CN"/>
        </w:rPr>
        <w:t>检测和</w:t>
      </w:r>
      <w:r>
        <w:rPr>
          <w:rFonts w:hint="eastAsia" w:ascii="宋体" w:hAnsi="宋体" w:cs="仿宋_GB2312"/>
          <w:b w:val="0"/>
          <w:bCs w:val="0"/>
          <w:color w:val="auto"/>
          <w:szCs w:val="21"/>
          <w:highlight w:val="none"/>
        </w:rPr>
        <w:t>监测费用暂定金额及暂列金之和）；本项目合同最终结算价款以经甲方或财政终审部门审核确认的金额为准。</w:t>
      </w:r>
    </w:p>
    <w:p>
      <w:pPr>
        <w:keepNext/>
        <w:keepLines/>
        <w:spacing w:line="360" w:lineRule="auto"/>
        <w:ind w:firstLine="420" w:firstLineChars="200"/>
        <w:jc w:val="left"/>
        <w:outlineLvl w:val="1"/>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10、本项目设置招标控制价及最高限单价（最高限单价见工程量清单）。凡投标报价超过招标控制价或综合单价报价超过最高限单价的投标文件将被作为否决投标处理。</w:t>
      </w:r>
    </w:p>
    <w:p>
      <w:pPr>
        <w:pStyle w:val="2"/>
        <w:ind w:left="0" w:leftChars="0" w:firstLine="0" w:firstLineChars="0"/>
        <w:jc w:val="both"/>
        <w:rPr>
          <w:rFonts w:hint="eastAsia" w:ascii="宋体" w:hAnsi="宋体" w:eastAsia="宋体" w:cs="宋体"/>
          <w:b w:val="0"/>
          <w:bCs w:val="0"/>
        </w:rPr>
      </w:pPr>
    </w:p>
    <w:p>
      <w:pPr>
        <w:keepNext/>
        <w:keepLines/>
        <w:spacing w:line="360" w:lineRule="auto"/>
        <w:ind w:firstLine="0" w:firstLineChars="0"/>
        <w:jc w:val="left"/>
        <w:outlineLvl w:val="1"/>
        <w:rPr>
          <w:rFonts w:hint="default" w:ascii="宋体" w:hAnsi="宋体" w:cs="仿宋_GB2312"/>
          <w:b/>
          <w:bCs/>
          <w:color w:val="auto"/>
          <w:szCs w:val="21"/>
          <w:highlight w:val="none"/>
          <w:lang w:val="en-US" w:eastAsia="zh-CN"/>
        </w:rPr>
      </w:pPr>
      <w:r>
        <w:rPr>
          <w:rFonts w:hint="eastAsia" w:ascii="宋体" w:hAnsi="宋体" w:cs="仿宋_GB2312"/>
          <w:b/>
          <w:bCs/>
          <w:color w:val="auto"/>
          <w:szCs w:val="21"/>
          <w:highlight w:val="none"/>
          <w:lang w:val="en-US" w:eastAsia="zh-CN"/>
        </w:rPr>
        <w:t>三、工程量清单（另册）</w:t>
      </w:r>
    </w:p>
    <w:p>
      <w:pPr>
        <w:pStyle w:val="2"/>
        <w:jc w:val="center"/>
        <w:rPr>
          <w:rFonts w:hint="eastAsia" w:ascii="宋体" w:hAnsi="宋体" w:eastAsia="宋体" w:cs="宋体"/>
          <w:b w:val="0"/>
          <w:bCs w:val="0"/>
        </w:rPr>
      </w:pPr>
    </w:p>
    <w:p>
      <w:pPr>
        <w:pStyle w:val="2"/>
        <w:jc w:val="left"/>
        <w:rPr>
          <w:rFonts w:hint="eastAsia" w:ascii="宋体" w:hAnsi="宋体" w:eastAsia="宋体" w:cs="宋体"/>
          <w:b w:val="0"/>
          <w:bCs w:val="0"/>
        </w:rPr>
      </w:pPr>
    </w:p>
    <w:p>
      <w:pPr>
        <w:pStyle w:val="2"/>
        <w:jc w:val="center"/>
        <w:rPr>
          <w:rFonts w:ascii="宋体" w:hAnsi="宋体" w:eastAsia="宋体" w:cs="宋体"/>
        </w:rPr>
      </w:pPr>
      <w:r>
        <w:rPr>
          <w:rFonts w:hint="eastAsia" w:ascii="宋体" w:hAnsi="宋体" w:eastAsia="宋体" w:cs="宋体"/>
          <w:b w:val="0"/>
          <w:bCs w:val="0"/>
        </w:rPr>
        <w:br w:type="page"/>
      </w:r>
      <w:bookmarkEnd w:id="199"/>
      <w:bookmarkEnd w:id="200"/>
      <w:bookmarkEnd w:id="201"/>
      <w:bookmarkEnd w:id="202"/>
      <w:bookmarkEnd w:id="203"/>
      <w:bookmarkEnd w:id="204"/>
      <w:bookmarkEnd w:id="205"/>
      <w:bookmarkEnd w:id="206"/>
      <w:bookmarkEnd w:id="207"/>
      <w:bookmarkEnd w:id="208"/>
      <w:bookmarkStart w:id="209" w:name="_Toc6966"/>
      <w:bookmarkStart w:id="210" w:name="_Toc6928"/>
      <w:bookmarkStart w:id="211" w:name="_Toc3296"/>
      <w:bookmarkStart w:id="212" w:name="_Toc25816"/>
      <w:bookmarkStart w:id="213" w:name="_Toc38224859"/>
      <w:bookmarkStart w:id="214" w:name="_Toc7351"/>
      <w:bookmarkStart w:id="215" w:name="_Toc525063271"/>
      <w:bookmarkStart w:id="216" w:name="_Toc8956"/>
      <w:bookmarkStart w:id="217" w:name="_Toc15985"/>
      <w:bookmarkStart w:id="218" w:name="_Toc532367889"/>
      <w:r>
        <w:rPr>
          <w:rFonts w:hint="eastAsia" w:ascii="宋体" w:hAnsi="宋体" w:eastAsia="宋体" w:cs="宋体"/>
          <w:b/>
          <w:bCs/>
          <w:kern w:val="2"/>
          <w:sz w:val="44"/>
          <w:szCs w:val="44"/>
        </w:rPr>
        <w:t>第六章 投标文件格式</w:t>
      </w:r>
      <w:bookmarkEnd w:id="209"/>
      <w:bookmarkEnd w:id="210"/>
      <w:bookmarkEnd w:id="211"/>
      <w:bookmarkEnd w:id="212"/>
      <w:bookmarkEnd w:id="213"/>
      <w:bookmarkEnd w:id="214"/>
      <w:bookmarkEnd w:id="215"/>
      <w:bookmarkEnd w:id="216"/>
      <w:bookmarkEnd w:id="217"/>
      <w:bookmarkEnd w:id="218"/>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sectPr>
          <w:footerReference r:id="rId6" w:type="default"/>
          <w:pgSz w:w="11905" w:h="16838"/>
          <w:pgMar w:top="1417" w:right="1417" w:bottom="1417" w:left="1417" w:header="720" w:footer="720" w:gutter="0"/>
          <w:cols w:space="720" w:num="1"/>
          <w:docGrid w:linePitch="286" w:charSpace="0"/>
        </w:sectPr>
      </w:pPr>
    </w:p>
    <w:p>
      <w:pPr>
        <w:spacing w:line="400" w:lineRule="exact"/>
        <w:rPr>
          <w:rFonts w:ascii="宋体" w:hAnsi="宋体" w:cs="宋体"/>
        </w:rPr>
      </w:pPr>
    </w:p>
    <w:p>
      <w:pPr>
        <w:pStyle w:val="2"/>
        <w:ind w:firstLine="0"/>
      </w:pPr>
    </w:p>
    <w:p>
      <w:pPr>
        <w:spacing w:line="560" w:lineRule="exact"/>
        <w:jc w:val="center"/>
        <w:rPr>
          <w:rFonts w:ascii="宋体" w:hAnsi="宋体" w:cs="仿宋_GB2312"/>
          <w:sz w:val="24"/>
          <w:szCs w:val="24"/>
        </w:rPr>
      </w:pPr>
      <w:r>
        <w:rPr>
          <w:rFonts w:hint="eastAsia" w:ascii="宋体" w:hAnsi="宋体" w:cs="宋体"/>
          <w:sz w:val="36"/>
          <w:szCs w:val="36"/>
        </w:rPr>
        <w:t>广东省妇幼保健院（省儿童医院）儿科医疗科技楼建设工程项目第三方检测和监测服务</w:t>
      </w:r>
    </w:p>
    <w:p>
      <w:pPr>
        <w:rPr>
          <w:rFonts w:ascii="宋体" w:hAnsi="宋体" w:cs="宋体"/>
          <w:sz w:val="20"/>
        </w:rPr>
      </w:pPr>
    </w:p>
    <w:p>
      <w:pPr>
        <w:rPr>
          <w:rFonts w:ascii="宋体" w:hAnsi="宋体" w:cs="宋体"/>
          <w:sz w:val="20"/>
        </w:rPr>
      </w:pPr>
    </w:p>
    <w:p>
      <w:pPr>
        <w:rPr>
          <w:rFonts w:ascii="宋体" w:hAnsi="宋体" w:cs="宋体"/>
          <w:sz w:val="20"/>
        </w:rPr>
      </w:pPr>
    </w:p>
    <w:p>
      <w:pPr>
        <w:rPr>
          <w:rFonts w:ascii="宋体" w:hAnsi="宋体" w:cs="宋体"/>
          <w:sz w:val="20"/>
        </w:rPr>
      </w:pPr>
    </w:p>
    <w:p>
      <w:pPr>
        <w:rPr>
          <w:rFonts w:ascii="宋体" w:hAnsi="宋体" w:cs="宋体"/>
          <w:sz w:val="20"/>
        </w:rPr>
      </w:pPr>
    </w:p>
    <w:p>
      <w:pPr>
        <w:rPr>
          <w:rFonts w:ascii="宋体" w:hAnsi="宋体" w:cs="宋体"/>
          <w:sz w:val="20"/>
        </w:rPr>
      </w:pPr>
    </w:p>
    <w:p>
      <w:pPr>
        <w:rPr>
          <w:rFonts w:ascii="宋体" w:hAnsi="宋体" w:cs="宋体"/>
          <w:sz w:val="20"/>
        </w:rPr>
      </w:pPr>
    </w:p>
    <w:p>
      <w:pPr>
        <w:rPr>
          <w:rFonts w:ascii="宋体" w:hAnsi="宋体" w:cs="宋体"/>
          <w:sz w:val="20"/>
        </w:rPr>
      </w:pPr>
    </w:p>
    <w:p>
      <w:pPr>
        <w:pStyle w:val="2"/>
        <w:ind w:firstLine="0"/>
        <w:rPr>
          <w:rFonts w:ascii="宋体" w:hAnsi="宋体" w:cs="宋体"/>
          <w:sz w:val="20"/>
        </w:rPr>
      </w:pPr>
    </w:p>
    <w:p>
      <w:pPr>
        <w:pStyle w:val="2"/>
        <w:ind w:firstLine="0"/>
        <w:rPr>
          <w:rFonts w:ascii="宋体" w:hAnsi="宋体" w:cs="宋体"/>
          <w:sz w:val="20"/>
        </w:rPr>
      </w:pPr>
    </w:p>
    <w:p>
      <w:pPr>
        <w:rPr>
          <w:rFonts w:ascii="宋体" w:hAnsi="宋体" w:cs="宋体"/>
          <w:sz w:val="20"/>
        </w:rPr>
      </w:pPr>
    </w:p>
    <w:p>
      <w:pPr>
        <w:jc w:val="center"/>
        <w:rPr>
          <w:rFonts w:ascii="宋体" w:hAnsi="宋体" w:cs="宋体"/>
          <w:sz w:val="44"/>
        </w:rPr>
      </w:pPr>
      <w:r>
        <w:rPr>
          <w:rFonts w:hint="eastAsia" w:ascii="宋体" w:hAnsi="宋体" w:cs="宋体"/>
          <w:sz w:val="48"/>
          <w:szCs w:val="24"/>
        </w:rPr>
        <w:t>投标文件</w:t>
      </w: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spacing w:line="360" w:lineRule="auto"/>
        <w:rPr>
          <w:rFonts w:ascii="宋体" w:hAnsi="宋体" w:cs="宋体"/>
          <w:sz w:val="28"/>
        </w:rPr>
      </w:pPr>
    </w:p>
    <w:p>
      <w:pPr>
        <w:spacing w:line="360" w:lineRule="auto"/>
        <w:ind w:firstLine="1120" w:firstLineChars="400"/>
        <w:rPr>
          <w:rFonts w:ascii="宋体" w:hAnsi="宋体" w:cs="宋体"/>
          <w:sz w:val="28"/>
          <w:u w:val="single"/>
        </w:rPr>
      </w:pPr>
      <w:r>
        <w:rPr>
          <w:rFonts w:hint="eastAsia" w:ascii="宋体" w:hAnsi="宋体" w:cs="宋体"/>
          <w:sz w:val="28"/>
        </w:rPr>
        <w:t>投标人：（盖单位章）</w:t>
      </w:r>
    </w:p>
    <w:p>
      <w:pPr>
        <w:spacing w:line="360" w:lineRule="auto"/>
        <w:ind w:firstLine="1120" w:firstLineChars="400"/>
        <w:jc w:val="left"/>
        <w:rPr>
          <w:rFonts w:ascii="宋体" w:hAnsi="宋体" w:cs="宋体"/>
          <w:sz w:val="28"/>
        </w:rPr>
      </w:pPr>
      <w:r>
        <w:rPr>
          <w:rFonts w:hint="eastAsia" w:ascii="宋体" w:hAnsi="宋体" w:cs="宋体"/>
          <w:sz w:val="28"/>
        </w:rPr>
        <w:t>法定代表人或其委托代理人：（签字）</w:t>
      </w:r>
    </w:p>
    <w:p>
      <w:pPr>
        <w:jc w:val="center"/>
        <w:rPr>
          <w:rFonts w:ascii="宋体" w:hAnsi="宋体" w:cs="宋体"/>
          <w:sz w:val="28"/>
        </w:rPr>
      </w:pPr>
    </w:p>
    <w:p>
      <w:pPr>
        <w:spacing w:line="400" w:lineRule="exact"/>
        <w:jc w:val="center"/>
        <w:rPr>
          <w:rFonts w:ascii="宋体" w:hAnsi="宋体" w:cs="宋体"/>
        </w:rPr>
      </w:pPr>
      <w:r>
        <w:rPr>
          <w:rFonts w:hint="eastAsia" w:ascii="宋体" w:hAnsi="宋体" w:cs="宋体"/>
          <w:sz w:val="28"/>
        </w:rPr>
        <w:t>年   月   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5"/>
        <w:keepNext w:val="0"/>
        <w:keepLines w:val="0"/>
        <w:jc w:val="center"/>
        <w:rPr>
          <w:rFonts w:ascii="宋体" w:hAnsi="宋体" w:eastAsia="宋体" w:cs="宋体"/>
        </w:rPr>
        <w:sectPr>
          <w:pgSz w:w="11905" w:h="16838"/>
          <w:pgMar w:top="1417" w:right="1417" w:bottom="1417" w:left="1417" w:header="720" w:footer="720" w:gutter="0"/>
          <w:cols w:space="720" w:num="1"/>
          <w:docGrid w:linePitch="286" w:charSpace="0"/>
        </w:sectPr>
      </w:pPr>
    </w:p>
    <w:p>
      <w:pPr>
        <w:spacing w:before="287" w:beforeLines="100" w:line="400" w:lineRule="exact"/>
        <w:jc w:val="center"/>
        <w:rPr>
          <w:rFonts w:hint="eastAsia" w:ascii="宋体" w:hAnsi="宋体" w:cs="宋体"/>
          <w:sz w:val="44"/>
          <w:szCs w:val="44"/>
        </w:rPr>
      </w:pPr>
      <w:bookmarkStart w:id="219" w:name="_Toc525063272"/>
      <w:bookmarkStart w:id="220" w:name="_Toc7672"/>
      <w:bookmarkStart w:id="221" w:name="_Toc759"/>
      <w:bookmarkStart w:id="222" w:name="_Toc14300"/>
      <w:bookmarkStart w:id="223" w:name="_Toc15847"/>
      <w:bookmarkStart w:id="224" w:name="_Toc20192"/>
    </w:p>
    <w:p>
      <w:pPr>
        <w:spacing w:before="287" w:beforeLines="100" w:line="400" w:lineRule="exact"/>
        <w:jc w:val="center"/>
        <w:rPr>
          <w:rFonts w:ascii="宋体" w:hAnsi="宋体" w:cs="宋体"/>
          <w:sz w:val="44"/>
          <w:szCs w:val="44"/>
        </w:rPr>
      </w:pPr>
      <w:r>
        <w:rPr>
          <w:rFonts w:hint="eastAsia" w:ascii="宋体" w:hAnsi="宋体" w:cs="宋体"/>
          <w:sz w:val="44"/>
          <w:szCs w:val="44"/>
        </w:rPr>
        <w:t>目 录</w:t>
      </w:r>
    </w:p>
    <w:p>
      <w:pPr>
        <w:spacing w:line="360" w:lineRule="auto"/>
        <w:jc w:val="left"/>
        <w:rPr>
          <w:rFonts w:ascii="宋体" w:hAnsi="宋体" w:cs="宋体"/>
          <w:sz w:val="22"/>
        </w:rPr>
      </w:pPr>
    </w:p>
    <w:p>
      <w:pPr>
        <w:spacing w:line="360" w:lineRule="auto"/>
        <w:jc w:val="left"/>
        <w:rPr>
          <w:rFonts w:ascii="宋体" w:hAnsi="宋体" w:cs="宋体"/>
          <w:sz w:val="22"/>
        </w:rPr>
      </w:pPr>
      <w:r>
        <w:rPr>
          <w:rFonts w:hint="eastAsia" w:ascii="宋体" w:hAnsi="宋体" w:cs="宋体"/>
          <w:sz w:val="22"/>
        </w:rPr>
        <w:t>一、投标函及投标函附录</w:t>
      </w:r>
      <w:r>
        <w:rPr>
          <w:rFonts w:hint="eastAsia" w:ascii="宋体" w:hAnsi="宋体" w:cs="宋体"/>
          <w:sz w:val="22"/>
        </w:rPr>
        <w:tab/>
      </w:r>
    </w:p>
    <w:p>
      <w:pPr>
        <w:spacing w:line="360" w:lineRule="auto"/>
        <w:jc w:val="left"/>
        <w:rPr>
          <w:rFonts w:ascii="宋体" w:hAnsi="宋体" w:cs="宋体"/>
          <w:sz w:val="22"/>
        </w:rPr>
      </w:pPr>
      <w:r>
        <w:rPr>
          <w:rFonts w:hint="eastAsia" w:ascii="宋体" w:hAnsi="宋体" w:cs="宋体"/>
          <w:sz w:val="22"/>
        </w:rPr>
        <w:t>二、法定代表人身份证明</w:t>
      </w:r>
      <w:r>
        <w:rPr>
          <w:rFonts w:hint="eastAsia" w:ascii="宋体" w:hAnsi="宋体" w:cs="宋体"/>
          <w:sz w:val="22"/>
        </w:rPr>
        <w:tab/>
      </w:r>
      <w:r>
        <w:rPr>
          <w:rFonts w:hint="eastAsia" w:ascii="宋体" w:hAnsi="宋体" w:cs="宋体"/>
          <w:sz w:val="22"/>
        </w:rPr>
        <w:t>或授权委托书</w:t>
      </w:r>
    </w:p>
    <w:p>
      <w:pPr>
        <w:spacing w:line="360" w:lineRule="auto"/>
        <w:jc w:val="left"/>
        <w:rPr>
          <w:rFonts w:ascii="宋体" w:hAnsi="宋体" w:cs="宋体"/>
          <w:sz w:val="22"/>
        </w:rPr>
      </w:pPr>
      <w:r>
        <w:rPr>
          <w:rFonts w:hint="eastAsia" w:ascii="宋体" w:hAnsi="宋体" w:cs="宋体"/>
          <w:sz w:val="22"/>
        </w:rPr>
        <w:t>三、</w:t>
      </w:r>
      <w:r>
        <w:rPr>
          <w:rFonts w:hint="eastAsia" w:ascii="宋体" w:hAnsi="宋体" w:cs="宋体"/>
          <w:sz w:val="22"/>
        </w:rPr>
        <w:tab/>
      </w:r>
      <w:r>
        <w:rPr>
          <w:rFonts w:hint="eastAsia" w:ascii="宋体" w:hAnsi="宋体" w:cs="宋体"/>
          <w:sz w:val="22"/>
        </w:rPr>
        <w:t>资格审查资料</w:t>
      </w:r>
    </w:p>
    <w:p>
      <w:pPr>
        <w:spacing w:line="360" w:lineRule="auto"/>
        <w:jc w:val="left"/>
        <w:rPr>
          <w:rFonts w:ascii="宋体" w:hAnsi="宋体" w:cs="宋体"/>
          <w:sz w:val="22"/>
        </w:rPr>
      </w:pPr>
      <w:r>
        <w:rPr>
          <w:rFonts w:hint="eastAsia" w:ascii="宋体" w:hAnsi="宋体" w:cs="宋体"/>
          <w:sz w:val="22"/>
        </w:rPr>
        <w:t>四、联合体协议书</w:t>
      </w:r>
      <w:r>
        <w:rPr>
          <w:rFonts w:hint="eastAsia" w:ascii="宋体" w:hAnsi="宋体" w:cs="宋体"/>
          <w:sz w:val="22"/>
        </w:rPr>
        <w:tab/>
      </w:r>
      <w:r>
        <w:rPr>
          <w:rFonts w:hint="eastAsia" w:ascii="宋体" w:hAnsi="宋体" w:cs="宋体"/>
          <w:sz w:val="22"/>
        </w:rPr>
        <w:t>（如有）</w:t>
      </w:r>
      <w:r>
        <w:rPr>
          <w:rFonts w:hint="eastAsia" w:ascii="宋体" w:hAnsi="宋体" w:cs="宋体"/>
          <w:sz w:val="22"/>
        </w:rPr>
        <w:tab/>
      </w:r>
    </w:p>
    <w:p>
      <w:pPr>
        <w:spacing w:line="360" w:lineRule="auto"/>
        <w:jc w:val="left"/>
        <w:rPr>
          <w:rFonts w:ascii="宋体" w:hAnsi="宋体" w:cs="宋体"/>
          <w:sz w:val="22"/>
        </w:rPr>
      </w:pPr>
      <w:r>
        <w:rPr>
          <w:rFonts w:hint="eastAsia" w:ascii="宋体" w:hAnsi="宋体" w:cs="宋体"/>
          <w:sz w:val="22"/>
        </w:rPr>
        <w:t>五、投标保证金</w:t>
      </w:r>
      <w:r>
        <w:rPr>
          <w:rFonts w:hint="eastAsia" w:ascii="宋体" w:hAnsi="宋体" w:cs="宋体"/>
          <w:sz w:val="22"/>
        </w:rPr>
        <w:tab/>
      </w:r>
      <w:r>
        <w:rPr>
          <w:rFonts w:hint="eastAsia" w:ascii="宋体" w:hAnsi="宋体" w:cs="宋体"/>
          <w:sz w:val="22"/>
        </w:rPr>
        <w:tab/>
      </w:r>
      <w:r>
        <w:rPr>
          <w:rFonts w:hint="eastAsia" w:ascii="宋体" w:hAnsi="宋体" w:cs="宋体"/>
          <w:sz w:val="22"/>
        </w:rPr>
        <w:t>（不须提供）</w:t>
      </w:r>
    </w:p>
    <w:p>
      <w:pPr>
        <w:spacing w:line="360" w:lineRule="auto"/>
        <w:jc w:val="left"/>
        <w:rPr>
          <w:rFonts w:ascii="宋体" w:hAnsi="宋体" w:cs="宋体"/>
          <w:sz w:val="22"/>
        </w:rPr>
      </w:pPr>
      <w:r>
        <w:rPr>
          <w:rFonts w:hint="eastAsia" w:ascii="宋体" w:hAnsi="宋体" w:cs="宋体"/>
          <w:sz w:val="22"/>
        </w:rPr>
        <w:t>六、合同条款响应一览表</w:t>
      </w:r>
      <w:r>
        <w:rPr>
          <w:rFonts w:hint="eastAsia" w:ascii="宋体" w:hAnsi="宋体" w:cs="宋体"/>
          <w:sz w:val="22"/>
        </w:rPr>
        <w:tab/>
      </w:r>
    </w:p>
    <w:p>
      <w:pPr>
        <w:spacing w:line="360" w:lineRule="auto"/>
        <w:jc w:val="left"/>
        <w:rPr>
          <w:rFonts w:ascii="宋体" w:hAnsi="宋体" w:cs="宋体"/>
          <w:sz w:val="22"/>
        </w:rPr>
      </w:pPr>
      <w:r>
        <w:rPr>
          <w:rFonts w:hint="eastAsia" w:ascii="宋体" w:hAnsi="宋体" w:cs="宋体"/>
          <w:sz w:val="22"/>
        </w:rPr>
        <w:t>七、投标人声明</w:t>
      </w:r>
      <w:r>
        <w:rPr>
          <w:rFonts w:hint="eastAsia" w:ascii="宋体" w:hAnsi="宋体" w:cs="宋体"/>
          <w:sz w:val="22"/>
        </w:rPr>
        <w:tab/>
      </w:r>
    </w:p>
    <w:p>
      <w:pPr>
        <w:spacing w:line="360" w:lineRule="auto"/>
        <w:jc w:val="left"/>
        <w:rPr>
          <w:rFonts w:ascii="宋体" w:hAnsi="宋体" w:cs="宋体"/>
          <w:sz w:val="22"/>
        </w:rPr>
      </w:pPr>
      <w:r>
        <w:rPr>
          <w:rFonts w:hint="eastAsia" w:ascii="宋体" w:hAnsi="宋体" w:cs="宋体"/>
          <w:sz w:val="22"/>
        </w:rPr>
        <w:t>八、拟投入本项目的检测和监测人员一览表</w:t>
      </w:r>
    </w:p>
    <w:p>
      <w:pPr>
        <w:spacing w:line="360" w:lineRule="auto"/>
        <w:jc w:val="left"/>
        <w:rPr>
          <w:rFonts w:ascii="宋体" w:hAnsi="宋体" w:cs="宋体"/>
          <w:sz w:val="22"/>
        </w:rPr>
      </w:pPr>
      <w:r>
        <w:rPr>
          <w:rFonts w:hint="eastAsia" w:ascii="宋体" w:hAnsi="宋体" w:cs="宋体"/>
          <w:sz w:val="22"/>
        </w:rPr>
        <w:t>九、拟投入本项目的检测和监测人员简历表</w:t>
      </w:r>
    </w:p>
    <w:p>
      <w:pPr>
        <w:spacing w:line="360" w:lineRule="auto"/>
        <w:jc w:val="left"/>
        <w:rPr>
          <w:rFonts w:ascii="宋体" w:hAnsi="宋体" w:cs="宋体"/>
          <w:sz w:val="22"/>
        </w:rPr>
      </w:pPr>
      <w:r>
        <w:rPr>
          <w:rFonts w:hint="eastAsia" w:ascii="宋体" w:hAnsi="宋体" w:cs="宋体"/>
          <w:sz w:val="22"/>
        </w:rPr>
        <w:t>十、类似经验</w:t>
      </w:r>
    </w:p>
    <w:p>
      <w:pPr>
        <w:spacing w:line="360" w:lineRule="auto"/>
        <w:jc w:val="left"/>
        <w:rPr>
          <w:rFonts w:ascii="宋体" w:hAnsi="宋体" w:cs="宋体"/>
          <w:sz w:val="22"/>
        </w:rPr>
      </w:pPr>
      <w:r>
        <w:rPr>
          <w:rFonts w:hint="eastAsia" w:ascii="宋体" w:hAnsi="宋体" w:cs="宋体"/>
          <w:sz w:val="22"/>
        </w:rPr>
        <w:t>十一、拟投入本项目的主要检测和监测仪器设备一览表</w:t>
      </w:r>
    </w:p>
    <w:p>
      <w:pPr>
        <w:spacing w:line="360" w:lineRule="auto"/>
        <w:jc w:val="left"/>
        <w:rPr>
          <w:rFonts w:ascii="宋体" w:hAnsi="宋体" w:cs="宋体"/>
          <w:sz w:val="22"/>
        </w:rPr>
      </w:pPr>
      <w:r>
        <w:rPr>
          <w:rFonts w:hint="eastAsia" w:ascii="宋体" w:hAnsi="宋体" w:cs="宋体"/>
          <w:sz w:val="22"/>
        </w:rPr>
        <w:t>十二、检测和监测方案</w:t>
      </w:r>
      <w:r>
        <w:rPr>
          <w:rFonts w:hint="eastAsia" w:ascii="宋体" w:hAnsi="宋体" w:cs="宋体"/>
          <w:sz w:val="22"/>
        </w:rPr>
        <w:tab/>
      </w:r>
    </w:p>
    <w:p>
      <w:pPr>
        <w:spacing w:line="360" w:lineRule="auto"/>
        <w:jc w:val="left"/>
        <w:rPr>
          <w:rFonts w:ascii="宋体" w:hAnsi="宋体" w:cs="宋体"/>
          <w:sz w:val="22"/>
        </w:rPr>
      </w:pPr>
      <w:r>
        <w:rPr>
          <w:rFonts w:hint="eastAsia" w:ascii="宋体" w:hAnsi="宋体" w:cs="宋体"/>
          <w:sz w:val="22"/>
        </w:rPr>
        <w:t>十三、廉洁承诺书</w:t>
      </w:r>
    </w:p>
    <w:bookmarkEnd w:id="219"/>
    <w:bookmarkEnd w:id="220"/>
    <w:bookmarkEnd w:id="221"/>
    <w:bookmarkEnd w:id="222"/>
    <w:bookmarkEnd w:id="223"/>
    <w:bookmarkEnd w:id="224"/>
    <w:p>
      <w:pPr>
        <w:spacing w:line="360" w:lineRule="auto"/>
        <w:jc w:val="left"/>
        <w:rPr>
          <w:rFonts w:ascii="宋体" w:hAnsi="宋体" w:cs="宋体"/>
          <w:sz w:val="22"/>
        </w:rPr>
      </w:pPr>
      <w:bookmarkStart w:id="225" w:name="_Toc7039"/>
      <w:bookmarkStart w:id="226" w:name="_Toc352691655"/>
      <w:bookmarkStart w:id="227" w:name="_Toc369531691"/>
      <w:r>
        <w:rPr>
          <w:rFonts w:hint="eastAsia" w:ascii="宋体" w:hAnsi="宋体" w:cs="宋体"/>
          <w:sz w:val="22"/>
        </w:rPr>
        <w:t>十四、投标报价书</w:t>
      </w:r>
    </w:p>
    <w:p>
      <w:pPr>
        <w:spacing w:line="360" w:lineRule="auto"/>
        <w:jc w:val="left"/>
        <w:rPr>
          <w:rFonts w:ascii="宋体" w:hAnsi="宋体" w:cs="宋体"/>
          <w:sz w:val="22"/>
        </w:rPr>
      </w:pPr>
      <w:r>
        <w:rPr>
          <w:rFonts w:hint="eastAsia" w:ascii="宋体" w:hAnsi="宋体" w:cs="宋体"/>
          <w:sz w:val="22"/>
        </w:rPr>
        <w:t>十五、其他资料</w:t>
      </w:r>
    </w:p>
    <w:p>
      <w:pPr>
        <w:spacing w:line="540" w:lineRule="exact"/>
        <w:rPr>
          <w:rFonts w:ascii="宋体" w:hAnsi="宋体" w:cs="宋体"/>
          <w:sz w:val="20"/>
        </w:rPr>
      </w:pPr>
    </w:p>
    <w:bookmarkEnd w:id="225"/>
    <w:bookmarkEnd w:id="226"/>
    <w:bookmarkEnd w:id="227"/>
    <w:p>
      <w:pPr>
        <w:pStyle w:val="5"/>
        <w:keepNext w:val="0"/>
        <w:keepLines w:val="0"/>
        <w:rPr>
          <w:rFonts w:ascii="宋体" w:hAnsi="宋体" w:eastAsia="宋体" w:cs="宋体"/>
        </w:rPr>
        <w:sectPr>
          <w:pgSz w:w="11905" w:h="16838"/>
          <w:pgMar w:top="1417" w:right="1417" w:bottom="1417" w:left="1417" w:header="720" w:footer="720" w:gutter="0"/>
          <w:cols w:space="720" w:num="1"/>
          <w:docGrid w:linePitch="286" w:charSpace="0"/>
        </w:sectPr>
      </w:pPr>
    </w:p>
    <w:p>
      <w:pPr>
        <w:keepNext/>
        <w:keepLines/>
        <w:spacing w:line="360" w:lineRule="auto"/>
        <w:jc w:val="center"/>
        <w:outlineLvl w:val="1"/>
        <w:rPr>
          <w:rFonts w:ascii="宋体" w:hAnsi="宋体" w:cs="宋体"/>
          <w:sz w:val="32"/>
        </w:rPr>
      </w:pPr>
      <w:bookmarkStart w:id="228" w:name="_Toc1136"/>
      <w:bookmarkStart w:id="229" w:name="_Toc14192"/>
      <w:bookmarkStart w:id="230" w:name="_Toc38224860"/>
      <w:bookmarkStart w:id="231" w:name="_Toc2849"/>
      <w:bookmarkStart w:id="232" w:name="_Toc15006"/>
      <w:bookmarkStart w:id="233" w:name="_Toc525063280"/>
      <w:bookmarkStart w:id="234" w:name="_Toc532367890"/>
      <w:bookmarkStart w:id="235" w:name="_Toc32670"/>
      <w:bookmarkStart w:id="236" w:name="_Toc15651"/>
      <w:bookmarkStart w:id="237" w:name="_Toc29324"/>
      <w:r>
        <w:rPr>
          <w:rFonts w:hint="eastAsia" w:ascii="宋体" w:hAnsi="宋体" w:cs="宋体"/>
          <w:sz w:val="32"/>
        </w:rPr>
        <w:t>一、</w:t>
      </w:r>
      <w:r>
        <w:rPr>
          <w:rFonts w:hint="eastAsia" w:ascii="宋体" w:hAnsi="宋体" w:cs="宋体"/>
          <w:b/>
          <w:bCs/>
          <w:sz w:val="32"/>
          <w:szCs w:val="32"/>
        </w:rPr>
        <w:t>投标</w:t>
      </w:r>
      <w:bookmarkStart w:id="238" w:name="_Toc369531692"/>
      <w:bookmarkStart w:id="239" w:name="_Toc6931"/>
      <w:bookmarkStart w:id="240" w:name="_Toc352691656"/>
      <w:r>
        <w:rPr>
          <w:rFonts w:hint="eastAsia" w:ascii="宋体" w:hAnsi="宋体" w:cs="宋体"/>
          <w:b/>
          <w:bCs/>
          <w:sz w:val="32"/>
          <w:szCs w:val="32"/>
        </w:rPr>
        <w:t>函及投标函附录</w:t>
      </w:r>
      <w:bookmarkEnd w:id="228"/>
      <w:bookmarkEnd w:id="229"/>
      <w:bookmarkEnd w:id="230"/>
      <w:bookmarkEnd w:id="231"/>
      <w:bookmarkEnd w:id="232"/>
      <w:bookmarkEnd w:id="233"/>
      <w:bookmarkEnd w:id="234"/>
      <w:bookmarkEnd w:id="235"/>
      <w:bookmarkEnd w:id="236"/>
      <w:bookmarkEnd w:id="237"/>
      <w:bookmarkEnd w:id="238"/>
      <w:bookmarkEnd w:id="239"/>
      <w:bookmarkEnd w:id="240"/>
    </w:p>
    <w:p>
      <w:pPr>
        <w:spacing w:line="360" w:lineRule="auto"/>
        <w:jc w:val="center"/>
        <w:rPr>
          <w:rFonts w:ascii="宋体" w:hAnsi="宋体" w:cs="宋体"/>
          <w:sz w:val="30"/>
          <w:szCs w:val="24"/>
        </w:rPr>
      </w:pPr>
    </w:p>
    <w:p>
      <w:pPr>
        <w:jc w:val="center"/>
        <w:rPr>
          <w:rFonts w:ascii="宋体" w:hAnsi="宋体" w:cs="宋体"/>
          <w:b/>
          <w:sz w:val="30"/>
          <w:szCs w:val="24"/>
        </w:rPr>
      </w:pPr>
      <w:r>
        <w:rPr>
          <w:rFonts w:hint="eastAsia" w:ascii="宋体" w:hAnsi="宋体" w:cs="宋体"/>
          <w:b/>
          <w:sz w:val="30"/>
          <w:szCs w:val="24"/>
        </w:rPr>
        <w:t>投标函</w:t>
      </w:r>
    </w:p>
    <w:p>
      <w:pPr>
        <w:spacing w:before="120" w:beforeLines="50" w:line="360" w:lineRule="auto"/>
        <w:rPr>
          <w:rFonts w:ascii="宋体" w:hAnsi="宋体" w:cs="宋体"/>
          <w:szCs w:val="21"/>
        </w:rPr>
      </w:pPr>
    </w:p>
    <w:p>
      <w:pPr>
        <w:spacing w:before="120" w:beforeLines="50" w:line="360" w:lineRule="auto"/>
        <w:jc w:val="left"/>
        <w:rPr>
          <w:rFonts w:ascii="宋体" w:hAnsi="宋体" w:cs="宋体"/>
          <w:szCs w:val="21"/>
        </w:rPr>
      </w:pPr>
      <w:bookmarkStart w:id="241" w:name="_Toc369531697"/>
      <w:bookmarkStart w:id="242" w:name="_Toc384308375"/>
      <w:bookmarkStart w:id="243" w:name="_Toc17960"/>
      <w:bookmarkStart w:id="244" w:name="_Toc152045787"/>
      <w:bookmarkStart w:id="245" w:name="_Toc361508752"/>
      <w:bookmarkStart w:id="246" w:name="_Toc152042576"/>
      <w:bookmarkStart w:id="247" w:name="_Toc247527827"/>
      <w:bookmarkStart w:id="248" w:name="_Toc300835209"/>
      <w:bookmarkStart w:id="249" w:name="_Toc352691661"/>
      <w:bookmarkStart w:id="250" w:name="_Toc144974856"/>
      <w:bookmarkStart w:id="251" w:name="_Toc247514246"/>
      <w:r>
        <w:rPr>
          <w:rFonts w:hint="eastAsia" w:ascii="宋体" w:hAnsi="宋体" w:cs="宋体"/>
          <w:szCs w:val="21"/>
        </w:rPr>
        <w:t>致：广东省代建项目管理局</w:t>
      </w:r>
    </w:p>
    <w:p>
      <w:pPr>
        <w:spacing w:before="120" w:beforeLines="50" w:line="360" w:lineRule="auto"/>
        <w:ind w:firstLine="420" w:firstLineChars="200"/>
        <w:rPr>
          <w:rFonts w:ascii="宋体" w:hAnsi="宋体" w:cs="宋体"/>
          <w:szCs w:val="21"/>
        </w:rPr>
      </w:pPr>
      <w:r>
        <w:rPr>
          <w:rFonts w:hint="eastAsia" w:ascii="宋体" w:hAnsi="宋体" w:cs="宋体"/>
          <w:szCs w:val="21"/>
        </w:rPr>
        <w:t>1. 在仔细分析研究了贵单位提供的</w:t>
      </w:r>
      <w:r>
        <w:rPr>
          <w:rFonts w:hint="eastAsia" w:ascii="宋体" w:hAnsi="宋体" w:cs="宋体"/>
          <w:szCs w:val="21"/>
          <w:u w:val="single"/>
          <w:lang w:eastAsia="zh-CN"/>
        </w:rPr>
        <w:t>广东省妇幼保健院（省儿童医院）儿科医疗科技楼建设工程项目第三方检测和监测服务</w:t>
      </w:r>
      <w:r>
        <w:rPr>
          <w:rFonts w:hint="eastAsia" w:ascii="宋体" w:hAnsi="宋体" w:cs="宋体"/>
          <w:szCs w:val="21"/>
        </w:rPr>
        <w:t>招标文件后，我方愿意以</w:t>
      </w:r>
      <w:r>
        <w:rPr>
          <w:rFonts w:hint="eastAsia" w:ascii="宋体" w:hAnsi="宋体" w:cs="宋体"/>
          <w:color w:val="auto"/>
          <w:sz w:val="22"/>
          <w:highlight w:val="none"/>
        </w:rPr>
        <w:t>以</w:t>
      </w:r>
      <w:r>
        <w:rPr>
          <w:rFonts w:hint="eastAsia" w:ascii="宋体" w:hAnsi="宋体" w:cs="宋体"/>
          <w:bCs/>
          <w:color w:val="auto"/>
          <w:sz w:val="22"/>
          <w:highlight w:val="none"/>
          <w:u w:val="single"/>
          <w:lang w:val="en-US" w:eastAsia="zh-CN"/>
        </w:rPr>
        <w:t xml:space="preserve">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元</w:t>
      </w:r>
      <w:r>
        <w:rPr>
          <w:rFonts w:hint="eastAsia" w:ascii="宋体" w:hAnsi="宋体" w:cs="宋体"/>
          <w:color w:val="auto"/>
          <w:sz w:val="22"/>
          <w:highlight w:val="none"/>
        </w:rPr>
        <w:t xml:space="preserve"> </w:t>
      </w:r>
      <w:r>
        <w:rPr>
          <w:rFonts w:hint="eastAsia" w:ascii="宋体" w:hAnsi="宋体" w:cs="宋体"/>
          <w:bCs/>
          <w:color w:val="auto"/>
          <w:sz w:val="22"/>
          <w:highlight w:val="none"/>
        </w:rPr>
        <w:t>(大写：</w:t>
      </w:r>
      <w:r>
        <w:rPr>
          <w:rFonts w:hint="eastAsia" w:ascii="宋体" w:hAnsi="宋体" w:cs="宋体"/>
          <w:bCs/>
          <w:color w:val="auto"/>
          <w:sz w:val="22"/>
          <w:highlight w:val="none"/>
          <w:u w:val="single"/>
        </w:rPr>
        <w:t xml:space="preserve">           </w:t>
      </w:r>
      <w:r>
        <w:rPr>
          <w:rFonts w:hint="eastAsia" w:ascii="宋体" w:hAnsi="宋体" w:cs="宋体"/>
          <w:bCs/>
          <w:color w:val="auto"/>
          <w:sz w:val="22"/>
          <w:highlight w:val="none"/>
        </w:rPr>
        <w:t>)</w:t>
      </w:r>
      <w:r>
        <w:rPr>
          <w:rFonts w:hint="eastAsia" w:ascii="宋体" w:hAnsi="宋体" w:cs="宋体"/>
          <w:szCs w:val="21"/>
        </w:rPr>
        <w:t>作为</w:t>
      </w:r>
      <w:r>
        <w:rPr>
          <w:rFonts w:hint="eastAsia" w:ascii="宋体" w:hAnsi="宋体" w:cs="宋体"/>
          <w:szCs w:val="21"/>
          <w:u w:val="single"/>
          <w:lang w:eastAsia="zh-CN"/>
        </w:rPr>
        <w:t>广东省妇幼保健院（省儿童医院）儿科医疗科技楼建设工程项目第三方检测和监测服务</w:t>
      </w:r>
      <w:r>
        <w:rPr>
          <w:rFonts w:hint="eastAsia" w:ascii="宋体" w:hAnsi="宋体" w:cs="宋体"/>
          <w:szCs w:val="21"/>
        </w:rPr>
        <w:t>的投标</w:t>
      </w:r>
      <w:r>
        <w:rPr>
          <w:rFonts w:hint="eastAsia" w:ascii="宋体" w:hAnsi="宋体" w:cs="宋体"/>
          <w:szCs w:val="21"/>
          <w:lang w:val="en-US" w:eastAsia="zh-CN"/>
        </w:rPr>
        <w:t>总报价</w:t>
      </w:r>
      <w:r>
        <w:rPr>
          <w:rFonts w:hint="eastAsia" w:ascii="宋体" w:hAnsi="宋体" w:cs="宋体"/>
          <w:szCs w:val="21"/>
        </w:rPr>
        <w:t>，并遵照招标文件的有关规定要求，承担全部服务任务工作。</w:t>
      </w:r>
    </w:p>
    <w:p>
      <w:pPr>
        <w:spacing w:before="120" w:beforeLines="50" w:line="360" w:lineRule="auto"/>
        <w:ind w:firstLine="420" w:firstLineChars="200"/>
        <w:jc w:val="left"/>
        <w:rPr>
          <w:rFonts w:ascii="宋体" w:hAnsi="宋体" w:cs="宋体"/>
          <w:szCs w:val="21"/>
        </w:rPr>
      </w:pPr>
      <w:r>
        <w:rPr>
          <w:rFonts w:hint="eastAsia" w:ascii="宋体" w:hAnsi="宋体" w:cs="宋体"/>
          <w:szCs w:val="21"/>
        </w:rPr>
        <w:t>2.我方确认的投标函是我单位投标文件的组成部分。</w:t>
      </w:r>
    </w:p>
    <w:p>
      <w:pPr>
        <w:spacing w:before="120" w:beforeLines="50" w:line="360" w:lineRule="auto"/>
        <w:ind w:firstLine="420" w:firstLineChars="200"/>
        <w:jc w:val="left"/>
        <w:rPr>
          <w:rFonts w:ascii="宋体" w:hAnsi="宋体" w:cs="宋体"/>
          <w:szCs w:val="21"/>
        </w:rPr>
      </w:pPr>
      <w:r>
        <w:rPr>
          <w:rFonts w:hint="eastAsia" w:ascii="宋体" w:hAnsi="宋体" w:cs="宋体"/>
          <w:szCs w:val="21"/>
        </w:rPr>
        <w:t>3.如果贵单位接受我方的投标，我方保证按合同规定的期限内开始本工程的检测和监测工作并按投标书中规定的期限内完成合同规定的全部任务。</w:t>
      </w:r>
    </w:p>
    <w:p>
      <w:pPr>
        <w:spacing w:before="120" w:beforeLines="50" w:line="360" w:lineRule="auto"/>
        <w:ind w:firstLine="420" w:firstLineChars="200"/>
        <w:jc w:val="left"/>
        <w:rPr>
          <w:rFonts w:ascii="宋体" w:hAnsi="宋体" w:cs="宋体"/>
          <w:szCs w:val="21"/>
        </w:rPr>
      </w:pPr>
      <w:r>
        <w:rPr>
          <w:rFonts w:hint="eastAsia" w:ascii="宋体" w:hAnsi="宋体" w:cs="宋体"/>
          <w:szCs w:val="21"/>
        </w:rPr>
        <w:t>4.我方同意投标有效期从规定的递交投标文件截止之日起120天内遵守本投标文件。在此期限届满之前，本投标文件始终将对我们具有约束力并随时接受中标。</w:t>
      </w:r>
    </w:p>
    <w:p>
      <w:pPr>
        <w:spacing w:before="120" w:beforeLines="50" w:line="360" w:lineRule="auto"/>
        <w:ind w:firstLine="420" w:firstLineChars="200"/>
        <w:jc w:val="left"/>
        <w:rPr>
          <w:rFonts w:ascii="宋体" w:hAnsi="宋体" w:cs="宋体"/>
          <w:szCs w:val="21"/>
        </w:rPr>
      </w:pPr>
      <w:r>
        <w:rPr>
          <w:rFonts w:hint="eastAsia" w:ascii="宋体" w:hAnsi="宋体" w:cs="宋体"/>
          <w:szCs w:val="21"/>
        </w:rPr>
        <w:t>5.在合同协议制定和签署之前，本投标书连同贵单位的中标通知书、双方签认的补充、修正或澄清文件及其他文件和附件应成为约束贵、我双方的合同文件。</w:t>
      </w:r>
    </w:p>
    <w:p>
      <w:pPr>
        <w:spacing w:before="120" w:beforeLines="50" w:line="360" w:lineRule="auto"/>
        <w:ind w:firstLine="420" w:firstLineChars="200"/>
        <w:jc w:val="left"/>
        <w:rPr>
          <w:rFonts w:ascii="宋体" w:hAnsi="宋体" w:cs="宋体"/>
          <w:szCs w:val="21"/>
        </w:rPr>
      </w:pPr>
      <w:r>
        <w:rPr>
          <w:rFonts w:hint="eastAsia" w:ascii="宋体" w:hAnsi="宋体" w:cs="宋体"/>
          <w:szCs w:val="21"/>
        </w:rPr>
        <w:t>6.我们理解，贵单位不一定接受最低标价的投标文件或可能接受其他任何投标文件，同时也理解，贵单位不负担我们的任何投标费用。</w:t>
      </w:r>
    </w:p>
    <w:p>
      <w:pPr>
        <w:pStyle w:val="2"/>
        <w:spacing w:before="120" w:beforeLines="50" w:after="0" w:line="360" w:lineRule="auto"/>
        <w:ind w:firstLineChars="200"/>
        <w:rPr>
          <w:rFonts w:ascii="宋体" w:hAnsi="宋体" w:cs="宋体"/>
          <w:szCs w:val="21"/>
        </w:rPr>
      </w:pPr>
    </w:p>
    <w:p>
      <w:pPr>
        <w:pStyle w:val="2"/>
        <w:spacing w:before="120" w:beforeLines="50" w:after="0" w:line="360" w:lineRule="auto"/>
        <w:ind w:firstLineChars="200"/>
        <w:rPr>
          <w:rFonts w:ascii="宋体" w:hAnsi="宋体" w:cs="宋体"/>
          <w:szCs w:val="21"/>
        </w:rPr>
      </w:pPr>
    </w:p>
    <w:p>
      <w:pPr>
        <w:spacing w:before="120" w:beforeLines="50" w:line="360" w:lineRule="auto"/>
        <w:ind w:firstLine="420" w:firstLineChars="200"/>
        <w:jc w:val="right"/>
        <w:rPr>
          <w:rFonts w:ascii="宋体" w:hAnsi="宋体" w:cs="宋体"/>
          <w:color w:val="000000"/>
          <w:szCs w:val="21"/>
        </w:rPr>
      </w:pPr>
      <w:r>
        <w:rPr>
          <w:rFonts w:hint="eastAsia" w:ascii="宋体" w:hAnsi="宋体" w:cs="宋体"/>
          <w:color w:val="000000"/>
          <w:szCs w:val="21"/>
        </w:rPr>
        <w:t>投标人：</w:t>
      </w:r>
      <w:r>
        <w:rPr>
          <w:rFonts w:hint="eastAsia" w:ascii="宋体" w:hAnsi="宋体" w:cs="宋体"/>
          <w:color w:val="000000"/>
          <w:szCs w:val="21"/>
          <w:u w:val="single"/>
        </w:rPr>
        <w:t>　　　　　　　　　　　　　　</w:t>
      </w:r>
      <w:r>
        <w:rPr>
          <w:rFonts w:hint="eastAsia" w:ascii="宋体" w:hAnsi="宋体" w:cs="宋体"/>
          <w:color w:val="000000"/>
          <w:szCs w:val="21"/>
        </w:rPr>
        <w:tab/>
      </w:r>
      <w:r>
        <w:rPr>
          <w:rFonts w:hint="eastAsia" w:ascii="宋体" w:hAnsi="宋体" w:cs="宋体"/>
          <w:color w:val="000000"/>
          <w:szCs w:val="21"/>
        </w:rPr>
        <w:t xml:space="preserve">（盖单位章） </w:t>
      </w:r>
    </w:p>
    <w:p>
      <w:pPr>
        <w:spacing w:before="120" w:beforeLines="50" w:line="360" w:lineRule="auto"/>
        <w:ind w:firstLine="420" w:firstLineChars="200"/>
        <w:jc w:val="right"/>
        <w:rPr>
          <w:rFonts w:ascii="宋体" w:hAnsi="宋体" w:cs="宋体"/>
          <w:color w:val="000000"/>
          <w:szCs w:val="21"/>
        </w:rPr>
      </w:pPr>
    </w:p>
    <w:p>
      <w:pPr>
        <w:spacing w:before="120" w:beforeLines="50" w:line="360" w:lineRule="auto"/>
        <w:ind w:firstLine="420" w:firstLineChars="200"/>
        <w:jc w:val="right"/>
        <w:rPr>
          <w:rFonts w:ascii="宋体" w:hAnsi="宋体" w:cs="宋体"/>
          <w:color w:val="000000"/>
          <w:szCs w:val="21"/>
        </w:rPr>
      </w:pPr>
      <w:r>
        <w:rPr>
          <w:rFonts w:hint="eastAsia" w:ascii="宋体" w:hAnsi="宋体" w:cs="宋体"/>
          <w:color w:val="000000"/>
          <w:szCs w:val="21"/>
        </w:rPr>
        <w:t>法定代表人或其委托代理人：</w:t>
      </w:r>
      <w:r>
        <w:rPr>
          <w:rFonts w:hint="eastAsia" w:ascii="宋体" w:hAnsi="宋体" w:cs="宋体"/>
          <w:color w:val="000000"/>
          <w:szCs w:val="21"/>
        </w:rPr>
        <w:tab/>
      </w:r>
      <w:r>
        <w:rPr>
          <w:rFonts w:hint="eastAsia" w:ascii="宋体" w:hAnsi="宋体" w:cs="宋体"/>
          <w:color w:val="000000"/>
          <w:szCs w:val="21"/>
          <w:u w:val="single"/>
        </w:rPr>
        <w:t>　　　　</w:t>
      </w:r>
      <w:r>
        <w:rPr>
          <w:rFonts w:hint="eastAsia" w:ascii="宋体" w:hAnsi="宋体" w:cs="宋体"/>
          <w:color w:val="000000"/>
          <w:szCs w:val="21"/>
        </w:rPr>
        <w:t>（签字</w:t>
      </w:r>
      <w:r>
        <w:rPr>
          <w:rFonts w:hint="eastAsia" w:ascii="宋体" w:hAnsi="宋体" w:cs="宋体"/>
          <w:color w:val="000000"/>
          <w:szCs w:val="21"/>
          <w:lang w:eastAsia="zh-Hans"/>
        </w:rPr>
        <w:t>或盖章</w:t>
      </w:r>
      <w:r>
        <w:rPr>
          <w:rFonts w:hint="eastAsia" w:ascii="宋体" w:hAnsi="宋体" w:cs="宋体"/>
          <w:color w:val="000000"/>
          <w:szCs w:val="21"/>
        </w:rPr>
        <w:t>）</w:t>
      </w:r>
    </w:p>
    <w:p>
      <w:pPr>
        <w:spacing w:before="120" w:beforeLines="50" w:line="360" w:lineRule="auto"/>
        <w:ind w:firstLine="420" w:firstLineChars="200"/>
        <w:jc w:val="right"/>
        <w:rPr>
          <w:rFonts w:ascii="宋体" w:hAnsi="宋体" w:cs="宋体"/>
          <w:szCs w:val="21"/>
        </w:rPr>
      </w:pPr>
    </w:p>
    <w:p>
      <w:pPr>
        <w:spacing w:before="120" w:beforeLines="50" w:line="360" w:lineRule="auto"/>
        <w:ind w:firstLine="420" w:firstLineChars="200"/>
        <w:jc w:val="right"/>
        <w:rPr>
          <w:rFonts w:ascii="宋体" w:hAnsi="宋体" w:cs="宋体"/>
          <w:szCs w:val="21"/>
        </w:rPr>
      </w:pPr>
      <w:r>
        <w:rPr>
          <w:rFonts w:hint="eastAsia" w:ascii="宋体" w:hAnsi="宋体" w:cs="宋体"/>
          <w:szCs w:val="21"/>
        </w:rPr>
        <w:tab/>
      </w:r>
      <w:r>
        <w:rPr>
          <w:rFonts w:hint="eastAsia" w:ascii="宋体" w:hAnsi="宋体" w:cs="宋体"/>
          <w:szCs w:val="21"/>
        </w:rPr>
        <w:t xml:space="preserve">年 </w:t>
      </w:r>
      <w:r>
        <w:rPr>
          <w:rFonts w:hint="eastAsia" w:ascii="宋体" w:hAnsi="宋体" w:cs="宋体"/>
          <w:szCs w:val="21"/>
        </w:rPr>
        <w:tab/>
      </w:r>
      <w:r>
        <w:rPr>
          <w:rFonts w:hint="eastAsia" w:ascii="宋体" w:hAnsi="宋体" w:cs="宋体"/>
          <w:szCs w:val="21"/>
        </w:rPr>
        <w:t xml:space="preserve">月  </w:t>
      </w:r>
      <w:r>
        <w:rPr>
          <w:rFonts w:hint="eastAsia" w:ascii="宋体" w:hAnsi="宋体" w:cs="宋体"/>
          <w:szCs w:val="21"/>
        </w:rPr>
        <w:tab/>
      </w:r>
      <w:r>
        <w:rPr>
          <w:rFonts w:hint="eastAsia" w:ascii="宋体" w:hAnsi="宋体" w:cs="宋体"/>
          <w:szCs w:val="21"/>
        </w:rPr>
        <w:t>日</w:t>
      </w:r>
    </w:p>
    <w:p>
      <w:pPr>
        <w:jc w:val="center"/>
        <w:rPr>
          <w:rFonts w:ascii="宋体" w:hAnsi="宋体" w:cs="宋体"/>
          <w:b/>
          <w:sz w:val="30"/>
          <w:szCs w:val="24"/>
        </w:rPr>
      </w:pPr>
      <w:r>
        <w:rPr>
          <w:rFonts w:hint="eastAsia" w:ascii="宋体" w:hAnsi="宋体" w:cs="宋体"/>
          <w:b/>
          <w:bCs/>
          <w:sz w:val="30"/>
          <w:szCs w:val="24"/>
        </w:rPr>
        <w:br w:type="page"/>
      </w:r>
      <w:r>
        <w:rPr>
          <w:rFonts w:hint="eastAsia" w:ascii="宋体" w:hAnsi="宋体" w:cs="宋体"/>
          <w:b/>
          <w:sz w:val="30"/>
          <w:szCs w:val="24"/>
        </w:rPr>
        <w:t>投标函附录</w:t>
      </w:r>
    </w:p>
    <w:p>
      <w:pPr>
        <w:spacing w:line="320" w:lineRule="atLeast"/>
        <w:rPr>
          <w:rFonts w:ascii="宋体" w:hAnsi="宋体" w:cs="宋体"/>
          <w:szCs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2618"/>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278" w:type="dxa"/>
            <w:noWrap w:val="0"/>
            <w:vAlign w:val="center"/>
          </w:tcPr>
          <w:p>
            <w:pPr>
              <w:jc w:val="center"/>
              <w:rPr>
                <w:rFonts w:ascii="宋体" w:hAnsi="宋体" w:cs="宋体"/>
                <w:bCs/>
                <w:sz w:val="22"/>
              </w:rPr>
            </w:pPr>
            <w:r>
              <w:rPr>
                <w:rFonts w:hint="eastAsia" w:ascii="宋体" w:hAnsi="宋体" w:cs="宋体"/>
                <w:bCs/>
                <w:sz w:val="22"/>
              </w:rPr>
              <w:t>工程名称</w:t>
            </w:r>
          </w:p>
        </w:tc>
        <w:tc>
          <w:tcPr>
            <w:tcW w:w="6105" w:type="dxa"/>
            <w:gridSpan w:val="2"/>
            <w:noWrap w:val="0"/>
            <w:vAlign w:val="center"/>
          </w:tcPr>
          <w:p>
            <w:pPr>
              <w:spacing w:line="360" w:lineRule="auto"/>
              <w:jc w:val="center"/>
              <w:rPr>
                <w:rFonts w:hint="eastAsia" w:ascii="宋体" w:hAnsi="宋体" w:eastAsia="宋体" w:cs="宋体"/>
                <w:bCs/>
                <w:sz w:val="22"/>
                <w:lang w:eastAsia="zh-CN"/>
              </w:rPr>
            </w:pPr>
            <w:r>
              <w:rPr>
                <w:rFonts w:hint="eastAsia" w:ascii="宋体" w:hAnsi="宋体" w:cs="宋体"/>
                <w:bCs/>
                <w:sz w:val="22"/>
                <w:lang w:eastAsia="zh-CN"/>
              </w:rPr>
              <w:t>广东省妇幼保健院（省儿童医院）儿科医疗科技楼建设工程项目第三方检测和监测服务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278" w:type="dxa"/>
            <w:noWrap w:val="0"/>
            <w:vAlign w:val="center"/>
          </w:tcPr>
          <w:p>
            <w:pPr>
              <w:jc w:val="center"/>
              <w:rPr>
                <w:rFonts w:hint="default" w:ascii="宋体" w:hAnsi="宋体" w:eastAsia="宋体" w:cs="宋体"/>
                <w:bCs/>
                <w:sz w:val="22"/>
                <w:lang w:val="en-US" w:eastAsia="zh-CN"/>
              </w:rPr>
            </w:pPr>
            <w:r>
              <w:rPr>
                <w:rFonts w:hint="eastAsia" w:ascii="宋体" w:hAnsi="宋体" w:cs="宋体"/>
                <w:bCs/>
                <w:sz w:val="22"/>
                <w:lang w:val="en-US" w:eastAsia="zh-CN"/>
              </w:rPr>
              <w:t>投标总报价</w:t>
            </w:r>
          </w:p>
        </w:tc>
        <w:tc>
          <w:tcPr>
            <w:tcW w:w="6105" w:type="dxa"/>
            <w:gridSpan w:val="2"/>
            <w:noWrap w:val="0"/>
            <w:vAlign w:val="center"/>
          </w:tcPr>
          <w:p>
            <w:pPr>
              <w:jc w:val="center"/>
              <w:rPr>
                <w:rFonts w:ascii="宋体" w:hAnsi="宋体" w:cs="宋体"/>
                <w:bCs/>
                <w:sz w:val="22"/>
              </w:rPr>
            </w:pPr>
            <w:r>
              <w:rPr>
                <w:rFonts w:hint="eastAsia" w:ascii="宋体" w:hAnsi="宋体" w:cs="宋体"/>
                <w:bCs/>
                <w:color w:val="auto"/>
                <w:sz w:val="22"/>
                <w:highlight w:val="none"/>
                <w:u w:val="single"/>
              </w:rPr>
              <w:t>　　　　　　　</w:t>
            </w:r>
            <w:r>
              <w:rPr>
                <w:rFonts w:hint="eastAsia" w:ascii="宋体" w:hAnsi="宋体" w:cs="宋体"/>
                <w:bCs/>
                <w:color w:val="auto"/>
                <w:sz w:val="22"/>
                <w:highlight w:val="none"/>
              </w:rPr>
              <w:t>元(大写：</w:t>
            </w:r>
            <w:r>
              <w:rPr>
                <w:rFonts w:hint="eastAsia" w:ascii="宋体" w:hAnsi="宋体" w:cs="宋体"/>
                <w:bCs/>
                <w:color w:val="auto"/>
                <w:sz w:val="22"/>
                <w:highlight w:val="none"/>
                <w:u w:val="single"/>
              </w:rPr>
              <w:t xml:space="preserve">           </w:t>
            </w:r>
            <w:r>
              <w:rPr>
                <w:rFonts w:hint="eastAsia" w:ascii="宋体" w:hAnsi="宋体" w:cs="宋体"/>
                <w:bCs/>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278" w:type="dxa"/>
            <w:noWrap w:val="0"/>
            <w:vAlign w:val="center"/>
          </w:tcPr>
          <w:p>
            <w:pPr>
              <w:jc w:val="center"/>
              <w:rPr>
                <w:rFonts w:ascii="宋体" w:hAnsi="宋体" w:cs="宋体"/>
                <w:bCs/>
                <w:sz w:val="22"/>
              </w:rPr>
            </w:pPr>
            <w:r>
              <w:rPr>
                <w:rFonts w:hint="eastAsia" w:ascii="宋体" w:hAnsi="宋体" w:cs="宋体"/>
                <w:bCs/>
                <w:sz w:val="22"/>
              </w:rPr>
              <w:t>服务期</w:t>
            </w:r>
          </w:p>
        </w:tc>
        <w:tc>
          <w:tcPr>
            <w:tcW w:w="6105" w:type="dxa"/>
            <w:gridSpan w:val="2"/>
            <w:noWrap w:val="0"/>
            <w:vAlign w:val="center"/>
          </w:tcPr>
          <w:p>
            <w:pPr>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8" w:type="dxa"/>
            <w:noWrap w:val="0"/>
            <w:vAlign w:val="center"/>
          </w:tcPr>
          <w:p>
            <w:pPr>
              <w:jc w:val="center"/>
              <w:rPr>
                <w:rFonts w:ascii="宋体" w:hAnsi="宋体" w:cs="宋体"/>
                <w:bCs/>
                <w:sz w:val="22"/>
              </w:rPr>
            </w:pPr>
            <w:r>
              <w:rPr>
                <w:rFonts w:hint="eastAsia" w:ascii="宋体" w:hAnsi="宋体" w:cs="宋体"/>
                <w:bCs/>
                <w:sz w:val="22"/>
              </w:rPr>
              <w:t>质量标准</w:t>
            </w:r>
          </w:p>
        </w:tc>
        <w:tc>
          <w:tcPr>
            <w:tcW w:w="6105" w:type="dxa"/>
            <w:gridSpan w:val="2"/>
            <w:noWrap w:val="0"/>
            <w:vAlign w:val="center"/>
          </w:tcPr>
          <w:p>
            <w:pPr>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278" w:type="dxa"/>
            <w:noWrap w:val="0"/>
            <w:vAlign w:val="center"/>
          </w:tcPr>
          <w:p>
            <w:pPr>
              <w:jc w:val="center"/>
              <w:rPr>
                <w:rFonts w:ascii="宋体" w:hAnsi="宋体" w:cs="宋体"/>
                <w:bCs/>
                <w:sz w:val="22"/>
              </w:rPr>
            </w:pPr>
            <w:r>
              <w:rPr>
                <w:rFonts w:hint="eastAsia" w:ascii="宋体" w:hAnsi="宋体" w:cs="宋体"/>
                <w:bCs/>
                <w:sz w:val="22"/>
              </w:rPr>
              <w:t>CMA计量认证合格证书号</w:t>
            </w:r>
          </w:p>
        </w:tc>
        <w:tc>
          <w:tcPr>
            <w:tcW w:w="6105" w:type="dxa"/>
            <w:gridSpan w:val="2"/>
            <w:noWrap w:val="0"/>
            <w:vAlign w:val="center"/>
          </w:tcPr>
          <w:p>
            <w:pPr>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vMerge w:val="restart"/>
            <w:noWrap w:val="0"/>
            <w:vAlign w:val="center"/>
          </w:tcPr>
          <w:p>
            <w:pPr>
              <w:jc w:val="center"/>
              <w:rPr>
                <w:rFonts w:ascii="宋体" w:hAnsi="宋体" w:cs="宋体"/>
                <w:bCs/>
                <w:sz w:val="22"/>
              </w:rPr>
            </w:pPr>
            <w:r>
              <w:rPr>
                <w:rFonts w:hint="eastAsia" w:ascii="宋体" w:hAnsi="宋体" w:cs="宋体"/>
                <w:bCs/>
                <w:sz w:val="22"/>
              </w:rPr>
              <w:t>委派的项目负责人</w:t>
            </w:r>
          </w:p>
        </w:tc>
        <w:tc>
          <w:tcPr>
            <w:tcW w:w="2618" w:type="dxa"/>
            <w:noWrap w:val="0"/>
            <w:vAlign w:val="center"/>
          </w:tcPr>
          <w:p>
            <w:pPr>
              <w:jc w:val="center"/>
              <w:rPr>
                <w:rFonts w:ascii="宋体" w:hAnsi="宋体" w:cs="宋体"/>
                <w:bCs/>
                <w:sz w:val="22"/>
              </w:rPr>
            </w:pPr>
            <w:r>
              <w:rPr>
                <w:rFonts w:hint="eastAsia" w:ascii="宋体" w:hAnsi="宋体" w:cs="宋体"/>
                <w:bCs/>
                <w:sz w:val="22"/>
              </w:rPr>
              <w:t>姓名</w:t>
            </w:r>
          </w:p>
        </w:tc>
        <w:tc>
          <w:tcPr>
            <w:tcW w:w="3487" w:type="dxa"/>
            <w:noWrap w:val="0"/>
            <w:vAlign w:val="center"/>
          </w:tcPr>
          <w:p>
            <w:pPr>
              <w:jc w:val="center"/>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278" w:type="dxa"/>
            <w:vMerge w:val="continue"/>
            <w:noWrap w:val="0"/>
            <w:vAlign w:val="center"/>
          </w:tcPr>
          <w:p>
            <w:pPr>
              <w:jc w:val="center"/>
              <w:rPr>
                <w:rFonts w:ascii="宋体" w:hAnsi="宋体" w:cs="宋体"/>
                <w:bCs/>
                <w:sz w:val="22"/>
              </w:rPr>
            </w:pPr>
          </w:p>
        </w:tc>
        <w:tc>
          <w:tcPr>
            <w:tcW w:w="2618" w:type="dxa"/>
            <w:noWrap w:val="0"/>
            <w:vAlign w:val="center"/>
          </w:tcPr>
          <w:p>
            <w:pPr>
              <w:jc w:val="center"/>
              <w:rPr>
                <w:rFonts w:ascii="宋体" w:hAnsi="宋体" w:cs="宋体"/>
                <w:bCs/>
                <w:sz w:val="22"/>
              </w:rPr>
            </w:pPr>
            <w:r>
              <w:rPr>
                <w:rFonts w:hint="eastAsia" w:ascii="宋体" w:hAnsi="宋体" w:cs="宋体"/>
                <w:bCs/>
                <w:sz w:val="22"/>
              </w:rPr>
              <w:t>技术职、技术证书编号</w:t>
            </w:r>
          </w:p>
        </w:tc>
        <w:tc>
          <w:tcPr>
            <w:tcW w:w="3487" w:type="dxa"/>
            <w:noWrap w:val="0"/>
            <w:vAlign w:val="center"/>
          </w:tcPr>
          <w:p>
            <w:pPr>
              <w:jc w:val="center"/>
              <w:rPr>
                <w:rFonts w:ascii="宋体" w:hAnsi="宋体" w:cs="宋体"/>
                <w:bCs/>
                <w:sz w:val="22"/>
              </w:rPr>
            </w:pPr>
          </w:p>
        </w:tc>
      </w:tr>
    </w:tbl>
    <w:p>
      <w:pPr>
        <w:spacing w:line="360" w:lineRule="auto"/>
        <w:rPr>
          <w:rFonts w:hint="eastAsia" w:ascii="宋体" w:hAnsi="宋体" w:cs="宋体"/>
          <w:szCs w:val="21"/>
        </w:rPr>
      </w:pPr>
    </w:p>
    <w:p>
      <w:pPr>
        <w:spacing w:line="360" w:lineRule="auto"/>
        <w:rPr>
          <w:rFonts w:ascii="宋体" w:hAnsi="宋体" w:cs="宋体"/>
          <w:szCs w:val="21"/>
        </w:rPr>
      </w:pPr>
      <w:r>
        <w:rPr>
          <w:rFonts w:hint="eastAsia" w:ascii="宋体" w:hAnsi="宋体" w:cs="宋体"/>
          <w:szCs w:val="21"/>
        </w:rPr>
        <w:t>注：</w:t>
      </w:r>
    </w:p>
    <w:p>
      <w:pPr>
        <w:spacing w:line="360" w:lineRule="auto"/>
        <w:rPr>
          <w:rFonts w:hint="eastAsia" w:ascii="宋体" w:hAnsi="宋体" w:cs="宋体"/>
          <w:szCs w:val="21"/>
        </w:rPr>
      </w:pPr>
      <w:r>
        <w:rPr>
          <w:rFonts w:hint="eastAsia" w:ascii="宋体" w:hAnsi="宋体" w:cs="宋体"/>
          <w:szCs w:val="21"/>
        </w:rPr>
        <w:t>1、本项目实行双限价，投标人的投标总报价不能超过招标人公布的最高投标限价，综合单价报价不能超过招标人公布的综合单价限价</w:t>
      </w:r>
      <w:r>
        <w:rPr>
          <w:rFonts w:hint="eastAsia" w:ascii="宋体" w:hAnsi="宋体" w:cs="宋体"/>
          <w:szCs w:val="21"/>
          <w:lang w:eastAsia="zh-CN"/>
        </w:rPr>
        <w:t>，</w:t>
      </w:r>
      <w:r>
        <w:rPr>
          <w:rFonts w:hint="eastAsia" w:ascii="宋体" w:hAnsi="宋体" w:cs="宋体"/>
          <w:szCs w:val="21"/>
        </w:rPr>
        <w:t>否则为无效报价，其投标文件将被否决。</w:t>
      </w:r>
    </w:p>
    <w:p>
      <w:pPr>
        <w:spacing w:line="360" w:lineRule="auto"/>
        <w:rPr>
          <w:rFonts w:ascii="宋体" w:hAnsi="宋体" w:cs="宋体"/>
          <w:szCs w:val="21"/>
        </w:rPr>
      </w:pPr>
      <w:r>
        <w:rPr>
          <w:rFonts w:hint="eastAsia" w:ascii="宋体" w:hAnsi="宋体" w:cs="宋体"/>
          <w:szCs w:val="21"/>
        </w:rPr>
        <w:t>2、“服务期”“质量标准”可以填写“按招标文件要求”、或按招标文件内容填写。</w:t>
      </w:r>
    </w:p>
    <w:p>
      <w:pPr>
        <w:spacing w:line="360" w:lineRule="auto"/>
        <w:jc w:val="center"/>
        <w:rPr>
          <w:rFonts w:ascii="宋体" w:hAnsi="宋体" w:cs="宋体"/>
          <w:szCs w:val="21"/>
        </w:rPr>
      </w:pPr>
    </w:p>
    <w:p>
      <w:pPr>
        <w:spacing w:line="360" w:lineRule="auto"/>
        <w:jc w:val="right"/>
        <w:rPr>
          <w:rFonts w:ascii="宋体" w:hAnsi="宋体" w:cs="宋体"/>
          <w:color w:val="000000"/>
          <w:szCs w:val="21"/>
        </w:rPr>
      </w:pPr>
      <w:r>
        <w:rPr>
          <w:rFonts w:hint="eastAsia" w:ascii="宋体" w:hAnsi="宋体" w:cs="宋体"/>
          <w:color w:val="000000"/>
          <w:szCs w:val="21"/>
        </w:rPr>
        <w:t>投标人（公章）：</w:t>
      </w:r>
      <w:r>
        <w:rPr>
          <w:rFonts w:hint="eastAsia" w:ascii="宋体" w:hAnsi="宋体" w:cs="宋体"/>
          <w:color w:val="000000"/>
          <w:szCs w:val="21"/>
          <w:u w:val="single"/>
        </w:rPr>
        <w:t>　　　　　　　　　　</w:t>
      </w:r>
      <w:r>
        <w:rPr>
          <w:rFonts w:hint="eastAsia" w:ascii="宋体" w:hAnsi="宋体" w:cs="宋体"/>
          <w:color w:val="000000"/>
          <w:szCs w:val="21"/>
        </w:rPr>
        <w:t>（盖单位章）</w:t>
      </w:r>
    </w:p>
    <w:p>
      <w:pPr>
        <w:spacing w:line="360" w:lineRule="auto"/>
        <w:jc w:val="center"/>
        <w:rPr>
          <w:rFonts w:ascii="宋体" w:hAnsi="宋体" w:cs="宋体"/>
          <w:szCs w:val="21"/>
        </w:rPr>
      </w:pPr>
    </w:p>
    <w:p>
      <w:pPr>
        <w:spacing w:line="360" w:lineRule="auto"/>
        <w:jc w:val="right"/>
        <w:rPr>
          <w:rFonts w:ascii="宋体" w:hAnsi="宋体" w:cs="宋体"/>
          <w:color w:val="000000"/>
          <w:szCs w:val="21"/>
        </w:rPr>
      </w:pPr>
      <w:r>
        <w:rPr>
          <w:rFonts w:hint="eastAsia" w:ascii="宋体" w:hAnsi="宋体" w:cs="宋体"/>
          <w:color w:val="000000"/>
          <w:szCs w:val="21"/>
        </w:rPr>
        <w:t>投标人授权代表：</w:t>
      </w:r>
      <w:r>
        <w:rPr>
          <w:rFonts w:hint="eastAsia" w:ascii="宋体" w:hAnsi="宋体" w:cs="宋体"/>
          <w:color w:val="000000"/>
          <w:szCs w:val="21"/>
          <w:u w:val="single"/>
        </w:rPr>
        <w:t>　　　　　</w:t>
      </w:r>
      <w:r>
        <w:rPr>
          <w:rFonts w:hint="eastAsia" w:ascii="宋体" w:hAnsi="宋体" w:cs="宋体"/>
          <w:color w:val="000000"/>
          <w:szCs w:val="21"/>
        </w:rPr>
        <w:t>（签字或签章）</w:t>
      </w:r>
    </w:p>
    <w:p>
      <w:pPr>
        <w:spacing w:line="360" w:lineRule="auto"/>
        <w:jc w:val="center"/>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日期：  年  月  日</w:t>
      </w:r>
    </w:p>
    <w:p>
      <w:pPr>
        <w:spacing w:line="440" w:lineRule="exact"/>
        <w:rPr>
          <w:rFonts w:ascii="宋体" w:hAnsi="宋体" w:cs="宋体"/>
          <w:szCs w:val="21"/>
        </w:rPr>
      </w:pPr>
    </w:p>
    <w:p>
      <w:pPr>
        <w:spacing w:line="440" w:lineRule="exact"/>
        <w:ind w:firstLine="420" w:firstLineChars="200"/>
        <w:rPr>
          <w:rFonts w:ascii="宋体" w:hAnsi="宋体" w:cs="宋体"/>
          <w:szCs w:val="21"/>
        </w:rPr>
      </w:pPr>
    </w:p>
    <w:p>
      <w:pPr>
        <w:pStyle w:val="5"/>
        <w:keepNext w:val="0"/>
        <w:keepLines w:val="0"/>
        <w:rPr>
          <w:rFonts w:ascii="宋体" w:hAnsi="宋体" w:eastAsia="宋体" w:cs="宋体"/>
        </w:rPr>
        <w:sectPr>
          <w:pgSz w:w="11905" w:h="16838"/>
          <w:pgMar w:top="1417" w:right="1417" w:bottom="1417" w:left="1417" w:header="720" w:footer="720" w:gutter="0"/>
          <w:cols w:space="720" w:num="1"/>
          <w:docGrid w:linePitch="286" w:charSpace="0"/>
        </w:sectPr>
      </w:pPr>
      <w:bookmarkStart w:id="252" w:name="_Toc525063283"/>
    </w:p>
    <w:bookmarkEnd w:id="241"/>
    <w:bookmarkEnd w:id="242"/>
    <w:bookmarkEnd w:id="243"/>
    <w:bookmarkEnd w:id="244"/>
    <w:bookmarkEnd w:id="245"/>
    <w:bookmarkEnd w:id="246"/>
    <w:bookmarkEnd w:id="247"/>
    <w:bookmarkEnd w:id="248"/>
    <w:bookmarkEnd w:id="249"/>
    <w:bookmarkEnd w:id="250"/>
    <w:bookmarkEnd w:id="251"/>
    <w:p>
      <w:pPr>
        <w:keepNext/>
        <w:keepLines/>
        <w:spacing w:line="360" w:lineRule="auto"/>
        <w:jc w:val="center"/>
        <w:outlineLvl w:val="1"/>
        <w:rPr>
          <w:rFonts w:ascii="宋体" w:hAnsi="宋体" w:cs="宋体"/>
          <w:sz w:val="32"/>
        </w:rPr>
      </w:pPr>
      <w:bookmarkStart w:id="253" w:name="_Toc15155"/>
      <w:bookmarkStart w:id="254" w:name="_Toc28074"/>
      <w:bookmarkStart w:id="255" w:name="_Toc38224861"/>
      <w:bookmarkStart w:id="256" w:name="_Toc9391"/>
      <w:bookmarkStart w:id="257" w:name="_Toc532367891"/>
      <w:bookmarkStart w:id="258" w:name="_Toc787"/>
      <w:bookmarkStart w:id="259" w:name="_Toc28597"/>
      <w:bookmarkStart w:id="260" w:name="_Toc24490"/>
      <w:bookmarkStart w:id="261" w:name="_Toc3626"/>
      <w:r>
        <w:rPr>
          <w:rFonts w:hint="eastAsia" w:ascii="宋体" w:hAnsi="宋体" w:cs="宋体"/>
          <w:b/>
          <w:bCs/>
          <w:sz w:val="32"/>
          <w:szCs w:val="32"/>
        </w:rPr>
        <w:t>二、法定代表人身份证明</w:t>
      </w:r>
      <w:bookmarkEnd w:id="253"/>
      <w:bookmarkEnd w:id="254"/>
      <w:bookmarkEnd w:id="255"/>
      <w:r>
        <w:rPr>
          <w:rFonts w:hint="eastAsia" w:ascii="宋体" w:hAnsi="宋体" w:cs="宋体"/>
          <w:b/>
          <w:bCs/>
          <w:sz w:val="32"/>
          <w:szCs w:val="32"/>
        </w:rPr>
        <w:tab/>
      </w:r>
      <w:r>
        <w:rPr>
          <w:rFonts w:hint="eastAsia" w:ascii="宋体" w:hAnsi="宋体" w:cs="宋体"/>
          <w:b/>
          <w:bCs/>
          <w:sz w:val="32"/>
          <w:szCs w:val="32"/>
        </w:rPr>
        <w:t>或授权委托书</w:t>
      </w:r>
    </w:p>
    <w:p>
      <w:pPr>
        <w:spacing w:line="440" w:lineRule="exact"/>
        <w:rPr>
          <w:rFonts w:ascii="宋体" w:hAnsi="宋体" w:cs="宋体"/>
          <w:sz w:val="20"/>
        </w:rPr>
      </w:pPr>
    </w:p>
    <w:p>
      <w:pPr>
        <w:spacing w:line="320" w:lineRule="atLeast"/>
        <w:jc w:val="center"/>
        <w:rPr>
          <w:rFonts w:ascii="宋体" w:hAnsi="宋体" w:cs="宋体"/>
          <w:b/>
          <w:bCs/>
          <w:color w:val="000000"/>
          <w:sz w:val="30"/>
          <w:szCs w:val="24"/>
        </w:rPr>
      </w:pPr>
      <w:r>
        <w:rPr>
          <w:rFonts w:hint="eastAsia" w:ascii="宋体" w:hAnsi="宋体" w:cs="宋体"/>
          <w:b/>
          <w:bCs/>
          <w:color w:val="000000"/>
          <w:sz w:val="30"/>
          <w:szCs w:val="24"/>
        </w:rPr>
        <w:t>法定代表人身份证明</w:t>
      </w:r>
    </w:p>
    <w:p>
      <w:pPr>
        <w:spacing w:line="440" w:lineRule="exact"/>
        <w:rPr>
          <w:rFonts w:ascii="宋体" w:hAnsi="宋体" w:cs="宋体"/>
        </w:rPr>
      </w:pPr>
    </w:p>
    <w:p>
      <w:pPr>
        <w:spacing w:line="360" w:lineRule="auto"/>
        <w:rPr>
          <w:rFonts w:ascii="宋体" w:hAnsi="宋体" w:cs="宋体"/>
          <w:sz w:val="22"/>
        </w:rPr>
      </w:pPr>
      <w:r>
        <w:rPr>
          <w:rFonts w:hint="eastAsia" w:ascii="宋体" w:hAnsi="宋体" w:cs="宋体"/>
          <w:sz w:val="22"/>
        </w:rPr>
        <w:t>投标人名称：</w:t>
      </w:r>
    </w:p>
    <w:p>
      <w:pPr>
        <w:spacing w:line="360" w:lineRule="auto"/>
        <w:rPr>
          <w:rFonts w:ascii="宋体" w:hAnsi="宋体" w:cs="宋体"/>
          <w:sz w:val="22"/>
        </w:rPr>
      </w:pPr>
      <w:r>
        <w:rPr>
          <w:rFonts w:hint="eastAsia" w:ascii="宋体" w:hAnsi="宋体" w:cs="宋体"/>
          <w:sz w:val="22"/>
        </w:rPr>
        <w:t>姓名：性别：</w:t>
      </w:r>
      <w:bookmarkStart w:id="262" w:name="_Toc27897"/>
      <w:bookmarkStart w:id="263" w:name="_Toc352691662"/>
      <w:bookmarkStart w:id="264" w:name="_Toc369531698"/>
      <w:r>
        <w:rPr>
          <w:rFonts w:hint="eastAsia" w:ascii="宋体" w:hAnsi="宋体" w:cs="宋体"/>
          <w:sz w:val="22"/>
        </w:rPr>
        <w:t>年</w:t>
      </w:r>
      <w:bookmarkEnd w:id="262"/>
      <w:bookmarkEnd w:id="263"/>
      <w:bookmarkEnd w:id="264"/>
      <w:r>
        <w:rPr>
          <w:rFonts w:hint="eastAsia" w:ascii="宋体" w:hAnsi="宋体" w:cs="宋体"/>
          <w:sz w:val="22"/>
        </w:rPr>
        <w:t>龄</w:t>
      </w:r>
      <w:bookmarkStart w:id="265" w:name="_Toc361508754"/>
      <w:bookmarkStart w:id="266" w:name="_Toc369531699"/>
      <w:bookmarkStart w:id="267" w:name="_Toc352691663"/>
      <w:bookmarkStart w:id="268" w:name="_Toc144974858"/>
      <w:bookmarkStart w:id="269" w:name="_Toc15573"/>
      <w:bookmarkStart w:id="270" w:name="_Toc152042578"/>
      <w:bookmarkStart w:id="271" w:name="_Toc152045789"/>
      <w:bookmarkStart w:id="272" w:name="_Toc247527829"/>
      <w:bookmarkStart w:id="273" w:name="_Toc384308377"/>
      <w:bookmarkStart w:id="274" w:name="_Toc300835211"/>
      <w:bookmarkStart w:id="275" w:name="_Toc247514248"/>
      <w:r>
        <w:rPr>
          <w:rFonts w:hint="eastAsia" w:ascii="宋体" w:hAnsi="宋体" w:cs="宋体"/>
          <w:sz w:val="22"/>
        </w:rPr>
        <w:t>：</w:t>
      </w:r>
      <w:bookmarkEnd w:id="265"/>
      <w:bookmarkEnd w:id="266"/>
      <w:bookmarkEnd w:id="267"/>
      <w:bookmarkEnd w:id="268"/>
      <w:bookmarkEnd w:id="269"/>
      <w:bookmarkEnd w:id="270"/>
      <w:bookmarkEnd w:id="271"/>
      <w:bookmarkEnd w:id="272"/>
      <w:bookmarkEnd w:id="273"/>
      <w:bookmarkEnd w:id="274"/>
      <w:bookmarkEnd w:id="275"/>
      <w:r>
        <w:rPr>
          <w:rFonts w:hint="eastAsia" w:ascii="宋体" w:hAnsi="宋体" w:cs="宋体"/>
          <w:sz w:val="22"/>
        </w:rPr>
        <w:t>职务：</w:t>
      </w:r>
    </w:p>
    <w:p>
      <w:pPr>
        <w:spacing w:line="360" w:lineRule="auto"/>
        <w:rPr>
          <w:rFonts w:ascii="宋体" w:hAnsi="宋体" w:cs="宋体"/>
          <w:sz w:val="22"/>
        </w:rPr>
      </w:pPr>
      <w:r>
        <w:rPr>
          <w:rFonts w:hint="eastAsia" w:ascii="宋体" w:hAnsi="宋体" w:cs="宋体"/>
          <w:sz w:val="22"/>
        </w:rPr>
        <w:t>系（投标人名称）的法定代表人。</w:t>
      </w:r>
    </w:p>
    <w:p>
      <w:pPr>
        <w:spacing w:line="360" w:lineRule="auto"/>
        <w:ind w:firstLine="440" w:firstLineChars="200"/>
        <w:rPr>
          <w:rFonts w:ascii="宋体" w:hAnsi="宋体" w:cs="宋体"/>
          <w:sz w:val="22"/>
        </w:rPr>
      </w:pPr>
      <w:r>
        <w:rPr>
          <w:rFonts w:hint="eastAsia" w:ascii="宋体" w:hAnsi="宋体" w:cs="宋体"/>
          <w:sz w:val="22"/>
        </w:rPr>
        <w:t>特此证明。</w:t>
      </w: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附：法定代表人身份证扫描件。</w:t>
      </w: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注：本身份证明需由投标人加盖单位公章。</w:t>
      </w:r>
    </w:p>
    <w:p>
      <w:pPr>
        <w:spacing w:line="360" w:lineRule="auto"/>
        <w:rPr>
          <w:rFonts w:ascii="宋体" w:hAnsi="宋体" w:cs="宋体"/>
          <w:sz w:val="22"/>
        </w:rPr>
      </w:pPr>
    </w:p>
    <w:p>
      <w:pPr>
        <w:spacing w:line="360" w:lineRule="auto"/>
        <w:rPr>
          <w:rFonts w:ascii="宋体" w:hAnsi="宋体" w:cs="宋体"/>
          <w:sz w:val="22"/>
        </w:rPr>
      </w:pPr>
    </w:p>
    <w:p>
      <w:pPr>
        <w:spacing w:line="360" w:lineRule="auto"/>
        <w:jc w:val="right"/>
        <w:rPr>
          <w:rFonts w:ascii="宋体" w:hAnsi="宋体" w:cs="宋体"/>
          <w:color w:val="000000"/>
          <w:sz w:val="22"/>
        </w:rPr>
      </w:pPr>
      <w:r>
        <w:rPr>
          <w:rFonts w:hint="eastAsia" w:ascii="宋体" w:hAnsi="宋体" w:cs="宋体"/>
          <w:color w:val="000000"/>
          <w:sz w:val="22"/>
        </w:rPr>
        <w:t>投标人：</w:t>
      </w:r>
      <w:r>
        <w:rPr>
          <w:rFonts w:hint="eastAsia" w:ascii="宋体" w:hAnsi="宋体" w:cs="宋体"/>
          <w:color w:val="000000"/>
          <w:sz w:val="22"/>
          <w:u w:val="single"/>
        </w:rPr>
        <w:tab/>
      </w:r>
      <w:r>
        <w:rPr>
          <w:rFonts w:hint="eastAsia" w:ascii="宋体" w:hAnsi="宋体" w:cs="宋体"/>
          <w:color w:val="000000"/>
          <w:sz w:val="22"/>
          <w:u w:val="single"/>
        </w:rPr>
        <w:t>　　　　　　　　　　　</w:t>
      </w:r>
      <w:r>
        <w:rPr>
          <w:rFonts w:hint="eastAsia" w:ascii="宋体" w:hAnsi="宋体" w:cs="宋体"/>
          <w:color w:val="000000"/>
          <w:sz w:val="22"/>
        </w:rPr>
        <w:t>（盖单位章）</w:t>
      </w:r>
    </w:p>
    <w:p>
      <w:pPr>
        <w:spacing w:line="360" w:lineRule="auto"/>
        <w:rPr>
          <w:rFonts w:ascii="宋体" w:hAnsi="宋体" w:cs="宋体"/>
          <w:sz w:val="22"/>
        </w:rPr>
      </w:pPr>
    </w:p>
    <w:p>
      <w:pPr>
        <w:spacing w:line="360" w:lineRule="auto"/>
        <w:ind w:firstLine="4840" w:firstLineChars="2200"/>
        <w:rPr>
          <w:rFonts w:ascii="宋体" w:hAnsi="宋体" w:cs="宋体"/>
          <w:sz w:val="22"/>
        </w:rPr>
      </w:pPr>
      <w:r>
        <w:rPr>
          <w:rFonts w:hint="eastAsia" w:ascii="宋体" w:hAnsi="宋体" w:cs="宋体"/>
          <w:sz w:val="22"/>
        </w:rPr>
        <w:t>年　月　日</w:t>
      </w:r>
    </w:p>
    <w:p>
      <w:pPr>
        <w:spacing w:line="440" w:lineRule="exact"/>
        <w:rPr>
          <w:rFonts w:ascii="宋体" w:hAnsi="宋体" w:cs="宋体"/>
          <w:sz w:val="20"/>
        </w:rPr>
      </w:pPr>
    </w:p>
    <w:p>
      <w:pPr>
        <w:spacing w:line="440" w:lineRule="exact"/>
        <w:rPr>
          <w:rFonts w:ascii="宋体" w:hAnsi="宋体" w:cs="宋体"/>
          <w:sz w:val="20"/>
        </w:rPr>
      </w:pPr>
    </w:p>
    <w:p>
      <w:pPr>
        <w:spacing w:line="440" w:lineRule="exact"/>
        <w:rPr>
          <w:rFonts w:ascii="宋体" w:hAnsi="宋体" w:cs="宋体"/>
          <w:sz w:val="20"/>
        </w:rPr>
      </w:pPr>
    </w:p>
    <w:p>
      <w:pPr>
        <w:spacing w:line="440" w:lineRule="exact"/>
        <w:rPr>
          <w:rFonts w:ascii="宋体" w:hAnsi="宋体" w:cs="宋体"/>
          <w:sz w:val="20"/>
        </w:rPr>
      </w:pPr>
    </w:p>
    <w:p>
      <w:pPr>
        <w:spacing w:line="440" w:lineRule="exact"/>
        <w:rPr>
          <w:rFonts w:ascii="宋体" w:hAnsi="宋体" w:cs="仿宋_GB2312"/>
          <w:sz w:val="20"/>
        </w:rPr>
      </w:pPr>
      <w:r>
        <w:rPr>
          <w:rFonts w:hint="eastAsia" w:ascii="宋体" w:hAnsi="宋体" w:cs="仿宋_GB2312"/>
          <w:b/>
          <w:szCs w:val="21"/>
          <w:shd w:val="clear" w:color="auto" w:fill="FFFFFF"/>
        </w:rPr>
        <w:t>注：</w:t>
      </w:r>
      <w:r>
        <w:rPr>
          <w:rFonts w:hint="eastAsia" w:ascii="宋体" w:hAnsi="宋体"/>
          <w:b/>
          <w:szCs w:val="21"/>
        </w:rPr>
        <w:t>若为联合体投标，联合体各方均需提供。</w:t>
      </w:r>
    </w:p>
    <w:p>
      <w:pPr>
        <w:spacing w:line="440" w:lineRule="exact"/>
        <w:rPr>
          <w:rFonts w:ascii="宋体" w:hAnsi="宋体" w:cs="宋体"/>
          <w:sz w:val="20"/>
        </w:rPr>
      </w:pPr>
    </w:p>
    <w:p>
      <w:pPr>
        <w:spacing w:line="440" w:lineRule="exact"/>
        <w:rPr>
          <w:rFonts w:ascii="宋体" w:hAnsi="宋体" w:cs="宋体"/>
          <w:sz w:val="20"/>
        </w:rPr>
      </w:pPr>
    </w:p>
    <w:p>
      <w:pPr>
        <w:spacing w:line="440" w:lineRule="exact"/>
        <w:rPr>
          <w:rFonts w:ascii="宋体" w:hAnsi="宋体" w:cs="宋体"/>
          <w:sz w:val="20"/>
        </w:rPr>
      </w:pPr>
      <w:r>
        <w:rPr>
          <w:rFonts w:hint="eastAsia" w:ascii="宋体" w:hAnsi="宋体" w:cs="宋体"/>
          <w:sz w:val="20"/>
        </w:rPr>
        <w:br w:type="page"/>
      </w:r>
      <w:bookmarkEnd w:id="252"/>
      <w:bookmarkEnd w:id="256"/>
      <w:bookmarkEnd w:id="257"/>
      <w:bookmarkEnd w:id="258"/>
      <w:bookmarkEnd w:id="259"/>
      <w:bookmarkEnd w:id="260"/>
      <w:bookmarkEnd w:id="261"/>
    </w:p>
    <w:p>
      <w:pPr>
        <w:spacing w:line="320" w:lineRule="atLeast"/>
        <w:jc w:val="center"/>
        <w:rPr>
          <w:rFonts w:ascii="宋体" w:hAnsi="宋体" w:cs="宋体"/>
          <w:b/>
          <w:bCs/>
          <w:color w:val="000000"/>
          <w:sz w:val="30"/>
          <w:szCs w:val="24"/>
        </w:rPr>
      </w:pPr>
      <w:bookmarkStart w:id="276" w:name="_Toc22093"/>
      <w:bookmarkStart w:id="277" w:name="_Toc38224862"/>
      <w:bookmarkStart w:id="278" w:name="_Toc6013"/>
      <w:bookmarkStart w:id="279" w:name="_Toc25035"/>
      <w:bookmarkStart w:id="280" w:name="_Toc15147"/>
      <w:bookmarkStart w:id="281" w:name="_Toc23444"/>
      <w:bookmarkStart w:id="282" w:name="_Toc29040"/>
      <w:bookmarkStart w:id="283" w:name="_Toc532367892"/>
      <w:bookmarkStart w:id="284" w:name="_Toc525063284"/>
      <w:bookmarkStart w:id="285" w:name="_Toc8221"/>
      <w:r>
        <w:rPr>
          <w:rFonts w:hint="eastAsia" w:ascii="宋体" w:hAnsi="宋体" w:cs="宋体"/>
          <w:b/>
          <w:bCs/>
          <w:color w:val="000000"/>
          <w:sz w:val="30"/>
          <w:szCs w:val="24"/>
        </w:rPr>
        <w:t>授权委托书</w:t>
      </w:r>
      <w:bookmarkEnd w:id="276"/>
      <w:bookmarkEnd w:id="277"/>
      <w:bookmarkEnd w:id="278"/>
    </w:p>
    <w:p>
      <w:pPr>
        <w:spacing w:line="440" w:lineRule="exact"/>
        <w:rPr>
          <w:rFonts w:ascii="宋体" w:hAnsi="宋体" w:cs="宋体"/>
        </w:rPr>
      </w:pPr>
    </w:p>
    <w:p>
      <w:pPr>
        <w:topLinePunct/>
        <w:spacing w:line="360" w:lineRule="auto"/>
        <w:ind w:firstLine="440" w:firstLineChars="200"/>
        <w:rPr>
          <w:rFonts w:ascii="宋体" w:hAnsi="宋体" w:cs="宋体"/>
          <w:sz w:val="22"/>
        </w:rPr>
      </w:pPr>
      <w:r>
        <w:rPr>
          <w:rFonts w:hint="eastAsia" w:ascii="宋体" w:hAnsi="宋体" w:cs="宋体"/>
          <w:sz w:val="22"/>
        </w:rPr>
        <w:t>本人（姓名）系（投标人名称）的法定代表人，现委托（姓名）为我方代理人。代理人根据授权，以我方名义签署、澄清确认、递交、撤回、修改招标项目投标文件、签订合同和处理有关事宜，其法律后果由我方承担。</w:t>
      </w:r>
    </w:p>
    <w:p>
      <w:pPr>
        <w:spacing w:line="360" w:lineRule="auto"/>
        <w:rPr>
          <w:rFonts w:ascii="宋体" w:hAnsi="宋体" w:cs="宋体"/>
          <w:sz w:val="22"/>
        </w:rPr>
      </w:pPr>
      <w:r>
        <w:rPr>
          <w:rFonts w:hint="eastAsia" w:ascii="宋体" w:hAnsi="宋体" w:cs="宋体"/>
          <w:sz w:val="22"/>
        </w:rPr>
        <w:t>委托期限：。</w:t>
      </w:r>
    </w:p>
    <w:p>
      <w:pPr>
        <w:spacing w:line="360" w:lineRule="auto"/>
        <w:ind w:firstLine="440" w:firstLineChars="200"/>
        <w:rPr>
          <w:rFonts w:ascii="宋体" w:hAnsi="宋体" w:cs="宋体"/>
          <w:sz w:val="22"/>
        </w:rPr>
      </w:pPr>
      <w:r>
        <w:rPr>
          <w:rFonts w:hint="eastAsia" w:ascii="宋体" w:hAnsi="宋体" w:cs="宋体"/>
          <w:sz w:val="22"/>
        </w:rPr>
        <w:t>代理人无转委托权。</w:t>
      </w:r>
    </w:p>
    <w:p>
      <w:pPr>
        <w:spacing w:line="360" w:lineRule="auto"/>
        <w:ind w:firstLine="440" w:firstLineChars="200"/>
        <w:rPr>
          <w:rFonts w:ascii="宋体" w:hAnsi="宋体" w:cs="宋体"/>
          <w:sz w:val="22"/>
        </w:rPr>
      </w:pPr>
    </w:p>
    <w:p>
      <w:pPr>
        <w:spacing w:line="360" w:lineRule="auto"/>
        <w:rPr>
          <w:rFonts w:ascii="宋体" w:hAnsi="宋体" w:cs="宋体"/>
          <w:sz w:val="22"/>
        </w:rPr>
      </w:pPr>
      <w:r>
        <w:rPr>
          <w:rFonts w:hint="eastAsia" w:ascii="宋体" w:hAnsi="宋体" w:cs="宋体"/>
          <w:sz w:val="22"/>
        </w:rPr>
        <w:t>附：法定代表人身份证扫描件及委托代理人身份证扫描件。</w:t>
      </w: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注：本授权委托书需由投标人加盖单位公章并由其法定代表人和委托代理人签字</w:t>
      </w:r>
      <w:r>
        <w:rPr>
          <w:rFonts w:hint="eastAsia" w:ascii="宋体" w:hAnsi="宋体" w:cs="宋体"/>
          <w:sz w:val="22"/>
          <w:lang w:eastAsia="zh-Hans"/>
        </w:rPr>
        <w:t>或盖章</w:t>
      </w:r>
      <w:r>
        <w:rPr>
          <w:rFonts w:hint="eastAsia" w:ascii="宋体" w:hAnsi="宋体" w:cs="宋体"/>
          <w:sz w:val="22"/>
        </w:rPr>
        <w:t>。</w:t>
      </w:r>
    </w:p>
    <w:p>
      <w:pPr>
        <w:spacing w:line="360" w:lineRule="auto"/>
        <w:rPr>
          <w:rFonts w:ascii="宋体" w:hAnsi="宋体" w:cs="宋体"/>
          <w:sz w:val="22"/>
        </w:rPr>
      </w:pPr>
    </w:p>
    <w:p>
      <w:pPr>
        <w:spacing w:line="360" w:lineRule="auto"/>
        <w:ind w:firstLine="2820" w:firstLineChars="1282"/>
        <w:rPr>
          <w:rFonts w:ascii="宋体" w:hAnsi="宋体" w:cs="宋体"/>
          <w:color w:val="000000"/>
          <w:sz w:val="22"/>
        </w:rPr>
      </w:pPr>
      <w:r>
        <w:rPr>
          <w:rFonts w:hint="eastAsia" w:ascii="宋体" w:hAnsi="宋体" w:cs="宋体"/>
          <w:color w:val="000000"/>
          <w:sz w:val="22"/>
        </w:rPr>
        <w:t>投标人：</w:t>
      </w:r>
      <w:r>
        <w:rPr>
          <w:rFonts w:hint="eastAsia" w:ascii="宋体" w:hAnsi="宋体" w:cs="宋体"/>
          <w:color w:val="000000"/>
          <w:sz w:val="22"/>
          <w:u w:val="single"/>
        </w:rPr>
        <w:t>　　　　　　　　　　　　　　</w:t>
      </w:r>
      <w:r>
        <w:rPr>
          <w:rFonts w:hint="eastAsia" w:ascii="宋体" w:hAnsi="宋体" w:cs="宋体"/>
          <w:color w:val="000000"/>
          <w:sz w:val="22"/>
        </w:rPr>
        <w:t>（盖单位章）</w:t>
      </w:r>
    </w:p>
    <w:p>
      <w:pPr>
        <w:spacing w:line="360" w:lineRule="auto"/>
        <w:ind w:firstLine="2820" w:firstLineChars="1282"/>
        <w:rPr>
          <w:rFonts w:ascii="宋体" w:hAnsi="宋体" w:cs="宋体"/>
          <w:color w:val="000000"/>
          <w:sz w:val="22"/>
        </w:rPr>
      </w:pPr>
    </w:p>
    <w:p>
      <w:pPr>
        <w:spacing w:line="360" w:lineRule="auto"/>
        <w:ind w:firstLine="2818" w:firstLineChars="1281"/>
        <w:jc w:val="left"/>
        <w:rPr>
          <w:rFonts w:ascii="宋体" w:hAnsi="宋体" w:cs="宋体"/>
          <w:color w:val="000000"/>
          <w:sz w:val="22"/>
        </w:rPr>
      </w:pPr>
      <w:r>
        <w:rPr>
          <w:rFonts w:hint="eastAsia" w:ascii="宋体" w:hAnsi="宋体" w:cs="宋体"/>
          <w:color w:val="000000"/>
          <w:sz w:val="22"/>
        </w:rPr>
        <w:t>法定代表人：</w:t>
      </w:r>
      <w:r>
        <w:rPr>
          <w:rFonts w:hint="eastAsia" w:ascii="宋体" w:hAnsi="宋体" w:cs="宋体"/>
          <w:color w:val="000000"/>
          <w:sz w:val="22"/>
          <w:u w:val="single"/>
        </w:rPr>
        <w:t>　　　　　　　</w:t>
      </w:r>
      <w:r>
        <w:rPr>
          <w:rFonts w:hint="eastAsia" w:ascii="宋体" w:hAnsi="宋体" w:cs="宋体"/>
          <w:color w:val="000000"/>
          <w:sz w:val="22"/>
        </w:rPr>
        <w:t>（签字</w:t>
      </w:r>
      <w:r>
        <w:rPr>
          <w:rFonts w:hint="eastAsia" w:ascii="宋体" w:hAnsi="宋体" w:cs="宋体"/>
          <w:color w:val="000000"/>
          <w:sz w:val="22"/>
          <w:lang w:eastAsia="zh-Hans"/>
        </w:rPr>
        <w:t>或盖章</w:t>
      </w:r>
      <w:r>
        <w:rPr>
          <w:rFonts w:hint="eastAsia" w:ascii="宋体" w:hAnsi="宋体" w:cs="宋体"/>
          <w:color w:val="000000"/>
          <w:sz w:val="22"/>
        </w:rPr>
        <w:t>）</w:t>
      </w:r>
    </w:p>
    <w:p>
      <w:pPr>
        <w:spacing w:line="360" w:lineRule="auto"/>
        <w:ind w:firstLine="2820" w:firstLineChars="1282"/>
        <w:rPr>
          <w:rFonts w:ascii="宋体" w:hAnsi="宋体" w:cs="宋体"/>
          <w:color w:val="000000"/>
          <w:sz w:val="22"/>
        </w:rPr>
      </w:pPr>
    </w:p>
    <w:p>
      <w:pPr>
        <w:spacing w:line="360" w:lineRule="auto"/>
        <w:ind w:firstLine="2820" w:firstLineChars="1282"/>
        <w:rPr>
          <w:rFonts w:ascii="宋体" w:hAnsi="宋体" w:cs="宋体"/>
          <w:color w:val="000000"/>
          <w:sz w:val="22"/>
          <w:u w:val="single"/>
        </w:rPr>
      </w:pPr>
      <w:r>
        <w:rPr>
          <w:rFonts w:hint="eastAsia" w:ascii="宋体" w:hAnsi="宋体" w:cs="宋体"/>
          <w:color w:val="000000"/>
          <w:sz w:val="22"/>
        </w:rPr>
        <w:t>身份证号码：</w:t>
      </w:r>
      <w:r>
        <w:rPr>
          <w:rFonts w:hint="eastAsia" w:ascii="宋体" w:hAnsi="宋体" w:cs="宋体"/>
          <w:color w:val="000000"/>
          <w:sz w:val="22"/>
          <w:u w:val="single"/>
        </w:rPr>
        <w:t>　　　　　　　　　　　　　　</w:t>
      </w:r>
    </w:p>
    <w:p>
      <w:pPr>
        <w:spacing w:line="360" w:lineRule="auto"/>
        <w:ind w:firstLine="2820" w:firstLineChars="1282"/>
        <w:rPr>
          <w:rFonts w:ascii="宋体" w:hAnsi="宋体" w:cs="宋体"/>
          <w:color w:val="000000"/>
          <w:sz w:val="22"/>
        </w:rPr>
      </w:pPr>
    </w:p>
    <w:p>
      <w:pPr>
        <w:spacing w:line="360" w:lineRule="auto"/>
        <w:ind w:firstLine="2820" w:firstLineChars="1282"/>
        <w:rPr>
          <w:rFonts w:ascii="宋体" w:hAnsi="宋体" w:cs="宋体"/>
          <w:color w:val="000000"/>
          <w:sz w:val="22"/>
        </w:rPr>
      </w:pPr>
      <w:r>
        <w:rPr>
          <w:rFonts w:hint="eastAsia" w:ascii="宋体" w:hAnsi="宋体" w:cs="宋体"/>
          <w:color w:val="000000"/>
          <w:sz w:val="22"/>
        </w:rPr>
        <w:t>委托代理人：</w:t>
      </w:r>
      <w:r>
        <w:rPr>
          <w:rFonts w:hint="eastAsia" w:ascii="宋体" w:hAnsi="宋体" w:cs="宋体"/>
          <w:color w:val="000000"/>
          <w:sz w:val="22"/>
          <w:u w:val="single"/>
        </w:rPr>
        <w:t>　　　　　　　</w:t>
      </w:r>
      <w:r>
        <w:rPr>
          <w:rFonts w:hint="eastAsia" w:ascii="宋体" w:hAnsi="宋体" w:cs="宋体"/>
          <w:color w:val="000000"/>
          <w:sz w:val="22"/>
        </w:rPr>
        <w:t>（签字</w:t>
      </w:r>
      <w:r>
        <w:rPr>
          <w:rFonts w:hint="eastAsia" w:ascii="宋体" w:hAnsi="宋体" w:cs="宋体"/>
          <w:color w:val="000000"/>
          <w:sz w:val="22"/>
          <w:lang w:eastAsia="zh-Hans"/>
        </w:rPr>
        <w:t>或盖章</w:t>
      </w:r>
      <w:r>
        <w:rPr>
          <w:rFonts w:hint="eastAsia" w:ascii="宋体" w:hAnsi="宋体" w:cs="宋体"/>
          <w:color w:val="000000"/>
          <w:sz w:val="22"/>
        </w:rPr>
        <w:t>）</w:t>
      </w:r>
    </w:p>
    <w:p>
      <w:pPr>
        <w:spacing w:line="360" w:lineRule="auto"/>
        <w:ind w:firstLine="2820" w:firstLineChars="1282"/>
        <w:rPr>
          <w:rFonts w:ascii="宋体" w:hAnsi="宋体" w:cs="宋体"/>
          <w:color w:val="000000"/>
          <w:sz w:val="22"/>
        </w:rPr>
      </w:pPr>
    </w:p>
    <w:p>
      <w:pPr>
        <w:spacing w:line="360" w:lineRule="auto"/>
        <w:ind w:firstLine="2820" w:firstLineChars="1282"/>
        <w:rPr>
          <w:rFonts w:ascii="宋体" w:hAnsi="宋体" w:cs="宋体"/>
          <w:color w:val="000000"/>
          <w:sz w:val="22"/>
          <w:u w:val="single"/>
        </w:rPr>
      </w:pPr>
      <w:r>
        <w:rPr>
          <w:rFonts w:hint="eastAsia" w:ascii="宋体" w:hAnsi="宋体" w:cs="宋体"/>
          <w:color w:val="000000"/>
          <w:sz w:val="22"/>
        </w:rPr>
        <w:t>身份证号码：</w:t>
      </w:r>
      <w:r>
        <w:rPr>
          <w:rFonts w:hint="eastAsia" w:ascii="宋体" w:hAnsi="宋体" w:cs="宋体"/>
          <w:color w:val="000000"/>
          <w:sz w:val="22"/>
          <w:u w:val="single"/>
        </w:rPr>
        <w:t>　　　　　　　　　　　　　　</w:t>
      </w:r>
    </w:p>
    <w:p>
      <w:pPr>
        <w:spacing w:line="360" w:lineRule="auto"/>
        <w:rPr>
          <w:rFonts w:ascii="宋体" w:hAnsi="宋体" w:cs="宋体"/>
          <w:sz w:val="22"/>
        </w:rPr>
      </w:pPr>
    </w:p>
    <w:p>
      <w:pPr>
        <w:spacing w:line="360" w:lineRule="auto"/>
        <w:rPr>
          <w:rFonts w:ascii="宋体" w:hAnsi="宋体" w:cs="宋体"/>
          <w:sz w:val="22"/>
        </w:rPr>
      </w:pPr>
    </w:p>
    <w:p>
      <w:pPr>
        <w:spacing w:line="360" w:lineRule="auto"/>
        <w:ind w:firstLine="4250" w:firstLineChars="1932"/>
        <w:jc w:val="right"/>
        <w:rPr>
          <w:rFonts w:ascii="宋体" w:hAnsi="宋体" w:cs="宋体"/>
          <w:sz w:val="22"/>
        </w:rPr>
      </w:pPr>
      <w:r>
        <w:rPr>
          <w:rFonts w:hint="eastAsia" w:ascii="宋体" w:hAnsi="宋体" w:cs="宋体"/>
          <w:sz w:val="22"/>
        </w:rPr>
        <w:t>年   月   日</w:t>
      </w:r>
      <w:bookmarkEnd w:id="279"/>
      <w:bookmarkEnd w:id="280"/>
      <w:bookmarkEnd w:id="281"/>
      <w:bookmarkEnd w:id="282"/>
      <w:bookmarkEnd w:id="283"/>
      <w:bookmarkEnd w:id="284"/>
      <w:bookmarkEnd w:id="285"/>
    </w:p>
    <w:p>
      <w:pPr>
        <w:spacing w:line="440" w:lineRule="exact"/>
        <w:ind w:firstLine="4057" w:firstLineChars="1932"/>
        <w:jc w:val="right"/>
        <w:rPr>
          <w:rFonts w:ascii="宋体" w:hAnsi="宋体" w:cs="宋体"/>
        </w:rPr>
      </w:pPr>
    </w:p>
    <w:p>
      <w:pPr>
        <w:rPr>
          <w:rFonts w:ascii="宋体" w:hAnsi="宋体" w:cs="宋体"/>
        </w:rPr>
      </w:pPr>
    </w:p>
    <w:p>
      <w:pPr>
        <w:spacing w:line="440" w:lineRule="exact"/>
        <w:rPr>
          <w:rFonts w:ascii="宋体" w:hAnsi="宋体" w:cs="仿宋_GB2312"/>
          <w:sz w:val="20"/>
        </w:rPr>
      </w:pPr>
      <w:bookmarkStart w:id="286" w:name="_Toc525063285"/>
      <w:r>
        <w:rPr>
          <w:rFonts w:hint="eastAsia" w:ascii="宋体" w:hAnsi="宋体" w:cs="仿宋_GB2312"/>
          <w:b/>
          <w:szCs w:val="21"/>
          <w:shd w:val="clear" w:color="auto" w:fill="FFFFFF"/>
        </w:rPr>
        <w:t>注：</w:t>
      </w:r>
      <w:r>
        <w:rPr>
          <w:rFonts w:hint="eastAsia" w:ascii="宋体" w:hAnsi="宋体"/>
          <w:b/>
          <w:szCs w:val="21"/>
        </w:rPr>
        <w:t>若为联合体投标，联合体各方均需提供。</w:t>
      </w:r>
    </w:p>
    <w:p>
      <w:pPr>
        <w:pStyle w:val="5"/>
        <w:keepNext w:val="0"/>
        <w:keepLines w:val="0"/>
        <w:jc w:val="center"/>
        <w:rPr>
          <w:rFonts w:ascii="宋体" w:hAnsi="宋体" w:eastAsia="宋体" w:cs="宋体"/>
        </w:rPr>
        <w:sectPr>
          <w:pgSz w:w="11905" w:h="16838"/>
          <w:pgMar w:top="1417" w:right="1417" w:bottom="1417" w:left="1417" w:header="720" w:footer="720" w:gutter="0"/>
          <w:cols w:space="720" w:num="1"/>
          <w:docGrid w:linePitch="286" w:charSpace="0"/>
        </w:sectPr>
      </w:pPr>
    </w:p>
    <w:p>
      <w:pPr>
        <w:keepNext/>
        <w:keepLines/>
        <w:widowControl/>
        <w:spacing w:line="360" w:lineRule="auto"/>
        <w:jc w:val="center"/>
        <w:outlineLvl w:val="1"/>
        <w:rPr>
          <w:rFonts w:ascii="宋体" w:hAnsi="宋体" w:cs="宋体"/>
          <w:b/>
          <w:bCs/>
          <w:sz w:val="36"/>
          <w:szCs w:val="36"/>
        </w:rPr>
      </w:pPr>
      <w:bookmarkStart w:id="287" w:name="_Toc7590"/>
      <w:bookmarkStart w:id="288" w:name="_Toc29217"/>
      <w:bookmarkStart w:id="289" w:name="_Toc26732"/>
      <w:bookmarkStart w:id="290" w:name="_Toc25059"/>
      <w:bookmarkStart w:id="291" w:name="_Toc24069"/>
      <w:bookmarkStart w:id="292" w:name="_Toc38224863"/>
      <w:bookmarkStart w:id="293" w:name="_Toc532367893"/>
      <w:bookmarkStart w:id="294" w:name="_Toc11116"/>
      <w:bookmarkStart w:id="295" w:name="_Toc10935"/>
      <w:r>
        <w:rPr>
          <w:rFonts w:hint="eastAsia" w:ascii="宋体" w:hAnsi="宋体" w:cs="宋体"/>
          <w:b/>
          <w:bCs/>
          <w:sz w:val="36"/>
          <w:szCs w:val="36"/>
        </w:rPr>
        <w:t>三、资格审查资料</w:t>
      </w:r>
    </w:p>
    <w:p>
      <w:pPr>
        <w:spacing w:line="400" w:lineRule="exact"/>
        <w:jc w:val="center"/>
        <w:rPr>
          <w:rFonts w:ascii="宋体" w:hAnsi="宋体" w:cs="仿宋_GB2312"/>
          <w:sz w:val="28"/>
          <w:szCs w:val="28"/>
        </w:rPr>
      </w:pPr>
      <w:r>
        <w:rPr>
          <w:rFonts w:hint="eastAsia" w:ascii="宋体" w:hAnsi="宋体" w:cs="仿宋_GB2312"/>
          <w:sz w:val="28"/>
          <w:szCs w:val="28"/>
        </w:rPr>
        <w:t>（具体要求详见招标公告）</w:t>
      </w:r>
    </w:p>
    <w:p>
      <w:pPr>
        <w:pStyle w:val="2"/>
        <w:ind w:firstLine="0"/>
        <w:rPr>
          <w:rFonts w:ascii="宋体" w:hAnsi="宋体" w:cs="宋体"/>
        </w:rPr>
      </w:pPr>
    </w:p>
    <w:p>
      <w:pPr>
        <w:pStyle w:val="2"/>
        <w:ind w:firstLine="0"/>
        <w:rPr>
          <w:rFonts w:ascii="宋体" w:hAnsi="宋体" w:cs="宋体"/>
        </w:rPr>
      </w:pPr>
    </w:p>
    <w:p>
      <w:pPr>
        <w:pStyle w:val="2"/>
        <w:ind w:firstLine="0"/>
        <w:rPr>
          <w:rFonts w:ascii="宋体" w:hAnsi="宋体" w:cs="宋体"/>
        </w:rPr>
      </w:pPr>
    </w:p>
    <w:p>
      <w:pPr>
        <w:pStyle w:val="2"/>
        <w:ind w:firstLine="0"/>
        <w:rPr>
          <w:rFonts w:ascii="宋体" w:hAnsi="宋体" w:cs="宋体"/>
        </w:rPr>
      </w:pPr>
    </w:p>
    <w:p>
      <w:pPr>
        <w:pStyle w:val="2"/>
        <w:ind w:firstLine="0"/>
        <w:rPr>
          <w:rFonts w:ascii="宋体" w:hAnsi="宋体" w:cs="宋体"/>
        </w:rPr>
      </w:pPr>
    </w:p>
    <w:p>
      <w:pPr>
        <w:pStyle w:val="2"/>
        <w:ind w:firstLine="0"/>
        <w:rPr>
          <w:rFonts w:ascii="宋体" w:hAnsi="宋体" w:cs="宋体"/>
        </w:rPr>
      </w:pPr>
    </w:p>
    <w:p>
      <w:pPr>
        <w:pStyle w:val="2"/>
        <w:ind w:firstLine="0"/>
        <w:rPr>
          <w:rFonts w:ascii="宋体" w:hAnsi="宋体" w:cs="宋体"/>
        </w:rPr>
      </w:pPr>
    </w:p>
    <w:p>
      <w:pPr>
        <w:pStyle w:val="2"/>
        <w:ind w:firstLine="0"/>
        <w:rPr>
          <w:rFonts w:ascii="宋体" w:hAnsi="宋体" w:cs="宋体"/>
        </w:rPr>
      </w:pPr>
      <w:r>
        <w:rPr>
          <w:rFonts w:ascii="宋体" w:hAnsi="宋体" w:cs="宋体"/>
        </w:rPr>
        <w:br w:type="page"/>
      </w:r>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四、联合体协议书</w:t>
      </w:r>
      <w:bookmarkEnd w:id="286"/>
      <w:bookmarkEnd w:id="287"/>
      <w:bookmarkEnd w:id="288"/>
      <w:bookmarkEnd w:id="289"/>
      <w:bookmarkEnd w:id="290"/>
      <w:bookmarkEnd w:id="291"/>
      <w:bookmarkEnd w:id="292"/>
      <w:bookmarkEnd w:id="293"/>
      <w:bookmarkEnd w:id="294"/>
      <w:bookmarkEnd w:id="295"/>
      <w:r>
        <w:rPr>
          <w:rFonts w:hint="eastAsia" w:ascii="宋体" w:hAnsi="宋体" w:cs="宋体"/>
          <w:b/>
          <w:bCs/>
          <w:sz w:val="32"/>
          <w:szCs w:val="32"/>
        </w:rPr>
        <w:t>（如有）</w:t>
      </w:r>
    </w:p>
    <w:p>
      <w:pPr>
        <w:spacing w:line="400" w:lineRule="exact"/>
        <w:jc w:val="center"/>
        <w:rPr>
          <w:rFonts w:ascii="宋体" w:hAnsi="宋体" w:cs="仿宋_GB2312"/>
          <w:sz w:val="28"/>
          <w:szCs w:val="28"/>
        </w:rPr>
      </w:pPr>
      <w:r>
        <w:rPr>
          <w:rFonts w:hint="eastAsia" w:ascii="宋体" w:hAnsi="宋体" w:cs="仿宋_GB2312"/>
          <w:sz w:val="28"/>
          <w:szCs w:val="28"/>
        </w:rPr>
        <w:t>（详见招标公告附件二）</w:t>
      </w:r>
    </w:p>
    <w:p>
      <w:pPr>
        <w:pStyle w:val="2"/>
        <w:ind w:firstLine="0"/>
        <w:rPr>
          <w:rFonts w:ascii="宋体" w:hAnsi="宋体" w:cs="宋体"/>
          <w:b/>
          <w:bCs/>
          <w:sz w:val="32"/>
          <w:szCs w:val="32"/>
        </w:rPr>
      </w:pPr>
    </w:p>
    <w:p>
      <w:pPr>
        <w:pStyle w:val="2"/>
        <w:ind w:firstLine="0"/>
        <w:rPr>
          <w:rFonts w:ascii="宋体" w:hAnsi="宋体" w:cs="宋体"/>
          <w:b/>
          <w:bCs/>
          <w:sz w:val="32"/>
          <w:szCs w:val="32"/>
        </w:rPr>
      </w:pPr>
      <w:r>
        <w:rPr>
          <w:rFonts w:ascii="宋体" w:hAnsi="宋体" w:cs="宋体"/>
          <w:b/>
          <w:bCs/>
          <w:sz w:val="32"/>
          <w:szCs w:val="32"/>
        </w:rPr>
        <w:br w:type="page"/>
      </w:r>
    </w:p>
    <w:p>
      <w:pPr>
        <w:keepNext/>
        <w:keepLines/>
        <w:spacing w:line="360" w:lineRule="auto"/>
        <w:jc w:val="center"/>
        <w:outlineLvl w:val="1"/>
        <w:rPr>
          <w:rFonts w:ascii="宋体" w:hAnsi="宋体" w:cs="宋体"/>
          <w:sz w:val="32"/>
        </w:rPr>
      </w:pPr>
      <w:bookmarkStart w:id="296" w:name="_Toc38224864"/>
      <w:bookmarkStart w:id="297" w:name="_Toc532367894"/>
      <w:bookmarkStart w:id="298" w:name="_Toc20312"/>
      <w:bookmarkStart w:id="299" w:name="_Toc31768"/>
      <w:bookmarkStart w:id="300" w:name="_Toc8045"/>
      <w:bookmarkStart w:id="301" w:name="_Toc3553"/>
      <w:bookmarkStart w:id="302" w:name="_Toc31952"/>
      <w:bookmarkStart w:id="303" w:name="_Toc27945"/>
      <w:bookmarkStart w:id="304" w:name="_Toc525063286"/>
      <w:bookmarkStart w:id="305" w:name="_Toc9821"/>
      <w:r>
        <w:rPr>
          <w:rFonts w:hint="eastAsia" w:ascii="宋体" w:hAnsi="宋体" w:cs="宋体"/>
          <w:b/>
          <w:bCs/>
          <w:sz w:val="32"/>
          <w:szCs w:val="32"/>
        </w:rPr>
        <w:t>五、</w:t>
      </w:r>
      <w:bookmarkStart w:id="306" w:name="_Toc352691666"/>
      <w:bookmarkStart w:id="307" w:name="_Toc152042581"/>
      <w:bookmarkStart w:id="308" w:name="_Toc361508757"/>
      <w:bookmarkStart w:id="309" w:name="_Toc247527832"/>
      <w:bookmarkStart w:id="310" w:name="_Toc247514284"/>
      <w:bookmarkStart w:id="311" w:name="_Toc369531702"/>
      <w:bookmarkStart w:id="312" w:name="_Toc13469"/>
      <w:bookmarkStart w:id="313" w:name="_Toc152045792"/>
      <w:bookmarkStart w:id="314" w:name="_Toc144974861"/>
      <w:bookmarkStart w:id="315" w:name="_Toc384308381"/>
      <w:bookmarkStart w:id="316" w:name="_Toc300835214"/>
      <w:r>
        <w:rPr>
          <w:rFonts w:hint="eastAsia" w:ascii="宋体" w:hAnsi="宋体" w:cs="宋体"/>
          <w:b/>
          <w:bCs/>
          <w:sz w:val="32"/>
          <w:szCs w:val="32"/>
        </w:rPr>
        <w:t>投标保证金</w:t>
      </w:r>
      <w:bookmarkEnd w:id="296"/>
      <w:bookmarkEnd w:id="297"/>
      <w:bookmarkEnd w:id="298"/>
      <w:bookmarkEnd w:id="299"/>
      <w:bookmarkEnd w:id="300"/>
      <w:bookmarkEnd w:id="301"/>
      <w:bookmarkEnd w:id="302"/>
      <w:bookmarkEnd w:id="303"/>
      <w:bookmarkEnd w:id="304"/>
      <w:bookmarkEnd w:id="305"/>
    </w:p>
    <w:bookmarkEnd w:id="306"/>
    <w:bookmarkEnd w:id="307"/>
    <w:bookmarkEnd w:id="308"/>
    <w:bookmarkEnd w:id="309"/>
    <w:bookmarkEnd w:id="310"/>
    <w:bookmarkEnd w:id="311"/>
    <w:bookmarkEnd w:id="312"/>
    <w:bookmarkEnd w:id="313"/>
    <w:bookmarkEnd w:id="314"/>
    <w:bookmarkEnd w:id="315"/>
    <w:bookmarkEnd w:id="316"/>
    <w:p>
      <w:pPr>
        <w:spacing w:line="400" w:lineRule="exact"/>
        <w:jc w:val="center"/>
        <w:rPr>
          <w:rFonts w:ascii="宋体" w:hAnsi="宋体" w:cs="仿宋_GB2312"/>
          <w:sz w:val="28"/>
          <w:szCs w:val="28"/>
        </w:rPr>
      </w:pPr>
      <w:bookmarkStart w:id="317" w:name="_Toc13759"/>
      <w:bookmarkStart w:id="318" w:name="_Toc377719915"/>
      <w:bookmarkStart w:id="319" w:name="_Toc11618"/>
      <w:bookmarkStart w:id="320" w:name="_Toc9368"/>
      <w:bookmarkStart w:id="321" w:name="_Toc532367895"/>
      <w:bookmarkStart w:id="322" w:name="_Toc10653"/>
      <w:bookmarkStart w:id="323" w:name="_Toc9008"/>
      <w:bookmarkStart w:id="324" w:name="_Toc10525"/>
      <w:bookmarkStart w:id="325" w:name="_Toc38224865"/>
      <w:bookmarkStart w:id="326" w:name="_Toc19269"/>
      <w:bookmarkStart w:id="327" w:name="_Toc13785"/>
      <w:r>
        <w:rPr>
          <w:rFonts w:hint="eastAsia" w:ascii="宋体" w:hAnsi="宋体" w:cs="仿宋_GB2312"/>
          <w:sz w:val="28"/>
          <w:szCs w:val="28"/>
        </w:rPr>
        <w:t>（该项目不需要投标保证金）</w:t>
      </w:r>
    </w:p>
    <w:p>
      <w:pPr>
        <w:pStyle w:val="2"/>
        <w:ind w:firstLine="0"/>
        <w:rPr>
          <w:rFonts w:ascii="宋体" w:hAnsi="宋体" w:cs="宋体"/>
          <w:b/>
          <w:bCs/>
          <w:sz w:val="32"/>
          <w:szCs w:val="32"/>
        </w:rPr>
      </w:pPr>
    </w:p>
    <w:p>
      <w:pPr>
        <w:pStyle w:val="2"/>
        <w:ind w:firstLine="0"/>
        <w:rPr>
          <w:rFonts w:ascii="宋体" w:hAnsi="宋体" w:cs="宋体"/>
          <w:b/>
          <w:bCs/>
          <w:sz w:val="32"/>
          <w:szCs w:val="32"/>
        </w:rPr>
      </w:pPr>
    </w:p>
    <w:p>
      <w:pPr>
        <w:pStyle w:val="2"/>
        <w:ind w:firstLine="0"/>
        <w:rPr>
          <w:rFonts w:ascii="宋体" w:hAnsi="宋体" w:cs="宋体"/>
          <w:b/>
          <w:bCs/>
          <w:sz w:val="32"/>
          <w:szCs w:val="32"/>
        </w:rPr>
      </w:pPr>
    </w:p>
    <w:p>
      <w:pPr>
        <w:pStyle w:val="2"/>
        <w:ind w:firstLine="0"/>
        <w:rPr>
          <w:rFonts w:ascii="宋体" w:hAnsi="宋体" w:cs="宋体"/>
          <w:b/>
          <w:bCs/>
          <w:sz w:val="32"/>
          <w:szCs w:val="32"/>
        </w:rPr>
      </w:pPr>
    </w:p>
    <w:p>
      <w:pPr>
        <w:pStyle w:val="2"/>
        <w:ind w:firstLine="0"/>
        <w:rPr>
          <w:rFonts w:ascii="宋体" w:hAnsi="宋体" w:cs="宋体"/>
          <w:b/>
          <w:bCs/>
          <w:sz w:val="32"/>
          <w:szCs w:val="32"/>
        </w:rPr>
      </w:pPr>
      <w:r>
        <w:rPr>
          <w:rFonts w:ascii="宋体" w:hAnsi="宋体" w:cs="宋体"/>
          <w:b/>
          <w:bCs/>
          <w:sz w:val="32"/>
          <w:szCs w:val="32"/>
        </w:rPr>
        <w:br w:type="page"/>
      </w:r>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六、</w:t>
      </w:r>
      <w:bookmarkEnd w:id="317"/>
      <w:bookmarkEnd w:id="318"/>
      <w:bookmarkEnd w:id="319"/>
      <w:bookmarkEnd w:id="320"/>
      <w:bookmarkEnd w:id="321"/>
      <w:bookmarkEnd w:id="322"/>
      <w:bookmarkEnd w:id="323"/>
      <w:bookmarkEnd w:id="324"/>
      <w:r>
        <w:rPr>
          <w:rFonts w:hint="eastAsia" w:ascii="宋体" w:hAnsi="宋体" w:cs="宋体"/>
          <w:b/>
          <w:bCs/>
          <w:sz w:val="32"/>
          <w:szCs w:val="32"/>
        </w:rPr>
        <w:t>合同条款响应</w:t>
      </w:r>
      <w:bookmarkEnd w:id="325"/>
      <w:bookmarkEnd w:id="326"/>
      <w:bookmarkEnd w:id="327"/>
    </w:p>
    <w:p>
      <w:pPr>
        <w:spacing w:line="360" w:lineRule="auto"/>
        <w:rPr>
          <w:rFonts w:ascii="宋体" w:hAnsi="宋体" w:cs="宋体"/>
          <w:sz w:val="22"/>
        </w:rPr>
      </w:pPr>
      <w:r>
        <w:rPr>
          <w:rFonts w:hint="eastAsia" w:ascii="宋体" w:hAnsi="宋体" w:cs="宋体"/>
          <w:sz w:val="22"/>
        </w:rPr>
        <w:t>投标项目名称：</w:t>
      </w:r>
    </w:p>
    <w:p>
      <w:pPr>
        <w:spacing w:line="360" w:lineRule="auto"/>
        <w:rPr>
          <w:rFonts w:ascii="宋体" w:hAnsi="宋体" w:cs="宋体"/>
          <w:sz w:val="22"/>
        </w:rPr>
      </w:pPr>
      <w:r>
        <w:rPr>
          <w:rFonts w:hint="eastAsia" w:ascii="宋体" w:hAnsi="宋体" w:cs="宋体"/>
          <w:sz w:val="22"/>
        </w:rPr>
        <w:t>招标编号：</w:t>
      </w:r>
    </w:p>
    <w:p>
      <w:pPr>
        <w:spacing w:line="560" w:lineRule="exact"/>
        <w:ind w:firstLine="480"/>
        <w:rPr>
          <w:rFonts w:ascii="宋体" w:hAnsi="宋体" w:cs="宋体"/>
          <w:sz w:val="22"/>
        </w:rPr>
      </w:pPr>
      <w:r>
        <w:rPr>
          <w:rFonts w:hint="eastAsia" w:ascii="宋体" w:hAnsi="宋体" w:cs="宋体"/>
          <w:sz w:val="22"/>
        </w:rPr>
        <w:t>在仔细分析研究了贵单位提供的</w:t>
      </w:r>
      <w:r>
        <w:rPr>
          <w:rFonts w:hint="eastAsia" w:ascii="宋体" w:hAnsi="宋体" w:cs="宋体"/>
          <w:sz w:val="22"/>
          <w:u w:val="single"/>
          <w:lang w:eastAsia="zh-CN"/>
        </w:rPr>
        <w:t>广东省妇幼保健院（省儿童医院）儿科医疗科技楼建设工程项目第三方检测和监测服务</w:t>
      </w:r>
      <w:r>
        <w:rPr>
          <w:rFonts w:hint="eastAsia" w:ascii="宋体" w:hAnsi="宋体" w:cs="宋体"/>
          <w:sz w:val="22"/>
        </w:rPr>
        <w:t>招标文件及合同条款后，我方</w:t>
      </w:r>
      <w:r>
        <w:rPr>
          <w:rFonts w:hint="eastAsia" w:ascii="宋体" w:hAnsi="宋体" w:cs="宋体"/>
          <w:sz w:val="22"/>
          <w:u w:val="single"/>
        </w:rPr>
        <w:t xml:space="preserve">    （</w:t>
      </w:r>
      <w:r>
        <w:rPr>
          <w:rFonts w:hint="eastAsia" w:ascii="宋体" w:hAnsi="宋体" w:cs="宋体"/>
          <w:sz w:val="22"/>
        </w:rPr>
        <w:t>愿意或不愿意）并遵照并响应本合同条款，承担全部服务任务工作。</w:t>
      </w:r>
    </w:p>
    <w:p>
      <w:pPr>
        <w:spacing w:line="360" w:lineRule="auto"/>
        <w:rPr>
          <w:rFonts w:ascii="宋体" w:hAnsi="宋体" w:cs="宋体"/>
          <w:sz w:val="22"/>
        </w:rPr>
      </w:pPr>
    </w:p>
    <w:p>
      <w:pPr>
        <w:ind w:firstLine="220" w:firstLineChars="100"/>
        <w:rPr>
          <w:rFonts w:ascii="宋体" w:hAnsi="宋体" w:cs="宋体"/>
          <w:sz w:val="22"/>
        </w:rPr>
      </w:pPr>
    </w:p>
    <w:p>
      <w:pPr>
        <w:spacing w:line="360" w:lineRule="auto"/>
        <w:ind w:firstLine="220" w:firstLineChars="100"/>
        <w:rPr>
          <w:rFonts w:ascii="宋体" w:hAnsi="宋体" w:cs="宋体"/>
          <w:sz w:val="22"/>
        </w:rPr>
      </w:pPr>
      <w:r>
        <w:rPr>
          <w:rFonts w:hint="eastAsia" w:ascii="宋体" w:hAnsi="宋体" w:cs="宋体"/>
          <w:sz w:val="22"/>
        </w:rPr>
        <w:t>投标人名称（公章）：</w:t>
      </w:r>
    </w:p>
    <w:p>
      <w:pPr>
        <w:spacing w:line="360" w:lineRule="auto"/>
        <w:rPr>
          <w:rFonts w:ascii="宋体" w:hAnsi="宋体" w:cs="宋体"/>
          <w:sz w:val="22"/>
        </w:rPr>
      </w:pPr>
    </w:p>
    <w:p>
      <w:pPr>
        <w:spacing w:line="360" w:lineRule="auto"/>
        <w:ind w:firstLine="220" w:firstLineChars="100"/>
        <w:rPr>
          <w:rFonts w:ascii="宋体" w:hAnsi="宋体" w:cs="宋体"/>
          <w:sz w:val="22"/>
        </w:rPr>
      </w:pPr>
      <w:r>
        <w:rPr>
          <w:rFonts w:hint="eastAsia" w:ascii="宋体" w:hAnsi="宋体" w:cs="宋体"/>
          <w:sz w:val="22"/>
        </w:rPr>
        <w:t>投标人授权代表姓名、职务（印刷体）：</w:t>
      </w:r>
    </w:p>
    <w:p>
      <w:pPr>
        <w:spacing w:line="360" w:lineRule="auto"/>
        <w:ind w:firstLine="220" w:firstLineChars="100"/>
        <w:rPr>
          <w:rFonts w:ascii="宋体" w:hAnsi="宋体" w:cs="宋体"/>
          <w:sz w:val="22"/>
        </w:rPr>
      </w:pPr>
    </w:p>
    <w:p>
      <w:pPr>
        <w:spacing w:line="360" w:lineRule="auto"/>
        <w:ind w:firstLine="220" w:firstLineChars="100"/>
        <w:rPr>
          <w:rFonts w:ascii="宋体" w:hAnsi="宋体" w:cs="宋体"/>
          <w:sz w:val="22"/>
        </w:rPr>
      </w:pPr>
      <w:r>
        <w:rPr>
          <w:rFonts w:hint="eastAsia" w:ascii="宋体" w:hAnsi="宋体" w:cs="宋体"/>
          <w:sz w:val="22"/>
        </w:rPr>
        <w:t>投标人授权代表签字</w:t>
      </w:r>
      <w:r>
        <w:rPr>
          <w:rFonts w:hint="eastAsia" w:ascii="宋体" w:hAnsi="宋体" w:cs="宋体"/>
          <w:sz w:val="22"/>
          <w:lang w:eastAsia="zh-Hans"/>
        </w:rPr>
        <w:t>或盖章</w:t>
      </w:r>
      <w:r>
        <w:rPr>
          <w:rFonts w:hint="eastAsia" w:ascii="宋体" w:hAnsi="宋体" w:cs="宋体"/>
          <w:sz w:val="22"/>
        </w:rPr>
        <w:t>：</w:t>
      </w:r>
    </w:p>
    <w:p>
      <w:pPr>
        <w:spacing w:line="360" w:lineRule="auto"/>
        <w:ind w:firstLine="220" w:firstLineChars="100"/>
        <w:jc w:val="left"/>
        <w:rPr>
          <w:rFonts w:ascii="宋体" w:hAnsi="宋体" w:cs="宋体"/>
          <w:sz w:val="22"/>
        </w:rPr>
      </w:pPr>
    </w:p>
    <w:p>
      <w:pPr>
        <w:spacing w:line="360" w:lineRule="auto"/>
        <w:ind w:firstLine="220" w:firstLineChars="100"/>
        <w:jc w:val="left"/>
        <w:rPr>
          <w:rFonts w:ascii="宋体" w:hAnsi="宋体" w:cs="宋体"/>
          <w:sz w:val="22"/>
        </w:rPr>
      </w:pPr>
      <w:r>
        <w:rPr>
          <w:rFonts w:hint="eastAsia" w:ascii="宋体" w:hAnsi="宋体" w:cs="宋体"/>
          <w:sz w:val="22"/>
        </w:rPr>
        <w:t>日期：   年   月    日</w:t>
      </w:r>
    </w:p>
    <w:p>
      <w:pPr>
        <w:spacing w:line="400" w:lineRule="exact"/>
        <w:jc w:val="left"/>
        <w:rPr>
          <w:rFonts w:ascii="宋体" w:hAnsi="宋体" w:cs="宋体"/>
          <w:sz w:val="28"/>
          <w:szCs w:val="28"/>
        </w:rPr>
      </w:pPr>
    </w:p>
    <w:p>
      <w:pPr>
        <w:keepNext/>
        <w:keepLines/>
        <w:spacing w:before="240" w:after="240" w:line="416" w:lineRule="auto"/>
        <w:outlineLvl w:val="1"/>
        <w:rPr>
          <w:rFonts w:ascii="宋体" w:hAnsi="宋体" w:cs="宋体"/>
          <w:b/>
          <w:bCs/>
          <w:sz w:val="40"/>
          <w:szCs w:val="32"/>
        </w:rPr>
        <w:sectPr>
          <w:pgSz w:w="11905" w:h="16838"/>
          <w:pgMar w:top="1418" w:right="1417" w:bottom="1418" w:left="1417" w:header="851" w:footer="794" w:gutter="0"/>
          <w:cols w:space="720" w:num="1"/>
          <w:docGrid w:type="lines" w:linePitch="312" w:charSpace="0"/>
        </w:sectPr>
      </w:pPr>
      <w:bookmarkStart w:id="328" w:name="_Toc377719916"/>
      <w:bookmarkStart w:id="329" w:name="_Toc32483"/>
    </w:p>
    <w:p>
      <w:pPr>
        <w:keepNext/>
        <w:keepLines/>
        <w:spacing w:line="360" w:lineRule="auto"/>
        <w:jc w:val="center"/>
        <w:outlineLvl w:val="1"/>
        <w:rPr>
          <w:rFonts w:ascii="宋体" w:hAnsi="宋体" w:cs="宋体"/>
          <w:b/>
          <w:bCs/>
          <w:sz w:val="32"/>
          <w:szCs w:val="32"/>
        </w:rPr>
      </w:pPr>
      <w:bookmarkStart w:id="330" w:name="_Toc532367896"/>
      <w:bookmarkStart w:id="331" w:name="_Toc12800"/>
      <w:bookmarkStart w:id="332" w:name="_Toc23762"/>
      <w:bookmarkStart w:id="333" w:name="_Toc29731"/>
      <w:bookmarkStart w:id="334" w:name="_Toc7316"/>
      <w:bookmarkStart w:id="335" w:name="_Toc24823"/>
      <w:bookmarkStart w:id="336" w:name="_Toc21254"/>
      <w:bookmarkStart w:id="337" w:name="_Toc17600"/>
      <w:bookmarkStart w:id="338" w:name="_Toc38224866"/>
      <w:r>
        <w:rPr>
          <w:rFonts w:hint="eastAsia" w:ascii="宋体" w:hAnsi="宋体" w:cs="宋体"/>
          <w:b/>
          <w:bCs/>
          <w:sz w:val="32"/>
          <w:szCs w:val="32"/>
        </w:rPr>
        <w:t>七、</w:t>
      </w:r>
      <w:bookmarkEnd w:id="328"/>
      <w:bookmarkEnd w:id="329"/>
      <w:bookmarkEnd w:id="330"/>
      <w:bookmarkEnd w:id="331"/>
      <w:bookmarkEnd w:id="332"/>
      <w:bookmarkEnd w:id="333"/>
      <w:bookmarkEnd w:id="334"/>
      <w:bookmarkEnd w:id="335"/>
      <w:r>
        <w:rPr>
          <w:rFonts w:hint="eastAsia" w:ascii="宋体" w:hAnsi="宋体" w:cs="宋体"/>
          <w:b/>
          <w:bCs/>
          <w:sz w:val="32"/>
          <w:szCs w:val="32"/>
        </w:rPr>
        <w:t>投标人声明</w:t>
      </w:r>
      <w:bookmarkEnd w:id="336"/>
      <w:bookmarkEnd w:id="337"/>
      <w:bookmarkEnd w:id="338"/>
    </w:p>
    <w:p>
      <w:pPr>
        <w:spacing w:line="400" w:lineRule="exact"/>
        <w:jc w:val="center"/>
        <w:rPr>
          <w:rFonts w:ascii="宋体" w:hAnsi="宋体" w:cs="宋体"/>
          <w:sz w:val="28"/>
          <w:szCs w:val="28"/>
        </w:rPr>
      </w:pPr>
      <w:r>
        <w:rPr>
          <w:rFonts w:hint="eastAsia" w:ascii="宋体" w:hAnsi="宋体" w:cs="宋体"/>
          <w:sz w:val="28"/>
          <w:szCs w:val="28"/>
        </w:rPr>
        <w:t>（详见招标公告附件一）</w:t>
      </w:r>
    </w:p>
    <w:p>
      <w:pPr>
        <w:pStyle w:val="2"/>
        <w:ind w:firstLine="0"/>
      </w:pPr>
    </w:p>
    <w:p>
      <w:pPr>
        <w:pStyle w:val="2"/>
        <w:ind w:firstLine="0"/>
      </w:pPr>
    </w:p>
    <w:p>
      <w:pPr>
        <w:pStyle w:val="2"/>
        <w:ind w:firstLine="0"/>
      </w:pPr>
    </w:p>
    <w:p>
      <w:pPr>
        <w:pStyle w:val="2"/>
        <w:ind w:firstLine="0"/>
      </w:pPr>
    </w:p>
    <w:p>
      <w:pPr>
        <w:jc w:val="left"/>
        <w:rPr>
          <w:rFonts w:ascii="宋体" w:hAnsi="宋体" w:cs="宋体"/>
          <w:szCs w:val="24"/>
        </w:rPr>
      </w:pPr>
      <w:r>
        <w:rPr>
          <w:rFonts w:hint="eastAsia" w:ascii="宋体" w:hAnsi="宋体" w:cs="仿宋_GB2312"/>
          <w:sz w:val="28"/>
          <w:szCs w:val="28"/>
        </w:rPr>
        <w:br w:type="page"/>
      </w:r>
      <w:bookmarkStart w:id="339" w:name="_Toc9140"/>
      <w:bookmarkStart w:id="340" w:name="_Toc38224867"/>
      <w:bookmarkStart w:id="341" w:name="_Toc377719917"/>
      <w:bookmarkStart w:id="342" w:name="_Toc29747"/>
      <w:bookmarkStart w:id="343" w:name="_Toc13214"/>
      <w:bookmarkStart w:id="344" w:name="_Toc25406"/>
      <w:bookmarkStart w:id="345" w:name="_Toc18694"/>
      <w:bookmarkStart w:id="346" w:name="_Toc12738"/>
      <w:bookmarkStart w:id="347" w:name="_Toc532367897"/>
      <w:bookmarkStart w:id="348" w:name="_Toc17488"/>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八、拟投入本项目的检测和监测人员一览表</w:t>
      </w:r>
      <w:bookmarkEnd w:id="339"/>
      <w:bookmarkEnd w:id="340"/>
    </w:p>
    <w:bookmarkEnd w:id="341"/>
    <w:bookmarkEnd w:id="342"/>
    <w:bookmarkEnd w:id="343"/>
    <w:bookmarkEnd w:id="344"/>
    <w:bookmarkEnd w:id="345"/>
    <w:bookmarkEnd w:id="346"/>
    <w:bookmarkEnd w:id="347"/>
    <w:bookmarkEnd w:id="348"/>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337"/>
        <w:gridCol w:w="941"/>
        <w:gridCol w:w="1567"/>
        <w:gridCol w:w="1247"/>
        <w:gridCol w:w="1413"/>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99" w:type="dxa"/>
            <w:noWrap w:val="0"/>
            <w:vAlign w:val="center"/>
          </w:tcPr>
          <w:p>
            <w:pPr>
              <w:snapToGrid w:val="0"/>
              <w:spacing w:line="240" w:lineRule="atLeast"/>
              <w:jc w:val="center"/>
              <w:rPr>
                <w:rFonts w:ascii="宋体" w:hAnsi="宋体" w:cs="宋体"/>
                <w:sz w:val="22"/>
              </w:rPr>
            </w:pPr>
            <w:r>
              <w:rPr>
                <w:rFonts w:hint="eastAsia" w:ascii="宋体" w:hAnsi="宋体" w:cs="宋体"/>
                <w:sz w:val="22"/>
              </w:rPr>
              <w:t>序号</w:t>
            </w:r>
          </w:p>
        </w:tc>
        <w:tc>
          <w:tcPr>
            <w:tcW w:w="1337" w:type="dxa"/>
            <w:noWrap w:val="0"/>
            <w:vAlign w:val="center"/>
          </w:tcPr>
          <w:p>
            <w:pPr>
              <w:snapToGrid w:val="0"/>
              <w:spacing w:line="240" w:lineRule="atLeast"/>
              <w:jc w:val="center"/>
              <w:rPr>
                <w:rFonts w:ascii="宋体" w:hAnsi="宋体" w:cs="宋体"/>
                <w:sz w:val="22"/>
              </w:rPr>
            </w:pPr>
            <w:r>
              <w:rPr>
                <w:rFonts w:hint="eastAsia" w:ascii="宋体" w:hAnsi="宋体" w:cs="宋体"/>
                <w:sz w:val="22"/>
              </w:rPr>
              <w:t>姓名</w:t>
            </w:r>
          </w:p>
        </w:tc>
        <w:tc>
          <w:tcPr>
            <w:tcW w:w="941" w:type="dxa"/>
            <w:noWrap w:val="0"/>
            <w:vAlign w:val="center"/>
          </w:tcPr>
          <w:p>
            <w:pPr>
              <w:snapToGrid w:val="0"/>
              <w:spacing w:line="240" w:lineRule="atLeast"/>
              <w:jc w:val="center"/>
              <w:rPr>
                <w:rFonts w:ascii="宋体" w:hAnsi="宋体" w:cs="宋体"/>
                <w:sz w:val="22"/>
              </w:rPr>
            </w:pPr>
            <w:r>
              <w:rPr>
                <w:rFonts w:hint="eastAsia" w:ascii="宋体" w:hAnsi="宋体" w:cs="宋体"/>
                <w:sz w:val="22"/>
              </w:rPr>
              <w:t>年龄</w:t>
            </w:r>
          </w:p>
        </w:tc>
        <w:tc>
          <w:tcPr>
            <w:tcW w:w="1567" w:type="dxa"/>
            <w:noWrap w:val="0"/>
            <w:vAlign w:val="center"/>
          </w:tcPr>
          <w:p>
            <w:pPr>
              <w:snapToGrid w:val="0"/>
              <w:spacing w:line="240" w:lineRule="atLeast"/>
              <w:jc w:val="center"/>
              <w:rPr>
                <w:rFonts w:ascii="宋体" w:hAnsi="宋体" w:cs="宋体"/>
                <w:sz w:val="22"/>
              </w:rPr>
            </w:pPr>
            <w:r>
              <w:rPr>
                <w:rFonts w:hint="eastAsia" w:ascii="宋体" w:hAnsi="宋体" w:cs="宋体"/>
                <w:sz w:val="22"/>
              </w:rPr>
              <w:t>拟在本项目任职职位</w:t>
            </w:r>
          </w:p>
        </w:tc>
        <w:tc>
          <w:tcPr>
            <w:tcW w:w="1247" w:type="dxa"/>
            <w:noWrap w:val="0"/>
            <w:vAlign w:val="center"/>
          </w:tcPr>
          <w:p>
            <w:pPr>
              <w:snapToGrid w:val="0"/>
              <w:spacing w:line="240" w:lineRule="atLeast"/>
              <w:jc w:val="center"/>
              <w:rPr>
                <w:rFonts w:ascii="宋体" w:hAnsi="宋体" w:cs="宋体"/>
                <w:sz w:val="22"/>
              </w:rPr>
            </w:pPr>
            <w:r>
              <w:rPr>
                <w:rFonts w:hint="eastAsia" w:ascii="宋体" w:hAnsi="宋体" w:cs="宋体"/>
                <w:sz w:val="22"/>
              </w:rPr>
              <w:t>学历</w:t>
            </w:r>
          </w:p>
        </w:tc>
        <w:tc>
          <w:tcPr>
            <w:tcW w:w="1413" w:type="dxa"/>
            <w:noWrap w:val="0"/>
            <w:vAlign w:val="center"/>
          </w:tcPr>
          <w:p>
            <w:pPr>
              <w:snapToGrid w:val="0"/>
              <w:spacing w:line="240" w:lineRule="atLeast"/>
              <w:jc w:val="center"/>
              <w:rPr>
                <w:rFonts w:ascii="宋体" w:hAnsi="宋体" w:cs="宋体"/>
                <w:sz w:val="22"/>
              </w:rPr>
            </w:pPr>
            <w:r>
              <w:rPr>
                <w:rFonts w:hint="eastAsia" w:ascii="宋体" w:hAnsi="宋体" w:cs="宋体"/>
                <w:sz w:val="22"/>
              </w:rPr>
              <w:t>职称及专业</w:t>
            </w:r>
          </w:p>
        </w:tc>
        <w:tc>
          <w:tcPr>
            <w:tcW w:w="1205" w:type="dxa"/>
            <w:noWrap w:val="0"/>
            <w:vAlign w:val="center"/>
          </w:tcPr>
          <w:p>
            <w:pPr>
              <w:snapToGrid w:val="0"/>
              <w:spacing w:line="240" w:lineRule="atLeast"/>
              <w:jc w:val="center"/>
              <w:rPr>
                <w:rFonts w:ascii="宋体" w:hAnsi="宋体" w:cs="宋体"/>
                <w:sz w:val="22"/>
              </w:rPr>
            </w:pPr>
            <w:r>
              <w:rPr>
                <w:rFonts w:hint="eastAsia" w:ascii="宋体" w:hAnsi="宋体" w:cs="宋体"/>
                <w:sz w:val="22"/>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noWrap w:val="0"/>
            <w:vAlign w:val="center"/>
          </w:tcPr>
          <w:p>
            <w:pPr>
              <w:jc w:val="center"/>
              <w:rPr>
                <w:rFonts w:ascii="宋体" w:hAnsi="宋体" w:cs="宋体"/>
                <w:sz w:val="22"/>
              </w:rPr>
            </w:pPr>
          </w:p>
        </w:tc>
        <w:tc>
          <w:tcPr>
            <w:tcW w:w="1337" w:type="dxa"/>
            <w:noWrap w:val="0"/>
            <w:vAlign w:val="center"/>
          </w:tcPr>
          <w:p>
            <w:pPr>
              <w:jc w:val="center"/>
              <w:rPr>
                <w:rFonts w:ascii="宋体" w:hAnsi="宋体" w:cs="宋体"/>
                <w:sz w:val="22"/>
              </w:rPr>
            </w:pPr>
          </w:p>
        </w:tc>
        <w:tc>
          <w:tcPr>
            <w:tcW w:w="941" w:type="dxa"/>
            <w:noWrap w:val="0"/>
            <w:vAlign w:val="center"/>
          </w:tcPr>
          <w:p>
            <w:pPr>
              <w:jc w:val="center"/>
              <w:rPr>
                <w:rFonts w:ascii="宋体" w:hAnsi="宋体" w:cs="宋体"/>
                <w:sz w:val="22"/>
              </w:rPr>
            </w:pPr>
          </w:p>
        </w:tc>
        <w:tc>
          <w:tcPr>
            <w:tcW w:w="1567" w:type="dxa"/>
            <w:noWrap w:val="0"/>
            <w:vAlign w:val="center"/>
          </w:tcPr>
          <w:p>
            <w:pPr>
              <w:jc w:val="center"/>
              <w:rPr>
                <w:rFonts w:ascii="宋体" w:hAnsi="宋体" w:cs="宋体"/>
                <w:sz w:val="22"/>
              </w:rPr>
            </w:pPr>
          </w:p>
        </w:tc>
        <w:tc>
          <w:tcPr>
            <w:tcW w:w="1247" w:type="dxa"/>
            <w:noWrap w:val="0"/>
            <w:vAlign w:val="center"/>
          </w:tcPr>
          <w:p>
            <w:pPr>
              <w:jc w:val="center"/>
              <w:rPr>
                <w:rFonts w:ascii="宋体" w:hAnsi="宋体" w:cs="宋体"/>
                <w:sz w:val="22"/>
              </w:rPr>
            </w:pPr>
          </w:p>
        </w:tc>
        <w:tc>
          <w:tcPr>
            <w:tcW w:w="1413" w:type="dxa"/>
            <w:noWrap w:val="0"/>
            <w:vAlign w:val="center"/>
          </w:tcPr>
          <w:p>
            <w:pPr>
              <w:jc w:val="center"/>
              <w:rPr>
                <w:rFonts w:ascii="宋体" w:hAnsi="宋体" w:cs="宋体"/>
                <w:sz w:val="22"/>
              </w:rPr>
            </w:pPr>
          </w:p>
        </w:tc>
        <w:tc>
          <w:tcPr>
            <w:tcW w:w="1205" w:type="dxa"/>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noWrap w:val="0"/>
            <w:vAlign w:val="center"/>
          </w:tcPr>
          <w:p>
            <w:pPr>
              <w:jc w:val="center"/>
              <w:rPr>
                <w:rFonts w:ascii="宋体" w:hAnsi="宋体" w:cs="宋体"/>
                <w:sz w:val="22"/>
              </w:rPr>
            </w:pPr>
          </w:p>
        </w:tc>
        <w:tc>
          <w:tcPr>
            <w:tcW w:w="1337" w:type="dxa"/>
            <w:noWrap w:val="0"/>
            <w:vAlign w:val="center"/>
          </w:tcPr>
          <w:p>
            <w:pPr>
              <w:jc w:val="center"/>
              <w:rPr>
                <w:rFonts w:ascii="宋体" w:hAnsi="宋体" w:cs="宋体"/>
                <w:sz w:val="22"/>
              </w:rPr>
            </w:pPr>
          </w:p>
        </w:tc>
        <w:tc>
          <w:tcPr>
            <w:tcW w:w="941" w:type="dxa"/>
            <w:noWrap w:val="0"/>
            <w:vAlign w:val="center"/>
          </w:tcPr>
          <w:p>
            <w:pPr>
              <w:jc w:val="center"/>
              <w:rPr>
                <w:rFonts w:ascii="宋体" w:hAnsi="宋体" w:cs="宋体"/>
                <w:sz w:val="22"/>
              </w:rPr>
            </w:pPr>
          </w:p>
        </w:tc>
        <w:tc>
          <w:tcPr>
            <w:tcW w:w="1567" w:type="dxa"/>
            <w:noWrap w:val="0"/>
            <w:vAlign w:val="center"/>
          </w:tcPr>
          <w:p>
            <w:pPr>
              <w:jc w:val="center"/>
              <w:rPr>
                <w:rFonts w:ascii="宋体" w:hAnsi="宋体" w:cs="宋体"/>
                <w:sz w:val="22"/>
              </w:rPr>
            </w:pPr>
          </w:p>
        </w:tc>
        <w:tc>
          <w:tcPr>
            <w:tcW w:w="1247" w:type="dxa"/>
            <w:noWrap w:val="0"/>
            <w:vAlign w:val="center"/>
          </w:tcPr>
          <w:p>
            <w:pPr>
              <w:jc w:val="center"/>
              <w:rPr>
                <w:rFonts w:ascii="宋体" w:hAnsi="宋体" w:cs="宋体"/>
                <w:sz w:val="22"/>
              </w:rPr>
            </w:pPr>
          </w:p>
        </w:tc>
        <w:tc>
          <w:tcPr>
            <w:tcW w:w="1413" w:type="dxa"/>
            <w:noWrap w:val="0"/>
            <w:vAlign w:val="center"/>
          </w:tcPr>
          <w:p>
            <w:pPr>
              <w:jc w:val="center"/>
              <w:rPr>
                <w:rFonts w:ascii="宋体" w:hAnsi="宋体" w:cs="宋体"/>
                <w:sz w:val="22"/>
              </w:rPr>
            </w:pPr>
          </w:p>
        </w:tc>
        <w:tc>
          <w:tcPr>
            <w:tcW w:w="1205" w:type="dxa"/>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noWrap w:val="0"/>
            <w:vAlign w:val="center"/>
          </w:tcPr>
          <w:p>
            <w:pPr>
              <w:jc w:val="center"/>
              <w:rPr>
                <w:rFonts w:ascii="宋体" w:hAnsi="宋体" w:cs="宋体"/>
                <w:sz w:val="22"/>
              </w:rPr>
            </w:pPr>
          </w:p>
        </w:tc>
        <w:tc>
          <w:tcPr>
            <w:tcW w:w="1337" w:type="dxa"/>
            <w:noWrap w:val="0"/>
            <w:vAlign w:val="center"/>
          </w:tcPr>
          <w:p>
            <w:pPr>
              <w:jc w:val="center"/>
              <w:rPr>
                <w:rFonts w:ascii="宋体" w:hAnsi="宋体" w:cs="宋体"/>
                <w:sz w:val="22"/>
              </w:rPr>
            </w:pPr>
          </w:p>
        </w:tc>
        <w:tc>
          <w:tcPr>
            <w:tcW w:w="941" w:type="dxa"/>
            <w:noWrap w:val="0"/>
            <w:vAlign w:val="center"/>
          </w:tcPr>
          <w:p>
            <w:pPr>
              <w:jc w:val="center"/>
              <w:rPr>
                <w:rFonts w:ascii="宋体" w:hAnsi="宋体" w:cs="宋体"/>
                <w:sz w:val="22"/>
              </w:rPr>
            </w:pPr>
          </w:p>
        </w:tc>
        <w:tc>
          <w:tcPr>
            <w:tcW w:w="1567" w:type="dxa"/>
            <w:noWrap w:val="0"/>
            <w:vAlign w:val="center"/>
          </w:tcPr>
          <w:p>
            <w:pPr>
              <w:jc w:val="center"/>
              <w:rPr>
                <w:rFonts w:ascii="宋体" w:hAnsi="宋体" w:cs="宋体"/>
                <w:sz w:val="22"/>
              </w:rPr>
            </w:pPr>
          </w:p>
        </w:tc>
        <w:tc>
          <w:tcPr>
            <w:tcW w:w="1247" w:type="dxa"/>
            <w:noWrap w:val="0"/>
            <w:vAlign w:val="center"/>
          </w:tcPr>
          <w:p>
            <w:pPr>
              <w:jc w:val="center"/>
              <w:rPr>
                <w:rFonts w:ascii="宋体" w:hAnsi="宋体" w:cs="宋体"/>
                <w:sz w:val="22"/>
              </w:rPr>
            </w:pPr>
          </w:p>
        </w:tc>
        <w:tc>
          <w:tcPr>
            <w:tcW w:w="1413" w:type="dxa"/>
            <w:noWrap w:val="0"/>
            <w:vAlign w:val="center"/>
          </w:tcPr>
          <w:p>
            <w:pPr>
              <w:jc w:val="center"/>
              <w:rPr>
                <w:rFonts w:ascii="宋体" w:hAnsi="宋体" w:cs="宋体"/>
                <w:sz w:val="22"/>
              </w:rPr>
            </w:pPr>
          </w:p>
        </w:tc>
        <w:tc>
          <w:tcPr>
            <w:tcW w:w="1205" w:type="dxa"/>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noWrap w:val="0"/>
            <w:vAlign w:val="center"/>
          </w:tcPr>
          <w:p>
            <w:pPr>
              <w:jc w:val="center"/>
              <w:rPr>
                <w:rFonts w:ascii="宋体" w:hAnsi="宋体" w:cs="宋体"/>
                <w:sz w:val="22"/>
              </w:rPr>
            </w:pPr>
          </w:p>
        </w:tc>
        <w:tc>
          <w:tcPr>
            <w:tcW w:w="1337" w:type="dxa"/>
            <w:noWrap w:val="0"/>
            <w:vAlign w:val="center"/>
          </w:tcPr>
          <w:p>
            <w:pPr>
              <w:jc w:val="center"/>
              <w:rPr>
                <w:rFonts w:ascii="宋体" w:hAnsi="宋体" w:cs="宋体"/>
                <w:sz w:val="22"/>
              </w:rPr>
            </w:pPr>
          </w:p>
        </w:tc>
        <w:tc>
          <w:tcPr>
            <w:tcW w:w="941" w:type="dxa"/>
            <w:noWrap w:val="0"/>
            <w:vAlign w:val="center"/>
          </w:tcPr>
          <w:p>
            <w:pPr>
              <w:jc w:val="center"/>
              <w:rPr>
                <w:rFonts w:ascii="宋体" w:hAnsi="宋体" w:cs="宋体"/>
                <w:sz w:val="22"/>
              </w:rPr>
            </w:pPr>
          </w:p>
        </w:tc>
        <w:tc>
          <w:tcPr>
            <w:tcW w:w="1567" w:type="dxa"/>
            <w:noWrap w:val="0"/>
            <w:vAlign w:val="center"/>
          </w:tcPr>
          <w:p>
            <w:pPr>
              <w:jc w:val="center"/>
              <w:rPr>
                <w:rFonts w:ascii="宋体" w:hAnsi="宋体" w:cs="宋体"/>
                <w:sz w:val="22"/>
              </w:rPr>
            </w:pPr>
          </w:p>
        </w:tc>
        <w:tc>
          <w:tcPr>
            <w:tcW w:w="1247" w:type="dxa"/>
            <w:noWrap w:val="0"/>
            <w:vAlign w:val="center"/>
          </w:tcPr>
          <w:p>
            <w:pPr>
              <w:jc w:val="center"/>
              <w:rPr>
                <w:rFonts w:ascii="宋体" w:hAnsi="宋体" w:cs="宋体"/>
                <w:sz w:val="22"/>
              </w:rPr>
            </w:pPr>
          </w:p>
        </w:tc>
        <w:tc>
          <w:tcPr>
            <w:tcW w:w="1413" w:type="dxa"/>
            <w:noWrap w:val="0"/>
            <w:vAlign w:val="center"/>
          </w:tcPr>
          <w:p>
            <w:pPr>
              <w:jc w:val="center"/>
              <w:rPr>
                <w:rFonts w:ascii="宋体" w:hAnsi="宋体" w:cs="宋体"/>
                <w:sz w:val="22"/>
              </w:rPr>
            </w:pPr>
          </w:p>
        </w:tc>
        <w:tc>
          <w:tcPr>
            <w:tcW w:w="1205" w:type="dxa"/>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noWrap w:val="0"/>
            <w:vAlign w:val="center"/>
          </w:tcPr>
          <w:p>
            <w:pPr>
              <w:jc w:val="center"/>
              <w:rPr>
                <w:rFonts w:ascii="宋体" w:hAnsi="宋体" w:cs="宋体"/>
                <w:sz w:val="22"/>
              </w:rPr>
            </w:pPr>
          </w:p>
        </w:tc>
        <w:tc>
          <w:tcPr>
            <w:tcW w:w="1337" w:type="dxa"/>
            <w:noWrap w:val="0"/>
            <w:vAlign w:val="center"/>
          </w:tcPr>
          <w:p>
            <w:pPr>
              <w:jc w:val="center"/>
              <w:rPr>
                <w:rFonts w:ascii="宋体" w:hAnsi="宋体" w:cs="宋体"/>
                <w:sz w:val="22"/>
              </w:rPr>
            </w:pPr>
          </w:p>
        </w:tc>
        <w:tc>
          <w:tcPr>
            <w:tcW w:w="941" w:type="dxa"/>
            <w:noWrap w:val="0"/>
            <w:vAlign w:val="center"/>
          </w:tcPr>
          <w:p>
            <w:pPr>
              <w:jc w:val="center"/>
              <w:rPr>
                <w:rFonts w:ascii="宋体" w:hAnsi="宋体" w:cs="宋体"/>
                <w:sz w:val="22"/>
              </w:rPr>
            </w:pPr>
          </w:p>
        </w:tc>
        <w:tc>
          <w:tcPr>
            <w:tcW w:w="1567" w:type="dxa"/>
            <w:noWrap w:val="0"/>
            <w:vAlign w:val="center"/>
          </w:tcPr>
          <w:p>
            <w:pPr>
              <w:jc w:val="center"/>
              <w:rPr>
                <w:rFonts w:ascii="宋体" w:hAnsi="宋体" w:cs="宋体"/>
                <w:sz w:val="22"/>
              </w:rPr>
            </w:pPr>
          </w:p>
        </w:tc>
        <w:tc>
          <w:tcPr>
            <w:tcW w:w="1247" w:type="dxa"/>
            <w:noWrap w:val="0"/>
            <w:vAlign w:val="center"/>
          </w:tcPr>
          <w:p>
            <w:pPr>
              <w:jc w:val="center"/>
              <w:rPr>
                <w:rFonts w:ascii="宋体" w:hAnsi="宋体" w:cs="宋体"/>
                <w:sz w:val="22"/>
              </w:rPr>
            </w:pPr>
          </w:p>
        </w:tc>
        <w:tc>
          <w:tcPr>
            <w:tcW w:w="1413" w:type="dxa"/>
            <w:noWrap w:val="0"/>
            <w:vAlign w:val="center"/>
          </w:tcPr>
          <w:p>
            <w:pPr>
              <w:jc w:val="center"/>
              <w:rPr>
                <w:rFonts w:ascii="宋体" w:hAnsi="宋体" w:cs="宋体"/>
                <w:sz w:val="22"/>
              </w:rPr>
            </w:pPr>
          </w:p>
        </w:tc>
        <w:tc>
          <w:tcPr>
            <w:tcW w:w="1205" w:type="dxa"/>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noWrap w:val="0"/>
            <w:vAlign w:val="center"/>
          </w:tcPr>
          <w:p>
            <w:pPr>
              <w:jc w:val="center"/>
              <w:rPr>
                <w:rFonts w:ascii="宋体" w:hAnsi="宋体" w:cs="宋体"/>
                <w:sz w:val="22"/>
              </w:rPr>
            </w:pPr>
          </w:p>
        </w:tc>
        <w:tc>
          <w:tcPr>
            <w:tcW w:w="1337" w:type="dxa"/>
            <w:noWrap w:val="0"/>
            <w:vAlign w:val="center"/>
          </w:tcPr>
          <w:p>
            <w:pPr>
              <w:jc w:val="center"/>
              <w:rPr>
                <w:rFonts w:ascii="宋体" w:hAnsi="宋体" w:cs="宋体"/>
                <w:sz w:val="22"/>
              </w:rPr>
            </w:pPr>
          </w:p>
        </w:tc>
        <w:tc>
          <w:tcPr>
            <w:tcW w:w="941" w:type="dxa"/>
            <w:noWrap w:val="0"/>
            <w:vAlign w:val="center"/>
          </w:tcPr>
          <w:p>
            <w:pPr>
              <w:jc w:val="center"/>
              <w:rPr>
                <w:rFonts w:ascii="宋体" w:hAnsi="宋体" w:cs="宋体"/>
                <w:sz w:val="22"/>
              </w:rPr>
            </w:pPr>
          </w:p>
        </w:tc>
        <w:tc>
          <w:tcPr>
            <w:tcW w:w="1567" w:type="dxa"/>
            <w:noWrap w:val="0"/>
            <w:vAlign w:val="center"/>
          </w:tcPr>
          <w:p>
            <w:pPr>
              <w:jc w:val="center"/>
              <w:rPr>
                <w:rFonts w:ascii="宋体" w:hAnsi="宋体" w:cs="宋体"/>
                <w:sz w:val="22"/>
              </w:rPr>
            </w:pPr>
          </w:p>
        </w:tc>
        <w:tc>
          <w:tcPr>
            <w:tcW w:w="1247" w:type="dxa"/>
            <w:noWrap w:val="0"/>
            <w:vAlign w:val="center"/>
          </w:tcPr>
          <w:p>
            <w:pPr>
              <w:jc w:val="center"/>
              <w:rPr>
                <w:rFonts w:ascii="宋体" w:hAnsi="宋体" w:cs="宋体"/>
                <w:sz w:val="22"/>
              </w:rPr>
            </w:pPr>
          </w:p>
        </w:tc>
        <w:tc>
          <w:tcPr>
            <w:tcW w:w="1413" w:type="dxa"/>
            <w:noWrap w:val="0"/>
            <w:vAlign w:val="center"/>
          </w:tcPr>
          <w:p>
            <w:pPr>
              <w:jc w:val="center"/>
              <w:rPr>
                <w:rFonts w:ascii="宋体" w:hAnsi="宋体" w:cs="宋体"/>
                <w:sz w:val="22"/>
              </w:rPr>
            </w:pPr>
          </w:p>
        </w:tc>
        <w:tc>
          <w:tcPr>
            <w:tcW w:w="1205" w:type="dxa"/>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noWrap w:val="0"/>
            <w:vAlign w:val="center"/>
          </w:tcPr>
          <w:p>
            <w:pPr>
              <w:jc w:val="center"/>
              <w:rPr>
                <w:rFonts w:ascii="宋体" w:hAnsi="宋体" w:cs="宋体"/>
                <w:sz w:val="22"/>
              </w:rPr>
            </w:pPr>
          </w:p>
        </w:tc>
        <w:tc>
          <w:tcPr>
            <w:tcW w:w="1337" w:type="dxa"/>
            <w:noWrap w:val="0"/>
            <w:vAlign w:val="center"/>
          </w:tcPr>
          <w:p>
            <w:pPr>
              <w:jc w:val="center"/>
              <w:rPr>
                <w:rFonts w:ascii="宋体" w:hAnsi="宋体" w:cs="宋体"/>
                <w:sz w:val="22"/>
              </w:rPr>
            </w:pPr>
          </w:p>
        </w:tc>
        <w:tc>
          <w:tcPr>
            <w:tcW w:w="941" w:type="dxa"/>
            <w:noWrap w:val="0"/>
            <w:vAlign w:val="center"/>
          </w:tcPr>
          <w:p>
            <w:pPr>
              <w:jc w:val="center"/>
              <w:rPr>
                <w:rFonts w:ascii="宋体" w:hAnsi="宋体" w:cs="宋体"/>
                <w:sz w:val="22"/>
              </w:rPr>
            </w:pPr>
          </w:p>
        </w:tc>
        <w:tc>
          <w:tcPr>
            <w:tcW w:w="1567" w:type="dxa"/>
            <w:noWrap w:val="0"/>
            <w:vAlign w:val="center"/>
          </w:tcPr>
          <w:p>
            <w:pPr>
              <w:jc w:val="center"/>
              <w:rPr>
                <w:rFonts w:ascii="宋体" w:hAnsi="宋体" w:cs="宋体"/>
                <w:sz w:val="22"/>
              </w:rPr>
            </w:pPr>
          </w:p>
        </w:tc>
        <w:tc>
          <w:tcPr>
            <w:tcW w:w="1247" w:type="dxa"/>
            <w:noWrap w:val="0"/>
            <w:vAlign w:val="center"/>
          </w:tcPr>
          <w:p>
            <w:pPr>
              <w:jc w:val="center"/>
              <w:rPr>
                <w:rFonts w:ascii="宋体" w:hAnsi="宋体" w:cs="宋体"/>
                <w:sz w:val="22"/>
              </w:rPr>
            </w:pPr>
          </w:p>
        </w:tc>
        <w:tc>
          <w:tcPr>
            <w:tcW w:w="1413" w:type="dxa"/>
            <w:noWrap w:val="0"/>
            <w:vAlign w:val="center"/>
          </w:tcPr>
          <w:p>
            <w:pPr>
              <w:jc w:val="center"/>
              <w:rPr>
                <w:rFonts w:ascii="宋体" w:hAnsi="宋体" w:cs="宋体"/>
                <w:sz w:val="22"/>
              </w:rPr>
            </w:pPr>
          </w:p>
        </w:tc>
        <w:tc>
          <w:tcPr>
            <w:tcW w:w="1205" w:type="dxa"/>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noWrap w:val="0"/>
            <w:vAlign w:val="center"/>
          </w:tcPr>
          <w:p>
            <w:pPr>
              <w:jc w:val="center"/>
              <w:rPr>
                <w:rFonts w:ascii="宋体" w:hAnsi="宋体" w:cs="宋体"/>
                <w:sz w:val="22"/>
              </w:rPr>
            </w:pPr>
          </w:p>
        </w:tc>
        <w:tc>
          <w:tcPr>
            <w:tcW w:w="1337" w:type="dxa"/>
            <w:noWrap w:val="0"/>
            <w:vAlign w:val="center"/>
          </w:tcPr>
          <w:p>
            <w:pPr>
              <w:jc w:val="center"/>
              <w:rPr>
                <w:rFonts w:ascii="宋体" w:hAnsi="宋体" w:cs="宋体"/>
                <w:sz w:val="22"/>
              </w:rPr>
            </w:pPr>
          </w:p>
        </w:tc>
        <w:tc>
          <w:tcPr>
            <w:tcW w:w="941" w:type="dxa"/>
            <w:noWrap w:val="0"/>
            <w:vAlign w:val="center"/>
          </w:tcPr>
          <w:p>
            <w:pPr>
              <w:jc w:val="center"/>
              <w:rPr>
                <w:rFonts w:ascii="宋体" w:hAnsi="宋体" w:cs="宋体"/>
                <w:sz w:val="22"/>
              </w:rPr>
            </w:pPr>
          </w:p>
        </w:tc>
        <w:tc>
          <w:tcPr>
            <w:tcW w:w="1567" w:type="dxa"/>
            <w:noWrap w:val="0"/>
            <w:vAlign w:val="center"/>
          </w:tcPr>
          <w:p>
            <w:pPr>
              <w:jc w:val="center"/>
              <w:rPr>
                <w:rFonts w:ascii="宋体" w:hAnsi="宋体" w:cs="宋体"/>
                <w:sz w:val="22"/>
              </w:rPr>
            </w:pPr>
          </w:p>
        </w:tc>
        <w:tc>
          <w:tcPr>
            <w:tcW w:w="1247" w:type="dxa"/>
            <w:noWrap w:val="0"/>
            <w:vAlign w:val="center"/>
          </w:tcPr>
          <w:p>
            <w:pPr>
              <w:jc w:val="center"/>
              <w:rPr>
                <w:rFonts w:ascii="宋体" w:hAnsi="宋体" w:cs="宋体"/>
                <w:sz w:val="22"/>
              </w:rPr>
            </w:pPr>
          </w:p>
        </w:tc>
        <w:tc>
          <w:tcPr>
            <w:tcW w:w="1413" w:type="dxa"/>
            <w:noWrap w:val="0"/>
            <w:vAlign w:val="center"/>
          </w:tcPr>
          <w:p>
            <w:pPr>
              <w:jc w:val="center"/>
              <w:rPr>
                <w:rFonts w:ascii="宋体" w:hAnsi="宋体" w:cs="宋体"/>
                <w:sz w:val="22"/>
              </w:rPr>
            </w:pPr>
          </w:p>
        </w:tc>
        <w:tc>
          <w:tcPr>
            <w:tcW w:w="1205" w:type="dxa"/>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noWrap w:val="0"/>
            <w:vAlign w:val="center"/>
          </w:tcPr>
          <w:p>
            <w:pPr>
              <w:jc w:val="center"/>
              <w:rPr>
                <w:rFonts w:ascii="宋体" w:hAnsi="宋体" w:cs="宋体"/>
                <w:sz w:val="22"/>
              </w:rPr>
            </w:pPr>
          </w:p>
        </w:tc>
        <w:tc>
          <w:tcPr>
            <w:tcW w:w="1337" w:type="dxa"/>
            <w:noWrap w:val="0"/>
            <w:vAlign w:val="center"/>
          </w:tcPr>
          <w:p>
            <w:pPr>
              <w:jc w:val="center"/>
              <w:rPr>
                <w:rFonts w:ascii="宋体" w:hAnsi="宋体" w:cs="宋体"/>
                <w:sz w:val="22"/>
              </w:rPr>
            </w:pPr>
          </w:p>
        </w:tc>
        <w:tc>
          <w:tcPr>
            <w:tcW w:w="941" w:type="dxa"/>
            <w:noWrap w:val="0"/>
            <w:vAlign w:val="center"/>
          </w:tcPr>
          <w:p>
            <w:pPr>
              <w:jc w:val="center"/>
              <w:rPr>
                <w:rFonts w:ascii="宋体" w:hAnsi="宋体" w:cs="宋体"/>
                <w:sz w:val="22"/>
              </w:rPr>
            </w:pPr>
          </w:p>
        </w:tc>
        <w:tc>
          <w:tcPr>
            <w:tcW w:w="1567" w:type="dxa"/>
            <w:noWrap w:val="0"/>
            <w:vAlign w:val="center"/>
          </w:tcPr>
          <w:p>
            <w:pPr>
              <w:jc w:val="center"/>
              <w:rPr>
                <w:rFonts w:ascii="宋体" w:hAnsi="宋体" w:cs="宋体"/>
                <w:sz w:val="22"/>
              </w:rPr>
            </w:pPr>
          </w:p>
        </w:tc>
        <w:tc>
          <w:tcPr>
            <w:tcW w:w="1247" w:type="dxa"/>
            <w:noWrap w:val="0"/>
            <w:vAlign w:val="center"/>
          </w:tcPr>
          <w:p>
            <w:pPr>
              <w:jc w:val="center"/>
              <w:rPr>
                <w:rFonts w:ascii="宋体" w:hAnsi="宋体" w:cs="宋体"/>
                <w:sz w:val="22"/>
              </w:rPr>
            </w:pPr>
          </w:p>
        </w:tc>
        <w:tc>
          <w:tcPr>
            <w:tcW w:w="1413" w:type="dxa"/>
            <w:noWrap w:val="0"/>
            <w:vAlign w:val="center"/>
          </w:tcPr>
          <w:p>
            <w:pPr>
              <w:jc w:val="center"/>
              <w:rPr>
                <w:rFonts w:ascii="宋体" w:hAnsi="宋体" w:cs="宋体"/>
                <w:sz w:val="22"/>
              </w:rPr>
            </w:pPr>
          </w:p>
        </w:tc>
        <w:tc>
          <w:tcPr>
            <w:tcW w:w="1205" w:type="dxa"/>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noWrap w:val="0"/>
            <w:vAlign w:val="center"/>
          </w:tcPr>
          <w:p>
            <w:pPr>
              <w:jc w:val="center"/>
              <w:rPr>
                <w:rFonts w:ascii="宋体" w:hAnsi="宋体" w:cs="宋体"/>
                <w:sz w:val="22"/>
              </w:rPr>
            </w:pPr>
          </w:p>
        </w:tc>
        <w:tc>
          <w:tcPr>
            <w:tcW w:w="1337" w:type="dxa"/>
            <w:noWrap w:val="0"/>
            <w:vAlign w:val="center"/>
          </w:tcPr>
          <w:p>
            <w:pPr>
              <w:jc w:val="center"/>
              <w:rPr>
                <w:rFonts w:ascii="宋体" w:hAnsi="宋体" w:cs="宋体"/>
                <w:sz w:val="22"/>
              </w:rPr>
            </w:pPr>
          </w:p>
        </w:tc>
        <w:tc>
          <w:tcPr>
            <w:tcW w:w="941" w:type="dxa"/>
            <w:noWrap w:val="0"/>
            <w:vAlign w:val="center"/>
          </w:tcPr>
          <w:p>
            <w:pPr>
              <w:jc w:val="center"/>
              <w:rPr>
                <w:rFonts w:ascii="宋体" w:hAnsi="宋体" w:cs="宋体"/>
                <w:sz w:val="22"/>
              </w:rPr>
            </w:pPr>
          </w:p>
        </w:tc>
        <w:tc>
          <w:tcPr>
            <w:tcW w:w="1567" w:type="dxa"/>
            <w:noWrap w:val="0"/>
            <w:vAlign w:val="center"/>
          </w:tcPr>
          <w:p>
            <w:pPr>
              <w:jc w:val="center"/>
              <w:rPr>
                <w:rFonts w:ascii="宋体" w:hAnsi="宋体" w:cs="宋体"/>
                <w:sz w:val="22"/>
              </w:rPr>
            </w:pPr>
          </w:p>
        </w:tc>
        <w:tc>
          <w:tcPr>
            <w:tcW w:w="1247" w:type="dxa"/>
            <w:noWrap w:val="0"/>
            <w:vAlign w:val="center"/>
          </w:tcPr>
          <w:p>
            <w:pPr>
              <w:jc w:val="center"/>
              <w:rPr>
                <w:rFonts w:ascii="宋体" w:hAnsi="宋体" w:cs="宋体"/>
                <w:sz w:val="22"/>
              </w:rPr>
            </w:pPr>
          </w:p>
        </w:tc>
        <w:tc>
          <w:tcPr>
            <w:tcW w:w="1413" w:type="dxa"/>
            <w:noWrap w:val="0"/>
            <w:vAlign w:val="center"/>
          </w:tcPr>
          <w:p>
            <w:pPr>
              <w:jc w:val="center"/>
              <w:rPr>
                <w:rFonts w:ascii="宋体" w:hAnsi="宋体" w:cs="宋体"/>
                <w:sz w:val="22"/>
              </w:rPr>
            </w:pPr>
          </w:p>
        </w:tc>
        <w:tc>
          <w:tcPr>
            <w:tcW w:w="1205" w:type="dxa"/>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noWrap w:val="0"/>
            <w:vAlign w:val="center"/>
          </w:tcPr>
          <w:p>
            <w:pPr>
              <w:jc w:val="center"/>
              <w:rPr>
                <w:rFonts w:ascii="宋体" w:hAnsi="宋体" w:cs="宋体"/>
                <w:sz w:val="22"/>
              </w:rPr>
            </w:pPr>
          </w:p>
        </w:tc>
        <w:tc>
          <w:tcPr>
            <w:tcW w:w="1337" w:type="dxa"/>
            <w:noWrap w:val="0"/>
            <w:vAlign w:val="center"/>
          </w:tcPr>
          <w:p>
            <w:pPr>
              <w:jc w:val="center"/>
              <w:rPr>
                <w:rFonts w:ascii="宋体" w:hAnsi="宋体" w:cs="宋体"/>
                <w:sz w:val="22"/>
              </w:rPr>
            </w:pPr>
          </w:p>
        </w:tc>
        <w:tc>
          <w:tcPr>
            <w:tcW w:w="941" w:type="dxa"/>
            <w:noWrap w:val="0"/>
            <w:vAlign w:val="center"/>
          </w:tcPr>
          <w:p>
            <w:pPr>
              <w:jc w:val="center"/>
              <w:rPr>
                <w:rFonts w:ascii="宋体" w:hAnsi="宋体" w:cs="宋体"/>
                <w:sz w:val="22"/>
              </w:rPr>
            </w:pPr>
          </w:p>
        </w:tc>
        <w:tc>
          <w:tcPr>
            <w:tcW w:w="1567" w:type="dxa"/>
            <w:noWrap w:val="0"/>
            <w:vAlign w:val="center"/>
          </w:tcPr>
          <w:p>
            <w:pPr>
              <w:jc w:val="center"/>
              <w:rPr>
                <w:rFonts w:ascii="宋体" w:hAnsi="宋体" w:cs="宋体"/>
                <w:sz w:val="22"/>
              </w:rPr>
            </w:pPr>
          </w:p>
        </w:tc>
        <w:tc>
          <w:tcPr>
            <w:tcW w:w="1247" w:type="dxa"/>
            <w:noWrap w:val="0"/>
            <w:vAlign w:val="center"/>
          </w:tcPr>
          <w:p>
            <w:pPr>
              <w:jc w:val="center"/>
              <w:rPr>
                <w:rFonts w:ascii="宋体" w:hAnsi="宋体" w:cs="宋体"/>
                <w:sz w:val="22"/>
              </w:rPr>
            </w:pPr>
          </w:p>
        </w:tc>
        <w:tc>
          <w:tcPr>
            <w:tcW w:w="1413" w:type="dxa"/>
            <w:noWrap w:val="0"/>
            <w:vAlign w:val="center"/>
          </w:tcPr>
          <w:p>
            <w:pPr>
              <w:jc w:val="center"/>
              <w:rPr>
                <w:rFonts w:ascii="宋体" w:hAnsi="宋体" w:cs="宋体"/>
                <w:sz w:val="22"/>
              </w:rPr>
            </w:pPr>
          </w:p>
        </w:tc>
        <w:tc>
          <w:tcPr>
            <w:tcW w:w="1205" w:type="dxa"/>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noWrap w:val="0"/>
            <w:vAlign w:val="center"/>
          </w:tcPr>
          <w:p>
            <w:pPr>
              <w:jc w:val="center"/>
              <w:rPr>
                <w:rFonts w:ascii="宋体" w:hAnsi="宋体" w:cs="宋体"/>
                <w:sz w:val="22"/>
              </w:rPr>
            </w:pPr>
          </w:p>
        </w:tc>
        <w:tc>
          <w:tcPr>
            <w:tcW w:w="1337" w:type="dxa"/>
            <w:noWrap w:val="0"/>
            <w:vAlign w:val="center"/>
          </w:tcPr>
          <w:p>
            <w:pPr>
              <w:jc w:val="center"/>
              <w:rPr>
                <w:rFonts w:ascii="宋体" w:hAnsi="宋体" w:cs="宋体"/>
                <w:sz w:val="22"/>
              </w:rPr>
            </w:pPr>
          </w:p>
        </w:tc>
        <w:tc>
          <w:tcPr>
            <w:tcW w:w="941" w:type="dxa"/>
            <w:noWrap w:val="0"/>
            <w:vAlign w:val="center"/>
          </w:tcPr>
          <w:p>
            <w:pPr>
              <w:jc w:val="center"/>
              <w:rPr>
                <w:rFonts w:ascii="宋体" w:hAnsi="宋体" w:cs="宋体"/>
                <w:sz w:val="22"/>
              </w:rPr>
            </w:pPr>
          </w:p>
        </w:tc>
        <w:tc>
          <w:tcPr>
            <w:tcW w:w="1567" w:type="dxa"/>
            <w:noWrap w:val="0"/>
            <w:vAlign w:val="center"/>
          </w:tcPr>
          <w:p>
            <w:pPr>
              <w:jc w:val="center"/>
              <w:rPr>
                <w:rFonts w:ascii="宋体" w:hAnsi="宋体" w:cs="宋体"/>
                <w:sz w:val="22"/>
              </w:rPr>
            </w:pPr>
          </w:p>
        </w:tc>
        <w:tc>
          <w:tcPr>
            <w:tcW w:w="1247" w:type="dxa"/>
            <w:noWrap w:val="0"/>
            <w:vAlign w:val="center"/>
          </w:tcPr>
          <w:p>
            <w:pPr>
              <w:jc w:val="center"/>
              <w:rPr>
                <w:rFonts w:ascii="宋体" w:hAnsi="宋体" w:cs="宋体"/>
                <w:sz w:val="22"/>
              </w:rPr>
            </w:pPr>
          </w:p>
        </w:tc>
        <w:tc>
          <w:tcPr>
            <w:tcW w:w="1413" w:type="dxa"/>
            <w:noWrap w:val="0"/>
            <w:vAlign w:val="center"/>
          </w:tcPr>
          <w:p>
            <w:pPr>
              <w:jc w:val="center"/>
              <w:rPr>
                <w:rFonts w:ascii="宋体" w:hAnsi="宋体" w:cs="宋体"/>
                <w:sz w:val="22"/>
              </w:rPr>
            </w:pPr>
          </w:p>
        </w:tc>
        <w:tc>
          <w:tcPr>
            <w:tcW w:w="1205" w:type="dxa"/>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99" w:type="dxa"/>
            <w:noWrap w:val="0"/>
            <w:vAlign w:val="center"/>
          </w:tcPr>
          <w:p>
            <w:pPr>
              <w:jc w:val="center"/>
              <w:rPr>
                <w:rFonts w:ascii="宋体" w:hAnsi="宋体" w:cs="宋体"/>
                <w:sz w:val="22"/>
              </w:rPr>
            </w:pPr>
          </w:p>
        </w:tc>
        <w:tc>
          <w:tcPr>
            <w:tcW w:w="1337" w:type="dxa"/>
            <w:noWrap w:val="0"/>
            <w:vAlign w:val="center"/>
          </w:tcPr>
          <w:p>
            <w:pPr>
              <w:jc w:val="center"/>
              <w:rPr>
                <w:rFonts w:ascii="宋体" w:hAnsi="宋体" w:cs="宋体"/>
                <w:sz w:val="22"/>
              </w:rPr>
            </w:pPr>
          </w:p>
        </w:tc>
        <w:tc>
          <w:tcPr>
            <w:tcW w:w="941" w:type="dxa"/>
            <w:noWrap w:val="0"/>
            <w:vAlign w:val="center"/>
          </w:tcPr>
          <w:p>
            <w:pPr>
              <w:jc w:val="center"/>
              <w:rPr>
                <w:rFonts w:ascii="宋体" w:hAnsi="宋体" w:cs="宋体"/>
                <w:sz w:val="22"/>
              </w:rPr>
            </w:pPr>
          </w:p>
        </w:tc>
        <w:tc>
          <w:tcPr>
            <w:tcW w:w="1567" w:type="dxa"/>
            <w:noWrap w:val="0"/>
            <w:vAlign w:val="center"/>
          </w:tcPr>
          <w:p>
            <w:pPr>
              <w:jc w:val="center"/>
              <w:rPr>
                <w:rFonts w:ascii="宋体" w:hAnsi="宋体" w:cs="宋体"/>
                <w:sz w:val="22"/>
              </w:rPr>
            </w:pPr>
          </w:p>
        </w:tc>
        <w:tc>
          <w:tcPr>
            <w:tcW w:w="1247" w:type="dxa"/>
            <w:noWrap w:val="0"/>
            <w:vAlign w:val="center"/>
          </w:tcPr>
          <w:p>
            <w:pPr>
              <w:jc w:val="center"/>
              <w:rPr>
                <w:rFonts w:ascii="宋体" w:hAnsi="宋体" w:cs="宋体"/>
                <w:sz w:val="22"/>
              </w:rPr>
            </w:pPr>
          </w:p>
        </w:tc>
        <w:tc>
          <w:tcPr>
            <w:tcW w:w="1413" w:type="dxa"/>
            <w:noWrap w:val="0"/>
            <w:vAlign w:val="center"/>
          </w:tcPr>
          <w:p>
            <w:pPr>
              <w:jc w:val="center"/>
              <w:rPr>
                <w:rFonts w:ascii="宋体" w:hAnsi="宋体" w:cs="宋体"/>
                <w:sz w:val="22"/>
              </w:rPr>
            </w:pPr>
          </w:p>
        </w:tc>
        <w:tc>
          <w:tcPr>
            <w:tcW w:w="1205" w:type="dxa"/>
            <w:noWrap w:val="0"/>
            <w:vAlign w:val="center"/>
          </w:tcPr>
          <w:p>
            <w:pPr>
              <w:jc w:val="center"/>
              <w:rPr>
                <w:rFonts w:ascii="宋体" w:hAnsi="宋体" w:cs="宋体"/>
                <w:sz w:val="22"/>
              </w:rPr>
            </w:pPr>
          </w:p>
        </w:tc>
      </w:tr>
    </w:tbl>
    <w:p>
      <w:pPr>
        <w:spacing w:line="360" w:lineRule="auto"/>
        <w:rPr>
          <w:rFonts w:ascii="宋体" w:hAnsi="宋体" w:cs="宋体"/>
          <w:sz w:val="22"/>
        </w:rPr>
      </w:pPr>
      <w:r>
        <w:rPr>
          <w:rFonts w:hint="eastAsia" w:ascii="宋体" w:hAnsi="宋体" w:cs="宋体"/>
          <w:sz w:val="22"/>
        </w:rPr>
        <w:t>注：投标人应根据招标文件的要求在本表后附相关证明材料。</w:t>
      </w:r>
    </w:p>
    <w:p>
      <w:pPr>
        <w:spacing w:line="360" w:lineRule="auto"/>
        <w:jc w:val="left"/>
        <w:rPr>
          <w:rFonts w:ascii="宋体" w:hAnsi="宋体" w:cs="宋体"/>
          <w:sz w:val="22"/>
        </w:rPr>
      </w:pPr>
      <w:r>
        <w:rPr>
          <w:rFonts w:hint="eastAsia" w:ascii="宋体" w:hAnsi="宋体" w:cs="宋体"/>
          <w:sz w:val="22"/>
        </w:rPr>
        <w:t>（本项不作为资格审查内容，但（如有）需提供，仅作为投标人的评标（综合评分）资料进行考察。表格格式可以根据实际情况调整。）</w:t>
      </w:r>
    </w:p>
    <w:p>
      <w:pPr>
        <w:jc w:val="left"/>
        <w:rPr>
          <w:rFonts w:ascii="宋体" w:hAnsi="宋体" w:cs="宋体"/>
          <w:szCs w:val="24"/>
        </w:rPr>
      </w:pPr>
      <w:r>
        <w:rPr>
          <w:rFonts w:hint="eastAsia" w:ascii="宋体" w:hAnsi="宋体" w:cs="宋体"/>
        </w:rPr>
        <w:br w:type="page"/>
      </w:r>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九、</w:t>
      </w:r>
      <w:bookmarkStart w:id="349" w:name="_Toc17534"/>
      <w:bookmarkStart w:id="350" w:name="_Toc12140"/>
      <w:bookmarkStart w:id="351" w:name="_Toc4156"/>
      <w:bookmarkStart w:id="352" w:name="_Toc11072"/>
      <w:bookmarkStart w:id="353" w:name="_Toc27070"/>
      <w:bookmarkStart w:id="354" w:name="_Toc16786"/>
      <w:r>
        <w:rPr>
          <w:rFonts w:hint="eastAsia" w:ascii="宋体" w:hAnsi="宋体" w:cs="宋体"/>
          <w:b/>
          <w:bCs/>
          <w:sz w:val="32"/>
          <w:szCs w:val="32"/>
        </w:rPr>
        <w:t>拟投入本项目的检测和监测人员简历表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67" w:type="dxa"/>
            <w:gridSpan w:val="2"/>
            <w:noWrap w:val="0"/>
            <w:vAlign w:val="center"/>
          </w:tcPr>
          <w:p>
            <w:pPr>
              <w:snapToGrid w:val="0"/>
              <w:spacing w:line="0" w:lineRule="atLeast"/>
              <w:jc w:val="center"/>
              <w:rPr>
                <w:rFonts w:ascii="宋体" w:hAnsi="宋体" w:cs="宋体"/>
                <w:sz w:val="22"/>
              </w:rPr>
            </w:pPr>
            <w:r>
              <w:rPr>
                <w:rFonts w:hint="eastAsia" w:ascii="宋体" w:hAnsi="宋体" w:cs="宋体"/>
                <w:sz w:val="22"/>
              </w:rPr>
              <w:t>姓名</w:t>
            </w:r>
          </w:p>
        </w:tc>
        <w:tc>
          <w:tcPr>
            <w:tcW w:w="1295" w:type="dxa"/>
            <w:noWrap w:val="0"/>
            <w:vAlign w:val="center"/>
          </w:tcPr>
          <w:p>
            <w:pPr>
              <w:snapToGrid w:val="0"/>
              <w:spacing w:line="0" w:lineRule="atLeast"/>
              <w:jc w:val="center"/>
              <w:rPr>
                <w:rFonts w:ascii="宋体" w:hAnsi="宋体" w:cs="宋体"/>
                <w:sz w:val="22"/>
              </w:rPr>
            </w:pPr>
          </w:p>
        </w:tc>
        <w:tc>
          <w:tcPr>
            <w:tcW w:w="1044" w:type="dxa"/>
            <w:gridSpan w:val="2"/>
            <w:noWrap w:val="0"/>
            <w:vAlign w:val="center"/>
          </w:tcPr>
          <w:p>
            <w:pPr>
              <w:snapToGrid w:val="0"/>
              <w:spacing w:line="0" w:lineRule="atLeast"/>
              <w:jc w:val="center"/>
              <w:rPr>
                <w:rFonts w:ascii="宋体" w:hAnsi="宋体" w:cs="宋体"/>
                <w:sz w:val="22"/>
              </w:rPr>
            </w:pPr>
            <w:r>
              <w:rPr>
                <w:rFonts w:hint="eastAsia" w:ascii="宋体" w:hAnsi="宋体" w:cs="宋体"/>
                <w:sz w:val="22"/>
              </w:rPr>
              <w:t>年龄</w:t>
            </w:r>
          </w:p>
        </w:tc>
        <w:tc>
          <w:tcPr>
            <w:tcW w:w="1364" w:type="dxa"/>
            <w:gridSpan w:val="2"/>
            <w:noWrap w:val="0"/>
            <w:vAlign w:val="center"/>
          </w:tcPr>
          <w:p>
            <w:pPr>
              <w:snapToGrid w:val="0"/>
              <w:spacing w:line="0" w:lineRule="atLeast"/>
              <w:jc w:val="center"/>
              <w:rPr>
                <w:rFonts w:ascii="宋体" w:hAnsi="宋体" w:cs="宋体"/>
                <w:sz w:val="22"/>
              </w:rPr>
            </w:pPr>
          </w:p>
        </w:tc>
        <w:tc>
          <w:tcPr>
            <w:tcW w:w="1830" w:type="dxa"/>
            <w:gridSpan w:val="2"/>
            <w:noWrap w:val="0"/>
            <w:vAlign w:val="center"/>
          </w:tcPr>
          <w:p>
            <w:pPr>
              <w:snapToGrid w:val="0"/>
              <w:spacing w:line="0" w:lineRule="atLeast"/>
              <w:jc w:val="center"/>
              <w:rPr>
                <w:rFonts w:ascii="宋体" w:hAnsi="宋体" w:cs="宋体"/>
                <w:sz w:val="22"/>
              </w:rPr>
            </w:pPr>
            <w:r>
              <w:rPr>
                <w:rFonts w:hint="eastAsia" w:ascii="宋体" w:hAnsi="宋体" w:cs="宋体"/>
                <w:sz w:val="22"/>
              </w:rPr>
              <w:t>学历</w:t>
            </w:r>
          </w:p>
        </w:tc>
        <w:tc>
          <w:tcPr>
            <w:tcW w:w="2027" w:type="dxa"/>
            <w:noWrap w:val="0"/>
            <w:vAlign w:val="center"/>
          </w:tcPr>
          <w:p>
            <w:pPr>
              <w:snapToGrid w:val="0"/>
              <w:spacing w:line="0" w:lineRule="atLeas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367" w:type="dxa"/>
            <w:gridSpan w:val="2"/>
            <w:noWrap w:val="0"/>
            <w:vAlign w:val="center"/>
          </w:tcPr>
          <w:p>
            <w:pPr>
              <w:snapToGrid w:val="0"/>
              <w:spacing w:line="0" w:lineRule="atLeast"/>
              <w:jc w:val="center"/>
              <w:rPr>
                <w:rFonts w:ascii="宋体" w:hAnsi="宋体" w:cs="宋体"/>
                <w:sz w:val="22"/>
              </w:rPr>
            </w:pPr>
            <w:r>
              <w:rPr>
                <w:rFonts w:hint="eastAsia" w:ascii="宋体" w:hAnsi="宋体" w:cs="宋体"/>
                <w:sz w:val="22"/>
              </w:rPr>
              <w:t>技术职称</w:t>
            </w:r>
          </w:p>
        </w:tc>
        <w:tc>
          <w:tcPr>
            <w:tcW w:w="1295" w:type="dxa"/>
            <w:noWrap w:val="0"/>
            <w:vAlign w:val="center"/>
          </w:tcPr>
          <w:p>
            <w:pPr>
              <w:snapToGrid w:val="0"/>
              <w:spacing w:line="0" w:lineRule="atLeast"/>
              <w:jc w:val="center"/>
              <w:rPr>
                <w:rFonts w:ascii="宋体" w:hAnsi="宋体" w:cs="宋体"/>
                <w:sz w:val="22"/>
              </w:rPr>
            </w:pPr>
          </w:p>
        </w:tc>
        <w:tc>
          <w:tcPr>
            <w:tcW w:w="1044" w:type="dxa"/>
            <w:gridSpan w:val="2"/>
            <w:noWrap w:val="0"/>
            <w:vAlign w:val="center"/>
          </w:tcPr>
          <w:p>
            <w:pPr>
              <w:snapToGrid w:val="0"/>
              <w:spacing w:line="0" w:lineRule="atLeast"/>
              <w:jc w:val="center"/>
              <w:rPr>
                <w:rFonts w:ascii="宋体" w:hAnsi="宋体" w:cs="宋体"/>
                <w:sz w:val="22"/>
              </w:rPr>
            </w:pPr>
            <w:r>
              <w:rPr>
                <w:rFonts w:hint="eastAsia" w:ascii="宋体" w:hAnsi="宋体" w:cs="宋体"/>
                <w:sz w:val="22"/>
              </w:rPr>
              <w:t>职务</w:t>
            </w:r>
          </w:p>
        </w:tc>
        <w:tc>
          <w:tcPr>
            <w:tcW w:w="1364" w:type="dxa"/>
            <w:gridSpan w:val="2"/>
            <w:noWrap w:val="0"/>
            <w:vAlign w:val="center"/>
          </w:tcPr>
          <w:p>
            <w:pPr>
              <w:snapToGrid w:val="0"/>
              <w:spacing w:line="0" w:lineRule="atLeast"/>
              <w:jc w:val="center"/>
              <w:rPr>
                <w:rFonts w:ascii="宋体" w:hAnsi="宋体" w:cs="宋体"/>
                <w:sz w:val="22"/>
              </w:rPr>
            </w:pPr>
          </w:p>
        </w:tc>
        <w:tc>
          <w:tcPr>
            <w:tcW w:w="1830" w:type="dxa"/>
            <w:gridSpan w:val="2"/>
            <w:noWrap w:val="0"/>
            <w:vAlign w:val="center"/>
          </w:tcPr>
          <w:p>
            <w:pPr>
              <w:snapToGrid w:val="0"/>
              <w:spacing w:line="0" w:lineRule="atLeast"/>
              <w:jc w:val="center"/>
              <w:rPr>
                <w:rFonts w:ascii="宋体" w:hAnsi="宋体" w:cs="宋体"/>
                <w:sz w:val="22"/>
              </w:rPr>
            </w:pPr>
            <w:r>
              <w:rPr>
                <w:rFonts w:hint="eastAsia" w:ascii="宋体" w:hAnsi="宋体" w:cs="宋体"/>
                <w:sz w:val="22"/>
              </w:rPr>
              <w:t>在本项目担任职务</w:t>
            </w:r>
          </w:p>
        </w:tc>
        <w:tc>
          <w:tcPr>
            <w:tcW w:w="2027" w:type="dxa"/>
            <w:noWrap w:val="0"/>
            <w:vAlign w:val="center"/>
          </w:tcPr>
          <w:p>
            <w:pPr>
              <w:snapToGrid w:val="0"/>
              <w:spacing w:line="0" w:lineRule="atLeas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67" w:type="dxa"/>
            <w:gridSpan w:val="2"/>
            <w:noWrap w:val="0"/>
            <w:vAlign w:val="center"/>
          </w:tcPr>
          <w:p>
            <w:pPr>
              <w:snapToGrid w:val="0"/>
              <w:spacing w:line="0" w:lineRule="atLeast"/>
              <w:jc w:val="center"/>
              <w:rPr>
                <w:rFonts w:ascii="宋体" w:hAnsi="宋体" w:cs="宋体"/>
                <w:sz w:val="22"/>
              </w:rPr>
            </w:pPr>
            <w:r>
              <w:rPr>
                <w:rFonts w:hint="eastAsia" w:ascii="宋体" w:hAnsi="宋体" w:cs="宋体"/>
                <w:sz w:val="22"/>
              </w:rPr>
              <w:t>毕业学校</w:t>
            </w:r>
          </w:p>
        </w:tc>
        <w:tc>
          <w:tcPr>
            <w:tcW w:w="3703" w:type="dxa"/>
            <w:gridSpan w:val="5"/>
            <w:noWrap w:val="0"/>
            <w:vAlign w:val="center"/>
          </w:tcPr>
          <w:p>
            <w:pPr>
              <w:snapToGrid w:val="0"/>
              <w:spacing w:line="0" w:lineRule="atLeast"/>
              <w:jc w:val="center"/>
              <w:rPr>
                <w:rFonts w:ascii="宋体" w:hAnsi="宋体" w:cs="宋体"/>
                <w:sz w:val="22"/>
              </w:rPr>
            </w:pPr>
            <w:r>
              <w:rPr>
                <w:rFonts w:hint="eastAsia" w:ascii="宋体" w:hAnsi="宋体" w:cs="宋体"/>
                <w:sz w:val="22"/>
              </w:rPr>
              <w:t>毕业于      学校     专业</w:t>
            </w:r>
          </w:p>
        </w:tc>
        <w:tc>
          <w:tcPr>
            <w:tcW w:w="1830" w:type="dxa"/>
            <w:gridSpan w:val="2"/>
            <w:noWrap w:val="0"/>
            <w:vAlign w:val="center"/>
          </w:tcPr>
          <w:p>
            <w:pPr>
              <w:snapToGrid w:val="0"/>
              <w:spacing w:line="0" w:lineRule="atLeast"/>
              <w:jc w:val="center"/>
              <w:rPr>
                <w:rFonts w:ascii="宋体" w:hAnsi="宋体" w:cs="宋体"/>
                <w:sz w:val="22"/>
              </w:rPr>
            </w:pPr>
            <w:r>
              <w:rPr>
                <w:rFonts w:hint="eastAsia" w:ascii="宋体" w:hAnsi="宋体" w:cs="宋体"/>
                <w:position w:val="-30"/>
                <w:sz w:val="22"/>
              </w:rPr>
              <w:t>工作年限</w:t>
            </w:r>
          </w:p>
        </w:tc>
        <w:tc>
          <w:tcPr>
            <w:tcW w:w="2027" w:type="dxa"/>
            <w:noWrap w:val="0"/>
            <w:vAlign w:val="center"/>
          </w:tcPr>
          <w:p>
            <w:pPr>
              <w:snapToGrid w:val="0"/>
              <w:spacing w:line="0" w:lineRule="atLeas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943" w:type="dxa"/>
            <w:gridSpan w:val="4"/>
            <w:noWrap w:val="0"/>
            <w:vAlign w:val="center"/>
          </w:tcPr>
          <w:p>
            <w:pPr>
              <w:snapToGrid w:val="0"/>
              <w:spacing w:line="0" w:lineRule="atLeast"/>
              <w:jc w:val="center"/>
              <w:rPr>
                <w:rFonts w:ascii="宋体" w:hAnsi="宋体" w:cs="宋体"/>
                <w:sz w:val="22"/>
              </w:rPr>
            </w:pPr>
            <w:r>
              <w:rPr>
                <w:rFonts w:hint="eastAsia" w:ascii="宋体" w:hAnsi="宋体" w:cs="宋体"/>
                <w:sz w:val="22"/>
              </w:rPr>
              <w:t>执业资格证号或注册证号</w:t>
            </w:r>
          </w:p>
        </w:tc>
        <w:tc>
          <w:tcPr>
            <w:tcW w:w="5984" w:type="dxa"/>
            <w:gridSpan w:val="6"/>
            <w:noWrap w:val="0"/>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927" w:type="dxa"/>
            <w:gridSpan w:val="10"/>
            <w:noWrap w:val="0"/>
            <w:vAlign w:val="center"/>
          </w:tcPr>
          <w:p>
            <w:pPr>
              <w:snapToGrid w:val="0"/>
              <w:spacing w:line="0" w:lineRule="atLeast"/>
              <w:jc w:val="center"/>
              <w:rPr>
                <w:rFonts w:ascii="宋体" w:hAnsi="宋体" w:cs="宋体"/>
                <w:sz w:val="22"/>
              </w:rPr>
            </w:pPr>
            <w:r>
              <w:rPr>
                <w:rFonts w:hint="eastAsia" w:ascii="宋体" w:hAnsi="宋体" w:cs="宋体"/>
                <w:sz w:val="22"/>
              </w:rPr>
              <w:t>主要业绩经历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87" w:type="dxa"/>
            <w:noWrap w:val="0"/>
            <w:vAlign w:val="center"/>
          </w:tcPr>
          <w:p>
            <w:pPr>
              <w:snapToGrid w:val="0"/>
              <w:spacing w:line="0" w:lineRule="atLeast"/>
              <w:jc w:val="center"/>
              <w:rPr>
                <w:rFonts w:ascii="宋体" w:hAnsi="宋体" w:cs="宋体"/>
                <w:sz w:val="22"/>
              </w:rPr>
            </w:pPr>
            <w:r>
              <w:rPr>
                <w:rFonts w:hint="eastAsia" w:ascii="宋体" w:hAnsi="宋体" w:cs="宋体"/>
                <w:sz w:val="22"/>
              </w:rPr>
              <w:t>时间</w:t>
            </w:r>
          </w:p>
        </w:tc>
        <w:tc>
          <w:tcPr>
            <w:tcW w:w="3476" w:type="dxa"/>
            <w:gridSpan w:val="5"/>
            <w:noWrap w:val="0"/>
            <w:vAlign w:val="center"/>
          </w:tcPr>
          <w:p>
            <w:pPr>
              <w:snapToGrid w:val="0"/>
              <w:spacing w:line="0" w:lineRule="atLeast"/>
              <w:jc w:val="center"/>
              <w:rPr>
                <w:rFonts w:ascii="宋体" w:hAnsi="宋体" w:cs="宋体"/>
                <w:sz w:val="22"/>
              </w:rPr>
            </w:pPr>
            <w:r>
              <w:rPr>
                <w:rFonts w:hint="eastAsia" w:ascii="宋体" w:hAnsi="宋体" w:cs="宋体"/>
                <w:sz w:val="22"/>
              </w:rPr>
              <w:t>参加过的主要工作</w:t>
            </w:r>
          </w:p>
        </w:tc>
        <w:tc>
          <w:tcPr>
            <w:tcW w:w="1607" w:type="dxa"/>
            <w:gridSpan w:val="2"/>
            <w:noWrap w:val="0"/>
            <w:vAlign w:val="center"/>
          </w:tcPr>
          <w:p>
            <w:pPr>
              <w:snapToGrid w:val="0"/>
              <w:spacing w:line="0" w:lineRule="atLeast"/>
              <w:jc w:val="center"/>
              <w:rPr>
                <w:rFonts w:ascii="宋体" w:hAnsi="宋体" w:cs="宋体"/>
                <w:sz w:val="22"/>
              </w:rPr>
            </w:pPr>
            <w:r>
              <w:rPr>
                <w:rFonts w:hint="eastAsia" w:ascii="宋体" w:hAnsi="宋体" w:cs="宋体"/>
                <w:sz w:val="22"/>
              </w:rPr>
              <w:t>担任何职</w:t>
            </w:r>
          </w:p>
        </w:tc>
        <w:tc>
          <w:tcPr>
            <w:tcW w:w="2657" w:type="dxa"/>
            <w:gridSpan w:val="2"/>
            <w:noWrap w:val="0"/>
            <w:vAlign w:val="center"/>
          </w:tcPr>
          <w:p>
            <w:pPr>
              <w:snapToGrid w:val="0"/>
              <w:spacing w:line="0" w:lineRule="atLeast"/>
              <w:jc w:val="center"/>
              <w:rPr>
                <w:rFonts w:ascii="宋体" w:hAnsi="宋体" w:cs="宋体"/>
                <w:sz w:val="22"/>
              </w:rPr>
            </w:pPr>
            <w:r>
              <w:rPr>
                <w:rFonts w:hint="eastAsia" w:ascii="宋体" w:hAnsi="宋体" w:cs="宋体"/>
                <w:sz w:val="22"/>
              </w:rPr>
              <w:t>委托人名称、联系方式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noWrap w:val="0"/>
            <w:vAlign w:val="center"/>
          </w:tcPr>
          <w:p>
            <w:pPr>
              <w:snapToGrid w:val="0"/>
              <w:spacing w:line="0" w:lineRule="atLeast"/>
              <w:rPr>
                <w:rFonts w:ascii="宋体" w:hAnsi="宋体" w:cs="宋体"/>
                <w:sz w:val="22"/>
              </w:rPr>
            </w:pPr>
          </w:p>
        </w:tc>
        <w:tc>
          <w:tcPr>
            <w:tcW w:w="3476" w:type="dxa"/>
            <w:gridSpan w:val="5"/>
            <w:noWrap w:val="0"/>
            <w:vAlign w:val="center"/>
          </w:tcPr>
          <w:p>
            <w:pPr>
              <w:snapToGrid w:val="0"/>
              <w:spacing w:line="0" w:lineRule="atLeast"/>
              <w:rPr>
                <w:rFonts w:ascii="宋体" w:hAnsi="宋体" w:cs="宋体"/>
                <w:sz w:val="22"/>
              </w:rPr>
            </w:pPr>
          </w:p>
        </w:tc>
        <w:tc>
          <w:tcPr>
            <w:tcW w:w="1607" w:type="dxa"/>
            <w:gridSpan w:val="2"/>
            <w:noWrap w:val="0"/>
            <w:vAlign w:val="center"/>
          </w:tcPr>
          <w:p>
            <w:pPr>
              <w:snapToGrid w:val="0"/>
              <w:spacing w:line="0" w:lineRule="atLeast"/>
              <w:rPr>
                <w:rFonts w:ascii="宋体" w:hAnsi="宋体" w:cs="宋体"/>
                <w:sz w:val="22"/>
              </w:rPr>
            </w:pPr>
          </w:p>
        </w:tc>
        <w:tc>
          <w:tcPr>
            <w:tcW w:w="2657" w:type="dxa"/>
            <w:gridSpan w:val="2"/>
            <w:noWrap w:val="0"/>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noWrap w:val="0"/>
            <w:vAlign w:val="center"/>
          </w:tcPr>
          <w:p>
            <w:pPr>
              <w:snapToGrid w:val="0"/>
              <w:spacing w:line="0" w:lineRule="atLeast"/>
              <w:rPr>
                <w:rFonts w:ascii="宋体" w:hAnsi="宋体" w:cs="宋体"/>
                <w:sz w:val="22"/>
              </w:rPr>
            </w:pPr>
          </w:p>
        </w:tc>
        <w:tc>
          <w:tcPr>
            <w:tcW w:w="3476" w:type="dxa"/>
            <w:gridSpan w:val="5"/>
            <w:noWrap w:val="0"/>
            <w:vAlign w:val="center"/>
          </w:tcPr>
          <w:p>
            <w:pPr>
              <w:snapToGrid w:val="0"/>
              <w:spacing w:line="0" w:lineRule="atLeast"/>
              <w:rPr>
                <w:rFonts w:ascii="宋体" w:hAnsi="宋体" w:cs="宋体"/>
                <w:sz w:val="22"/>
              </w:rPr>
            </w:pPr>
          </w:p>
        </w:tc>
        <w:tc>
          <w:tcPr>
            <w:tcW w:w="1607" w:type="dxa"/>
            <w:gridSpan w:val="2"/>
            <w:noWrap w:val="0"/>
            <w:vAlign w:val="center"/>
          </w:tcPr>
          <w:p>
            <w:pPr>
              <w:snapToGrid w:val="0"/>
              <w:spacing w:line="0" w:lineRule="atLeast"/>
              <w:rPr>
                <w:rFonts w:ascii="宋体" w:hAnsi="宋体" w:cs="宋体"/>
                <w:sz w:val="22"/>
              </w:rPr>
            </w:pPr>
          </w:p>
        </w:tc>
        <w:tc>
          <w:tcPr>
            <w:tcW w:w="2657" w:type="dxa"/>
            <w:gridSpan w:val="2"/>
            <w:noWrap w:val="0"/>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noWrap w:val="0"/>
            <w:vAlign w:val="center"/>
          </w:tcPr>
          <w:p>
            <w:pPr>
              <w:snapToGrid w:val="0"/>
              <w:spacing w:line="0" w:lineRule="atLeast"/>
              <w:rPr>
                <w:rFonts w:ascii="宋体" w:hAnsi="宋体" w:cs="宋体"/>
                <w:sz w:val="22"/>
              </w:rPr>
            </w:pPr>
          </w:p>
        </w:tc>
        <w:tc>
          <w:tcPr>
            <w:tcW w:w="3476" w:type="dxa"/>
            <w:gridSpan w:val="5"/>
            <w:noWrap w:val="0"/>
            <w:vAlign w:val="center"/>
          </w:tcPr>
          <w:p>
            <w:pPr>
              <w:snapToGrid w:val="0"/>
              <w:spacing w:line="0" w:lineRule="atLeast"/>
              <w:rPr>
                <w:rFonts w:ascii="宋体" w:hAnsi="宋体" w:cs="宋体"/>
                <w:sz w:val="22"/>
              </w:rPr>
            </w:pPr>
          </w:p>
        </w:tc>
        <w:tc>
          <w:tcPr>
            <w:tcW w:w="1607" w:type="dxa"/>
            <w:gridSpan w:val="2"/>
            <w:noWrap w:val="0"/>
            <w:vAlign w:val="center"/>
          </w:tcPr>
          <w:p>
            <w:pPr>
              <w:snapToGrid w:val="0"/>
              <w:spacing w:line="0" w:lineRule="atLeast"/>
              <w:rPr>
                <w:rFonts w:ascii="宋体" w:hAnsi="宋体" w:cs="宋体"/>
                <w:sz w:val="22"/>
              </w:rPr>
            </w:pPr>
          </w:p>
        </w:tc>
        <w:tc>
          <w:tcPr>
            <w:tcW w:w="2657" w:type="dxa"/>
            <w:gridSpan w:val="2"/>
            <w:noWrap w:val="0"/>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noWrap w:val="0"/>
            <w:vAlign w:val="center"/>
          </w:tcPr>
          <w:p>
            <w:pPr>
              <w:snapToGrid w:val="0"/>
              <w:spacing w:line="0" w:lineRule="atLeast"/>
              <w:rPr>
                <w:rFonts w:ascii="宋体" w:hAnsi="宋体" w:cs="宋体"/>
                <w:sz w:val="22"/>
              </w:rPr>
            </w:pPr>
          </w:p>
        </w:tc>
        <w:tc>
          <w:tcPr>
            <w:tcW w:w="3476" w:type="dxa"/>
            <w:gridSpan w:val="5"/>
            <w:noWrap w:val="0"/>
            <w:vAlign w:val="center"/>
          </w:tcPr>
          <w:p>
            <w:pPr>
              <w:snapToGrid w:val="0"/>
              <w:spacing w:line="0" w:lineRule="atLeast"/>
              <w:rPr>
                <w:rFonts w:ascii="宋体" w:hAnsi="宋体" w:cs="宋体"/>
                <w:sz w:val="22"/>
              </w:rPr>
            </w:pPr>
          </w:p>
        </w:tc>
        <w:tc>
          <w:tcPr>
            <w:tcW w:w="1607" w:type="dxa"/>
            <w:gridSpan w:val="2"/>
            <w:noWrap w:val="0"/>
            <w:vAlign w:val="center"/>
          </w:tcPr>
          <w:p>
            <w:pPr>
              <w:snapToGrid w:val="0"/>
              <w:spacing w:line="0" w:lineRule="atLeast"/>
              <w:rPr>
                <w:rFonts w:ascii="宋体" w:hAnsi="宋体" w:cs="宋体"/>
                <w:sz w:val="22"/>
              </w:rPr>
            </w:pPr>
          </w:p>
        </w:tc>
        <w:tc>
          <w:tcPr>
            <w:tcW w:w="2657" w:type="dxa"/>
            <w:gridSpan w:val="2"/>
            <w:noWrap w:val="0"/>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noWrap w:val="0"/>
            <w:vAlign w:val="center"/>
          </w:tcPr>
          <w:p>
            <w:pPr>
              <w:snapToGrid w:val="0"/>
              <w:spacing w:line="0" w:lineRule="atLeast"/>
              <w:rPr>
                <w:rFonts w:ascii="宋体" w:hAnsi="宋体" w:cs="宋体"/>
                <w:sz w:val="22"/>
              </w:rPr>
            </w:pPr>
          </w:p>
        </w:tc>
        <w:tc>
          <w:tcPr>
            <w:tcW w:w="3476" w:type="dxa"/>
            <w:gridSpan w:val="5"/>
            <w:noWrap w:val="0"/>
            <w:vAlign w:val="center"/>
          </w:tcPr>
          <w:p>
            <w:pPr>
              <w:snapToGrid w:val="0"/>
              <w:spacing w:line="0" w:lineRule="atLeast"/>
              <w:rPr>
                <w:rFonts w:ascii="宋体" w:hAnsi="宋体" w:cs="宋体"/>
                <w:sz w:val="22"/>
              </w:rPr>
            </w:pPr>
          </w:p>
        </w:tc>
        <w:tc>
          <w:tcPr>
            <w:tcW w:w="1607" w:type="dxa"/>
            <w:gridSpan w:val="2"/>
            <w:noWrap w:val="0"/>
            <w:vAlign w:val="center"/>
          </w:tcPr>
          <w:p>
            <w:pPr>
              <w:snapToGrid w:val="0"/>
              <w:spacing w:line="0" w:lineRule="atLeast"/>
              <w:rPr>
                <w:rFonts w:ascii="宋体" w:hAnsi="宋体" w:cs="宋体"/>
                <w:sz w:val="22"/>
              </w:rPr>
            </w:pPr>
          </w:p>
        </w:tc>
        <w:tc>
          <w:tcPr>
            <w:tcW w:w="2657" w:type="dxa"/>
            <w:gridSpan w:val="2"/>
            <w:noWrap w:val="0"/>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noWrap w:val="0"/>
            <w:vAlign w:val="center"/>
          </w:tcPr>
          <w:p>
            <w:pPr>
              <w:snapToGrid w:val="0"/>
              <w:spacing w:line="0" w:lineRule="atLeast"/>
              <w:rPr>
                <w:rFonts w:ascii="宋体" w:hAnsi="宋体" w:cs="宋体"/>
                <w:sz w:val="22"/>
              </w:rPr>
            </w:pPr>
          </w:p>
        </w:tc>
        <w:tc>
          <w:tcPr>
            <w:tcW w:w="3476" w:type="dxa"/>
            <w:gridSpan w:val="5"/>
            <w:noWrap w:val="0"/>
            <w:vAlign w:val="center"/>
          </w:tcPr>
          <w:p>
            <w:pPr>
              <w:snapToGrid w:val="0"/>
              <w:spacing w:line="0" w:lineRule="atLeast"/>
              <w:rPr>
                <w:rFonts w:ascii="宋体" w:hAnsi="宋体" w:cs="宋体"/>
                <w:sz w:val="22"/>
              </w:rPr>
            </w:pPr>
          </w:p>
        </w:tc>
        <w:tc>
          <w:tcPr>
            <w:tcW w:w="1607" w:type="dxa"/>
            <w:gridSpan w:val="2"/>
            <w:noWrap w:val="0"/>
            <w:vAlign w:val="center"/>
          </w:tcPr>
          <w:p>
            <w:pPr>
              <w:snapToGrid w:val="0"/>
              <w:spacing w:line="0" w:lineRule="atLeast"/>
              <w:rPr>
                <w:rFonts w:ascii="宋体" w:hAnsi="宋体" w:cs="宋体"/>
                <w:sz w:val="22"/>
              </w:rPr>
            </w:pPr>
          </w:p>
        </w:tc>
        <w:tc>
          <w:tcPr>
            <w:tcW w:w="2657" w:type="dxa"/>
            <w:gridSpan w:val="2"/>
            <w:noWrap w:val="0"/>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noWrap w:val="0"/>
            <w:vAlign w:val="center"/>
          </w:tcPr>
          <w:p>
            <w:pPr>
              <w:snapToGrid w:val="0"/>
              <w:spacing w:line="0" w:lineRule="atLeast"/>
              <w:rPr>
                <w:rFonts w:ascii="宋体" w:hAnsi="宋体" w:cs="宋体"/>
                <w:sz w:val="22"/>
              </w:rPr>
            </w:pPr>
          </w:p>
        </w:tc>
        <w:tc>
          <w:tcPr>
            <w:tcW w:w="3476" w:type="dxa"/>
            <w:gridSpan w:val="5"/>
            <w:noWrap w:val="0"/>
            <w:vAlign w:val="center"/>
          </w:tcPr>
          <w:p>
            <w:pPr>
              <w:snapToGrid w:val="0"/>
              <w:spacing w:line="0" w:lineRule="atLeast"/>
              <w:rPr>
                <w:rFonts w:ascii="宋体" w:hAnsi="宋体" w:cs="宋体"/>
                <w:sz w:val="22"/>
              </w:rPr>
            </w:pPr>
          </w:p>
        </w:tc>
        <w:tc>
          <w:tcPr>
            <w:tcW w:w="1607" w:type="dxa"/>
            <w:gridSpan w:val="2"/>
            <w:noWrap w:val="0"/>
            <w:vAlign w:val="center"/>
          </w:tcPr>
          <w:p>
            <w:pPr>
              <w:snapToGrid w:val="0"/>
              <w:spacing w:line="0" w:lineRule="atLeast"/>
              <w:rPr>
                <w:rFonts w:ascii="宋体" w:hAnsi="宋体" w:cs="宋体"/>
                <w:sz w:val="22"/>
              </w:rPr>
            </w:pPr>
          </w:p>
        </w:tc>
        <w:tc>
          <w:tcPr>
            <w:tcW w:w="2657" w:type="dxa"/>
            <w:gridSpan w:val="2"/>
            <w:noWrap w:val="0"/>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noWrap w:val="0"/>
            <w:vAlign w:val="center"/>
          </w:tcPr>
          <w:p>
            <w:pPr>
              <w:snapToGrid w:val="0"/>
              <w:spacing w:line="0" w:lineRule="atLeast"/>
              <w:rPr>
                <w:rFonts w:ascii="宋体" w:hAnsi="宋体" w:cs="宋体"/>
                <w:sz w:val="22"/>
              </w:rPr>
            </w:pPr>
          </w:p>
        </w:tc>
        <w:tc>
          <w:tcPr>
            <w:tcW w:w="3476" w:type="dxa"/>
            <w:gridSpan w:val="5"/>
            <w:noWrap w:val="0"/>
            <w:vAlign w:val="center"/>
          </w:tcPr>
          <w:p>
            <w:pPr>
              <w:snapToGrid w:val="0"/>
              <w:spacing w:line="0" w:lineRule="atLeast"/>
              <w:rPr>
                <w:rFonts w:ascii="宋体" w:hAnsi="宋体" w:cs="宋体"/>
                <w:sz w:val="22"/>
              </w:rPr>
            </w:pPr>
          </w:p>
        </w:tc>
        <w:tc>
          <w:tcPr>
            <w:tcW w:w="1607" w:type="dxa"/>
            <w:gridSpan w:val="2"/>
            <w:noWrap w:val="0"/>
            <w:vAlign w:val="center"/>
          </w:tcPr>
          <w:p>
            <w:pPr>
              <w:snapToGrid w:val="0"/>
              <w:spacing w:line="0" w:lineRule="atLeast"/>
              <w:rPr>
                <w:rFonts w:ascii="宋体" w:hAnsi="宋体" w:cs="宋体"/>
                <w:sz w:val="22"/>
              </w:rPr>
            </w:pPr>
          </w:p>
        </w:tc>
        <w:tc>
          <w:tcPr>
            <w:tcW w:w="2657" w:type="dxa"/>
            <w:gridSpan w:val="2"/>
            <w:noWrap w:val="0"/>
            <w:vAlign w:val="center"/>
          </w:tcPr>
          <w:p>
            <w:pPr>
              <w:snapToGrid w:val="0"/>
              <w:spacing w:line="0" w:lineRule="atLeas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7" w:type="dxa"/>
            <w:noWrap w:val="0"/>
            <w:vAlign w:val="center"/>
          </w:tcPr>
          <w:p>
            <w:pPr>
              <w:snapToGrid w:val="0"/>
              <w:spacing w:line="0" w:lineRule="atLeast"/>
              <w:rPr>
                <w:rFonts w:ascii="宋体" w:hAnsi="宋体" w:cs="宋体"/>
                <w:sz w:val="22"/>
              </w:rPr>
            </w:pPr>
          </w:p>
        </w:tc>
        <w:tc>
          <w:tcPr>
            <w:tcW w:w="3476" w:type="dxa"/>
            <w:gridSpan w:val="5"/>
            <w:noWrap w:val="0"/>
            <w:vAlign w:val="center"/>
          </w:tcPr>
          <w:p>
            <w:pPr>
              <w:snapToGrid w:val="0"/>
              <w:spacing w:line="0" w:lineRule="atLeast"/>
              <w:rPr>
                <w:rFonts w:ascii="宋体" w:hAnsi="宋体" w:cs="宋体"/>
                <w:sz w:val="22"/>
              </w:rPr>
            </w:pPr>
          </w:p>
        </w:tc>
        <w:tc>
          <w:tcPr>
            <w:tcW w:w="1607" w:type="dxa"/>
            <w:gridSpan w:val="2"/>
            <w:noWrap w:val="0"/>
            <w:vAlign w:val="center"/>
          </w:tcPr>
          <w:p>
            <w:pPr>
              <w:snapToGrid w:val="0"/>
              <w:spacing w:line="0" w:lineRule="atLeast"/>
              <w:rPr>
                <w:rFonts w:ascii="宋体" w:hAnsi="宋体" w:cs="宋体"/>
                <w:sz w:val="22"/>
              </w:rPr>
            </w:pPr>
          </w:p>
        </w:tc>
        <w:tc>
          <w:tcPr>
            <w:tcW w:w="2657" w:type="dxa"/>
            <w:gridSpan w:val="2"/>
            <w:noWrap w:val="0"/>
            <w:vAlign w:val="center"/>
          </w:tcPr>
          <w:p>
            <w:pPr>
              <w:snapToGrid w:val="0"/>
              <w:spacing w:line="0" w:lineRule="atLeast"/>
              <w:rPr>
                <w:rFonts w:ascii="宋体" w:hAnsi="宋体" w:cs="宋体"/>
                <w:sz w:val="22"/>
              </w:rPr>
            </w:pPr>
          </w:p>
        </w:tc>
      </w:tr>
    </w:tbl>
    <w:p>
      <w:pPr>
        <w:spacing w:line="360" w:lineRule="auto"/>
        <w:rPr>
          <w:rFonts w:ascii="宋体" w:hAnsi="宋体" w:cs="宋体"/>
          <w:sz w:val="22"/>
        </w:rPr>
      </w:pPr>
      <w:r>
        <w:rPr>
          <w:rFonts w:hint="eastAsia" w:ascii="宋体" w:hAnsi="宋体" w:cs="宋体"/>
          <w:sz w:val="22"/>
        </w:rPr>
        <w:t>注：投标人应根据招标文件的要求在本表后附相关证明材料</w:t>
      </w:r>
    </w:p>
    <w:p>
      <w:pPr>
        <w:spacing w:line="360" w:lineRule="auto"/>
        <w:jc w:val="left"/>
        <w:rPr>
          <w:rFonts w:ascii="宋体" w:hAnsi="宋体" w:cs="宋体"/>
          <w:sz w:val="22"/>
        </w:rPr>
      </w:pPr>
      <w:r>
        <w:rPr>
          <w:rFonts w:hint="eastAsia" w:ascii="宋体" w:hAnsi="宋体" w:cs="宋体"/>
          <w:sz w:val="22"/>
        </w:rPr>
        <w:t>（本项不作为资格审查内容，但（如有）需提供，仅作为投标人的评标（综合评分）资料进行考察。表格格式可以根据实际情况调整。）</w:t>
      </w:r>
    </w:p>
    <w:p>
      <w:pPr>
        <w:pStyle w:val="2"/>
        <w:ind w:firstLine="0"/>
      </w:pPr>
    </w:p>
    <w:p>
      <w:pPr>
        <w:jc w:val="left"/>
        <w:rPr>
          <w:rFonts w:ascii="宋体" w:hAnsi="宋体" w:cs="宋体"/>
          <w:szCs w:val="24"/>
        </w:rPr>
      </w:pPr>
      <w:r>
        <w:rPr>
          <w:rFonts w:hint="eastAsia" w:ascii="宋体" w:hAnsi="宋体" w:cs="宋体"/>
          <w:b/>
          <w:bCs/>
          <w:sz w:val="40"/>
          <w:szCs w:val="32"/>
        </w:rPr>
        <w:br w:type="page"/>
      </w:r>
      <w:bookmarkStart w:id="355" w:name="_Toc532367898"/>
      <w:bookmarkStart w:id="356" w:name="_Toc377719918"/>
      <w:bookmarkStart w:id="357" w:name="_Toc18296"/>
      <w:bookmarkStart w:id="358" w:name="_Toc30415"/>
      <w:bookmarkStart w:id="359" w:name="_Toc38224868"/>
    </w:p>
    <w:p>
      <w:pPr>
        <w:keepNext/>
        <w:keepLines/>
        <w:spacing w:line="360" w:lineRule="auto"/>
        <w:jc w:val="center"/>
        <w:outlineLvl w:val="1"/>
        <w:rPr>
          <w:rFonts w:ascii="宋体" w:hAnsi="宋体" w:cs="宋体"/>
          <w:szCs w:val="24"/>
        </w:rPr>
      </w:pPr>
      <w:r>
        <w:rPr>
          <w:rFonts w:hint="eastAsia" w:ascii="宋体" w:hAnsi="宋体" w:cs="宋体"/>
          <w:b/>
          <w:bCs/>
          <w:sz w:val="32"/>
          <w:szCs w:val="32"/>
        </w:rPr>
        <w:t>十、</w:t>
      </w:r>
      <w:bookmarkEnd w:id="349"/>
      <w:bookmarkEnd w:id="350"/>
      <w:bookmarkEnd w:id="351"/>
      <w:bookmarkEnd w:id="352"/>
      <w:bookmarkEnd w:id="353"/>
      <w:bookmarkEnd w:id="354"/>
      <w:bookmarkEnd w:id="355"/>
      <w:bookmarkEnd w:id="356"/>
      <w:r>
        <w:rPr>
          <w:rFonts w:hint="eastAsia" w:ascii="宋体" w:hAnsi="宋体" w:cs="宋体"/>
          <w:b/>
          <w:bCs/>
          <w:sz w:val="32"/>
          <w:szCs w:val="32"/>
        </w:rPr>
        <w:t>类似经验</w:t>
      </w:r>
      <w:bookmarkEnd w:id="357"/>
      <w:bookmarkEnd w:id="358"/>
      <w:bookmarkEnd w:id="359"/>
    </w:p>
    <w:tbl>
      <w:tblPr>
        <w:tblStyle w:val="42"/>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8"/>
        <w:gridCol w:w="3480"/>
        <w:gridCol w:w="1200"/>
        <w:gridCol w:w="997"/>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28" w:type="dxa"/>
            <w:noWrap w:val="0"/>
            <w:vAlign w:val="center"/>
          </w:tcPr>
          <w:p>
            <w:pPr>
              <w:spacing w:line="320" w:lineRule="atLeast"/>
              <w:jc w:val="center"/>
              <w:rPr>
                <w:rFonts w:ascii="宋体" w:hAnsi="宋体" w:cs="宋体"/>
                <w:szCs w:val="21"/>
              </w:rPr>
            </w:pPr>
            <w:r>
              <w:rPr>
                <w:rFonts w:hint="eastAsia" w:ascii="宋体" w:hAnsi="宋体" w:cs="宋体"/>
                <w:szCs w:val="21"/>
              </w:rPr>
              <w:t>项目</w:t>
            </w:r>
          </w:p>
        </w:tc>
        <w:tc>
          <w:tcPr>
            <w:tcW w:w="3480" w:type="dxa"/>
            <w:noWrap w:val="0"/>
            <w:vAlign w:val="center"/>
          </w:tcPr>
          <w:p>
            <w:pPr>
              <w:spacing w:line="320" w:lineRule="atLeast"/>
              <w:jc w:val="center"/>
              <w:rPr>
                <w:rFonts w:ascii="宋体" w:hAnsi="宋体" w:cs="宋体"/>
                <w:szCs w:val="21"/>
              </w:rPr>
            </w:pPr>
            <w:r>
              <w:rPr>
                <w:rFonts w:hint="eastAsia" w:ascii="宋体" w:hAnsi="宋体" w:cs="宋体"/>
                <w:szCs w:val="21"/>
              </w:rPr>
              <w:t>规模</w:t>
            </w:r>
          </w:p>
        </w:tc>
        <w:tc>
          <w:tcPr>
            <w:tcW w:w="1200" w:type="dxa"/>
            <w:noWrap w:val="0"/>
            <w:vAlign w:val="center"/>
          </w:tcPr>
          <w:p>
            <w:pPr>
              <w:spacing w:line="320" w:lineRule="atLeast"/>
              <w:jc w:val="center"/>
              <w:rPr>
                <w:rFonts w:ascii="宋体" w:hAnsi="宋体" w:cs="宋体"/>
                <w:szCs w:val="21"/>
              </w:rPr>
            </w:pPr>
            <w:r>
              <w:rPr>
                <w:rFonts w:hint="eastAsia" w:ascii="宋体" w:hAnsi="宋体" w:cs="宋体"/>
                <w:szCs w:val="21"/>
              </w:rPr>
              <w:t>开工时间</w:t>
            </w:r>
          </w:p>
          <w:p>
            <w:pPr>
              <w:spacing w:line="320" w:lineRule="atLeast"/>
              <w:jc w:val="center"/>
              <w:rPr>
                <w:rFonts w:ascii="宋体" w:hAnsi="宋体" w:cs="宋体"/>
                <w:szCs w:val="21"/>
              </w:rPr>
            </w:pPr>
            <w:r>
              <w:rPr>
                <w:rFonts w:hint="eastAsia" w:ascii="宋体" w:hAnsi="宋体" w:cs="宋体"/>
                <w:szCs w:val="21"/>
              </w:rPr>
              <w:t>完工时间</w:t>
            </w:r>
          </w:p>
        </w:tc>
        <w:tc>
          <w:tcPr>
            <w:tcW w:w="997" w:type="dxa"/>
            <w:noWrap w:val="0"/>
            <w:vAlign w:val="center"/>
          </w:tcPr>
          <w:p>
            <w:pPr>
              <w:spacing w:line="320" w:lineRule="atLeast"/>
              <w:jc w:val="center"/>
              <w:rPr>
                <w:rFonts w:ascii="宋体" w:hAnsi="宋体" w:cs="宋体"/>
                <w:szCs w:val="21"/>
              </w:rPr>
            </w:pPr>
            <w:r>
              <w:rPr>
                <w:rFonts w:hint="eastAsia" w:ascii="宋体" w:hAnsi="宋体" w:cs="宋体"/>
                <w:szCs w:val="21"/>
              </w:rPr>
              <w:t>合同价</w:t>
            </w:r>
          </w:p>
        </w:tc>
        <w:tc>
          <w:tcPr>
            <w:tcW w:w="2243" w:type="dxa"/>
            <w:noWrap w:val="0"/>
            <w:vAlign w:val="center"/>
          </w:tcPr>
          <w:p>
            <w:pPr>
              <w:spacing w:line="320" w:lineRule="atLeas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8" w:type="dxa"/>
            <w:noWrap w:val="0"/>
            <w:vAlign w:val="center"/>
          </w:tcPr>
          <w:p>
            <w:pPr>
              <w:spacing w:line="320" w:lineRule="atLeast"/>
              <w:rPr>
                <w:rFonts w:ascii="宋体" w:hAnsi="宋体" w:cs="宋体"/>
                <w:szCs w:val="21"/>
              </w:rPr>
            </w:pPr>
          </w:p>
        </w:tc>
        <w:tc>
          <w:tcPr>
            <w:tcW w:w="3480" w:type="dxa"/>
            <w:noWrap w:val="0"/>
            <w:vAlign w:val="center"/>
          </w:tcPr>
          <w:p>
            <w:pPr>
              <w:spacing w:line="320" w:lineRule="atLeast"/>
              <w:rPr>
                <w:rFonts w:ascii="宋体" w:hAnsi="宋体" w:cs="宋体"/>
                <w:szCs w:val="21"/>
              </w:rPr>
            </w:pPr>
          </w:p>
        </w:tc>
        <w:tc>
          <w:tcPr>
            <w:tcW w:w="1200" w:type="dxa"/>
            <w:noWrap w:val="0"/>
            <w:vAlign w:val="center"/>
          </w:tcPr>
          <w:p>
            <w:pPr>
              <w:spacing w:line="320" w:lineRule="atLeast"/>
              <w:rPr>
                <w:rFonts w:ascii="宋体" w:hAnsi="宋体" w:cs="宋体"/>
                <w:szCs w:val="21"/>
              </w:rPr>
            </w:pPr>
          </w:p>
        </w:tc>
        <w:tc>
          <w:tcPr>
            <w:tcW w:w="997" w:type="dxa"/>
            <w:noWrap w:val="0"/>
            <w:vAlign w:val="center"/>
          </w:tcPr>
          <w:p>
            <w:pPr>
              <w:spacing w:line="320" w:lineRule="atLeast"/>
              <w:rPr>
                <w:rFonts w:ascii="宋体" w:hAnsi="宋体" w:cs="宋体"/>
                <w:szCs w:val="21"/>
              </w:rPr>
            </w:pPr>
          </w:p>
        </w:tc>
        <w:tc>
          <w:tcPr>
            <w:tcW w:w="2243" w:type="dxa"/>
            <w:noWrap w:val="0"/>
            <w:vAlign w:val="center"/>
          </w:tcPr>
          <w:p>
            <w:pPr>
              <w:spacing w:line="32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8" w:type="dxa"/>
            <w:noWrap w:val="0"/>
            <w:vAlign w:val="center"/>
          </w:tcPr>
          <w:p>
            <w:pPr>
              <w:spacing w:line="320" w:lineRule="atLeast"/>
              <w:rPr>
                <w:rFonts w:ascii="宋体" w:hAnsi="宋体" w:cs="宋体"/>
                <w:szCs w:val="21"/>
              </w:rPr>
            </w:pPr>
          </w:p>
        </w:tc>
        <w:tc>
          <w:tcPr>
            <w:tcW w:w="3480" w:type="dxa"/>
            <w:noWrap w:val="0"/>
            <w:vAlign w:val="center"/>
          </w:tcPr>
          <w:p>
            <w:pPr>
              <w:spacing w:line="320" w:lineRule="atLeast"/>
              <w:rPr>
                <w:rFonts w:ascii="宋体" w:hAnsi="宋体" w:cs="宋体"/>
                <w:szCs w:val="21"/>
              </w:rPr>
            </w:pPr>
          </w:p>
        </w:tc>
        <w:tc>
          <w:tcPr>
            <w:tcW w:w="1200" w:type="dxa"/>
            <w:noWrap w:val="0"/>
            <w:vAlign w:val="center"/>
          </w:tcPr>
          <w:p>
            <w:pPr>
              <w:spacing w:line="320" w:lineRule="atLeast"/>
              <w:rPr>
                <w:rFonts w:ascii="宋体" w:hAnsi="宋体" w:cs="宋体"/>
                <w:szCs w:val="21"/>
              </w:rPr>
            </w:pPr>
          </w:p>
        </w:tc>
        <w:tc>
          <w:tcPr>
            <w:tcW w:w="997" w:type="dxa"/>
            <w:noWrap w:val="0"/>
            <w:vAlign w:val="center"/>
          </w:tcPr>
          <w:p>
            <w:pPr>
              <w:spacing w:line="320" w:lineRule="atLeast"/>
              <w:rPr>
                <w:rFonts w:ascii="宋体" w:hAnsi="宋体" w:cs="宋体"/>
                <w:szCs w:val="21"/>
              </w:rPr>
            </w:pPr>
          </w:p>
        </w:tc>
        <w:tc>
          <w:tcPr>
            <w:tcW w:w="2243" w:type="dxa"/>
            <w:noWrap w:val="0"/>
            <w:vAlign w:val="center"/>
          </w:tcPr>
          <w:p>
            <w:pPr>
              <w:spacing w:line="32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8" w:type="dxa"/>
            <w:noWrap w:val="0"/>
            <w:vAlign w:val="center"/>
          </w:tcPr>
          <w:p>
            <w:pPr>
              <w:spacing w:line="320" w:lineRule="atLeast"/>
              <w:rPr>
                <w:rFonts w:ascii="宋体" w:hAnsi="宋体" w:cs="宋体"/>
                <w:szCs w:val="21"/>
              </w:rPr>
            </w:pPr>
          </w:p>
        </w:tc>
        <w:tc>
          <w:tcPr>
            <w:tcW w:w="3480" w:type="dxa"/>
            <w:noWrap w:val="0"/>
            <w:vAlign w:val="center"/>
          </w:tcPr>
          <w:p>
            <w:pPr>
              <w:spacing w:line="320" w:lineRule="atLeast"/>
              <w:rPr>
                <w:rFonts w:ascii="宋体" w:hAnsi="宋体" w:cs="宋体"/>
                <w:szCs w:val="21"/>
              </w:rPr>
            </w:pPr>
          </w:p>
        </w:tc>
        <w:tc>
          <w:tcPr>
            <w:tcW w:w="1200" w:type="dxa"/>
            <w:noWrap w:val="0"/>
            <w:vAlign w:val="center"/>
          </w:tcPr>
          <w:p>
            <w:pPr>
              <w:spacing w:line="320" w:lineRule="atLeast"/>
              <w:rPr>
                <w:rFonts w:ascii="宋体" w:hAnsi="宋体" w:cs="宋体"/>
                <w:szCs w:val="21"/>
              </w:rPr>
            </w:pPr>
          </w:p>
        </w:tc>
        <w:tc>
          <w:tcPr>
            <w:tcW w:w="997" w:type="dxa"/>
            <w:noWrap w:val="0"/>
            <w:vAlign w:val="center"/>
          </w:tcPr>
          <w:p>
            <w:pPr>
              <w:spacing w:line="320" w:lineRule="atLeast"/>
              <w:rPr>
                <w:rFonts w:ascii="宋体" w:hAnsi="宋体" w:cs="宋体"/>
                <w:szCs w:val="21"/>
              </w:rPr>
            </w:pPr>
          </w:p>
        </w:tc>
        <w:tc>
          <w:tcPr>
            <w:tcW w:w="2243" w:type="dxa"/>
            <w:noWrap w:val="0"/>
            <w:vAlign w:val="center"/>
          </w:tcPr>
          <w:p>
            <w:pPr>
              <w:spacing w:line="32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8" w:type="dxa"/>
            <w:noWrap w:val="0"/>
            <w:vAlign w:val="center"/>
          </w:tcPr>
          <w:p>
            <w:pPr>
              <w:spacing w:line="320" w:lineRule="atLeast"/>
              <w:rPr>
                <w:rFonts w:ascii="宋体" w:hAnsi="宋体" w:cs="宋体"/>
                <w:szCs w:val="21"/>
              </w:rPr>
            </w:pPr>
          </w:p>
        </w:tc>
        <w:tc>
          <w:tcPr>
            <w:tcW w:w="3480" w:type="dxa"/>
            <w:noWrap w:val="0"/>
            <w:vAlign w:val="center"/>
          </w:tcPr>
          <w:p>
            <w:pPr>
              <w:spacing w:line="320" w:lineRule="atLeast"/>
              <w:rPr>
                <w:rFonts w:ascii="宋体" w:hAnsi="宋体" w:cs="宋体"/>
                <w:szCs w:val="21"/>
              </w:rPr>
            </w:pPr>
          </w:p>
        </w:tc>
        <w:tc>
          <w:tcPr>
            <w:tcW w:w="1200" w:type="dxa"/>
            <w:noWrap w:val="0"/>
            <w:vAlign w:val="center"/>
          </w:tcPr>
          <w:p>
            <w:pPr>
              <w:spacing w:line="320" w:lineRule="atLeast"/>
              <w:rPr>
                <w:rFonts w:ascii="宋体" w:hAnsi="宋体" w:cs="宋体"/>
                <w:szCs w:val="21"/>
              </w:rPr>
            </w:pPr>
          </w:p>
        </w:tc>
        <w:tc>
          <w:tcPr>
            <w:tcW w:w="997" w:type="dxa"/>
            <w:noWrap w:val="0"/>
            <w:vAlign w:val="center"/>
          </w:tcPr>
          <w:p>
            <w:pPr>
              <w:spacing w:line="320" w:lineRule="atLeast"/>
              <w:rPr>
                <w:rFonts w:ascii="宋体" w:hAnsi="宋体" w:cs="宋体"/>
                <w:szCs w:val="21"/>
              </w:rPr>
            </w:pPr>
          </w:p>
        </w:tc>
        <w:tc>
          <w:tcPr>
            <w:tcW w:w="2243" w:type="dxa"/>
            <w:noWrap w:val="0"/>
            <w:vAlign w:val="center"/>
          </w:tcPr>
          <w:p>
            <w:pPr>
              <w:spacing w:line="32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8" w:type="dxa"/>
            <w:noWrap w:val="0"/>
            <w:vAlign w:val="center"/>
          </w:tcPr>
          <w:p>
            <w:pPr>
              <w:spacing w:line="320" w:lineRule="atLeast"/>
              <w:rPr>
                <w:rFonts w:ascii="宋体" w:hAnsi="宋体" w:cs="宋体"/>
                <w:szCs w:val="21"/>
              </w:rPr>
            </w:pPr>
          </w:p>
        </w:tc>
        <w:tc>
          <w:tcPr>
            <w:tcW w:w="3480" w:type="dxa"/>
            <w:noWrap w:val="0"/>
            <w:vAlign w:val="center"/>
          </w:tcPr>
          <w:p>
            <w:pPr>
              <w:spacing w:line="320" w:lineRule="atLeast"/>
              <w:rPr>
                <w:rFonts w:ascii="宋体" w:hAnsi="宋体" w:cs="宋体"/>
                <w:szCs w:val="21"/>
              </w:rPr>
            </w:pPr>
          </w:p>
        </w:tc>
        <w:tc>
          <w:tcPr>
            <w:tcW w:w="1200" w:type="dxa"/>
            <w:noWrap w:val="0"/>
            <w:vAlign w:val="center"/>
          </w:tcPr>
          <w:p>
            <w:pPr>
              <w:spacing w:line="320" w:lineRule="atLeast"/>
              <w:rPr>
                <w:rFonts w:ascii="宋体" w:hAnsi="宋体" w:cs="宋体"/>
                <w:szCs w:val="21"/>
              </w:rPr>
            </w:pPr>
          </w:p>
        </w:tc>
        <w:tc>
          <w:tcPr>
            <w:tcW w:w="997" w:type="dxa"/>
            <w:noWrap w:val="0"/>
            <w:vAlign w:val="center"/>
          </w:tcPr>
          <w:p>
            <w:pPr>
              <w:spacing w:line="320" w:lineRule="atLeast"/>
              <w:rPr>
                <w:rFonts w:ascii="宋体" w:hAnsi="宋体" w:cs="宋体"/>
                <w:szCs w:val="21"/>
              </w:rPr>
            </w:pPr>
          </w:p>
        </w:tc>
        <w:tc>
          <w:tcPr>
            <w:tcW w:w="2243" w:type="dxa"/>
            <w:noWrap w:val="0"/>
            <w:vAlign w:val="center"/>
          </w:tcPr>
          <w:p>
            <w:pPr>
              <w:spacing w:line="320" w:lineRule="atLeast"/>
              <w:rPr>
                <w:rFonts w:ascii="宋体" w:hAnsi="宋体" w:cs="宋体"/>
                <w:szCs w:val="21"/>
              </w:rPr>
            </w:pPr>
          </w:p>
        </w:tc>
      </w:tr>
    </w:tbl>
    <w:p>
      <w:pPr>
        <w:spacing w:line="320" w:lineRule="atLeast"/>
        <w:rPr>
          <w:rFonts w:ascii="宋体" w:hAnsi="宋体" w:cs="宋体"/>
          <w:szCs w:val="24"/>
        </w:rPr>
      </w:pPr>
      <w:r>
        <w:rPr>
          <w:rFonts w:hint="eastAsia" w:ascii="宋体" w:hAnsi="宋体" w:cs="宋体"/>
          <w:sz w:val="22"/>
        </w:rPr>
        <w:t>注：请根据《评标办法前附表》中的类似项目业绩评审标准，附上相关证明材料</w:t>
      </w:r>
    </w:p>
    <w:p>
      <w:pPr>
        <w:jc w:val="left"/>
        <w:rPr>
          <w:rFonts w:ascii="宋体" w:hAnsi="宋体" w:cs="宋体"/>
          <w:b/>
          <w:bCs/>
          <w:szCs w:val="21"/>
        </w:rPr>
      </w:pPr>
    </w:p>
    <w:p>
      <w:pPr>
        <w:jc w:val="left"/>
        <w:rPr>
          <w:rFonts w:ascii="宋体" w:hAnsi="宋体" w:cs="宋体"/>
          <w:b/>
          <w:bCs/>
          <w:szCs w:val="21"/>
        </w:rPr>
      </w:pPr>
    </w:p>
    <w:p>
      <w:pPr>
        <w:jc w:val="left"/>
        <w:rPr>
          <w:rFonts w:ascii="宋体" w:hAnsi="宋体" w:cs="宋体"/>
          <w:szCs w:val="24"/>
        </w:rPr>
      </w:pPr>
      <w:r>
        <w:rPr>
          <w:rFonts w:hint="eastAsia" w:ascii="宋体" w:hAnsi="宋体" w:cs="宋体"/>
          <w:b/>
          <w:bCs/>
          <w:sz w:val="40"/>
        </w:rPr>
        <w:br w:type="page"/>
      </w:r>
      <w:bookmarkStart w:id="360" w:name="_Toc30833"/>
      <w:bookmarkStart w:id="361" w:name="_Toc25992"/>
      <w:bookmarkStart w:id="362" w:name="_Toc377719919"/>
      <w:bookmarkStart w:id="363" w:name="_Toc532367899"/>
      <w:bookmarkStart w:id="364" w:name="_Toc76"/>
      <w:bookmarkStart w:id="365" w:name="_Toc23148"/>
      <w:bookmarkStart w:id="366" w:name="_Toc31367"/>
      <w:bookmarkStart w:id="367" w:name="_Toc168"/>
      <w:bookmarkStart w:id="368" w:name="_Toc12595"/>
      <w:bookmarkStart w:id="369" w:name="_Toc13512"/>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十一、</w:t>
      </w:r>
      <w:bookmarkEnd w:id="360"/>
      <w:bookmarkEnd w:id="361"/>
      <w:bookmarkEnd w:id="362"/>
      <w:bookmarkEnd w:id="363"/>
      <w:bookmarkEnd w:id="364"/>
      <w:bookmarkEnd w:id="365"/>
      <w:bookmarkEnd w:id="366"/>
      <w:bookmarkEnd w:id="367"/>
      <w:r>
        <w:rPr>
          <w:rFonts w:hint="eastAsia" w:ascii="宋体" w:hAnsi="宋体" w:cs="宋体"/>
          <w:b/>
          <w:bCs/>
          <w:sz w:val="32"/>
          <w:szCs w:val="32"/>
        </w:rPr>
        <w:t>拟投入本项目的主要检测和监测仪器设备一览表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36" w:type="dxa"/>
            <w:vMerge w:val="restart"/>
            <w:noWrap w:val="0"/>
            <w:vAlign w:val="center"/>
          </w:tcPr>
          <w:p>
            <w:pPr>
              <w:jc w:val="center"/>
              <w:rPr>
                <w:rFonts w:ascii="宋体" w:hAnsi="宋体" w:cs="宋体"/>
                <w:sz w:val="22"/>
              </w:rPr>
            </w:pPr>
            <w:r>
              <w:rPr>
                <w:rFonts w:hint="eastAsia" w:ascii="宋体" w:hAnsi="宋体" w:cs="宋体"/>
                <w:sz w:val="22"/>
              </w:rPr>
              <w:t>序号</w:t>
            </w:r>
          </w:p>
        </w:tc>
        <w:tc>
          <w:tcPr>
            <w:tcW w:w="1793" w:type="dxa"/>
            <w:vMerge w:val="restart"/>
            <w:noWrap w:val="0"/>
            <w:vAlign w:val="center"/>
          </w:tcPr>
          <w:p>
            <w:pPr>
              <w:jc w:val="center"/>
              <w:rPr>
                <w:rFonts w:ascii="宋体" w:hAnsi="宋体" w:cs="宋体"/>
                <w:sz w:val="22"/>
              </w:rPr>
            </w:pPr>
            <w:r>
              <w:rPr>
                <w:rFonts w:hint="eastAsia" w:ascii="宋体" w:hAnsi="宋体" w:cs="宋体"/>
                <w:sz w:val="22"/>
              </w:rPr>
              <w:t>设备名称</w:t>
            </w:r>
          </w:p>
        </w:tc>
        <w:tc>
          <w:tcPr>
            <w:tcW w:w="900" w:type="dxa"/>
            <w:vMerge w:val="restart"/>
            <w:noWrap w:val="0"/>
            <w:vAlign w:val="center"/>
          </w:tcPr>
          <w:p>
            <w:pPr>
              <w:jc w:val="center"/>
              <w:rPr>
                <w:rFonts w:ascii="宋体" w:hAnsi="宋体" w:cs="宋体"/>
                <w:sz w:val="22"/>
              </w:rPr>
            </w:pPr>
            <w:r>
              <w:rPr>
                <w:rFonts w:hint="eastAsia" w:ascii="宋体" w:hAnsi="宋体" w:cs="宋体"/>
                <w:sz w:val="22"/>
              </w:rPr>
              <w:t>本项目</w:t>
            </w:r>
          </w:p>
          <w:p>
            <w:pPr>
              <w:jc w:val="center"/>
              <w:rPr>
                <w:rFonts w:ascii="宋体" w:hAnsi="宋体" w:cs="宋体"/>
                <w:sz w:val="22"/>
              </w:rPr>
            </w:pPr>
            <w:r>
              <w:rPr>
                <w:rFonts w:hint="eastAsia" w:ascii="宋体" w:hAnsi="宋体" w:cs="宋体"/>
                <w:sz w:val="22"/>
              </w:rPr>
              <w:t>数量基本要求</w:t>
            </w:r>
          </w:p>
        </w:tc>
        <w:tc>
          <w:tcPr>
            <w:tcW w:w="6314" w:type="dxa"/>
            <w:gridSpan w:val="5"/>
            <w:noWrap w:val="0"/>
            <w:vAlign w:val="center"/>
          </w:tcPr>
          <w:p>
            <w:pPr>
              <w:jc w:val="center"/>
              <w:rPr>
                <w:rFonts w:ascii="宋体" w:hAnsi="宋体" w:cs="宋体"/>
                <w:sz w:val="22"/>
              </w:rPr>
            </w:pPr>
            <w:r>
              <w:rPr>
                <w:rFonts w:hint="eastAsia" w:ascii="宋体" w:hAnsi="宋体" w:cs="宋体"/>
                <w:sz w:val="22"/>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36" w:type="dxa"/>
            <w:vMerge w:val="continue"/>
            <w:noWrap w:val="0"/>
            <w:vAlign w:val="center"/>
          </w:tcPr>
          <w:p>
            <w:pPr>
              <w:jc w:val="center"/>
              <w:rPr>
                <w:rFonts w:ascii="宋体" w:hAnsi="宋体" w:cs="宋体"/>
                <w:sz w:val="22"/>
              </w:rPr>
            </w:pPr>
          </w:p>
        </w:tc>
        <w:tc>
          <w:tcPr>
            <w:tcW w:w="1793" w:type="dxa"/>
            <w:vMerge w:val="continue"/>
            <w:noWrap w:val="0"/>
            <w:vAlign w:val="center"/>
          </w:tcPr>
          <w:p>
            <w:pPr>
              <w:jc w:val="center"/>
              <w:rPr>
                <w:rFonts w:ascii="宋体" w:hAnsi="宋体" w:cs="宋体"/>
                <w:sz w:val="22"/>
              </w:rPr>
            </w:pPr>
          </w:p>
        </w:tc>
        <w:tc>
          <w:tcPr>
            <w:tcW w:w="900" w:type="dxa"/>
            <w:vMerge w:val="continue"/>
            <w:noWrap w:val="0"/>
            <w:vAlign w:val="center"/>
          </w:tcPr>
          <w:p>
            <w:pPr>
              <w:jc w:val="center"/>
              <w:rPr>
                <w:rFonts w:ascii="宋体" w:hAnsi="宋体" w:cs="宋体"/>
                <w:sz w:val="22"/>
              </w:rPr>
            </w:pPr>
          </w:p>
        </w:tc>
        <w:tc>
          <w:tcPr>
            <w:tcW w:w="992" w:type="dxa"/>
            <w:noWrap w:val="0"/>
            <w:vAlign w:val="center"/>
          </w:tcPr>
          <w:p>
            <w:pPr>
              <w:jc w:val="center"/>
              <w:rPr>
                <w:rFonts w:ascii="宋体" w:hAnsi="宋体" w:cs="宋体"/>
                <w:sz w:val="22"/>
              </w:rPr>
            </w:pPr>
            <w:r>
              <w:rPr>
                <w:rFonts w:hint="eastAsia" w:ascii="宋体" w:hAnsi="宋体" w:cs="宋体"/>
                <w:sz w:val="22"/>
              </w:rPr>
              <w:t>数量</w:t>
            </w:r>
          </w:p>
        </w:tc>
        <w:tc>
          <w:tcPr>
            <w:tcW w:w="1785" w:type="dxa"/>
            <w:noWrap w:val="0"/>
            <w:vAlign w:val="center"/>
          </w:tcPr>
          <w:p>
            <w:pPr>
              <w:jc w:val="center"/>
              <w:rPr>
                <w:rFonts w:ascii="宋体" w:hAnsi="宋体" w:cs="宋体"/>
                <w:sz w:val="22"/>
              </w:rPr>
            </w:pPr>
            <w:r>
              <w:rPr>
                <w:rFonts w:hint="eastAsia" w:ascii="宋体" w:hAnsi="宋体" w:cs="宋体"/>
                <w:sz w:val="22"/>
              </w:rPr>
              <w:t>检定/校准机构</w:t>
            </w:r>
          </w:p>
        </w:tc>
        <w:tc>
          <w:tcPr>
            <w:tcW w:w="1116" w:type="dxa"/>
            <w:noWrap w:val="0"/>
            <w:vAlign w:val="center"/>
          </w:tcPr>
          <w:p>
            <w:pPr>
              <w:jc w:val="center"/>
              <w:rPr>
                <w:rFonts w:ascii="宋体" w:hAnsi="宋体" w:cs="宋体"/>
                <w:sz w:val="22"/>
              </w:rPr>
            </w:pPr>
            <w:r>
              <w:rPr>
                <w:rFonts w:hint="eastAsia" w:ascii="宋体" w:hAnsi="宋体" w:cs="宋体"/>
                <w:sz w:val="22"/>
              </w:rPr>
              <w:t>有效期</w:t>
            </w:r>
          </w:p>
        </w:tc>
        <w:tc>
          <w:tcPr>
            <w:tcW w:w="1341" w:type="dxa"/>
            <w:noWrap w:val="0"/>
            <w:vAlign w:val="center"/>
          </w:tcPr>
          <w:p>
            <w:pPr>
              <w:jc w:val="center"/>
              <w:rPr>
                <w:rFonts w:ascii="宋体" w:hAnsi="宋体" w:cs="宋体"/>
                <w:sz w:val="22"/>
              </w:rPr>
            </w:pPr>
            <w:r>
              <w:rPr>
                <w:rFonts w:hint="eastAsia" w:ascii="宋体" w:hAnsi="宋体" w:cs="宋体"/>
                <w:sz w:val="22"/>
              </w:rPr>
              <w:t>检定/校准周期</w:t>
            </w:r>
          </w:p>
        </w:tc>
        <w:tc>
          <w:tcPr>
            <w:tcW w:w="1080" w:type="dxa"/>
            <w:noWrap w:val="0"/>
            <w:vAlign w:val="center"/>
          </w:tcPr>
          <w:p>
            <w:pPr>
              <w:jc w:val="center"/>
              <w:rPr>
                <w:rFonts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ascii="宋体" w:hAnsi="宋体" w:cs="宋体"/>
                <w:sz w:val="22"/>
              </w:rPr>
            </w:pPr>
            <w:r>
              <w:rPr>
                <w:rFonts w:hint="eastAsia" w:ascii="宋体" w:hAnsi="宋体" w:cs="宋体"/>
                <w:sz w:val="22"/>
              </w:rPr>
              <w:t>1</w:t>
            </w:r>
          </w:p>
        </w:tc>
        <w:tc>
          <w:tcPr>
            <w:tcW w:w="1793" w:type="dxa"/>
            <w:noWrap w:val="0"/>
            <w:vAlign w:val="center"/>
          </w:tcPr>
          <w:p>
            <w:pPr>
              <w:spacing w:line="240" w:lineRule="exact"/>
              <w:jc w:val="center"/>
              <w:rPr>
                <w:rFonts w:ascii="宋体" w:hAnsi="宋体" w:cs="宋体"/>
                <w:sz w:val="22"/>
              </w:rPr>
            </w:pPr>
          </w:p>
        </w:tc>
        <w:tc>
          <w:tcPr>
            <w:tcW w:w="900" w:type="dxa"/>
            <w:noWrap w:val="0"/>
            <w:vAlign w:val="center"/>
          </w:tcPr>
          <w:p>
            <w:pPr>
              <w:spacing w:line="240" w:lineRule="exact"/>
              <w:jc w:val="center"/>
              <w:rPr>
                <w:rFonts w:ascii="宋体" w:hAnsi="宋体" w:cs="宋体"/>
                <w:sz w:val="22"/>
              </w:rPr>
            </w:pPr>
          </w:p>
        </w:tc>
        <w:tc>
          <w:tcPr>
            <w:tcW w:w="992" w:type="dxa"/>
            <w:noWrap w:val="0"/>
            <w:vAlign w:val="center"/>
          </w:tcPr>
          <w:p>
            <w:pPr>
              <w:spacing w:line="240" w:lineRule="exact"/>
              <w:jc w:val="center"/>
              <w:rPr>
                <w:rFonts w:ascii="宋体" w:hAnsi="宋体" w:cs="宋体"/>
                <w:sz w:val="22"/>
              </w:rPr>
            </w:pPr>
          </w:p>
        </w:tc>
        <w:tc>
          <w:tcPr>
            <w:tcW w:w="1785" w:type="dxa"/>
            <w:noWrap w:val="0"/>
            <w:vAlign w:val="center"/>
          </w:tcPr>
          <w:p>
            <w:pPr>
              <w:spacing w:line="240" w:lineRule="exact"/>
              <w:jc w:val="center"/>
              <w:rPr>
                <w:rFonts w:ascii="宋体" w:hAnsi="宋体" w:cs="宋体"/>
                <w:sz w:val="22"/>
              </w:rPr>
            </w:pPr>
          </w:p>
        </w:tc>
        <w:tc>
          <w:tcPr>
            <w:tcW w:w="1116" w:type="dxa"/>
            <w:noWrap w:val="0"/>
            <w:vAlign w:val="center"/>
          </w:tcPr>
          <w:p>
            <w:pPr>
              <w:spacing w:line="240" w:lineRule="exact"/>
              <w:jc w:val="center"/>
              <w:rPr>
                <w:rFonts w:ascii="宋体" w:hAnsi="宋体" w:cs="宋体"/>
                <w:sz w:val="22"/>
              </w:rPr>
            </w:pPr>
          </w:p>
        </w:tc>
        <w:tc>
          <w:tcPr>
            <w:tcW w:w="1341" w:type="dxa"/>
            <w:noWrap w:val="0"/>
            <w:vAlign w:val="center"/>
          </w:tcPr>
          <w:p>
            <w:pPr>
              <w:spacing w:line="240" w:lineRule="exact"/>
              <w:jc w:val="center"/>
              <w:rPr>
                <w:rFonts w:ascii="宋体" w:hAnsi="宋体" w:cs="宋体"/>
                <w:sz w:val="22"/>
              </w:rPr>
            </w:pPr>
          </w:p>
        </w:tc>
        <w:tc>
          <w:tcPr>
            <w:tcW w:w="1080" w:type="dxa"/>
            <w:noWrap w:val="0"/>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ascii="宋体" w:hAnsi="宋体" w:cs="宋体"/>
                <w:sz w:val="22"/>
              </w:rPr>
            </w:pPr>
            <w:r>
              <w:rPr>
                <w:rFonts w:hint="eastAsia" w:ascii="宋体" w:hAnsi="宋体" w:cs="宋体"/>
                <w:sz w:val="22"/>
              </w:rPr>
              <w:t>2</w:t>
            </w:r>
          </w:p>
        </w:tc>
        <w:tc>
          <w:tcPr>
            <w:tcW w:w="1793" w:type="dxa"/>
            <w:noWrap w:val="0"/>
            <w:vAlign w:val="center"/>
          </w:tcPr>
          <w:p>
            <w:pPr>
              <w:spacing w:line="240" w:lineRule="exact"/>
              <w:jc w:val="center"/>
              <w:rPr>
                <w:rFonts w:ascii="宋体" w:hAnsi="宋体" w:cs="宋体"/>
                <w:sz w:val="22"/>
              </w:rPr>
            </w:pPr>
          </w:p>
        </w:tc>
        <w:tc>
          <w:tcPr>
            <w:tcW w:w="900" w:type="dxa"/>
            <w:noWrap w:val="0"/>
            <w:vAlign w:val="center"/>
          </w:tcPr>
          <w:p>
            <w:pPr>
              <w:jc w:val="center"/>
              <w:rPr>
                <w:rFonts w:ascii="宋体" w:hAnsi="宋体" w:cs="宋体"/>
                <w:sz w:val="22"/>
              </w:rPr>
            </w:pPr>
          </w:p>
        </w:tc>
        <w:tc>
          <w:tcPr>
            <w:tcW w:w="992" w:type="dxa"/>
            <w:noWrap w:val="0"/>
            <w:vAlign w:val="center"/>
          </w:tcPr>
          <w:p>
            <w:pPr>
              <w:spacing w:line="240" w:lineRule="exact"/>
              <w:jc w:val="center"/>
              <w:rPr>
                <w:rFonts w:ascii="宋体" w:hAnsi="宋体" w:cs="宋体"/>
                <w:sz w:val="22"/>
              </w:rPr>
            </w:pPr>
          </w:p>
        </w:tc>
        <w:tc>
          <w:tcPr>
            <w:tcW w:w="1785" w:type="dxa"/>
            <w:noWrap w:val="0"/>
            <w:vAlign w:val="center"/>
          </w:tcPr>
          <w:p>
            <w:pPr>
              <w:spacing w:line="240" w:lineRule="exact"/>
              <w:jc w:val="center"/>
              <w:rPr>
                <w:rFonts w:ascii="宋体" w:hAnsi="宋体" w:cs="宋体"/>
                <w:sz w:val="22"/>
              </w:rPr>
            </w:pPr>
          </w:p>
        </w:tc>
        <w:tc>
          <w:tcPr>
            <w:tcW w:w="1116" w:type="dxa"/>
            <w:noWrap w:val="0"/>
            <w:vAlign w:val="center"/>
          </w:tcPr>
          <w:p>
            <w:pPr>
              <w:spacing w:line="240" w:lineRule="exact"/>
              <w:jc w:val="center"/>
              <w:rPr>
                <w:rFonts w:ascii="宋体" w:hAnsi="宋体" w:cs="宋体"/>
                <w:sz w:val="22"/>
              </w:rPr>
            </w:pPr>
          </w:p>
        </w:tc>
        <w:tc>
          <w:tcPr>
            <w:tcW w:w="1341" w:type="dxa"/>
            <w:noWrap w:val="0"/>
            <w:vAlign w:val="center"/>
          </w:tcPr>
          <w:p>
            <w:pPr>
              <w:spacing w:line="240" w:lineRule="exact"/>
              <w:jc w:val="center"/>
              <w:rPr>
                <w:rFonts w:ascii="宋体" w:hAnsi="宋体" w:cs="宋体"/>
                <w:sz w:val="22"/>
              </w:rPr>
            </w:pPr>
          </w:p>
        </w:tc>
        <w:tc>
          <w:tcPr>
            <w:tcW w:w="1080" w:type="dxa"/>
            <w:noWrap w:val="0"/>
            <w:vAlign w:val="center"/>
          </w:tcPr>
          <w:p>
            <w:pPr>
              <w:spacing w:line="240" w:lineRule="exact"/>
              <w:jc w:val="center"/>
              <w:rPr>
                <w:rFonts w:ascii="宋体" w:hAnsi="宋体" w:cs="宋体"/>
                <w: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ascii="宋体" w:hAnsi="宋体" w:cs="宋体"/>
                <w:sz w:val="22"/>
              </w:rPr>
            </w:pPr>
            <w:r>
              <w:rPr>
                <w:rFonts w:hint="eastAsia" w:ascii="宋体" w:hAnsi="宋体" w:cs="宋体"/>
                <w:sz w:val="22"/>
              </w:rPr>
              <w:t>3</w:t>
            </w:r>
          </w:p>
        </w:tc>
        <w:tc>
          <w:tcPr>
            <w:tcW w:w="1793" w:type="dxa"/>
            <w:noWrap w:val="0"/>
            <w:vAlign w:val="center"/>
          </w:tcPr>
          <w:p>
            <w:pPr>
              <w:spacing w:line="240" w:lineRule="exact"/>
              <w:jc w:val="center"/>
              <w:rPr>
                <w:rFonts w:ascii="宋体" w:hAnsi="宋体" w:cs="宋体"/>
                <w:sz w:val="22"/>
              </w:rPr>
            </w:pPr>
          </w:p>
        </w:tc>
        <w:tc>
          <w:tcPr>
            <w:tcW w:w="900" w:type="dxa"/>
            <w:noWrap w:val="0"/>
            <w:vAlign w:val="center"/>
          </w:tcPr>
          <w:p>
            <w:pPr>
              <w:jc w:val="center"/>
              <w:rPr>
                <w:rFonts w:ascii="宋体" w:hAnsi="宋体" w:cs="宋体"/>
                <w:sz w:val="22"/>
              </w:rPr>
            </w:pPr>
          </w:p>
        </w:tc>
        <w:tc>
          <w:tcPr>
            <w:tcW w:w="992" w:type="dxa"/>
            <w:noWrap w:val="0"/>
            <w:vAlign w:val="center"/>
          </w:tcPr>
          <w:p>
            <w:pPr>
              <w:spacing w:line="240" w:lineRule="exact"/>
              <w:jc w:val="center"/>
              <w:rPr>
                <w:rFonts w:ascii="宋体" w:hAnsi="宋体" w:cs="宋体"/>
                <w:sz w:val="22"/>
              </w:rPr>
            </w:pPr>
          </w:p>
        </w:tc>
        <w:tc>
          <w:tcPr>
            <w:tcW w:w="1785" w:type="dxa"/>
            <w:noWrap w:val="0"/>
            <w:vAlign w:val="center"/>
          </w:tcPr>
          <w:p>
            <w:pPr>
              <w:spacing w:line="240" w:lineRule="exact"/>
              <w:jc w:val="center"/>
              <w:rPr>
                <w:rFonts w:ascii="宋体" w:hAnsi="宋体" w:cs="宋体"/>
                <w:sz w:val="22"/>
              </w:rPr>
            </w:pPr>
          </w:p>
        </w:tc>
        <w:tc>
          <w:tcPr>
            <w:tcW w:w="1116" w:type="dxa"/>
            <w:noWrap w:val="0"/>
            <w:vAlign w:val="center"/>
          </w:tcPr>
          <w:p>
            <w:pPr>
              <w:spacing w:line="240" w:lineRule="exact"/>
              <w:jc w:val="center"/>
              <w:rPr>
                <w:rFonts w:ascii="宋体" w:hAnsi="宋体" w:cs="宋体"/>
                <w:sz w:val="22"/>
              </w:rPr>
            </w:pPr>
          </w:p>
        </w:tc>
        <w:tc>
          <w:tcPr>
            <w:tcW w:w="1341" w:type="dxa"/>
            <w:noWrap w:val="0"/>
            <w:vAlign w:val="center"/>
          </w:tcPr>
          <w:p>
            <w:pPr>
              <w:spacing w:line="240" w:lineRule="exact"/>
              <w:jc w:val="center"/>
              <w:rPr>
                <w:rFonts w:ascii="宋体" w:hAnsi="宋体" w:cs="宋体"/>
                <w:sz w:val="22"/>
              </w:rPr>
            </w:pPr>
          </w:p>
        </w:tc>
        <w:tc>
          <w:tcPr>
            <w:tcW w:w="1080" w:type="dxa"/>
            <w:noWrap w:val="0"/>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ascii="宋体" w:hAnsi="宋体" w:cs="宋体"/>
                <w:sz w:val="22"/>
              </w:rPr>
            </w:pPr>
            <w:r>
              <w:rPr>
                <w:rFonts w:hint="eastAsia" w:ascii="宋体" w:hAnsi="宋体" w:cs="宋体"/>
                <w:sz w:val="22"/>
              </w:rPr>
              <w:t>4</w:t>
            </w:r>
          </w:p>
        </w:tc>
        <w:tc>
          <w:tcPr>
            <w:tcW w:w="1793" w:type="dxa"/>
            <w:noWrap w:val="0"/>
            <w:vAlign w:val="center"/>
          </w:tcPr>
          <w:p>
            <w:pPr>
              <w:spacing w:line="240" w:lineRule="exact"/>
              <w:jc w:val="center"/>
              <w:rPr>
                <w:rFonts w:ascii="宋体" w:hAnsi="宋体" w:cs="宋体"/>
                <w:sz w:val="22"/>
              </w:rPr>
            </w:pPr>
          </w:p>
        </w:tc>
        <w:tc>
          <w:tcPr>
            <w:tcW w:w="900" w:type="dxa"/>
            <w:noWrap w:val="0"/>
            <w:vAlign w:val="center"/>
          </w:tcPr>
          <w:p>
            <w:pPr>
              <w:jc w:val="center"/>
              <w:rPr>
                <w:rFonts w:ascii="宋体" w:hAnsi="宋体" w:cs="宋体"/>
                <w:sz w:val="22"/>
              </w:rPr>
            </w:pPr>
          </w:p>
        </w:tc>
        <w:tc>
          <w:tcPr>
            <w:tcW w:w="992" w:type="dxa"/>
            <w:noWrap w:val="0"/>
            <w:vAlign w:val="center"/>
          </w:tcPr>
          <w:p>
            <w:pPr>
              <w:spacing w:line="240" w:lineRule="exact"/>
              <w:jc w:val="center"/>
              <w:rPr>
                <w:rFonts w:ascii="宋体" w:hAnsi="宋体" w:cs="宋体"/>
                <w:sz w:val="22"/>
              </w:rPr>
            </w:pPr>
          </w:p>
        </w:tc>
        <w:tc>
          <w:tcPr>
            <w:tcW w:w="1785" w:type="dxa"/>
            <w:noWrap w:val="0"/>
            <w:vAlign w:val="center"/>
          </w:tcPr>
          <w:p>
            <w:pPr>
              <w:spacing w:line="240" w:lineRule="exact"/>
              <w:jc w:val="center"/>
              <w:rPr>
                <w:rFonts w:ascii="宋体" w:hAnsi="宋体" w:cs="宋体"/>
                <w:sz w:val="22"/>
              </w:rPr>
            </w:pPr>
          </w:p>
        </w:tc>
        <w:tc>
          <w:tcPr>
            <w:tcW w:w="1116" w:type="dxa"/>
            <w:noWrap w:val="0"/>
            <w:vAlign w:val="center"/>
          </w:tcPr>
          <w:p>
            <w:pPr>
              <w:spacing w:line="240" w:lineRule="exact"/>
              <w:jc w:val="center"/>
              <w:rPr>
                <w:rFonts w:ascii="宋体" w:hAnsi="宋体" w:cs="宋体"/>
                <w:sz w:val="22"/>
              </w:rPr>
            </w:pPr>
          </w:p>
        </w:tc>
        <w:tc>
          <w:tcPr>
            <w:tcW w:w="1341" w:type="dxa"/>
            <w:noWrap w:val="0"/>
            <w:vAlign w:val="center"/>
          </w:tcPr>
          <w:p>
            <w:pPr>
              <w:spacing w:line="240" w:lineRule="exact"/>
              <w:jc w:val="center"/>
              <w:rPr>
                <w:rFonts w:ascii="宋体" w:hAnsi="宋体" w:cs="宋体"/>
                <w:sz w:val="22"/>
              </w:rPr>
            </w:pPr>
          </w:p>
        </w:tc>
        <w:tc>
          <w:tcPr>
            <w:tcW w:w="1080" w:type="dxa"/>
            <w:noWrap w:val="0"/>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ascii="宋体" w:hAnsi="宋体" w:cs="宋体"/>
                <w:sz w:val="22"/>
              </w:rPr>
            </w:pPr>
            <w:r>
              <w:rPr>
                <w:rFonts w:hint="eastAsia" w:ascii="宋体" w:hAnsi="宋体" w:cs="宋体"/>
                <w:sz w:val="22"/>
              </w:rPr>
              <w:t>5</w:t>
            </w:r>
          </w:p>
        </w:tc>
        <w:tc>
          <w:tcPr>
            <w:tcW w:w="1793" w:type="dxa"/>
            <w:noWrap w:val="0"/>
            <w:vAlign w:val="center"/>
          </w:tcPr>
          <w:p>
            <w:pPr>
              <w:spacing w:line="240" w:lineRule="exact"/>
              <w:jc w:val="center"/>
              <w:rPr>
                <w:rFonts w:ascii="宋体" w:hAnsi="宋体" w:cs="宋体"/>
                <w:sz w:val="22"/>
              </w:rPr>
            </w:pPr>
          </w:p>
        </w:tc>
        <w:tc>
          <w:tcPr>
            <w:tcW w:w="900" w:type="dxa"/>
            <w:noWrap w:val="0"/>
            <w:vAlign w:val="center"/>
          </w:tcPr>
          <w:p>
            <w:pPr>
              <w:jc w:val="center"/>
              <w:rPr>
                <w:rFonts w:ascii="宋体" w:hAnsi="宋体" w:cs="宋体"/>
                <w:sz w:val="22"/>
              </w:rPr>
            </w:pPr>
          </w:p>
        </w:tc>
        <w:tc>
          <w:tcPr>
            <w:tcW w:w="992" w:type="dxa"/>
            <w:noWrap w:val="0"/>
            <w:vAlign w:val="center"/>
          </w:tcPr>
          <w:p>
            <w:pPr>
              <w:spacing w:line="240" w:lineRule="exact"/>
              <w:jc w:val="center"/>
              <w:rPr>
                <w:rFonts w:ascii="宋体" w:hAnsi="宋体" w:cs="宋体"/>
                <w:sz w:val="22"/>
              </w:rPr>
            </w:pPr>
          </w:p>
        </w:tc>
        <w:tc>
          <w:tcPr>
            <w:tcW w:w="1785" w:type="dxa"/>
            <w:noWrap w:val="0"/>
            <w:vAlign w:val="center"/>
          </w:tcPr>
          <w:p>
            <w:pPr>
              <w:spacing w:line="240" w:lineRule="exact"/>
              <w:jc w:val="center"/>
              <w:rPr>
                <w:rFonts w:ascii="宋体" w:hAnsi="宋体" w:cs="宋体"/>
                <w:sz w:val="22"/>
              </w:rPr>
            </w:pPr>
          </w:p>
        </w:tc>
        <w:tc>
          <w:tcPr>
            <w:tcW w:w="1116" w:type="dxa"/>
            <w:noWrap w:val="0"/>
            <w:vAlign w:val="center"/>
          </w:tcPr>
          <w:p>
            <w:pPr>
              <w:spacing w:line="240" w:lineRule="exact"/>
              <w:jc w:val="center"/>
              <w:rPr>
                <w:rFonts w:ascii="宋体" w:hAnsi="宋体" w:cs="宋体"/>
                <w:sz w:val="22"/>
              </w:rPr>
            </w:pPr>
          </w:p>
        </w:tc>
        <w:tc>
          <w:tcPr>
            <w:tcW w:w="1341" w:type="dxa"/>
            <w:noWrap w:val="0"/>
            <w:vAlign w:val="center"/>
          </w:tcPr>
          <w:p>
            <w:pPr>
              <w:spacing w:line="240" w:lineRule="exact"/>
              <w:jc w:val="center"/>
              <w:rPr>
                <w:rFonts w:ascii="宋体" w:hAnsi="宋体" w:cs="宋体"/>
                <w:sz w:val="22"/>
              </w:rPr>
            </w:pPr>
          </w:p>
        </w:tc>
        <w:tc>
          <w:tcPr>
            <w:tcW w:w="1080" w:type="dxa"/>
            <w:noWrap w:val="0"/>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ascii="宋体" w:hAnsi="宋体" w:cs="宋体"/>
                <w:sz w:val="22"/>
              </w:rPr>
            </w:pPr>
            <w:r>
              <w:rPr>
                <w:rFonts w:hint="eastAsia" w:ascii="宋体" w:hAnsi="宋体" w:cs="宋体"/>
                <w:sz w:val="22"/>
              </w:rPr>
              <w:t>6</w:t>
            </w:r>
          </w:p>
        </w:tc>
        <w:tc>
          <w:tcPr>
            <w:tcW w:w="1793" w:type="dxa"/>
            <w:noWrap w:val="0"/>
            <w:vAlign w:val="center"/>
          </w:tcPr>
          <w:p>
            <w:pPr>
              <w:spacing w:line="240" w:lineRule="exact"/>
              <w:jc w:val="center"/>
              <w:rPr>
                <w:rFonts w:ascii="宋体" w:hAnsi="宋体" w:cs="宋体"/>
                <w:sz w:val="22"/>
              </w:rPr>
            </w:pPr>
          </w:p>
        </w:tc>
        <w:tc>
          <w:tcPr>
            <w:tcW w:w="900" w:type="dxa"/>
            <w:noWrap w:val="0"/>
            <w:vAlign w:val="center"/>
          </w:tcPr>
          <w:p>
            <w:pPr>
              <w:jc w:val="center"/>
              <w:rPr>
                <w:rFonts w:ascii="宋体" w:hAnsi="宋体" w:cs="宋体"/>
                <w:sz w:val="22"/>
              </w:rPr>
            </w:pPr>
          </w:p>
        </w:tc>
        <w:tc>
          <w:tcPr>
            <w:tcW w:w="992" w:type="dxa"/>
            <w:noWrap w:val="0"/>
            <w:vAlign w:val="center"/>
          </w:tcPr>
          <w:p>
            <w:pPr>
              <w:spacing w:line="240" w:lineRule="exact"/>
              <w:jc w:val="center"/>
              <w:rPr>
                <w:rFonts w:ascii="宋体" w:hAnsi="宋体" w:cs="宋体"/>
                <w:sz w:val="22"/>
              </w:rPr>
            </w:pPr>
          </w:p>
        </w:tc>
        <w:tc>
          <w:tcPr>
            <w:tcW w:w="1785" w:type="dxa"/>
            <w:noWrap w:val="0"/>
            <w:vAlign w:val="center"/>
          </w:tcPr>
          <w:p>
            <w:pPr>
              <w:spacing w:line="240" w:lineRule="exact"/>
              <w:jc w:val="center"/>
              <w:rPr>
                <w:rFonts w:ascii="宋体" w:hAnsi="宋体" w:cs="宋体"/>
                <w:sz w:val="22"/>
              </w:rPr>
            </w:pPr>
          </w:p>
        </w:tc>
        <w:tc>
          <w:tcPr>
            <w:tcW w:w="1116" w:type="dxa"/>
            <w:noWrap w:val="0"/>
            <w:vAlign w:val="center"/>
          </w:tcPr>
          <w:p>
            <w:pPr>
              <w:spacing w:line="240" w:lineRule="exact"/>
              <w:jc w:val="center"/>
              <w:rPr>
                <w:rFonts w:ascii="宋体" w:hAnsi="宋体" w:cs="宋体"/>
                <w:sz w:val="22"/>
              </w:rPr>
            </w:pPr>
          </w:p>
        </w:tc>
        <w:tc>
          <w:tcPr>
            <w:tcW w:w="1341" w:type="dxa"/>
            <w:noWrap w:val="0"/>
            <w:vAlign w:val="center"/>
          </w:tcPr>
          <w:p>
            <w:pPr>
              <w:spacing w:line="240" w:lineRule="exact"/>
              <w:jc w:val="center"/>
              <w:rPr>
                <w:rFonts w:ascii="宋体" w:hAnsi="宋体" w:cs="宋体"/>
                <w:sz w:val="22"/>
              </w:rPr>
            </w:pPr>
          </w:p>
        </w:tc>
        <w:tc>
          <w:tcPr>
            <w:tcW w:w="1080" w:type="dxa"/>
            <w:noWrap w:val="0"/>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ascii="宋体" w:hAnsi="宋体" w:cs="宋体"/>
                <w:sz w:val="22"/>
              </w:rPr>
            </w:pPr>
            <w:r>
              <w:rPr>
                <w:rFonts w:hint="eastAsia" w:ascii="宋体" w:hAnsi="宋体" w:cs="宋体"/>
                <w:sz w:val="22"/>
              </w:rPr>
              <w:t>7</w:t>
            </w:r>
          </w:p>
        </w:tc>
        <w:tc>
          <w:tcPr>
            <w:tcW w:w="1793" w:type="dxa"/>
            <w:noWrap w:val="0"/>
            <w:vAlign w:val="center"/>
          </w:tcPr>
          <w:p>
            <w:pPr>
              <w:spacing w:line="240" w:lineRule="exact"/>
              <w:jc w:val="center"/>
              <w:rPr>
                <w:rFonts w:ascii="宋体" w:hAnsi="宋体" w:cs="宋体"/>
                <w:sz w:val="22"/>
              </w:rPr>
            </w:pPr>
          </w:p>
        </w:tc>
        <w:tc>
          <w:tcPr>
            <w:tcW w:w="900" w:type="dxa"/>
            <w:noWrap w:val="0"/>
            <w:vAlign w:val="center"/>
          </w:tcPr>
          <w:p>
            <w:pPr>
              <w:jc w:val="center"/>
              <w:rPr>
                <w:rFonts w:ascii="宋体" w:hAnsi="宋体" w:cs="宋体"/>
                <w:sz w:val="22"/>
              </w:rPr>
            </w:pPr>
          </w:p>
        </w:tc>
        <w:tc>
          <w:tcPr>
            <w:tcW w:w="992" w:type="dxa"/>
            <w:noWrap w:val="0"/>
            <w:vAlign w:val="center"/>
          </w:tcPr>
          <w:p>
            <w:pPr>
              <w:spacing w:line="240" w:lineRule="exact"/>
              <w:jc w:val="center"/>
              <w:rPr>
                <w:rFonts w:ascii="宋体" w:hAnsi="宋体" w:cs="宋体"/>
                <w:sz w:val="22"/>
              </w:rPr>
            </w:pPr>
          </w:p>
        </w:tc>
        <w:tc>
          <w:tcPr>
            <w:tcW w:w="1785" w:type="dxa"/>
            <w:noWrap w:val="0"/>
            <w:vAlign w:val="center"/>
          </w:tcPr>
          <w:p>
            <w:pPr>
              <w:spacing w:line="240" w:lineRule="exact"/>
              <w:jc w:val="center"/>
              <w:rPr>
                <w:rFonts w:ascii="宋体" w:hAnsi="宋体" w:cs="宋体"/>
                <w:sz w:val="22"/>
              </w:rPr>
            </w:pPr>
          </w:p>
        </w:tc>
        <w:tc>
          <w:tcPr>
            <w:tcW w:w="1116" w:type="dxa"/>
            <w:noWrap w:val="0"/>
            <w:vAlign w:val="center"/>
          </w:tcPr>
          <w:p>
            <w:pPr>
              <w:spacing w:line="240" w:lineRule="exact"/>
              <w:jc w:val="center"/>
              <w:rPr>
                <w:rFonts w:ascii="宋体" w:hAnsi="宋体" w:cs="宋体"/>
                <w:sz w:val="22"/>
              </w:rPr>
            </w:pPr>
          </w:p>
        </w:tc>
        <w:tc>
          <w:tcPr>
            <w:tcW w:w="1341" w:type="dxa"/>
            <w:noWrap w:val="0"/>
            <w:vAlign w:val="center"/>
          </w:tcPr>
          <w:p>
            <w:pPr>
              <w:spacing w:line="240" w:lineRule="exact"/>
              <w:jc w:val="center"/>
              <w:rPr>
                <w:rFonts w:ascii="宋体" w:hAnsi="宋体" w:cs="宋体"/>
                <w:sz w:val="22"/>
              </w:rPr>
            </w:pPr>
          </w:p>
        </w:tc>
        <w:tc>
          <w:tcPr>
            <w:tcW w:w="1080" w:type="dxa"/>
            <w:noWrap w:val="0"/>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ascii="宋体" w:hAnsi="宋体" w:cs="宋体"/>
                <w:sz w:val="22"/>
              </w:rPr>
            </w:pPr>
            <w:r>
              <w:rPr>
                <w:rFonts w:hint="eastAsia" w:ascii="宋体" w:hAnsi="宋体" w:cs="宋体"/>
                <w:sz w:val="22"/>
              </w:rPr>
              <w:t>8</w:t>
            </w:r>
          </w:p>
        </w:tc>
        <w:tc>
          <w:tcPr>
            <w:tcW w:w="1793" w:type="dxa"/>
            <w:noWrap w:val="0"/>
            <w:vAlign w:val="center"/>
          </w:tcPr>
          <w:p>
            <w:pPr>
              <w:spacing w:line="240" w:lineRule="exact"/>
              <w:jc w:val="center"/>
              <w:rPr>
                <w:rFonts w:ascii="宋体" w:hAnsi="宋体" w:cs="宋体"/>
                <w:sz w:val="22"/>
              </w:rPr>
            </w:pPr>
          </w:p>
        </w:tc>
        <w:tc>
          <w:tcPr>
            <w:tcW w:w="900" w:type="dxa"/>
            <w:noWrap w:val="0"/>
            <w:vAlign w:val="center"/>
          </w:tcPr>
          <w:p>
            <w:pPr>
              <w:jc w:val="center"/>
              <w:rPr>
                <w:rFonts w:ascii="宋体" w:hAnsi="宋体" w:cs="宋体"/>
                <w:sz w:val="22"/>
              </w:rPr>
            </w:pPr>
          </w:p>
        </w:tc>
        <w:tc>
          <w:tcPr>
            <w:tcW w:w="992" w:type="dxa"/>
            <w:noWrap w:val="0"/>
            <w:vAlign w:val="center"/>
          </w:tcPr>
          <w:p>
            <w:pPr>
              <w:spacing w:line="240" w:lineRule="exact"/>
              <w:jc w:val="center"/>
              <w:rPr>
                <w:rFonts w:ascii="宋体" w:hAnsi="宋体" w:cs="宋体"/>
                <w:sz w:val="22"/>
              </w:rPr>
            </w:pPr>
          </w:p>
        </w:tc>
        <w:tc>
          <w:tcPr>
            <w:tcW w:w="1785" w:type="dxa"/>
            <w:noWrap w:val="0"/>
            <w:vAlign w:val="center"/>
          </w:tcPr>
          <w:p>
            <w:pPr>
              <w:spacing w:line="240" w:lineRule="exact"/>
              <w:jc w:val="center"/>
              <w:rPr>
                <w:rFonts w:ascii="宋体" w:hAnsi="宋体" w:cs="宋体"/>
                <w:sz w:val="22"/>
              </w:rPr>
            </w:pPr>
          </w:p>
        </w:tc>
        <w:tc>
          <w:tcPr>
            <w:tcW w:w="1116" w:type="dxa"/>
            <w:noWrap w:val="0"/>
            <w:vAlign w:val="center"/>
          </w:tcPr>
          <w:p>
            <w:pPr>
              <w:spacing w:line="240" w:lineRule="exact"/>
              <w:jc w:val="center"/>
              <w:rPr>
                <w:rFonts w:ascii="宋体" w:hAnsi="宋体" w:cs="宋体"/>
                <w:sz w:val="22"/>
              </w:rPr>
            </w:pPr>
          </w:p>
        </w:tc>
        <w:tc>
          <w:tcPr>
            <w:tcW w:w="1341" w:type="dxa"/>
            <w:noWrap w:val="0"/>
            <w:vAlign w:val="center"/>
          </w:tcPr>
          <w:p>
            <w:pPr>
              <w:spacing w:line="240" w:lineRule="exact"/>
              <w:jc w:val="center"/>
              <w:rPr>
                <w:rFonts w:ascii="宋体" w:hAnsi="宋体" w:cs="宋体"/>
                <w:sz w:val="22"/>
              </w:rPr>
            </w:pPr>
          </w:p>
        </w:tc>
        <w:tc>
          <w:tcPr>
            <w:tcW w:w="1080" w:type="dxa"/>
            <w:noWrap w:val="0"/>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ascii="宋体" w:hAnsi="宋体" w:cs="宋体"/>
                <w:sz w:val="22"/>
              </w:rPr>
            </w:pPr>
            <w:r>
              <w:rPr>
                <w:rFonts w:hint="eastAsia" w:ascii="宋体" w:hAnsi="宋体" w:cs="宋体"/>
                <w:sz w:val="22"/>
              </w:rPr>
              <w:t>9</w:t>
            </w:r>
          </w:p>
        </w:tc>
        <w:tc>
          <w:tcPr>
            <w:tcW w:w="1793" w:type="dxa"/>
            <w:noWrap w:val="0"/>
            <w:vAlign w:val="center"/>
          </w:tcPr>
          <w:p>
            <w:pPr>
              <w:spacing w:line="240" w:lineRule="exact"/>
              <w:jc w:val="center"/>
              <w:rPr>
                <w:rFonts w:ascii="宋体" w:hAnsi="宋体" w:cs="宋体"/>
                <w:sz w:val="22"/>
              </w:rPr>
            </w:pPr>
          </w:p>
        </w:tc>
        <w:tc>
          <w:tcPr>
            <w:tcW w:w="900" w:type="dxa"/>
            <w:noWrap w:val="0"/>
            <w:vAlign w:val="center"/>
          </w:tcPr>
          <w:p>
            <w:pPr>
              <w:jc w:val="center"/>
              <w:rPr>
                <w:rFonts w:ascii="宋体" w:hAnsi="宋体" w:cs="宋体"/>
                <w:sz w:val="22"/>
              </w:rPr>
            </w:pPr>
          </w:p>
        </w:tc>
        <w:tc>
          <w:tcPr>
            <w:tcW w:w="992" w:type="dxa"/>
            <w:noWrap w:val="0"/>
            <w:vAlign w:val="center"/>
          </w:tcPr>
          <w:p>
            <w:pPr>
              <w:spacing w:line="240" w:lineRule="exact"/>
              <w:jc w:val="center"/>
              <w:rPr>
                <w:rFonts w:ascii="宋体" w:hAnsi="宋体" w:cs="宋体"/>
                <w:sz w:val="22"/>
              </w:rPr>
            </w:pPr>
          </w:p>
        </w:tc>
        <w:tc>
          <w:tcPr>
            <w:tcW w:w="1785" w:type="dxa"/>
            <w:noWrap w:val="0"/>
            <w:vAlign w:val="center"/>
          </w:tcPr>
          <w:p>
            <w:pPr>
              <w:spacing w:line="240" w:lineRule="exact"/>
              <w:jc w:val="center"/>
              <w:rPr>
                <w:rFonts w:ascii="宋体" w:hAnsi="宋体" w:cs="宋体"/>
                <w:sz w:val="22"/>
              </w:rPr>
            </w:pPr>
          </w:p>
        </w:tc>
        <w:tc>
          <w:tcPr>
            <w:tcW w:w="1116" w:type="dxa"/>
            <w:noWrap w:val="0"/>
            <w:vAlign w:val="center"/>
          </w:tcPr>
          <w:p>
            <w:pPr>
              <w:spacing w:line="240" w:lineRule="exact"/>
              <w:jc w:val="center"/>
              <w:rPr>
                <w:rFonts w:ascii="宋体" w:hAnsi="宋体" w:cs="宋体"/>
                <w:sz w:val="22"/>
              </w:rPr>
            </w:pPr>
          </w:p>
        </w:tc>
        <w:tc>
          <w:tcPr>
            <w:tcW w:w="1341" w:type="dxa"/>
            <w:noWrap w:val="0"/>
            <w:vAlign w:val="center"/>
          </w:tcPr>
          <w:p>
            <w:pPr>
              <w:spacing w:line="240" w:lineRule="exact"/>
              <w:jc w:val="center"/>
              <w:rPr>
                <w:rFonts w:ascii="宋体" w:hAnsi="宋体" w:cs="宋体"/>
                <w:sz w:val="22"/>
              </w:rPr>
            </w:pPr>
          </w:p>
        </w:tc>
        <w:tc>
          <w:tcPr>
            <w:tcW w:w="1080" w:type="dxa"/>
            <w:noWrap w:val="0"/>
            <w:vAlign w:val="center"/>
          </w:tcPr>
          <w:p>
            <w:pPr>
              <w:spacing w:line="2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ascii="宋体" w:hAnsi="宋体" w:cs="宋体"/>
                <w:sz w:val="22"/>
              </w:rPr>
            </w:pPr>
            <w:r>
              <w:rPr>
                <w:rFonts w:hint="eastAsia" w:ascii="宋体" w:hAnsi="宋体" w:cs="宋体"/>
                <w:sz w:val="22"/>
              </w:rPr>
              <w:t>10</w:t>
            </w:r>
          </w:p>
        </w:tc>
        <w:tc>
          <w:tcPr>
            <w:tcW w:w="1793" w:type="dxa"/>
            <w:noWrap w:val="0"/>
            <w:vAlign w:val="center"/>
          </w:tcPr>
          <w:p>
            <w:pPr>
              <w:spacing w:line="240" w:lineRule="exact"/>
              <w:jc w:val="center"/>
              <w:rPr>
                <w:rFonts w:ascii="宋体" w:hAnsi="宋体" w:cs="宋体"/>
                <w:sz w:val="22"/>
              </w:rPr>
            </w:pPr>
          </w:p>
        </w:tc>
        <w:tc>
          <w:tcPr>
            <w:tcW w:w="900" w:type="dxa"/>
            <w:noWrap w:val="0"/>
            <w:vAlign w:val="center"/>
          </w:tcPr>
          <w:p>
            <w:pPr>
              <w:jc w:val="center"/>
              <w:rPr>
                <w:rFonts w:ascii="宋体" w:hAnsi="宋体" w:cs="宋体"/>
                <w:sz w:val="22"/>
              </w:rPr>
            </w:pPr>
          </w:p>
        </w:tc>
        <w:tc>
          <w:tcPr>
            <w:tcW w:w="992" w:type="dxa"/>
            <w:noWrap w:val="0"/>
            <w:vAlign w:val="center"/>
          </w:tcPr>
          <w:p>
            <w:pPr>
              <w:spacing w:line="240" w:lineRule="exact"/>
              <w:jc w:val="center"/>
              <w:rPr>
                <w:rFonts w:ascii="宋体" w:hAnsi="宋体" w:cs="宋体"/>
                <w:sz w:val="22"/>
              </w:rPr>
            </w:pPr>
          </w:p>
        </w:tc>
        <w:tc>
          <w:tcPr>
            <w:tcW w:w="1785" w:type="dxa"/>
            <w:noWrap w:val="0"/>
            <w:vAlign w:val="center"/>
          </w:tcPr>
          <w:p>
            <w:pPr>
              <w:spacing w:line="240" w:lineRule="exact"/>
              <w:jc w:val="center"/>
              <w:rPr>
                <w:rFonts w:ascii="宋体" w:hAnsi="宋体" w:cs="宋体"/>
                <w:sz w:val="22"/>
              </w:rPr>
            </w:pPr>
          </w:p>
        </w:tc>
        <w:tc>
          <w:tcPr>
            <w:tcW w:w="1116" w:type="dxa"/>
            <w:noWrap w:val="0"/>
            <w:vAlign w:val="center"/>
          </w:tcPr>
          <w:p>
            <w:pPr>
              <w:spacing w:line="240" w:lineRule="exact"/>
              <w:jc w:val="center"/>
              <w:rPr>
                <w:rFonts w:ascii="宋体" w:hAnsi="宋体" w:cs="宋体"/>
                <w:sz w:val="22"/>
              </w:rPr>
            </w:pPr>
          </w:p>
        </w:tc>
        <w:tc>
          <w:tcPr>
            <w:tcW w:w="1341" w:type="dxa"/>
            <w:noWrap w:val="0"/>
            <w:vAlign w:val="center"/>
          </w:tcPr>
          <w:p>
            <w:pPr>
              <w:spacing w:line="240" w:lineRule="exact"/>
              <w:jc w:val="center"/>
              <w:rPr>
                <w:rFonts w:ascii="宋体" w:hAnsi="宋体" w:cs="宋体"/>
                <w:sz w:val="22"/>
              </w:rPr>
            </w:pPr>
          </w:p>
        </w:tc>
        <w:tc>
          <w:tcPr>
            <w:tcW w:w="1080" w:type="dxa"/>
            <w:noWrap w:val="0"/>
            <w:vAlign w:val="center"/>
          </w:tcPr>
          <w:p>
            <w:pPr>
              <w:spacing w:line="240" w:lineRule="exact"/>
              <w:jc w:val="center"/>
              <w:rPr>
                <w:rFonts w:ascii="宋体" w:hAnsi="宋体" w:cs="宋体"/>
                <w:sz w:val="22"/>
              </w:rPr>
            </w:pPr>
          </w:p>
        </w:tc>
      </w:tr>
    </w:tbl>
    <w:p>
      <w:pPr>
        <w:spacing w:line="360" w:lineRule="auto"/>
        <w:jc w:val="left"/>
        <w:rPr>
          <w:rFonts w:ascii="宋体" w:hAnsi="宋体" w:cs="宋体"/>
          <w:sz w:val="22"/>
        </w:rPr>
      </w:pPr>
      <w:bookmarkStart w:id="370" w:name="_Toc38224869"/>
      <w:r>
        <w:rPr>
          <w:rFonts w:hint="eastAsia" w:ascii="宋体" w:hAnsi="宋体" w:cs="宋体"/>
          <w:sz w:val="22"/>
        </w:rPr>
        <w:t>注：表格格式可以根据实际情况调整。</w:t>
      </w:r>
      <w:bookmarkEnd w:id="368"/>
      <w:bookmarkEnd w:id="369"/>
      <w:bookmarkEnd w:id="370"/>
    </w:p>
    <w:p>
      <w:pPr>
        <w:spacing w:line="400" w:lineRule="exact"/>
        <w:ind w:firstLine="565" w:firstLineChars="202"/>
        <w:jc w:val="left"/>
        <w:rPr>
          <w:rFonts w:ascii="宋体" w:hAnsi="宋体" w:cs="宋体"/>
          <w:sz w:val="28"/>
          <w:szCs w:val="28"/>
        </w:rPr>
      </w:pPr>
    </w:p>
    <w:p>
      <w:pPr>
        <w:spacing w:line="400" w:lineRule="exact"/>
        <w:ind w:firstLine="565" w:firstLineChars="202"/>
        <w:jc w:val="left"/>
        <w:rPr>
          <w:rFonts w:ascii="宋体" w:hAnsi="宋体" w:cs="宋体"/>
          <w:sz w:val="28"/>
          <w:szCs w:val="28"/>
        </w:rPr>
      </w:pPr>
    </w:p>
    <w:p>
      <w:pPr>
        <w:keepNext/>
        <w:keepLines/>
        <w:spacing w:before="240" w:after="240" w:line="416" w:lineRule="auto"/>
        <w:outlineLvl w:val="1"/>
        <w:rPr>
          <w:rFonts w:ascii="宋体" w:hAnsi="宋体" w:cs="宋体"/>
          <w:b/>
          <w:bCs/>
          <w:sz w:val="32"/>
          <w:szCs w:val="32"/>
        </w:rPr>
        <w:sectPr>
          <w:pgSz w:w="11905" w:h="16838"/>
          <w:pgMar w:top="1418" w:right="1417" w:bottom="1418" w:left="1417" w:header="851" w:footer="794" w:gutter="0"/>
          <w:cols w:space="720" w:num="1"/>
          <w:docGrid w:type="lines" w:linePitch="312" w:charSpace="0"/>
        </w:sectPr>
      </w:pPr>
      <w:bookmarkStart w:id="371" w:name="_Toc27550"/>
      <w:bookmarkStart w:id="372" w:name="_Toc17238"/>
      <w:bookmarkStart w:id="373" w:name="_Toc532367900"/>
      <w:bookmarkStart w:id="374" w:name="_Toc6800"/>
      <w:bookmarkStart w:id="375" w:name="_Toc30849"/>
      <w:bookmarkStart w:id="376" w:name="_Toc377719920"/>
      <w:bookmarkStart w:id="377" w:name="_Toc15391"/>
      <w:bookmarkStart w:id="378" w:name="_Toc29074"/>
    </w:p>
    <w:bookmarkEnd w:id="371"/>
    <w:bookmarkEnd w:id="372"/>
    <w:bookmarkEnd w:id="373"/>
    <w:bookmarkEnd w:id="374"/>
    <w:bookmarkEnd w:id="375"/>
    <w:bookmarkEnd w:id="376"/>
    <w:bookmarkEnd w:id="377"/>
    <w:bookmarkEnd w:id="378"/>
    <w:p>
      <w:pPr>
        <w:jc w:val="left"/>
        <w:rPr>
          <w:rFonts w:ascii="宋体" w:hAnsi="宋体" w:cs="宋体"/>
          <w:szCs w:val="24"/>
        </w:rPr>
      </w:pPr>
      <w:bookmarkStart w:id="379" w:name="_Toc31475"/>
      <w:bookmarkStart w:id="380" w:name="_Toc21825"/>
      <w:bookmarkStart w:id="381" w:name="_Toc25038"/>
      <w:bookmarkStart w:id="382" w:name="_Toc30188"/>
      <w:bookmarkStart w:id="383" w:name="_Toc17194"/>
      <w:bookmarkStart w:id="384" w:name="_Toc17273"/>
      <w:bookmarkStart w:id="385" w:name="_Toc377719921"/>
      <w:bookmarkStart w:id="386" w:name="_Toc532367901"/>
      <w:bookmarkStart w:id="387" w:name="_Toc38224870"/>
      <w:bookmarkStart w:id="388" w:name="_Toc2593"/>
      <w:bookmarkStart w:id="389" w:name="_Toc21079"/>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十二、</w:t>
      </w:r>
      <w:bookmarkEnd w:id="379"/>
      <w:bookmarkEnd w:id="380"/>
      <w:bookmarkEnd w:id="381"/>
      <w:bookmarkEnd w:id="382"/>
      <w:bookmarkEnd w:id="383"/>
      <w:bookmarkEnd w:id="384"/>
      <w:bookmarkEnd w:id="385"/>
      <w:bookmarkEnd w:id="386"/>
      <w:r>
        <w:rPr>
          <w:rFonts w:hint="eastAsia" w:ascii="宋体" w:hAnsi="宋体" w:cs="宋体"/>
          <w:b/>
          <w:bCs/>
          <w:sz w:val="32"/>
          <w:szCs w:val="32"/>
        </w:rPr>
        <w:t>检测和监测方案</w:t>
      </w:r>
      <w:bookmarkEnd w:id="387"/>
      <w:bookmarkEnd w:id="388"/>
      <w:bookmarkEnd w:id="389"/>
    </w:p>
    <w:p>
      <w:pPr>
        <w:spacing w:line="400" w:lineRule="exact"/>
        <w:jc w:val="center"/>
        <w:rPr>
          <w:rFonts w:ascii="宋体" w:hAnsi="宋体" w:cs="宋体"/>
          <w:sz w:val="28"/>
          <w:szCs w:val="28"/>
        </w:rPr>
      </w:pPr>
      <w:r>
        <w:rPr>
          <w:rFonts w:hint="eastAsia" w:ascii="宋体" w:hAnsi="宋体" w:cs="宋体"/>
          <w:sz w:val="28"/>
          <w:szCs w:val="28"/>
        </w:rPr>
        <w:t>（格式自定）</w:t>
      </w:r>
    </w:p>
    <w:p>
      <w:pPr>
        <w:spacing w:line="400" w:lineRule="exact"/>
        <w:jc w:val="center"/>
        <w:rPr>
          <w:rFonts w:ascii="宋体" w:hAnsi="宋体" w:cs="宋体"/>
          <w:sz w:val="28"/>
          <w:szCs w:val="28"/>
        </w:rPr>
      </w:pPr>
    </w:p>
    <w:p>
      <w:pPr>
        <w:jc w:val="left"/>
        <w:rPr>
          <w:rFonts w:ascii="宋体" w:hAnsi="宋体" w:cs="宋体"/>
          <w:szCs w:val="24"/>
        </w:rPr>
      </w:pPr>
      <w:r>
        <w:rPr>
          <w:rFonts w:hint="eastAsia" w:ascii="宋体" w:hAnsi="宋体" w:cs="宋体"/>
          <w:b/>
          <w:bCs/>
          <w:szCs w:val="21"/>
        </w:rPr>
        <w:br w:type="page"/>
      </w:r>
      <w:bookmarkStart w:id="390" w:name="_Toc13413"/>
      <w:bookmarkStart w:id="391" w:name="_Toc377719924"/>
      <w:bookmarkStart w:id="392" w:name="_Toc38224871"/>
      <w:bookmarkStart w:id="393" w:name="_Toc21716"/>
      <w:bookmarkStart w:id="394" w:name="_Toc532367904"/>
      <w:bookmarkStart w:id="395" w:name="_Toc16104"/>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十三、廉洁承诺书</w:t>
      </w:r>
      <w:bookmarkEnd w:id="390"/>
      <w:bookmarkEnd w:id="391"/>
      <w:bookmarkEnd w:id="392"/>
      <w:bookmarkEnd w:id="393"/>
      <w:bookmarkEnd w:id="394"/>
      <w:bookmarkEnd w:id="395"/>
    </w:p>
    <w:p>
      <w:pPr>
        <w:spacing w:line="400" w:lineRule="exact"/>
        <w:jc w:val="center"/>
        <w:rPr>
          <w:rFonts w:ascii="宋体" w:hAnsi="宋体" w:cs="宋体"/>
          <w:b/>
          <w:sz w:val="36"/>
          <w:szCs w:val="28"/>
        </w:rPr>
      </w:pPr>
    </w:p>
    <w:p>
      <w:pPr>
        <w:spacing w:line="400" w:lineRule="exact"/>
        <w:rPr>
          <w:rFonts w:ascii="宋体" w:hAnsi="宋体" w:cs="宋体"/>
          <w:sz w:val="28"/>
          <w:szCs w:val="28"/>
        </w:rPr>
      </w:pPr>
    </w:p>
    <w:p>
      <w:pPr>
        <w:spacing w:line="360" w:lineRule="auto"/>
        <w:rPr>
          <w:rFonts w:ascii="宋体" w:hAnsi="宋体" w:cs="宋体"/>
          <w:sz w:val="22"/>
        </w:rPr>
      </w:pPr>
      <w:r>
        <w:rPr>
          <w:rFonts w:hint="eastAsia" w:ascii="宋体" w:hAnsi="宋体" w:cs="宋体"/>
          <w:sz w:val="22"/>
        </w:rPr>
        <w:t>承诺企业：</w:t>
      </w:r>
    </w:p>
    <w:p>
      <w:pPr>
        <w:spacing w:line="360" w:lineRule="auto"/>
        <w:rPr>
          <w:rFonts w:ascii="宋体" w:hAnsi="宋体" w:cs="宋体"/>
          <w:sz w:val="22"/>
        </w:rPr>
      </w:pPr>
      <w:r>
        <w:rPr>
          <w:rFonts w:hint="eastAsia" w:ascii="宋体" w:hAnsi="宋体" w:cs="宋体"/>
          <w:sz w:val="22"/>
        </w:rPr>
        <w:t>地址：</w:t>
      </w:r>
    </w:p>
    <w:p>
      <w:pPr>
        <w:spacing w:line="360" w:lineRule="auto"/>
        <w:rPr>
          <w:rFonts w:ascii="宋体" w:hAnsi="宋体" w:cs="宋体"/>
          <w:sz w:val="22"/>
        </w:rPr>
      </w:pPr>
      <w:r>
        <w:rPr>
          <w:rFonts w:hint="eastAsia" w:ascii="宋体" w:hAnsi="宋体" w:cs="宋体"/>
          <w:sz w:val="22"/>
        </w:rPr>
        <w:t>承诺人（法定代表人或法定代表人授权人）：</w:t>
      </w:r>
    </w:p>
    <w:p>
      <w:pPr>
        <w:spacing w:line="360" w:lineRule="auto"/>
        <w:ind w:firstLine="519" w:firstLineChars="236"/>
        <w:rPr>
          <w:rFonts w:ascii="宋体" w:hAnsi="宋体" w:cs="宋体"/>
          <w:sz w:val="22"/>
        </w:rPr>
      </w:pPr>
      <w:r>
        <w:rPr>
          <w:rFonts w:hint="eastAsia" w:ascii="宋体" w:hAnsi="宋体" w:cs="宋体"/>
          <w:sz w:val="22"/>
        </w:rPr>
        <w:t>本公司就参加的</w:t>
      </w:r>
      <w:r>
        <w:rPr>
          <w:rFonts w:hint="eastAsia" w:ascii="宋体" w:hAnsi="宋体" w:cs="宋体"/>
          <w:sz w:val="22"/>
          <w:u w:val="single"/>
          <w:lang w:eastAsia="zh-CN"/>
        </w:rPr>
        <w:t>广东省妇幼保健院（省儿童医院）儿科医疗科技楼建设工程项目</w:t>
      </w:r>
      <w:r>
        <w:rPr>
          <w:rFonts w:hint="eastAsia" w:ascii="宋体" w:hAnsi="宋体" w:cs="宋体"/>
          <w:sz w:val="22"/>
          <w:u w:val="single"/>
        </w:rPr>
        <w:t>第三方检测和监测服务</w:t>
      </w:r>
      <w:r>
        <w:rPr>
          <w:rFonts w:hint="eastAsia" w:ascii="宋体" w:hAnsi="宋体" w:cs="宋体"/>
          <w:sz w:val="22"/>
        </w:rPr>
        <w:t>投标工作，郑重作出如下承诺：</w:t>
      </w:r>
    </w:p>
    <w:p>
      <w:pPr>
        <w:spacing w:line="360" w:lineRule="auto"/>
        <w:ind w:firstLine="519" w:firstLineChars="236"/>
        <w:rPr>
          <w:rFonts w:ascii="宋体" w:hAnsi="宋体" w:cs="宋体"/>
          <w:sz w:val="22"/>
        </w:rPr>
      </w:pPr>
      <w:r>
        <w:rPr>
          <w:rFonts w:hint="eastAsia" w:ascii="宋体" w:hAnsi="宋体" w:cs="宋体"/>
          <w:sz w:val="22"/>
        </w:rPr>
        <w:t>我公司已经充分阅读并清楚理解招标要求，我司参加投标所提供的投标登记材料是真实、合法的。如有机会成为正式投标人，我公司保证不与其他投标单位围标、串标，不出让投标资格，不向招标人、评标委员会成员行贿和私下联系，同时不出现其他不廉洁行为，如有违反上述规定，本人和本公司愿意接受6个月至2年内不得参与贵局管辖工程项目的投标等处罚，并愿意承担由此带来的法律后果；如果中标，本公司愿意与贵局签署并执行《廉洁协议》。</w:t>
      </w:r>
    </w:p>
    <w:p>
      <w:pPr>
        <w:spacing w:line="360" w:lineRule="auto"/>
        <w:ind w:firstLine="519" w:firstLineChars="236"/>
        <w:rPr>
          <w:rFonts w:ascii="宋体" w:hAnsi="宋体" w:cs="宋体"/>
          <w:sz w:val="22"/>
        </w:rPr>
      </w:pPr>
      <w:r>
        <w:rPr>
          <w:rFonts w:hint="eastAsia" w:ascii="宋体" w:hAnsi="宋体" w:cs="宋体"/>
          <w:sz w:val="22"/>
        </w:rPr>
        <w:t>特此承诺！</w:t>
      </w:r>
    </w:p>
    <w:p>
      <w:pPr>
        <w:spacing w:line="360" w:lineRule="auto"/>
        <w:rPr>
          <w:rFonts w:ascii="宋体" w:hAnsi="宋体" w:cs="宋体"/>
          <w:sz w:val="22"/>
        </w:rPr>
      </w:pPr>
    </w:p>
    <w:p>
      <w:pPr>
        <w:spacing w:line="360" w:lineRule="auto"/>
        <w:rPr>
          <w:rFonts w:ascii="宋体" w:hAnsi="宋体" w:cs="宋体"/>
          <w:sz w:val="22"/>
        </w:rPr>
      </w:pPr>
    </w:p>
    <w:p>
      <w:pPr>
        <w:spacing w:line="360" w:lineRule="auto"/>
        <w:ind w:firstLine="2338" w:firstLineChars="1063"/>
        <w:rPr>
          <w:rFonts w:ascii="宋体" w:hAnsi="宋体" w:cs="宋体"/>
          <w:sz w:val="22"/>
        </w:rPr>
      </w:pPr>
      <w:r>
        <w:rPr>
          <w:rFonts w:hint="eastAsia" w:ascii="宋体" w:hAnsi="宋体" w:cs="宋体"/>
          <w:sz w:val="22"/>
        </w:rPr>
        <w:t>承诺人（法定代表人或法定代表人授权人）签字</w:t>
      </w:r>
      <w:r>
        <w:rPr>
          <w:rFonts w:hint="eastAsia" w:ascii="宋体" w:hAnsi="宋体" w:cs="宋体"/>
          <w:sz w:val="22"/>
          <w:lang w:eastAsia="zh-Hans"/>
        </w:rPr>
        <w:t>或盖章</w:t>
      </w:r>
      <w:r>
        <w:rPr>
          <w:rFonts w:hint="eastAsia" w:ascii="宋体" w:hAnsi="宋体" w:cs="宋体"/>
          <w:sz w:val="22"/>
        </w:rPr>
        <w:t>：</w:t>
      </w:r>
    </w:p>
    <w:p>
      <w:pPr>
        <w:spacing w:line="360" w:lineRule="auto"/>
        <w:ind w:firstLine="2338" w:firstLineChars="1063"/>
        <w:rPr>
          <w:rFonts w:ascii="宋体" w:hAnsi="宋体" w:cs="宋体"/>
          <w:sz w:val="22"/>
        </w:rPr>
      </w:pPr>
      <w:r>
        <w:rPr>
          <w:rFonts w:hint="eastAsia" w:ascii="宋体" w:hAnsi="宋体" w:cs="宋体"/>
          <w:sz w:val="22"/>
        </w:rPr>
        <w:t>承诺企业公章：</w:t>
      </w:r>
    </w:p>
    <w:p>
      <w:pPr>
        <w:spacing w:line="360" w:lineRule="auto"/>
        <w:ind w:firstLine="6736" w:firstLineChars="3062"/>
        <w:rPr>
          <w:rFonts w:ascii="宋体" w:hAnsi="宋体" w:cs="宋体"/>
          <w:sz w:val="20"/>
        </w:rPr>
      </w:pPr>
      <w:r>
        <w:rPr>
          <w:rFonts w:hint="eastAsia" w:ascii="宋体" w:hAnsi="宋体" w:cs="宋体"/>
          <w:sz w:val="22"/>
        </w:rPr>
        <w:t>年  月  日</w:t>
      </w:r>
    </w:p>
    <w:bookmarkEnd w:id="35"/>
    <w:bookmarkEnd w:id="36"/>
    <w:bookmarkEnd w:id="37"/>
    <w:bookmarkEnd w:id="38"/>
    <w:p>
      <w:pPr>
        <w:widowControl/>
        <w:jc w:val="left"/>
        <w:rPr>
          <w:rFonts w:ascii="宋体" w:hAnsi="宋体" w:cs="宋体"/>
        </w:rPr>
      </w:pPr>
    </w:p>
    <w:p>
      <w:pPr>
        <w:rPr>
          <w:rFonts w:ascii="宋体" w:hAnsi="宋体" w:cs="宋体"/>
        </w:rPr>
      </w:pPr>
    </w:p>
    <w:p>
      <w:pPr>
        <w:jc w:val="left"/>
        <w:rPr>
          <w:rFonts w:ascii="宋体" w:hAnsi="宋体" w:cs="宋体"/>
          <w:szCs w:val="24"/>
        </w:rPr>
      </w:pPr>
      <w:r>
        <w:rPr>
          <w:rFonts w:hint="eastAsia" w:ascii="宋体" w:hAnsi="宋体" w:cs="宋体"/>
        </w:rPr>
        <w:br w:type="page"/>
      </w:r>
      <w:bookmarkStart w:id="396" w:name="_Toc2154396"/>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十四、投标报价书</w:t>
      </w:r>
    </w:p>
    <w:p>
      <w:pPr>
        <w:spacing w:line="500" w:lineRule="exact"/>
        <w:rPr>
          <w:rFonts w:ascii="宋体" w:hAnsi="宋体" w:cs="宋体"/>
          <w:b/>
          <w:bCs/>
          <w:sz w:val="32"/>
        </w:rPr>
      </w:pPr>
    </w:p>
    <w:p>
      <w:pPr>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eastAsia="zh-CN"/>
        </w:rPr>
        <w:t>广东省妇幼保健院（省儿童医院）儿科医疗科技楼建设工程项目第三方检测和监测</w:t>
      </w:r>
      <w:r>
        <w:rPr>
          <w:rFonts w:hint="eastAsia" w:ascii="宋体" w:hAnsi="宋体" w:cs="宋体"/>
          <w:b/>
          <w:color w:val="auto"/>
          <w:sz w:val="32"/>
          <w:szCs w:val="32"/>
          <w:highlight w:val="none"/>
          <w:lang w:val="en-US" w:eastAsia="zh-CN"/>
        </w:rPr>
        <w:t>服务</w:t>
      </w:r>
    </w:p>
    <w:p>
      <w:pPr>
        <w:rPr>
          <w:rFonts w:ascii="宋体" w:hAnsi="宋体" w:cs="仿宋_GB2312"/>
          <w:color w:val="auto"/>
          <w:sz w:val="20"/>
          <w:highlight w:val="none"/>
        </w:rPr>
      </w:pPr>
    </w:p>
    <w:p>
      <w:pPr>
        <w:rPr>
          <w:rFonts w:ascii="宋体" w:hAnsi="宋体" w:cs="仿宋_GB2312"/>
          <w:color w:val="auto"/>
          <w:sz w:val="20"/>
          <w:highlight w:val="none"/>
        </w:rPr>
      </w:pPr>
    </w:p>
    <w:p>
      <w:pPr>
        <w:rPr>
          <w:rFonts w:ascii="宋体" w:hAnsi="宋体" w:cs="仿宋_GB2312"/>
          <w:color w:val="auto"/>
          <w:sz w:val="20"/>
          <w:highlight w:val="none"/>
        </w:rPr>
      </w:pPr>
    </w:p>
    <w:p>
      <w:pPr>
        <w:rPr>
          <w:rFonts w:ascii="宋体" w:hAnsi="宋体" w:cs="仿宋_GB2312"/>
          <w:color w:val="auto"/>
          <w:sz w:val="20"/>
          <w:highlight w:val="none"/>
        </w:rPr>
      </w:pPr>
    </w:p>
    <w:p>
      <w:pPr>
        <w:rPr>
          <w:rFonts w:ascii="宋体" w:hAnsi="宋体" w:cs="仿宋_GB2312"/>
          <w:color w:val="auto"/>
          <w:sz w:val="20"/>
          <w:highlight w:val="none"/>
        </w:rPr>
      </w:pPr>
    </w:p>
    <w:p>
      <w:pPr>
        <w:rPr>
          <w:rFonts w:ascii="宋体" w:hAnsi="宋体" w:cs="仿宋_GB2312"/>
          <w:color w:val="auto"/>
          <w:sz w:val="20"/>
          <w:highlight w:val="none"/>
        </w:rPr>
      </w:pPr>
    </w:p>
    <w:p>
      <w:pPr>
        <w:rPr>
          <w:rFonts w:ascii="宋体" w:hAnsi="宋体" w:cs="仿宋_GB2312"/>
          <w:color w:val="auto"/>
          <w:sz w:val="20"/>
          <w:highlight w:val="none"/>
        </w:rPr>
      </w:pPr>
    </w:p>
    <w:p>
      <w:pPr>
        <w:rPr>
          <w:rFonts w:ascii="宋体" w:hAnsi="宋体" w:cs="仿宋_GB2312"/>
          <w:color w:val="auto"/>
          <w:sz w:val="20"/>
          <w:highlight w:val="none"/>
        </w:rPr>
      </w:pPr>
    </w:p>
    <w:p>
      <w:pPr>
        <w:rPr>
          <w:rFonts w:ascii="宋体" w:hAnsi="宋体" w:cs="仿宋_GB2312"/>
          <w:color w:val="auto"/>
          <w:sz w:val="20"/>
          <w:highlight w:val="none"/>
        </w:rPr>
      </w:pPr>
    </w:p>
    <w:p>
      <w:pPr>
        <w:jc w:val="center"/>
        <w:rPr>
          <w:rFonts w:ascii="宋体" w:hAnsi="宋体" w:cs="仿宋_GB2312"/>
          <w:color w:val="auto"/>
          <w:sz w:val="44"/>
          <w:highlight w:val="none"/>
        </w:rPr>
      </w:pPr>
      <w:r>
        <w:rPr>
          <w:rFonts w:hint="eastAsia" w:ascii="宋体" w:hAnsi="宋体" w:cs="仿宋_GB2312"/>
          <w:color w:val="auto"/>
          <w:sz w:val="44"/>
          <w:highlight w:val="none"/>
        </w:rPr>
        <w:t>报价书</w:t>
      </w:r>
    </w:p>
    <w:p>
      <w:pPr>
        <w:rPr>
          <w:rFonts w:ascii="宋体" w:hAnsi="宋体" w:cs="仿宋_GB2312"/>
          <w:color w:val="auto"/>
          <w:sz w:val="28"/>
          <w:highlight w:val="none"/>
        </w:rPr>
      </w:pPr>
    </w:p>
    <w:p>
      <w:pPr>
        <w:rPr>
          <w:rFonts w:ascii="宋体" w:hAnsi="宋体" w:cs="仿宋_GB2312"/>
          <w:color w:val="auto"/>
          <w:sz w:val="28"/>
          <w:highlight w:val="none"/>
        </w:rPr>
      </w:pPr>
    </w:p>
    <w:p>
      <w:pPr>
        <w:rPr>
          <w:rFonts w:ascii="宋体" w:hAnsi="宋体" w:cs="仿宋_GB2312"/>
          <w:color w:val="auto"/>
          <w:sz w:val="28"/>
          <w:highlight w:val="none"/>
        </w:rPr>
      </w:pPr>
    </w:p>
    <w:p>
      <w:pPr>
        <w:rPr>
          <w:rFonts w:ascii="宋体" w:hAnsi="宋体" w:cs="仿宋_GB2312"/>
          <w:color w:val="auto"/>
          <w:sz w:val="28"/>
          <w:highlight w:val="none"/>
        </w:rPr>
      </w:pPr>
    </w:p>
    <w:p>
      <w:pPr>
        <w:rPr>
          <w:rFonts w:ascii="宋体" w:hAnsi="宋体" w:cs="仿宋_GB2312"/>
          <w:color w:val="auto"/>
          <w:sz w:val="28"/>
          <w:highlight w:val="none"/>
        </w:rPr>
      </w:pPr>
    </w:p>
    <w:p>
      <w:pPr>
        <w:rPr>
          <w:rFonts w:ascii="宋体" w:hAnsi="宋体" w:cs="仿宋_GB2312"/>
          <w:color w:val="auto"/>
          <w:sz w:val="28"/>
          <w:highlight w:val="none"/>
        </w:rPr>
      </w:pPr>
    </w:p>
    <w:p>
      <w:pPr>
        <w:spacing w:line="360" w:lineRule="auto"/>
        <w:rPr>
          <w:rFonts w:ascii="宋体" w:hAnsi="宋体" w:cs="仿宋_GB2312"/>
          <w:color w:val="auto"/>
          <w:sz w:val="28"/>
          <w:highlight w:val="none"/>
        </w:rPr>
      </w:pPr>
    </w:p>
    <w:p>
      <w:pPr>
        <w:spacing w:line="360" w:lineRule="auto"/>
        <w:ind w:firstLine="1120" w:firstLineChars="400"/>
        <w:rPr>
          <w:rFonts w:ascii="宋体" w:hAnsi="宋体" w:cs="仿宋_GB2312"/>
          <w:color w:val="auto"/>
          <w:sz w:val="28"/>
          <w:highlight w:val="none"/>
          <w:u w:val="single"/>
        </w:rPr>
      </w:pPr>
      <w:r>
        <w:rPr>
          <w:rFonts w:hint="eastAsia" w:ascii="宋体" w:hAnsi="宋体" w:cs="仿宋_GB2312"/>
          <w:color w:val="auto"/>
          <w:sz w:val="28"/>
          <w:highlight w:val="none"/>
        </w:rPr>
        <w:t>投标人：（盖单位章）</w:t>
      </w:r>
    </w:p>
    <w:p>
      <w:pPr>
        <w:spacing w:line="360" w:lineRule="auto"/>
        <w:ind w:firstLine="1120" w:firstLineChars="400"/>
        <w:jc w:val="left"/>
        <w:rPr>
          <w:rFonts w:ascii="宋体" w:hAnsi="宋体" w:cs="仿宋_GB2312"/>
          <w:color w:val="auto"/>
          <w:sz w:val="28"/>
          <w:highlight w:val="none"/>
        </w:rPr>
      </w:pPr>
      <w:r>
        <w:rPr>
          <w:rFonts w:hint="eastAsia" w:ascii="宋体" w:hAnsi="宋体" w:cs="仿宋_GB2312"/>
          <w:color w:val="auto"/>
          <w:sz w:val="28"/>
          <w:highlight w:val="none"/>
        </w:rPr>
        <w:t>法定代表人或其委托代理人：（签字</w:t>
      </w:r>
      <w:r>
        <w:rPr>
          <w:rFonts w:hint="eastAsia" w:ascii="宋体" w:hAnsi="宋体" w:cs="仿宋_GB2312"/>
          <w:color w:val="auto"/>
          <w:sz w:val="28"/>
          <w:highlight w:val="none"/>
          <w:lang w:val="en-US" w:eastAsia="zh-CN"/>
        </w:rPr>
        <w:t>或盖章</w:t>
      </w:r>
      <w:r>
        <w:rPr>
          <w:rFonts w:hint="eastAsia" w:ascii="宋体" w:hAnsi="宋体" w:cs="仿宋_GB2312"/>
          <w:color w:val="auto"/>
          <w:sz w:val="28"/>
          <w:highlight w:val="none"/>
        </w:rPr>
        <w:t>）</w:t>
      </w:r>
    </w:p>
    <w:p>
      <w:pPr>
        <w:jc w:val="center"/>
        <w:rPr>
          <w:rFonts w:ascii="宋体" w:hAnsi="宋体" w:cs="仿宋_GB2312"/>
          <w:color w:val="auto"/>
          <w:sz w:val="28"/>
          <w:highlight w:val="none"/>
        </w:rPr>
      </w:pPr>
    </w:p>
    <w:p>
      <w:pPr>
        <w:spacing w:line="400" w:lineRule="exact"/>
        <w:jc w:val="center"/>
        <w:rPr>
          <w:rFonts w:ascii="宋体" w:hAnsi="宋体" w:cs="仿宋_GB2312"/>
          <w:color w:val="auto"/>
          <w:highlight w:val="none"/>
        </w:rPr>
      </w:pPr>
      <w:r>
        <w:rPr>
          <w:rFonts w:hint="eastAsia" w:ascii="宋体" w:hAnsi="宋体" w:cs="仿宋_GB2312"/>
          <w:color w:val="auto"/>
          <w:sz w:val="28"/>
          <w:highlight w:val="none"/>
        </w:rPr>
        <w:t xml:space="preserve">年 </w:t>
      </w:r>
      <w:r>
        <w:rPr>
          <w:rFonts w:ascii="宋体" w:hAnsi="宋体" w:cs="仿宋_GB2312"/>
          <w:color w:val="auto"/>
          <w:sz w:val="28"/>
          <w:highlight w:val="none"/>
        </w:rPr>
        <w:t xml:space="preserve"> </w:t>
      </w:r>
      <w:r>
        <w:rPr>
          <w:rFonts w:hint="eastAsia" w:ascii="宋体" w:hAnsi="宋体" w:cs="仿宋_GB2312"/>
          <w:color w:val="auto"/>
          <w:sz w:val="28"/>
          <w:highlight w:val="none"/>
        </w:rPr>
        <w:t xml:space="preserve">月 </w:t>
      </w:r>
      <w:r>
        <w:rPr>
          <w:rFonts w:ascii="宋体" w:hAnsi="宋体" w:cs="仿宋_GB2312"/>
          <w:color w:val="auto"/>
          <w:sz w:val="28"/>
          <w:highlight w:val="none"/>
        </w:rPr>
        <w:t xml:space="preserve"> </w:t>
      </w:r>
      <w:r>
        <w:rPr>
          <w:rFonts w:hint="eastAsia" w:ascii="宋体" w:hAnsi="宋体" w:cs="仿宋_GB2312"/>
          <w:color w:val="auto"/>
          <w:sz w:val="28"/>
          <w:highlight w:val="none"/>
        </w:rPr>
        <w:t>日</w:t>
      </w:r>
    </w:p>
    <w:p>
      <w:pPr>
        <w:jc w:val="center"/>
        <w:rPr>
          <w:rFonts w:ascii="宋体" w:hAnsi="宋体" w:cs="仿宋_GB2312"/>
          <w:b/>
          <w:color w:val="auto"/>
          <w:sz w:val="32"/>
          <w:szCs w:val="32"/>
          <w:highlight w:val="none"/>
        </w:rPr>
      </w:pPr>
      <w:r>
        <w:rPr>
          <w:rFonts w:ascii="宋体" w:hAnsi="宋体" w:cs="仿宋_GB2312"/>
          <w:color w:val="auto"/>
          <w:highlight w:val="none"/>
        </w:rPr>
        <w:br w:type="page"/>
      </w:r>
      <w:r>
        <w:rPr>
          <w:rFonts w:hint="eastAsia" w:ascii="宋体" w:hAnsi="宋体" w:cs="仿宋_GB2312"/>
          <w:b/>
          <w:color w:val="auto"/>
          <w:sz w:val="32"/>
          <w:szCs w:val="32"/>
          <w:highlight w:val="none"/>
        </w:rPr>
        <w:t>报价说明</w:t>
      </w:r>
    </w:p>
    <w:p>
      <w:pPr>
        <w:adjustRightInd w:val="0"/>
        <w:spacing w:line="360" w:lineRule="auto"/>
        <w:ind w:firstLine="422" w:firstLineChars="200"/>
        <w:rPr>
          <w:rFonts w:hint="eastAsia" w:ascii="宋体" w:hAnsi="宋体"/>
          <w:b/>
          <w:bCs/>
          <w:color w:val="auto"/>
          <w:szCs w:val="21"/>
          <w:highlight w:val="none"/>
        </w:rPr>
      </w:pPr>
    </w:p>
    <w:p>
      <w:pPr>
        <w:adjustRightInd w:val="0"/>
        <w:spacing w:line="360" w:lineRule="auto"/>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1、在研究了招标文件的所有文件、技术资料后，我方对</w:t>
      </w:r>
      <w:r>
        <w:rPr>
          <w:rFonts w:hint="eastAsia" w:ascii="宋体" w:hAnsi="宋体" w:cs="宋体"/>
          <w:b/>
          <w:bCs/>
          <w:color w:val="auto"/>
          <w:sz w:val="22"/>
          <w:highlight w:val="none"/>
          <w:u w:val="single"/>
          <w:lang w:eastAsia="zh-CN"/>
        </w:rPr>
        <w:t>广东省妇幼保健院（省儿童医院）儿科医疗科技楼建设工程项目第三方检测和监测</w:t>
      </w:r>
      <w:r>
        <w:rPr>
          <w:rFonts w:hint="eastAsia" w:ascii="宋体" w:hAnsi="宋体" w:cs="宋体"/>
          <w:b/>
          <w:bCs/>
          <w:color w:val="auto"/>
          <w:sz w:val="22"/>
          <w:highlight w:val="none"/>
          <w:u w:val="single"/>
          <w:lang w:val="en-US" w:eastAsia="zh-CN"/>
        </w:rPr>
        <w:t>服务</w:t>
      </w:r>
      <w:r>
        <w:rPr>
          <w:rFonts w:hint="eastAsia" w:ascii="宋体" w:hAnsi="宋体" w:cs="仿宋_GB2312"/>
          <w:color w:val="auto"/>
          <w:szCs w:val="21"/>
          <w:highlight w:val="none"/>
        </w:rPr>
        <w:t>项目进行报价，具体详见下页表。</w:t>
      </w:r>
    </w:p>
    <w:p>
      <w:pPr>
        <w:adjustRightInd w:val="0"/>
        <w:spacing w:line="360" w:lineRule="auto"/>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2、所有附件均为我们报价书的组成部分，我们理解招标单位并不一定非得接受最低价或招标单位可能收到的任何报价书的约束。</w:t>
      </w:r>
    </w:p>
    <w:p>
      <w:pPr>
        <w:adjustRightInd w:val="0"/>
        <w:spacing w:line="360" w:lineRule="auto"/>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3、（投标人需要说明的其他内容，由投标人自行填写）</w:t>
      </w:r>
    </w:p>
    <w:p>
      <w:pPr>
        <w:adjustRightInd w:val="0"/>
        <w:spacing w:line="360" w:lineRule="auto"/>
        <w:ind w:firstLine="420" w:firstLineChars="200"/>
        <w:rPr>
          <w:rFonts w:hint="eastAsia" w:ascii="宋体" w:hAnsi="宋体" w:cs="仿宋_GB2312"/>
          <w:color w:val="auto"/>
          <w:szCs w:val="21"/>
          <w:highlight w:val="none"/>
        </w:rPr>
      </w:pPr>
    </w:p>
    <w:p>
      <w:pPr>
        <w:adjustRightInd w:val="0"/>
        <w:spacing w:line="360" w:lineRule="auto"/>
        <w:ind w:firstLine="420" w:firstLineChars="200"/>
        <w:rPr>
          <w:rFonts w:hint="eastAsia" w:ascii="宋体" w:hAnsi="宋体" w:cs="仿宋_GB2312"/>
          <w:color w:val="auto"/>
          <w:szCs w:val="21"/>
          <w:highlight w:val="none"/>
        </w:rPr>
      </w:pPr>
    </w:p>
    <w:p>
      <w:pPr>
        <w:adjustRightInd w:val="0"/>
        <w:spacing w:line="360" w:lineRule="auto"/>
        <w:ind w:firstLine="5460" w:firstLineChars="2600"/>
        <w:jc w:val="both"/>
        <w:rPr>
          <w:rFonts w:hint="eastAsia" w:ascii="宋体" w:hAnsi="宋体" w:cs="仿宋_GB2312"/>
          <w:color w:val="auto"/>
          <w:szCs w:val="21"/>
          <w:highlight w:val="none"/>
        </w:rPr>
      </w:pPr>
      <w:r>
        <w:rPr>
          <w:rFonts w:hint="eastAsia" w:ascii="宋体" w:hAnsi="宋体" w:cs="仿宋_GB2312"/>
          <w:color w:val="auto"/>
          <w:szCs w:val="21"/>
          <w:highlight w:val="none"/>
        </w:rPr>
        <w:t>投标人：（公章）</w:t>
      </w:r>
    </w:p>
    <w:p>
      <w:pPr>
        <w:adjustRightInd w:val="0"/>
        <w:spacing w:line="360" w:lineRule="auto"/>
        <w:ind w:firstLine="5880" w:firstLineChars="2800"/>
        <w:jc w:val="both"/>
        <w:rPr>
          <w:rFonts w:hint="eastAsia" w:ascii="宋体" w:hAnsi="宋体" w:cs="仿宋_GB2312"/>
          <w:color w:val="auto"/>
          <w:szCs w:val="21"/>
          <w:highlight w:val="none"/>
        </w:rPr>
      </w:pPr>
      <w:r>
        <w:rPr>
          <w:rFonts w:hint="eastAsia" w:ascii="宋体" w:hAnsi="宋体" w:cs="仿宋_GB2312"/>
          <w:color w:val="auto"/>
          <w:szCs w:val="21"/>
          <w:highlight w:val="none"/>
        </w:rPr>
        <w:t>年</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日</w:t>
      </w:r>
    </w:p>
    <w:p>
      <w:pPr>
        <w:pStyle w:val="2"/>
        <w:rPr>
          <w:rFonts w:hint="eastAsia" w:ascii="宋体" w:hAnsi="宋体" w:cs="仿宋_GB2312"/>
          <w:color w:val="auto"/>
          <w:szCs w:val="21"/>
          <w:highlight w:val="none"/>
        </w:rPr>
      </w:pPr>
    </w:p>
    <w:p>
      <w:pPr>
        <w:pStyle w:val="2"/>
        <w:rPr>
          <w:rFonts w:hint="eastAsia" w:ascii="宋体" w:hAnsi="宋体" w:cs="仿宋_GB2312"/>
          <w:color w:val="auto"/>
          <w:szCs w:val="21"/>
          <w:highlight w:val="none"/>
        </w:rPr>
      </w:pPr>
    </w:p>
    <w:p>
      <w:pPr>
        <w:pStyle w:val="2"/>
        <w:rPr>
          <w:rFonts w:hint="eastAsia" w:ascii="宋体" w:hAnsi="宋体" w:cs="仿宋_GB2312"/>
          <w:color w:val="auto"/>
          <w:szCs w:val="21"/>
          <w:highlight w:val="none"/>
        </w:rPr>
      </w:pPr>
    </w:p>
    <w:p>
      <w:pPr>
        <w:pStyle w:val="2"/>
        <w:rPr>
          <w:rFonts w:hint="eastAsia" w:ascii="宋体" w:hAnsi="宋体" w:cs="仿宋_GB2312"/>
          <w:color w:val="auto"/>
          <w:szCs w:val="21"/>
          <w:highlight w:val="none"/>
        </w:rPr>
      </w:pPr>
    </w:p>
    <w:p>
      <w:pPr>
        <w:pStyle w:val="2"/>
        <w:rPr>
          <w:rFonts w:hint="eastAsia" w:ascii="宋体" w:hAnsi="宋体" w:cs="仿宋_GB2312"/>
          <w:color w:val="auto"/>
          <w:szCs w:val="21"/>
          <w:highlight w:val="none"/>
        </w:rPr>
      </w:pPr>
    </w:p>
    <w:p>
      <w:pPr>
        <w:pStyle w:val="2"/>
        <w:rPr>
          <w:rFonts w:hint="eastAsia" w:ascii="宋体" w:hAnsi="宋体" w:cs="仿宋_GB2312"/>
          <w:color w:val="auto"/>
          <w:szCs w:val="21"/>
          <w:highlight w:val="none"/>
        </w:rPr>
      </w:pPr>
    </w:p>
    <w:p>
      <w:pPr>
        <w:pStyle w:val="2"/>
        <w:rPr>
          <w:rFonts w:hint="eastAsia" w:ascii="宋体" w:hAnsi="宋体" w:cs="仿宋_GB2312"/>
          <w:color w:val="auto"/>
          <w:szCs w:val="21"/>
          <w:highlight w:val="none"/>
        </w:rPr>
      </w:pPr>
    </w:p>
    <w:p>
      <w:pPr>
        <w:pStyle w:val="2"/>
        <w:rPr>
          <w:rFonts w:hint="eastAsia" w:ascii="宋体" w:hAnsi="宋体" w:cs="仿宋_GB2312"/>
          <w:color w:val="auto"/>
          <w:szCs w:val="21"/>
          <w:highlight w:val="none"/>
        </w:rPr>
      </w:pPr>
    </w:p>
    <w:p>
      <w:pPr>
        <w:pStyle w:val="2"/>
        <w:rPr>
          <w:rFonts w:hint="eastAsia" w:ascii="宋体" w:hAnsi="宋体" w:cs="仿宋_GB2312"/>
          <w:color w:val="auto"/>
          <w:szCs w:val="21"/>
          <w:highlight w:val="none"/>
        </w:rPr>
      </w:pPr>
    </w:p>
    <w:p>
      <w:pPr>
        <w:pStyle w:val="2"/>
        <w:rPr>
          <w:rFonts w:hint="eastAsia" w:ascii="宋体" w:hAnsi="宋体" w:cs="仿宋_GB2312"/>
          <w:color w:val="auto"/>
          <w:szCs w:val="21"/>
          <w:highlight w:val="none"/>
        </w:rPr>
      </w:pPr>
    </w:p>
    <w:p>
      <w:pPr>
        <w:pStyle w:val="2"/>
        <w:rPr>
          <w:rFonts w:hint="eastAsia" w:ascii="宋体" w:hAnsi="宋体" w:cs="仿宋_GB2312"/>
          <w:color w:val="auto"/>
          <w:szCs w:val="21"/>
          <w:highlight w:val="none"/>
        </w:rPr>
      </w:pPr>
    </w:p>
    <w:p>
      <w:pPr>
        <w:pStyle w:val="2"/>
        <w:rPr>
          <w:rFonts w:hint="eastAsia" w:ascii="宋体" w:hAnsi="宋体" w:cs="仿宋_GB2312"/>
          <w:color w:val="auto"/>
          <w:szCs w:val="21"/>
          <w:highlight w:val="none"/>
        </w:rPr>
      </w:pPr>
    </w:p>
    <w:p>
      <w:pPr>
        <w:pStyle w:val="2"/>
        <w:rPr>
          <w:rFonts w:hint="eastAsia" w:ascii="宋体" w:hAnsi="宋体" w:cs="仿宋_GB2312"/>
          <w:color w:val="auto"/>
          <w:szCs w:val="21"/>
          <w:highlight w:val="none"/>
        </w:rPr>
      </w:pPr>
    </w:p>
    <w:p>
      <w:pPr>
        <w:pStyle w:val="2"/>
        <w:rPr>
          <w:rFonts w:hint="eastAsia" w:ascii="宋体" w:hAnsi="宋体" w:cs="仿宋_GB2312"/>
          <w:color w:val="auto"/>
          <w:szCs w:val="21"/>
          <w:highlight w:val="none"/>
        </w:rPr>
      </w:pPr>
    </w:p>
    <w:p>
      <w:pPr>
        <w:pStyle w:val="2"/>
        <w:rPr>
          <w:rFonts w:hint="eastAsia" w:ascii="宋体" w:hAnsi="宋体" w:cs="仿宋_GB2312"/>
          <w:color w:val="auto"/>
          <w:szCs w:val="21"/>
          <w:highlight w:val="none"/>
        </w:rPr>
      </w:pPr>
    </w:p>
    <w:p>
      <w:pPr>
        <w:pStyle w:val="2"/>
        <w:rPr>
          <w:rFonts w:hint="eastAsia" w:ascii="宋体" w:hAnsi="宋体" w:cs="仿宋_GB2312"/>
          <w:color w:val="auto"/>
          <w:szCs w:val="21"/>
          <w:highlight w:val="none"/>
        </w:rPr>
      </w:pPr>
    </w:p>
    <w:p>
      <w:pPr>
        <w:pStyle w:val="2"/>
        <w:ind w:firstLine="0"/>
        <w:jc w:val="center"/>
        <w:rPr>
          <w:rFonts w:hint="eastAsia" w:ascii="宋体" w:hAnsi="宋体" w:cs="仿宋_GB2312"/>
          <w:color w:val="auto"/>
          <w:szCs w:val="21"/>
          <w:highlight w:val="none"/>
        </w:rPr>
      </w:pPr>
      <w:r>
        <w:rPr>
          <w:rFonts w:hint="eastAsia" w:ascii="宋体" w:hAnsi="宋体" w:cs="仿宋_GB2312"/>
          <w:b/>
          <w:color w:val="auto"/>
          <w:sz w:val="32"/>
          <w:szCs w:val="32"/>
          <w:highlight w:val="none"/>
        </w:rPr>
        <w:t>已标价的检测</w:t>
      </w:r>
      <w:r>
        <w:rPr>
          <w:rFonts w:hint="eastAsia" w:ascii="宋体" w:hAnsi="宋体" w:cs="仿宋_GB2312"/>
          <w:b/>
          <w:color w:val="auto"/>
          <w:sz w:val="32"/>
          <w:szCs w:val="32"/>
          <w:highlight w:val="none"/>
          <w:lang w:eastAsia="zh-CN"/>
        </w:rPr>
        <w:t>、</w:t>
      </w:r>
      <w:r>
        <w:rPr>
          <w:rFonts w:hint="eastAsia" w:ascii="宋体" w:hAnsi="宋体" w:cs="仿宋_GB2312"/>
          <w:b/>
          <w:color w:val="auto"/>
          <w:sz w:val="32"/>
          <w:szCs w:val="32"/>
          <w:highlight w:val="none"/>
          <w:lang w:val="en-US" w:eastAsia="zh-CN"/>
        </w:rPr>
        <w:t>监测</w:t>
      </w:r>
      <w:r>
        <w:rPr>
          <w:rFonts w:hint="eastAsia" w:ascii="宋体" w:hAnsi="宋体" w:cs="仿宋_GB2312"/>
          <w:b/>
          <w:color w:val="auto"/>
          <w:sz w:val="32"/>
          <w:szCs w:val="32"/>
          <w:highlight w:val="none"/>
        </w:rPr>
        <w:t>工程量清单表</w:t>
      </w:r>
    </w:p>
    <w:p>
      <w:pPr>
        <w:pStyle w:val="2"/>
        <w:rPr>
          <w:rFonts w:ascii="宋体" w:hAnsi="宋体" w:cs="宋体"/>
        </w:rPr>
      </w:pPr>
    </w:p>
    <w:p>
      <w:pPr>
        <w:pStyle w:val="5"/>
        <w:rPr>
          <w:rFonts w:ascii="宋体" w:hAnsi="宋体" w:eastAsia="宋体" w:cs="宋体"/>
          <w:strike/>
        </w:rPr>
        <w:sectPr>
          <w:footerReference r:id="rId7" w:type="default"/>
          <w:pgSz w:w="11906" w:h="16838"/>
          <w:pgMar w:top="1417" w:right="1417" w:bottom="1417" w:left="1417" w:header="851" w:footer="1021" w:gutter="0"/>
          <w:cols w:space="720" w:num="1"/>
          <w:docGrid w:type="lines" w:linePitch="312" w:charSpace="0"/>
        </w:sectPr>
      </w:pPr>
      <w:bookmarkStart w:id="397" w:name="_Toc374610687"/>
      <w:bookmarkStart w:id="398" w:name="_Toc374536218"/>
      <w:bookmarkStart w:id="399" w:name="_Toc31556"/>
      <w:bookmarkStart w:id="400" w:name="_Toc333829923"/>
      <w:bookmarkStart w:id="401" w:name="_Toc390704770"/>
      <w:bookmarkStart w:id="402" w:name="_Toc266373531"/>
    </w:p>
    <w:bookmarkEnd w:id="397"/>
    <w:bookmarkEnd w:id="398"/>
    <w:bookmarkEnd w:id="399"/>
    <w:bookmarkEnd w:id="400"/>
    <w:bookmarkEnd w:id="401"/>
    <w:bookmarkEnd w:id="402"/>
    <w:p>
      <w:pPr>
        <w:jc w:val="left"/>
        <w:rPr>
          <w:rFonts w:ascii="宋体" w:hAnsi="宋体" w:cs="宋体"/>
          <w:szCs w:val="24"/>
        </w:rPr>
      </w:pPr>
    </w:p>
    <w:p>
      <w:pPr>
        <w:keepNext/>
        <w:keepLines/>
        <w:spacing w:line="360" w:lineRule="auto"/>
        <w:jc w:val="center"/>
        <w:outlineLvl w:val="1"/>
        <w:rPr>
          <w:rFonts w:ascii="宋体" w:hAnsi="宋体" w:cs="宋体"/>
          <w:b/>
          <w:bCs/>
          <w:sz w:val="32"/>
          <w:szCs w:val="32"/>
        </w:rPr>
      </w:pPr>
      <w:r>
        <w:rPr>
          <w:rFonts w:hint="eastAsia" w:ascii="宋体" w:hAnsi="宋体" w:cs="宋体"/>
          <w:b/>
          <w:bCs/>
          <w:sz w:val="32"/>
          <w:szCs w:val="32"/>
        </w:rPr>
        <w:t>十五、其他资料</w:t>
      </w:r>
      <w:bookmarkEnd w:id="396"/>
    </w:p>
    <w:p>
      <w:pPr>
        <w:ind w:firstLine="440" w:firstLineChars="200"/>
        <w:rPr>
          <w:rFonts w:ascii="宋体" w:hAnsi="宋体" w:cs="宋体"/>
          <w:sz w:val="22"/>
        </w:rPr>
      </w:pPr>
      <w:r>
        <w:rPr>
          <w:rFonts w:hint="eastAsia" w:ascii="宋体" w:hAnsi="宋体" w:cs="宋体"/>
          <w:sz w:val="22"/>
        </w:rPr>
        <w:t>投标人须知前附表规定的其他资料，投标人认为有必要提交的其他资料，格式自定。</w:t>
      </w:r>
    </w:p>
    <w:sectPr>
      <w:pgSz w:w="11905" w:h="16838"/>
      <w:pgMar w:top="1418" w:right="1417" w:bottom="1418" w:left="1417"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enter" w:pos="4251"/>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1</w:t>
    </w:r>
    <w:r>
      <w:fldChar w:fldCharType="end"/>
    </w:r>
  </w:p>
  <w:p>
    <w:pPr>
      <w:pStyle w:val="27"/>
      <w:tabs>
        <w:tab w:val="center" w:pos="4251"/>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42</w:t>
    </w:r>
    <w:r>
      <w:fldChar w:fldCharType="end"/>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7"/>
                            <w:jc w:val="center"/>
                          </w:pPr>
                          <w:r>
                            <w:rPr>
                              <w:sz w:val="21"/>
                            </w:rPr>
                            <w:fldChar w:fldCharType="begin"/>
                          </w:r>
                          <w:r>
                            <w:rPr>
                              <w:sz w:val="21"/>
                            </w:rPr>
                            <w:instrText xml:space="preserve">PAGE   \* MERGEFORMAT</w:instrText>
                          </w:r>
                          <w:r>
                            <w:rPr>
                              <w:sz w:val="21"/>
                            </w:rPr>
                            <w:fldChar w:fldCharType="separate"/>
                          </w:r>
                          <w:r>
                            <w:rPr>
                              <w:sz w:val="21"/>
                              <w:lang w:val="zh-CN"/>
                            </w:rPr>
                            <w:t>59</w:t>
                          </w:r>
                          <w:r>
                            <w:rPr>
                              <w:sz w:val="21"/>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N6QYMjs&#10;AQAA1QMAAA4AAAAAAAAAAQAgAAAAHgEAAGRycy9lMm9Eb2MueG1sUEsFBgAAAAAGAAYAWQEAAHwF&#10;AAAAAA==&#10;">
              <v:fill on="f" focussize="0,0"/>
              <v:stroke on="f"/>
              <v:imagedata o:title=""/>
              <o:lock v:ext="edit" aspectratio="f"/>
              <v:textbox inset="0mm,0mm,0mm,0mm" style="mso-fit-shape-to-text:t;">
                <w:txbxContent>
                  <w:p>
                    <w:pPr>
                      <w:pStyle w:val="27"/>
                      <w:jc w:val="center"/>
                    </w:pPr>
                    <w:r>
                      <w:rPr>
                        <w:sz w:val="21"/>
                      </w:rPr>
                      <w:fldChar w:fldCharType="begin"/>
                    </w:r>
                    <w:r>
                      <w:rPr>
                        <w:sz w:val="21"/>
                      </w:rPr>
                      <w:instrText xml:space="preserve">PAGE   \* MERGEFORMAT</w:instrText>
                    </w:r>
                    <w:r>
                      <w:rPr>
                        <w:sz w:val="21"/>
                      </w:rPr>
                      <w:fldChar w:fldCharType="separate"/>
                    </w:r>
                    <w:r>
                      <w:rPr>
                        <w:sz w:val="21"/>
                        <w:lang w:val="zh-CN"/>
                      </w:rPr>
                      <w:t>59</w:t>
                    </w:r>
                    <w:r>
                      <w:rPr>
                        <w:sz w:val="21"/>
                      </w:rPr>
                      <w:fldChar w:fldCharType="end"/>
                    </w:r>
                  </w:p>
                </w:txbxContent>
              </v:textbox>
            </v:shape>
          </w:pict>
        </mc:Fallback>
      </mc:AlternateContent>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63</w:t>
    </w:r>
    <w:r>
      <w:fldChar w:fldCharType="end"/>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B0463"/>
    <w:multiLevelType w:val="multilevel"/>
    <w:tmpl w:val="74FB0463"/>
    <w:lvl w:ilvl="0" w:tentative="0">
      <w:start w:val="1"/>
      <w:numFmt w:val="decimal"/>
      <w:suff w:val="nothing"/>
      <w:lvlText w:val="第%1篇"/>
      <w:lvlJc w:val="left"/>
      <w:pPr>
        <w:ind w:left="0" w:firstLine="0"/>
      </w:pPr>
      <w:rPr>
        <w:rFonts w:hint="eastAsia"/>
        <w:spacing w:val="60"/>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center"/>
      <w:pPr>
        <w:ind w:left="0" w:firstLine="288"/>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2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2NlOGZmNjYwZDYwNWVjNWJlNGQxOTA2ODBiYTYifQ=="/>
  </w:docVars>
  <w:rsids>
    <w:rsidRoot w:val="00C8689A"/>
    <w:rsid w:val="000018C9"/>
    <w:rsid w:val="00002A0A"/>
    <w:rsid w:val="00003E55"/>
    <w:rsid w:val="00004815"/>
    <w:rsid w:val="000055CF"/>
    <w:rsid w:val="00005848"/>
    <w:rsid w:val="0000627E"/>
    <w:rsid w:val="00007452"/>
    <w:rsid w:val="0000762F"/>
    <w:rsid w:val="00011002"/>
    <w:rsid w:val="000148E7"/>
    <w:rsid w:val="00015C4B"/>
    <w:rsid w:val="00015D4E"/>
    <w:rsid w:val="00017AF5"/>
    <w:rsid w:val="000203F6"/>
    <w:rsid w:val="00022B56"/>
    <w:rsid w:val="000231B6"/>
    <w:rsid w:val="000268D1"/>
    <w:rsid w:val="000278E3"/>
    <w:rsid w:val="00030BFF"/>
    <w:rsid w:val="0003123D"/>
    <w:rsid w:val="00031283"/>
    <w:rsid w:val="00031D75"/>
    <w:rsid w:val="00033F93"/>
    <w:rsid w:val="00041163"/>
    <w:rsid w:val="000452C6"/>
    <w:rsid w:val="00045739"/>
    <w:rsid w:val="000458F4"/>
    <w:rsid w:val="00046053"/>
    <w:rsid w:val="00051715"/>
    <w:rsid w:val="00053856"/>
    <w:rsid w:val="000541FD"/>
    <w:rsid w:val="00054E03"/>
    <w:rsid w:val="00055E6F"/>
    <w:rsid w:val="00056928"/>
    <w:rsid w:val="00060352"/>
    <w:rsid w:val="000603D1"/>
    <w:rsid w:val="00060C36"/>
    <w:rsid w:val="00062F44"/>
    <w:rsid w:val="00062F50"/>
    <w:rsid w:val="0006622A"/>
    <w:rsid w:val="00066F86"/>
    <w:rsid w:val="00070F67"/>
    <w:rsid w:val="00071CC1"/>
    <w:rsid w:val="00071FE6"/>
    <w:rsid w:val="000762C6"/>
    <w:rsid w:val="00077CB2"/>
    <w:rsid w:val="00080A64"/>
    <w:rsid w:val="00082656"/>
    <w:rsid w:val="000829D1"/>
    <w:rsid w:val="00083644"/>
    <w:rsid w:val="00085566"/>
    <w:rsid w:val="00095637"/>
    <w:rsid w:val="0009596A"/>
    <w:rsid w:val="00095C44"/>
    <w:rsid w:val="00097403"/>
    <w:rsid w:val="00097DD8"/>
    <w:rsid w:val="000A0AF7"/>
    <w:rsid w:val="000A3C33"/>
    <w:rsid w:val="000A53EB"/>
    <w:rsid w:val="000A5CEB"/>
    <w:rsid w:val="000A632F"/>
    <w:rsid w:val="000A74F6"/>
    <w:rsid w:val="000A7A56"/>
    <w:rsid w:val="000B6C3B"/>
    <w:rsid w:val="000C1C9D"/>
    <w:rsid w:val="000C4744"/>
    <w:rsid w:val="000C535B"/>
    <w:rsid w:val="000D255F"/>
    <w:rsid w:val="000D36CD"/>
    <w:rsid w:val="000D47A3"/>
    <w:rsid w:val="000D64A4"/>
    <w:rsid w:val="000F36DC"/>
    <w:rsid w:val="000F3D1F"/>
    <w:rsid w:val="000F5BD6"/>
    <w:rsid w:val="000F63F9"/>
    <w:rsid w:val="000F7E28"/>
    <w:rsid w:val="00103224"/>
    <w:rsid w:val="00103B60"/>
    <w:rsid w:val="00103C89"/>
    <w:rsid w:val="0010568E"/>
    <w:rsid w:val="001056DE"/>
    <w:rsid w:val="00107EB4"/>
    <w:rsid w:val="00110F20"/>
    <w:rsid w:val="0011155D"/>
    <w:rsid w:val="0011362F"/>
    <w:rsid w:val="0011509B"/>
    <w:rsid w:val="001160F7"/>
    <w:rsid w:val="00124BA8"/>
    <w:rsid w:val="00124E0D"/>
    <w:rsid w:val="00124EE6"/>
    <w:rsid w:val="0012759C"/>
    <w:rsid w:val="0013006D"/>
    <w:rsid w:val="00134C11"/>
    <w:rsid w:val="00137D17"/>
    <w:rsid w:val="00140C3B"/>
    <w:rsid w:val="001414EF"/>
    <w:rsid w:val="00142664"/>
    <w:rsid w:val="0014408A"/>
    <w:rsid w:val="00144DF5"/>
    <w:rsid w:val="001457A3"/>
    <w:rsid w:val="0015199B"/>
    <w:rsid w:val="00153F09"/>
    <w:rsid w:val="00163377"/>
    <w:rsid w:val="00163B36"/>
    <w:rsid w:val="001655AD"/>
    <w:rsid w:val="00165A35"/>
    <w:rsid w:val="00166052"/>
    <w:rsid w:val="00166C2A"/>
    <w:rsid w:val="001671BE"/>
    <w:rsid w:val="00167935"/>
    <w:rsid w:val="00171BB5"/>
    <w:rsid w:val="001734FF"/>
    <w:rsid w:val="00175861"/>
    <w:rsid w:val="00177C89"/>
    <w:rsid w:val="00177F3D"/>
    <w:rsid w:val="00182A03"/>
    <w:rsid w:val="00194A4F"/>
    <w:rsid w:val="00194E73"/>
    <w:rsid w:val="00197174"/>
    <w:rsid w:val="001A3F29"/>
    <w:rsid w:val="001A56E9"/>
    <w:rsid w:val="001A5A88"/>
    <w:rsid w:val="001A60BF"/>
    <w:rsid w:val="001A7C06"/>
    <w:rsid w:val="001B7D22"/>
    <w:rsid w:val="001C5E7E"/>
    <w:rsid w:val="001C67C6"/>
    <w:rsid w:val="001C69E5"/>
    <w:rsid w:val="001C6BFD"/>
    <w:rsid w:val="001C6E7E"/>
    <w:rsid w:val="001D1DDF"/>
    <w:rsid w:val="001D4810"/>
    <w:rsid w:val="001D4EAE"/>
    <w:rsid w:val="001E0B66"/>
    <w:rsid w:val="001E156F"/>
    <w:rsid w:val="001E2BE8"/>
    <w:rsid w:val="001E67FE"/>
    <w:rsid w:val="001F045B"/>
    <w:rsid w:val="001F257B"/>
    <w:rsid w:val="001F304C"/>
    <w:rsid w:val="001F3BC2"/>
    <w:rsid w:val="001F6CEC"/>
    <w:rsid w:val="001F7016"/>
    <w:rsid w:val="00201557"/>
    <w:rsid w:val="0020437E"/>
    <w:rsid w:val="002058BA"/>
    <w:rsid w:val="00211EAD"/>
    <w:rsid w:val="002122AF"/>
    <w:rsid w:val="0021283D"/>
    <w:rsid w:val="00212F59"/>
    <w:rsid w:val="00213F4D"/>
    <w:rsid w:val="00214BAF"/>
    <w:rsid w:val="00215C05"/>
    <w:rsid w:val="00215E2C"/>
    <w:rsid w:val="002222AC"/>
    <w:rsid w:val="002237DA"/>
    <w:rsid w:val="00224208"/>
    <w:rsid w:val="00227709"/>
    <w:rsid w:val="002300E0"/>
    <w:rsid w:val="002301EA"/>
    <w:rsid w:val="00231AA1"/>
    <w:rsid w:val="00231DB7"/>
    <w:rsid w:val="00231DFC"/>
    <w:rsid w:val="00232131"/>
    <w:rsid w:val="00236508"/>
    <w:rsid w:val="00244ACB"/>
    <w:rsid w:val="0025006A"/>
    <w:rsid w:val="002506CE"/>
    <w:rsid w:val="00251182"/>
    <w:rsid w:val="00257803"/>
    <w:rsid w:val="00257B75"/>
    <w:rsid w:val="00267680"/>
    <w:rsid w:val="002727C1"/>
    <w:rsid w:val="00272A64"/>
    <w:rsid w:val="00277AAD"/>
    <w:rsid w:val="0028214E"/>
    <w:rsid w:val="00283340"/>
    <w:rsid w:val="00293CAD"/>
    <w:rsid w:val="002946D6"/>
    <w:rsid w:val="00297BF0"/>
    <w:rsid w:val="002A2727"/>
    <w:rsid w:val="002B35A7"/>
    <w:rsid w:val="002B3FF0"/>
    <w:rsid w:val="002B4788"/>
    <w:rsid w:val="002C6416"/>
    <w:rsid w:val="002C7354"/>
    <w:rsid w:val="002D0F7A"/>
    <w:rsid w:val="002D2218"/>
    <w:rsid w:val="002D2BC6"/>
    <w:rsid w:val="002D5EC3"/>
    <w:rsid w:val="002D5F40"/>
    <w:rsid w:val="002E00AB"/>
    <w:rsid w:val="002E1F6C"/>
    <w:rsid w:val="002E202F"/>
    <w:rsid w:val="002E214F"/>
    <w:rsid w:val="002E269C"/>
    <w:rsid w:val="002E4B16"/>
    <w:rsid w:val="002E59EC"/>
    <w:rsid w:val="002F0ECF"/>
    <w:rsid w:val="002F1AEC"/>
    <w:rsid w:val="002F57AE"/>
    <w:rsid w:val="002F71DD"/>
    <w:rsid w:val="002F75A4"/>
    <w:rsid w:val="003021F0"/>
    <w:rsid w:val="003025C3"/>
    <w:rsid w:val="00302C49"/>
    <w:rsid w:val="003055D5"/>
    <w:rsid w:val="003071D1"/>
    <w:rsid w:val="00310596"/>
    <w:rsid w:val="003124D9"/>
    <w:rsid w:val="00312A68"/>
    <w:rsid w:val="00314456"/>
    <w:rsid w:val="00316600"/>
    <w:rsid w:val="003171C2"/>
    <w:rsid w:val="00317598"/>
    <w:rsid w:val="00322541"/>
    <w:rsid w:val="0032337F"/>
    <w:rsid w:val="00325423"/>
    <w:rsid w:val="00327384"/>
    <w:rsid w:val="0033100A"/>
    <w:rsid w:val="0033113E"/>
    <w:rsid w:val="003326D7"/>
    <w:rsid w:val="0033529E"/>
    <w:rsid w:val="003364DD"/>
    <w:rsid w:val="003368B5"/>
    <w:rsid w:val="00337AA8"/>
    <w:rsid w:val="00343130"/>
    <w:rsid w:val="0034534E"/>
    <w:rsid w:val="003456AC"/>
    <w:rsid w:val="00350335"/>
    <w:rsid w:val="003503C4"/>
    <w:rsid w:val="00351488"/>
    <w:rsid w:val="003533E9"/>
    <w:rsid w:val="0035431C"/>
    <w:rsid w:val="003574E2"/>
    <w:rsid w:val="00361486"/>
    <w:rsid w:val="00363462"/>
    <w:rsid w:val="0036352D"/>
    <w:rsid w:val="0036645C"/>
    <w:rsid w:val="00367001"/>
    <w:rsid w:val="00375FB4"/>
    <w:rsid w:val="0038085D"/>
    <w:rsid w:val="00382E82"/>
    <w:rsid w:val="00383C8D"/>
    <w:rsid w:val="0038493B"/>
    <w:rsid w:val="00387200"/>
    <w:rsid w:val="003873F3"/>
    <w:rsid w:val="003926E8"/>
    <w:rsid w:val="00393AE5"/>
    <w:rsid w:val="003963FB"/>
    <w:rsid w:val="003A05B7"/>
    <w:rsid w:val="003A2694"/>
    <w:rsid w:val="003A5BA7"/>
    <w:rsid w:val="003A618C"/>
    <w:rsid w:val="003A7013"/>
    <w:rsid w:val="003B079C"/>
    <w:rsid w:val="003B18C7"/>
    <w:rsid w:val="003B4C22"/>
    <w:rsid w:val="003C2E49"/>
    <w:rsid w:val="003C38F5"/>
    <w:rsid w:val="003C61B3"/>
    <w:rsid w:val="003C7F59"/>
    <w:rsid w:val="003D358E"/>
    <w:rsid w:val="003D3847"/>
    <w:rsid w:val="003D6019"/>
    <w:rsid w:val="003D61CE"/>
    <w:rsid w:val="003D6D70"/>
    <w:rsid w:val="003D6E56"/>
    <w:rsid w:val="003E0584"/>
    <w:rsid w:val="003E1BEB"/>
    <w:rsid w:val="003E1FD8"/>
    <w:rsid w:val="003E2037"/>
    <w:rsid w:val="003E405E"/>
    <w:rsid w:val="003E709A"/>
    <w:rsid w:val="003E71F4"/>
    <w:rsid w:val="003F7197"/>
    <w:rsid w:val="003F7CA5"/>
    <w:rsid w:val="00401C80"/>
    <w:rsid w:val="004047E9"/>
    <w:rsid w:val="0040664E"/>
    <w:rsid w:val="004118E6"/>
    <w:rsid w:val="00412C57"/>
    <w:rsid w:val="004146AD"/>
    <w:rsid w:val="0041518A"/>
    <w:rsid w:val="00415B5F"/>
    <w:rsid w:val="00415D00"/>
    <w:rsid w:val="00420265"/>
    <w:rsid w:val="00420A2B"/>
    <w:rsid w:val="004211FC"/>
    <w:rsid w:val="0042143F"/>
    <w:rsid w:val="00423E2E"/>
    <w:rsid w:val="00427202"/>
    <w:rsid w:val="00432B7B"/>
    <w:rsid w:val="00441859"/>
    <w:rsid w:val="00444447"/>
    <w:rsid w:val="00447719"/>
    <w:rsid w:val="004506ED"/>
    <w:rsid w:val="00452497"/>
    <w:rsid w:val="00452786"/>
    <w:rsid w:val="004566DD"/>
    <w:rsid w:val="00456CB8"/>
    <w:rsid w:val="00462322"/>
    <w:rsid w:val="00464E9B"/>
    <w:rsid w:val="00464F09"/>
    <w:rsid w:val="004700A6"/>
    <w:rsid w:val="00470F6D"/>
    <w:rsid w:val="00471152"/>
    <w:rsid w:val="00471350"/>
    <w:rsid w:val="00472F1E"/>
    <w:rsid w:val="004744FA"/>
    <w:rsid w:val="00474A3F"/>
    <w:rsid w:val="0047521D"/>
    <w:rsid w:val="00475F92"/>
    <w:rsid w:val="00476D40"/>
    <w:rsid w:val="004770AB"/>
    <w:rsid w:val="004812B4"/>
    <w:rsid w:val="00483A88"/>
    <w:rsid w:val="004843DD"/>
    <w:rsid w:val="004857DE"/>
    <w:rsid w:val="00486AA9"/>
    <w:rsid w:val="00487537"/>
    <w:rsid w:val="00491BAA"/>
    <w:rsid w:val="00492CE1"/>
    <w:rsid w:val="00494C21"/>
    <w:rsid w:val="004A39D0"/>
    <w:rsid w:val="004A3A59"/>
    <w:rsid w:val="004B092D"/>
    <w:rsid w:val="004B4688"/>
    <w:rsid w:val="004B4795"/>
    <w:rsid w:val="004B542F"/>
    <w:rsid w:val="004B7196"/>
    <w:rsid w:val="004C0C8D"/>
    <w:rsid w:val="004C1535"/>
    <w:rsid w:val="004C1568"/>
    <w:rsid w:val="004C1A3A"/>
    <w:rsid w:val="004C43B8"/>
    <w:rsid w:val="004D31B7"/>
    <w:rsid w:val="004D46EB"/>
    <w:rsid w:val="004D7423"/>
    <w:rsid w:val="004D7A05"/>
    <w:rsid w:val="004E2A16"/>
    <w:rsid w:val="004E33EA"/>
    <w:rsid w:val="004E74F8"/>
    <w:rsid w:val="004F0C1E"/>
    <w:rsid w:val="004F3035"/>
    <w:rsid w:val="004F3DD8"/>
    <w:rsid w:val="004F6DEE"/>
    <w:rsid w:val="00505D4A"/>
    <w:rsid w:val="00506296"/>
    <w:rsid w:val="005068E7"/>
    <w:rsid w:val="00510022"/>
    <w:rsid w:val="00514CAD"/>
    <w:rsid w:val="005216BB"/>
    <w:rsid w:val="005221A1"/>
    <w:rsid w:val="005224BE"/>
    <w:rsid w:val="005263B5"/>
    <w:rsid w:val="00527DB9"/>
    <w:rsid w:val="0053080A"/>
    <w:rsid w:val="00540D18"/>
    <w:rsid w:val="00541E6A"/>
    <w:rsid w:val="005477FF"/>
    <w:rsid w:val="005516B2"/>
    <w:rsid w:val="005560F6"/>
    <w:rsid w:val="00557DB4"/>
    <w:rsid w:val="00562A4A"/>
    <w:rsid w:val="00563E0A"/>
    <w:rsid w:val="00566FB2"/>
    <w:rsid w:val="00574091"/>
    <w:rsid w:val="00576622"/>
    <w:rsid w:val="00576656"/>
    <w:rsid w:val="00580720"/>
    <w:rsid w:val="00580C4D"/>
    <w:rsid w:val="00591D52"/>
    <w:rsid w:val="005936A2"/>
    <w:rsid w:val="00596296"/>
    <w:rsid w:val="00596B6B"/>
    <w:rsid w:val="005A0F1C"/>
    <w:rsid w:val="005A3835"/>
    <w:rsid w:val="005B0A27"/>
    <w:rsid w:val="005B0C8B"/>
    <w:rsid w:val="005B2D77"/>
    <w:rsid w:val="005B4078"/>
    <w:rsid w:val="005B47D0"/>
    <w:rsid w:val="005B6B7B"/>
    <w:rsid w:val="005B7816"/>
    <w:rsid w:val="005B7D81"/>
    <w:rsid w:val="005C02AD"/>
    <w:rsid w:val="005C177A"/>
    <w:rsid w:val="005C1E9B"/>
    <w:rsid w:val="005C3038"/>
    <w:rsid w:val="005C4835"/>
    <w:rsid w:val="005C54FA"/>
    <w:rsid w:val="005C5A67"/>
    <w:rsid w:val="005C72F4"/>
    <w:rsid w:val="005C73D9"/>
    <w:rsid w:val="005C7481"/>
    <w:rsid w:val="005C7ABB"/>
    <w:rsid w:val="005C7BB4"/>
    <w:rsid w:val="005D54AD"/>
    <w:rsid w:val="005E09A7"/>
    <w:rsid w:val="005E3B7E"/>
    <w:rsid w:val="005E7450"/>
    <w:rsid w:val="005F42BD"/>
    <w:rsid w:val="00601BDF"/>
    <w:rsid w:val="006031BE"/>
    <w:rsid w:val="0060456E"/>
    <w:rsid w:val="0060475F"/>
    <w:rsid w:val="00604E4A"/>
    <w:rsid w:val="00605312"/>
    <w:rsid w:val="00606A99"/>
    <w:rsid w:val="00613555"/>
    <w:rsid w:val="00615AD3"/>
    <w:rsid w:val="00621848"/>
    <w:rsid w:val="0062373E"/>
    <w:rsid w:val="00623ADC"/>
    <w:rsid w:val="00623B05"/>
    <w:rsid w:val="00623F58"/>
    <w:rsid w:val="006260A4"/>
    <w:rsid w:val="006275DF"/>
    <w:rsid w:val="00630173"/>
    <w:rsid w:val="0063039F"/>
    <w:rsid w:val="00635489"/>
    <w:rsid w:val="00636B27"/>
    <w:rsid w:val="00640CAA"/>
    <w:rsid w:val="006416BA"/>
    <w:rsid w:val="00641E64"/>
    <w:rsid w:val="00646EAA"/>
    <w:rsid w:val="00647F72"/>
    <w:rsid w:val="00650852"/>
    <w:rsid w:val="00651FE6"/>
    <w:rsid w:val="0065406D"/>
    <w:rsid w:val="00656833"/>
    <w:rsid w:val="00657D1F"/>
    <w:rsid w:val="006623A1"/>
    <w:rsid w:val="006645CB"/>
    <w:rsid w:val="0066488E"/>
    <w:rsid w:val="00664E9A"/>
    <w:rsid w:val="00665A05"/>
    <w:rsid w:val="00667387"/>
    <w:rsid w:val="006678F4"/>
    <w:rsid w:val="00670A97"/>
    <w:rsid w:val="00673967"/>
    <w:rsid w:val="00673D56"/>
    <w:rsid w:val="00682DB9"/>
    <w:rsid w:val="00683D5B"/>
    <w:rsid w:val="00684F45"/>
    <w:rsid w:val="00686D78"/>
    <w:rsid w:val="0069087B"/>
    <w:rsid w:val="00692AE9"/>
    <w:rsid w:val="00694B6D"/>
    <w:rsid w:val="006952B2"/>
    <w:rsid w:val="00696930"/>
    <w:rsid w:val="006A1717"/>
    <w:rsid w:val="006A54A9"/>
    <w:rsid w:val="006A5BFC"/>
    <w:rsid w:val="006B09ED"/>
    <w:rsid w:val="006B13AD"/>
    <w:rsid w:val="006B290D"/>
    <w:rsid w:val="006B3E63"/>
    <w:rsid w:val="006C046F"/>
    <w:rsid w:val="006C20C0"/>
    <w:rsid w:val="006C4D9A"/>
    <w:rsid w:val="006C5577"/>
    <w:rsid w:val="006C55C7"/>
    <w:rsid w:val="006D0C63"/>
    <w:rsid w:val="006D1266"/>
    <w:rsid w:val="006D13FF"/>
    <w:rsid w:val="006D4B62"/>
    <w:rsid w:val="006D5330"/>
    <w:rsid w:val="006E0E9C"/>
    <w:rsid w:val="006E1456"/>
    <w:rsid w:val="006E359A"/>
    <w:rsid w:val="006E5891"/>
    <w:rsid w:val="006E6449"/>
    <w:rsid w:val="006E6667"/>
    <w:rsid w:val="006F7FE8"/>
    <w:rsid w:val="007005D5"/>
    <w:rsid w:val="00700FE9"/>
    <w:rsid w:val="00701F8D"/>
    <w:rsid w:val="00702C7C"/>
    <w:rsid w:val="007036F8"/>
    <w:rsid w:val="00707316"/>
    <w:rsid w:val="007073F9"/>
    <w:rsid w:val="00707487"/>
    <w:rsid w:val="0071135A"/>
    <w:rsid w:val="007143F4"/>
    <w:rsid w:val="007151E7"/>
    <w:rsid w:val="00715C1F"/>
    <w:rsid w:val="00716C23"/>
    <w:rsid w:val="007174C4"/>
    <w:rsid w:val="00721853"/>
    <w:rsid w:val="007275E7"/>
    <w:rsid w:val="007308FC"/>
    <w:rsid w:val="00730FED"/>
    <w:rsid w:val="00735BF0"/>
    <w:rsid w:val="007366CB"/>
    <w:rsid w:val="00736F02"/>
    <w:rsid w:val="00742589"/>
    <w:rsid w:val="007431A7"/>
    <w:rsid w:val="0074470B"/>
    <w:rsid w:val="00746676"/>
    <w:rsid w:val="00746866"/>
    <w:rsid w:val="007502A4"/>
    <w:rsid w:val="0075040C"/>
    <w:rsid w:val="00750B23"/>
    <w:rsid w:val="00751DFA"/>
    <w:rsid w:val="00753CB7"/>
    <w:rsid w:val="00757445"/>
    <w:rsid w:val="00761F7A"/>
    <w:rsid w:val="00762E2F"/>
    <w:rsid w:val="00763C2D"/>
    <w:rsid w:val="00764FC0"/>
    <w:rsid w:val="007677DB"/>
    <w:rsid w:val="00767A51"/>
    <w:rsid w:val="007713D9"/>
    <w:rsid w:val="00774927"/>
    <w:rsid w:val="007808CB"/>
    <w:rsid w:val="00780B70"/>
    <w:rsid w:val="00781292"/>
    <w:rsid w:val="007858EF"/>
    <w:rsid w:val="00786FBC"/>
    <w:rsid w:val="00792D10"/>
    <w:rsid w:val="0079474C"/>
    <w:rsid w:val="00795CE8"/>
    <w:rsid w:val="007A0E4C"/>
    <w:rsid w:val="007A3AA0"/>
    <w:rsid w:val="007A423F"/>
    <w:rsid w:val="007A6AD8"/>
    <w:rsid w:val="007A6C72"/>
    <w:rsid w:val="007A6DD7"/>
    <w:rsid w:val="007A6E3B"/>
    <w:rsid w:val="007A7B42"/>
    <w:rsid w:val="007B11B8"/>
    <w:rsid w:val="007B20F9"/>
    <w:rsid w:val="007B5834"/>
    <w:rsid w:val="007B6CD5"/>
    <w:rsid w:val="007C3B55"/>
    <w:rsid w:val="007D2B6D"/>
    <w:rsid w:val="007D363C"/>
    <w:rsid w:val="007E08E8"/>
    <w:rsid w:val="007E39D1"/>
    <w:rsid w:val="007E4861"/>
    <w:rsid w:val="007F1751"/>
    <w:rsid w:val="007F1EAC"/>
    <w:rsid w:val="007F317D"/>
    <w:rsid w:val="007F455F"/>
    <w:rsid w:val="007F60C0"/>
    <w:rsid w:val="00801842"/>
    <w:rsid w:val="0080226D"/>
    <w:rsid w:val="008058EC"/>
    <w:rsid w:val="008065FF"/>
    <w:rsid w:val="00806842"/>
    <w:rsid w:val="0080693E"/>
    <w:rsid w:val="0080717E"/>
    <w:rsid w:val="008122DB"/>
    <w:rsid w:val="008145E7"/>
    <w:rsid w:val="00814E5E"/>
    <w:rsid w:val="00815EAE"/>
    <w:rsid w:val="008207DE"/>
    <w:rsid w:val="0082253E"/>
    <w:rsid w:val="008229FA"/>
    <w:rsid w:val="008245D8"/>
    <w:rsid w:val="00824C39"/>
    <w:rsid w:val="00826811"/>
    <w:rsid w:val="008301FE"/>
    <w:rsid w:val="00831638"/>
    <w:rsid w:val="008316A7"/>
    <w:rsid w:val="00832A8E"/>
    <w:rsid w:val="00832B00"/>
    <w:rsid w:val="00836706"/>
    <w:rsid w:val="00842D12"/>
    <w:rsid w:val="008459B5"/>
    <w:rsid w:val="00845CBC"/>
    <w:rsid w:val="00847E1E"/>
    <w:rsid w:val="00850A62"/>
    <w:rsid w:val="0085215E"/>
    <w:rsid w:val="0085274A"/>
    <w:rsid w:val="00853AF0"/>
    <w:rsid w:val="00853C84"/>
    <w:rsid w:val="0085441E"/>
    <w:rsid w:val="008568B5"/>
    <w:rsid w:val="00861BD7"/>
    <w:rsid w:val="00862D96"/>
    <w:rsid w:val="008635EF"/>
    <w:rsid w:val="00864190"/>
    <w:rsid w:val="008659EA"/>
    <w:rsid w:val="00870966"/>
    <w:rsid w:val="00870BE2"/>
    <w:rsid w:val="00872D2D"/>
    <w:rsid w:val="00872F85"/>
    <w:rsid w:val="00873073"/>
    <w:rsid w:val="00874082"/>
    <w:rsid w:val="008810EA"/>
    <w:rsid w:val="00881A9D"/>
    <w:rsid w:val="00883858"/>
    <w:rsid w:val="008855D2"/>
    <w:rsid w:val="00886996"/>
    <w:rsid w:val="00886C48"/>
    <w:rsid w:val="00887EA7"/>
    <w:rsid w:val="00892B3E"/>
    <w:rsid w:val="00893423"/>
    <w:rsid w:val="00896522"/>
    <w:rsid w:val="008A11D7"/>
    <w:rsid w:val="008A3BAE"/>
    <w:rsid w:val="008A3DE0"/>
    <w:rsid w:val="008A4063"/>
    <w:rsid w:val="008A4BAE"/>
    <w:rsid w:val="008A5751"/>
    <w:rsid w:val="008A6A43"/>
    <w:rsid w:val="008A7EF2"/>
    <w:rsid w:val="008A7F92"/>
    <w:rsid w:val="008B1AFF"/>
    <w:rsid w:val="008B2F53"/>
    <w:rsid w:val="008B542B"/>
    <w:rsid w:val="008B5BF5"/>
    <w:rsid w:val="008B6360"/>
    <w:rsid w:val="008C0245"/>
    <w:rsid w:val="008C3154"/>
    <w:rsid w:val="008C32BE"/>
    <w:rsid w:val="008C3392"/>
    <w:rsid w:val="008C5CD6"/>
    <w:rsid w:val="008C78AD"/>
    <w:rsid w:val="008C78B6"/>
    <w:rsid w:val="008D3CDD"/>
    <w:rsid w:val="008D4748"/>
    <w:rsid w:val="008D49E1"/>
    <w:rsid w:val="008D5915"/>
    <w:rsid w:val="008D6189"/>
    <w:rsid w:val="008E1411"/>
    <w:rsid w:val="008E1894"/>
    <w:rsid w:val="008E2DE4"/>
    <w:rsid w:val="008E2EB1"/>
    <w:rsid w:val="008E57B7"/>
    <w:rsid w:val="008F5D43"/>
    <w:rsid w:val="008F5D82"/>
    <w:rsid w:val="008F6404"/>
    <w:rsid w:val="008F6805"/>
    <w:rsid w:val="009017F5"/>
    <w:rsid w:val="0090217F"/>
    <w:rsid w:val="0090637D"/>
    <w:rsid w:val="00907445"/>
    <w:rsid w:val="00910A57"/>
    <w:rsid w:val="00911134"/>
    <w:rsid w:val="00912F00"/>
    <w:rsid w:val="009137D3"/>
    <w:rsid w:val="009158F3"/>
    <w:rsid w:val="00923103"/>
    <w:rsid w:val="009237A9"/>
    <w:rsid w:val="009246A6"/>
    <w:rsid w:val="0092595A"/>
    <w:rsid w:val="009263C1"/>
    <w:rsid w:val="00927233"/>
    <w:rsid w:val="00933C86"/>
    <w:rsid w:val="00935A6B"/>
    <w:rsid w:val="009376B8"/>
    <w:rsid w:val="00940EB3"/>
    <w:rsid w:val="00943020"/>
    <w:rsid w:val="00943A17"/>
    <w:rsid w:val="009468DB"/>
    <w:rsid w:val="00947DF3"/>
    <w:rsid w:val="00950AC5"/>
    <w:rsid w:val="00951D42"/>
    <w:rsid w:val="0095246F"/>
    <w:rsid w:val="00955532"/>
    <w:rsid w:val="0095767F"/>
    <w:rsid w:val="00957835"/>
    <w:rsid w:val="00957FC3"/>
    <w:rsid w:val="00964928"/>
    <w:rsid w:val="009650AF"/>
    <w:rsid w:val="009673DD"/>
    <w:rsid w:val="009700B0"/>
    <w:rsid w:val="00971685"/>
    <w:rsid w:val="009723ED"/>
    <w:rsid w:val="00972AED"/>
    <w:rsid w:val="009738D1"/>
    <w:rsid w:val="00974C57"/>
    <w:rsid w:val="00976B74"/>
    <w:rsid w:val="00980E01"/>
    <w:rsid w:val="0098277B"/>
    <w:rsid w:val="00991DA1"/>
    <w:rsid w:val="00992128"/>
    <w:rsid w:val="00993E72"/>
    <w:rsid w:val="00995AFD"/>
    <w:rsid w:val="009A186A"/>
    <w:rsid w:val="009A1B54"/>
    <w:rsid w:val="009A210A"/>
    <w:rsid w:val="009A30FD"/>
    <w:rsid w:val="009A4B34"/>
    <w:rsid w:val="009A71C7"/>
    <w:rsid w:val="009B0539"/>
    <w:rsid w:val="009B0CB2"/>
    <w:rsid w:val="009B1424"/>
    <w:rsid w:val="009B142B"/>
    <w:rsid w:val="009B2209"/>
    <w:rsid w:val="009B2EF9"/>
    <w:rsid w:val="009B4585"/>
    <w:rsid w:val="009B5670"/>
    <w:rsid w:val="009B5A74"/>
    <w:rsid w:val="009C122E"/>
    <w:rsid w:val="009C49A5"/>
    <w:rsid w:val="009C6CEE"/>
    <w:rsid w:val="009C77A4"/>
    <w:rsid w:val="009D2069"/>
    <w:rsid w:val="009D45C6"/>
    <w:rsid w:val="009D4D2C"/>
    <w:rsid w:val="009E21A8"/>
    <w:rsid w:val="009E4255"/>
    <w:rsid w:val="009F2E6D"/>
    <w:rsid w:val="009F3EA3"/>
    <w:rsid w:val="009F5ECB"/>
    <w:rsid w:val="00A009DD"/>
    <w:rsid w:val="00A01565"/>
    <w:rsid w:val="00A10740"/>
    <w:rsid w:val="00A10C89"/>
    <w:rsid w:val="00A11A1F"/>
    <w:rsid w:val="00A1230A"/>
    <w:rsid w:val="00A12DDB"/>
    <w:rsid w:val="00A14CEA"/>
    <w:rsid w:val="00A15773"/>
    <w:rsid w:val="00A15FE8"/>
    <w:rsid w:val="00A2082C"/>
    <w:rsid w:val="00A22A82"/>
    <w:rsid w:val="00A24FCC"/>
    <w:rsid w:val="00A25108"/>
    <w:rsid w:val="00A254B3"/>
    <w:rsid w:val="00A324B0"/>
    <w:rsid w:val="00A42937"/>
    <w:rsid w:val="00A42C40"/>
    <w:rsid w:val="00A470BB"/>
    <w:rsid w:val="00A5111A"/>
    <w:rsid w:val="00A542EE"/>
    <w:rsid w:val="00A54D8D"/>
    <w:rsid w:val="00A56C82"/>
    <w:rsid w:val="00A572E4"/>
    <w:rsid w:val="00A6025B"/>
    <w:rsid w:val="00A651CC"/>
    <w:rsid w:val="00A658A3"/>
    <w:rsid w:val="00A70103"/>
    <w:rsid w:val="00A75DF3"/>
    <w:rsid w:val="00A76890"/>
    <w:rsid w:val="00A800B2"/>
    <w:rsid w:val="00A8058A"/>
    <w:rsid w:val="00A82640"/>
    <w:rsid w:val="00A84BC5"/>
    <w:rsid w:val="00A84E5F"/>
    <w:rsid w:val="00A86861"/>
    <w:rsid w:val="00A936FF"/>
    <w:rsid w:val="00A94C4E"/>
    <w:rsid w:val="00A95726"/>
    <w:rsid w:val="00A96EB6"/>
    <w:rsid w:val="00AA1F4F"/>
    <w:rsid w:val="00AA3347"/>
    <w:rsid w:val="00AB0D58"/>
    <w:rsid w:val="00AB2BA9"/>
    <w:rsid w:val="00AB2C5B"/>
    <w:rsid w:val="00AB2D76"/>
    <w:rsid w:val="00AB6CC4"/>
    <w:rsid w:val="00AB7C73"/>
    <w:rsid w:val="00AC0CF9"/>
    <w:rsid w:val="00AC4140"/>
    <w:rsid w:val="00AC600D"/>
    <w:rsid w:val="00AC67CA"/>
    <w:rsid w:val="00AC7043"/>
    <w:rsid w:val="00AD0A2B"/>
    <w:rsid w:val="00AD406E"/>
    <w:rsid w:val="00AD7251"/>
    <w:rsid w:val="00AD7324"/>
    <w:rsid w:val="00AD7A64"/>
    <w:rsid w:val="00AE2712"/>
    <w:rsid w:val="00AE3869"/>
    <w:rsid w:val="00AE798C"/>
    <w:rsid w:val="00AF2F54"/>
    <w:rsid w:val="00AF7294"/>
    <w:rsid w:val="00AF77AD"/>
    <w:rsid w:val="00B01883"/>
    <w:rsid w:val="00B0366D"/>
    <w:rsid w:val="00B03D62"/>
    <w:rsid w:val="00B04C42"/>
    <w:rsid w:val="00B06EFF"/>
    <w:rsid w:val="00B0799E"/>
    <w:rsid w:val="00B121D5"/>
    <w:rsid w:val="00B147BF"/>
    <w:rsid w:val="00B1554F"/>
    <w:rsid w:val="00B1776A"/>
    <w:rsid w:val="00B201A0"/>
    <w:rsid w:val="00B207AF"/>
    <w:rsid w:val="00B24A52"/>
    <w:rsid w:val="00B2660C"/>
    <w:rsid w:val="00B3011B"/>
    <w:rsid w:val="00B302C5"/>
    <w:rsid w:val="00B313C5"/>
    <w:rsid w:val="00B3147F"/>
    <w:rsid w:val="00B33686"/>
    <w:rsid w:val="00B34321"/>
    <w:rsid w:val="00B35543"/>
    <w:rsid w:val="00B36CAF"/>
    <w:rsid w:val="00B400E1"/>
    <w:rsid w:val="00B40AC1"/>
    <w:rsid w:val="00B40D7F"/>
    <w:rsid w:val="00B4101C"/>
    <w:rsid w:val="00B42FBA"/>
    <w:rsid w:val="00B4539F"/>
    <w:rsid w:val="00B47BA9"/>
    <w:rsid w:val="00B514D0"/>
    <w:rsid w:val="00B52E8C"/>
    <w:rsid w:val="00B53726"/>
    <w:rsid w:val="00B54338"/>
    <w:rsid w:val="00B63E8C"/>
    <w:rsid w:val="00B647D3"/>
    <w:rsid w:val="00B647EE"/>
    <w:rsid w:val="00B723C0"/>
    <w:rsid w:val="00B759B1"/>
    <w:rsid w:val="00B77D68"/>
    <w:rsid w:val="00B80D55"/>
    <w:rsid w:val="00B846B0"/>
    <w:rsid w:val="00B8651D"/>
    <w:rsid w:val="00B875F4"/>
    <w:rsid w:val="00B920ED"/>
    <w:rsid w:val="00B92120"/>
    <w:rsid w:val="00B93DC4"/>
    <w:rsid w:val="00BA3E9E"/>
    <w:rsid w:val="00BA6D51"/>
    <w:rsid w:val="00BA70BF"/>
    <w:rsid w:val="00BA76D2"/>
    <w:rsid w:val="00BC0564"/>
    <w:rsid w:val="00BC0B3F"/>
    <w:rsid w:val="00BC6B39"/>
    <w:rsid w:val="00BD1B43"/>
    <w:rsid w:val="00BD4639"/>
    <w:rsid w:val="00BE0BA6"/>
    <w:rsid w:val="00BE19B6"/>
    <w:rsid w:val="00BE48E9"/>
    <w:rsid w:val="00BE7E01"/>
    <w:rsid w:val="00BF0364"/>
    <w:rsid w:val="00BF0BE2"/>
    <w:rsid w:val="00BF123C"/>
    <w:rsid w:val="00BF2230"/>
    <w:rsid w:val="00BF2B47"/>
    <w:rsid w:val="00BF3844"/>
    <w:rsid w:val="00BF47B5"/>
    <w:rsid w:val="00BF49D8"/>
    <w:rsid w:val="00BF59EE"/>
    <w:rsid w:val="00BF7B56"/>
    <w:rsid w:val="00C00958"/>
    <w:rsid w:val="00C054E6"/>
    <w:rsid w:val="00C0552D"/>
    <w:rsid w:val="00C059C0"/>
    <w:rsid w:val="00C05EE5"/>
    <w:rsid w:val="00C06B6F"/>
    <w:rsid w:val="00C13765"/>
    <w:rsid w:val="00C216E5"/>
    <w:rsid w:val="00C2202D"/>
    <w:rsid w:val="00C223F1"/>
    <w:rsid w:val="00C24BB4"/>
    <w:rsid w:val="00C257A0"/>
    <w:rsid w:val="00C260CD"/>
    <w:rsid w:val="00C2643C"/>
    <w:rsid w:val="00C3191C"/>
    <w:rsid w:val="00C31DDD"/>
    <w:rsid w:val="00C34348"/>
    <w:rsid w:val="00C368C4"/>
    <w:rsid w:val="00C40326"/>
    <w:rsid w:val="00C40832"/>
    <w:rsid w:val="00C446EF"/>
    <w:rsid w:val="00C44843"/>
    <w:rsid w:val="00C464F1"/>
    <w:rsid w:val="00C47122"/>
    <w:rsid w:val="00C50340"/>
    <w:rsid w:val="00C519B7"/>
    <w:rsid w:val="00C557F0"/>
    <w:rsid w:val="00C57117"/>
    <w:rsid w:val="00C63B35"/>
    <w:rsid w:val="00C64EE7"/>
    <w:rsid w:val="00C658FB"/>
    <w:rsid w:val="00C661C9"/>
    <w:rsid w:val="00C6660F"/>
    <w:rsid w:val="00C670C2"/>
    <w:rsid w:val="00C67BD0"/>
    <w:rsid w:val="00C70471"/>
    <w:rsid w:val="00C70C38"/>
    <w:rsid w:val="00C70D4B"/>
    <w:rsid w:val="00C71E92"/>
    <w:rsid w:val="00C7365D"/>
    <w:rsid w:val="00C76794"/>
    <w:rsid w:val="00C76FC9"/>
    <w:rsid w:val="00C812EE"/>
    <w:rsid w:val="00C82A00"/>
    <w:rsid w:val="00C8689A"/>
    <w:rsid w:val="00C90320"/>
    <w:rsid w:val="00C90488"/>
    <w:rsid w:val="00C9091E"/>
    <w:rsid w:val="00C90A69"/>
    <w:rsid w:val="00C91493"/>
    <w:rsid w:val="00CA0267"/>
    <w:rsid w:val="00CA18B8"/>
    <w:rsid w:val="00CA559A"/>
    <w:rsid w:val="00CA7E4B"/>
    <w:rsid w:val="00CB15A9"/>
    <w:rsid w:val="00CB1889"/>
    <w:rsid w:val="00CB1E90"/>
    <w:rsid w:val="00CB4B24"/>
    <w:rsid w:val="00CB67BA"/>
    <w:rsid w:val="00CC137C"/>
    <w:rsid w:val="00CC2389"/>
    <w:rsid w:val="00CC44F8"/>
    <w:rsid w:val="00CC65F6"/>
    <w:rsid w:val="00CC79F9"/>
    <w:rsid w:val="00CD08FA"/>
    <w:rsid w:val="00CD26D9"/>
    <w:rsid w:val="00CD4F37"/>
    <w:rsid w:val="00CD6B3E"/>
    <w:rsid w:val="00CD6D50"/>
    <w:rsid w:val="00CD75FD"/>
    <w:rsid w:val="00CD76EE"/>
    <w:rsid w:val="00CE2AA6"/>
    <w:rsid w:val="00CE49CE"/>
    <w:rsid w:val="00CE75F3"/>
    <w:rsid w:val="00CF034C"/>
    <w:rsid w:val="00CF382D"/>
    <w:rsid w:val="00CF4655"/>
    <w:rsid w:val="00CF6AD0"/>
    <w:rsid w:val="00D0000F"/>
    <w:rsid w:val="00D0252F"/>
    <w:rsid w:val="00D02E98"/>
    <w:rsid w:val="00D04782"/>
    <w:rsid w:val="00D05991"/>
    <w:rsid w:val="00D07695"/>
    <w:rsid w:val="00D13964"/>
    <w:rsid w:val="00D15D8B"/>
    <w:rsid w:val="00D162DF"/>
    <w:rsid w:val="00D20105"/>
    <w:rsid w:val="00D204AD"/>
    <w:rsid w:val="00D2057A"/>
    <w:rsid w:val="00D30754"/>
    <w:rsid w:val="00D31578"/>
    <w:rsid w:val="00D3171C"/>
    <w:rsid w:val="00D31BEE"/>
    <w:rsid w:val="00D31C55"/>
    <w:rsid w:val="00D329D8"/>
    <w:rsid w:val="00D32A02"/>
    <w:rsid w:val="00D33909"/>
    <w:rsid w:val="00D35527"/>
    <w:rsid w:val="00D37857"/>
    <w:rsid w:val="00D40544"/>
    <w:rsid w:val="00D446A7"/>
    <w:rsid w:val="00D55E03"/>
    <w:rsid w:val="00D56123"/>
    <w:rsid w:val="00D56354"/>
    <w:rsid w:val="00D56A34"/>
    <w:rsid w:val="00D57391"/>
    <w:rsid w:val="00D724C5"/>
    <w:rsid w:val="00D72F6B"/>
    <w:rsid w:val="00D73846"/>
    <w:rsid w:val="00D74622"/>
    <w:rsid w:val="00D747A2"/>
    <w:rsid w:val="00D76693"/>
    <w:rsid w:val="00D77A2B"/>
    <w:rsid w:val="00D8040C"/>
    <w:rsid w:val="00D8191A"/>
    <w:rsid w:val="00D81BA4"/>
    <w:rsid w:val="00D860F2"/>
    <w:rsid w:val="00D875B7"/>
    <w:rsid w:val="00D91715"/>
    <w:rsid w:val="00D9498B"/>
    <w:rsid w:val="00D95C1F"/>
    <w:rsid w:val="00D960F2"/>
    <w:rsid w:val="00D96BEF"/>
    <w:rsid w:val="00DA082C"/>
    <w:rsid w:val="00DA0CCA"/>
    <w:rsid w:val="00DA23DB"/>
    <w:rsid w:val="00DB0EA3"/>
    <w:rsid w:val="00DB70CF"/>
    <w:rsid w:val="00DC12CC"/>
    <w:rsid w:val="00DC4358"/>
    <w:rsid w:val="00DD3159"/>
    <w:rsid w:val="00DD3758"/>
    <w:rsid w:val="00DD627B"/>
    <w:rsid w:val="00DD627E"/>
    <w:rsid w:val="00DE06F5"/>
    <w:rsid w:val="00DE2587"/>
    <w:rsid w:val="00DE26EA"/>
    <w:rsid w:val="00DE35C1"/>
    <w:rsid w:val="00DE3869"/>
    <w:rsid w:val="00DE7D85"/>
    <w:rsid w:val="00DF25F4"/>
    <w:rsid w:val="00DF2BA0"/>
    <w:rsid w:val="00DF35AB"/>
    <w:rsid w:val="00DF3B74"/>
    <w:rsid w:val="00DF5407"/>
    <w:rsid w:val="00E058DD"/>
    <w:rsid w:val="00E0697A"/>
    <w:rsid w:val="00E07AF0"/>
    <w:rsid w:val="00E1003A"/>
    <w:rsid w:val="00E109AA"/>
    <w:rsid w:val="00E12220"/>
    <w:rsid w:val="00E12442"/>
    <w:rsid w:val="00E1364A"/>
    <w:rsid w:val="00E14FE0"/>
    <w:rsid w:val="00E16F44"/>
    <w:rsid w:val="00E217C8"/>
    <w:rsid w:val="00E25053"/>
    <w:rsid w:val="00E25171"/>
    <w:rsid w:val="00E31E65"/>
    <w:rsid w:val="00E341C4"/>
    <w:rsid w:val="00E34AE4"/>
    <w:rsid w:val="00E35397"/>
    <w:rsid w:val="00E37552"/>
    <w:rsid w:val="00E40B4D"/>
    <w:rsid w:val="00E44F85"/>
    <w:rsid w:val="00E4575C"/>
    <w:rsid w:val="00E45A6B"/>
    <w:rsid w:val="00E46CAB"/>
    <w:rsid w:val="00E479D8"/>
    <w:rsid w:val="00E500F0"/>
    <w:rsid w:val="00E50AEA"/>
    <w:rsid w:val="00E52DA1"/>
    <w:rsid w:val="00E572F5"/>
    <w:rsid w:val="00E57A55"/>
    <w:rsid w:val="00E612A7"/>
    <w:rsid w:val="00E639F1"/>
    <w:rsid w:val="00E64E35"/>
    <w:rsid w:val="00E652C3"/>
    <w:rsid w:val="00E71820"/>
    <w:rsid w:val="00E73EC2"/>
    <w:rsid w:val="00E809A7"/>
    <w:rsid w:val="00E83D8D"/>
    <w:rsid w:val="00E854BA"/>
    <w:rsid w:val="00E90072"/>
    <w:rsid w:val="00E91E8E"/>
    <w:rsid w:val="00E92FD7"/>
    <w:rsid w:val="00E931C7"/>
    <w:rsid w:val="00E93874"/>
    <w:rsid w:val="00E97761"/>
    <w:rsid w:val="00EA374E"/>
    <w:rsid w:val="00EA4C0E"/>
    <w:rsid w:val="00EA7CA6"/>
    <w:rsid w:val="00EB1932"/>
    <w:rsid w:val="00EB28FE"/>
    <w:rsid w:val="00EB46D5"/>
    <w:rsid w:val="00EB47AD"/>
    <w:rsid w:val="00EB48D6"/>
    <w:rsid w:val="00EB68FE"/>
    <w:rsid w:val="00EC3076"/>
    <w:rsid w:val="00EC33C6"/>
    <w:rsid w:val="00EC442A"/>
    <w:rsid w:val="00EC5089"/>
    <w:rsid w:val="00EC6435"/>
    <w:rsid w:val="00EC7BBD"/>
    <w:rsid w:val="00ED16F8"/>
    <w:rsid w:val="00ED24D5"/>
    <w:rsid w:val="00ED3D77"/>
    <w:rsid w:val="00ED4E60"/>
    <w:rsid w:val="00ED7701"/>
    <w:rsid w:val="00EE0359"/>
    <w:rsid w:val="00EE3CD3"/>
    <w:rsid w:val="00EE5933"/>
    <w:rsid w:val="00EE6224"/>
    <w:rsid w:val="00EE7A44"/>
    <w:rsid w:val="00EE7DC7"/>
    <w:rsid w:val="00EF0021"/>
    <w:rsid w:val="00EF0885"/>
    <w:rsid w:val="00EF0A91"/>
    <w:rsid w:val="00EF0F53"/>
    <w:rsid w:val="00EF1B9B"/>
    <w:rsid w:val="00EF44FF"/>
    <w:rsid w:val="00EF671E"/>
    <w:rsid w:val="00F0258C"/>
    <w:rsid w:val="00F03223"/>
    <w:rsid w:val="00F052C5"/>
    <w:rsid w:val="00F1315D"/>
    <w:rsid w:val="00F14031"/>
    <w:rsid w:val="00F14E46"/>
    <w:rsid w:val="00F15606"/>
    <w:rsid w:val="00F1717D"/>
    <w:rsid w:val="00F21168"/>
    <w:rsid w:val="00F21ECA"/>
    <w:rsid w:val="00F228B1"/>
    <w:rsid w:val="00F24B7E"/>
    <w:rsid w:val="00F3065A"/>
    <w:rsid w:val="00F3080E"/>
    <w:rsid w:val="00F31E53"/>
    <w:rsid w:val="00F333BD"/>
    <w:rsid w:val="00F354F7"/>
    <w:rsid w:val="00F35B51"/>
    <w:rsid w:val="00F366ED"/>
    <w:rsid w:val="00F37ECC"/>
    <w:rsid w:val="00F40754"/>
    <w:rsid w:val="00F42A4A"/>
    <w:rsid w:val="00F443A2"/>
    <w:rsid w:val="00F44F67"/>
    <w:rsid w:val="00F52F2B"/>
    <w:rsid w:val="00F53448"/>
    <w:rsid w:val="00F53DC4"/>
    <w:rsid w:val="00F560F4"/>
    <w:rsid w:val="00F6147E"/>
    <w:rsid w:val="00F63516"/>
    <w:rsid w:val="00F656A4"/>
    <w:rsid w:val="00F657BD"/>
    <w:rsid w:val="00F71C60"/>
    <w:rsid w:val="00F725A6"/>
    <w:rsid w:val="00F73677"/>
    <w:rsid w:val="00F73BDE"/>
    <w:rsid w:val="00F76566"/>
    <w:rsid w:val="00F76608"/>
    <w:rsid w:val="00F82419"/>
    <w:rsid w:val="00F85CF3"/>
    <w:rsid w:val="00F864C8"/>
    <w:rsid w:val="00F90D05"/>
    <w:rsid w:val="00F91063"/>
    <w:rsid w:val="00F92941"/>
    <w:rsid w:val="00F9420C"/>
    <w:rsid w:val="00F9639B"/>
    <w:rsid w:val="00F963DF"/>
    <w:rsid w:val="00F97C3A"/>
    <w:rsid w:val="00FA03AD"/>
    <w:rsid w:val="00FA18EC"/>
    <w:rsid w:val="00FA1FBA"/>
    <w:rsid w:val="00FA43E2"/>
    <w:rsid w:val="00FA48B1"/>
    <w:rsid w:val="00FA5620"/>
    <w:rsid w:val="00FA5807"/>
    <w:rsid w:val="00FA77CD"/>
    <w:rsid w:val="00FB2545"/>
    <w:rsid w:val="00FB277D"/>
    <w:rsid w:val="00FB2FB7"/>
    <w:rsid w:val="00FB5B81"/>
    <w:rsid w:val="00FB65B9"/>
    <w:rsid w:val="00FB6920"/>
    <w:rsid w:val="00FB6DB7"/>
    <w:rsid w:val="00FC2463"/>
    <w:rsid w:val="00FC328C"/>
    <w:rsid w:val="00FC3359"/>
    <w:rsid w:val="00FC351C"/>
    <w:rsid w:val="00FC48DC"/>
    <w:rsid w:val="00FD056A"/>
    <w:rsid w:val="00FD1185"/>
    <w:rsid w:val="00FD2B36"/>
    <w:rsid w:val="00FD437B"/>
    <w:rsid w:val="00FD440D"/>
    <w:rsid w:val="00FD5CB5"/>
    <w:rsid w:val="00FD6EAC"/>
    <w:rsid w:val="00FE090D"/>
    <w:rsid w:val="00FE1633"/>
    <w:rsid w:val="00FE1C90"/>
    <w:rsid w:val="00FE1DC4"/>
    <w:rsid w:val="00FE29C8"/>
    <w:rsid w:val="00FE2F1C"/>
    <w:rsid w:val="00FE3134"/>
    <w:rsid w:val="00FE3A0D"/>
    <w:rsid w:val="00FE4258"/>
    <w:rsid w:val="00FE4265"/>
    <w:rsid w:val="00FE57C1"/>
    <w:rsid w:val="00FE5BFB"/>
    <w:rsid w:val="00FE60BD"/>
    <w:rsid w:val="00FE6109"/>
    <w:rsid w:val="00FE7CAB"/>
    <w:rsid w:val="00FF365E"/>
    <w:rsid w:val="00FF6515"/>
    <w:rsid w:val="00FF71BC"/>
    <w:rsid w:val="00FF73BA"/>
    <w:rsid w:val="00FF76B1"/>
    <w:rsid w:val="0156352C"/>
    <w:rsid w:val="0168325F"/>
    <w:rsid w:val="01710365"/>
    <w:rsid w:val="01AC51B5"/>
    <w:rsid w:val="01B140BF"/>
    <w:rsid w:val="01B464F1"/>
    <w:rsid w:val="0239626F"/>
    <w:rsid w:val="02553004"/>
    <w:rsid w:val="025B2ED3"/>
    <w:rsid w:val="027F7878"/>
    <w:rsid w:val="02B3536B"/>
    <w:rsid w:val="02C1403E"/>
    <w:rsid w:val="02CD4AC9"/>
    <w:rsid w:val="02EB05EB"/>
    <w:rsid w:val="02F71731"/>
    <w:rsid w:val="03401742"/>
    <w:rsid w:val="035E2BF3"/>
    <w:rsid w:val="03630A5A"/>
    <w:rsid w:val="036D2DC2"/>
    <w:rsid w:val="038C3302"/>
    <w:rsid w:val="03FE079C"/>
    <w:rsid w:val="0407258B"/>
    <w:rsid w:val="041A6267"/>
    <w:rsid w:val="043D1C8E"/>
    <w:rsid w:val="045F04C7"/>
    <w:rsid w:val="046624DD"/>
    <w:rsid w:val="04760562"/>
    <w:rsid w:val="04B62086"/>
    <w:rsid w:val="04BC59AB"/>
    <w:rsid w:val="04FC6AE0"/>
    <w:rsid w:val="05355A4A"/>
    <w:rsid w:val="05515C1A"/>
    <w:rsid w:val="0563090D"/>
    <w:rsid w:val="057F00F9"/>
    <w:rsid w:val="05CD3FD8"/>
    <w:rsid w:val="05D016DA"/>
    <w:rsid w:val="06292EF6"/>
    <w:rsid w:val="062F0FBB"/>
    <w:rsid w:val="063025CE"/>
    <w:rsid w:val="06524086"/>
    <w:rsid w:val="0680104B"/>
    <w:rsid w:val="06B34F7C"/>
    <w:rsid w:val="06B62CBE"/>
    <w:rsid w:val="06F83B77"/>
    <w:rsid w:val="06F9590F"/>
    <w:rsid w:val="06FB2F39"/>
    <w:rsid w:val="06FB4545"/>
    <w:rsid w:val="072135C9"/>
    <w:rsid w:val="07260431"/>
    <w:rsid w:val="073D1D7B"/>
    <w:rsid w:val="07863FD2"/>
    <w:rsid w:val="07887EE5"/>
    <w:rsid w:val="078F59E9"/>
    <w:rsid w:val="07950B26"/>
    <w:rsid w:val="07967704"/>
    <w:rsid w:val="07A80A75"/>
    <w:rsid w:val="07BA6D83"/>
    <w:rsid w:val="07C31EEA"/>
    <w:rsid w:val="07CA0741"/>
    <w:rsid w:val="07CE6272"/>
    <w:rsid w:val="07DE36B1"/>
    <w:rsid w:val="08142824"/>
    <w:rsid w:val="08406CE4"/>
    <w:rsid w:val="08BF0805"/>
    <w:rsid w:val="08DF64FD"/>
    <w:rsid w:val="091A2527"/>
    <w:rsid w:val="091D0DD3"/>
    <w:rsid w:val="092A1E51"/>
    <w:rsid w:val="0942765D"/>
    <w:rsid w:val="094C2629"/>
    <w:rsid w:val="095D24B6"/>
    <w:rsid w:val="09684627"/>
    <w:rsid w:val="09735503"/>
    <w:rsid w:val="09CC179F"/>
    <w:rsid w:val="0A1026E6"/>
    <w:rsid w:val="0A9B25EE"/>
    <w:rsid w:val="0AB37C41"/>
    <w:rsid w:val="0ACC0FFC"/>
    <w:rsid w:val="0AE97553"/>
    <w:rsid w:val="0B117E24"/>
    <w:rsid w:val="0B2D0F2D"/>
    <w:rsid w:val="0B3A1799"/>
    <w:rsid w:val="0B75728E"/>
    <w:rsid w:val="0BA20236"/>
    <w:rsid w:val="0BCF08C9"/>
    <w:rsid w:val="0BDF4E2C"/>
    <w:rsid w:val="0C1F4225"/>
    <w:rsid w:val="0C2250D2"/>
    <w:rsid w:val="0C28200F"/>
    <w:rsid w:val="0C3D2350"/>
    <w:rsid w:val="0C4A5411"/>
    <w:rsid w:val="0C7F6BC0"/>
    <w:rsid w:val="0CE51C08"/>
    <w:rsid w:val="0CE71E24"/>
    <w:rsid w:val="0CF06602"/>
    <w:rsid w:val="0CF36FCF"/>
    <w:rsid w:val="0DA872E9"/>
    <w:rsid w:val="0DB84A71"/>
    <w:rsid w:val="0DE6032D"/>
    <w:rsid w:val="0DFC465D"/>
    <w:rsid w:val="0E043519"/>
    <w:rsid w:val="0E4A09D7"/>
    <w:rsid w:val="0E536C0B"/>
    <w:rsid w:val="0E79042E"/>
    <w:rsid w:val="0E9F02AB"/>
    <w:rsid w:val="0EC2162A"/>
    <w:rsid w:val="0EEA1757"/>
    <w:rsid w:val="0EFE6807"/>
    <w:rsid w:val="0F3167AD"/>
    <w:rsid w:val="0F385D0A"/>
    <w:rsid w:val="0F566DED"/>
    <w:rsid w:val="0F781459"/>
    <w:rsid w:val="0F8E28A0"/>
    <w:rsid w:val="0FA537AF"/>
    <w:rsid w:val="0FB16876"/>
    <w:rsid w:val="0FE439C6"/>
    <w:rsid w:val="100E123C"/>
    <w:rsid w:val="10282537"/>
    <w:rsid w:val="10482BD9"/>
    <w:rsid w:val="104E5CD2"/>
    <w:rsid w:val="10507CE0"/>
    <w:rsid w:val="108D426F"/>
    <w:rsid w:val="10A05B5F"/>
    <w:rsid w:val="10D0497D"/>
    <w:rsid w:val="10F514F3"/>
    <w:rsid w:val="111C4044"/>
    <w:rsid w:val="111E39E6"/>
    <w:rsid w:val="11390774"/>
    <w:rsid w:val="11602CCB"/>
    <w:rsid w:val="1166553F"/>
    <w:rsid w:val="11AA0AD1"/>
    <w:rsid w:val="11DB0E2C"/>
    <w:rsid w:val="11FD776E"/>
    <w:rsid w:val="121B3D5A"/>
    <w:rsid w:val="12754DEC"/>
    <w:rsid w:val="127E1BC3"/>
    <w:rsid w:val="129B6F59"/>
    <w:rsid w:val="12A97598"/>
    <w:rsid w:val="12AB56A1"/>
    <w:rsid w:val="1309325E"/>
    <w:rsid w:val="132316DC"/>
    <w:rsid w:val="132A0CBC"/>
    <w:rsid w:val="134F427F"/>
    <w:rsid w:val="138C102F"/>
    <w:rsid w:val="13ED1131"/>
    <w:rsid w:val="141A5139"/>
    <w:rsid w:val="14355A50"/>
    <w:rsid w:val="143A57C7"/>
    <w:rsid w:val="146D2970"/>
    <w:rsid w:val="1498403D"/>
    <w:rsid w:val="14AE454D"/>
    <w:rsid w:val="14BE09E0"/>
    <w:rsid w:val="14DC2960"/>
    <w:rsid w:val="14E028EA"/>
    <w:rsid w:val="157730F5"/>
    <w:rsid w:val="15973CBB"/>
    <w:rsid w:val="15E47FC0"/>
    <w:rsid w:val="161D303A"/>
    <w:rsid w:val="162437A1"/>
    <w:rsid w:val="163C1326"/>
    <w:rsid w:val="167D7F25"/>
    <w:rsid w:val="1683247B"/>
    <w:rsid w:val="168B1A72"/>
    <w:rsid w:val="16C75898"/>
    <w:rsid w:val="16E17832"/>
    <w:rsid w:val="16E57CD0"/>
    <w:rsid w:val="16EB42BE"/>
    <w:rsid w:val="16F41E01"/>
    <w:rsid w:val="16FF55FF"/>
    <w:rsid w:val="17011D34"/>
    <w:rsid w:val="171278B9"/>
    <w:rsid w:val="17134131"/>
    <w:rsid w:val="172F4AF3"/>
    <w:rsid w:val="177767A1"/>
    <w:rsid w:val="17D261AC"/>
    <w:rsid w:val="17DC0CD3"/>
    <w:rsid w:val="17F17FFA"/>
    <w:rsid w:val="17F94FEF"/>
    <w:rsid w:val="18161AD6"/>
    <w:rsid w:val="18182D29"/>
    <w:rsid w:val="183A32E2"/>
    <w:rsid w:val="185E517A"/>
    <w:rsid w:val="187D3760"/>
    <w:rsid w:val="19017DC9"/>
    <w:rsid w:val="192D6391"/>
    <w:rsid w:val="19445F08"/>
    <w:rsid w:val="195425EF"/>
    <w:rsid w:val="19B37B85"/>
    <w:rsid w:val="19E15B44"/>
    <w:rsid w:val="19EE0504"/>
    <w:rsid w:val="1A512408"/>
    <w:rsid w:val="1A5319DA"/>
    <w:rsid w:val="1A8404E1"/>
    <w:rsid w:val="1AB05F4B"/>
    <w:rsid w:val="1AED587A"/>
    <w:rsid w:val="1AF17F31"/>
    <w:rsid w:val="1B0013D0"/>
    <w:rsid w:val="1B07767B"/>
    <w:rsid w:val="1B3C4564"/>
    <w:rsid w:val="1B4858C1"/>
    <w:rsid w:val="1B4D5548"/>
    <w:rsid w:val="1B534F22"/>
    <w:rsid w:val="1B75684C"/>
    <w:rsid w:val="1B8A679C"/>
    <w:rsid w:val="1BD417C5"/>
    <w:rsid w:val="1BE67694"/>
    <w:rsid w:val="1C034921"/>
    <w:rsid w:val="1C3465FE"/>
    <w:rsid w:val="1C4F3E28"/>
    <w:rsid w:val="1C807DFC"/>
    <w:rsid w:val="1CD93628"/>
    <w:rsid w:val="1D1F356D"/>
    <w:rsid w:val="1D3E4D84"/>
    <w:rsid w:val="1D5A58D4"/>
    <w:rsid w:val="1D82204B"/>
    <w:rsid w:val="1DC13FCB"/>
    <w:rsid w:val="1DE72757"/>
    <w:rsid w:val="1DF30F85"/>
    <w:rsid w:val="1E34235C"/>
    <w:rsid w:val="1E3E6578"/>
    <w:rsid w:val="1E786BBE"/>
    <w:rsid w:val="1E8B1FCC"/>
    <w:rsid w:val="1E8E0351"/>
    <w:rsid w:val="1EAF30E4"/>
    <w:rsid w:val="1ED66365"/>
    <w:rsid w:val="1F4D65FE"/>
    <w:rsid w:val="1F7F7C9A"/>
    <w:rsid w:val="1F8654CC"/>
    <w:rsid w:val="1FAA740D"/>
    <w:rsid w:val="1FEA2142"/>
    <w:rsid w:val="1FEB29FA"/>
    <w:rsid w:val="20170FA3"/>
    <w:rsid w:val="204D7D98"/>
    <w:rsid w:val="20631458"/>
    <w:rsid w:val="208A6F64"/>
    <w:rsid w:val="209D0D1F"/>
    <w:rsid w:val="20A3683F"/>
    <w:rsid w:val="211572E5"/>
    <w:rsid w:val="212925B3"/>
    <w:rsid w:val="21937A2C"/>
    <w:rsid w:val="21970220"/>
    <w:rsid w:val="219F7602"/>
    <w:rsid w:val="21D612B4"/>
    <w:rsid w:val="21F03DB5"/>
    <w:rsid w:val="22332075"/>
    <w:rsid w:val="22851A6B"/>
    <w:rsid w:val="22C91495"/>
    <w:rsid w:val="232D067E"/>
    <w:rsid w:val="2341589C"/>
    <w:rsid w:val="235F406A"/>
    <w:rsid w:val="23756D90"/>
    <w:rsid w:val="23BA5744"/>
    <w:rsid w:val="23E51680"/>
    <w:rsid w:val="23F8626D"/>
    <w:rsid w:val="2414793C"/>
    <w:rsid w:val="246133AF"/>
    <w:rsid w:val="24683AC9"/>
    <w:rsid w:val="24931FF2"/>
    <w:rsid w:val="24957EF1"/>
    <w:rsid w:val="24A87FC6"/>
    <w:rsid w:val="24B70CB3"/>
    <w:rsid w:val="24B93C4E"/>
    <w:rsid w:val="24CE02A0"/>
    <w:rsid w:val="251C201C"/>
    <w:rsid w:val="253629FC"/>
    <w:rsid w:val="254361B5"/>
    <w:rsid w:val="25494FD2"/>
    <w:rsid w:val="255E485B"/>
    <w:rsid w:val="25800399"/>
    <w:rsid w:val="2590660C"/>
    <w:rsid w:val="25935D12"/>
    <w:rsid w:val="25F3318F"/>
    <w:rsid w:val="26217CFD"/>
    <w:rsid w:val="264019D3"/>
    <w:rsid w:val="265D0B0E"/>
    <w:rsid w:val="26747800"/>
    <w:rsid w:val="26871084"/>
    <w:rsid w:val="26A36964"/>
    <w:rsid w:val="26B40B71"/>
    <w:rsid w:val="26DA1D57"/>
    <w:rsid w:val="26FF1E10"/>
    <w:rsid w:val="27070458"/>
    <w:rsid w:val="270A69E3"/>
    <w:rsid w:val="2727282D"/>
    <w:rsid w:val="27350764"/>
    <w:rsid w:val="27441EF5"/>
    <w:rsid w:val="275460A8"/>
    <w:rsid w:val="27611209"/>
    <w:rsid w:val="279A2FC9"/>
    <w:rsid w:val="27A4580A"/>
    <w:rsid w:val="27F8683B"/>
    <w:rsid w:val="28017DE6"/>
    <w:rsid w:val="280451E0"/>
    <w:rsid w:val="28477883"/>
    <w:rsid w:val="285C326E"/>
    <w:rsid w:val="285F2DF5"/>
    <w:rsid w:val="28717005"/>
    <w:rsid w:val="28B766F6"/>
    <w:rsid w:val="28D35FA8"/>
    <w:rsid w:val="29192F0D"/>
    <w:rsid w:val="292C2C40"/>
    <w:rsid w:val="29825CBA"/>
    <w:rsid w:val="29CF178B"/>
    <w:rsid w:val="29F51284"/>
    <w:rsid w:val="29FA634B"/>
    <w:rsid w:val="29FD45DD"/>
    <w:rsid w:val="2A060F5D"/>
    <w:rsid w:val="2A0F7D89"/>
    <w:rsid w:val="2A520D00"/>
    <w:rsid w:val="2A957C8D"/>
    <w:rsid w:val="2AAD4803"/>
    <w:rsid w:val="2AB67C9A"/>
    <w:rsid w:val="2AB82257"/>
    <w:rsid w:val="2ADB3ED9"/>
    <w:rsid w:val="2ADD4A16"/>
    <w:rsid w:val="2AF404DD"/>
    <w:rsid w:val="2AF63CE3"/>
    <w:rsid w:val="2B577D1D"/>
    <w:rsid w:val="2B5B03CE"/>
    <w:rsid w:val="2B622A81"/>
    <w:rsid w:val="2B6A36E4"/>
    <w:rsid w:val="2B725C07"/>
    <w:rsid w:val="2BCC7CE8"/>
    <w:rsid w:val="2C1040D5"/>
    <w:rsid w:val="2C2F584A"/>
    <w:rsid w:val="2C3755DD"/>
    <w:rsid w:val="2C455293"/>
    <w:rsid w:val="2C4C0BBC"/>
    <w:rsid w:val="2C932FD6"/>
    <w:rsid w:val="2CAF6062"/>
    <w:rsid w:val="2CB27AB4"/>
    <w:rsid w:val="2CBA495E"/>
    <w:rsid w:val="2D0F6B01"/>
    <w:rsid w:val="2D263E4A"/>
    <w:rsid w:val="2D480A0E"/>
    <w:rsid w:val="2D4A5D8B"/>
    <w:rsid w:val="2D4F33A1"/>
    <w:rsid w:val="2D6A2315"/>
    <w:rsid w:val="2D7C3A6A"/>
    <w:rsid w:val="2D8C1F00"/>
    <w:rsid w:val="2D8D7A26"/>
    <w:rsid w:val="2D9161F7"/>
    <w:rsid w:val="2DD13DB6"/>
    <w:rsid w:val="2DD33347"/>
    <w:rsid w:val="2DEA30CA"/>
    <w:rsid w:val="2DEF1729"/>
    <w:rsid w:val="2DF90E26"/>
    <w:rsid w:val="2E2915FC"/>
    <w:rsid w:val="2E620EB2"/>
    <w:rsid w:val="2EA4771D"/>
    <w:rsid w:val="2EBE19B9"/>
    <w:rsid w:val="2EC470FB"/>
    <w:rsid w:val="2EC6642D"/>
    <w:rsid w:val="2EE47815"/>
    <w:rsid w:val="2EEB1925"/>
    <w:rsid w:val="2EF04710"/>
    <w:rsid w:val="2F012479"/>
    <w:rsid w:val="2F593BD1"/>
    <w:rsid w:val="2F6F3665"/>
    <w:rsid w:val="2F8D2529"/>
    <w:rsid w:val="2FB27C17"/>
    <w:rsid w:val="2FBF443D"/>
    <w:rsid w:val="2FCF4325"/>
    <w:rsid w:val="300768F4"/>
    <w:rsid w:val="30207A3D"/>
    <w:rsid w:val="303D3985"/>
    <w:rsid w:val="306D6B80"/>
    <w:rsid w:val="30E107B4"/>
    <w:rsid w:val="31097D0B"/>
    <w:rsid w:val="31134D08"/>
    <w:rsid w:val="311A07D9"/>
    <w:rsid w:val="311D4A3C"/>
    <w:rsid w:val="313A3E94"/>
    <w:rsid w:val="31413001"/>
    <w:rsid w:val="31572824"/>
    <w:rsid w:val="31BF2411"/>
    <w:rsid w:val="31E83A23"/>
    <w:rsid w:val="3255145A"/>
    <w:rsid w:val="327D5113"/>
    <w:rsid w:val="32E53E60"/>
    <w:rsid w:val="32EC2D06"/>
    <w:rsid w:val="333850CD"/>
    <w:rsid w:val="333D6A89"/>
    <w:rsid w:val="34214390"/>
    <w:rsid w:val="34311A53"/>
    <w:rsid w:val="34774AAC"/>
    <w:rsid w:val="34A35D81"/>
    <w:rsid w:val="34A732ED"/>
    <w:rsid w:val="34AE30A3"/>
    <w:rsid w:val="34CA064D"/>
    <w:rsid w:val="34D00773"/>
    <w:rsid w:val="34E97C37"/>
    <w:rsid w:val="35D46B3A"/>
    <w:rsid w:val="35F32A0B"/>
    <w:rsid w:val="35FE359A"/>
    <w:rsid w:val="3600792F"/>
    <w:rsid w:val="36373507"/>
    <w:rsid w:val="366279C0"/>
    <w:rsid w:val="36BB301C"/>
    <w:rsid w:val="36C344B8"/>
    <w:rsid w:val="370A3AE7"/>
    <w:rsid w:val="370D0ABF"/>
    <w:rsid w:val="371B2546"/>
    <w:rsid w:val="37640899"/>
    <w:rsid w:val="378123A9"/>
    <w:rsid w:val="37B502A5"/>
    <w:rsid w:val="37F7266B"/>
    <w:rsid w:val="38545D10"/>
    <w:rsid w:val="385A4128"/>
    <w:rsid w:val="387168C2"/>
    <w:rsid w:val="38802235"/>
    <w:rsid w:val="388319AD"/>
    <w:rsid w:val="38B81A40"/>
    <w:rsid w:val="38D93383"/>
    <w:rsid w:val="38FB43DD"/>
    <w:rsid w:val="39067339"/>
    <w:rsid w:val="39343F1A"/>
    <w:rsid w:val="39622BFE"/>
    <w:rsid w:val="396546A0"/>
    <w:rsid w:val="3976326A"/>
    <w:rsid w:val="399C171C"/>
    <w:rsid w:val="39A86313"/>
    <w:rsid w:val="39B530DD"/>
    <w:rsid w:val="39CD6A43"/>
    <w:rsid w:val="39F5448C"/>
    <w:rsid w:val="3A30545C"/>
    <w:rsid w:val="3A3D673B"/>
    <w:rsid w:val="3A571C42"/>
    <w:rsid w:val="3A5E69D2"/>
    <w:rsid w:val="3A8D5509"/>
    <w:rsid w:val="3AA34D2C"/>
    <w:rsid w:val="3AB57039"/>
    <w:rsid w:val="3AD43138"/>
    <w:rsid w:val="3AE315CD"/>
    <w:rsid w:val="3AFF0FF4"/>
    <w:rsid w:val="3B0A0615"/>
    <w:rsid w:val="3B111CE4"/>
    <w:rsid w:val="3B141392"/>
    <w:rsid w:val="3B2631F6"/>
    <w:rsid w:val="3B273268"/>
    <w:rsid w:val="3B2D10CB"/>
    <w:rsid w:val="3B537311"/>
    <w:rsid w:val="3B9603ED"/>
    <w:rsid w:val="3BC13E40"/>
    <w:rsid w:val="3BFC64A2"/>
    <w:rsid w:val="3C284AE5"/>
    <w:rsid w:val="3C531A60"/>
    <w:rsid w:val="3C6944AC"/>
    <w:rsid w:val="3C7477C5"/>
    <w:rsid w:val="3CD016DD"/>
    <w:rsid w:val="3CD236A7"/>
    <w:rsid w:val="3CD47ED8"/>
    <w:rsid w:val="3D132B81"/>
    <w:rsid w:val="3D431182"/>
    <w:rsid w:val="3D914B58"/>
    <w:rsid w:val="3DC22D90"/>
    <w:rsid w:val="3DD96C38"/>
    <w:rsid w:val="3DEC77A2"/>
    <w:rsid w:val="3E4245B8"/>
    <w:rsid w:val="3EC7528A"/>
    <w:rsid w:val="3EE31FC0"/>
    <w:rsid w:val="3F0053C3"/>
    <w:rsid w:val="3F23262A"/>
    <w:rsid w:val="3F3979C4"/>
    <w:rsid w:val="3F5E7438"/>
    <w:rsid w:val="3F626061"/>
    <w:rsid w:val="3FA00CBF"/>
    <w:rsid w:val="3FA3219F"/>
    <w:rsid w:val="3FE23C01"/>
    <w:rsid w:val="3FE554FE"/>
    <w:rsid w:val="40046D1E"/>
    <w:rsid w:val="40161AFD"/>
    <w:rsid w:val="403F2E01"/>
    <w:rsid w:val="406E492C"/>
    <w:rsid w:val="40714F85"/>
    <w:rsid w:val="409209AC"/>
    <w:rsid w:val="40AA465F"/>
    <w:rsid w:val="40B76E3C"/>
    <w:rsid w:val="40CD71ED"/>
    <w:rsid w:val="40D50D0B"/>
    <w:rsid w:val="40DE77CB"/>
    <w:rsid w:val="40F0532D"/>
    <w:rsid w:val="41320BB8"/>
    <w:rsid w:val="41630E85"/>
    <w:rsid w:val="41796A4F"/>
    <w:rsid w:val="417E204F"/>
    <w:rsid w:val="418C3977"/>
    <w:rsid w:val="41B65345"/>
    <w:rsid w:val="41D61543"/>
    <w:rsid w:val="4231115E"/>
    <w:rsid w:val="42383769"/>
    <w:rsid w:val="42440BA3"/>
    <w:rsid w:val="427A37E5"/>
    <w:rsid w:val="42E23D0F"/>
    <w:rsid w:val="42E45EE2"/>
    <w:rsid w:val="42F21A90"/>
    <w:rsid w:val="42FE6FA4"/>
    <w:rsid w:val="430664B8"/>
    <w:rsid w:val="434546DC"/>
    <w:rsid w:val="43A450E1"/>
    <w:rsid w:val="43BF2BD7"/>
    <w:rsid w:val="43C907D7"/>
    <w:rsid w:val="43D63A7D"/>
    <w:rsid w:val="43D8311B"/>
    <w:rsid w:val="43E6024D"/>
    <w:rsid w:val="43E83CE9"/>
    <w:rsid w:val="441E71D2"/>
    <w:rsid w:val="445C386B"/>
    <w:rsid w:val="445C422E"/>
    <w:rsid w:val="44625310"/>
    <w:rsid w:val="44983428"/>
    <w:rsid w:val="44BD0E39"/>
    <w:rsid w:val="44BF1605"/>
    <w:rsid w:val="44E94014"/>
    <w:rsid w:val="44EB351C"/>
    <w:rsid w:val="451B1918"/>
    <w:rsid w:val="4541586E"/>
    <w:rsid w:val="454B13F4"/>
    <w:rsid w:val="454C2043"/>
    <w:rsid w:val="45807015"/>
    <w:rsid w:val="458A4DD6"/>
    <w:rsid w:val="45927E77"/>
    <w:rsid w:val="45937CDD"/>
    <w:rsid w:val="45DD1A09"/>
    <w:rsid w:val="460B3546"/>
    <w:rsid w:val="465324D1"/>
    <w:rsid w:val="46550CCB"/>
    <w:rsid w:val="467557CF"/>
    <w:rsid w:val="46922D7B"/>
    <w:rsid w:val="46972BD9"/>
    <w:rsid w:val="46C57481"/>
    <w:rsid w:val="46DC3AA0"/>
    <w:rsid w:val="46F661E4"/>
    <w:rsid w:val="47280DB6"/>
    <w:rsid w:val="474634F4"/>
    <w:rsid w:val="47582CFC"/>
    <w:rsid w:val="47671321"/>
    <w:rsid w:val="477E6905"/>
    <w:rsid w:val="479310D8"/>
    <w:rsid w:val="47964B3A"/>
    <w:rsid w:val="47973128"/>
    <w:rsid w:val="47B32504"/>
    <w:rsid w:val="48256D81"/>
    <w:rsid w:val="48312BBB"/>
    <w:rsid w:val="48671147"/>
    <w:rsid w:val="48697E40"/>
    <w:rsid w:val="486C2C02"/>
    <w:rsid w:val="486E6FDC"/>
    <w:rsid w:val="48883C0E"/>
    <w:rsid w:val="488C5052"/>
    <w:rsid w:val="489A4BDD"/>
    <w:rsid w:val="48B573AB"/>
    <w:rsid w:val="48B923C1"/>
    <w:rsid w:val="48D2616D"/>
    <w:rsid w:val="48FA645F"/>
    <w:rsid w:val="491A2A7D"/>
    <w:rsid w:val="496C1724"/>
    <w:rsid w:val="496E6505"/>
    <w:rsid w:val="498A3957"/>
    <w:rsid w:val="49D32CC8"/>
    <w:rsid w:val="4A144146"/>
    <w:rsid w:val="4A173149"/>
    <w:rsid w:val="4A4B07F6"/>
    <w:rsid w:val="4A7D4C52"/>
    <w:rsid w:val="4A964084"/>
    <w:rsid w:val="4A9C6FCD"/>
    <w:rsid w:val="4AC07235"/>
    <w:rsid w:val="4AF16824"/>
    <w:rsid w:val="4B1D10D9"/>
    <w:rsid w:val="4B3D285E"/>
    <w:rsid w:val="4B751DCD"/>
    <w:rsid w:val="4B7D0C82"/>
    <w:rsid w:val="4BB95301"/>
    <w:rsid w:val="4BF93774"/>
    <w:rsid w:val="4C11482A"/>
    <w:rsid w:val="4C117688"/>
    <w:rsid w:val="4CAD6B7A"/>
    <w:rsid w:val="4CCA3860"/>
    <w:rsid w:val="4CFA556C"/>
    <w:rsid w:val="4D1D180C"/>
    <w:rsid w:val="4D275349"/>
    <w:rsid w:val="4D350FBF"/>
    <w:rsid w:val="4D4F590B"/>
    <w:rsid w:val="4D9F649C"/>
    <w:rsid w:val="4DB24AD6"/>
    <w:rsid w:val="4DBF1A26"/>
    <w:rsid w:val="4DD21EA1"/>
    <w:rsid w:val="4DDC48C8"/>
    <w:rsid w:val="4E08402F"/>
    <w:rsid w:val="4E366287"/>
    <w:rsid w:val="4E3A598D"/>
    <w:rsid w:val="4E42362D"/>
    <w:rsid w:val="4E62718B"/>
    <w:rsid w:val="4E9875DF"/>
    <w:rsid w:val="4EDE26A6"/>
    <w:rsid w:val="4EF266AF"/>
    <w:rsid w:val="4F15369E"/>
    <w:rsid w:val="4F363F69"/>
    <w:rsid w:val="4F53370D"/>
    <w:rsid w:val="4F556549"/>
    <w:rsid w:val="4F720D92"/>
    <w:rsid w:val="4FAA172C"/>
    <w:rsid w:val="4FAB66DC"/>
    <w:rsid w:val="4FE0279E"/>
    <w:rsid w:val="50812FC2"/>
    <w:rsid w:val="50E84C0C"/>
    <w:rsid w:val="50F75301"/>
    <w:rsid w:val="515666C7"/>
    <w:rsid w:val="51600E2A"/>
    <w:rsid w:val="51823496"/>
    <w:rsid w:val="518E41EE"/>
    <w:rsid w:val="523339E8"/>
    <w:rsid w:val="52476931"/>
    <w:rsid w:val="5265760A"/>
    <w:rsid w:val="526B7834"/>
    <w:rsid w:val="5273103E"/>
    <w:rsid w:val="527F3225"/>
    <w:rsid w:val="52892EF5"/>
    <w:rsid w:val="52AC7C8A"/>
    <w:rsid w:val="52AD6C6B"/>
    <w:rsid w:val="531F718B"/>
    <w:rsid w:val="535369D9"/>
    <w:rsid w:val="538D33F4"/>
    <w:rsid w:val="53AA3F92"/>
    <w:rsid w:val="53E374D4"/>
    <w:rsid w:val="54010DBF"/>
    <w:rsid w:val="54206DE7"/>
    <w:rsid w:val="543A0B31"/>
    <w:rsid w:val="544B0D04"/>
    <w:rsid w:val="546B7AF4"/>
    <w:rsid w:val="550F3875"/>
    <w:rsid w:val="554F42EE"/>
    <w:rsid w:val="55554897"/>
    <w:rsid w:val="55723669"/>
    <w:rsid w:val="55CB6E14"/>
    <w:rsid w:val="55F41E1D"/>
    <w:rsid w:val="56451778"/>
    <w:rsid w:val="56473DE4"/>
    <w:rsid w:val="56751614"/>
    <w:rsid w:val="569A4DDE"/>
    <w:rsid w:val="56A30136"/>
    <w:rsid w:val="56BE631B"/>
    <w:rsid w:val="56F3614D"/>
    <w:rsid w:val="56F97992"/>
    <w:rsid w:val="56FA3EF4"/>
    <w:rsid w:val="571B7BCA"/>
    <w:rsid w:val="5758791C"/>
    <w:rsid w:val="57A777B2"/>
    <w:rsid w:val="57B958F8"/>
    <w:rsid w:val="57DA7CEB"/>
    <w:rsid w:val="584F34F1"/>
    <w:rsid w:val="58665281"/>
    <w:rsid w:val="58773629"/>
    <w:rsid w:val="58DF4E03"/>
    <w:rsid w:val="592D24E3"/>
    <w:rsid w:val="595C62A7"/>
    <w:rsid w:val="59916628"/>
    <w:rsid w:val="59D26BFF"/>
    <w:rsid w:val="59D71637"/>
    <w:rsid w:val="59D86BB7"/>
    <w:rsid w:val="59EA2525"/>
    <w:rsid w:val="5A334BD4"/>
    <w:rsid w:val="5A3612C1"/>
    <w:rsid w:val="5A7032BD"/>
    <w:rsid w:val="5A8C4BEB"/>
    <w:rsid w:val="5AA63D51"/>
    <w:rsid w:val="5ABA3625"/>
    <w:rsid w:val="5ACE7C7C"/>
    <w:rsid w:val="5B1C41F3"/>
    <w:rsid w:val="5B2630E4"/>
    <w:rsid w:val="5B7976B8"/>
    <w:rsid w:val="5B7A6CE9"/>
    <w:rsid w:val="5B8334D2"/>
    <w:rsid w:val="5B83559A"/>
    <w:rsid w:val="5BAA161F"/>
    <w:rsid w:val="5BB7236F"/>
    <w:rsid w:val="5BBF5E91"/>
    <w:rsid w:val="5BC747CD"/>
    <w:rsid w:val="5BD26DC8"/>
    <w:rsid w:val="5BF1724E"/>
    <w:rsid w:val="5C000D40"/>
    <w:rsid w:val="5C090C37"/>
    <w:rsid w:val="5C256B6F"/>
    <w:rsid w:val="5C482A0F"/>
    <w:rsid w:val="5C4D2B14"/>
    <w:rsid w:val="5C517B42"/>
    <w:rsid w:val="5C6E4517"/>
    <w:rsid w:val="5C891B7C"/>
    <w:rsid w:val="5CA50038"/>
    <w:rsid w:val="5CA65759"/>
    <w:rsid w:val="5CC454FD"/>
    <w:rsid w:val="5CC45C82"/>
    <w:rsid w:val="5CE24DE9"/>
    <w:rsid w:val="5CF55ECE"/>
    <w:rsid w:val="5CFB5CA6"/>
    <w:rsid w:val="5D3C7C10"/>
    <w:rsid w:val="5D6128DF"/>
    <w:rsid w:val="5D6A211D"/>
    <w:rsid w:val="5D9E4B81"/>
    <w:rsid w:val="5DA83BCD"/>
    <w:rsid w:val="5DEA443D"/>
    <w:rsid w:val="5DF80265"/>
    <w:rsid w:val="5E323B4E"/>
    <w:rsid w:val="5E814429"/>
    <w:rsid w:val="5E9F7435"/>
    <w:rsid w:val="5ECA76E5"/>
    <w:rsid w:val="5ECE45F9"/>
    <w:rsid w:val="5EE017FC"/>
    <w:rsid w:val="5EE724C0"/>
    <w:rsid w:val="5F094D18"/>
    <w:rsid w:val="5FA96FAA"/>
    <w:rsid w:val="5FF9554F"/>
    <w:rsid w:val="600C716B"/>
    <w:rsid w:val="60197E30"/>
    <w:rsid w:val="606C644F"/>
    <w:rsid w:val="607A1C40"/>
    <w:rsid w:val="60901D4A"/>
    <w:rsid w:val="60B239C5"/>
    <w:rsid w:val="60C055B0"/>
    <w:rsid w:val="60D46340"/>
    <w:rsid w:val="60F82ECC"/>
    <w:rsid w:val="61117089"/>
    <w:rsid w:val="61285DF1"/>
    <w:rsid w:val="61453B98"/>
    <w:rsid w:val="6189647C"/>
    <w:rsid w:val="618D5C6B"/>
    <w:rsid w:val="619C1A0A"/>
    <w:rsid w:val="61B2122D"/>
    <w:rsid w:val="61B92D60"/>
    <w:rsid w:val="61F53810"/>
    <w:rsid w:val="61FC2959"/>
    <w:rsid w:val="62250627"/>
    <w:rsid w:val="623A145B"/>
    <w:rsid w:val="62604994"/>
    <w:rsid w:val="627E08B5"/>
    <w:rsid w:val="627E7186"/>
    <w:rsid w:val="628A51A9"/>
    <w:rsid w:val="62D55C23"/>
    <w:rsid w:val="632E4D73"/>
    <w:rsid w:val="63936B99"/>
    <w:rsid w:val="63950FCA"/>
    <w:rsid w:val="6401464F"/>
    <w:rsid w:val="643248A8"/>
    <w:rsid w:val="64333129"/>
    <w:rsid w:val="647C2387"/>
    <w:rsid w:val="64A05732"/>
    <w:rsid w:val="64C154D2"/>
    <w:rsid w:val="64CF40D7"/>
    <w:rsid w:val="64E5606D"/>
    <w:rsid w:val="65037637"/>
    <w:rsid w:val="650F62BC"/>
    <w:rsid w:val="652766D8"/>
    <w:rsid w:val="65856C59"/>
    <w:rsid w:val="658912A9"/>
    <w:rsid w:val="659A6BA8"/>
    <w:rsid w:val="65DE661B"/>
    <w:rsid w:val="660161F3"/>
    <w:rsid w:val="660179E4"/>
    <w:rsid w:val="66D96EAF"/>
    <w:rsid w:val="66E42209"/>
    <w:rsid w:val="66FD119D"/>
    <w:rsid w:val="672C2832"/>
    <w:rsid w:val="6734799C"/>
    <w:rsid w:val="674258D0"/>
    <w:rsid w:val="67BD15FE"/>
    <w:rsid w:val="67DF4243"/>
    <w:rsid w:val="67F82583"/>
    <w:rsid w:val="68317373"/>
    <w:rsid w:val="683E0BFF"/>
    <w:rsid w:val="68694610"/>
    <w:rsid w:val="68833F83"/>
    <w:rsid w:val="6884158C"/>
    <w:rsid w:val="68A140BF"/>
    <w:rsid w:val="68AE5981"/>
    <w:rsid w:val="68B83031"/>
    <w:rsid w:val="68B93261"/>
    <w:rsid w:val="69033090"/>
    <w:rsid w:val="696C0D71"/>
    <w:rsid w:val="69843021"/>
    <w:rsid w:val="69B44204"/>
    <w:rsid w:val="69FF235D"/>
    <w:rsid w:val="6A1A02B8"/>
    <w:rsid w:val="6A375863"/>
    <w:rsid w:val="6A565A27"/>
    <w:rsid w:val="6A5B4235"/>
    <w:rsid w:val="6AA61634"/>
    <w:rsid w:val="6AC049DD"/>
    <w:rsid w:val="6B034E87"/>
    <w:rsid w:val="6B0971C2"/>
    <w:rsid w:val="6B5D53E3"/>
    <w:rsid w:val="6B5F0DA0"/>
    <w:rsid w:val="6B8D2AE4"/>
    <w:rsid w:val="6BC03F73"/>
    <w:rsid w:val="6BC14774"/>
    <w:rsid w:val="6BE15BBD"/>
    <w:rsid w:val="6BFB0E1D"/>
    <w:rsid w:val="6C3D3FD9"/>
    <w:rsid w:val="6C6C3F7C"/>
    <w:rsid w:val="6C787517"/>
    <w:rsid w:val="6CA43E69"/>
    <w:rsid w:val="6CAB0816"/>
    <w:rsid w:val="6CEA7FFB"/>
    <w:rsid w:val="6CFC7656"/>
    <w:rsid w:val="6D043F27"/>
    <w:rsid w:val="6D3016F5"/>
    <w:rsid w:val="6D374CDD"/>
    <w:rsid w:val="6D763A57"/>
    <w:rsid w:val="6DBE0F5A"/>
    <w:rsid w:val="6DC059DA"/>
    <w:rsid w:val="6E143246"/>
    <w:rsid w:val="6E1A11D7"/>
    <w:rsid w:val="6E2F3C06"/>
    <w:rsid w:val="6E4C616A"/>
    <w:rsid w:val="6E5359FE"/>
    <w:rsid w:val="6E55366C"/>
    <w:rsid w:val="6E8C2E06"/>
    <w:rsid w:val="6EB61284"/>
    <w:rsid w:val="6ECB74DC"/>
    <w:rsid w:val="6ECD6611"/>
    <w:rsid w:val="6EDD4863"/>
    <w:rsid w:val="6EEE74FC"/>
    <w:rsid w:val="6F143527"/>
    <w:rsid w:val="6F1734E8"/>
    <w:rsid w:val="6FE3114C"/>
    <w:rsid w:val="6FFFBD65"/>
    <w:rsid w:val="700626AA"/>
    <w:rsid w:val="70335C2F"/>
    <w:rsid w:val="703C2F7E"/>
    <w:rsid w:val="70400107"/>
    <w:rsid w:val="70461A15"/>
    <w:rsid w:val="70531E2E"/>
    <w:rsid w:val="70630E59"/>
    <w:rsid w:val="70BC492E"/>
    <w:rsid w:val="70DF526C"/>
    <w:rsid w:val="7119619A"/>
    <w:rsid w:val="71426740"/>
    <w:rsid w:val="71CA32C3"/>
    <w:rsid w:val="71E74539"/>
    <w:rsid w:val="71F554F0"/>
    <w:rsid w:val="71F633B8"/>
    <w:rsid w:val="72192C03"/>
    <w:rsid w:val="721B0936"/>
    <w:rsid w:val="722142B5"/>
    <w:rsid w:val="72331970"/>
    <w:rsid w:val="723F660A"/>
    <w:rsid w:val="72B8241C"/>
    <w:rsid w:val="72D35EDD"/>
    <w:rsid w:val="72D7000F"/>
    <w:rsid w:val="72D76034"/>
    <w:rsid w:val="72F55B9E"/>
    <w:rsid w:val="72FD394E"/>
    <w:rsid w:val="731A4E85"/>
    <w:rsid w:val="731A6C33"/>
    <w:rsid w:val="733D69E7"/>
    <w:rsid w:val="73572841"/>
    <w:rsid w:val="735B1608"/>
    <w:rsid w:val="73B169E9"/>
    <w:rsid w:val="73C03A33"/>
    <w:rsid w:val="73DD45A9"/>
    <w:rsid w:val="74060AD6"/>
    <w:rsid w:val="743024F9"/>
    <w:rsid w:val="745A214D"/>
    <w:rsid w:val="746E5488"/>
    <w:rsid w:val="748E76D0"/>
    <w:rsid w:val="74BA3F11"/>
    <w:rsid w:val="74E51330"/>
    <w:rsid w:val="75046CC1"/>
    <w:rsid w:val="750D470F"/>
    <w:rsid w:val="759253B1"/>
    <w:rsid w:val="75A2380C"/>
    <w:rsid w:val="75B043AB"/>
    <w:rsid w:val="75B15653"/>
    <w:rsid w:val="75BE7374"/>
    <w:rsid w:val="760D1E42"/>
    <w:rsid w:val="76285B0A"/>
    <w:rsid w:val="76363810"/>
    <w:rsid w:val="763728B6"/>
    <w:rsid w:val="76544B51"/>
    <w:rsid w:val="767307F9"/>
    <w:rsid w:val="76746FA2"/>
    <w:rsid w:val="76B31878"/>
    <w:rsid w:val="76D506F3"/>
    <w:rsid w:val="76F4731D"/>
    <w:rsid w:val="772760D6"/>
    <w:rsid w:val="773921B4"/>
    <w:rsid w:val="77803E69"/>
    <w:rsid w:val="77A5693E"/>
    <w:rsid w:val="77B27D81"/>
    <w:rsid w:val="77C35AEB"/>
    <w:rsid w:val="77DFC48D"/>
    <w:rsid w:val="78484242"/>
    <w:rsid w:val="785E5813"/>
    <w:rsid w:val="78AC657F"/>
    <w:rsid w:val="78C4176A"/>
    <w:rsid w:val="78C825AC"/>
    <w:rsid w:val="78CE4FB1"/>
    <w:rsid w:val="78F65A4C"/>
    <w:rsid w:val="78FA19E0"/>
    <w:rsid w:val="790F7F73"/>
    <w:rsid w:val="79147494"/>
    <w:rsid w:val="793968B7"/>
    <w:rsid w:val="79450781"/>
    <w:rsid w:val="7952458A"/>
    <w:rsid w:val="795B6CC3"/>
    <w:rsid w:val="79846D97"/>
    <w:rsid w:val="79E636CB"/>
    <w:rsid w:val="7A49342B"/>
    <w:rsid w:val="7A726CAE"/>
    <w:rsid w:val="7A7E3F4B"/>
    <w:rsid w:val="7A85509E"/>
    <w:rsid w:val="7AE85FB6"/>
    <w:rsid w:val="7B0D172D"/>
    <w:rsid w:val="7B1F2154"/>
    <w:rsid w:val="7B560156"/>
    <w:rsid w:val="7B595F76"/>
    <w:rsid w:val="7B5DBCF8"/>
    <w:rsid w:val="7B7F42FB"/>
    <w:rsid w:val="7B86755B"/>
    <w:rsid w:val="7B8F1EDC"/>
    <w:rsid w:val="7C123B5C"/>
    <w:rsid w:val="7C3D3C6D"/>
    <w:rsid w:val="7C461AB7"/>
    <w:rsid w:val="7C493EE0"/>
    <w:rsid w:val="7C713BFB"/>
    <w:rsid w:val="7C857813"/>
    <w:rsid w:val="7C902F36"/>
    <w:rsid w:val="7CAC42AB"/>
    <w:rsid w:val="7CDA7861"/>
    <w:rsid w:val="7CF14806"/>
    <w:rsid w:val="7D870605"/>
    <w:rsid w:val="7D985324"/>
    <w:rsid w:val="7DCE51E9"/>
    <w:rsid w:val="7DF10ED8"/>
    <w:rsid w:val="7E00049B"/>
    <w:rsid w:val="7E262137"/>
    <w:rsid w:val="7E27702C"/>
    <w:rsid w:val="7E470421"/>
    <w:rsid w:val="7E63D837"/>
    <w:rsid w:val="7E883F31"/>
    <w:rsid w:val="7EB63CC6"/>
    <w:rsid w:val="7EBE6AAC"/>
    <w:rsid w:val="7EC05BF7"/>
    <w:rsid w:val="7ECF1219"/>
    <w:rsid w:val="7EF77C0C"/>
    <w:rsid w:val="7F1212E5"/>
    <w:rsid w:val="7F3D2627"/>
    <w:rsid w:val="7FAF2DF8"/>
    <w:rsid w:val="7FCB8F65"/>
    <w:rsid w:val="7FD24E2D"/>
    <w:rsid w:val="7FD92ABF"/>
    <w:rsid w:val="7FDA2703"/>
    <w:rsid w:val="7FE974AA"/>
    <w:rsid w:val="BFEBE5A1"/>
    <w:rsid w:val="CFE34BE5"/>
    <w:rsid w:val="DF7F9A65"/>
    <w:rsid w:val="F6FEECAE"/>
    <w:rsid w:val="F7DF2360"/>
    <w:rsid w:val="F9FF629F"/>
    <w:rsid w:val="FB7FA699"/>
    <w:rsid w:val="FDBBFC92"/>
    <w:rsid w:val="FE77829F"/>
    <w:rsid w:val="FEBA00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54"/>
    <w:qFormat/>
    <w:uiPriority w:val="0"/>
    <w:pPr>
      <w:keepNext/>
      <w:keepLines/>
      <w:spacing w:line="578" w:lineRule="auto"/>
      <w:outlineLvl w:val="0"/>
    </w:pPr>
    <w:rPr>
      <w:rFonts w:eastAsia="黑体"/>
      <w:b/>
      <w:bCs/>
      <w:kern w:val="44"/>
      <w:sz w:val="44"/>
      <w:szCs w:val="44"/>
    </w:rPr>
  </w:style>
  <w:style w:type="paragraph" w:styleId="5">
    <w:name w:val="heading 2"/>
    <w:basedOn w:val="1"/>
    <w:next w:val="1"/>
    <w:link w:val="55"/>
    <w:qFormat/>
    <w:uiPriority w:val="0"/>
    <w:pPr>
      <w:keepNext/>
      <w:keepLines/>
      <w:spacing w:before="240" w:after="240" w:line="416" w:lineRule="auto"/>
      <w:outlineLvl w:val="1"/>
    </w:pPr>
    <w:rPr>
      <w:rFonts w:ascii="Cambria" w:hAnsi="Cambria" w:eastAsia="仿宋"/>
      <w:b/>
      <w:bCs/>
      <w:kern w:val="0"/>
      <w:sz w:val="40"/>
      <w:szCs w:val="32"/>
    </w:rPr>
  </w:style>
  <w:style w:type="paragraph" w:styleId="6">
    <w:name w:val="heading 3"/>
    <w:basedOn w:val="1"/>
    <w:next w:val="1"/>
    <w:link w:val="56"/>
    <w:qFormat/>
    <w:uiPriority w:val="0"/>
    <w:pPr>
      <w:keepNext/>
      <w:keepLines/>
      <w:spacing w:before="120" w:after="120" w:line="416" w:lineRule="auto"/>
      <w:outlineLvl w:val="2"/>
    </w:pPr>
    <w:rPr>
      <w:rFonts w:eastAsia="仿宋"/>
      <w:b/>
      <w:bCs/>
      <w:kern w:val="0"/>
      <w:sz w:val="28"/>
      <w:szCs w:val="32"/>
    </w:rPr>
  </w:style>
  <w:style w:type="paragraph" w:styleId="7">
    <w:name w:val="heading 4"/>
    <w:basedOn w:val="1"/>
    <w:next w:val="1"/>
    <w:link w:val="57"/>
    <w:qFormat/>
    <w:uiPriority w:val="0"/>
    <w:pPr>
      <w:keepNext/>
      <w:keepLines/>
      <w:spacing w:before="280" w:after="290" w:line="372" w:lineRule="auto"/>
      <w:outlineLvl w:val="3"/>
    </w:pPr>
    <w:rPr>
      <w:rFonts w:ascii="Arial" w:hAnsi="Arial"/>
      <w:b/>
      <w:kern w:val="0"/>
      <w:sz w:val="24"/>
      <w:szCs w:val="24"/>
    </w:rPr>
  </w:style>
  <w:style w:type="paragraph" w:styleId="8">
    <w:name w:val="heading 5"/>
    <w:basedOn w:val="1"/>
    <w:next w:val="1"/>
    <w:link w:val="58"/>
    <w:qFormat/>
    <w:uiPriority w:val="0"/>
    <w:pPr>
      <w:keepNext/>
      <w:keepLines/>
      <w:spacing w:before="280" w:after="290" w:line="372" w:lineRule="auto"/>
      <w:outlineLvl w:val="4"/>
    </w:pPr>
    <w:rPr>
      <w:rFonts w:ascii="Arial" w:hAnsi="Arial"/>
      <w:b/>
      <w:kern w:val="0"/>
      <w:sz w:val="24"/>
      <w:szCs w:val="24"/>
    </w:rPr>
  </w:style>
  <w:style w:type="paragraph" w:styleId="9">
    <w:name w:val="heading 6"/>
    <w:basedOn w:val="1"/>
    <w:next w:val="1"/>
    <w:link w:val="59"/>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0"/>
    <w:qFormat/>
    <w:uiPriority w:val="0"/>
    <w:pPr>
      <w:keepNext/>
      <w:keepLines/>
      <w:spacing w:before="240" w:after="64" w:line="317" w:lineRule="auto"/>
      <w:outlineLvl w:val="6"/>
    </w:pPr>
    <w:rPr>
      <w:b/>
      <w:kern w:val="0"/>
      <w:sz w:val="24"/>
      <w:szCs w:val="20"/>
    </w:rPr>
  </w:style>
  <w:style w:type="paragraph" w:styleId="11">
    <w:name w:val="heading 8"/>
    <w:basedOn w:val="1"/>
    <w:next w:val="1"/>
    <w:link w:val="61"/>
    <w:qFormat/>
    <w:uiPriority w:val="0"/>
    <w:pPr>
      <w:keepNext/>
      <w:keepLines/>
      <w:spacing w:before="240" w:after="64" w:line="317" w:lineRule="auto"/>
      <w:outlineLvl w:val="7"/>
    </w:pPr>
    <w:rPr>
      <w:rFonts w:ascii="Arial" w:hAnsi="Arial" w:eastAsia="黑体"/>
      <w:kern w:val="0"/>
      <w:sz w:val="24"/>
      <w:szCs w:val="20"/>
    </w:rPr>
  </w:style>
  <w:style w:type="paragraph" w:styleId="12">
    <w:name w:val="heading 9"/>
    <w:basedOn w:val="1"/>
    <w:next w:val="1"/>
    <w:link w:val="62"/>
    <w:qFormat/>
    <w:uiPriority w:val="0"/>
    <w:pPr>
      <w:keepNext/>
      <w:keepLines/>
      <w:spacing w:before="240" w:after="64" w:line="317" w:lineRule="auto"/>
      <w:outlineLvl w:val="8"/>
    </w:pPr>
    <w:rPr>
      <w:rFonts w:ascii="Arial" w:hAnsi="Arial" w:eastAsia="黑体"/>
      <w:kern w:val="0"/>
      <w:sz w:val="20"/>
      <w:szCs w:val="20"/>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2">
    <w:name w:val="Body Text First Indent"/>
    <w:basedOn w:val="3"/>
    <w:link w:val="53"/>
    <w:qFormat/>
    <w:uiPriority w:val="0"/>
    <w:pPr>
      <w:spacing w:line="312" w:lineRule="auto"/>
      <w:ind w:firstLine="420"/>
    </w:pPr>
  </w:style>
  <w:style w:type="paragraph" w:styleId="3">
    <w:name w:val="Body Text"/>
    <w:basedOn w:val="1"/>
    <w:next w:val="1"/>
    <w:link w:val="52"/>
    <w:qFormat/>
    <w:uiPriority w:val="0"/>
    <w:pPr>
      <w:spacing w:after="120"/>
    </w:pPr>
    <w:rPr>
      <w:szCs w:val="24"/>
    </w:rPr>
  </w:style>
  <w:style w:type="paragraph" w:styleId="13">
    <w:name w:val="toc 7"/>
    <w:basedOn w:val="1"/>
    <w:next w:val="1"/>
    <w:unhideWhenUsed/>
    <w:qFormat/>
    <w:uiPriority w:val="39"/>
    <w:pPr>
      <w:ind w:left="1260"/>
      <w:jc w:val="left"/>
    </w:pPr>
    <w:rPr>
      <w:sz w:val="18"/>
      <w:szCs w:val="18"/>
    </w:rPr>
  </w:style>
  <w:style w:type="paragraph" w:styleId="14">
    <w:name w:val="Normal Indent"/>
    <w:basedOn w:val="1"/>
    <w:qFormat/>
    <w:uiPriority w:val="0"/>
    <w:pPr>
      <w:ind w:firstLine="420"/>
    </w:pPr>
    <w:rPr>
      <w:szCs w:val="20"/>
    </w:rPr>
  </w:style>
  <w:style w:type="paragraph" w:styleId="15">
    <w:name w:val="Document Map"/>
    <w:basedOn w:val="1"/>
    <w:link w:val="63"/>
    <w:qFormat/>
    <w:uiPriority w:val="0"/>
    <w:pPr>
      <w:shd w:val="clear" w:color="auto" w:fill="000080"/>
    </w:pPr>
    <w:rPr>
      <w:rFonts w:ascii="宋体" w:hAnsi="宋体"/>
      <w:kern w:val="0"/>
      <w:sz w:val="18"/>
      <w:szCs w:val="18"/>
    </w:rPr>
  </w:style>
  <w:style w:type="paragraph" w:styleId="16">
    <w:name w:val="annotation text"/>
    <w:basedOn w:val="1"/>
    <w:link w:val="64"/>
    <w:qFormat/>
    <w:uiPriority w:val="0"/>
    <w:pPr>
      <w:jc w:val="left"/>
    </w:pPr>
    <w:rPr>
      <w:szCs w:val="24"/>
    </w:rPr>
  </w:style>
  <w:style w:type="paragraph" w:styleId="17">
    <w:name w:val="Body Text 3"/>
    <w:basedOn w:val="1"/>
    <w:qFormat/>
    <w:uiPriority w:val="0"/>
    <w:rPr>
      <w:rFonts w:ascii="宋体"/>
      <w:sz w:val="24"/>
      <w:szCs w:val="20"/>
    </w:rPr>
  </w:style>
  <w:style w:type="paragraph" w:styleId="18">
    <w:name w:val="Body Text Indent"/>
    <w:basedOn w:val="1"/>
    <w:link w:val="65"/>
    <w:unhideWhenUsed/>
    <w:qFormat/>
    <w:uiPriority w:val="0"/>
    <w:pPr>
      <w:spacing w:after="120"/>
      <w:ind w:left="420" w:leftChars="200"/>
    </w:pPr>
    <w:rPr>
      <w:kern w:val="0"/>
      <w:sz w:val="20"/>
      <w:szCs w:val="20"/>
    </w:rPr>
  </w:style>
  <w:style w:type="paragraph" w:styleId="19">
    <w:name w:val="toc 5"/>
    <w:basedOn w:val="1"/>
    <w:next w:val="1"/>
    <w:unhideWhenUsed/>
    <w:qFormat/>
    <w:uiPriority w:val="39"/>
    <w:pPr>
      <w:ind w:left="840"/>
      <w:jc w:val="left"/>
    </w:pPr>
    <w:rPr>
      <w:sz w:val="18"/>
      <w:szCs w:val="18"/>
    </w:rPr>
  </w:style>
  <w:style w:type="paragraph" w:styleId="20">
    <w:name w:val="toc 3"/>
    <w:basedOn w:val="1"/>
    <w:next w:val="1"/>
    <w:unhideWhenUsed/>
    <w:qFormat/>
    <w:uiPriority w:val="0"/>
    <w:pPr>
      <w:ind w:left="420"/>
      <w:jc w:val="left"/>
    </w:pPr>
    <w:rPr>
      <w:i/>
      <w:iCs/>
      <w:sz w:val="20"/>
      <w:szCs w:val="20"/>
    </w:rPr>
  </w:style>
  <w:style w:type="paragraph" w:styleId="21">
    <w:name w:val="Plain Text"/>
    <w:basedOn w:val="1"/>
    <w:link w:val="66"/>
    <w:qFormat/>
    <w:uiPriority w:val="0"/>
    <w:rPr>
      <w:rFonts w:ascii="宋体" w:hAnsi="Courier New"/>
      <w:kern w:val="0"/>
      <w:sz w:val="20"/>
      <w:szCs w:val="21"/>
    </w:rPr>
  </w:style>
  <w:style w:type="paragraph" w:styleId="22">
    <w:name w:val="toc 8"/>
    <w:basedOn w:val="1"/>
    <w:next w:val="1"/>
    <w:unhideWhenUsed/>
    <w:qFormat/>
    <w:uiPriority w:val="39"/>
    <w:pPr>
      <w:ind w:left="1470"/>
      <w:jc w:val="left"/>
    </w:pPr>
    <w:rPr>
      <w:sz w:val="18"/>
      <w:szCs w:val="18"/>
    </w:rPr>
  </w:style>
  <w:style w:type="paragraph" w:styleId="23">
    <w:name w:val="Date"/>
    <w:basedOn w:val="1"/>
    <w:next w:val="1"/>
    <w:link w:val="67"/>
    <w:qFormat/>
    <w:uiPriority w:val="0"/>
    <w:pPr>
      <w:ind w:left="100" w:leftChars="2500"/>
    </w:pPr>
    <w:rPr>
      <w:kern w:val="0"/>
      <w:sz w:val="20"/>
      <w:szCs w:val="24"/>
    </w:rPr>
  </w:style>
  <w:style w:type="paragraph" w:styleId="24">
    <w:name w:val="Body Text Indent 2"/>
    <w:basedOn w:val="1"/>
    <w:link w:val="68"/>
    <w:qFormat/>
    <w:uiPriority w:val="0"/>
    <w:pPr>
      <w:spacing w:after="120" w:line="480" w:lineRule="auto"/>
      <w:ind w:left="420" w:leftChars="200"/>
    </w:pPr>
    <w:rPr>
      <w:kern w:val="0"/>
      <w:sz w:val="20"/>
      <w:szCs w:val="24"/>
    </w:rPr>
  </w:style>
  <w:style w:type="paragraph" w:styleId="25">
    <w:name w:val="endnote text"/>
    <w:basedOn w:val="1"/>
    <w:link w:val="69"/>
    <w:semiHidden/>
    <w:qFormat/>
    <w:uiPriority w:val="0"/>
    <w:pPr>
      <w:snapToGrid w:val="0"/>
      <w:jc w:val="left"/>
    </w:pPr>
    <w:rPr>
      <w:kern w:val="0"/>
      <w:sz w:val="20"/>
      <w:szCs w:val="20"/>
    </w:rPr>
  </w:style>
  <w:style w:type="paragraph" w:styleId="26">
    <w:name w:val="Balloon Text"/>
    <w:basedOn w:val="1"/>
    <w:link w:val="70"/>
    <w:unhideWhenUsed/>
    <w:qFormat/>
    <w:uiPriority w:val="0"/>
    <w:rPr>
      <w:sz w:val="18"/>
      <w:szCs w:val="18"/>
    </w:rPr>
  </w:style>
  <w:style w:type="paragraph" w:styleId="27">
    <w:name w:val="footer"/>
    <w:basedOn w:val="1"/>
    <w:link w:val="71"/>
    <w:unhideWhenUsed/>
    <w:qFormat/>
    <w:uiPriority w:val="99"/>
    <w:pPr>
      <w:tabs>
        <w:tab w:val="center" w:pos="4153"/>
        <w:tab w:val="right" w:pos="8306"/>
      </w:tabs>
      <w:snapToGrid w:val="0"/>
      <w:jc w:val="left"/>
    </w:pPr>
    <w:rPr>
      <w:kern w:val="0"/>
      <w:sz w:val="18"/>
      <w:szCs w:val="18"/>
    </w:rPr>
  </w:style>
  <w:style w:type="paragraph" w:styleId="28">
    <w:name w:val="header"/>
    <w:basedOn w:val="1"/>
    <w:link w:val="7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unhideWhenUsed/>
    <w:qFormat/>
    <w:uiPriority w:val="39"/>
    <w:pPr>
      <w:spacing w:before="120" w:after="120"/>
      <w:jc w:val="left"/>
    </w:pPr>
    <w:rPr>
      <w:b/>
      <w:bCs/>
      <w:caps/>
      <w:sz w:val="20"/>
      <w:szCs w:val="20"/>
    </w:rPr>
  </w:style>
  <w:style w:type="paragraph" w:styleId="30">
    <w:name w:val="toc 4"/>
    <w:basedOn w:val="1"/>
    <w:next w:val="1"/>
    <w:unhideWhenUsed/>
    <w:qFormat/>
    <w:uiPriority w:val="39"/>
    <w:pPr>
      <w:ind w:left="630"/>
      <w:jc w:val="left"/>
    </w:pPr>
    <w:rPr>
      <w:sz w:val="18"/>
      <w:szCs w:val="18"/>
    </w:rPr>
  </w:style>
  <w:style w:type="paragraph" w:styleId="31">
    <w:name w:val="index heading"/>
    <w:basedOn w:val="1"/>
    <w:next w:val="32"/>
    <w:qFormat/>
    <w:uiPriority w:val="99"/>
    <w:rPr>
      <w:szCs w:val="20"/>
    </w:rPr>
  </w:style>
  <w:style w:type="paragraph" w:styleId="32">
    <w:name w:val="index 1"/>
    <w:basedOn w:val="1"/>
    <w:next w:val="1"/>
    <w:qFormat/>
    <w:uiPriority w:val="0"/>
    <w:pPr>
      <w:spacing w:line="220" w:lineRule="exact"/>
      <w:jc w:val="center"/>
    </w:pPr>
    <w:rPr>
      <w:rFonts w:ascii="仿宋_GB2312" w:eastAsia="仿宋_GB2312"/>
      <w:szCs w:val="21"/>
    </w:rPr>
  </w:style>
  <w:style w:type="paragraph" w:styleId="33">
    <w:name w:val="footnote text"/>
    <w:basedOn w:val="1"/>
    <w:link w:val="73"/>
    <w:semiHidden/>
    <w:qFormat/>
    <w:uiPriority w:val="0"/>
    <w:pPr>
      <w:snapToGrid w:val="0"/>
      <w:jc w:val="left"/>
    </w:pPr>
    <w:rPr>
      <w:kern w:val="0"/>
      <w:sz w:val="18"/>
      <w:szCs w:val="20"/>
    </w:rPr>
  </w:style>
  <w:style w:type="paragraph" w:styleId="34">
    <w:name w:val="toc 6"/>
    <w:basedOn w:val="1"/>
    <w:next w:val="1"/>
    <w:unhideWhenUsed/>
    <w:qFormat/>
    <w:uiPriority w:val="39"/>
    <w:pPr>
      <w:ind w:left="1050"/>
      <w:jc w:val="left"/>
    </w:pPr>
    <w:rPr>
      <w:sz w:val="18"/>
      <w:szCs w:val="18"/>
    </w:rPr>
  </w:style>
  <w:style w:type="paragraph" w:styleId="35">
    <w:name w:val="Body Text Indent 3"/>
    <w:basedOn w:val="1"/>
    <w:link w:val="74"/>
    <w:unhideWhenUsed/>
    <w:qFormat/>
    <w:uiPriority w:val="0"/>
    <w:pPr>
      <w:spacing w:after="120"/>
      <w:ind w:left="420" w:leftChars="200"/>
    </w:pPr>
    <w:rPr>
      <w:kern w:val="0"/>
      <w:sz w:val="16"/>
      <w:szCs w:val="16"/>
    </w:rPr>
  </w:style>
  <w:style w:type="paragraph" w:styleId="36">
    <w:name w:val="toc 2"/>
    <w:basedOn w:val="1"/>
    <w:next w:val="1"/>
    <w:unhideWhenUsed/>
    <w:qFormat/>
    <w:uiPriority w:val="39"/>
    <w:pPr>
      <w:ind w:left="210"/>
      <w:jc w:val="left"/>
    </w:pPr>
    <w:rPr>
      <w:smallCaps/>
      <w:sz w:val="20"/>
      <w:szCs w:val="20"/>
    </w:rPr>
  </w:style>
  <w:style w:type="paragraph" w:styleId="37">
    <w:name w:val="toc 9"/>
    <w:basedOn w:val="1"/>
    <w:next w:val="1"/>
    <w:unhideWhenUsed/>
    <w:qFormat/>
    <w:uiPriority w:val="39"/>
    <w:pPr>
      <w:ind w:left="1680"/>
      <w:jc w:val="left"/>
    </w:pPr>
    <w:rPr>
      <w:sz w:val="18"/>
      <w:szCs w:val="18"/>
    </w:rPr>
  </w:style>
  <w:style w:type="paragraph" w:styleId="38">
    <w:name w:val="Body Text 2"/>
    <w:basedOn w:val="1"/>
    <w:link w:val="75"/>
    <w:qFormat/>
    <w:uiPriority w:val="0"/>
    <w:rPr>
      <w:rFonts w:ascii="宋体" w:hAnsi="宋体"/>
      <w:kern w:val="0"/>
      <w:sz w:val="20"/>
      <w:szCs w:val="24"/>
      <w:u w:val="single"/>
    </w:rPr>
  </w:style>
  <w:style w:type="paragraph" w:styleId="39">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4"/>
    </w:rPr>
  </w:style>
  <w:style w:type="paragraph" w:styleId="40">
    <w:name w:val="Title"/>
    <w:basedOn w:val="1"/>
    <w:link w:val="76"/>
    <w:qFormat/>
    <w:uiPriority w:val="0"/>
    <w:pPr>
      <w:spacing w:before="240" w:after="60"/>
      <w:jc w:val="center"/>
      <w:outlineLvl w:val="0"/>
    </w:pPr>
    <w:rPr>
      <w:rFonts w:ascii="Cambria" w:hAnsi="Cambria" w:eastAsia="Cambria"/>
      <w:b/>
      <w:kern w:val="0"/>
      <w:sz w:val="32"/>
      <w:szCs w:val="32"/>
    </w:rPr>
  </w:style>
  <w:style w:type="paragraph" w:styleId="41">
    <w:name w:val="annotation subject"/>
    <w:basedOn w:val="16"/>
    <w:next w:val="16"/>
    <w:link w:val="77"/>
    <w:qFormat/>
    <w:uiPriority w:val="0"/>
    <w:rPr>
      <w:rFonts w:ascii="Calibri" w:hAnsi="Calibri"/>
      <w:b/>
      <w:bCs/>
      <w:szCs w:val="22"/>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endnote reference"/>
    <w:semiHidden/>
    <w:qFormat/>
    <w:uiPriority w:val="0"/>
    <w:rPr>
      <w:vertAlign w:val="superscript"/>
    </w:rPr>
  </w:style>
  <w:style w:type="character" w:styleId="47">
    <w:name w:val="page number"/>
    <w:qFormat/>
    <w:uiPriority w:val="0"/>
    <w:rPr>
      <w:rFonts w:eastAsia="楷体_GB2312"/>
      <w:kern w:val="2"/>
      <w:sz w:val="24"/>
      <w:szCs w:val="24"/>
      <w:lang w:val="en-US" w:eastAsia="zh-CN" w:bidi="ar-SA"/>
    </w:rPr>
  </w:style>
  <w:style w:type="character" w:styleId="48">
    <w:name w:val="FollowedHyperlink"/>
    <w:unhideWhenUsed/>
    <w:qFormat/>
    <w:uiPriority w:val="99"/>
    <w:rPr>
      <w:color w:val="954F72"/>
      <w:u w:val="single"/>
    </w:rPr>
  </w:style>
  <w:style w:type="character" w:styleId="49">
    <w:name w:val="Hyperlink"/>
    <w:unhideWhenUsed/>
    <w:qFormat/>
    <w:uiPriority w:val="99"/>
    <w:rPr>
      <w:color w:val="000000"/>
      <w:u w:val="none"/>
    </w:rPr>
  </w:style>
  <w:style w:type="character" w:styleId="50">
    <w:name w:val="annotation reference"/>
    <w:qFormat/>
    <w:uiPriority w:val="0"/>
    <w:rPr>
      <w:sz w:val="21"/>
      <w:szCs w:val="21"/>
    </w:rPr>
  </w:style>
  <w:style w:type="character" w:styleId="51">
    <w:name w:val="footnote reference"/>
    <w:semiHidden/>
    <w:qFormat/>
    <w:uiPriority w:val="0"/>
    <w:rPr>
      <w:vertAlign w:val="superscript"/>
    </w:rPr>
  </w:style>
  <w:style w:type="character" w:customStyle="1" w:styleId="52">
    <w:name w:val="正文文本 字符1"/>
    <w:link w:val="3"/>
    <w:qFormat/>
    <w:uiPriority w:val="0"/>
    <w:rPr>
      <w:rFonts w:ascii="Times New Roman" w:hAnsi="Times New Roman"/>
      <w:kern w:val="2"/>
      <w:sz w:val="21"/>
      <w:szCs w:val="24"/>
    </w:rPr>
  </w:style>
  <w:style w:type="character" w:customStyle="1" w:styleId="53">
    <w:name w:val="正文首行缩进 字符"/>
    <w:link w:val="2"/>
    <w:qFormat/>
    <w:uiPriority w:val="0"/>
    <w:rPr>
      <w:rFonts w:ascii="Times New Roman" w:hAnsi="Times New Roman"/>
      <w:kern w:val="2"/>
      <w:sz w:val="21"/>
      <w:szCs w:val="24"/>
    </w:rPr>
  </w:style>
  <w:style w:type="character" w:customStyle="1" w:styleId="54">
    <w:name w:val="标题 1 字符2"/>
    <w:link w:val="4"/>
    <w:qFormat/>
    <w:uiPriority w:val="0"/>
    <w:rPr>
      <w:rFonts w:ascii="Calibri" w:hAnsi="Calibri" w:eastAsia="黑体" w:cs="Times New Roman"/>
      <w:b/>
      <w:bCs/>
      <w:kern w:val="44"/>
      <w:sz w:val="44"/>
      <w:szCs w:val="44"/>
    </w:rPr>
  </w:style>
  <w:style w:type="character" w:customStyle="1" w:styleId="55">
    <w:name w:val="标题 2 字符1"/>
    <w:link w:val="5"/>
    <w:qFormat/>
    <w:uiPriority w:val="0"/>
    <w:rPr>
      <w:rFonts w:ascii="Cambria" w:hAnsi="Cambria" w:eastAsia="仿宋" w:cs="Times New Roman"/>
      <w:b/>
      <w:bCs/>
      <w:sz w:val="40"/>
      <w:szCs w:val="32"/>
    </w:rPr>
  </w:style>
  <w:style w:type="character" w:customStyle="1" w:styleId="56">
    <w:name w:val="标题 3 字符1"/>
    <w:link w:val="6"/>
    <w:qFormat/>
    <w:uiPriority w:val="0"/>
    <w:rPr>
      <w:rFonts w:ascii="Calibri" w:hAnsi="Calibri" w:eastAsia="仿宋" w:cs="Times New Roman"/>
      <w:b/>
      <w:bCs/>
      <w:sz w:val="28"/>
      <w:szCs w:val="32"/>
    </w:rPr>
  </w:style>
  <w:style w:type="character" w:customStyle="1" w:styleId="57">
    <w:name w:val="标题 4 字符1"/>
    <w:link w:val="7"/>
    <w:qFormat/>
    <w:uiPriority w:val="0"/>
    <w:rPr>
      <w:rFonts w:ascii="Arial" w:hAnsi="Arial"/>
      <w:b/>
      <w:sz w:val="24"/>
      <w:szCs w:val="24"/>
    </w:rPr>
  </w:style>
  <w:style w:type="character" w:customStyle="1" w:styleId="58">
    <w:name w:val="标题 5 字符1"/>
    <w:link w:val="8"/>
    <w:qFormat/>
    <w:uiPriority w:val="0"/>
    <w:rPr>
      <w:rFonts w:ascii="Arial" w:hAnsi="Arial"/>
      <w:b/>
      <w:sz w:val="24"/>
      <w:szCs w:val="24"/>
    </w:rPr>
  </w:style>
  <w:style w:type="character" w:customStyle="1" w:styleId="59">
    <w:name w:val="标题 6 字符"/>
    <w:link w:val="9"/>
    <w:qFormat/>
    <w:uiPriority w:val="0"/>
    <w:rPr>
      <w:rFonts w:ascii="Arial" w:hAnsi="Arial" w:eastAsia="黑体"/>
      <w:b/>
      <w:bCs/>
      <w:kern w:val="2"/>
      <w:sz w:val="24"/>
      <w:szCs w:val="24"/>
    </w:rPr>
  </w:style>
  <w:style w:type="character" w:customStyle="1" w:styleId="60">
    <w:name w:val="标题 7 字符1"/>
    <w:link w:val="10"/>
    <w:qFormat/>
    <w:uiPriority w:val="0"/>
    <w:rPr>
      <w:rFonts w:ascii="Times New Roman" w:hAnsi="Times New Roman"/>
      <w:b/>
      <w:sz w:val="24"/>
    </w:rPr>
  </w:style>
  <w:style w:type="character" w:customStyle="1" w:styleId="61">
    <w:name w:val="标题 8 字符1"/>
    <w:link w:val="11"/>
    <w:qFormat/>
    <w:uiPriority w:val="0"/>
    <w:rPr>
      <w:rFonts w:ascii="Arial" w:hAnsi="Arial" w:eastAsia="黑体"/>
      <w:sz w:val="24"/>
    </w:rPr>
  </w:style>
  <w:style w:type="character" w:customStyle="1" w:styleId="62">
    <w:name w:val="标题 9 字符1"/>
    <w:link w:val="12"/>
    <w:qFormat/>
    <w:uiPriority w:val="0"/>
    <w:rPr>
      <w:rFonts w:ascii="Arial" w:hAnsi="Arial" w:eastAsia="黑体"/>
    </w:rPr>
  </w:style>
  <w:style w:type="character" w:customStyle="1" w:styleId="63">
    <w:name w:val="文档结构图 字符1"/>
    <w:link w:val="15"/>
    <w:qFormat/>
    <w:uiPriority w:val="0"/>
    <w:rPr>
      <w:rFonts w:ascii="宋体" w:hAnsi="宋体" w:cs="宋体"/>
      <w:sz w:val="18"/>
      <w:szCs w:val="18"/>
      <w:shd w:val="clear" w:color="auto" w:fill="000080"/>
    </w:rPr>
  </w:style>
  <w:style w:type="character" w:customStyle="1" w:styleId="64">
    <w:name w:val="批注文字 字符1"/>
    <w:link w:val="16"/>
    <w:qFormat/>
    <w:uiPriority w:val="0"/>
    <w:rPr>
      <w:rFonts w:ascii="Times New Roman" w:hAnsi="Times New Roman"/>
      <w:kern w:val="2"/>
      <w:sz w:val="21"/>
      <w:szCs w:val="24"/>
    </w:rPr>
  </w:style>
  <w:style w:type="character" w:customStyle="1" w:styleId="65">
    <w:name w:val="正文文本缩进 字符1"/>
    <w:link w:val="18"/>
    <w:qFormat/>
    <w:uiPriority w:val="0"/>
    <w:rPr>
      <w:rFonts w:ascii="Calibri" w:hAnsi="Calibri" w:eastAsia="宋体" w:cs="Times New Roman"/>
    </w:rPr>
  </w:style>
  <w:style w:type="character" w:customStyle="1" w:styleId="66">
    <w:name w:val="纯文本 字符2"/>
    <w:link w:val="21"/>
    <w:qFormat/>
    <w:uiPriority w:val="0"/>
    <w:rPr>
      <w:rFonts w:ascii="宋体" w:hAnsi="Courier New" w:cs="Courier New"/>
      <w:szCs w:val="21"/>
    </w:rPr>
  </w:style>
  <w:style w:type="character" w:customStyle="1" w:styleId="67">
    <w:name w:val="日期 字符1"/>
    <w:link w:val="23"/>
    <w:qFormat/>
    <w:uiPriority w:val="0"/>
    <w:rPr>
      <w:szCs w:val="24"/>
    </w:rPr>
  </w:style>
  <w:style w:type="character" w:customStyle="1" w:styleId="68">
    <w:name w:val="正文文本缩进 2 字符1"/>
    <w:link w:val="24"/>
    <w:qFormat/>
    <w:uiPriority w:val="0"/>
    <w:rPr>
      <w:szCs w:val="24"/>
    </w:rPr>
  </w:style>
  <w:style w:type="character" w:customStyle="1" w:styleId="69">
    <w:name w:val="尾注文本 字符"/>
    <w:link w:val="25"/>
    <w:semiHidden/>
    <w:qFormat/>
    <w:uiPriority w:val="0"/>
    <w:rPr>
      <w:rFonts w:ascii="Times New Roman" w:hAnsi="Times New Roman"/>
    </w:rPr>
  </w:style>
  <w:style w:type="character" w:customStyle="1" w:styleId="70">
    <w:name w:val="批注框文本 字符1"/>
    <w:link w:val="26"/>
    <w:qFormat/>
    <w:uiPriority w:val="0"/>
    <w:rPr>
      <w:kern w:val="2"/>
      <w:sz w:val="18"/>
      <w:szCs w:val="18"/>
    </w:rPr>
  </w:style>
  <w:style w:type="character" w:customStyle="1" w:styleId="71">
    <w:name w:val="页脚 字符2"/>
    <w:link w:val="27"/>
    <w:qFormat/>
    <w:uiPriority w:val="99"/>
    <w:rPr>
      <w:rFonts w:ascii="Calibri" w:hAnsi="Calibri" w:eastAsia="宋体" w:cs="Times New Roman"/>
      <w:sz w:val="18"/>
      <w:szCs w:val="18"/>
    </w:rPr>
  </w:style>
  <w:style w:type="character" w:customStyle="1" w:styleId="72">
    <w:name w:val="页眉 字符2"/>
    <w:link w:val="28"/>
    <w:qFormat/>
    <w:uiPriority w:val="99"/>
    <w:rPr>
      <w:rFonts w:ascii="Calibri" w:hAnsi="Calibri" w:eastAsia="宋体" w:cs="Times New Roman"/>
      <w:sz w:val="18"/>
      <w:szCs w:val="18"/>
    </w:rPr>
  </w:style>
  <w:style w:type="character" w:customStyle="1" w:styleId="73">
    <w:name w:val="脚注文本 字符"/>
    <w:link w:val="33"/>
    <w:semiHidden/>
    <w:qFormat/>
    <w:uiPriority w:val="0"/>
    <w:rPr>
      <w:rFonts w:ascii="Times New Roman" w:hAnsi="Times New Roman"/>
      <w:sz w:val="18"/>
    </w:rPr>
  </w:style>
  <w:style w:type="character" w:customStyle="1" w:styleId="74">
    <w:name w:val="正文文本缩进 3 字符1"/>
    <w:link w:val="35"/>
    <w:qFormat/>
    <w:uiPriority w:val="0"/>
    <w:rPr>
      <w:rFonts w:ascii="Calibri" w:hAnsi="Calibri" w:eastAsia="宋体" w:cs="Times New Roman"/>
      <w:sz w:val="16"/>
      <w:szCs w:val="16"/>
    </w:rPr>
  </w:style>
  <w:style w:type="character" w:customStyle="1" w:styleId="75">
    <w:name w:val="正文文本 2 字符1"/>
    <w:link w:val="38"/>
    <w:qFormat/>
    <w:uiPriority w:val="0"/>
    <w:rPr>
      <w:rFonts w:ascii="宋体" w:hAnsi="宋体" w:eastAsia="宋体" w:cs="Times New Roman"/>
      <w:szCs w:val="24"/>
      <w:u w:val="single"/>
    </w:rPr>
  </w:style>
  <w:style w:type="character" w:customStyle="1" w:styleId="76">
    <w:name w:val="标题 字符1"/>
    <w:link w:val="40"/>
    <w:qFormat/>
    <w:uiPriority w:val="0"/>
    <w:rPr>
      <w:rFonts w:ascii="Cambria" w:hAnsi="Cambria" w:eastAsia="Cambria"/>
      <w:b/>
      <w:sz w:val="32"/>
      <w:szCs w:val="32"/>
    </w:rPr>
  </w:style>
  <w:style w:type="character" w:customStyle="1" w:styleId="77">
    <w:name w:val="批注主题 字符1"/>
    <w:link w:val="41"/>
    <w:qFormat/>
    <w:uiPriority w:val="0"/>
    <w:rPr>
      <w:b/>
      <w:bCs/>
      <w:kern w:val="2"/>
      <w:sz w:val="21"/>
      <w:szCs w:val="22"/>
    </w:rPr>
  </w:style>
  <w:style w:type="paragraph" w:customStyle="1" w:styleId="78">
    <w:name w:val="样式 宋体 行距: 1.5 倍行距"/>
    <w:qFormat/>
    <w:uiPriority w:val="0"/>
    <w:pPr>
      <w:widowControl w:val="0"/>
      <w:jc w:val="center"/>
    </w:pPr>
    <w:rPr>
      <w:rFonts w:ascii="Times New Roman" w:hAnsi="Times New Roman" w:eastAsia="宋体" w:cs="Times New Roman"/>
      <w:b/>
      <w:kern w:val="2"/>
      <w:sz w:val="21"/>
      <w:szCs w:val="22"/>
      <w:lang w:val="en-US" w:eastAsia="zh-CN" w:bidi="ar-SA"/>
    </w:rPr>
  </w:style>
  <w:style w:type="character" w:customStyle="1" w:styleId="79">
    <w:name w:val="正文文本缩进 Char1"/>
    <w:qFormat/>
    <w:uiPriority w:val="0"/>
    <w:rPr>
      <w:kern w:val="2"/>
      <w:sz w:val="21"/>
      <w:szCs w:val="24"/>
    </w:rPr>
  </w:style>
  <w:style w:type="character" w:customStyle="1" w:styleId="80">
    <w:name w:val="font51"/>
    <w:basedOn w:val="44"/>
    <w:qFormat/>
    <w:uiPriority w:val="0"/>
    <w:rPr>
      <w:rFonts w:hint="default" w:ascii="Times New Roman" w:hAnsi="Times New Roman" w:cs="Times New Roman"/>
      <w:color w:val="000000"/>
      <w:sz w:val="22"/>
      <w:szCs w:val="22"/>
      <w:u w:val="none"/>
    </w:rPr>
  </w:style>
  <w:style w:type="character" w:customStyle="1" w:styleId="81">
    <w:name w:val="批注主题 Char1"/>
    <w:qFormat/>
    <w:uiPriority w:val="0"/>
    <w:rPr>
      <w:b/>
      <w:kern w:val="2"/>
      <w:sz w:val="21"/>
      <w:szCs w:val="24"/>
    </w:rPr>
  </w:style>
  <w:style w:type="character" w:customStyle="1" w:styleId="82">
    <w:name w:val="标题 4 字符"/>
    <w:qFormat/>
    <w:uiPriority w:val="0"/>
    <w:rPr>
      <w:rFonts w:ascii="Cambria" w:hAnsi="Cambria" w:eastAsia="宋体" w:cs="Times New Roman"/>
      <w:b/>
      <w:bCs/>
      <w:sz w:val="28"/>
      <w:szCs w:val="28"/>
    </w:rPr>
  </w:style>
  <w:style w:type="character" w:customStyle="1" w:styleId="83">
    <w:name w:val="页眉 字符"/>
    <w:qFormat/>
    <w:uiPriority w:val="0"/>
    <w:rPr>
      <w:sz w:val="18"/>
      <w:szCs w:val="18"/>
    </w:rPr>
  </w:style>
  <w:style w:type="character" w:customStyle="1" w:styleId="84">
    <w:name w:val="日期 字符2"/>
    <w:semiHidden/>
    <w:qFormat/>
    <w:uiPriority w:val="99"/>
  </w:style>
  <w:style w:type="character" w:customStyle="1" w:styleId="85">
    <w:name w:val="正文文本缩进 3 字符"/>
    <w:qFormat/>
    <w:uiPriority w:val="0"/>
    <w:rPr>
      <w:rFonts w:ascii="Times New Roman" w:hAnsi="Times New Roman" w:eastAsia="宋体" w:cs="Times New Roman"/>
      <w:sz w:val="16"/>
      <w:szCs w:val="16"/>
    </w:rPr>
  </w:style>
  <w:style w:type="character" w:customStyle="1" w:styleId="86">
    <w:name w:val="普通文字 Char"/>
    <w:qFormat/>
    <w:uiPriority w:val="0"/>
    <w:rPr>
      <w:rFonts w:ascii="宋体" w:hAnsi="Courier New" w:eastAsia="宋体"/>
      <w:color w:val="000000"/>
      <w:kern w:val="2"/>
      <w:sz w:val="21"/>
      <w:szCs w:val="28"/>
      <w:lang w:val="en-US" w:eastAsia="zh-CN" w:bidi="ar-SA"/>
    </w:rPr>
  </w:style>
  <w:style w:type="character" w:customStyle="1" w:styleId="87">
    <w:name w:val="批注框文本 字符2"/>
    <w:semiHidden/>
    <w:qFormat/>
    <w:uiPriority w:val="99"/>
    <w:rPr>
      <w:sz w:val="18"/>
      <w:szCs w:val="18"/>
    </w:rPr>
  </w:style>
  <w:style w:type="character" w:customStyle="1" w:styleId="88">
    <w:name w:val="正文文本 Char2"/>
    <w:qFormat/>
    <w:uiPriority w:val="0"/>
    <w:rPr>
      <w:szCs w:val="24"/>
    </w:rPr>
  </w:style>
  <w:style w:type="character" w:customStyle="1" w:styleId="89">
    <w:name w:val="批注框文本 Char1"/>
    <w:qFormat/>
    <w:uiPriority w:val="0"/>
    <w:rPr>
      <w:rFonts w:hint="default" w:ascii="Times New Roman" w:hAnsi="Times New Roman" w:cs="Times New Roman"/>
      <w:kern w:val="2"/>
      <w:sz w:val="18"/>
      <w:szCs w:val="18"/>
    </w:rPr>
  </w:style>
  <w:style w:type="character" w:customStyle="1" w:styleId="90">
    <w:name w:val="标题 8 字符"/>
    <w:qFormat/>
    <w:uiPriority w:val="0"/>
    <w:rPr>
      <w:rFonts w:ascii="Cambria" w:hAnsi="Cambria" w:eastAsia="宋体" w:cs="Times New Roman"/>
      <w:sz w:val="24"/>
      <w:szCs w:val="24"/>
    </w:rPr>
  </w:style>
  <w:style w:type="character" w:customStyle="1" w:styleId="91">
    <w:name w:val="纯文本 Char1"/>
    <w:qFormat/>
    <w:uiPriority w:val="0"/>
    <w:rPr>
      <w:rFonts w:hint="eastAsia" w:ascii="宋体" w:hAnsi="Courier New" w:eastAsia="宋体" w:cs="Courier New"/>
      <w:kern w:val="2"/>
      <w:sz w:val="21"/>
      <w:szCs w:val="21"/>
    </w:rPr>
  </w:style>
  <w:style w:type="character" w:customStyle="1" w:styleId="92">
    <w:name w:val="正文文本首行缩进 字符"/>
    <w:qFormat/>
    <w:uiPriority w:val="0"/>
    <w:rPr>
      <w:rFonts w:ascii="Times New Roman" w:hAnsi="Times New Roman" w:eastAsia="宋体" w:cs="Times New Roman"/>
      <w:szCs w:val="24"/>
    </w:rPr>
  </w:style>
  <w:style w:type="character" w:customStyle="1" w:styleId="93">
    <w:name w:val="Document Map Char"/>
    <w:qFormat/>
    <w:uiPriority w:val="0"/>
    <w:rPr>
      <w:rFonts w:hint="eastAsia" w:ascii="宋体" w:hAnsi="宋体" w:eastAsia="宋体" w:cs="宋体"/>
      <w:sz w:val="18"/>
      <w:szCs w:val="18"/>
    </w:rPr>
  </w:style>
  <w:style w:type="character" w:customStyle="1" w:styleId="94">
    <w:name w:val="font31"/>
    <w:basedOn w:val="44"/>
    <w:qFormat/>
    <w:uiPriority w:val="0"/>
    <w:rPr>
      <w:rFonts w:hint="eastAsia" w:ascii="宋体" w:hAnsi="宋体" w:eastAsia="宋体" w:cs="宋体"/>
      <w:color w:val="000000"/>
      <w:sz w:val="20"/>
      <w:szCs w:val="20"/>
      <w:u w:val="none"/>
    </w:rPr>
  </w:style>
  <w:style w:type="character" w:customStyle="1" w:styleId="95">
    <w:name w:val="纯文本 字符3"/>
    <w:semiHidden/>
    <w:qFormat/>
    <w:uiPriority w:val="99"/>
    <w:rPr>
      <w:rFonts w:ascii="宋体" w:hAnsi="Courier New" w:cs="Courier New"/>
    </w:rPr>
  </w:style>
  <w:style w:type="character" w:customStyle="1" w:styleId="96">
    <w:name w:val="日期 Char"/>
    <w:qFormat/>
    <w:uiPriority w:val="0"/>
    <w:rPr>
      <w:kern w:val="2"/>
      <w:sz w:val="24"/>
      <w:szCs w:val="24"/>
    </w:rPr>
  </w:style>
  <w:style w:type="character" w:customStyle="1" w:styleId="97">
    <w:name w:val="纯文本 字符"/>
    <w:qFormat/>
    <w:uiPriority w:val="0"/>
    <w:rPr>
      <w:rFonts w:ascii="等线" w:hAnsi="Courier New" w:cs="Courier New"/>
      <w:szCs w:val="24"/>
    </w:rPr>
  </w:style>
  <w:style w:type="character" w:customStyle="1" w:styleId="98">
    <w:name w:val="标题 字符2"/>
    <w:qFormat/>
    <w:uiPriority w:val="10"/>
    <w:rPr>
      <w:rFonts w:ascii="Cambria" w:hAnsi="Cambria" w:eastAsia="宋体" w:cs="Times New Roman"/>
      <w:b/>
      <w:bCs/>
      <w:sz w:val="32"/>
      <w:szCs w:val="32"/>
    </w:rPr>
  </w:style>
  <w:style w:type="character" w:customStyle="1" w:styleId="99">
    <w:name w:val="Body Text First Indent Char"/>
    <w:qFormat/>
    <w:uiPriority w:val="0"/>
    <w:rPr>
      <w:sz w:val="21"/>
      <w:szCs w:val="21"/>
    </w:rPr>
  </w:style>
  <w:style w:type="character" w:customStyle="1" w:styleId="100">
    <w:name w:val="批注框文本 字符"/>
    <w:qFormat/>
    <w:uiPriority w:val="0"/>
    <w:rPr>
      <w:rFonts w:ascii="Times New Roman" w:hAnsi="Times New Roman" w:eastAsia="宋体" w:cs="Times New Roman"/>
      <w:sz w:val="18"/>
      <w:szCs w:val="18"/>
    </w:rPr>
  </w:style>
  <w:style w:type="character" w:customStyle="1" w:styleId="101">
    <w:name w:val="正文文本 Char1"/>
    <w:qFormat/>
    <w:uiPriority w:val="0"/>
    <w:rPr>
      <w:rFonts w:hint="default" w:ascii="Times New Roman" w:hAnsi="Times New Roman" w:cs="Times New Roman"/>
      <w:kern w:val="2"/>
      <w:sz w:val="21"/>
      <w:szCs w:val="24"/>
    </w:rPr>
  </w:style>
  <w:style w:type="character" w:customStyle="1" w:styleId="102">
    <w:name w:val="Char Char21"/>
    <w:qFormat/>
    <w:uiPriority w:val="0"/>
    <w:rPr>
      <w:rFonts w:hint="eastAsia" w:ascii="宋体" w:hAnsi="宋体" w:eastAsia="宋体" w:cs="宋体"/>
      <w:b/>
      <w:kern w:val="44"/>
      <w:sz w:val="36"/>
      <w:szCs w:val="36"/>
    </w:rPr>
  </w:style>
  <w:style w:type="character" w:customStyle="1" w:styleId="103">
    <w:name w:val="脚注文本 Char1"/>
    <w:semiHidden/>
    <w:qFormat/>
    <w:uiPriority w:val="99"/>
    <w:rPr>
      <w:kern w:val="2"/>
      <w:sz w:val="18"/>
      <w:szCs w:val="18"/>
    </w:rPr>
  </w:style>
  <w:style w:type="character" w:customStyle="1" w:styleId="104">
    <w:name w:val="文档结构图 Char3"/>
    <w:semiHidden/>
    <w:qFormat/>
    <w:uiPriority w:val="99"/>
    <w:rPr>
      <w:rFonts w:ascii="宋体"/>
      <w:kern w:val="2"/>
      <w:sz w:val="18"/>
      <w:szCs w:val="18"/>
    </w:rPr>
  </w:style>
  <w:style w:type="character" w:customStyle="1" w:styleId="105">
    <w:name w:val="12black1"/>
    <w:qFormat/>
    <w:uiPriority w:val="0"/>
    <w:rPr>
      <w:color w:val="000000"/>
      <w:sz w:val="24"/>
      <w:szCs w:val="24"/>
      <w:u w:val="none"/>
    </w:rPr>
  </w:style>
  <w:style w:type="character" w:customStyle="1" w:styleId="106">
    <w:name w:val="正文文本缩进 字符"/>
    <w:qFormat/>
    <w:uiPriority w:val="0"/>
    <w:rPr>
      <w:rFonts w:ascii="Times New Roman" w:hAnsi="Times New Roman" w:eastAsia="宋体" w:cs="Times New Roman"/>
      <w:szCs w:val="24"/>
    </w:rPr>
  </w:style>
  <w:style w:type="character" w:customStyle="1" w:styleId="107">
    <w:name w:val="标题 Char3"/>
    <w:qFormat/>
    <w:uiPriority w:val="10"/>
    <w:rPr>
      <w:rFonts w:ascii="Cambria" w:hAnsi="Cambria" w:cs="Times New Roman"/>
      <w:b/>
      <w:bCs/>
      <w:kern w:val="2"/>
      <w:sz w:val="32"/>
      <w:szCs w:val="32"/>
    </w:rPr>
  </w:style>
  <w:style w:type="character" w:customStyle="1" w:styleId="108">
    <w:name w:val="页眉 Char1"/>
    <w:qFormat/>
    <w:uiPriority w:val="0"/>
    <w:rPr>
      <w:kern w:val="2"/>
      <w:sz w:val="18"/>
      <w:szCs w:val="18"/>
    </w:rPr>
  </w:style>
  <w:style w:type="character" w:customStyle="1" w:styleId="109">
    <w:name w:val="批注文字 字符2"/>
    <w:semiHidden/>
    <w:qFormat/>
    <w:uiPriority w:val="99"/>
  </w:style>
  <w:style w:type="character" w:customStyle="1" w:styleId="110">
    <w:name w:val="Char Char Char"/>
    <w:qFormat/>
    <w:uiPriority w:val="0"/>
    <w:rPr>
      <w:rFonts w:ascii="Arial" w:hAnsi="Arial" w:eastAsia="宋体" w:cs="Arial"/>
      <w:b/>
      <w:bCs/>
      <w:kern w:val="2"/>
      <w:sz w:val="32"/>
      <w:szCs w:val="32"/>
      <w:lang w:val="en-US" w:eastAsia="zh-CN" w:bidi="ar-SA"/>
    </w:rPr>
  </w:style>
  <w:style w:type="character" w:customStyle="1" w:styleId="111">
    <w:name w:val="2级标题 Char Char"/>
    <w:link w:val="112"/>
    <w:qFormat/>
    <w:uiPriority w:val="0"/>
    <w:rPr>
      <w:rFonts w:ascii="宋体" w:hAnsi="宋体"/>
      <w:b/>
      <w:sz w:val="32"/>
      <w:szCs w:val="32"/>
    </w:rPr>
  </w:style>
  <w:style w:type="paragraph" w:customStyle="1" w:styleId="112">
    <w:name w:val="2级标题 Char"/>
    <w:basedOn w:val="1"/>
    <w:link w:val="111"/>
    <w:qFormat/>
    <w:uiPriority w:val="0"/>
    <w:rPr>
      <w:rFonts w:ascii="宋体" w:hAnsi="宋体"/>
      <w:b/>
      <w:kern w:val="0"/>
      <w:sz w:val="32"/>
      <w:szCs w:val="32"/>
    </w:rPr>
  </w:style>
  <w:style w:type="character" w:customStyle="1" w:styleId="113">
    <w:name w:val="纯文本 Char3"/>
    <w:semiHidden/>
    <w:qFormat/>
    <w:uiPriority w:val="99"/>
    <w:rPr>
      <w:rFonts w:ascii="宋体" w:hAnsi="Courier New" w:cs="Courier New"/>
      <w:kern w:val="2"/>
      <w:sz w:val="21"/>
      <w:szCs w:val="21"/>
    </w:rPr>
  </w:style>
  <w:style w:type="character" w:customStyle="1" w:styleId="114">
    <w:name w:val="正文文本缩进 3 字符2"/>
    <w:semiHidden/>
    <w:qFormat/>
    <w:uiPriority w:val="99"/>
    <w:rPr>
      <w:sz w:val="16"/>
      <w:szCs w:val="16"/>
    </w:rPr>
  </w:style>
  <w:style w:type="character" w:customStyle="1" w:styleId="115">
    <w:name w:val="日期 Char2"/>
    <w:semiHidden/>
    <w:qFormat/>
    <w:uiPriority w:val="99"/>
    <w:rPr>
      <w:kern w:val="2"/>
      <w:sz w:val="21"/>
      <w:szCs w:val="22"/>
    </w:rPr>
  </w:style>
  <w:style w:type="character" w:customStyle="1" w:styleId="116">
    <w:name w:val="font61"/>
    <w:basedOn w:val="44"/>
    <w:qFormat/>
    <w:uiPriority w:val="0"/>
    <w:rPr>
      <w:rFonts w:hint="eastAsia" w:ascii="宋体" w:hAnsi="宋体" w:eastAsia="宋体" w:cs="宋体"/>
      <w:color w:val="000000"/>
      <w:sz w:val="18"/>
      <w:szCs w:val="18"/>
      <w:u w:val="none"/>
    </w:rPr>
  </w:style>
  <w:style w:type="character" w:customStyle="1" w:styleId="117">
    <w:name w:val="times"/>
    <w:qFormat/>
    <w:uiPriority w:val="0"/>
    <w:rPr>
      <w:color w:val="CDCDCD"/>
      <w:bdr w:val="single" w:color="CDCDCD" w:sz="6" w:space="0"/>
      <w:shd w:val="clear" w:color="auto" w:fill="EFEFEF"/>
    </w:rPr>
  </w:style>
  <w:style w:type="character" w:customStyle="1" w:styleId="118">
    <w:name w:val="页眉 Char3"/>
    <w:qFormat/>
    <w:uiPriority w:val="0"/>
    <w:rPr>
      <w:sz w:val="18"/>
      <w:szCs w:val="18"/>
    </w:rPr>
  </w:style>
  <w:style w:type="character" w:customStyle="1" w:styleId="119">
    <w:name w:val="hover42"/>
    <w:qFormat/>
    <w:uiPriority w:val="0"/>
  </w:style>
  <w:style w:type="character" w:customStyle="1" w:styleId="120">
    <w:name w:val="正文文本缩进 3 Char2"/>
    <w:qFormat/>
    <w:uiPriority w:val="0"/>
    <w:rPr>
      <w:sz w:val="16"/>
      <w:szCs w:val="16"/>
    </w:rPr>
  </w:style>
  <w:style w:type="character" w:customStyle="1" w:styleId="121">
    <w:name w:val="批注主题 字符2"/>
    <w:semiHidden/>
    <w:qFormat/>
    <w:uiPriority w:val="99"/>
    <w:rPr>
      <w:b/>
      <w:bCs/>
    </w:rPr>
  </w:style>
  <w:style w:type="character" w:customStyle="1" w:styleId="122">
    <w:name w:val="批注主题 字符"/>
    <w:semiHidden/>
    <w:qFormat/>
    <w:uiPriority w:val="0"/>
    <w:rPr>
      <w:rFonts w:ascii="Times New Roman" w:hAnsi="Times New Roman" w:eastAsia="宋体" w:cs="Times New Roman"/>
      <w:b/>
      <w:bCs/>
      <w:szCs w:val="24"/>
    </w:rPr>
  </w:style>
  <w:style w:type="character" w:customStyle="1" w:styleId="123">
    <w:name w:val="标题 5 字符"/>
    <w:qFormat/>
    <w:uiPriority w:val="0"/>
    <w:rPr>
      <w:b/>
      <w:bCs/>
      <w:sz w:val="28"/>
      <w:szCs w:val="28"/>
    </w:rPr>
  </w:style>
  <w:style w:type="character" w:customStyle="1" w:styleId="124">
    <w:name w:val="Title Char1"/>
    <w:qFormat/>
    <w:uiPriority w:val="0"/>
    <w:rPr>
      <w:rFonts w:hint="default" w:ascii="Cambria" w:hAnsi="Cambria" w:eastAsia="Cambria" w:cs="Cambria"/>
      <w:b/>
      <w:sz w:val="32"/>
      <w:szCs w:val="32"/>
    </w:rPr>
  </w:style>
  <w:style w:type="character" w:customStyle="1" w:styleId="125">
    <w:name w:val="Title Char"/>
    <w:qFormat/>
    <w:uiPriority w:val="0"/>
    <w:rPr>
      <w:rFonts w:hint="default" w:ascii="Cambria" w:hAnsi="Cambria" w:eastAsia="Cambria" w:cs="Cambria"/>
      <w:b/>
      <w:sz w:val="32"/>
      <w:szCs w:val="32"/>
    </w:rPr>
  </w:style>
  <w:style w:type="character" w:customStyle="1" w:styleId="126">
    <w:name w:val="正文文本 2 字符2"/>
    <w:semiHidden/>
    <w:qFormat/>
    <w:uiPriority w:val="99"/>
  </w:style>
  <w:style w:type="character" w:customStyle="1" w:styleId="127">
    <w:name w:val="正文文本缩进 2 字符"/>
    <w:qFormat/>
    <w:uiPriority w:val="0"/>
    <w:rPr>
      <w:rFonts w:ascii="Times New Roman" w:hAnsi="Times New Roman" w:eastAsia="宋体" w:cs="Times New Roman"/>
      <w:szCs w:val="24"/>
    </w:rPr>
  </w:style>
  <w:style w:type="character" w:customStyle="1" w:styleId="128">
    <w:name w:val="正文文本缩进 2 字符2"/>
    <w:semiHidden/>
    <w:qFormat/>
    <w:uiPriority w:val="99"/>
  </w:style>
  <w:style w:type="character" w:customStyle="1" w:styleId="129">
    <w:name w:val="正文首行缩进 Char1"/>
    <w:qFormat/>
    <w:uiPriority w:val="0"/>
    <w:rPr>
      <w:kern w:val="2"/>
      <w:sz w:val="21"/>
      <w:szCs w:val="24"/>
    </w:rPr>
  </w:style>
  <w:style w:type="character" w:customStyle="1" w:styleId="130">
    <w:name w:val="引用 Char1"/>
    <w:qFormat/>
    <w:uiPriority w:val="0"/>
    <w:rPr>
      <w:rFonts w:hint="default" w:ascii="Times New Roman" w:hAnsi="Times New Roman" w:cs="Times New Roman"/>
      <w:i/>
      <w:color w:val="000000"/>
      <w:kern w:val="2"/>
      <w:sz w:val="21"/>
      <w:szCs w:val="24"/>
    </w:rPr>
  </w:style>
  <w:style w:type="character" w:customStyle="1" w:styleId="131">
    <w:name w:val="Body Text 2 Char"/>
    <w:qFormat/>
    <w:uiPriority w:val="0"/>
    <w:rPr>
      <w:sz w:val="21"/>
      <w:szCs w:val="21"/>
    </w:rPr>
  </w:style>
  <w:style w:type="character" w:customStyle="1" w:styleId="132">
    <w:name w:val="引用 Char"/>
    <w:qFormat/>
    <w:uiPriority w:val="0"/>
    <w:rPr>
      <w:i/>
      <w:color w:val="000000"/>
      <w:kern w:val="2"/>
      <w:sz w:val="24"/>
      <w:szCs w:val="24"/>
    </w:rPr>
  </w:style>
  <w:style w:type="character" w:customStyle="1" w:styleId="133">
    <w:name w:val="文档结构图 Char"/>
    <w:qFormat/>
    <w:uiPriority w:val="0"/>
    <w:rPr>
      <w:rFonts w:hint="eastAsia" w:ascii="宋体" w:hAnsi="宋体" w:eastAsia="宋体" w:cs="宋体"/>
      <w:sz w:val="18"/>
      <w:szCs w:val="18"/>
    </w:rPr>
  </w:style>
  <w:style w:type="character" w:customStyle="1" w:styleId="134">
    <w:name w:val="标题 2 字符"/>
    <w:qFormat/>
    <w:uiPriority w:val="0"/>
    <w:rPr>
      <w:rFonts w:ascii="Cambria" w:hAnsi="Cambria" w:eastAsia="宋体" w:cs="Times New Roman"/>
      <w:b/>
      <w:bCs/>
      <w:sz w:val="32"/>
      <w:szCs w:val="32"/>
    </w:rPr>
  </w:style>
  <w:style w:type="character" w:customStyle="1" w:styleId="135">
    <w:name w:val="尾注文本 Char1"/>
    <w:semiHidden/>
    <w:qFormat/>
    <w:uiPriority w:val="99"/>
    <w:rPr>
      <w:kern w:val="2"/>
      <w:sz w:val="21"/>
      <w:szCs w:val="22"/>
    </w:rPr>
  </w:style>
  <w:style w:type="character" w:customStyle="1" w:styleId="136">
    <w:name w:val="标题 7 字符"/>
    <w:qFormat/>
    <w:uiPriority w:val="0"/>
    <w:rPr>
      <w:b/>
      <w:bCs/>
      <w:sz w:val="24"/>
      <w:szCs w:val="24"/>
    </w:rPr>
  </w:style>
  <w:style w:type="character" w:customStyle="1" w:styleId="137">
    <w:name w:val="批注主题 Char"/>
    <w:qFormat/>
    <w:uiPriority w:val="0"/>
    <w:rPr>
      <w:rFonts w:hint="default" w:ascii="Times New Roman" w:hAnsi="Times New Roman" w:cs="Times New Roman"/>
      <w:b/>
      <w:szCs w:val="24"/>
    </w:rPr>
  </w:style>
  <w:style w:type="character" w:customStyle="1" w:styleId="138">
    <w:name w:val="Body Text Indent 2 Char"/>
    <w:qFormat/>
    <w:uiPriority w:val="0"/>
    <w:rPr>
      <w:sz w:val="21"/>
      <w:szCs w:val="21"/>
    </w:rPr>
  </w:style>
  <w:style w:type="character" w:customStyle="1" w:styleId="139">
    <w:name w:val="页眉 Char Char"/>
    <w:qFormat/>
    <w:uiPriority w:val="0"/>
    <w:rPr>
      <w:kern w:val="2"/>
      <w:sz w:val="18"/>
      <w:szCs w:val="18"/>
    </w:rPr>
  </w:style>
  <w:style w:type="character" w:customStyle="1" w:styleId="140">
    <w:name w:val="页眉 Char2"/>
    <w:qFormat/>
    <w:uiPriority w:val="0"/>
    <w:rPr>
      <w:kern w:val="2"/>
      <w:sz w:val="18"/>
      <w:szCs w:val="18"/>
    </w:rPr>
  </w:style>
  <w:style w:type="character" w:customStyle="1" w:styleId="141">
    <w:name w:val="font71"/>
    <w:basedOn w:val="44"/>
    <w:qFormat/>
    <w:uiPriority w:val="0"/>
    <w:rPr>
      <w:rFonts w:hint="eastAsia" w:ascii="宋体" w:hAnsi="宋体" w:eastAsia="宋体" w:cs="宋体"/>
      <w:color w:val="000000"/>
      <w:sz w:val="20"/>
      <w:szCs w:val="20"/>
      <w:u w:val="none"/>
    </w:rPr>
  </w:style>
  <w:style w:type="character" w:customStyle="1" w:styleId="142">
    <w:name w:val="标题 9 字符"/>
    <w:qFormat/>
    <w:uiPriority w:val="0"/>
    <w:rPr>
      <w:rFonts w:ascii="Cambria" w:hAnsi="Cambria" w:eastAsia="宋体" w:cs="Times New Roman"/>
      <w:szCs w:val="21"/>
    </w:rPr>
  </w:style>
  <w:style w:type="character" w:customStyle="1" w:styleId="143">
    <w:name w:val="正文文本缩进 2 Char"/>
    <w:qFormat/>
    <w:uiPriority w:val="0"/>
    <w:rPr>
      <w:rFonts w:hint="eastAsia" w:ascii="宋体" w:hAnsi="Times New Roman" w:eastAsia="宋体" w:cs="宋体"/>
    </w:rPr>
  </w:style>
  <w:style w:type="character" w:customStyle="1" w:styleId="144">
    <w:name w:val="文档结构图 Char1"/>
    <w:qFormat/>
    <w:uiPriority w:val="0"/>
    <w:rPr>
      <w:rFonts w:hint="eastAsia" w:ascii="宋体" w:hAnsi="宋体" w:eastAsia="宋体" w:cs="宋体"/>
      <w:kern w:val="2"/>
      <w:sz w:val="18"/>
      <w:szCs w:val="18"/>
      <w:shd w:val="clear" w:color="auto" w:fill="000080"/>
    </w:rPr>
  </w:style>
  <w:style w:type="character" w:customStyle="1" w:styleId="145">
    <w:name w:val="正文文本缩进 2 Char1"/>
    <w:qFormat/>
    <w:uiPriority w:val="0"/>
    <w:rPr>
      <w:kern w:val="2"/>
      <w:sz w:val="21"/>
      <w:szCs w:val="24"/>
    </w:rPr>
  </w:style>
  <w:style w:type="character" w:customStyle="1" w:styleId="146">
    <w:name w:val="文档结构图 字符"/>
    <w:semiHidden/>
    <w:qFormat/>
    <w:uiPriority w:val="0"/>
    <w:rPr>
      <w:rFonts w:ascii="Microsoft YaHei UI" w:hAnsi="Times New Roman" w:eastAsia="Microsoft YaHei UI" w:cs="Times New Roman"/>
      <w:sz w:val="18"/>
      <w:szCs w:val="18"/>
    </w:rPr>
  </w:style>
  <w:style w:type="character" w:customStyle="1" w:styleId="147">
    <w:name w:val="正文文本缩进 字符2"/>
    <w:semiHidden/>
    <w:qFormat/>
    <w:uiPriority w:val="99"/>
  </w:style>
  <w:style w:type="character" w:customStyle="1" w:styleId="148">
    <w:name w:val="页脚 字符1"/>
    <w:semiHidden/>
    <w:qFormat/>
    <w:uiPriority w:val="99"/>
    <w:rPr>
      <w:sz w:val="18"/>
      <w:szCs w:val="18"/>
    </w:rPr>
  </w:style>
  <w:style w:type="character" w:customStyle="1" w:styleId="149">
    <w:name w:val="times1"/>
    <w:qFormat/>
    <w:uiPriority w:val="0"/>
    <w:rPr>
      <w:color w:val="3399FF"/>
      <w:bdr w:val="single" w:color="D1EDF8" w:sz="6" w:space="0"/>
      <w:shd w:val="clear" w:color="auto" w:fill="EAF9FF"/>
    </w:rPr>
  </w:style>
  <w:style w:type="character" w:customStyle="1" w:styleId="150">
    <w:name w:val="页脚 字符"/>
    <w:qFormat/>
    <w:uiPriority w:val="99"/>
    <w:rPr>
      <w:sz w:val="18"/>
      <w:szCs w:val="18"/>
    </w:rPr>
  </w:style>
  <w:style w:type="character" w:customStyle="1" w:styleId="151">
    <w:name w:val="无间隔 Char"/>
    <w:link w:val="152"/>
    <w:qFormat/>
    <w:uiPriority w:val="1"/>
    <w:rPr>
      <w:rFonts w:ascii="等线" w:hAnsi="等线" w:eastAsia="等线"/>
      <w:sz w:val="22"/>
      <w:lang w:val="en-US" w:eastAsia="zh-CN" w:bidi="ar-SA"/>
    </w:rPr>
  </w:style>
  <w:style w:type="paragraph" w:customStyle="1" w:styleId="152">
    <w:name w:val="无间隔1"/>
    <w:link w:val="151"/>
    <w:qFormat/>
    <w:uiPriority w:val="1"/>
    <w:rPr>
      <w:rFonts w:ascii="等线" w:hAnsi="等线" w:eastAsia="等线" w:cs="Times New Roman"/>
      <w:sz w:val="22"/>
      <w:lang w:val="en-US" w:eastAsia="zh-CN" w:bidi="ar-SA"/>
    </w:rPr>
  </w:style>
  <w:style w:type="character" w:customStyle="1" w:styleId="153">
    <w:name w:val="纯文本 Char"/>
    <w:qFormat/>
    <w:uiPriority w:val="0"/>
    <w:rPr>
      <w:rFonts w:hint="eastAsia" w:ascii="宋体" w:hAnsi="Courier New" w:eastAsia="宋体" w:cs="宋体"/>
    </w:rPr>
  </w:style>
  <w:style w:type="character" w:customStyle="1" w:styleId="154">
    <w:name w:val="正文文本 2 Char2"/>
    <w:qFormat/>
    <w:uiPriority w:val="0"/>
    <w:rPr>
      <w:szCs w:val="24"/>
    </w:rPr>
  </w:style>
  <w:style w:type="character" w:customStyle="1" w:styleId="155">
    <w:name w:val="Body Text Char"/>
    <w:qFormat/>
    <w:uiPriority w:val="0"/>
    <w:rPr>
      <w:sz w:val="21"/>
      <w:szCs w:val="21"/>
    </w:rPr>
  </w:style>
  <w:style w:type="character" w:customStyle="1" w:styleId="156">
    <w:name w:val="页脚 Char3"/>
    <w:qFormat/>
    <w:uiPriority w:val="0"/>
    <w:rPr>
      <w:sz w:val="18"/>
      <w:szCs w:val="18"/>
    </w:rPr>
  </w:style>
  <w:style w:type="character" w:customStyle="1" w:styleId="157">
    <w:name w:val="标题 1 字符1"/>
    <w:qFormat/>
    <w:uiPriority w:val="0"/>
    <w:rPr>
      <w:rFonts w:ascii="宋体" w:hAnsi="宋体" w:eastAsia="宋体" w:cs="Times New Roman"/>
      <w:b/>
      <w:kern w:val="44"/>
      <w:sz w:val="36"/>
      <w:szCs w:val="21"/>
    </w:rPr>
  </w:style>
  <w:style w:type="character" w:customStyle="1" w:styleId="158">
    <w:name w:val="批注文字 Char1"/>
    <w:qFormat/>
    <w:uiPriority w:val="0"/>
    <w:rPr>
      <w:rFonts w:hint="default" w:ascii="Times New Roman" w:hAnsi="Times New Roman" w:cs="Times New Roman"/>
      <w:szCs w:val="24"/>
    </w:rPr>
  </w:style>
  <w:style w:type="character" w:customStyle="1" w:styleId="159">
    <w:name w:val="正文文本缩进 3 Char1"/>
    <w:qFormat/>
    <w:uiPriority w:val="0"/>
    <w:rPr>
      <w:kern w:val="2"/>
      <w:sz w:val="16"/>
      <w:szCs w:val="16"/>
    </w:rPr>
  </w:style>
  <w:style w:type="character" w:customStyle="1" w:styleId="160">
    <w:name w:val="正文首行缩进 Char"/>
    <w:qFormat/>
    <w:uiPriority w:val="0"/>
    <w:rPr>
      <w:rFonts w:hint="default" w:ascii="Times New Roman" w:hAnsi="Times New Roman" w:cs="Times New Roman"/>
      <w:szCs w:val="24"/>
    </w:rPr>
  </w:style>
  <w:style w:type="character" w:customStyle="1" w:styleId="161">
    <w:name w:val="标题 Char"/>
    <w:qFormat/>
    <w:uiPriority w:val="0"/>
    <w:rPr>
      <w:rFonts w:hint="default" w:ascii="Arial" w:hAnsi="Arial" w:cs="Arial"/>
      <w:b/>
      <w:sz w:val="32"/>
      <w:szCs w:val="32"/>
    </w:rPr>
  </w:style>
  <w:style w:type="character" w:customStyle="1" w:styleId="162">
    <w:name w:val="正文文本缩进 2 Char3"/>
    <w:semiHidden/>
    <w:qFormat/>
    <w:uiPriority w:val="99"/>
    <w:rPr>
      <w:kern w:val="2"/>
      <w:sz w:val="21"/>
      <w:szCs w:val="22"/>
    </w:rPr>
  </w:style>
  <w:style w:type="character" w:customStyle="1" w:styleId="163">
    <w:name w:val="尾注文本 字符1"/>
    <w:semiHidden/>
    <w:qFormat/>
    <w:uiPriority w:val="99"/>
  </w:style>
  <w:style w:type="character" w:customStyle="1" w:styleId="164">
    <w:name w:val="页脚 Char1"/>
    <w:qFormat/>
    <w:uiPriority w:val="0"/>
    <w:rPr>
      <w:rFonts w:hint="default" w:ascii="Times New Roman" w:hAnsi="Times New Roman" w:cs="Times New Roman"/>
      <w:kern w:val="2"/>
      <w:sz w:val="18"/>
      <w:szCs w:val="18"/>
    </w:rPr>
  </w:style>
  <w:style w:type="character" w:customStyle="1" w:styleId="165">
    <w:name w:val="Body Text Indent 3 Char"/>
    <w:qFormat/>
    <w:uiPriority w:val="0"/>
    <w:rPr>
      <w:sz w:val="16"/>
      <w:szCs w:val="16"/>
    </w:rPr>
  </w:style>
  <w:style w:type="character" w:customStyle="1" w:styleId="166">
    <w:name w:val="font41"/>
    <w:basedOn w:val="44"/>
    <w:qFormat/>
    <w:uiPriority w:val="0"/>
    <w:rPr>
      <w:rFonts w:hint="eastAsia" w:ascii="宋体" w:hAnsi="宋体" w:eastAsia="宋体" w:cs="宋体"/>
      <w:b/>
      <w:color w:val="000000"/>
      <w:sz w:val="22"/>
      <w:szCs w:val="22"/>
      <w:u w:val="none"/>
    </w:rPr>
  </w:style>
  <w:style w:type="character" w:customStyle="1" w:styleId="167">
    <w:name w:val="正文文本首行缩进 字符1"/>
    <w:qFormat/>
    <w:uiPriority w:val="0"/>
    <w:rPr>
      <w:kern w:val="2"/>
      <w:sz w:val="21"/>
      <w:szCs w:val="24"/>
    </w:rPr>
  </w:style>
  <w:style w:type="character" w:customStyle="1" w:styleId="168">
    <w:name w:val="正文文本 字符2"/>
    <w:semiHidden/>
    <w:qFormat/>
    <w:uiPriority w:val="99"/>
  </w:style>
  <w:style w:type="character" w:customStyle="1" w:styleId="169">
    <w:name w:val="页眉 字符1"/>
    <w:semiHidden/>
    <w:qFormat/>
    <w:uiPriority w:val="99"/>
    <w:rPr>
      <w:sz w:val="18"/>
      <w:szCs w:val="18"/>
    </w:rPr>
  </w:style>
  <w:style w:type="character" w:customStyle="1" w:styleId="170">
    <w:name w:val="标题 Char1"/>
    <w:qFormat/>
    <w:uiPriority w:val="0"/>
    <w:rPr>
      <w:rFonts w:hint="default" w:ascii="Cambria" w:hAnsi="Cambria" w:eastAsia="Cambria" w:cs="Cambria"/>
      <w:b/>
      <w:kern w:val="2"/>
      <w:sz w:val="32"/>
      <w:szCs w:val="32"/>
    </w:rPr>
  </w:style>
  <w:style w:type="character" w:customStyle="1" w:styleId="171">
    <w:name w:val="apple-style-span"/>
    <w:qFormat/>
    <w:uiPriority w:val="0"/>
  </w:style>
  <w:style w:type="character" w:customStyle="1" w:styleId="172">
    <w:name w:val="正文文本 2 Char1"/>
    <w:qFormat/>
    <w:uiPriority w:val="0"/>
    <w:rPr>
      <w:kern w:val="2"/>
      <w:sz w:val="21"/>
      <w:szCs w:val="24"/>
    </w:rPr>
  </w:style>
  <w:style w:type="character" w:customStyle="1" w:styleId="173">
    <w:name w:val="日期 字符"/>
    <w:qFormat/>
    <w:uiPriority w:val="0"/>
    <w:rPr>
      <w:rFonts w:ascii="Times New Roman" w:hAnsi="Times New Roman" w:eastAsia="宋体" w:cs="Times New Roman"/>
      <w:szCs w:val="24"/>
    </w:rPr>
  </w:style>
  <w:style w:type="character" w:customStyle="1" w:styleId="174">
    <w:name w:val="正文文本缩进 Char2"/>
    <w:qFormat/>
    <w:uiPriority w:val="0"/>
    <w:rPr>
      <w:szCs w:val="24"/>
    </w:rPr>
  </w:style>
  <w:style w:type="character" w:customStyle="1" w:styleId="175">
    <w:name w:val="批注框文本 Char2"/>
    <w:qFormat/>
    <w:uiPriority w:val="0"/>
    <w:rPr>
      <w:sz w:val="18"/>
      <w:szCs w:val="18"/>
    </w:rPr>
  </w:style>
  <w:style w:type="character" w:customStyle="1" w:styleId="176">
    <w:name w:val="正文文本 2 字符"/>
    <w:qFormat/>
    <w:uiPriority w:val="0"/>
    <w:rPr>
      <w:rFonts w:ascii="Times New Roman" w:hAnsi="Times New Roman" w:eastAsia="宋体" w:cs="Times New Roman"/>
      <w:szCs w:val="24"/>
    </w:rPr>
  </w:style>
  <w:style w:type="character" w:customStyle="1" w:styleId="177">
    <w:name w:val="批注文字 Char2"/>
    <w:qFormat/>
    <w:uiPriority w:val="0"/>
    <w:rPr>
      <w:kern w:val="2"/>
      <w:sz w:val="21"/>
      <w:szCs w:val="24"/>
    </w:rPr>
  </w:style>
  <w:style w:type="character" w:customStyle="1" w:styleId="178">
    <w:name w:val="样式 宋体 五号 黑色"/>
    <w:qFormat/>
    <w:uiPriority w:val="0"/>
    <w:rPr>
      <w:rFonts w:ascii="Times New Roman" w:hAnsi="Times New Roman" w:eastAsia="仿宋_GB2312"/>
      <w:color w:val="000000"/>
      <w:sz w:val="21"/>
      <w:szCs w:val="21"/>
    </w:rPr>
  </w:style>
  <w:style w:type="character" w:customStyle="1" w:styleId="179">
    <w:name w:val="节 Char"/>
    <w:link w:val="180"/>
    <w:qFormat/>
    <w:uiPriority w:val="0"/>
    <w:rPr>
      <w:rFonts w:ascii="宋体" w:hAnsi="宋体" w:eastAsia="黑体"/>
      <w:sz w:val="36"/>
      <w:szCs w:val="32"/>
    </w:rPr>
  </w:style>
  <w:style w:type="paragraph" w:customStyle="1" w:styleId="180">
    <w:name w:val="节"/>
    <w:basedOn w:val="1"/>
    <w:link w:val="179"/>
    <w:qFormat/>
    <w:uiPriority w:val="0"/>
    <w:pPr>
      <w:pageBreakBefore/>
    </w:pPr>
    <w:rPr>
      <w:rFonts w:ascii="宋体" w:hAnsi="宋体" w:eastAsia="黑体"/>
      <w:kern w:val="0"/>
      <w:sz w:val="36"/>
      <w:szCs w:val="32"/>
    </w:rPr>
  </w:style>
  <w:style w:type="character" w:customStyle="1" w:styleId="181">
    <w:name w:val="font21"/>
    <w:qFormat/>
    <w:uiPriority w:val="0"/>
    <w:rPr>
      <w:rFonts w:hint="eastAsia" w:ascii="宋体" w:hAnsi="宋体" w:eastAsia="宋体" w:cs="宋体"/>
      <w:color w:val="000000"/>
      <w:sz w:val="20"/>
      <w:szCs w:val="20"/>
      <w:u w:val="none"/>
    </w:rPr>
  </w:style>
  <w:style w:type="character" w:customStyle="1" w:styleId="182">
    <w:name w:val="脚注文本 字符1"/>
    <w:semiHidden/>
    <w:qFormat/>
    <w:uiPriority w:val="99"/>
    <w:rPr>
      <w:sz w:val="18"/>
      <w:szCs w:val="18"/>
    </w:rPr>
  </w:style>
  <w:style w:type="character" w:customStyle="1" w:styleId="183">
    <w:name w:val="纯文本 字符1"/>
    <w:qFormat/>
    <w:uiPriority w:val="0"/>
    <w:rPr>
      <w:rFonts w:ascii="宋体" w:hAnsi="Courier New" w:eastAsia="宋体" w:cs="Courier New"/>
      <w:szCs w:val="21"/>
    </w:rPr>
  </w:style>
  <w:style w:type="character" w:customStyle="1" w:styleId="184">
    <w:name w:val="Body Text Indent Char"/>
    <w:qFormat/>
    <w:uiPriority w:val="0"/>
    <w:rPr>
      <w:sz w:val="21"/>
      <w:szCs w:val="21"/>
    </w:rPr>
  </w:style>
  <w:style w:type="character" w:customStyle="1" w:styleId="185">
    <w:name w:val="font11"/>
    <w:qFormat/>
    <w:uiPriority w:val="0"/>
    <w:rPr>
      <w:rFonts w:hint="eastAsia" w:ascii="宋体" w:hAnsi="宋体" w:eastAsia="宋体" w:cs="宋体"/>
      <w:color w:val="000000"/>
      <w:sz w:val="20"/>
      <w:szCs w:val="20"/>
      <w:u w:val="none"/>
    </w:rPr>
  </w:style>
  <w:style w:type="character" w:customStyle="1" w:styleId="186">
    <w:name w:val="文档结构图 字符2"/>
    <w:semiHidden/>
    <w:qFormat/>
    <w:uiPriority w:val="99"/>
    <w:rPr>
      <w:rFonts w:ascii="Microsoft YaHei UI" w:eastAsia="Microsoft YaHei UI"/>
      <w:sz w:val="18"/>
      <w:szCs w:val="18"/>
    </w:rPr>
  </w:style>
  <w:style w:type="character" w:customStyle="1" w:styleId="187">
    <w:name w:val="标题 1 字符"/>
    <w:qFormat/>
    <w:uiPriority w:val="0"/>
    <w:rPr>
      <w:b/>
      <w:bCs/>
      <w:kern w:val="44"/>
      <w:sz w:val="44"/>
      <w:szCs w:val="44"/>
    </w:rPr>
  </w:style>
  <w:style w:type="character" w:customStyle="1" w:styleId="188">
    <w:name w:val="Plain Text Char"/>
    <w:qFormat/>
    <w:uiPriority w:val="0"/>
    <w:rPr>
      <w:rFonts w:hint="eastAsia" w:ascii="宋体" w:hAnsi="Courier New" w:eastAsia="宋体" w:cs="宋体"/>
      <w:sz w:val="21"/>
      <w:szCs w:val="21"/>
    </w:rPr>
  </w:style>
  <w:style w:type="character" w:customStyle="1" w:styleId="189">
    <w:name w:val="标题 3 字符"/>
    <w:qFormat/>
    <w:uiPriority w:val="9"/>
    <w:rPr>
      <w:b/>
      <w:bCs/>
      <w:sz w:val="32"/>
      <w:szCs w:val="32"/>
    </w:rPr>
  </w:style>
  <w:style w:type="character" w:customStyle="1" w:styleId="190">
    <w:name w:val="正文文本 字符"/>
    <w:semiHidden/>
    <w:qFormat/>
    <w:uiPriority w:val="99"/>
    <w:rPr>
      <w:rFonts w:ascii="Times New Roman" w:hAnsi="Times New Roman" w:eastAsia="宋体" w:cs="Times New Roman"/>
      <w:szCs w:val="24"/>
    </w:rPr>
  </w:style>
  <w:style w:type="character" w:customStyle="1" w:styleId="191">
    <w:name w:val="标题 字符"/>
    <w:qFormat/>
    <w:uiPriority w:val="0"/>
    <w:rPr>
      <w:rFonts w:ascii="等线 Light" w:hAnsi="等线 Light" w:eastAsia="等线 Light" w:cs="Times New Roman"/>
      <w:b/>
      <w:bCs/>
      <w:sz w:val="32"/>
      <w:szCs w:val="32"/>
    </w:rPr>
  </w:style>
  <w:style w:type="character" w:customStyle="1" w:styleId="192">
    <w:name w:val="隔页 Char"/>
    <w:link w:val="193"/>
    <w:qFormat/>
    <w:uiPriority w:val="0"/>
    <w:rPr>
      <w:rFonts w:ascii="黑体" w:eastAsia="黑体"/>
      <w:color w:val="000000"/>
      <w:sz w:val="52"/>
      <w:szCs w:val="84"/>
    </w:rPr>
  </w:style>
  <w:style w:type="paragraph" w:customStyle="1" w:styleId="193">
    <w:name w:val="隔页"/>
    <w:basedOn w:val="1"/>
    <w:link w:val="192"/>
    <w:qFormat/>
    <w:uiPriority w:val="0"/>
    <w:pPr>
      <w:jc w:val="center"/>
    </w:pPr>
    <w:rPr>
      <w:rFonts w:ascii="黑体" w:eastAsia="黑体"/>
      <w:color w:val="000000"/>
      <w:kern w:val="0"/>
      <w:sz w:val="52"/>
      <w:szCs w:val="84"/>
    </w:rPr>
  </w:style>
  <w:style w:type="character" w:customStyle="1" w:styleId="194">
    <w:name w:val="font01"/>
    <w:qFormat/>
    <w:uiPriority w:val="0"/>
    <w:rPr>
      <w:rFonts w:hint="eastAsia" w:ascii="宋体" w:hAnsi="宋体" w:eastAsia="宋体" w:cs="宋体"/>
      <w:color w:val="000000"/>
      <w:sz w:val="20"/>
      <w:szCs w:val="20"/>
      <w:u w:val="none"/>
      <w:vertAlign w:val="superscript"/>
    </w:rPr>
  </w:style>
  <w:style w:type="character" w:customStyle="1" w:styleId="195">
    <w:name w:val="标题 1 Char Char"/>
    <w:qFormat/>
    <w:uiPriority w:val="0"/>
    <w:rPr>
      <w:rFonts w:hint="eastAsia" w:ascii="宋体" w:hAnsi="宋体" w:eastAsia="宋体" w:cs="宋体"/>
      <w:b/>
      <w:kern w:val="44"/>
      <w:sz w:val="21"/>
      <w:szCs w:val="21"/>
      <w:lang w:val="en-US" w:eastAsia="zh-CN"/>
    </w:rPr>
  </w:style>
  <w:style w:type="character" w:customStyle="1" w:styleId="196">
    <w:name w:val="批注文字 字符"/>
    <w:semiHidden/>
    <w:qFormat/>
    <w:uiPriority w:val="0"/>
    <w:rPr>
      <w:rFonts w:ascii="Times New Roman" w:hAnsi="Times New Roman" w:eastAsia="宋体" w:cs="Times New Roman"/>
      <w:szCs w:val="24"/>
    </w:rPr>
  </w:style>
  <w:style w:type="character" w:customStyle="1" w:styleId="197">
    <w:name w:val="页脚 Char2"/>
    <w:qFormat/>
    <w:uiPriority w:val="0"/>
    <w:rPr>
      <w:kern w:val="2"/>
      <w:sz w:val="18"/>
      <w:szCs w:val="18"/>
    </w:rPr>
  </w:style>
  <w:style w:type="character" w:customStyle="1" w:styleId="198">
    <w:name w:val="样式 标题 2 + (西文) 宋体 黑色 下划线 Char"/>
    <w:link w:val="199"/>
    <w:qFormat/>
    <w:uiPriority w:val="0"/>
    <w:rPr>
      <w:rFonts w:ascii="宋体" w:hAnsi="宋体"/>
      <w:b/>
      <w:color w:val="000000"/>
      <w:sz w:val="24"/>
      <w:szCs w:val="24"/>
      <w:u w:val="single"/>
    </w:rPr>
  </w:style>
  <w:style w:type="paragraph" w:customStyle="1" w:styleId="199">
    <w:name w:val="样式 标题 2 + (西文) 宋体 黑色 下划线"/>
    <w:basedOn w:val="5"/>
    <w:link w:val="198"/>
    <w:qFormat/>
    <w:uiPriority w:val="0"/>
    <w:pPr>
      <w:spacing w:before="260" w:after="260"/>
      <w:ind w:left="454" w:hanging="454"/>
    </w:pPr>
    <w:rPr>
      <w:rFonts w:ascii="宋体" w:hAnsi="宋体" w:eastAsia="宋体"/>
      <w:bCs w:val="0"/>
      <w:color w:val="000000"/>
      <w:sz w:val="24"/>
      <w:szCs w:val="24"/>
      <w:u w:val="single"/>
    </w:rPr>
  </w:style>
  <w:style w:type="paragraph" w:customStyle="1" w:styleId="200">
    <w:name w:val="xl10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201">
    <w:name w:val="xl122"/>
    <w:basedOn w:val="1"/>
    <w:qFormat/>
    <w:uiPriority w:val="0"/>
    <w:pPr>
      <w:widowControl/>
      <w:pBdr>
        <w:left w:val="single" w:color="auto" w:sz="8" w:space="0"/>
        <w:right w:val="single" w:color="auto" w:sz="8" w:space="0"/>
      </w:pBdr>
      <w:spacing w:before="100" w:beforeAutospacing="1" w:after="100" w:afterAutospacing="1"/>
    </w:pPr>
    <w:rPr>
      <w:rFonts w:ascii="宋体" w:hAnsi="宋体" w:cs="宋体"/>
      <w:kern w:val="0"/>
      <w:szCs w:val="21"/>
    </w:rPr>
  </w:style>
  <w:style w:type="paragraph" w:customStyle="1" w:styleId="202">
    <w:name w:val="xl128"/>
    <w:basedOn w:val="1"/>
    <w:qFormat/>
    <w:uiPriority w:val="0"/>
    <w:pPr>
      <w:widowControl/>
      <w:pBdr>
        <w:left w:val="single" w:color="auto" w:sz="8" w:space="0"/>
      </w:pBdr>
      <w:spacing w:before="100" w:beforeAutospacing="1" w:after="100" w:afterAutospacing="1"/>
    </w:pPr>
    <w:rPr>
      <w:rFonts w:ascii="宋体" w:hAnsi="宋体" w:cs="宋体"/>
      <w:kern w:val="0"/>
      <w:szCs w:val="21"/>
    </w:rPr>
  </w:style>
  <w:style w:type="paragraph" w:customStyle="1" w:styleId="203">
    <w:name w:val="xl111"/>
    <w:basedOn w:val="1"/>
    <w:qFormat/>
    <w:uiPriority w:val="0"/>
    <w:pPr>
      <w:widowControl/>
      <w:pBdr>
        <w:top w:val="single" w:color="auto" w:sz="8" w:space="0"/>
      </w:pBdr>
      <w:spacing w:before="100" w:beforeAutospacing="1" w:after="100" w:afterAutospacing="1"/>
      <w:jc w:val="center"/>
    </w:pPr>
    <w:rPr>
      <w:rFonts w:ascii="宋体" w:hAnsi="宋体" w:cs="宋体"/>
      <w:kern w:val="0"/>
      <w:szCs w:val="21"/>
    </w:rPr>
  </w:style>
  <w:style w:type="paragraph" w:customStyle="1" w:styleId="204">
    <w:name w:val="xl94"/>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205">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xl96"/>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207">
    <w:name w:val="b"/>
    <w:basedOn w:val="1"/>
    <w:qFormat/>
    <w:uiPriority w:val="0"/>
    <w:pPr>
      <w:jc w:val="center"/>
    </w:pPr>
    <w:rPr>
      <w:bCs/>
      <w:szCs w:val="21"/>
    </w:rPr>
  </w:style>
  <w:style w:type="paragraph" w:customStyle="1" w:styleId="208">
    <w:name w:val="xl126"/>
    <w:basedOn w:val="1"/>
    <w:qFormat/>
    <w:uiPriority w:val="0"/>
    <w:pPr>
      <w:widowControl/>
      <w:pBdr>
        <w:top w:val="single" w:color="auto" w:sz="8" w:space="0"/>
        <w:right w:val="single" w:color="auto" w:sz="8" w:space="0"/>
      </w:pBdr>
      <w:spacing w:before="100" w:beforeAutospacing="1" w:after="100" w:afterAutospacing="1"/>
    </w:pPr>
    <w:rPr>
      <w:rFonts w:ascii="宋体" w:hAnsi="宋体" w:cs="宋体"/>
      <w:kern w:val="0"/>
      <w:szCs w:val="21"/>
    </w:rPr>
  </w:style>
  <w:style w:type="paragraph" w:customStyle="1" w:styleId="209">
    <w:name w:val="font10"/>
    <w:basedOn w:val="1"/>
    <w:qFormat/>
    <w:uiPriority w:val="0"/>
    <w:pPr>
      <w:widowControl/>
      <w:spacing w:before="100" w:beforeAutospacing="1" w:after="100" w:afterAutospacing="1"/>
      <w:jc w:val="left"/>
    </w:pPr>
    <w:rPr>
      <w:color w:val="000000"/>
      <w:kern w:val="0"/>
      <w:szCs w:val="21"/>
    </w:rPr>
  </w:style>
  <w:style w:type="paragraph" w:customStyle="1" w:styleId="210">
    <w:name w:val="xl134"/>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b/>
      <w:bCs/>
      <w:kern w:val="0"/>
      <w:szCs w:val="21"/>
    </w:rPr>
  </w:style>
  <w:style w:type="paragraph" w:customStyle="1" w:styleId="211">
    <w:name w:val="xl9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21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4">
    <w:name w:val="样式 标题 3 + 两端对齐 左侧:  0 厘米 首行缩进:  0 厘米"/>
    <w:basedOn w:val="6"/>
    <w:qFormat/>
    <w:uiPriority w:val="0"/>
    <w:pPr>
      <w:widowControl/>
      <w:tabs>
        <w:tab w:val="left" w:pos="720"/>
      </w:tabs>
      <w:spacing w:before="0" w:after="0" w:line="360" w:lineRule="auto"/>
      <w:ind w:left="720" w:hanging="720"/>
    </w:pPr>
    <w:rPr>
      <w:rFonts w:eastAsia="宋体" w:cs="宋体"/>
      <w:szCs w:val="20"/>
    </w:rPr>
  </w:style>
  <w:style w:type="paragraph" w:customStyle="1" w:styleId="215">
    <w:name w:val="修订11"/>
    <w:unhideWhenUsed/>
    <w:qFormat/>
    <w:uiPriority w:val="99"/>
    <w:rPr>
      <w:rFonts w:ascii="Times New Roman" w:hAnsi="Times New Roman" w:eastAsia="宋体" w:cs="Times New Roman"/>
      <w:kern w:val="2"/>
      <w:sz w:val="21"/>
      <w:szCs w:val="22"/>
      <w:lang w:val="en-US" w:eastAsia="zh-CN" w:bidi="ar-SA"/>
    </w:rPr>
  </w:style>
  <w:style w:type="paragraph" w:customStyle="1" w:styleId="216">
    <w:name w:val="xl10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kern w:val="0"/>
      <w:szCs w:val="21"/>
    </w:rPr>
  </w:style>
  <w:style w:type="paragraph" w:customStyle="1" w:styleId="2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8">
    <w:name w:val="xl105"/>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kern w:val="0"/>
      <w:sz w:val="24"/>
      <w:szCs w:val="24"/>
    </w:rPr>
  </w:style>
  <w:style w:type="paragraph" w:customStyle="1" w:styleId="219">
    <w:name w:val="xl112"/>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0">
    <w:name w:val="样式 标题 3 + 两端对齐"/>
    <w:basedOn w:val="6"/>
    <w:qFormat/>
    <w:uiPriority w:val="0"/>
    <w:pPr>
      <w:widowControl/>
      <w:tabs>
        <w:tab w:val="left" w:pos="720"/>
      </w:tabs>
      <w:spacing w:before="0" w:after="0" w:line="360" w:lineRule="auto"/>
      <w:ind w:left="720" w:hanging="720"/>
    </w:pPr>
    <w:rPr>
      <w:rFonts w:eastAsia="宋体" w:cs="宋体"/>
      <w:szCs w:val="20"/>
    </w:rPr>
  </w:style>
  <w:style w:type="paragraph" w:customStyle="1" w:styleId="221">
    <w:name w:val="xl11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公文标题"/>
    <w:basedOn w:val="6"/>
    <w:qFormat/>
    <w:uiPriority w:val="0"/>
    <w:pPr>
      <w:spacing w:before="0" w:after="0" w:line="240" w:lineRule="auto"/>
      <w:ind w:left="1469" w:right="1542"/>
      <w:jc w:val="center"/>
    </w:pPr>
    <w:rPr>
      <w:rFonts w:eastAsia="宋体"/>
      <w:bCs w:val="0"/>
      <w:sz w:val="44"/>
      <w:szCs w:val="24"/>
    </w:rPr>
  </w:style>
  <w:style w:type="paragraph" w:customStyle="1" w:styleId="223">
    <w:name w:val="标题2"/>
    <w:basedOn w:val="6"/>
    <w:qFormat/>
    <w:uiPriority w:val="0"/>
    <w:pPr>
      <w:widowControl/>
      <w:tabs>
        <w:tab w:val="left" w:pos="720"/>
      </w:tabs>
      <w:spacing w:before="0" w:after="0" w:line="360" w:lineRule="auto"/>
      <w:ind w:left="720" w:hanging="720"/>
      <w:jc w:val="center"/>
    </w:pPr>
    <w:rPr>
      <w:rFonts w:eastAsia="宋体"/>
      <w:bCs w:val="0"/>
      <w:sz w:val="32"/>
      <w:szCs w:val="20"/>
    </w:rPr>
  </w:style>
  <w:style w:type="paragraph" w:customStyle="1" w:styleId="224">
    <w:name w:val="xl115"/>
    <w:basedOn w:val="1"/>
    <w:qFormat/>
    <w:uiPriority w:val="0"/>
    <w:pPr>
      <w:widowControl/>
      <w:pBdr>
        <w:right w:val="single" w:color="auto" w:sz="8" w:space="0"/>
      </w:pBdr>
      <w:spacing w:before="100" w:beforeAutospacing="1" w:after="100" w:afterAutospacing="1"/>
      <w:jc w:val="center"/>
    </w:pPr>
    <w:rPr>
      <w:rFonts w:ascii="宋体" w:hAnsi="宋体" w:cs="宋体"/>
      <w:kern w:val="0"/>
      <w:szCs w:val="21"/>
    </w:rPr>
  </w:style>
  <w:style w:type="paragraph" w:customStyle="1" w:styleId="225">
    <w:name w:val="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226">
    <w:name w:val="xl84"/>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szCs w:val="21"/>
    </w:rPr>
  </w:style>
  <w:style w:type="paragraph" w:styleId="227">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font9"/>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29">
    <w:name w:val="默认段落字体 Char"/>
    <w:basedOn w:val="1"/>
    <w:qFormat/>
    <w:uiPriority w:val="0"/>
    <w:rPr>
      <w:szCs w:val="24"/>
    </w:rPr>
  </w:style>
  <w:style w:type="paragraph" w:customStyle="1" w:styleId="230">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1">
    <w:name w:val="xl13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232">
    <w:name w:val="Char Char2"/>
    <w:basedOn w:val="1"/>
    <w:qFormat/>
    <w:uiPriority w:val="0"/>
    <w:rPr>
      <w:sz w:val="30"/>
      <w:szCs w:val="24"/>
    </w:rPr>
  </w:style>
  <w:style w:type="paragraph" w:customStyle="1" w:styleId="233">
    <w:name w:val="xl110"/>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kern w:val="0"/>
      <w:szCs w:val="21"/>
    </w:rPr>
  </w:style>
  <w:style w:type="paragraph" w:customStyle="1" w:styleId="234">
    <w:name w:val="Char Char Char Char"/>
    <w:basedOn w:val="1"/>
    <w:qFormat/>
    <w:uiPriority w:val="0"/>
    <w:pPr>
      <w:tabs>
        <w:tab w:val="left" w:pos="360"/>
      </w:tabs>
    </w:pPr>
    <w:rPr>
      <w:szCs w:val="24"/>
    </w:rPr>
  </w:style>
  <w:style w:type="paragraph" w:customStyle="1" w:styleId="235">
    <w:name w:val="xl125"/>
    <w:basedOn w:val="1"/>
    <w:qFormat/>
    <w:uiPriority w:val="0"/>
    <w:pPr>
      <w:widowControl/>
      <w:pBdr>
        <w:top w:val="single" w:color="auto" w:sz="8" w:space="0"/>
        <w:left w:val="single" w:color="auto" w:sz="8" w:space="0"/>
      </w:pBdr>
      <w:spacing w:before="100" w:beforeAutospacing="1" w:after="100" w:afterAutospacing="1"/>
    </w:pPr>
    <w:rPr>
      <w:rFonts w:ascii="宋体" w:hAnsi="宋体" w:cs="宋体"/>
      <w:kern w:val="0"/>
      <w:szCs w:val="21"/>
    </w:rPr>
  </w:style>
  <w:style w:type="paragraph" w:customStyle="1" w:styleId="23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7">
    <w:name w:val="xl9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238">
    <w:name w:val="xl137"/>
    <w:basedOn w:val="1"/>
    <w:qFormat/>
    <w:uiPriority w:val="0"/>
    <w:pPr>
      <w:widowControl/>
      <w:pBdr>
        <w:bottom w:val="single" w:color="auto" w:sz="8" w:space="0"/>
      </w:pBdr>
      <w:spacing w:before="100" w:beforeAutospacing="1" w:after="100" w:afterAutospacing="1"/>
      <w:jc w:val="center"/>
    </w:pPr>
    <w:rPr>
      <w:rFonts w:ascii="宋体" w:hAnsi="宋体" w:cs="宋体"/>
      <w:b/>
      <w:bCs/>
      <w:kern w:val="0"/>
      <w:szCs w:val="21"/>
    </w:rPr>
  </w:style>
  <w:style w:type="paragraph" w:customStyle="1" w:styleId="239">
    <w:name w:val="xl121"/>
    <w:basedOn w:val="1"/>
    <w:qFormat/>
    <w:uiPriority w:val="0"/>
    <w:pPr>
      <w:widowControl/>
      <w:pBdr>
        <w:top w:val="single" w:color="auto" w:sz="8" w:space="0"/>
        <w:left w:val="single" w:color="auto" w:sz="8" w:space="0"/>
        <w:right w:val="single" w:color="auto" w:sz="8" w:space="0"/>
      </w:pBdr>
      <w:spacing w:before="100" w:beforeAutospacing="1" w:after="100" w:afterAutospacing="1"/>
    </w:pPr>
    <w:rPr>
      <w:rFonts w:ascii="宋体" w:hAnsi="宋体" w:cs="宋体"/>
      <w:kern w:val="0"/>
      <w:szCs w:val="21"/>
    </w:rPr>
  </w:style>
  <w:style w:type="paragraph" w:customStyle="1" w:styleId="240">
    <w:name w:val="xl114"/>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41">
    <w:name w:val="项目列表"/>
    <w:basedOn w:val="1"/>
    <w:qFormat/>
    <w:uiPriority w:val="0"/>
    <w:pPr>
      <w:jc w:val="center"/>
    </w:pPr>
    <w:rPr>
      <w:rFonts w:ascii="宋体" w:hAnsi="宋体"/>
      <w:szCs w:val="21"/>
    </w:rPr>
  </w:style>
  <w:style w:type="paragraph" w:customStyle="1" w:styleId="242">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243">
    <w:name w:val="样式 宋体 居中 首行缩进:  2 字符1"/>
    <w:basedOn w:val="1"/>
    <w:qFormat/>
    <w:uiPriority w:val="0"/>
    <w:pPr>
      <w:spacing w:line="240" w:lineRule="atLeast"/>
      <w:jc w:val="center"/>
    </w:pPr>
    <w:rPr>
      <w:rFonts w:ascii="宋体" w:hAnsi="宋体" w:cs="宋体"/>
      <w:sz w:val="24"/>
      <w:szCs w:val="20"/>
    </w:rPr>
  </w:style>
  <w:style w:type="paragraph" w:customStyle="1" w:styleId="244">
    <w:name w:val="xl8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45">
    <w:name w:val="font7"/>
    <w:basedOn w:val="1"/>
    <w:qFormat/>
    <w:uiPriority w:val="0"/>
    <w:pPr>
      <w:widowControl/>
      <w:spacing w:before="100" w:beforeAutospacing="1" w:after="100" w:afterAutospacing="1"/>
      <w:jc w:val="left"/>
    </w:pPr>
    <w:rPr>
      <w:color w:val="000000"/>
      <w:kern w:val="0"/>
      <w:szCs w:val="21"/>
    </w:rPr>
  </w:style>
  <w:style w:type="paragraph" w:customStyle="1" w:styleId="246">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247">
    <w:name w:val="xl87"/>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48">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49">
    <w:name w:val="xl127"/>
    <w:basedOn w:val="1"/>
    <w:qFormat/>
    <w:uiPriority w:val="0"/>
    <w:pPr>
      <w:widowControl/>
      <w:pBdr>
        <w:left w:val="single" w:color="auto" w:sz="8" w:space="0"/>
        <w:bottom w:val="single" w:color="auto" w:sz="8" w:space="0"/>
      </w:pBdr>
      <w:spacing w:before="100" w:beforeAutospacing="1" w:after="100" w:afterAutospacing="1"/>
    </w:pPr>
    <w:rPr>
      <w:rFonts w:ascii="宋体" w:hAnsi="宋体" w:cs="宋体"/>
      <w:kern w:val="0"/>
      <w:szCs w:val="21"/>
    </w:rPr>
  </w:style>
  <w:style w:type="paragraph" w:customStyle="1" w:styleId="250">
    <w:name w:val="xl85"/>
    <w:basedOn w:val="1"/>
    <w:qFormat/>
    <w:uiPriority w:val="0"/>
    <w:pPr>
      <w:widowControl/>
      <w:pBdr>
        <w:bottom w:val="single" w:color="auto" w:sz="8" w:space="0"/>
        <w:right w:val="single" w:color="auto" w:sz="8" w:space="0"/>
      </w:pBdr>
      <w:spacing w:before="100" w:beforeAutospacing="1" w:after="100" w:afterAutospacing="1"/>
      <w:jc w:val="center"/>
    </w:pPr>
    <w:rPr>
      <w:kern w:val="0"/>
      <w:szCs w:val="21"/>
    </w:rPr>
  </w:style>
  <w:style w:type="paragraph" w:customStyle="1" w:styleId="251">
    <w:name w:val="xl124"/>
    <w:basedOn w:val="1"/>
    <w:qFormat/>
    <w:uiPriority w:val="0"/>
    <w:pPr>
      <w:widowControl/>
      <w:pBdr>
        <w:bottom w:val="single" w:color="auto" w:sz="8" w:space="0"/>
      </w:pBdr>
      <w:spacing w:before="100" w:beforeAutospacing="1" w:after="100" w:afterAutospacing="1"/>
      <w:jc w:val="center"/>
    </w:pPr>
    <w:rPr>
      <w:rFonts w:ascii="宋体" w:hAnsi="宋体" w:cs="宋体"/>
      <w:kern w:val="0"/>
      <w:szCs w:val="21"/>
    </w:rPr>
  </w:style>
  <w:style w:type="paragraph" w:customStyle="1" w:styleId="252">
    <w:name w:val="xl119"/>
    <w:basedOn w:val="1"/>
    <w:qFormat/>
    <w:uiPriority w:val="0"/>
    <w:pPr>
      <w:widowControl/>
      <w:pBdr>
        <w:bottom w:val="single" w:color="auto" w:sz="8" w:space="0"/>
      </w:pBdr>
      <w:spacing w:before="100" w:beforeAutospacing="1" w:after="100" w:afterAutospacing="1"/>
      <w:jc w:val="left"/>
    </w:pPr>
    <w:rPr>
      <w:rFonts w:ascii="宋体" w:hAnsi="宋体" w:cs="宋体"/>
      <w:kern w:val="0"/>
      <w:sz w:val="24"/>
      <w:szCs w:val="24"/>
    </w:rPr>
  </w:style>
  <w:style w:type="paragraph" w:customStyle="1" w:styleId="253">
    <w:name w:val="_Style 252"/>
    <w:unhideWhenUsed/>
    <w:qFormat/>
    <w:uiPriority w:val="99"/>
    <w:rPr>
      <w:rFonts w:ascii="Times New Roman" w:hAnsi="Times New Roman" w:eastAsia="宋体" w:cs="Times New Roman"/>
      <w:kern w:val="2"/>
      <w:sz w:val="21"/>
      <w:szCs w:val="22"/>
      <w:lang w:val="en-US" w:eastAsia="zh-CN" w:bidi="ar-SA"/>
    </w:rPr>
  </w:style>
  <w:style w:type="paragraph" w:styleId="254">
    <w:name w:val="List Paragraph"/>
    <w:basedOn w:val="1"/>
    <w:qFormat/>
    <w:uiPriority w:val="34"/>
    <w:pPr>
      <w:ind w:firstLine="420" w:firstLineChars="200"/>
    </w:pPr>
    <w:rPr>
      <w:szCs w:val="24"/>
    </w:rPr>
  </w:style>
  <w:style w:type="paragraph" w:customStyle="1" w:styleId="255">
    <w:name w:val="xl107"/>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szCs w:val="21"/>
    </w:rPr>
  </w:style>
  <w:style w:type="paragraph" w:customStyle="1" w:styleId="256">
    <w:name w:val="xl98"/>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cs="宋体"/>
      <w:kern w:val="0"/>
      <w:sz w:val="24"/>
      <w:szCs w:val="24"/>
    </w:rPr>
  </w:style>
  <w:style w:type="paragraph" w:customStyle="1" w:styleId="257">
    <w:name w:val="xl81"/>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258">
    <w:name w:val="xl130"/>
    <w:basedOn w:val="1"/>
    <w:qFormat/>
    <w:uiPriority w:val="0"/>
    <w:pPr>
      <w:widowControl/>
      <w:pBdr>
        <w:top w:val="single" w:color="auto" w:sz="8" w:space="0"/>
        <w:left w:val="single" w:color="auto" w:sz="8" w:space="0"/>
        <w:bottom w:val="single" w:color="auto" w:sz="8" w:space="0"/>
      </w:pBdr>
      <w:spacing w:before="100" w:beforeAutospacing="1" w:after="100" w:afterAutospacing="1"/>
    </w:pPr>
    <w:rPr>
      <w:rFonts w:ascii="宋体" w:hAnsi="宋体" w:cs="宋体"/>
      <w:kern w:val="0"/>
      <w:szCs w:val="21"/>
    </w:rPr>
  </w:style>
  <w:style w:type="paragraph" w:customStyle="1" w:styleId="259">
    <w:name w:val="xl97"/>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260">
    <w:name w:val="修订2"/>
    <w:semiHidden/>
    <w:qFormat/>
    <w:uiPriority w:val="99"/>
    <w:rPr>
      <w:rFonts w:ascii="Times New Roman" w:hAnsi="Times New Roman" w:eastAsia="宋体" w:cs="Times New Roman"/>
      <w:kern w:val="2"/>
      <w:sz w:val="21"/>
      <w:szCs w:val="22"/>
      <w:lang w:val="en-US" w:eastAsia="zh-CN" w:bidi="ar-SA"/>
    </w:rPr>
  </w:style>
  <w:style w:type="paragraph" w:customStyle="1" w:styleId="261">
    <w:name w:val="样式 正文文本 + 五号 加粗"/>
    <w:basedOn w:val="3"/>
    <w:qFormat/>
    <w:uiPriority w:val="0"/>
    <w:pPr>
      <w:spacing w:after="0"/>
      <w:jc w:val="center"/>
    </w:pPr>
    <w:rPr>
      <w:rFonts w:ascii="宋体" w:hAnsi="宋体"/>
    </w:rPr>
  </w:style>
  <w:style w:type="paragraph" w:customStyle="1" w:styleId="262">
    <w:name w:val="xl116"/>
    <w:basedOn w:val="1"/>
    <w:qFormat/>
    <w:uiPriority w:val="0"/>
    <w:pPr>
      <w:widowControl/>
      <w:pBdr>
        <w:left w:val="single" w:color="auto" w:sz="8" w:space="0"/>
      </w:pBdr>
      <w:spacing w:before="100" w:beforeAutospacing="1" w:after="100" w:afterAutospacing="1"/>
      <w:jc w:val="left"/>
    </w:pPr>
    <w:rPr>
      <w:rFonts w:ascii="宋体" w:hAnsi="宋体" w:cs="宋体"/>
      <w:kern w:val="0"/>
      <w:sz w:val="24"/>
      <w:szCs w:val="24"/>
    </w:rPr>
  </w:style>
  <w:style w:type="paragraph" w:customStyle="1" w:styleId="263">
    <w:name w:val="xl10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szCs w:val="21"/>
    </w:rPr>
  </w:style>
  <w:style w:type="paragraph" w:customStyle="1" w:styleId="264">
    <w:name w:val="xl123"/>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cs="宋体"/>
      <w:kern w:val="0"/>
      <w:szCs w:val="21"/>
    </w:rPr>
  </w:style>
  <w:style w:type="paragraph" w:customStyle="1" w:styleId="265">
    <w:name w:val="xl118"/>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kern w:val="0"/>
      <w:sz w:val="24"/>
      <w:szCs w:val="24"/>
    </w:rPr>
  </w:style>
  <w:style w:type="paragraph" w:customStyle="1" w:styleId="266">
    <w:name w:val="font6"/>
    <w:basedOn w:val="1"/>
    <w:qFormat/>
    <w:uiPriority w:val="0"/>
    <w:pPr>
      <w:widowControl/>
      <w:spacing w:before="100" w:beforeAutospacing="1" w:after="100" w:afterAutospacing="1"/>
      <w:jc w:val="left"/>
    </w:pPr>
    <w:rPr>
      <w:color w:val="000000"/>
      <w:kern w:val="0"/>
      <w:sz w:val="14"/>
      <w:szCs w:val="14"/>
    </w:rPr>
  </w:style>
  <w:style w:type="paragraph" w:customStyle="1" w:styleId="267">
    <w:name w:val="Char Char Char Char Char"/>
    <w:basedOn w:val="1"/>
    <w:qFormat/>
    <w:uiPriority w:val="0"/>
    <w:rPr>
      <w:rFonts w:ascii="Tahoma" w:hAnsi="Tahoma"/>
      <w:sz w:val="24"/>
      <w:szCs w:val="20"/>
    </w:rPr>
  </w:style>
  <w:style w:type="paragraph" w:customStyle="1" w:styleId="268">
    <w:name w:val="发文落款"/>
    <w:basedOn w:val="269"/>
    <w:qFormat/>
    <w:uiPriority w:val="0"/>
    <w:pPr>
      <w:ind w:left="4094" w:right="607" w:firstLine="0"/>
      <w:jc w:val="center"/>
    </w:pPr>
  </w:style>
  <w:style w:type="paragraph" w:customStyle="1" w:styleId="26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0">
    <w:name w:val="默认段落字体 Para Char"/>
    <w:basedOn w:val="1"/>
    <w:qFormat/>
    <w:uiPriority w:val="0"/>
    <w:rPr>
      <w:sz w:val="30"/>
      <w:szCs w:val="24"/>
    </w:rPr>
  </w:style>
  <w:style w:type="paragraph" w:customStyle="1" w:styleId="27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2">
    <w:name w:val="xl129"/>
    <w:basedOn w:val="1"/>
    <w:qFormat/>
    <w:uiPriority w:val="0"/>
    <w:pPr>
      <w:widowControl/>
      <w:pBdr>
        <w:right w:val="single" w:color="auto" w:sz="8" w:space="0"/>
      </w:pBdr>
      <w:spacing w:before="100" w:beforeAutospacing="1" w:after="100" w:afterAutospacing="1"/>
    </w:pPr>
    <w:rPr>
      <w:rFonts w:ascii="宋体" w:hAnsi="宋体" w:cs="宋体"/>
      <w:kern w:val="0"/>
      <w:szCs w:val="21"/>
    </w:rPr>
  </w:style>
  <w:style w:type="paragraph" w:customStyle="1" w:styleId="273">
    <w:name w:val="xl80"/>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27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76">
    <w:name w:val="xl138"/>
    <w:basedOn w:val="1"/>
    <w:qFormat/>
    <w:uiPriority w:val="0"/>
    <w:pPr>
      <w:widowControl/>
      <w:pBdr>
        <w:top w:val="single" w:color="auto" w:sz="8"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277">
    <w:name w:val="xl136"/>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b/>
      <w:bCs/>
      <w:kern w:val="0"/>
      <w:szCs w:val="21"/>
    </w:rPr>
  </w:style>
  <w:style w:type="paragraph" w:customStyle="1" w:styleId="278">
    <w:name w:val="xl104"/>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sz w:val="24"/>
      <w:szCs w:val="24"/>
    </w:rPr>
  </w:style>
  <w:style w:type="paragraph" w:customStyle="1" w:styleId="279">
    <w:name w:val="Char"/>
    <w:basedOn w:val="1"/>
    <w:qFormat/>
    <w:uiPriority w:val="0"/>
    <w:pPr>
      <w:ind w:left="567" w:hanging="279"/>
    </w:pPr>
    <w:rPr>
      <w:sz w:val="24"/>
      <w:szCs w:val="24"/>
    </w:rPr>
  </w:style>
  <w:style w:type="paragraph" w:customStyle="1" w:styleId="280">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81">
    <w:name w:val="xl83"/>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82">
    <w:name w:val="xl135"/>
    <w:basedOn w:val="1"/>
    <w:qFormat/>
    <w:uiPriority w:val="0"/>
    <w:pPr>
      <w:widowControl/>
      <w:pBdr>
        <w:top w:val="single" w:color="auto" w:sz="8" w:space="0"/>
      </w:pBdr>
      <w:spacing w:before="100" w:beforeAutospacing="1" w:after="100" w:afterAutospacing="1"/>
      <w:jc w:val="center"/>
    </w:pPr>
    <w:rPr>
      <w:rFonts w:ascii="宋体" w:hAnsi="宋体" w:cs="宋体"/>
      <w:b/>
      <w:bCs/>
      <w:kern w:val="0"/>
      <w:szCs w:val="21"/>
    </w:rPr>
  </w:style>
  <w:style w:type="paragraph" w:customStyle="1" w:styleId="283">
    <w:name w:val="修订3"/>
    <w:semiHidden/>
    <w:qFormat/>
    <w:uiPriority w:val="99"/>
    <w:rPr>
      <w:rFonts w:ascii="Times New Roman" w:hAnsi="Times New Roman" w:eastAsia="宋体" w:cs="Times New Roman"/>
      <w:kern w:val="2"/>
      <w:sz w:val="21"/>
      <w:szCs w:val="22"/>
      <w:lang w:val="en-US" w:eastAsia="zh-CN" w:bidi="ar-SA"/>
    </w:rPr>
  </w:style>
  <w:style w:type="paragraph" w:customStyle="1" w:styleId="284">
    <w:name w:val="xl8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28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xl10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87">
    <w:name w:val="xl95"/>
    <w:basedOn w:val="1"/>
    <w:qFormat/>
    <w:uiPriority w:val="0"/>
    <w:pPr>
      <w:widowControl/>
      <w:pBdr>
        <w:right w:val="single" w:color="auto" w:sz="8" w:space="0"/>
      </w:pBdr>
      <w:spacing w:before="100" w:beforeAutospacing="1" w:after="100" w:afterAutospacing="1"/>
      <w:jc w:val="left"/>
    </w:pPr>
    <w:rPr>
      <w:rFonts w:ascii="宋体" w:hAnsi="宋体" w:cs="宋体"/>
      <w:kern w:val="0"/>
      <w:szCs w:val="21"/>
    </w:rPr>
  </w:style>
  <w:style w:type="paragraph" w:customStyle="1" w:styleId="288">
    <w:name w:val="xl99"/>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289">
    <w:name w:val="Char Char Char Char Char Char Char"/>
    <w:basedOn w:val="1"/>
    <w:qFormat/>
    <w:uiPriority w:val="0"/>
    <w:pPr>
      <w:widowControl/>
      <w:spacing w:after="160" w:line="240" w:lineRule="exact"/>
      <w:jc w:val="left"/>
    </w:pPr>
    <w:rPr>
      <w:sz w:val="24"/>
      <w:szCs w:val="24"/>
    </w:rPr>
  </w:style>
  <w:style w:type="paragraph" w:customStyle="1" w:styleId="290">
    <w:name w:val="xl13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291">
    <w:name w:val="xl89"/>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292">
    <w:name w:val="xl131"/>
    <w:basedOn w:val="1"/>
    <w:qFormat/>
    <w:uiPriority w:val="0"/>
    <w:pPr>
      <w:widowControl/>
      <w:pBdr>
        <w:top w:val="single" w:color="auto" w:sz="8" w:space="0"/>
        <w:bottom w:val="single" w:color="auto" w:sz="8" w:space="0"/>
        <w:right w:val="single" w:color="auto" w:sz="8" w:space="0"/>
      </w:pBdr>
      <w:spacing w:before="100" w:beforeAutospacing="1" w:after="100" w:afterAutospacing="1"/>
    </w:pPr>
    <w:rPr>
      <w:rFonts w:ascii="宋体" w:hAnsi="宋体" w:cs="宋体"/>
      <w:kern w:val="0"/>
      <w:szCs w:val="21"/>
    </w:rPr>
  </w:style>
  <w:style w:type="paragraph" w:customStyle="1" w:styleId="293">
    <w:name w:val="xl120"/>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kern w:val="0"/>
      <w:szCs w:val="21"/>
    </w:rPr>
  </w:style>
  <w:style w:type="paragraph" w:customStyle="1" w:styleId="294">
    <w:name w:val="xl108"/>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kern w:val="0"/>
      <w:szCs w:val="21"/>
    </w:rPr>
  </w:style>
  <w:style w:type="paragraph" w:customStyle="1" w:styleId="295">
    <w:name w:val="1"/>
    <w:basedOn w:val="1"/>
    <w:next w:val="1"/>
    <w:qFormat/>
    <w:uiPriority w:val="0"/>
    <w:pPr>
      <w:ind w:left="420" w:leftChars="200"/>
    </w:pPr>
    <w:rPr>
      <w:szCs w:val="24"/>
    </w:rPr>
  </w:style>
  <w:style w:type="paragraph" w:customStyle="1" w:styleId="296">
    <w:name w:val="xl113"/>
    <w:basedOn w:val="1"/>
    <w:qFormat/>
    <w:uiPriority w:val="0"/>
    <w:pPr>
      <w:widowControl/>
      <w:pBdr>
        <w:left w:val="single" w:color="auto" w:sz="8" w:space="0"/>
      </w:pBdr>
      <w:spacing w:before="100" w:beforeAutospacing="1" w:after="100" w:afterAutospacing="1"/>
      <w:jc w:val="center"/>
    </w:pPr>
    <w:rPr>
      <w:rFonts w:ascii="宋体" w:hAnsi="宋体" w:cs="宋体"/>
      <w:kern w:val="0"/>
      <w:szCs w:val="21"/>
    </w:rPr>
  </w:style>
  <w:style w:type="paragraph" w:customStyle="1" w:styleId="297">
    <w:name w:val="表头"/>
    <w:basedOn w:val="1"/>
    <w:qFormat/>
    <w:uiPriority w:val="0"/>
    <w:pPr>
      <w:spacing w:line="360" w:lineRule="auto"/>
      <w:jc w:val="center"/>
    </w:pPr>
    <w:rPr>
      <w:rFonts w:ascii="黑体" w:eastAsia="黑体"/>
      <w:kern w:val="0"/>
      <w:sz w:val="24"/>
      <w:szCs w:val="20"/>
    </w:rPr>
  </w:style>
  <w:style w:type="paragraph" w:customStyle="1" w:styleId="298">
    <w:name w:val="xl10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29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00">
    <w:name w:val="font81"/>
    <w:basedOn w:val="44"/>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25749</Words>
  <Characters>27068</Characters>
  <Lines>206</Lines>
  <Paragraphs>58</Paragraphs>
  <TotalTime>120</TotalTime>
  <ScaleCrop>false</ScaleCrop>
  <LinksUpToDate>false</LinksUpToDate>
  <CharactersWithSpaces>28355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2021-09-10T08:44:00Z</dcterms:created>
  <dc:creator>李增亮</dc:creator>
  <cp:lastModifiedBy>小板凳</cp:lastModifiedBy>
  <cp:lastPrinted>2023-11-13T05:28:00Z</cp:lastPrinted>
  <dcterms:modified xsi:type="dcterms:W3CDTF">2023-11-13T05:36:40Z</dcterms:modified>
  <dc:title>广州市轨道交通ХХ号线工程</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C239B052167544389AA9BE8CAD90EDF8_13</vt:lpwstr>
  </property>
</Properties>
</file>