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color w:val="auto"/>
          <w:sz w:val="44"/>
          <w:szCs w:val="44"/>
          <w:highlight w:val="none"/>
        </w:rPr>
      </w:pPr>
    </w:p>
    <w:p>
      <w:pPr>
        <w:spacing w:line="360" w:lineRule="auto"/>
        <w:jc w:val="center"/>
        <w:rPr>
          <w:rFonts w:hint="eastAsia" w:ascii="宋体" w:hAnsi="宋体" w:cs="宋体"/>
          <w:color w:val="auto"/>
          <w:kern w:val="1"/>
          <w:sz w:val="48"/>
          <w:szCs w:val="48"/>
          <w:highlight w:val="none"/>
        </w:rPr>
      </w:pPr>
      <w:r>
        <w:rPr>
          <w:rFonts w:hint="eastAsia" w:ascii="宋体" w:hAnsi="宋体" w:cs="宋体"/>
          <w:color w:val="auto"/>
          <w:kern w:val="1"/>
          <w:sz w:val="48"/>
          <w:szCs w:val="48"/>
          <w:highlight w:val="none"/>
        </w:rPr>
        <w:t>新港中路470号大院老旧小区改造项目</w:t>
      </w:r>
    </w:p>
    <w:p>
      <w:pPr>
        <w:spacing w:line="360" w:lineRule="auto"/>
        <w:jc w:val="center"/>
        <w:rPr>
          <w:rFonts w:ascii="宋体" w:hAnsi="宋体" w:cs="宋体"/>
          <w:color w:val="auto"/>
          <w:kern w:val="1"/>
          <w:sz w:val="48"/>
          <w:szCs w:val="48"/>
          <w:highlight w:val="none"/>
        </w:rPr>
      </w:pPr>
      <w:r>
        <w:rPr>
          <w:rFonts w:hint="eastAsia" w:ascii="宋体" w:hAnsi="宋体" w:cs="宋体"/>
          <w:color w:val="auto"/>
          <w:kern w:val="1"/>
          <w:sz w:val="48"/>
          <w:szCs w:val="48"/>
          <w:highlight w:val="none"/>
        </w:rPr>
        <w:t>设计施工总承包</w:t>
      </w:r>
    </w:p>
    <w:p>
      <w:pPr>
        <w:pStyle w:val="10"/>
        <w:spacing w:line="360" w:lineRule="auto"/>
        <w:rPr>
          <w:color w:val="auto"/>
          <w:highlight w:val="none"/>
          <w:lang w:val="en-US"/>
        </w:rPr>
      </w:pPr>
    </w:p>
    <w:p>
      <w:pPr>
        <w:pStyle w:val="10"/>
        <w:spacing w:line="360" w:lineRule="auto"/>
        <w:rPr>
          <w:color w:val="auto"/>
          <w:highlight w:val="none"/>
        </w:rPr>
      </w:pPr>
    </w:p>
    <w:p>
      <w:pPr>
        <w:pStyle w:val="10"/>
        <w:spacing w:line="360" w:lineRule="auto"/>
        <w:rPr>
          <w:color w:val="auto"/>
          <w:highlight w:val="none"/>
        </w:rPr>
      </w:pPr>
    </w:p>
    <w:p>
      <w:pPr>
        <w:spacing w:line="360" w:lineRule="auto"/>
        <w:jc w:val="center"/>
        <w:rPr>
          <w:rFonts w:ascii="宋体" w:hAnsi="宋体" w:cs="宋体"/>
          <w:color w:val="auto"/>
          <w:kern w:val="1"/>
          <w:sz w:val="72"/>
          <w:szCs w:val="72"/>
          <w:highlight w:val="none"/>
        </w:rPr>
      </w:pPr>
    </w:p>
    <w:p>
      <w:pPr>
        <w:spacing w:line="360" w:lineRule="auto"/>
        <w:jc w:val="center"/>
        <w:rPr>
          <w:rFonts w:ascii="宋体" w:hAnsi="宋体" w:cs="宋体"/>
          <w:color w:val="auto"/>
          <w:kern w:val="1"/>
          <w:sz w:val="84"/>
          <w:szCs w:val="84"/>
          <w:highlight w:val="none"/>
        </w:rPr>
      </w:pPr>
      <w:r>
        <w:rPr>
          <w:rFonts w:hint="eastAsia" w:ascii="宋体" w:hAnsi="宋体" w:cs="宋体"/>
          <w:b/>
          <w:bCs/>
          <w:color w:val="auto"/>
          <w:kern w:val="1"/>
          <w:sz w:val="84"/>
          <w:szCs w:val="84"/>
          <w:highlight w:val="none"/>
        </w:rPr>
        <w:t>招 标 文 件</w:t>
      </w:r>
    </w:p>
    <w:p>
      <w:pPr>
        <w:spacing w:line="360" w:lineRule="auto"/>
        <w:jc w:val="center"/>
        <w:rPr>
          <w:rFonts w:ascii="宋体" w:hAnsi="宋体" w:cs="宋体"/>
          <w:color w:val="auto"/>
          <w:kern w:val="1"/>
          <w:sz w:val="48"/>
          <w:szCs w:val="21"/>
          <w:highlight w:val="none"/>
        </w:rPr>
      </w:pPr>
    </w:p>
    <w:p>
      <w:pPr>
        <w:spacing w:line="360" w:lineRule="auto"/>
        <w:jc w:val="center"/>
        <w:rPr>
          <w:rFonts w:ascii="宋体" w:hAnsi="宋体" w:cs="宋体"/>
          <w:color w:val="auto"/>
          <w:kern w:val="1"/>
          <w:sz w:val="32"/>
          <w:szCs w:val="32"/>
          <w:highlight w:val="none"/>
        </w:rPr>
      </w:pPr>
    </w:p>
    <w:p>
      <w:pPr>
        <w:pStyle w:val="10"/>
        <w:rPr>
          <w:color w:val="auto"/>
          <w:highlight w:val="none"/>
          <w:lang w:val="en-US"/>
        </w:rPr>
      </w:pPr>
    </w:p>
    <w:p>
      <w:pPr>
        <w:pStyle w:val="10"/>
        <w:rPr>
          <w:color w:val="auto"/>
          <w:highlight w:val="none"/>
          <w:lang w:val="en-US"/>
        </w:rPr>
      </w:pPr>
    </w:p>
    <w:p>
      <w:pPr>
        <w:pStyle w:val="10"/>
        <w:rPr>
          <w:color w:val="auto"/>
          <w:highlight w:val="none"/>
          <w:lang w:val="en-US"/>
        </w:rPr>
      </w:pPr>
    </w:p>
    <w:p>
      <w:pPr>
        <w:pStyle w:val="10"/>
        <w:rPr>
          <w:color w:val="auto"/>
          <w:highlight w:val="none"/>
          <w:lang w:val="en-US"/>
        </w:rPr>
      </w:pPr>
    </w:p>
    <w:p>
      <w:pPr>
        <w:spacing w:line="360" w:lineRule="auto"/>
        <w:ind w:firstLine="707" w:firstLineChars="220"/>
        <w:rPr>
          <w:rFonts w:hint="eastAsia" w:ascii="宋体" w:hAnsi="宋体" w:cs="宋体"/>
          <w:b/>
          <w:color w:val="auto"/>
          <w:kern w:val="1"/>
          <w:sz w:val="32"/>
          <w:szCs w:val="32"/>
          <w:highlight w:val="none"/>
        </w:rPr>
      </w:pPr>
      <w:r>
        <w:rPr>
          <w:rFonts w:hint="eastAsia" w:ascii="宋体" w:hAnsi="宋体" w:cs="宋体"/>
          <w:b/>
          <w:color w:val="auto"/>
          <w:kern w:val="1"/>
          <w:sz w:val="32"/>
          <w:szCs w:val="32"/>
          <w:highlight w:val="none"/>
        </w:rPr>
        <w:t>招   标   人：广州市海珠区人民政府赤岗街道办事处</w:t>
      </w:r>
    </w:p>
    <w:p>
      <w:pPr>
        <w:spacing w:line="360" w:lineRule="auto"/>
        <w:ind w:firstLine="707" w:firstLineChars="220"/>
        <w:rPr>
          <w:rFonts w:hint="eastAsia" w:ascii="宋体" w:hAnsi="宋体" w:cs="宋体"/>
          <w:b/>
          <w:color w:val="auto"/>
          <w:kern w:val="1"/>
          <w:sz w:val="32"/>
          <w:szCs w:val="32"/>
          <w:highlight w:val="none"/>
        </w:rPr>
      </w:pPr>
      <w:bookmarkStart w:id="0" w:name="_Hlk69809718"/>
      <w:r>
        <w:rPr>
          <w:rFonts w:hint="eastAsia" w:ascii="宋体" w:hAnsi="宋体" w:cs="宋体"/>
          <w:b/>
          <w:color w:val="auto"/>
          <w:kern w:val="1"/>
          <w:sz w:val="32"/>
          <w:szCs w:val="32"/>
          <w:highlight w:val="none"/>
        </w:rPr>
        <w:t>招标代理机构：</w:t>
      </w:r>
      <w:bookmarkEnd w:id="0"/>
      <w:r>
        <w:rPr>
          <w:rFonts w:hint="eastAsia" w:ascii="宋体" w:hAnsi="宋体" w:cs="宋体"/>
          <w:b/>
          <w:color w:val="auto"/>
          <w:kern w:val="1"/>
          <w:sz w:val="32"/>
          <w:szCs w:val="32"/>
          <w:highlight w:val="none"/>
        </w:rPr>
        <w:t>永道工程咨询有限公司</w:t>
      </w:r>
    </w:p>
    <w:p>
      <w:pPr>
        <w:pStyle w:val="14"/>
        <w:spacing w:line="360" w:lineRule="auto"/>
        <w:ind w:firstLine="3534" w:firstLineChars="1100"/>
        <w:rPr>
          <w:rFonts w:ascii="宋体" w:hAnsi="宋体" w:cs="宋体"/>
          <w:b/>
          <w:color w:val="auto"/>
          <w:kern w:val="1"/>
          <w:sz w:val="32"/>
          <w:szCs w:val="32"/>
          <w:highlight w:val="none"/>
        </w:rPr>
      </w:pPr>
      <w:r>
        <w:rPr>
          <w:rFonts w:hint="eastAsia" w:ascii="宋体" w:hAnsi="宋体" w:cs="宋体"/>
          <w:b/>
          <w:color w:val="auto"/>
          <w:kern w:val="1"/>
          <w:sz w:val="32"/>
          <w:szCs w:val="32"/>
          <w:highlight w:val="none"/>
        </w:rPr>
        <w:t>202</w:t>
      </w:r>
      <w:r>
        <w:rPr>
          <w:rFonts w:ascii="宋体" w:hAnsi="宋体" w:cs="宋体"/>
          <w:b/>
          <w:color w:val="auto"/>
          <w:kern w:val="1"/>
          <w:sz w:val="32"/>
          <w:szCs w:val="32"/>
          <w:highlight w:val="none"/>
        </w:rPr>
        <w:t>3</w:t>
      </w:r>
      <w:r>
        <w:rPr>
          <w:rFonts w:hint="eastAsia" w:ascii="宋体" w:hAnsi="宋体" w:cs="宋体"/>
          <w:b/>
          <w:color w:val="auto"/>
          <w:kern w:val="1"/>
          <w:sz w:val="32"/>
          <w:szCs w:val="32"/>
          <w:highlight w:val="none"/>
        </w:rPr>
        <w:t>年11月</w:t>
      </w:r>
      <w:bookmarkStart w:id="1" w:name="_Toc367729707"/>
      <w:bookmarkEnd w:id="1"/>
      <w:bookmarkStart w:id="2" w:name="_Toc300834926"/>
      <w:bookmarkEnd w:id="2"/>
      <w:bookmarkStart w:id="3" w:name="_Toc247527532"/>
      <w:bookmarkEnd w:id="3"/>
      <w:bookmarkStart w:id="4" w:name="_Toc144974478"/>
      <w:bookmarkEnd w:id="4"/>
      <w:bookmarkStart w:id="5" w:name="_Toc152042286"/>
      <w:bookmarkEnd w:id="5"/>
    </w:p>
    <w:p>
      <w:pPr>
        <w:pStyle w:val="10"/>
        <w:rPr>
          <w:color w:val="auto"/>
          <w:highlight w:val="none"/>
        </w:rPr>
      </w:pPr>
    </w:p>
    <w:p>
      <w:pPr>
        <w:pStyle w:val="14"/>
        <w:spacing w:line="360" w:lineRule="auto"/>
        <w:ind w:firstLine="3654" w:firstLineChars="1300"/>
        <w:rPr>
          <w:rFonts w:ascii="宋体" w:hAnsi="宋体" w:cs="宋体"/>
          <w:b/>
          <w:color w:val="auto"/>
          <w:sz w:val="28"/>
          <w:highlight w:val="none"/>
        </w:rPr>
      </w:pPr>
      <w:r>
        <w:rPr>
          <w:rFonts w:hint="eastAsia" w:ascii="宋体" w:hAnsi="宋体" w:cs="宋体"/>
          <w:b/>
          <w:color w:val="auto"/>
          <w:sz w:val="28"/>
          <w:highlight w:val="none"/>
        </w:rPr>
        <w:br w:type="page"/>
      </w:r>
    </w:p>
    <w:p>
      <w:pPr>
        <w:pStyle w:val="14"/>
        <w:spacing w:line="360" w:lineRule="auto"/>
        <w:ind w:firstLine="3654" w:firstLineChars="1300"/>
        <w:rPr>
          <w:rFonts w:ascii="宋体" w:hAnsi="宋体" w:cs="宋体"/>
          <w:b/>
          <w:color w:val="auto"/>
          <w:sz w:val="28"/>
          <w:highlight w:val="none"/>
        </w:rPr>
      </w:pPr>
      <w:r>
        <w:rPr>
          <w:rFonts w:hint="eastAsia" w:ascii="宋体" w:hAnsi="宋体" w:cs="宋体"/>
          <w:b/>
          <w:color w:val="auto"/>
          <w:sz w:val="28"/>
          <w:highlight w:val="none"/>
        </w:rPr>
        <w:t>目     录</w:t>
      </w:r>
    </w:p>
    <w:p>
      <w:pPr>
        <w:pStyle w:val="13"/>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TOC \o </w:instrText>
      </w:r>
      <w:r>
        <w:rPr>
          <w:rFonts w:hint="eastAsia" w:ascii="宋体" w:hAnsi="宋体" w:cs="宋体"/>
          <w:color w:val="auto"/>
          <w:sz w:val="22"/>
          <w:szCs w:val="22"/>
          <w:highlight w:val="none"/>
        </w:rPr>
        <w:fldChar w:fldCharType="separate"/>
      </w:r>
      <w:bookmarkStart w:id="6" w:name="_Toc144974479"/>
      <w:bookmarkEnd w:id="6"/>
      <w:bookmarkStart w:id="7" w:name="_Toc152042287"/>
      <w:bookmarkEnd w:id="7"/>
      <w:bookmarkStart w:id="8" w:name="_Toc247527533"/>
      <w:bookmarkEnd w:id="8"/>
      <w:bookmarkStart w:id="9" w:name="_Toc247513932"/>
      <w:bookmarkEnd w:id="9"/>
      <w:bookmarkStart w:id="10" w:name="_Toc152045511"/>
      <w:bookmarkEnd w:id="10"/>
      <w:r>
        <w:rPr>
          <w:rFonts w:ascii="宋体" w:hAnsi="宋体" w:cs="宋体"/>
          <w:color w:val="auto"/>
          <w:sz w:val="22"/>
          <w:szCs w:val="22"/>
          <w:highlight w:val="none"/>
        </w:rPr>
        <w:t xml:space="preserve">第一章 </w:t>
      </w:r>
      <w:r>
        <w:rPr>
          <w:rFonts w:hint="eastAsia" w:ascii="宋体" w:hAnsi="宋体" w:cs="宋体"/>
          <w:color w:val="auto"/>
          <w:sz w:val="22"/>
          <w:szCs w:val="22"/>
          <w:highlight w:val="none"/>
        </w:rPr>
        <w:t>招标公告（另册）</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_Toc17070 </w:instrText>
      </w:r>
      <w:r>
        <w:rPr>
          <w:color w:val="auto"/>
          <w:sz w:val="22"/>
          <w:szCs w:val="22"/>
          <w:highlight w:val="none"/>
        </w:rPr>
        <w:fldChar w:fldCharType="separate"/>
      </w:r>
      <w:r>
        <w:rPr>
          <w:color w:val="auto"/>
          <w:sz w:val="22"/>
          <w:szCs w:val="22"/>
          <w:highlight w:val="none"/>
        </w:rPr>
        <w:t>3</w:t>
      </w:r>
      <w:r>
        <w:rPr>
          <w:color w:val="auto"/>
          <w:sz w:val="22"/>
          <w:szCs w:val="22"/>
          <w:highlight w:val="none"/>
        </w:rPr>
        <w:fldChar w:fldCharType="end"/>
      </w:r>
    </w:p>
    <w:p>
      <w:pPr>
        <w:pStyle w:val="13"/>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t>第二章 投标人须知</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_Toc28666 </w:instrText>
      </w:r>
      <w:r>
        <w:rPr>
          <w:color w:val="auto"/>
          <w:sz w:val="22"/>
          <w:szCs w:val="22"/>
          <w:highlight w:val="none"/>
        </w:rPr>
        <w:fldChar w:fldCharType="separate"/>
      </w:r>
      <w:r>
        <w:rPr>
          <w:color w:val="auto"/>
          <w:sz w:val="22"/>
          <w:szCs w:val="22"/>
          <w:highlight w:val="none"/>
        </w:rPr>
        <w:t>4</w:t>
      </w:r>
      <w:r>
        <w:rPr>
          <w:color w:val="auto"/>
          <w:sz w:val="22"/>
          <w:szCs w:val="22"/>
          <w:highlight w:val="none"/>
        </w:rPr>
        <w:fldChar w:fldCharType="end"/>
      </w:r>
    </w:p>
    <w:p>
      <w:pPr>
        <w:pStyle w:val="13"/>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t>第三章 评标办法（综合评估法）</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_Toc16394 </w:instrText>
      </w:r>
      <w:r>
        <w:rPr>
          <w:color w:val="auto"/>
          <w:sz w:val="22"/>
          <w:szCs w:val="22"/>
          <w:highlight w:val="none"/>
        </w:rPr>
        <w:fldChar w:fldCharType="separate"/>
      </w:r>
      <w:r>
        <w:rPr>
          <w:color w:val="auto"/>
          <w:sz w:val="22"/>
          <w:szCs w:val="22"/>
          <w:highlight w:val="none"/>
        </w:rPr>
        <w:t>25</w:t>
      </w:r>
      <w:r>
        <w:rPr>
          <w:color w:val="auto"/>
          <w:sz w:val="22"/>
          <w:szCs w:val="22"/>
          <w:highlight w:val="none"/>
        </w:rPr>
        <w:fldChar w:fldCharType="end"/>
      </w:r>
    </w:p>
    <w:p>
      <w:pPr>
        <w:pStyle w:val="13"/>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t>第四章 合同条款及格式</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_Toc16039 </w:instrText>
      </w:r>
      <w:r>
        <w:rPr>
          <w:color w:val="auto"/>
          <w:sz w:val="22"/>
          <w:szCs w:val="22"/>
          <w:highlight w:val="none"/>
        </w:rPr>
        <w:fldChar w:fldCharType="separate"/>
      </w:r>
      <w:r>
        <w:rPr>
          <w:color w:val="auto"/>
          <w:sz w:val="22"/>
          <w:szCs w:val="22"/>
          <w:highlight w:val="none"/>
        </w:rPr>
        <w:t>33</w:t>
      </w:r>
      <w:r>
        <w:rPr>
          <w:color w:val="auto"/>
          <w:sz w:val="22"/>
          <w:szCs w:val="22"/>
          <w:highlight w:val="none"/>
        </w:rPr>
        <w:fldChar w:fldCharType="end"/>
      </w:r>
    </w:p>
    <w:p>
      <w:pPr>
        <w:pStyle w:val="13"/>
        <w:tabs>
          <w:tab w:val="right" w:leader="dot" w:pos="9040"/>
        </w:tabs>
        <w:spacing w:line="360" w:lineRule="auto"/>
        <w:rPr>
          <w:color w:val="auto"/>
          <w:sz w:val="22"/>
          <w:szCs w:val="22"/>
          <w:highlight w:val="none"/>
        </w:rPr>
      </w:pPr>
      <w:r>
        <w:rPr>
          <w:rFonts w:hint="eastAsia"/>
          <w:color w:val="auto"/>
          <w:sz w:val="22"/>
          <w:szCs w:val="22"/>
          <w:highlight w:val="none"/>
        </w:rPr>
        <w:t>第五章 招标人要求</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_Toc16641 </w:instrText>
      </w:r>
      <w:r>
        <w:rPr>
          <w:color w:val="auto"/>
          <w:sz w:val="22"/>
          <w:szCs w:val="22"/>
          <w:highlight w:val="none"/>
        </w:rPr>
        <w:fldChar w:fldCharType="separate"/>
      </w:r>
      <w:r>
        <w:rPr>
          <w:color w:val="auto"/>
          <w:sz w:val="22"/>
          <w:szCs w:val="22"/>
          <w:highlight w:val="none"/>
        </w:rPr>
        <w:t>39</w:t>
      </w:r>
      <w:r>
        <w:rPr>
          <w:color w:val="auto"/>
          <w:sz w:val="22"/>
          <w:szCs w:val="22"/>
          <w:highlight w:val="none"/>
        </w:rPr>
        <w:fldChar w:fldCharType="end"/>
      </w:r>
    </w:p>
    <w:p>
      <w:pPr>
        <w:pStyle w:val="13"/>
        <w:tabs>
          <w:tab w:val="right" w:leader="dot" w:pos="9040"/>
        </w:tabs>
        <w:spacing w:line="360" w:lineRule="auto"/>
        <w:rPr>
          <w:color w:val="auto"/>
          <w:sz w:val="22"/>
          <w:szCs w:val="22"/>
          <w:highlight w:val="none"/>
        </w:rPr>
      </w:pPr>
      <w:r>
        <w:rPr>
          <w:rFonts w:hint="eastAsia"/>
          <w:color w:val="auto"/>
          <w:sz w:val="22"/>
          <w:szCs w:val="22"/>
          <w:highlight w:val="none"/>
        </w:rPr>
        <w:t>第六章 招标人提供的资料</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_Toc3467 </w:instrText>
      </w:r>
      <w:r>
        <w:rPr>
          <w:color w:val="auto"/>
          <w:sz w:val="22"/>
          <w:szCs w:val="22"/>
          <w:highlight w:val="none"/>
        </w:rPr>
        <w:fldChar w:fldCharType="separate"/>
      </w:r>
      <w:r>
        <w:rPr>
          <w:color w:val="auto"/>
          <w:sz w:val="22"/>
          <w:szCs w:val="22"/>
          <w:highlight w:val="none"/>
        </w:rPr>
        <w:t>40</w:t>
      </w:r>
      <w:r>
        <w:rPr>
          <w:color w:val="auto"/>
          <w:sz w:val="22"/>
          <w:szCs w:val="22"/>
          <w:highlight w:val="none"/>
        </w:rPr>
        <w:fldChar w:fldCharType="end"/>
      </w:r>
    </w:p>
    <w:p>
      <w:pPr>
        <w:pStyle w:val="13"/>
        <w:tabs>
          <w:tab w:val="right" w:leader="dot" w:pos="9040"/>
        </w:tabs>
        <w:spacing w:line="360" w:lineRule="auto"/>
        <w:rPr>
          <w:color w:val="auto"/>
          <w:sz w:val="22"/>
          <w:szCs w:val="22"/>
          <w:highlight w:val="none"/>
        </w:rPr>
      </w:pPr>
      <w:r>
        <w:rPr>
          <w:rFonts w:hint="eastAsia"/>
          <w:color w:val="auto"/>
          <w:sz w:val="22"/>
          <w:szCs w:val="22"/>
          <w:highlight w:val="none"/>
        </w:rPr>
        <w:t>第七章 投标文件格式</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_Toc18390 </w:instrText>
      </w:r>
      <w:r>
        <w:rPr>
          <w:color w:val="auto"/>
          <w:sz w:val="22"/>
          <w:szCs w:val="22"/>
          <w:highlight w:val="none"/>
        </w:rPr>
        <w:fldChar w:fldCharType="separate"/>
      </w:r>
      <w:r>
        <w:rPr>
          <w:color w:val="auto"/>
          <w:sz w:val="22"/>
          <w:szCs w:val="22"/>
          <w:highlight w:val="none"/>
        </w:rPr>
        <w:t>41</w:t>
      </w:r>
      <w:r>
        <w:rPr>
          <w:color w:val="auto"/>
          <w:sz w:val="22"/>
          <w:szCs w:val="22"/>
          <w:highlight w:val="none"/>
        </w:rPr>
        <w:fldChar w:fldCharType="end"/>
      </w:r>
    </w:p>
    <w:p>
      <w:pPr>
        <w:pStyle w:val="13"/>
        <w:tabs>
          <w:tab w:val="right" w:leader="dot" w:pos="9297"/>
        </w:tabs>
        <w:spacing w:line="360" w:lineRule="auto"/>
        <w:rPr>
          <w:rFonts w:ascii="宋体" w:hAnsi="宋体" w:cs="宋体"/>
          <w:color w:val="auto"/>
          <w:highlight w:val="none"/>
        </w:rPr>
      </w:pPr>
      <w:r>
        <w:rPr>
          <w:rFonts w:hint="eastAsia" w:ascii="宋体" w:hAnsi="宋体" w:cs="宋体"/>
          <w:color w:val="auto"/>
          <w:sz w:val="22"/>
          <w:szCs w:val="22"/>
          <w:highlight w:val="none"/>
        </w:rPr>
        <w:fldChar w:fldCharType="end"/>
      </w:r>
      <w:bookmarkStart w:id="11" w:name="_Toc152045526"/>
      <w:bookmarkEnd w:id="11"/>
      <w:bookmarkStart w:id="12" w:name="_Toc144974495"/>
      <w:bookmarkEnd w:id="12"/>
      <w:bookmarkStart w:id="13" w:name="_Toc247513950"/>
      <w:bookmarkEnd w:id="13"/>
      <w:bookmarkStart w:id="14" w:name="_Toc247527551"/>
      <w:bookmarkEnd w:id="14"/>
      <w:bookmarkStart w:id="15" w:name="_Toc443505819"/>
      <w:bookmarkEnd w:id="15"/>
      <w:bookmarkStart w:id="16" w:name="_Toc152042302"/>
      <w:bookmarkEnd w:id="16"/>
      <w:bookmarkStart w:id="17" w:name="_Toc247513949"/>
      <w:bookmarkEnd w:id="17"/>
      <w:bookmarkStart w:id="18" w:name="_Toc152045527"/>
      <w:bookmarkEnd w:id="18"/>
      <w:bookmarkStart w:id="19" w:name="_Toc152042303"/>
      <w:bookmarkEnd w:id="19"/>
      <w:bookmarkStart w:id="20" w:name="_Toc144974494"/>
      <w:bookmarkEnd w:id="20"/>
      <w:bookmarkStart w:id="21" w:name="_Toc247527550"/>
      <w:bookmarkEnd w:id="21"/>
    </w:p>
    <w:p>
      <w:pPr>
        <w:pStyle w:val="2"/>
        <w:numPr>
          <w:ilvl w:val="0"/>
          <w:numId w:val="1"/>
        </w:numPr>
        <w:spacing w:line="360" w:lineRule="auto"/>
        <w:jc w:val="center"/>
        <w:rPr>
          <w:rFonts w:ascii="宋体" w:hAnsi="宋体" w:cs="宋体"/>
          <w:color w:val="auto"/>
          <w:highlight w:val="none"/>
        </w:rPr>
      </w:pPr>
      <w:bookmarkStart w:id="22" w:name="_Toc5620293"/>
      <w:r>
        <w:rPr>
          <w:rFonts w:ascii="宋体" w:hAnsi="宋体" w:cs="宋体"/>
          <w:color w:val="auto"/>
          <w:highlight w:val="none"/>
        </w:rPr>
        <w:br w:type="page"/>
      </w:r>
      <w:r>
        <w:rPr>
          <w:rFonts w:hint="eastAsia" w:ascii="宋体" w:hAnsi="宋体" w:cs="宋体"/>
          <w:color w:val="auto"/>
          <w:highlight w:val="none"/>
        </w:rPr>
        <w:t xml:space="preserve"> </w:t>
      </w:r>
      <w:bookmarkStart w:id="23" w:name="_Toc17070"/>
      <w:r>
        <w:rPr>
          <w:rFonts w:hint="eastAsia" w:ascii="宋体" w:hAnsi="宋体" w:cs="宋体"/>
          <w:color w:val="auto"/>
          <w:highlight w:val="none"/>
        </w:rPr>
        <w:t>招标公告（另册）</w:t>
      </w:r>
      <w:bookmarkEnd w:id="22"/>
      <w:bookmarkEnd w:id="23"/>
    </w:p>
    <w:p>
      <w:pPr>
        <w:pStyle w:val="10"/>
        <w:spacing w:line="360" w:lineRule="auto"/>
        <w:rPr>
          <w:color w:val="auto"/>
          <w:highlight w:val="none"/>
        </w:rPr>
      </w:pPr>
      <w:r>
        <w:rPr>
          <w:color w:val="auto"/>
          <w:highlight w:val="none"/>
        </w:rPr>
        <w:br w:type="page"/>
      </w:r>
    </w:p>
    <w:p>
      <w:pPr>
        <w:pStyle w:val="2"/>
        <w:spacing w:after="100" w:line="360" w:lineRule="auto"/>
        <w:jc w:val="center"/>
        <w:rPr>
          <w:rFonts w:ascii="宋体" w:hAnsi="宋体" w:cs="宋体"/>
          <w:color w:val="auto"/>
          <w:kern w:val="1"/>
          <w:highlight w:val="none"/>
        </w:rPr>
      </w:pPr>
      <w:bookmarkStart w:id="24" w:name="_Toc12275"/>
      <w:bookmarkEnd w:id="24"/>
      <w:bookmarkStart w:id="25" w:name="_Toc28666"/>
      <w:bookmarkStart w:id="26" w:name="_Toc5620294"/>
      <w:r>
        <w:rPr>
          <w:rFonts w:hint="eastAsia" w:ascii="宋体" w:hAnsi="宋体" w:cs="宋体"/>
          <w:color w:val="auto"/>
          <w:kern w:val="1"/>
          <w:highlight w:val="none"/>
        </w:rPr>
        <w:t xml:space="preserve"> 第二章 投标人须知</w:t>
      </w:r>
      <w:bookmarkEnd w:id="25"/>
      <w:bookmarkEnd w:id="26"/>
    </w:p>
    <w:p>
      <w:pPr>
        <w:pStyle w:val="3"/>
        <w:spacing w:before="100" w:after="100" w:line="360" w:lineRule="auto"/>
        <w:jc w:val="center"/>
        <w:rPr>
          <w:rFonts w:hint="eastAsia" w:ascii="宋体" w:hAnsi="宋体" w:eastAsia="宋体" w:cs="宋体"/>
          <w:color w:val="auto"/>
          <w:highlight w:val="none"/>
          <w:lang w:val="zh-CN"/>
        </w:rPr>
      </w:pPr>
      <w:bookmarkStart w:id="27" w:name="_Toc6703"/>
      <w:bookmarkEnd w:id="27"/>
      <w:bookmarkStart w:id="28" w:name="_Toc443505821"/>
      <w:bookmarkEnd w:id="28"/>
      <w:bookmarkStart w:id="29" w:name="_Toc362816479"/>
      <w:bookmarkEnd w:id="29"/>
      <w:bookmarkStart w:id="30" w:name="_Toc144974496"/>
      <w:bookmarkEnd w:id="30"/>
      <w:bookmarkStart w:id="31" w:name="_Toc247513951"/>
      <w:bookmarkEnd w:id="31"/>
      <w:bookmarkStart w:id="32" w:name="_Toc30749"/>
      <w:bookmarkEnd w:id="32"/>
      <w:bookmarkStart w:id="33" w:name="_Toc152042304"/>
      <w:bookmarkEnd w:id="33"/>
      <w:bookmarkStart w:id="34" w:name="_Toc357089510"/>
      <w:bookmarkEnd w:id="34"/>
      <w:bookmarkStart w:id="35" w:name="_Toc152045528"/>
      <w:bookmarkEnd w:id="35"/>
      <w:bookmarkStart w:id="36" w:name="_Toc300834948"/>
      <w:bookmarkEnd w:id="36"/>
      <w:bookmarkStart w:id="37" w:name="_Toc247527552"/>
      <w:bookmarkEnd w:id="37"/>
      <w:bookmarkStart w:id="38" w:name="_Toc5620295"/>
      <w:bookmarkStart w:id="39" w:name="_Toc18684"/>
      <w:r>
        <w:rPr>
          <w:rFonts w:hint="eastAsia" w:ascii="宋体" w:hAnsi="宋体" w:eastAsia="宋体" w:cs="宋体"/>
          <w:color w:val="auto"/>
          <w:highlight w:val="none"/>
          <w:lang w:val="zh-CN"/>
        </w:rPr>
        <w:t>投标人须知前附表</w:t>
      </w:r>
      <w:bookmarkEnd w:id="38"/>
      <w:bookmarkEnd w:id="39"/>
    </w:p>
    <w:p>
      <w:pPr>
        <w:rPr>
          <w:highlight w:val="none"/>
          <w:lang w:val="zh-CN"/>
        </w:rPr>
      </w:pPr>
    </w:p>
    <w:tbl>
      <w:tblPr>
        <w:tblStyle w:val="17"/>
        <w:tblW w:w="9592" w:type="dxa"/>
        <w:jc w:val="center"/>
        <w:tblLayout w:type="fixed"/>
        <w:tblCellMar>
          <w:top w:w="0" w:type="dxa"/>
          <w:left w:w="108" w:type="dxa"/>
          <w:bottom w:w="0" w:type="dxa"/>
          <w:right w:w="108" w:type="dxa"/>
        </w:tblCellMar>
      </w:tblPr>
      <w:tblGrid>
        <w:gridCol w:w="884"/>
        <w:gridCol w:w="2471"/>
        <w:gridCol w:w="6237"/>
      </w:tblGrid>
      <w:tr>
        <w:tblPrEx>
          <w:tblCellMar>
            <w:top w:w="0" w:type="dxa"/>
            <w:left w:w="108" w:type="dxa"/>
            <w:bottom w:w="0" w:type="dxa"/>
            <w:right w:w="108" w:type="dxa"/>
          </w:tblCellMar>
        </w:tblPrEx>
        <w:trPr>
          <w:trHeight w:val="570" w:hRule="atLeast"/>
          <w:tblHeader/>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34" w:right="-107"/>
              <w:jc w:val="center"/>
              <w:rPr>
                <w:rFonts w:ascii="宋体" w:hAnsi="宋体" w:cs="宋体"/>
                <w:b/>
                <w:color w:val="auto"/>
                <w:kern w:val="1"/>
                <w:szCs w:val="21"/>
                <w:highlight w:val="none"/>
              </w:rPr>
            </w:pPr>
            <w:r>
              <w:rPr>
                <w:rFonts w:hint="eastAsia" w:ascii="宋体" w:hAnsi="宋体" w:cs="宋体"/>
                <w:b/>
                <w:color w:val="auto"/>
                <w:kern w:val="1"/>
                <w:szCs w:val="21"/>
                <w:highlight w:val="none"/>
              </w:rPr>
              <w:t>条款号</w:t>
            </w:r>
          </w:p>
        </w:tc>
        <w:tc>
          <w:tcPr>
            <w:tcW w:w="24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条  款  名  称</w:t>
            </w:r>
          </w:p>
        </w:tc>
        <w:tc>
          <w:tcPr>
            <w:tcW w:w="623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编  列  内  容</w:t>
            </w:r>
          </w:p>
        </w:tc>
      </w:tr>
      <w:tr>
        <w:tblPrEx>
          <w:tblCellMar>
            <w:top w:w="0" w:type="dxa"/>
            <w:left w:w="108" w:type="dxa"/>
            <w:bottom w:w="0" w:type="dxa"/>
            <w:right w:w="108" w:type="dxa"/>
          </w:tblCellMar>
        </w:tblPrEx>
        <w:trPr>
          <w:trHeight w:val="1289"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1.1.2</w:t>
            </w:r>
          </w:p>
        </w:tc>
        <w:tc>
          <w:tcPr>
            <w:tcW w:w="24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招标人</w:t>
            </w:r>
          </w:p>
        </w:tc>
        <w:tc>
          <w:tcPr>
            <w:tcW w:w="623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名称：</w:t>
            </w:r>
            <w:r>
              <w:rPr>
                <w:rFonts w:hint="eastAsia" w:ascii="宋体" w:hAnsi="宋体" w:cs="宋体"/>
                <w:color w:val="auto"/>
                <w:szCs w:val="21"/>
                <w:highlight w:val="none"/>
                <w:u w:val="single"/>
              </w:rPr>
              <w:t>广州市海珠区人民政府赤岗街道办事处</w:t>
            </w:r>
          </w:p>
          <w:p>
            <w:pPr>
              <w:adjustRightInd w:val="0"/>
              <w:snapToGrid w:val="0"/>
              <w:rPr>
                <w:rFonts w:ascii="宋体" w:hAnsi="宋体" w:cs="宋体"/>
                <w:szCs w:val="21"/>
                <w:highlight w:val="none"/>
              </w:rPr>
            </w:pPr>
            <w:r>
              <w:rPr>
                <w:rFonts w:hint="eastAsia" w:ascii="宋体" w:hAnsi="宋体" w:cs="宋体"/>
                <w:color w:val="auto"/>
                <w:szCs w:val="21"/>
                <w:highlight w:val="none"/>
              </w:rPr>
              <w:t>地址：</w:t>
            </w:r>
            <w:r>
              <w:rPr>
                <w:rFonts w:hint="eastAsia" w:ascii="宋体" w:hAnsi="宋体" w:cs="宋体"/>
                <w:szCs w:val="21"/>
                <w:highlight w:val="none"/>
                <w:u w:val="single"/>
              </w:rPr>
              <w:t xml:space="preserve">广州市海珠区下渡路128号  </w:t>
            </w:r>
          </w:p>
          <w:p>
            <w:pPr>
              <w:rPr>
                <w:rFonts w:hint="eastAsia" w:ascii="宋体" w:hAnsi="宋体" w:eastAsia="宋体" w:cs="宋体"/>
                <w:color w:val="auto"/>
                <w:szCs w:val="21"/>
                <w:highlight w:val="none"/>
                <w:u w:val="single"/>
                <w:lang w:val="en-US" w:eastAsia="zh-CN"/>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叶</w:t>
            </w:r>
            <w:r>
              <w:rPr>
                <w:rFonts w:hint="eastAsia" w:ascii="宋体" w:hAnsi="宋体" w:cs="宋体"/>
                <w:color w:val="auto"/>
                <w:szCs w:val="21"/>
                <w:highlight w:val="none"/>
                <w:u w:val="single"/>
                <w:lang w:val="en-US" w:eastAsia="zh-CN"/>
              </w:rPr>
              <w:t>工</w:t>
            </w:r>
          </w:p>
          <w:p>
            <w:pPr>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020-84193501</w:t>
            </w:r>
          </w:p>
        </w:tc>
      </w:tr>
      <w:tr>
        <w:tblPrEx>
          <w:tblCellMar>
            <w:top w:w="0" w:type="dxa"/>
            <w:left w:w="108" w:type="dxa"/>
            <w:bottom w:w="0" w:type="dxa"/>
            <w:right w:w="108" w:type="dxa"/>
          </w:tblCellMar>
        </w:tblPrEx>
        <w:trPr>
          <w:trHeight w:val="1184"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1.1.3</w:t>
            </w:r>
          </w:p>
        </w:tc>
        <w:tc>
          <w:tcPr>
            <w:tcW w:w="24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招标代理机构</w:t>
            </w:r>
          </w:p>
        </w:tc>
        <w:tc>
          <w:tcPr>
            <w:tcW w:w="6237"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名</w:t>
            </w:r>
            <w:r>
              <w:rPr>
                <w:rFonts w:ascii="宋体" w:hAnsi="宋体" w:cs="宋体"/>
                <w:color w:val="auto"/>
                <w:szCs w:val="21"/>
                <w:highlight w:val="none"/>
              </w:rPr>
              <w:t>称：</w:t>
            </w:r>
            <w:r>
              <w:rPr>
                <w:rFonts w:hint="eastAsia" w:ascii="宋体" w:hAnsi="宋体" w:cs="宋体"/>
                <w:color w:val="auto"/>
                <w:szCs w:val="21"/>
                <w:highlight w:val="none"/>
                <w:u w:val="single"/>
              </w:rPr>
              <w:t>永道工程咨询有限公司</w:t>
            </w:r>
          </w:p>
          <w:p>
            <w:pPr>
              <w:spacing w:line="276" w:lineRule="auto"/>
              <w:rPr>
                <w:rFonts w:ascii="宋体" w:hAnsi="宋体" w:cs="宋体"/>
                <w:color w:val="auto"/>
                <w:szCs w:val="21"/>
                <w:highlight w:val="none"/>
                <w:u w:val="single"/>
              </w:rPr>
            </w:pPr>
            <w:r>
              <w:rPr>
                <w:rFonts w:ascii="宋体" w:hAnsi="宋体" w:cs="宋体"/>
                <w:color w:val="auto"/>
                <w:szCs w:val="21"/>
                <w:highlight w:val="none"/>
              </w:rPr>
              <w:t>地址：</w:t>
            </w:r>
            <w:r>
              <w:rPr>
                <w:rFonts w:hint="eastAsia" w:ascii="宋体" w:hAnsi="宋体" w:cs="宋体"/>
                <w:color w:val="auto"/>
                <w:szCs w:val="21"/>
                <w:highlight w:val="none"/>
                <w:u w:val="single"/>
              </w:rPr>
              <w:t>广州市天河区华强路9号2701、2710房</w:t>
            </w:r>
          </w:p>
          <w:p>
            <w:pPr>
              <w:spacing w:line="276" w:lineRule="auto"/>
              <w:rPr>
                <w:rFonts w:ascii="宋体" w:hAnsi="宋体" w:cs="宋体"/>
                <w:color w:val="auto"/>
                <w:szCs w:val="21"/>
                <w:highlight w:val="none"/>
              </w:rPr>
            </w:pPr>
            <w:r>
              <w:rPr>
                <w:rFonts w:ascii="宋体" w:hAnsi="宋体" w:cs="宋体"/>
                <w:color w:val="auto"/>
                <w:szCs w:val="21"/>
                <w:highlight w:val="none"/>
              </w:rPr>
              <w:t>联系人：</w:t>
            </w:r>
            <w:r>
              <w:rPr>
                <w:rFonts w:hint="eastAsia" w:ascii="宋体" w:hAnsi="宋体" w:cs="宋体"/>
                <w:color w:val="auto"/>
                <w:szCs w:val="21"/>
                <w:highlight w:val="none"/>
                <w:u w:val="single"/>
              </w:rPr>
              <w:t>郑工</w:t>
            </w:r>
          </w:p>
          <w:p>
            <w:pPr>
              <w:spacing w:line="276" w:lineRule="auto"/>
              <w:rPr>
                <w:rFonts w:ascii="宋体" w:hAnsi="宋体" w:cs="宋体"/>
                <w:color w:val="auto"/>
                <w:szCs w:val="21"/>
                <w:highlight w:val="none"/>
              </w:rPr>
            </w:pPr>
            <w:r>
              <w:rPr>
                <w:rFonts w:ascii="宋体" w:hAnsi="宋体" w:cs="宋体"/>
                <w:color w:val="auto"/>
                <w:szCs w:val="21"/>
                <w:highlight w:val="none"/>
              </w:rPr>
              <w:t>电话：</w:t>
            </w:r>
            <w:r>
              <w:rPr>
                <w:rFonts w:hint="eastAsia" w:ascii="宋体" w:hAnsi="宋体" w:cs="宋体"/>
                <w:color w:val="auto"/>
                <w:szCs w:val="21"/>
                <w:highlight w:val="none"/>
                <w:u w:val="single"/>
              </w:rPr>
              <w:t>020-38818808</w:t>
            </w:r>
          </w:p>
        </w:tc>
      </w:tr>
      <w:tr>
        <w:tblPrEx>
          <w:tblCellMar>
            <w:top w:w="0" w:type="dxa"/>
            <w:left w:w="108" w:type="dxa"/>
            <w:bottom w:w="0" w:type="dxa"/>
            <w:right w:w="108" w:type="dxa"/>
          </w:tblCellMar>
        </w:tblPrEx>
        <w:trPr>
          <w:trHeight w:val="669"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1.1.4</w:t>
            </w:r>
          </w:p>
        </w:tc>
        <w:tc>
          <w:tcPr>
            <w:tcW w:w="24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项目名称</w:t>
            </w:r>
          </w:p>
        </w:tc>
        <w:tc>
          <w:tcPr>
            <w:tcW w:w="6237"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新港中路470号大院老旧小区改造项目设计施工总承包</w:t>
            </w:r>
          </w:p>
        </w:tc>
      </w:tr>
      <w:tr>
        <w:tblPrEx>
          <w:tblCellMar>
            <w:top w:w="0" w:type="dxa"/>
            <w:left w:w="108" w:type="dxa"/>
            <w:bottom w:w="0" w:type="dxa"/>
            <w:right w:w="108" w:type="dxa"/>
          </w:tblCellMar>
        </w:tblPrEx>
        <w:trPr>
          <w:trHeight w:val="367"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1.1.5</w:t>
            </w:r>
          </w:p>
        </w:tc>
        <w:tc>
          <w:tcPr>
            <w:tcW w:w="24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建设地点</w:t>
            </w:r>
          </w:p>
        </w:tc>
        <w:tc>
          <w:tcPr>
            <w:tcW w:w="623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本项目位于广州市海珠区赤岗街道新港中路 470 号大院，改造范围东至广东省轻工业技师学院，西至新港中路，南至中国人民解放军陆军第七十四集团军医院，北至黄埔涌。</w:t>
            </w:r>
          </w:p>
        </w:tc>
      </w:tr>
      <w:tr>
        <w:tblPrEx>
          <w:tblCellMar>
            <w:top w:w="0" w:type="dxa"/>
            <w:left w:w="108" w:type="dxa"/>
            <w:bottom w:w="0" w:type="dxa"/>
            <w:right w:w="108" w:type="dxa"/>
          </w:tblCellMar>
        </w:tblPrEx>
        <w:trPr>
          <w:trHeight w:val="42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1.2.1</w:t>
            </w:r>
          </w:p>
        </w:tc>
        <w:tc>
          <w:tcPr>
            <w:tcW w:w="24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资金来源及比例</w:t>
            </w:r>
          </w:p>
        </w:tc>
        <w:tc>
          <w:tcPr>
            <w:tcW w:w="623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市财政投资</w:t>
            </w:r>
          </w:p>
        </w:tc>
      </w:tr>
      <w:tr>
        <w:tblPrEx>
          <w:tblCellMar>
            <w:top w:w="0" w:type="dxa"/>
            <w:left w:w="108" w:type="dxa"/>
            <w:bottom w:w="0" w:type="dxa"/>
            <w:right w:w="108" w:type="dxa"/>
          </w:tblCellMar>
        </w:tblPrEx>
        <w:trPr>
          <w:trHeight w:val="397"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1.2.2</w:t>
            </w:r>
          </w:p>
        </w:tc>
        <w:tc>
          <w:tcPr>
            <w:tcW w:w="24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资金落实情况</w:t>
            </w:r>
          </w:p>
        </w:tc>
        <w:tc>
          <w:tcPr>
            <w:tcW w:w="623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已落实</w:t>
            </w:r>
          </w:p>
        </w:tc>
      </w:tr>
      <w:tr>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1.3.1</w:t>
            </w:r>
          </w:p>
        </w:tc>
        <w:tc>
          <w:tcPr>
            <w:tcW w:w="24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招标范围</w:t>
            </w:r>
          </w:p>
        </w:tc>
        <w:tc>
          <w:tcPr>
            <w:tcW w:w="623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见本项目招标公告及合同约定条款</w:t>
            </w:r>
          </w:p>
        </w:tc>
      </w:tr>
      <w:tr>
        <w:tblPrEx>
          <w:tblCellMar>
            <w:top w:w="0" w:type="dxa"/>
            <w:left w:w="108" w:type="dxa"/>
            <w:bottom w:w="0" w:type="dxa"/>
            <w:right w:w="108" w:type="dxa"/>
          </w:tblCellMar>
        </w:tblPrEx>
        <w:trPr>
          <w:trHeight w:val="41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1.3.2</w:t>
            </w:r>
          </w:p>
        </w:tc>
        <w:tc>
          <w:tcPr>
            <w:tcW w:w="24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计划工期</w:t>
            </w:r>
          </w:p>
        </w:tc>
        <w:tc>
          <w:tcPr>
            <w:tcW w:w="62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left"/>
              <w:rPr>
                <w:rFonts w:ascii="宋体" w:hAnsi="宋体" w:cs="宋体"/>
                <w:color w:val="auto"/>
                <w:kern w:val="1"/>
                <w:szCs w:val="21"/>
                <w:highlight w:val="none"/>
              </w:rPr>
            </w:pPr>
            <w:r>
              <w:rPr>
                <w:rFonts w:hint="eastAsia" w:ascii="宋体" w:hAnsi="宋体" w:cs="宋体"/>
                <w:color w:val="auto"/>
                <w:kern w:val="1"/>
                <w:szCs w:val="21"/>
                <w:highlight w:val="none"/>
              </w:rPr>
              <w:t>见本项目招标公告及合同约定条款</w:t>
            </w:r>
          </w:p>
        </w:tc>
      </w:tr>
      <w:tr>
        <w:tblPrEx>
          <w:tblCellMar>
            <w:top w:w="0" w:type="dxa"/>
            <w:left w:w="108" w:type="dxa"/>
            <w:bottom w:w="0" w:type="dxa"/>
            <w:right w:w="108" w:type="dxa"/>
          </w:tblCellMar>
        </w:tblPrEx>
        <w:trPr>
          <w:trHeight w:val="402"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1.3.3</w:t>
            </w:r>
          </w:p>
        </w:tc>
        <w:tc>
          <w:tcPr>
            <w:tcW w:w="24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质量标准</w:t>
            </w:r>
          </w:p>
        </w:tc>
        <w:tc>
          <w:tcPr>
            <w:tcW w:w="623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设计要求：符合建设工程设计的技术规范、设计任务书、城市规划等要求，遵守《建设工程质量管理条例》及《建设工程勘察设计管理条例》等国家及地方有关工程设计管理法规和规章，达到建筑行业相关规范技术标准等要求。</w:t>
            </w:r>
          </w:p>
          <w:p>
            <w:pPr>
              <w:spacing w:line="360" w:lineRule="auto"/>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施工要求：符合设计图纸要求和国家、省、市相关法律法规规定要求及行业颁发的工程质量合格标准，遵守《建筑工程施工质量验收统一标准》（GB50300-2013）及有关规定。</w:t>
            </w:r>
          </w:p>
          <w:p>
            <w:pPr>
              <w:spacing w:line="360" w:lineRule="auto"/>
              <w:jc w:val="left"/>
              <w:rPr>
                <w:rFonts w:ascii="宋体" w:hAnsi="宋体" w:cs="宋体"/>
                <w:color w:val="auto"/>
                <w:kern w:val="1"/>
                <w:szCs w:val="21"/>
                <w:highlight w:val="none"/>
              </w:rPr>
            </w:pPr>
            <w:r>
              <w:rPr>
                <w:rFonts w:hint="eastAsia" w:ascii="宋体" w:hAnsi="宋体" w:cs="宋体"/>
                <w:color w:val="auto"/>
                <w:kern w:val="1"/>
                <w:szCs w:val="21"/>
                <w:highlight w:val="none"/>
              </w:rPr>
              <w:t>工程质量标准：合格。</w:t>
            </w:r>
          </w:p>
        </w:tc>
      </w:tr>
      <w:tr>
        <w:tblPrEx>
          <w:tblCellMar>
            <w:top w:w="0" w:type="dxa"/>
            <w:left w:w="108" w:type="dxa"/>
            <w:bottom w:w="0" w:type="dxa"/>
            <w:right w:w="108" w:type="dxa"/>
          </w:tblCellMar>
        </w:tblPrEx>
        <w:trPr>
          <w:trHeight w:val="503"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1.4.1</w:t>
            </w:r>
          </w:p>
        </w:tc>
        <w:tc>
          <w:tcPr>
            <w:tcW w:w="24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投标人资质条件、能力和信誉</w:t>
            </w:r>
          </w:p>
        </w:tc>
        <w:tc>
          <w:tcPr>
            <w:tcW w:w="623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color w:val="auto"/>
                <w:kern w:val="1"/>
                <w:szCs w:val="21"/>
                <w:highlight w:val="none"/>
              </w:rPr>
            </w:pPr>
            <w:r>
              <w:rPr>
                <w:rFonts w:hint="eastAsia" w:ascii="宋体" w:hAnsi="宋体" w:cs="宋体"/>
                <w:color w:val="auto"/>
                <w:szCs w:val="21"/>
                <w:highlight w:val="none"/>
              </w:rPr>
              <w:t>见本项目招标公告</w:t>
            </w:r>
          </w:p>
        </w:tc>
      </w:tr>
      <w:tr>
        <w:tblPrEx>
          <w:tblCellMar>
            <w:top w:w="0" w:type="dxa"/>
            <w:left w:w="108" w:type="dxa"/>
            <w:bottom w:w="0" w:type="dxa"/>
            <w:right w:w="108" w:type="dxa"/>
          </w:tblCellMar>
        </w:tblPrEx>
        <w:trPr>
          <w:trHeight w:val="752"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1.4.2</w:t>
            </w:r>
          </w:p>
        </w:tc>
        <w:tc>
          <w:tcPr>
            <w:tcW w:w="24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是否接受联合体投标</w:t>
            </w:r>
          </w:p>
        </w:tc>
        <w:tc>
          <w:tcPr>
            <w:tcW w:w="6237" w:type="dxa"/>
            <w:tcBorders>
              <w:top w:val="single" w:color="000000" w:sz="4" w:space="0"/>
              <w:left w:val="single" w:color="000000" w:sz="4" w:space="0"/>
              <w:bottom w:val="single" w:color="000000" w:sz="4" w:space="0"/>
              <w:right w:val="single" w:color="000000" w:sz="4" w:space="0"/>
            </w:tcBorders>
            <w:noWrap w:val="0"/>
            <w:vAlign w:val="center"/>
          </w:tcPr>
          <w:p>
            <w:pPr>
              <w:pStyle w:val="6"/>
              <w:spacing w:line="360" w:lineRule="auto"/>
              <w:rPr>
                <w:rFonts w:cs="宋体"/>
                <w:color w:val="auto"/>
                <w:kern w:val="1"/>
                <w:sz w:val="21"/>
                <w:szCs w:val="21"/>
                <w:highlight w:val="none"/>
                <w:lang w:val="en-US" w:eastAsia="zh-CN"/>
              </w:rPr>
            </w:pPr>
            <w:r>
              <w:rPr>
                <w:rFonts w:hint="eastAsia" w:cs="宋体"/>
                <w:color w:val="auto"/>
                <w:kern w:val="1"/>
                <w:sz w:val="21"/>
                <w:szCs w:val="21"/>
                <w:highlight w:val="none"/>
                <w:lang w:val="en-US" w:eastAsia="zh-CN"/>
              </w:rPr>
              <w:t>□不接受</w:t>
            </w:r>
          </w:p>
          <w:p>
            <w:pPr>
              <w:spacing w:line="360" w:lineRule="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接受，应满足下列要求：</w:t>
            </w:r>
            <w:r>
              <w:rPr>
                <w:rFonts w:hint="eastAsia" w:ascii="宋体" w:hAnsi="宋体" w:cs="宋体"/>
                <w:color w:val="auto"/>
                <w:szCs w:val="21"/>
                <w:highlight w:val="none"/>
              </w:rPr>
              <w:t>见本项目招标公告要求。</w:t>
            </w:r>
          </w:p>
        </w:tc>
      </w:tr>
      <w:tr>
        <w:tblPrEx>
          <w:tblCellMar>
            <w:top w:w="0" w:type="dxa"/>
            <w:left w:w="108" w:type="dxa"/>
            <w:bottom w:w="0" w:type="dxa"/>
            <w:right w:w="108" w:type="dxa"/>
          </w:tblCellMar>
        </w:tblPrEx>
        <w:trPr>
          <w:trHeight w:val="840"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1.5</w:t>
            </w:r>
          </w:p>
        </w:tc>
        <w:tc>
          <w:tcPr>
            <w:tcW w:w="24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费用承担和设计成果补偿</w:t>
            </w:r>
          </w:p>
        </w:tc>
        <w:tc>
          <w:tcPr>
            <w:tcW w:w="623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■不补偿</w:t>
            </w:r>
          </w:p>
          <w:p>
            <w:pPr>
              <w:spacing w:line="360" w:lineRule="auto"/>
              <w:rPr>
                <w:rFonts w:ascii="宋体" w:hAnsi="宋体" w:cs="宋体"/>
                <w:color w:val="auto"/>
                <w:szCs w:val="21"/>
                <w:highlight w:val="none"/>
              </w:rPr>
            </w:pPr>
            <w:r>
              <w:rPr>
                <w:rFonts w:hint="eastAsia" w:cs="宋体"/>
                <w:color w:val="auto"/>
                <w:kern w:val="1"/>
                <w:szCs w:val="21"/>
                <w:highlight w:val="none"/>
              </w:rPr>
              <w:t>□</w:t>
            </w:r>
            <w:r>
              <w:rPr>
                <w:rFonts w:hint="eastAsia" w:ascii="宋体" w:hAnsi="宋体" w:cs="宋体"/>
                <w:color w:val="auto"/>
                <w:szCs w:val="21"/>
                <w:highlight w:val="none"/>
              </w:rPr>
              <w:t>补偿</w:t>
            </w:r>
          </w:p>
        </w:tc>
      </w:tr>
      <w:tr>
        <w:tblPrEx>
          <w:tblCellMar>
            <w:top w:w="0" w:type="dxa"/>
            <w:left w:w="108" w:type="dxa"/>
            <w:bottom w:w="0" w:type="dxa"/>
            <w:right w:w="108" w:type="dxa"/>
          </w:tblCellMar>
        </w:tblPrEx>
        <w:trPr>
          <w:trHeight w:val="927"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1.9.1</w:t>
            </w:r>
          </w:p>
        </w:tc>
        <w:tc>
          <w:tcPr>
            <w:tcW w:w="24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踏勘</w:t>
            </w:r>
          </w:p>
        </w:tc>
        <w:tc>
          <w:tcPr>
            <w:tcW w:w="623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cs="宋体"/>
                <w:color w:val="auto"/>
                <w:kern w:val="1"/>
                <w:szCs w:val="21"/>
                <w:highlight w:val="none"/>
                <w:u w:val="single"/>
              </w:rPr>
            </w:pPr>
            <w:r>
              <w:rPr>
                <w:rFonts w:hint="eastAsia" w:ascii="宋体" w:hAnsi="宋体" w:cs="宋体"/>
                <w:color w:val="auto"/>
                <w:szCs w:val="21"/>
                <w:highlight w:val="none"/>
              </w:rPr>
              <w:t>■</w:t>
            </w:r>
            <w:r>
              <w:rPr>
                <w:rFonts w:hint="eastAsia" w:ascii="宋体" w:hAnsi="宋体" w:cs="宋体"/>
                <w:color w:val="auto"/>
                <w:kern w:val="1"/>
                <w:szCs w:val="21"/>
                <w:highlight w:val="none"/>
              </w:rPr>
              <w:t>不组织：自行踏勘。投标人可自行结合招标文件等对工程现场及周围环境进行踏勘，以便获取有关编制投标文件和签署合同所涉及现场的资料。</w:t>
            </w:r>
          </w:p>
          <w:p>
            <w:pPr>
              <w:tabs>
                <w:tab w:val="center" w:pos="2950"/>
              </w:tabs>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□组织，踏勘时间：</w:t>
            </w:r>
          </w:p>
          <w:p>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踏勘集中地点：</w:t>
            </w:r>
          </w:p>
        </w:tc>
      </w:tr>
      <w:tr>
        <w:tblPrEx>
          <w:tblCellMar>
            <w:top w:w="0" w:type="dxa"/>
            <w:left w:w="108" w:type="dxa"/>
            <w:bottom w:w="0" w:type="dxa"/>
            <w:right w:w="108" w:type="dxa"/>
          </w:tblCellMar>
        </w:tblPrEx>
        <w:trPr>
          <w:trHeight w:val="268"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1.10.1</w:t>
            </w:r>
          </w:p>
        </w:tc>
        <w:tc>
          <w:tcPr>
            <w:tcW w:w="24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投标预备会</w:t>
            </w:r>
          </w:p>
        </w:tc>
        <w:tc>
          <w:tcPr>
            <w:tcW w:w="6237" w:type="dxa"/>
            <w:tcBorders>
              <w:top w:val="single" w:color="000000" w:sz="4" w:space="0"/>
              <w:left w:val="single" w:color="000000" w:sz="4" w:space="0"/>
              <w:bottom w:val="single" w:color="000000" w:sz="4" w:space="0"/>
              <w:right w:val="single" w:color="000000" w:sz="4" w:space="0"/>
            </w:tcBorders>
            <w:noWrap w:val="0"/>
            <w:vAlign w:val="center"/>
          </w:tcPr>
          <w:p>
            <w:pPr>
              <w:pStyle w:val="6"/>
              <w:spacing w:line="360" w:lineRule="auto"/>
              <w:rPr>
                <w:rFonts w:cs="宋体"/>
                <w:color w:val="auto"/>
                <w:kern w:val="1"/>
                <w:sz w:val="21"/>
                <w:szCs w:val="21"/>
                <w:highlight w:val="none"/>
                <w:lang w:val="en-US" w:eastAsia="zh-CN"/>
              </w:rPr>
            </w:pPr>
            <w:r>
              <w:rPr>
                <w:rFonts w:hint="eastAsia" w:cs="宋体"/>
                <w:color w:val="auto"/>
                <w:kern w:val="1"/>
                <w:sz w:val="21"/>
                <w:szCs w:val="21"/>
                <w:highlight w:val="none"/>
                <w:lang w:val="en-US" w:eastAsia="zh-CN"/>
              </w:rPr>
              <w:t>■不召开</w:t>
            </w:r>
          </w:p>
          <w:p>
            <w:pPr>
              <w:widowControl/>
              <w:spacing w:line="360" w:lineRule="auto"/>
              <w:rPr>
                <w:rFonts w:ascii="宋体" w:hAnsi="宋体" w:cs="宋体"/>
                <w:color w:val="auto"/>
                <w:szCs w:val="21"/>
                <w:highlight w:val="none"/>
              </w:rPr>
            </w:pPr>
            <w:r>
              <w:rPr>
                <w:rFonts w:hint="eastAsia" w:ascii="宋体" w:hAnsi="宋体" w:cs="宋体"/>
                <w:color w:val="auto"/>
                <w:kern w:val="1"/>
                <w:szCs w:val="21"/>
                <w:highlight w:val="none"/>
              </w:rPr>
              <w:t>□</w:t>
            </w:r>
            <w:r>
              <w:rPr>
                <w:rFonts w:hint="eastAsia" w:ascii="宋体" w:hAnsi="宋体" w:cs="宋体"/>
                <w:color w:val="auto"/>
                <w:szCs w:val="21"/>
                <w:highlight w:val="none"/>
              </w:rPr>
              <w:t>召开，召开时间：另行通知</w:t>
            </w:r>
          </w:p>
          <w:p>
            <w:pPr>
              <w:spacing w:line="360" w:lineRule="auto"/>
              <w:rPr>
                <w:rFonts w:ascii="宋体" w:hAnsi="宋体" w:cs="宋体"/>
                <w:color w:val="auto"/>
                <w:kern w:val="1"/>
                <w:szCs w:val="21"/>
                <w:highlight w:val="none"/>
              </w:rPr>
            </w:pPr>
            <w:r>
              <w:rPr>
                <w:rFonts w:hint="eastAsia" w:ascii="宋体" w:hAnsi="宋体" w:cs="宋体"/>
                <w:color w:val="auto"/>
                <w:szCs w:val="21"/>
                <w:highlight w:val="none"/>
              </w:rPr>
              <w:t>召开地点：</w:t>
            </w:r>
          </w:p>
        </w:tc>
      </w:tr>
      <w:tr>
        <w:tblPrEx>
          <w:tblCellMar>
            <w:top w:w="0" w:type="dxa"/>
            <w:left w:w="108" w:type="dxa"/>
            <w:bottom w:w="0" w:type="dxa"/>
            <w:right w:w="108" w:type="dxa"/>
          </w:tblCellMar>
        </w:tblPrEx>
        <w:trPr>
          <w:trHeight w:val="809"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1.10.2</w:t>
            </w:r>
          </w:p>
        </w:tc>
        <w:tc>
          <w:tcPr>
            <w:tcW w:w="2471" w:type="dxa"/>
            <w:tcBorders>
              <w:top w:val="single" w:color="000000" w:sz="4" w:space="0"/>
              <w:left w:val="single" w:color="000000" w:sz="4" w:space="0"/>
              <w:bottom w:val="single" w:color="000000" w:sz="4" w:space="0"/>
              <w:right w:val="single" w:color="000000" w:sz="4" w:space="0"/>
            </w:tcBorders>
            <w:noWrap w:val="0"/>
            <w:vAlign w:val="center"/>
          </w:tcPr>
          <w:p>
            <w:pPr>
              <w:pStyle w:val="15"/>
              <w:spacing w:after="0" w:line="360" w:lineRule="auto"/>
              <w:ind w:firstLine="0"/>
              <w:jc w:val="center"/>
              <w:rPr>
                <w:rFonts w:ascii="宋体" w:hAnsi="宋体" w:cs="宋体"/>
                <w:color w:val="auto"/>
                <w:szCs w:val="21"/>
                <w:highlight w:val="none"/>
              </w:rPr>
            </w:pPr>
            <w:r>
              <w:rPr>
                <w:rFonts w:hint="eastAsia" w:ascii="宋体" w:hAnsi="宋体" w:cs="宋体"/>
                <w:szCs w:val="21"/>
                <w:highlight w:val="none"/>
              </w:rPr>
              <w:t>投标人提出问题的截止时间</w:t>
            </w:r>
          </w:p>
        </w:tc>
        <w:tc>
          <w:tcPr>
            <w:tcW w:w="6237"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p>
          <w:p>
            <w:pPr>
              <w:spacing w:line="360" w:lineRule="auto"/>
              <w:ind w:right="24"/>
              <w:jc w:val="left"/>
              <w:rPr>
                <w:rFonts w:ascii="宋体" w:hAnsi="宋体" w:cs="宋体"/>
                <w:color w:val="auto"/>
                <w:kern w:val="1"/>
                <w:szCs w:val="21"/>
                <w:highlight w:val="none"/>
              </w:rPr>
            </w:pPr>
            <w:r>
              <w:rPr>
                <w:rFonts w:hint="eastAsia" w:ascii="宋体" w:hAnsi="宋体" w:cs="宋体"/>
                <w:color w:val="auto"/>
                <w:kern w:val="1"/>
                <w:szCs w:val="21"/>
                <w:highlight w:val="none"/>
              </w:rPr>
              <w:t>/</w:t>
            </w:r>
          </w:p>
        </w:tc>
      </w:tr>
      <w:tr>
        <w:tblPrEx>
          <w:tblCellMar>
            <w:top w:w="0" w:type="dxa"/>
            <w:left w:w="108" w:type="dxa"/>
            <w:bottom w:w="0" w:type="dxa"/>
            <w:right w:w="108" w:type="dxa"/>
          </w:tblCellMar>
        </w:tblPrEx>
        <w:trPr>
          <w:trHeight w:val="759"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1.11.1</w:t>
            </w:r>
          </w:p>
        </w:tc>
        <w:tc>
          <w:tcPr>
            <w:tcW w:w="24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招标人规定由分包人承担的工作</w:t>
            </w:r>
          </w:p>
        </w:tc>
        <w:tc>
          <w:tcPr>
            <w:tcW w:w="623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color w:val="auto"/>
                <w:kern w:val="1"/>
                <w:szCs w:val="21"/>
                <w:highlight w:val="none"/>
              </w:rPr>
            </w:pPr>
            <w:r>
              <w:rPr>
                <w:rFonts w:hint="eastAsia" w:ascii="宋体" w:hAnsi="宋体" w:cs="宋体"/>
                <w:color w:val="auto"/>
                <w:szCs w:val="21"/>
                <w:highlight w:val="none"/>
              </w:rPr>
              <w:t>无</w:t>
            </w:r>
          </w:p>
        </w:tc>
      </w:tr>
      <w:tr>
        <w:tblPrEx>
          <w:tblCellMar>
            <w:top w:w="0" w:type="dxa"/>
            <w:left w:w="108" w:type="dxa"/>
            <w:bottom w:w="0" w:type="dxa"/>
            <w:right w:w="108" w:type="dxa"/>
          </w:tblCellMar>
        </w:tblPrEx>
        <w:trPr>
          <w:trHeight w:val="1184"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1.11.2</w:t>
            </w:r>
          </w:p>
        </w:tc>
        <w:tc>
          <w:tcPr>
            <w:tcW w:w="24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投标人拟分包的工作</w:t>
            </w:r>
          </w:p>
        </w:tc>
        <w:tc>
          <w:tcPr>
            <w:tcW w:w="623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■不允许</w:t>
            </w:r>
          </w:p>
          <w:p>
            <w:pPr>
              <w:spacing w:line="360" w:lineRule="auto"/>
              <w:rPr>
                <w:rFonts w:ascii="宋体" w:hAnsi="宋体" w:cs="宋体"/>
                <w:color w:val="auto"/>
                <w:kern w:val="1"/>
                <w:szCs w:val="21"/>
                <w:highlight w:val="none"/>
              </w:rPr>
            </w:pPr>
            <w:r>
              <w:rPr>
                <w:rFonts w:hint="eastAsia" w:cs="宋体"/>
                <w:color w:val="auto"/>
                <w:kern w:val="1"/>
                <w:szCs w:val="21"/>
                <w:highlight w:val="none"/>
              </w:rPr>
              <w:t>□</w:t>
            </w:r>
            <w:r>
              <w:rPr>
                <w:rFonts w:hint="eastAsia" w:ascii="宋体" w:hAnsi="宋体" w:cs="宋体"/>
                <w:color w:val="auto"/>
                <w:kern w:val="1"/>
                <w:szCs w:val="21"/>
                <w:highlight w:val="none"/>
              </w:rPr>
              <w:t>允许，对于非主体、非关键性工程，承包人不具备相应资质的，需经发包人审核批准后分包给具有相应资质和能力的专业单位实施。</w:t>
            </w:r>
          </w:p>
        </w:tc>
      </w:tr>
      <w:tr>
        <w:tblPrEx>
          <w:tblCellMar>
            <w:top w:w="0" w:type="dxa"/>
            <w:left w:w="108" w:type="dxa"/>
            <w:bottom w:w="0" w:type="dxa"/>
            <w:right w:w="108" w:type="dxa"/>
          </w:tblCellMar>
        </w:tblPrEx>
        <w:trPr>
          <w:trHeight w:val="696"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ascii="宋体" w:hAnsi="宋体" w:cs="宋体"/>
                <w:color w:val="auto"/>
                <w:kern w:val="1"/>
                <w:szCs w:val="21"/>
                <w:highlight w:val="none"/>
              </w:rPr>
              <w:t>1.12</w:t>
            </w:r>
          </w:p>
        </w:tc>
        <w:tc>
          <w:tcPr>
            <w:tcW w:w="24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偏离</w:t>
            </w:r>
          </w:p>
        </w:tc>
        <w:tc>
          <w:tcPr>
            <w:tcW w:w="6237" w:type="dxa"/>
            <w:tcBorders>
              <w:top w:val="single" w:color="000000" w:sz="4" w:space="0"/>
              <w:left w:val="single" w:color="000000" w:sz="4" w:space="0"/>
              <w:bottom w:val="single" w:color="000000" w:sz="4" w:space="0"/>
              <w:right w:val="single" w:color="000000" w:sz="4" w:space="0"/>
            </w:tcBorders>
            <w:noWrap w:val="0"/>
            <w:vAlign w:val="center"/>
          </w:tcPr>
          <w:p>
            <w:pPr>
              <w:pStyle w:val="6"/>
              <w:spacing w:line="360" w:lineRule="auto"/>
              <w:rPr>
                <w:rFonts w:cs="宋体"/>
                <w:color w:val="auto"/>
                <w:kern w:val="1"/>
                <w:sz w:val="21"/>
                <w:szCs w:val="21"/>
                <w:highlight w:val="none"/>
                <w:lang w:val="en-US" w:eastAsia="zh-CN"/>
              </w:rPr>
            </w:pPr>
            <w:r>
              <w:rPr>
                <w:rFonts w:hint="eastAsia" w:cs="宋体"/>
                <w:color w:val="auto"/>
                <w:sz w:val="21"/>
                <w:szCs w:val="21"/>
                <w:highlight w:val="none"/>
                <w:lang w:val="en-US" w:eastAsia="zh-CN"/>
              </w:rPr>
              <w:t>■</w:t>
            </w:r>
            <w:r>
              <w:rPr>
                <w:rFonts w:hint="eastAsia" w:cs="宋体"/>
                <w:color w:val="auto"/>
                <w:kern w:val="1"/>
                <w:sz w:val="21"/>
                <w:szCs w:val="21"/>
                <w:highlight w:val="none"/>
                <w:lang w:val="en-US" w:eastAsia="zh-CN"/>
              </w:rPr>
              <w:t>不允许</w:t>
            </w:r>
          </w:p>
          <w:p>
            <w:pPr>
              <w:pStyle w:val="6"/>
              <w:spacing w:line="360" w:lineRule="auto"/>
              <w:rPr>
                <w:rFonts w:cs="宋体"/>
                <w:color w:val="auto"/>
                <w:kern w:val="1"/>
                <w:sz w:val="21"/>
                <w:szCs w:val="21"/>
                <w:highlight w:val="none"/>
                <w:lang w:val="en-US" w:eastAsia="zh-CN"/>
              </w:rPr>
            </w:pPr>
            <w:r>
              <w:rPr>
                <w:rFonts w:hint="eastAsia" w:cs="宋体"/>
                <w:color w:val="auto"/>
                <w:kern w:val="1"/>
                <w:sz w:val="21"/>
                <w:szCs w:val="21"/>
                <w:highlight w:val="none"/>
                <w:lang w:val="en-US" w:eastAsia="zh-CN"/>
              </w:rPr>
              <w:t>□</w:t>
            </w:r>
            <w:r>
              <w:rPr>
                <w:rFonts w:hint="eastAsia" w:cs="宋体"/>
                <w:color w:val="auto"/>
                <w:sz w:val="21"/>
                <w:szCs w:val="21"/>
                <w:highlight w:val="none"/>
                <w:lang w:val="en-US" w:eastAsia="zh-CN"/>
              </w:rPr>
              <w:t>允许</w:t>
            </w:r>
          </w:p>
        </w:tc>
      </w:tr>
      <w:tr>
        <w:tblPrEx>
          <w:tblCellMar>
            <w:top w:w="0" w:type="dxa"/>
            <w:left w:w="108" w:type="dxa"/>
            <w:bottom w:w="0" w:type="dxa"/>
            <w:right w:w="108" w:type="dxa"/>
          </w:tblCellMar>
        </w:tblPrEx>
        <w:trPr>
          <w:trHeight w:val="310"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2.1</w:t>
            </w:r>
          </w:p>
        </w:tc>
        <w:tc>
          <w:tcPr>
            <w:tcW w:w="24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构成招标文件的其他资料</w:t>
            </w:r>
          </w:p>
        </w:tc>
        <w:tc>
          <w:tcPr>
            <w:tcW w:w="623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color w:val="auto"/>
                <w:kern w:val="1"/>
                <w:szCs w:val="21"/>
                <w:highlight w:val="none"/>
              </w:rPr>
            </w:pPr>
            <w:r>
              <w:rPr>
                <w:rFonts w:hint="eastAsia" w:ascii="宋体" w:hAnsi="宋体" w:cs="宋体"/>
                <w:color w:val="auto"/>
                <w:szCs w:val="21"/>
                <w:highlight w:val="none"/>
                <w:u w:val="single"/>
              </w:rPr>
              <w:t>答疑纪要、澄清文件等（如有）</w:t>
            </w:r>
          </w:p>
        </w:tc>
      </w:tr>
      <w:tr>
        <w:tblPrEx>
          <w:tblCellMar>
            <w:top w:w="0" w:type="dxa"/>
            <w:left w:w="108" w:type="dxa"/>
            <w:bottom w:w="0" w:type="dxa"/>
            <w:right w:w="108" w:type="dxa"/>
          </w:tblCellMar>
        </w:tblPrEx>
        <w:trPr>
          <w:trHeight w:val="749"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w:t>
            </w:r>
            <w:r>
              <w:rPr>
                <w:rFonts w:ascii="宋体" w:hAnsi="宋体" w:cs="宋体"/>
                <w:color w:val="auto"/>
                <w:kern w:val="1"/>
                <w:szCs w:val="21"/>
                <w:highlight w:val="none"/>
              </w:rPr>
              <w:t>.2.1</w:t>
            </w:r>
          </w:p>
        </w:tc>
        <w:tc>
          <w:tcPr>
            <w:tcW w:w="24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投标人要求澄清招标文件的截止时间</w:t>
            </w:r>
          </w:p>
        </w:tc>
        <w:tc>
          <w:tcPr>
            <w:tcW w:w="623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szCs w:val="21"/>
                <w:highlight w:val="none"/>
              </w:rPr>
              <w:t xml:space="preserve">  年  月  日  时分（北京时间）前提出（具体详见广州公共资源交易中心网上日程安排）</w:t>
            </w:r>
            <w:r>
              <w:rPr>
                <w:rFonts w:hint="eastAsia" w:ascii="宋体" w:hAnsi="宋体" w:cs="宋体"/>
                <w:color w:val="auto"/>
                <w:szCs w:val="21"/>
                <w:highlight w:val="none"/>
              </w:rPr>
              <w:t>。</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形式：通过广州公共资源交易中心网站提问区域提交。具体操作方法详见广州公共资源交易中心网站发布的全流程电子化项目操作指引。提问一律不得署名。</w:t>
            </w:r>
          </w:p>
        </w:tc>
      </w:tr>
      <w:tr>
        <w:tblPrEx>
          <w:tblCellMar>
            <w:top w:w="0" w:type="dxa"/>
            <w:left w:w="108" w:type="dxa"/>
            <w:bottom w:w="0" w:type="dxa"/>
            <w:right w:w="108" w:type="dxa"/>
          </w:tblCellMar>
        </w:tblPrEx>
        <w:trPr>
          <w:trHeight w:val="489"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2.2.2</w:t>
            </w:r>
          </w:p>
        </w:tc>
        <w:tc>
          <w:tcPr>
            <w:tcW w:w="24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投标截止时间</w:t>
            </w:r>
          </w:p>
        </w:tc>
        <w:tc>
          <w:tcPr>
            <w:tcW w:w="623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投标截止时间：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  时  分；</w:t>
            </w:r>
          </w:p>
          <w:p>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具体时间可以到广州公共资源交易中心网站的项目查询(日程安排、答疑纪要)中输入本项目编号或项目名称进行查询。</w:t>
            </w:r>
          </w:p>
        </w:tc>
      </w:tr>
      <w:tr>
        <w:tblPrEx>
          <w:tblCellMar>
            <w:top w:w="0" w:type="dxa"/>
            <w:left w:w="108" w:type="dxa"/>
            <w:bottom w:w="0" w:type="dxa"/>
            <w:right w:w="108" w:type="dxa"/>
          </w:tblCellMar>
        </w:tblPrEx>
        <w:trPr>
          <w:trHeight w:val="729"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2.2.3</w:t>
            </w:r>
          </w:p>
        </w:tc>
        <w:tc>
          <w:tcPr>
            <w:tcW w:w="24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投标人确认收到答疑纪要或澄清的时间</w:t>
            </w:r>
          </w:p>
        </w:tc>
        <w:tc>
          <w:tcPr>
            <w:tcW w:w="62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招标文件的澄清在提交投标文件截止时间15日前在广州公共资源交易中心网站发布。招标文件的澄清或修改一经在广州公共资源交易中心网站发布，视作已发放给所有投标人，招标文件的修改内容作为招标文件的组成部分，具有约束作用。</w:t>
            </w:r>
          </w:p>
        </w:tc>
      </w:tr>
      <w:tr>
        <w:tblPrEx>
          <w:tblCellMar>
            <w:top w:w="0" w:type="dxa"/>
            <w:left w:w="108" w:type="dxa"/>
            <w:bottom w:w="0" w:type="dxa"/>
            <w:right w:w="108" w:type="dxa"/>
          </w:tblCellMar>
        </w:tblPrEx>
        <w:trPr>
          <w:trHeight w:val="268"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2.3.2</w:t>
            </w:r>
          </w:p>
        </w:tc>
        <w:tc>
          <w:tcPr>
            <w:tcW w:w="24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投标人确认收到招标文件修改的时间</w:t>
            </w:r>
          </w:p>
        </w:tc>
        <w:tc>
          <w:tcPr>
            <w:tcW w:w="62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招标文件的澄清或修改一经在广州公共资源交易中心网站发布，视作已发放给所有投标人，招标文件的修改内容作为招标文件的组成部分，具有约束作用。</w:t>
            </w:r>
          </w:p>
        </w:tc>
      </w:tr>
      <w:tr>
        <w:tblPrEx>
          <w:tblCellMar>
            <w:top w:w="0" w:type="dxa"/>
            <w:left w:w="108" w:type="dxa"/>
            <w:bottom w:w="0" w:type="dxa"/>
            <w:right w:w="108" w:type="dxa"/>
          </w:tblCellMar>
        </w:tblPrEx>
        <w:trPr>
          <w:trHeight w:val="729"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3.1.1</w:t>
            </w:r>
          </w:p>
        </w:tc>
        <w:tc>
          <w:tcPr>
            <w:tcW w:w="24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构成投标文件的其他资料</w:t>
            </w:r>
          </w:p>
        </w:tc>
        <w:tc>
          <w:tcPr>
            <w:tcW w:w="62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见第七章《投标文件格式》要求</w:t>
            </w:r>
          </w:p>
        </w:tc>
      </w:tr>
      <w:tr>
        <w:tblPrEx>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3.2.</w:t>
            </w:r>
            <w:r>
              <w:rPr>
                <w:rFonts w:ascii="宋体" w:hAnsi="宋体" w:cs="宋体"/>
                <w:color w:val="auto"/>
                <w:kern w:val="1"/>
                <w:szCs w:val="21"/>
                <w:highlight w:val="none"/>
              </w:rPr>
              <w:t>4</w:t>
            </w:r>
          </w:p>
        </w:tc>
        <w:tc>
          <w:tcPr>
            <w:tcW w:w="24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最高投标限价</w:t>
            </w:r>
          </w:p>
        </w:tc>
        <w:tc>
          <w:tcPr>
            <w:tcW w:w="6237" w:type="dxa"/>
            <w:tcBorders>
              <w:top w:val="single" w:color="000000" w:sz="4" w:space="0"/>
              <w:left w:val="single" w:color="000000" w:sz="4" w:space="0"/>
              <w:bottom w:val="single" w:color="000000" w:sz="4" w:space="0"/>
              <w:right w:val="single" w:color="000000" w:sz="4" w:space="0"/>
            </w:tcBorders>
            <w:noWrap w:val="0"/>
            <w:vAlign w:val="center"/>
          </w:tcPr>
          <w:p>
            <w:pPr>
              <w:pStyle w:val="15"/>
              <w:ind w:firstLine="0"/>
              <w:rPr>
                <w:rFonts w:hint="eastAsia"/>
                <w:color w:val="auto"/>
                <w:highlight w:val="none"/>
              </w:rPr>
            </w:pPr>
            <w:r>
              <w:rPr>
                <w:rFonts w:hint="eastAsia"/>
                <w:color w:val="auto"/>
                <w:highlight w:val="none"/>
              </w:rPr>
              <w:t>本项目最高投标限价为：人民币￥</w:t>
            </w:r>
            <w:r>
              <w:rPr>
                <w:rFonts w:hint="eastAsia" w:ascii="宋体" w:hAnsi="宋体" w:cs="宋体"/>
                <w:color w:val="auto"/>
                <w:highlight w:val="none"/>
                <w:u w:val="single"/>
              </w:rPr>
              <w:t>2500.94</w:t>
            </w:r>
            <w:r>
              <w:rPr>
                <w:rFonts w:hint="eastAsia"/>
                <w:color w:val="auto"/>
                <w:highlight w:val="none"/>
              </w:rPr>
              <w:t>万元；其中：</w:t>
            </w:r>
          </w:p>
          <w:p>
            <w:pPr>
              <w:pStyle w:val="15"/>
              <w:ind w:firstLine="0"/>
              <w:rPr>
                <w:color w:val="auto"/>
                <w:highlight w:val="none"/>
              </w:rPr>
            </w:pPr>
            <w:r>
              <w:rPr>
                <w:rFonts w:hint="eastAsia"/>
                <w:color w:val="auto"/>
                <w:highlight w:val="none"/>
              </w:rPr>
              <w:t>设计费最高投标限价为</w:t>
            </w:r>
            <w:r>
              <w:rPr>
                <w:rFonts w:hint="eastAsia" w:ascii="宋体" w:hAnsi="宋体" w:cs="宋体"/>
                <w:color w:val="auto"/>
                <w:highlight w:val="none"/>
              </w:rPr>
              <w:t>：人民币￥</w:t>
            </w:r>
            <w:r>
              <w:rPr>
                <w:rFonts w:hint="eastAsia" w:ascii="宋体" w:hAnsi="宋体" w:cs="宋体"/>
                <w:color w:val="auto"/>
                <w:highlight w:val="none"/>
                <w:u w:val="single"/>
              </w:rPr>
              <w:t>93.01</w:t>
            </w:r>
            <w:r>
              <w:rPr>
                <w:rFonts w:hint="eastAsia" w:ascii="宋体" w:hAnsi="宋体" w:cs="宋体"/>
                <w:color w:val="auto"/>
                <w:highlight w:val="none"/>
              </w:rPr>
              <w:t>万元；建安工程费最高投标限价为：人民币￥</w:t>
            </w:r>
            <w:r>
              <w:rPr>
                <w:rFonts w:hint="eastAsia" w:ascii="宋体" w:hAnsi="宋体" w:cs="宋体"/>
                <w:color w:val="auto"/>
                <w:highlight w:val="none"/>
                <w:u w:val="single"/>
              </w:rPr>
              <w:t>2407.93</w:t>
            </w:r>
            <w:r>
              <w:rPr>
                <w:rFonts w:hint="eastAsia" w:ascii="宋体" w:hAnsi="宋体" w:cs="宋体"/>
                <w:color w:val="auto"/>
                <w:highlight w:val="none"/>
              </w:rPr>
              <w:t>万元。</w:t>
            </w:r>
            <w:r>
              <w:rPr>
                <w:rFonts w:hint="eastAsia" w:ascii="宋体" w:hAnsi="宋体"/>
                <w:color w:val="auto"/>
                <w:szCs w:val="21"/>
                <w:highlight w:val="none"/>
                <w:u w:val="single"/>
              </w:rPr>
              <w:t>投标人的投标总价或设计费或建安工程费超过上述最高投标限价的为无效标。</w:t>
            </w:r>
          </w:p>
        </w:tc>
      </w:tr>
      <w:tr>
        <w:tblPrEx>
          <w:tblCellMar>
            <w:top w:w="0" w:type="dxa"/>
            <w:left w:w="108" w:type="dxa"/>
            <w:bottom w:w="0" w:type="dxa"/>
            <w:right w:w="108" w:type="dxa"/>
          </w:tblCellMar>
        </w:tblPrEx>
        <w:trPr>
          <w:trHeight w:val="850"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3.2.</w:t>
            </w:r>
            <w:r>
              <w:rPr>
                <w:rFonts w:ascii="宋体" w:hAnsi="宋体" w:cs="宋体"/>
                <w:color w:val="auto"/>
                <w:kern w:val="1"/>
                <w:szCs w:val="21"/>
                <w:highlight w:val="none"/>
              </w:rPr>
              <w:t>5</w:t>
            </w:r>
          </w:p>
        </w:tc>
        <w:tc>
          <w:tcPr>
            <w:tcW w:w="24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投标报价的其他要求</w:t>
            </w:r>
          </w:p>
        </w:tc>
        <w:tc>
          <w:tcPr>
            <w:tcW w:w="6237" w:type="dxa"/>
            <w:tcBorders>
              <w:top w:val="single" w:color="000000" w:sz="4" w:space="0"/>
              <w:left w:val="single" w:color="000000" w:sz="4" w:space="0"/>
              <w:bottom w:val="single" w:color="000000" w:sz="4" w:space="0"/>
              <w:right w:val="single" w:color="000000" w:sz="4" w:space="0"/>
            </w:tcBorders>
            <w:noWrap w:val="0"/>
            <w:vAlign w:val="center"/>
          </w:tcPr>
          <w:p>
            <w:pPr>
              <w:pStyle w:val="10"/>
              <w:spacing w:line="360" w:lineRule="auto"/>
              <w:rPr>
                <w:rFonts w:cs="宋体"/>
                <w:color w:val="auto"/>
                <w:sz w:val="21"/>
                <w:szCs w:val="21"/>
                <w:highlight w:val="none"/>
                <w:lang w:eastAsia="zh-CN"/>
              </w:rPr>
            </w:pPr>
            <w:r>
              <w:rPr>
                <w:rFonts w:hint="eastAsia" w:cs="宋体"/>
                <w:color w:val="auto"/>
                <w:sz w:val="21"/>
                <w:szCs w:val="21"/>
                <w:highlight w:val="none"/>
                <w:lang w:eastAsia="zh-CN"/>
              </w:rPr>
              <w:t>投标人必须详细审阅全部招标文件,充分考虑职责和义务,全面地理解招标文件对投标报价的要求,并按招标人提出的条件及内容进行报价。</w:t>
            </w:r>
          </w:p>
        </w:tc>
      </w:tr>
      <w:tr>
        <w:tblPrEx>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3.3.1</w:t>
            </w:r>
          </w:p>
        </w:tc>
        <w:tc>
          <w:tcPr>
            <w:tcW w:w="24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投标有效期</w:t>
            </w:r>
          </w:p>
        </w:tc>
        <w:tc>
          <w:tcPr>
            <w:tcW w:w="62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rPr>
                <w:rFonts w:ascii="宋体" w:hAnsi="宋体" w:cs="宋体"/>
                <w:color w:val="auto"/>
                <w:szCs w:val="21"/>
                <w:highlight w:val="none"/>
              </w:rPr>
            </w:pPr>
            <w:r>
              <w:rPr>
                <w:rFonts w:hint="eastAsia" w:ascii="宋体" w:hAnsi="宋体" w:cs="宋体"/>
                <w:color w:val="auto"/>
                <w:szCs w:val="21"/>
                <w:highlight w:val="none"/>
                <w:u w:val="single"/>
              </w:rPr>
              <w:t>1</w:t>
            </w:r>
            <w:r>
              <w:rPr>
                <w:rFonts w:ascii="宋体" w:hAnsi="宋体" w:cs="宋体"/>
                <w:color w:val="auto"/>
                <w:szCs w:val="21"/>
                <w:highlight w:val="none"/>
                <w:u w:val="single"/>
              </w:rPr>
              <w:t>80</w:t>
            </w:r>
            <w:r>
              <w:rPr>
                <w:rFonts w:hint="eastAsia" w:ascii="宋体" w:hAnsi="宋体" w:cs="宋体"/>
                <w:color w:val="auto"/>
                <w:szCs w:val="21"/>
                <w:highlight w:val="none"/>
              </w:rPr>
              <w:t>日历天（从投标截止之日计起）</w:t>
            </w:r>
          </w:p>
        </w:tc>
      </w:tr>
      <w:tr>
        <w:tblPrEx>
          <w:tblCellMar>
            <w:top w:w="0" w:type="dxa"/>
            <w:left w:w="108" w:type="dxa"/>
            <w:bottom w:w="0" w:type="dxa"/>
            <w:right w:w="108" w:type="dxa"/>
          </w:tblCellMar>
        </w:tblPrEx>
        <w:trPr>
          <w:trHeight w:val="573"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3.4</w:t>
            </w:r>
            <w:r>
              <w:rPr>
                <w:rFonts w:ascii="宋体" w:hAnsi="宋体" w:cs="宋体"/>
                <w:color w:val="auto"/>
                <w:kern w:val="1"/>
                <w:szCs w:val="21"/>
                <w:highlight w:val="none"/>
              </w:rPr>
              <w:t>.1</w:t>
            </w:r>
          </w:p>
        </w:tc>
        <w:tc>
          <w:tcPr>
            <w:tcW w:w="24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投标担保</w:t>
            </w:r>
          </w:p>
        </w:tc>
        <w:tc>
          <w:tcPr>
            <w:tcW w:w="6237" w:type="dxa"/>
            <w:tcBorders>
              <w:top w:val="single" w:color="000000" w:sz="4" w:space="0"/>
              <w:left w:val="single" w:color="000000" w:sz="4" w:space="0"/>
              <w:bottom w:val="single" w:color="000000" w:sz="4" w:space="0"/>
              <w:right w:val="single" w:color="000000" w:sz="4" w:space="0"/>
            </w:tcBorders>
            <w:noWrap w:val="0"/>
            <w:vAlign w:val="center"/>
          </w:tcPr>
          <w:p>
            <w:pPr>
              <w:pStyle w:val="10"/>
              <w:spacing w:line="360" w:lineRule="auto"/>
              <w:rPr>
                <w:rFonts w:cs="宋体"/>
                <w:color w:val="auto"/>
                <w:sz w:val="21"/>
                <w:szCs w:val="21"/>
                <w:highlight w:val="none"/>
                <w:lang w:val="en-US" w:eastAsia="zh-CN"/>
              </w:rPr>
            </w:pPr>
            <w:r>
              <w:rPr>
                <w:rFonts w:hint="eastAsia" w:cs="宋体"/>
                <w:color w:val="auto"/>
                <w:sz w:val="21"/>
                <w:szCs w:val="21"/>
                <w:highlight w:val="none"/>
                <w:u w:val="single"/>
                <w:lang w:val="en-US" w:eastAsia="zh-CN"/>
              </w:rPr>
              <w:t>本项目不要求提交投标保证金。</w:t>
            </w:r>
          </w:p>
        </w:tc>
      </w:tr>
      <w:tr>
        <w:tblPrEx>
          <w:tblCellMar>
            <w:top w:w="0" w:type="dxa"/>
            <w:left w:w="108" w:type="dxa"/>
            <w:bottom w:w="0" w:type="dxa"/>
            <w:right w:w="108" w:type="dxa"/>
          </w:tblCellMar>
        </w:tblPrEx>
        <w:trPr>
          <w:trHeight w:val="669"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3.6</w:t>
            </w:r>
          </w:p>
        </w:tc>
        <w:tc>
          <w:tcPr>
            <w:tcW w:w="24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是否允许递交备选投标方案</w:t>
            </w:r>
          </w:p>
        </w:tc>
        <w:tc>
          <w:tcPr>
            <w:tcW w:w="6237" w:type="dxa"/>
            <w:tcBorders>
              <w:top w:val="single" w:color="000000" w:sz="4" w:space="0"/>
              <w:left w:val="single" w:color="000000" w:sz="4" w:space="0"/>
              <w:bottom w:val="single" w:color="000000" w:sz="4" w:space="0"/>
              <w:right w:val="single" w:color="000000" w:sz="4" w:space="0"/>
            </w:tcBorders>
            <w:noWrap w:val="0"/>
            <w:vAlign w:val="center"/>
          </w:tcPr>
          <w:p>
            <w:pPr>
              <w:pStyle w:val="6"/>
              <w:spacing w:line="360" w:lineRule="auto"/>
              <w:rPr>
                <w:rFonts w:cs="宋体"/>
                <w:color w:val="auto"/>
                <w:kern w:val="1"/>
                <w:sz w:val="21"/>
                <w:szCs w:val="21"/>
                <w:highlight w:val="none"/>
                <w:lang w:val="en-US" w:eastAsia="zh-CN"/>
              </w:rPr>
            </w:pPr>
            <w:r>
              <w:rPr>
                <w:rFonts w:hint="eastAsia" w:cs="宋体"/>
                <w:color w:val="auto"/>
                <w:kern w:val="1"/>
                <w:sz w:val="21"/>
                <w:szCs w:val="21"/>
                <w:highlight w:val="none"/>
                <w:lang w:val="en-US" w:eastAsia="zh-CN"/>
              </w:rPr>
              <w:t>■不允许</w:t>
            </w:r>
          </w:p>
          <w:p>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□允许</w:t>
            </w:r>
          </w:p>
        </w:tc>
      </w:tr>
      <w:tr>
        <w:tblPrEx>
          <w:tblCellMar>
            <w:top w:w="0" w:type="dxa"/>
            <w:left w:w="108" w:type="dxa"/>
            <w:bottom w:w="0" w:type="dxa"/>
            <w:right w:w="108" w:type="dxa"/>
          </w:tblCellMar>
        </w:tblPrEx>
        <w:trPr>
          <w:trHeight w:val="378"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3.7.</w:t>
            </w:r>
            <w:r>
              <w:rPr>
                <w:rFonts w:ascii="宋体" w:hAnsi="宋体" w:cs="宋体"/>
                <w:color w:val="auto"/>
                <w:kern w:val="1"/>
                <w:szCs w:val="21"/>
                <w:highlight w:val="none"/>
              </w:rPr>
              <w:t>3</w:t>
            </w:r>
          </w:p>
        </w:tc>
        <w:tc>
          <w:tcPr>
            <w:tcW w:w="24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文件盖章签署</w:t>
            </w:r>
          </w:p>
        </w:tc>
        <w:tc>
          <w:tcPr>
            <w:tcW w:w="623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投标人采用单位数字证书，按招标文件要求在相应位置加盖电子印章。投标文件中需个人签字或盖章的，应加盖个人电子印章或在线下完成后扫描上传。按照广州公共资源交易中心网站最新发布的全流程电子化项目操作指南进行操作。</w:t>
            </w:r>
          </w:p>
          <w:p>
            <w:pPr>
              <w:spacing w:line="360" w:lineRule="auto"/>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联合体投标的，除联合体协议书需联合体各方盖章、签字外，投标文件其他内容及落款中的“投标人”、“声明企业”应填写联合体各方的单位全称</w:t>
            </w:r>
            <w:r>
              <w:rPr>
                <w:rFonts w:hint="eastAsia" w:ascii="宋体" w:hAnsi="宋体" w:cs="宋体"/>
                <w:b/>
                <w:bCs/>
                <w:color w:val="auto"/>
                <w:kern w:val="1"/>
                <w:szCs w:val="21"/>
                <w:highlight w:val="none"/>
                <w:u w:val="single"/>
              </w:rPr>
              <w:t>【参考格式表示为：(主)XXXX公司、(成1)XXXX公司】，但由主办方盖章、签字即可。法定代表人证明书及授权委托证明书可由联合体主办方出具，其中“单位”一栏可只填写联合体主办方名称。</w:t>
            </w:r>
          </w:p>
        </w:tc>
      </w:tr>
      <w:tr>
        <w:tblPrEx>
          <w:tblCellMar>
            <w:top w:w="0" w:type="dxa"/>
            <w:left w:w="108" w:type="dxa"/>
            <w:bottom w:w="0" w:type="dxa"/>
            <w:right w:w="108" w:type="dxa"/>
          </w:tblCellMar>
        </w:tblPrEx>
        <w:trPr>
          <w:trHeight w:val="686"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3.7.4</w:t>
            </w:r>
          </w:p>
        </w:tc>
        <w:tc>
          <w:tcPr>
            <w:tcW w:w="24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szCs w:val="21"/>
                <w:highlight w:val="none"/>
              </w:rPr>
              <w:t>投标文件副本份数</w:t>
            </w:r>
          </w:p>
        </w:tc>
        <w:tc>
          <w:tcPr>
            <w:tcW w:w="623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b/>
                <w:bCs/>
                <w:color w:val="auto"/>
                <w:szCs w:val="21"/>
                <w:highlight w:val="none"/>
              </w:rPr>
            </w:pPr>
            <w:r>
              <w:rPr>
                <w:rFonts w:hint="eastAsia" w:ascii="宋体" w:hAnsi="宋体" w:cs="宋体"/>
                <w:color w:val="auto"/>
                <w:szCs w:val="21"/>
                <w:highlight w:val="none"/>
              </w:rPr>
              <w:t>/</w:t>
            </w:r>
          </w:p>
        </w:tc>
      </w:tr>
      <w:tr>
        <w:tblPrEx>
          <w:tblCellMar>
            <w:top w:w="0" w:type="dxa"/>
            <w:left w:w="108" w:type="dxa"/>
            <w:bottom w:w="0" w:type="dxa"/>
            <w:right w:w="108" w:type="dxa"/>
          </w:tblCellMar>
        </w:tblPrEx>
        <w:trPr>
          <w:trHeight w:val="1260"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4.1.2</w:t>
            </w:r>
          </w:p>
        </w:tc>
        <w:tc>
          <w:tcPr>
            <w:tcW w:w="24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Cs/>
                <w:color w:val="auto"/>
                <w:kern w:val="1"/>
                <w:szCs w:val="21"/>
                <w:highlight w:val="none"/>
              </w:rPr>
            </w:pPr>
            <w:r>
              <w:rPr>
                <w:rFonts w:hint="eastAsia" w:ascii="宋体" w:hAnsi="宋体" w:cs="宋体"/>
                <w:bCs/>
                <w:color w:val="auto"/>
                <w:kern w:val="1"/>
                <w:szCs w:val="21"/>
                <w:highlight w:val="none"/>
              </w:rPr>
              <w:t>封套上应载明的信息（适用于提交备用光盘或U盘的情况）</w:t>
            </w:r>
          </w:p>
        </w:tc>
        <w:tc>
          <w:tcPr>
            <w:tcW w:w="623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对递交的备用投标文件电子光盘或u盘及揭晓文件光盘或u盘要求封装。</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（1）工程总承包实施方案（含投标报价）投标文件/资格审查文件封套上应载明：</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招标人名称：</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工程总承包实施方案（含投标报价）/资格审查文件投标文件</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投标人名称：</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（2）设计方案封套上应载明：</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招标人名称：</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设计方案</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（3）揭晓文件封套上应载明：</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招标人名称：</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揭晓文件</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注：1.揭晓文件指：附与设计方案投标文件一致的效果图一页，效果图需为加盖投标人（主办方）公章的扫描件，用于分辨投标文件对应的投标人身份；</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2.如提交设计方案文件备用光盘或u盘及揭晓文件光盘或u盘的，封面及封口不需要盖章。</w:t>
            </w:r>
          </w:p>
        </w:tc>
      </w:tr>
      <w:tr>
        <w:tblPrEx>
          <w:tblCellMar>
            <w:top w:w="0" w:type="dxa"/>
            <w:left w:w="108" w:type="dxa"/>
            <w:bottom w:w="0" w:type="dxa"/>
            <w:right w:w="108" w:type="dxa"/>
          </w:tblCellMar>
        </w:tblPrEx>
        <w:trPr>
          <w:trHeight w:val="1260"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kern w:val="1"/>
                <w:szCs w:val="21"/>
                <w:highlight w:val="none"/>
              </w:rPr>
            </w:pPr>
            <w:r>
              <w:rPr>
                <w:rFonts w:hint="eastAsia" w:ascii="宋体" w:hAnsi="宋体" w:cs="宋体"/>
                <w:color w:val="auto"/>
                <w:szCs w:val="21"/>
                <w:highlight w:val="none"/>
              </w:rPr>
              <w:t>4.2.2</w:t>
            </w:r>
          </w:p>
        </w:tc>
        <w:tc>
          <w:tcPr>
            <w:tcW w:w="24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bCs/>
                <w:color w:val="auto"/>
                <w:kern w:val="1"/>
                <w:szCs w:val="21"/>
                <w:highlight w:val="none"/>
              </w:rPr>
            </w:pPr>
            <w:r>
              <w:rPr>
                <w:rFonts w:hint="eastAsia" w:ascii="宋体" w:hAnsi="宋体" w:cs="宋体"/>
                <w:color w:val="auto"/>
                <w:szCs w:val="21"/>
                <w:highlight w:val="none"/>
              </w:rPr>
              <w:t>递交投标文件地点</w:t>
            </w:r>
          </w:p>
        </w:tc>
        <w:tc>
          <w:tcPr>
            <w:tcW w:w="623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szCs w:val="21"/>
                <w:highlight w:val="none"/>
                <w:u w:val="single"/>
              </w:rPr>
            </w:pPr>
            <w:r>
              <w:rPr>
                <w:rFonts w:hint="eastAsia" w:ascii="宋体" w:hAnsi="宋体"/>
                <w:color w:val="auto"/>
                <w:szCs w:val="21"/>
                <w:highlight w:val="none"/>
                <w:u w:val="single"/>
              </w:rPr>
              <w:t>投标人应在截止时间前通过广州公共资源交易中心交易平台网站递交电子投标文件。</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备用光盘递交至广州公共资源交易中心，递交地点同开标地点。</w:t>
            </w:r>
          </w:p>
        </w:tc>
      </w:tr>
      <w:tr>
        <w:tblPrEx>
          <w:tblCellMar>
            <w:top w:w="0" w:type="dxa"/>
            <w:left w:w="108" w:type="dxa"/>
            <w:bottom w:w="0" w:type="dxa"/>
            <w:right w:w="108" w:type="dxa"/>
          </w:tblCellMar>
        </w:tblPrEx>
        <w:trPr>
          <w:trHeight w:val="826"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szCs w:val="21"/>
                <w:highlight w:val="none"/>
              </w:rPr>
              <w:t>4.2.3</w:t>
            </w:r>
          </w:p>
        </w:tc>
        <w:tc>
          <w:tcPr>
            <w:tcW w:w="24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Cs/>
                <w:color w:val="auto"/>
                <w:kern w:val="1"/>
                <w:szCs w:val="21"/>
                <w:highlight w:val="none"/>
              </w:rPr>
            </w:pPr>
            <w:r>
              <w:rPr>
                <w:rFonts w:hint="eastAsia" w:ascii="宋体" w:hAnsi="宋体" w:cs="宋体"/>
                <w:color w:val="auto"/>
                <w:szCs w:val="21"/>
                <w:highlight w:val="none"/>
              </w:rPr>
              <w:t>是否退还投标文件</w:t>
            </w:r>
          </w:p>
        </w:tc>
        <w:tc>
          <w:tcPr>
            <w:tcW w:w="6237" w:type="dxa"/>
            <w:tcBorders>
              <w:top w:val="single" w:color="000000" w:sz="4" w:space="0"/>
              <w:left w:val="single" w:color="000000" w:sz="4" w:space="0"/>
              <w:bottom w:val="single" w:color="000000" w:sz="4" w:space="0"/>
              <w:right w:val="single" w:color="000000" w:sz="4" w:space="0"/>
            </w:tcBorders>
            <w:noWrap w:val="0"/>
            <w:vAlign w:val="center"/>
          </w:tcPr>
          <w:p>
            <w:pPr>
              <w:pStyle w:val="6"/>
              <w:topLinePunct/>
              <w:spacing w:line="276" w:lineRule="auto"/>
              <w:rPr>
                <w:rFonts w:cs="宋体"/>
                <w:color w:val="auto"/>
                <w:sz w:val="21"/>
                <w:szCs w:val="21"/>
                <w:highlight w:val="none"/>
                <w:lang w:val="en-US" w:eastAsia="zh-CN"/>
              </w:rPr>
            </w:pPr>
            <w:r>
              <w:rPr>
                <w:rFonts w:hint="eastAsia" w:cs="宋体"/>
                <w:color w:val="auto"/>
                <w:sz w:val="21"/>
                <w:szCs w:val="21"/>
                <w:highlight w:val="none"/>
                <w:lang w:val="en-US" w:eastAsia="zh-CN"/>
              </w:rPr>
              <w:t>■否</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□是</w:t>
            </w:r>
          </w:p>
        </w:tc>
      </w:tr>
      <w:tr>
        <w:tblPrEx>
          <w:tblCellMar>
            <w:top w:w="0" w:type="dxa"/>
            <w:left w:w="108" w:type="dxa"/>
            <w:bottom w:w="0" w:type="dxa"/>
            <w:right w:w="108" w:type="dxa"/>
          </w:tblCellMar>
        </w:tblPrEx>
        <w:trPr>
          <w:trHeight w:val="447" w:hRule="atLeast"/>
          <w:jc w:val="center"/>
        </w:trPr>
        <w:tc>
          <w:tcPr>
            <w:tcW w:w="884" w:type="dxa"/>
            <w:tcBorders>
              <w:top w:val="single" w:color="auto" w:sz="4" w:space="0"/>
              <w:left w:val="single" w:color="auto" w:sz="4" w:space="0"/>
              <w:bottom w:val="single" w:color="auto" w:sz="4" w:space="0"/>
              <w:right w:val="single" w:color="000000" w:sz="4" w:space="0"/>
            </w:tcBorders>
            <w:noWrap w:val="0"/>
            <w:vAlign w:val="center"/>
          </w:tcPr>
          <w:p>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2471"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开标时间和地点</w:t>
            </w:r>
          </w:p>
        </w:tc>
        <w:tc>
          <w:tcPr>
            <w:tcW w:w="6237" w:type="dxa"/>
            <w:tcBorders>
              <w:top w:val="single" w:color="auto" w:sz="4" w:space="0"/>
              <w:left w:val="single" w:color="000000" w:sz="4" w:space="0"/>
              <w:bottom w:val="single" w:color="auto" w:sz="4" w:space="0"/>
              <w:right w:val="single" w:color="auto" w:sz="4" w:space="0"/>
            </w:tcBorders>
            <w:noWrap w:val="0"/>
            <w:vAlign w:val="center"/>
          </w:tcPr>
          <w:p>
            <w:pPr>
              <w:spacing w:line="360" w:lineRule="auto"/>
              <w:rPr>
                <w:color w:val="auto"/>
                <w:szCs w:val="21"/>
                <w:highlight w:val="none"/>
              </w:rPr>
            </w:pPr>
            <w:r>
              <w:rPr>
                <w:color w:val="auto"/>
                <w:szCs w:val="21"/>
                <w:highlight w:val="none"/>
              </w:rPr>
              <w:t>开标时间</w:t>
            </w:r>
            <w:r>
              <w:rPr>
                <w:rFonts w:hint="eastAsia"/>
                <w:color w:val="auto"/>
                <w:szCs w:val="21"/>
                <w:highlight w:val="none"/>
              </w:rPr>
              <w:t>：</w:t>
            </w:r>
            <w:r>
              <w:rPr>
                <w:color w:val="auto"/>
                <w:szCs w:val="21"/>
                <w:highlight w:val="none"/>
              </w:rPr>
              <w:t>同投标截止时间</w:t>
            </w:r>
          </w:p>
          <w:p>
            <w:pPr>
              <w:spacing w:line="360" w:lineRule="auto"/>
              <w:rPr>
                <w:color w:val="auto"/>
                <w:szCs w:val="21"/>
                <w:highlight w:val="none"/>
                <w:u w:val="single"/>
              </w:rPr>
            </w:pPr>
            <w:r>
              <w:rPr>
                <w:color w:val="auto"/>
                <w:szCs w:val="21"/>
                <w:highlight w:val="none"/>
              </w:rPr>
              <w:t>开标地点</w:t>
            </w:r>
            <w:r>
              <w:rPr>
                <w:rFonts w:hint="eastAsia"/>
                <w:color w:val="auto"/>
                <w:szCs w:val="21"/>
                <w:highlight w:val="none"/>
                <w:u w:val="single"/>
              </w:rPr>
              <w:t>：广州公共资源交易中心第  开标室 。投标人也可选择参加在线开标，具体按照交易平台相关指南进行操作。详见：广州公共资源交易中心交易平台。</w:t>
            </w:r>
          </w:p>
          <w:p>
            <w:pPr>
              <w:widowControl/>
              <w:spacing w:line="360" w:lineRule="auto"/>
              <w:rPr>
                <w:rFonts w:ascii="宋体" w:hAnsi="宋体" w:cs="宋体"/>
                <w:color w:val="auto"/>
                <w:szCs w:val="21"/>
                <w:highlight w:val="none"/>
                <w:u w:val="single"/>
              </w:rPr>
            </w:pPr>
            <w:r>
              <w:rPr>
                <w:rFonts w:hint="eastAsia" w:ascii="宋体" w:hAnsi="宋体"/>
                <w:color w:val="auto"/>
                <w:szCs w:val="21"/>
                <w:highlight w:val="none"/>
              </w:rPr>
              <w:t>具体时间、地点可以到广州公共资源交易中心网站的服务指南中的交易活动安排输入本项目编号或项目名称进行查询。</w:t>
            </w:r>
          </w:p>
        </w:tc>
      </w:tr>
      <w:tr>
        <w:tblPrEx>
          <w:tblCellMar>
            <w:top w:w="0" w:type="dxa"/>
            <w:left w:w="108" w:type="dxa"/>
            <w:bottom w:w="0" w:type="dxa"/>
            <w:right w:w="108" w:type="dxa"/>
          </w:tblCellMar>
        </w:tblPrEx>
        <w:trPr>
          <w:trHeight w:val="447" w:hRule="atLeast"/>
          <w:jc w:val="center"/>
        </w:trPr>
        <w:tc>
          <w:tcPr>
            <w:tcW w:w="884" w:type="dxa"/>
            <w:tcBorders>
              <w:top w:val="single" w:color="auto" w:sz="4" w:space="0"/>
              <w:left w:val="single" w:color="auto" w:sz="4" w:space="0"/>
              <w:bottom w:val="single" w:color="auto" w:sz="4" w:space="0"/>
              <w:right w:val="single" w:color="000000" w:sz="4" w:space="0"/>
            </w:tcBorders>
            <w:noWrap w:val="0"/>
            <w:vAlign w:val="center"/>
          </w:tcPr>
          <w:p>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2471"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开标程序</w:t>
            </w:r>
          </w:p>
        </w:tc>
        <w:tc>
          <w:tcPr>
            <w:tcW w:w="6237" w:type="dxa"/>
            <w:tcBorders>
              <w:top w:val="single" w:color="auto" w:sz="4" w:space="0"/>
              <w:left w:val="single" w:color="000000" w:sz="4" w:space="0"/>
              <w:bottom w:val="single" w:color="auto" w:sz="4" w:space="0"/>
              <w:right w:val="single" w:color="auto" w:sz="4" w:space="0"/>
            </w:tcBorders>
            <w:noWrap w:val="0"/>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（1）在投标截止时间后</w:t>
            </w:r>
            <w:r>
              <w:rPr>
                <w:rFonts w:hint="eastAsia" w:ascii="宋体" w:hAnsi="宋体" w:cs="宋体"/>
                <w:b/>
                <w:bCs/>
                <w:color w:val="auto"/>
                <w:szCs w:val="21"/>
                <w:highlight w:val="none"/>
              </w:rPr>
              <w:t>30分钟内</w:t>
            </w:r>
            <w:r>
              <w:rPr>
                <w:rFonts w:hint="eastAsia" w:ascii="宋体" w:hAnsi="宋体" w:cs="宋体"/>
                <w:color w:val="auto"/>
                <w:szCs w:val="21"/>
                <w:highlight w:val="none"/>
              </w:rPr>
              <w:t>，投标人通过递交投标文件的交易平台对已递交的电子投标文件进行解密。投标人完成解密后，再由招标人进行解密（投标人只用执行一次解密，招标人执行解密次数根据招标文件开标次数确定）。</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（2）解密完成后，公布：a投标人名称；b投标文件递交情况；c投标文件解密情况；</w:t>
            </w:r>
            <w:r>
              <w:rPr>
                <w:rFonts w:hint="eastAsia" w:ascii="宋体" w:hAnsi="宋体" w:cs="宋体"/>
                <w:strike/>
                <w:color w:val="auto"/>
                <w:szCs w:val="21"/>
                <w:highlight w:val="none"/>
              </w:rPr>
              <w:t>d投标担保递交情况</w:t>
            </w:r>
            <w:r>
              <w:rPr>
                <w:rFonts w:hint="eastAsia" w:ascii="宋体" w:hAnsi="宋体" w:cs="宋体"/>
                <w:color w:val="auto"/>
                <w:szCs w:val="21"/>
                <w:highlight w:val="none"/>
              </w:rPr>
              <w:t>；e项目负责人（兼施工负责人）、设计负责人、专职安全员；f投标报价（含设计报价和施工报价）；g工期；h投标人的加密打包投标文件电脑机器特征码等主要内容，并记录在案。未在规定时间内解密的投标文件不参与开标、评标。</w:t>
            </w:r>
          </w:p>
          <w:p>
            <w:pPr>
              <w:spacing w:line="360" w:lineRule="auto"/>
              <w:rPr>
                <w:rFonts w:ascii="宋体" w:hAnsi="宋体" w:cs="宋体"/>
                <w:color w:val="auto"/>
                <w:szCs w:val="21"/>
                <w:highlight w:val="none"/>
              </w:rPr>
            </w:pPr>
            <w:r>
              <w:rPr>
                <w:rFonts w:hint="eastAsia" w:ascii="宋体" w:hAnsi="宋体" w:cs="宋体"/>
                <w:color w:val="auto"/>
                <w:szCs w:val="21"/>
                <w:highlight w:val="none"/>
              </w:rPr>
              <w:t>（3）截标后，开标开始时间因故推迟的，相关评标信息仍以原定的开标开始时间的信息为准。</w:t>
            </w:r>
          </w:p>
          <w:p>
            <w:pPr>
              <w:spacing w:line="360" w:lineRule="auto"/>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pacing w:val="-2"/>
                <w:szCs w:val="21"/>
                <w:highlight w:val="none"/>
              </w:rPr>
              <w:t>备用光盘的读取按“10电子招标投标”第6点的规定执行。</w:t>
            </w:r>
          </w:p>
          <w:p>
            <w:pPr>
              <w:spacing w:line="360" w:lineRule="auto"/>
              <w:rPr>
                <w:rFonts w:ascii="宋体" w:hAnsi="宋体" w:cs="宋体"/>
                <w:color w:val="auto"/>
                <w:szCs w:val="21"/>
                <w:highlight w:val="none"/>
              </w:rPr>
            </w:pPr>
            <w:r>
              <w:rPr>
                <w:rFonts w:hint="eastAsia" w:ascii="宋体" w:hAnsi="宋体" w:cs="宋体"/>
                <w:color w:val="auto"/>
                <w:szCs w:val="21"/>
                <w:highlight w:val="none"/>
              </w:rPr>
              <w:t>（5）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spacing w:line="360" w:lineRule="auto"/>
              <w:rPr>
                <w:rFonts w:ascii="宋体" w:hAnsi="宋体" w:cs="宋体"/>
                <w:color w:val="auto"/>
                <w:szCs w:val="21"/>
                <w:highlight w:val="none"/>
              </w:rPr>
            </w:pPr>
            <w:r>
              <w:rPr>
                <w:rFonts w:hint="eastAsia" w:ascii="宋体" w:hAnsi="宋体" w:cs="宋体"/>
                <w:color w:val="auto"/>
                <w:szCs w:val="21"/>
                <w:highlight w:val="none"/>
              </w:rPr>
              <w:t>（6）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spacing w:line="360" w:lineRule="auto"/>
              <w:rPr>
                <w:rFonts w:ascii="宋体" w:hAnsi="宋体" w:cs="宋体"/>
                <w:color w:val="auto"/>
                <w:szCs w:val="21"/>
                <w:highlight w:val="none"/>
              </w:rPr>
            </w:pPr>
            <w:r>
              <w:rPr>
                <w:rFonts w:hint="eastAsia" w:ascii="宋体" w:hAnsi="宋体" w:cs="宋体"/>
                <w:color w:val="auto"/>
                <w:szCs w:val="21"/>
                <w:highlight w:val="none"/>
              </w:rPr>
              <w:t>（7）投标人未参加开标或在规定的时间内未提出异议的，视为对开标无异议。</w:t>
            </w:r>
          </w:p>
          <w:p>
            <w:pPr>
              <w:spacing w:line="360" w:lineRule="auto"/>
              <w:rPr>
                <w:rFonts w:ascii="宋体" w:hAnsi="宋体" w:cs="宋体"/>
                <w:color w:val="auto"/>
                <w:szCs w:val="21"/>
                <w:highlight w:val="none"/>
              </w:rPr>
            </w:pPr>
            <w:r>
              <w:rPr>
                <w:rFonts w:hint="eastAsia" w:ascii="宋体" w:hAnsi="宋体" w:cs="宋体"/>
                <w:color w:val="auto"/>
                <w:szCs w:val="21"/>
                <w:highlight w:val="none"/>
              </w:rPr>
              <w:t>（8）开标时，两个（含两个）以上的投标人加密打包投标文件电脑机器特征码一致的，不参与下一程序，并由评标委员会否决其投标。</w:t>
            </w:r>
          </w:p>
          <w:p>
            <w:pPr>
              <w:widowControl/>
              <w:spacing w:line="360" w:lineRule="auto"/>
              <w:rPr>
                <w:rFonts w:ascii="宋体" w:hAnsi="宋体" w:cs="宋体"/>
                <w:color w:val="auto"/>
                <w:szCs w:val="21"/>
                <w:highlight w:val="none"/>
                <w:u w:val="single"/>
              </w:rPr>
            </w:pPr>
            <w:r>
              <w:rPr>
                <w:rFonts w:hint="eastAsia" w:ascii="宋体" w:hAnsi="宋体" w:cs="宋体"/>
                <w:color w:val="auto"/>
                <w:szCs w:val="21"/>
                <w:highlight w:val="none"/>
              </w:rPr>
              <w:t>（9）投标文件（设计方案）开标时不得开启，在评标时由交易平台随机编号后开启，交由评标委员会进行评审。编号所对应的投标人在设计方案评审结束前不得告知评标委员会、交易平台工作人员、招标人或招标代理机构。</w:t>
            </w:r>
          </w:p>
        </w:tc>
      </w:tr>
      <w:tr>
        <w:tblPrEx>
          <w:tblCellMar>
            <w:top w:w="0" w:type="dxa"/>
            <w:left w:w="108" w:type="dxa"/>
            <w:bottom w:w="0" w:type="dxa"/>
            <w:right w:w="108" w:type="dxa"/>
          </w:tblCellMar>
        </w:tblPrEx>
        <w:trPr>
          <w:trHeight w:val="552" w:hRule="atLeast"/>
          <w:jc w:val="center"/>
        </w:trPr>
        <w:tc>
          <w:tcPr>
            <w:tcW w:w="884" w:type="dxa"/>
            <w:tcBorders>
              <w:top w:val="single" w:color="auto"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6.1.1</w:t>
            </w:r>
          </w:p>
        </w:tc>
        <w:tc>
          <w:tcPr>
            <w:tcW w:w="2471" w:type="dxa"/>
            <w:tcBorders>
              <w:top w:val="single" w:color="auto"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评标委员会的组建</w:t>
            </w:r>
          </w:p>
        </w:tc>
        <w:tc>
          <w:tcPr>
            <w:tcW w:w="6237" w:type="dxa"/>
            <w:tcBorders>
              <w:top w:val="single" w:color="auto"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color w:val="auto"/>
                <w:szCs w:val="21"/>
                <w:highlight w:val="none"/>
              </w:rPr>
            </w:pPr>
            <w:r>
              <w:rPr>
                <w:rFonts w:hint="eastAsia" w:ascii="宋体" w:hAnsi="宋体"/>
                <w:color w:val="auto"/>
                <w:szCs w:val="21"/>
                <w:highlight w:val="none"/>
              </w:rPr>
              <w:t>分设计评审组、综合评审组评委，由招标人</w:t>
            </w:r>
            <w:r>
              <w:rPr>
                <w:rFonts w:hint="eastAsia" w:ascii="宋体" w:hAnsi="宋体"/>
                <w:color w:val="auto"/>
                <w:highlight w:val="none"/>
                <w:u w:val="single"/>
              </w:rPr>
              <w:t>在评标前</w:t>
            </w:r>
            <w:r>
              <w:rPr>
                <w:rFonts w:hint="eastAsia" w:ascii="宋体" w:hAnsi="宋体"/>
                <w:color w:val="auto"/>
                <w:szCs w:val="21"/>
                <w:highlight w:val="none"/>
              </w:rPr>
              <w:t>依法组建。</w:t>
            </w:r>
          </w:p>
        </w:tc>
      </w:tr>
      <w:tr>
        <w:tblPrEx>
          <w:tblCellMar>
            <w:top w:w="0" w:type="dxa"/>
            <w:left w:w="108" w:type="dxa"/>
            <w:bottom w:w="0" w:type="dxa"/>
            <w:right w:w="108" w:type="dxa"/>
          </w:tblCellMar>
        </w:tblPrEx>
        <w:trPr>
          <w:trHeight w:val="559"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7.1</w:t>
            </w:r>
          </w:p>
        </w:tc>
        <w:tc>
          <w:tcPr>
            <w:tcW w:w="24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是否授权评标委员会确定中标人</w:t>
            </w:r>
          </w:p>
        </w:tc>
        <w:tc>
          <w:tcPr>
            <w:tcW w:w="62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□是</w:t>
            </w:r>
          </w:p>
          <w:p>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■否，推荐的中标候选人数：</w:t>
            </w:r>
            <w:r>
              <w:rPr>
                <w:rFonts w:hint="eastAsia" w:ascii="宋体" w:hAnsi="宋体" w:cs="宋体"/>
                <w:color w:val="auto"/>
                <w:szCs w:val="21"/>
                <w:highlight w:val="none"/>
                <w:u w:val="single"/>
              </w:rPr>
              <w:t>3人</w:t>
            </w:r>
          </w:p>
        </w:tc>
      </w:tr>
      <w:tr>
        <w:tblPrEx>
          <w:tblCellMar>
            <w:top w:w="0" w:type="dxa"/>
            <w:left w:w="108" w:type="dxa"/>
            <w:bottom w:w="0" w:type="dxa"/>
            <w:right w:w="108" w:type="dxa"/>
          </w:tblCellMar>
        </w:tblPrEx>
        <w:trPr>
          <w:trHeight w:val="692" w:hRule="atLeast"/>
          <w:jc w:val="center"/>
        </w:trPr>
        <w:tc>
          <w:tcPr>
            <w:tcW w:w="884" w:type="dxa"/>
            <w:tcBorders>
              <w:top w:val="single" w:color="000000" w:sz="4" w:space="0"/>
              <w:left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7.2</w:t>
            </w:r>
            <w:r>
              <w:rPr>
                <w:rFonts w:ascii="宋体" w:hAnsi="宋体" w:cs="宋体"/>
                <w:color w:val="auto"/>
                <w:kern w:val="1"/>
                <w:szCs w:val="21"/>
                <w:highlight w:val="none"/>
              </w:rPr>
              <w:t>.1</w:t>
            </w:r>
          </w:p>
        </w:tc>
        <w:tc>
          <w:tcPr>
            <w:tcW w:w="2471" w:type="dxa"/>
            <w:tcBorders>
              <w:top w:val="single" w:color="000000" w:sz="4" w:space="0"/>
              <w:left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中标候选人公示媒介</w:t>
            </w:r>
          </w:p>
        </w:tc>
        <w:tc>
          <w:tcPr>
            <w:tcW w:w="6237" w:type="dxa"/>
            <w:tcBorders>
              <w:top w:val="single" w:color="000000" w:sz="4" w:space="0"/>
              <w:left w:val="single" w:color="000000" w:sz="4" w:space="0"/>
              <w:right w:val="single" w:color="000000" w:sz="4" w:space="0"/>
            </w:tcBorders>
            <w:noWrap w:val="0"/>
            <w:vAlign w:val="center"/>
          </w:tcPr>
          <w:p>
            <w:pPr>
              <w:widowControl/>
              <w:spacing w:line="360" w:lineRule="auto"/>
              <w:rPr>
                <w:rFonts w:hint="eastAsia"/>
                <w:highlight w:val="none"/>
              </w:rPr>
            </w:pPr>
            <w:r>
              <w:rPr>
                <w:rFonts w:hint="eastAsia"/>
                <w:highlight w:val="none"/>
              </w:rPr>
              <w:t>广州公共资源交易中心网站、中国招标投标公共服务平台、广东省招标投标监管网</w:t>
            </w:r>
          </w:p>
          <w:p>
            <w:pPr>
              <w:pStyle w:val="11"/>
              <w:rPr>
                <w:highlight w:val="none"/>
                <w:lang w:val="en-US" w:eastAsia="zh-CN"/>
              </w:rPr>
            </w:pPr>
            <w:r>
              <w:rPr>
                <w:rFonts w:hint="eastAsia" w:ascii="宋体" w:hAnsi="宋体" w:cs="宋体"/>
                <w:sz w:val="21"/>
                <w:szCs w:val="21"/>
                <w:highlight w:val="none"/>
                <w:lang w:val="en-US" w:eastAsia="zh-CN"/>
              </w:rPr>
              <w:t>公示期限：3日，最后一日应为工作日</w:t>
            </w:r>
          </w:p>
        </w:tc>
      </w:tr>
      <w:tr>
        <w:tblPrEx>
          <w:tblCellMar>
            <w:top w:w="0" w:type="dxa"/>
            <w:left w:w="108" w:type="dxa"/>
            <w:bottom w:w="0" w:type="dxa"/>
            <w:right w:w="108" w:type="dxa"/>
          </w:tblCellMar>
        </w:tblPrEx>
        <w:trPr>
          <w:trHeight w:val="669"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7.4.1</w:t>
            </w:r>
          </w:p>
        </w:tc>
        <w:tc>
          <w:tcPr>
            <w:tcW w:w="24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履约担保</w:t>
            </w:r>
          </w:p>
        </w:tc>
        <w:tc>
          <w:tcPr>
            <w:tcW w:w="623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履约担保的形式：履约担保需为无条件不可撤销银行保函或商业保函或保证保险或担保保函。</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履约担保的金额：合同价款的10%，联合体投标的由联合体牵头方牵头办理。</w:t>
            </w:r>
          </w:p>
          <w:p>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履约担保应该在签订合同一个月内完成提交甲方，履约担保是指签订合同履约开始到工程验收结束为期限，工程在验收后，乙方提出申请并在14天内退还履约担保给承包方。</w:t>
            </w:r>
          </w:p>
        </w:tc>
      </w:tr>
      <w:tr>
        <w:tblPrEx>
          <w:tblCellMar>
            <w:top w:w="0" w:type="dxa"/>
            <w:left w:w="108" w:type="dxa"/>
            <w:bottom w:w="0" w:type="dxa"/>
            <w:right w:w="108" w:type="dxa"/>
          </w:tblCellMar>
        </w:tblPrEx>
        <w:trPr>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9</w:t>
            </w:r>
          </w:p>
        </w:tc>
        <w:tc>
          <w:tcPr>
            <w:tcW w:w="870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需要补充的其他内容</w:t>
            </w:r>
          </w:p>
        </w:tc>
      </w:tr>
      <w:tr>
        <w:tblPrEx>
          <w:tblCellMar>
            <w:top w:w="0" w:type="dxa"/>
            <w:left w:w="108" w:type="dxa"/>
            <w:bottom w:w="0" w:type="dxa"/>
            <w:right w:w="108" w:type="dxa"/>
          </w:tblCellMar>
        </w:tblPrEx>
        <w:trPr>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auto"/>
                <w:kern w:val="1"/>
                <w:szCs w:val="21"/>
                <w:highlight w:val="none"/>
              </w:rPr>
            </w:pPr>
            <w:r>
              <w:rPr>
                <w:rFonts w:hint="eastAsia" w:ascii="宋体" w:hAnsi="宋体" w:cs="宋体"/>
                <w:szCs w:val="21"/>
                <w:highlight w:val="none"/>
              </w:rPr>
              <w:t>9.1</w:t>
            </w:r>
          </w:p>
        </w:tc>
        <w:tc>
          <w:tcPr>
            <w:tcW w:w="8708"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szCs w:val="21"/>
                <w:highlight w:val="none"/>
                <w:lang w:val="zh-CN"/>
              </w:rPr>
            </w:pPr>
            <w:r>
              <w:rPr>
                <w:rFonts w:hint="eastAsia" w:ascii="宋体" w:hAnsi="宋体" w:cs="宋体"/>
                <w:szCs w:val="21"/>
                <w:highlight w:val="none"/>
                <w:lang w:val="zh-CN"/>
              </w:rPr>
              <w:t>投标人不得存在的情形：</w:t>
            </w:r>
          </w:p>
          <w:p>
            <w:pPr>
              <w:pStyle w:val="10"/>
              <w:rPr>
                <w:rFonts w:hint="eastAsia" w:cs="宋体"/>
                <w:b/>
                <w:color w:val="auto"/>
                <w:kern w:val="1"/>
                <w:szCs w:val="21"/>
                <w:highlight w:val="none"/>
                <w:lang w:eastAsia="zh-CN"/>
              </w:rPr>
            </w:pPr>
            <w:r>
              <w:rPr>
                <w:rFonts w:hint="eastAsia" w:cs="宋体"/>
                <w:kern w:val="2"/>
                <w:sz w:val="21"/>
                <w:szCs w:val="21"/>
                <w:highlight w:val="none"/>
                <w:lang w:eastAsia="zh-CN"/>
              </w:rPr>
              <w:t>删除“1.4.3 投标人不得存在下列情形之一”，投标人不得存在的情形以招标公告及《投标人声明》第三点的规定为准。</w:t>
            </w:r>
          </w:p>
        </w:tc>
      </w:tr>
      <w:tr>
        <w:tblPrEx>
          <w:tblCellMar>
            <w:top w:w="0" w:type="dxa"/>
            <w:left w:w="108" w:type="dxa"/>
            <w:bottom w:w="0" w:type="dxa"/>
            <w:right w:w="108" w:type="dxa"/>
          </w:tblCellMar>
        </w:tblPrEx>
        <w:trPr>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9.2</w:t>
            </w:r>
          </w:p>
        </w:tc>
        <w:tc>
          <w:tcPr>
            <w:tcW w:w="870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建设工程质量检测单位：</w:t>
            </w:r>
          </w:p>
          <w:p>
            <w:pPr>
              <w:spacing w:line="360" w:lineRule="auto"/>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9.3</w:t>
            </w:r>
          </w:p>
        </w:tc>
        <w:tc>
          <w:tcPr>
            <w:tcW w:w="870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施工保修期限：按照《建设工程质量管理条例》规定。</w:t>
            </w:r>
          </w:p>
        </w:tc>
      </w:tr>
      <w:tr>
        <w:tblPrEx>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9.4</w:t>
            </w:r>
          </w:p>
        </w:tc>
        <w:tc>
          <w:tcPr>
            <w:tcW w:w="870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在招标和合同实施期间，招标人要求投标人和承包人遵守最高的道德标准。</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1、对本条款的规定，特定义如下词汇：</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1）“腐败行为”是指在招标或合同执行期间，通过提供、给予、接受或索要任何有价值的东西，从而影响招标人有关人员工作的行为；</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欺诈行为”是指通过提供伪证影响招标或合同执行，从而损害招标人利益的行为；也包括投标人之间串通（在提交投标书之前或之后），人为地使招标过程失去竞争性，从而使招标人无法从公开的自由竞争中获得利益的行为。</w:t>
            </w:r>
          </w:p>
          <w:p>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2、如果投标人被认定在本招标的竞争中有腐败或欺诈行为，则会被取消投标资格。</w:t>
            </w:r>
          </w:p>
        </w:tc>
      </w:tr>
      <w:tr>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9.5</w:t>
            </w:r>
          </w:p>
        </w:tc>
        <w:tc>
          <w:tcPr>
            <w:tcW w:w="870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rPr>
                <w:color w:val="auto"/>
                <w:highlight w:val="none"/>
              </w:rPr>
            </w:pPr>
            <w:r>
              <w:rPr>
                <w:rFonts w:hint="eastAsia" w:ascii="宋体" w:hAnsi="宋体" w:cs="宋体"/>
                <w:color w:val="auto"/>
                <w:szCs w:val="21"/>
                <w:highlight w:val="none"/>
              </w:rPr>
              <w:t>本项目交易服务费由中标人按广州公共资源交易中心相关规定交纳。</w:t>
            </w:r>
          </w:p>
        </w:tc>
      </w:tr>
      <w:tr>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9.6</w:t>
            </w:r>
          </w:p>
        </w:tc>
        <w:tc>
          <w:tcPr>
            <w:tcW w:w="870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rPr>
                <w:rFonts w:hint="eastAsia" w:ascii="宋体" w:hAnsi="宋体" w:cs="宋体"/>
                <w:color w:val="auto"/>
                <w:szCs w:val="21"/>
                <w:highlight w:val="none"/>
              </w:rPr>
            </w:pPr>
            <w:r>
              <w:rPr>
                <w:rFonts w:hint="eastAsia" w:ascii="宋体" w:hAnsi="宋体" w:cs="宋体"/>
                <w:kern w:val="2"/>
                <w:szCs w:val="21"/>
                <w:highlight w:val="none"/>
                <w:lang w:val="zh-CN"/>
              </w:rPr>
              <w:t>中标人</w:t>
            </w:r>
            <w:r>
              <w:rPr>
                <w:rFonts w:hint="eastAsia" w:ascii="宋体" w:hAnsi="宋体" w:cs="宋体"/>
                <w:kern w:val="2"/>
                <w:szCs w:val="21"/>
                <w:highlight w:val="none"/>
              </w:rPr>
              <w:t>在发出中标通知书后7日内打印装订在交易系统提交的投标文件</w:t>
            </w:r>
            <w:r>
              <w:rPr>
                <w:rFonts w:hint="eastAsia" w:ascii="宋体" w:hAnsi="宋体" w:cs="宋体"/>
                <w:kern w:val="2"/>
                <w:szCs w:val="21"/>
                <w:highlight w:val="none"/>
                <w:lang w:val="zh-CN"/>
              </w:rPr>
              <w:t>，投标文件需与中标人在广州公共资源交易中心网站提交的投标文件一致，投标人加盖公章，1正3副，合共4套投标文件提供给招标人，相关费用由投标人支付。</w:t>
            </w:r>
          </w:p>
        </w:tc>
      </w:tr>
      <w:tr>
        <w:tblPrEx>
          <w:tblCellMar>
            <w:top w:w="0" w:type="dxa"/>
            <w:left w:w="108" w:type="dxa"/>
            <w:bottom w:w="0" w:type="dxa"/>
            <w:right w:w="108" w:type="dxa"/>
          </w:tblCellMar>
        </w:tblPrEx>
        <w:trPr>
          <w:trHeight w:val="126"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10</w:t>
            </w:r>
          </w:p>
        </w:tc>
        <w:tc>
          <w:tcPr>
            <w:tcW w:w="24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电子招标投标</w:t>
            </w:r>
          </w:p>
        </w:tc>
        <w:tc>
          <w:tcPr>
            <w:tcW w:w="623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□否，投标人需按招标文件要求提交纸质文件及电子光盘。</w:t>
            </w:r>
          </w:p>
          <w:p>
            <w:pPr>
              <w:spacing w:line="360" w:lineRule="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是，具体要求：</w:t>
            </w:r>
            <w:r>
              <w:rPr>
                <w:rFonts w:hint="eastAsia" w:ascii="宋体" w:hAnsi="宋体" w:cs="宋体"/>
                <w:color w:val="auto"/>
                <w:szCs w:val="21"/>
                <w:highlight w:val="none"/>
              </w:rPr>
              <w:t>1、投标文件形式：投标文件全部采用电子文档，投标文件应按交易平台相关操作指南编制。如不按上述要求编制引起系统无法检索、读取相关信息的，其后果由投标人承担。投标文件所附证书证件均为原件扫描件，并采用单位数字证书，按招标文件要求在相应位置加盖电子印章。投标文件中需个人签字或盖章的，应加盖个人电子印章或在线下完成后扫描上传。具体操作详见交易平台相关操作指南。</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投标文件的修改与撤回：投标人修改或撤回已递交的投标文件，需在交易平台发出撤回通知，并按要求加盖电子印章。电子招标投标交易平台收到通知后，即时向投标人发出确认回执通知。投标人撤回投标文件的，招标人自收到投标人书面撤回通知之日起5日内退还已收取的投标保证金。</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提交投标文件光盘备用：投标人将按《房建市政全流程电子化项目操作专章》的操作方法制作的非加密的电子投标文件刻入光盘或u盘（设计方案投标文件、工程总承包实施方案（含投标报价）投标文件、资格审查文件、揭晓文件应分别刻录在不同的光盘或u盘），在规定的时间、地点提交备用。刻录好的投标文件光盘或u盘密封在密封袋中，并在封口处加盖投标人单位公章（设计方案投标文件备用光盘及揭晓文件除外）。密封袋上应写明信息详见条款号4.1.2。递交的投标文件光盘或u盘不得加密。投标文件光盘或u盘无法读取或导入的，则视为未提交备用投标文件光盘或u盘。如果投标人没有按规定通过交易平台网上递交电子投标文件的，不再读取提交的光盘或u盘。投标人也可不提交投标文件光盘或u盘(备用)。</w:t>
            </w:r>
          </w:p>
          <w:p>
            <w:pPr>
              <w:spacing w:line="360" w:lineRule="auto"/>
              <w:rPr>
                <w:rFonts w:ascii="宋体" w:hAnsi="宋体" w:cs="宋体"/>
                <w:color w:val="auto"/>
                <w:szCs w:val="21"/>
                <w:highlight w:val="none"/>
              </w:rPr>
            </w:pPr>
            <w:r>
              <w:rPr>
                <w:rFonts w:hint="eastAsia" w:ascii="宋体" w:hAnsi="宋体" w:cs="宋体"/>
                <w:color w:val="auto"/>
                <w:szCs w:val="21"/>
                <w:highlight w:val="none"/>
              </w:rPr>
              <w:t>4、投标文件的递交：</w:t>
            </w:r>
          </w:p>
          <w:p>
            <w:pPr>
              <w:spacing w:line="360" w:lineRule="auto"/>
              <w:rPr>
                <w:rFonts w:ascii="宋体" w:hAnsi="宋体" w:cs="宋体"/>
                <w:color w:val="auto"/>
                <w:szCs w:val="21"/>
                <w:highlight w:val="none"/>
              </w:rPr>
            </w:pPr>
            <w:r>
              <w:rPr>
                <w:rFonts w:hint="eastAsia" w:ascii="宋体" w:hAnsi="宋体" w:cs="宋体"/>
                <w:color w:val="auto"/>
                <w:szCs w:val="21"/>
                <w:highlight w:val="none"/>
              </w:rPr>
              <w:t>①投标文件递交的截止时间（投标截止时间，下同）为  年  月  日  时  分，投标人应在截止时间前通过电子招标投标交易平台递交电子投标文件。</w:t>
            </w:r>
          </w:p>
          <w:p>
            <w:pPr>
              <w:spacing w:line="360" w:lineRule="auto"/>
              <w:rPr>
                <w:rFonts w:ascii="宋体" w:hAnsi="宋体" w:cs="宋体"/>
                <w:color w:val="auto"/>
                <w:szCs w:val="21"/>
                <w:highlight w:val="none"/>
              </w:rPr>
            </w:pPr>
            <w:r>
              <w:rPr>
                <w:rFonts w:hint="eastAsia" w:ascii="宋体" w:hAnsi="宋体" w:cs="宋体"/>
                <w:color w:val="auto"/>
                <w:szCs w:val="21"/>
                <w:highlight w:val="none"/>
              </w:rPr>
              <w:t>②（选择性条款）提交投标文件备用光盘或u盘。</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投标文件光盘或u盘(备用)递交时间：  年  月  日  时  分至  年  月  日  时  分，地点：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③投标人完成电子投标上传后，电子招标投标交易平台即时向投标人发出递交回执通知。递交时间以递交回执通知载明的传输时间为准。</w:t>
            </w:r>
          </w:p>
          <w:p>
            <w:pPr>
              <w:spacing w:line="360" w:lineRule="auto"/>
              <w:rPr>
                <w:rFonts w:ascii="宋体" w:hAnsi="宋体" w:cs="宋体"/>
                <w:color w:val="auto"/>
                <w:szCs w:val="21"/>
                <w:highlight w:val="none"/>
              </w:rPr>
            </w:pPr>
            <w:r>
              <w:rPr>
                <w:rFonts w:hint="eastAsia" w:ascii="宋体" w:hAnsi="宋体" w:cs="宋体"/>
                <w:color w:val="auto"/>
                <w:szCs w:val="21"/>
                <w:highlight w:val="none"/>
              </w:rPr>
              <w:t>④逾期送达的投标文件，电子招标投标交易平台将予以拒收。</w:t>
            </w:r>
          </w:p>
          <w:p>
            <w:pPr>
              <w:spacing w:line="360" w:lineRule="auto"/>
              <w:rPr>
                <w:rFonts w:ascii="宋体" w:hAnsi="宋体" w:cs="宋体"/>
                <w:color w:val="auto"/>
                <w:szCs w:val="21"/>
                <w:highlight w:val="none"/>
              </w:rPr>
            </w:pPr>
            <w:r>
              <w:rPr>
                <w:rFonts w:hint="eastAsia" w:ascii="宋体" w:hAnsi="宋体" w:cs="宋体"/>
                <w:color w:val="auto"/>
                <w:szCs w:val="21"/>
                <w:highlight w:val="none"/>
              </w:rPr>
              <w:t>5、投标文件加密要求：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①网上递交的电子投标文件须进行加密。具体操作详见交易平台相关操作指南。</w:t>
            </w:r>
          </w:p>
          <w:p>
            <w:pPr>
              <w:spacing w:line="360" w:lineRule="auto"/>
              <w:rPr>
                <w:rFonts w:ascii="宋体" w:hAnsi="宋体" w:cs="宋体"/>
                <w:color w:val="auto"/>
                <w:szCs w:val="21"/>
                <w:highlight w:val="none"/>
              </w:rPr>
            </w:pPr>
            <w:r>
              <w:rPr>
                <w:rFonts w:hint="eastAsia" w:ascii="宋体" w:hAnsi="宋体" w:cs="宋体"/>
                <w:color w:val="auto"/>
                <w:szCs w:val="21"/>
                <w:highlight w:val="none"/>
              </w:rPr>
              <w:t>②未按要求加密的投标文件，招标人将予以拒收。</w:t>
            </w:r>
          </w:p>
          <w:p>
            <w:pPr>
              <w:spacing w:line="360" w:lineRule="auto"/>
              <w:rPr>
                <w:rFonts w:ascii="宋体" w:hAnsi="宋体" w:cs="宋体"/>
                <w:color w:val="auto"/>
                <w:szCs w:val="21"/>
                <w:highlight w:val="none"/>
              </w:rPr>
            </w:pPr>
            <w:r>
              <w:rPr>
                <w:rFonts w:hint="eastAsia" w:ascii="宋体" w:hAnsi="宋体" w:cs="宋体"/>
                <w:color w:val="auto"/>
                <w:szCs w:val="21"/>
                <w:highlight w:val="none"/>
              </w:rPr>
              <w:t>6、投标文件解密失败的补救方案：</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在规定时间内，因投标人之外原因(指网络瘫痪、服务器损坏、交易系统故障短期无法恢复)导致的电子投标文件解密失败，在开标现场读取光盘或u盘内容，继续开标程序。若出现招标人无法正常解密或导入开标系统的情况，在开标现场读取已成功解密、以及因投标人之外的原因导致电子投标文件解密失败的投标人递交的电子光盘或u盘内容。出现上述情况的，评标委员会对其投标文件的评审以光盘或u盘内容为准。因投标人之外原因解密失败且未递交电子光盘或u盘的，视为撤回投标文件。</w:t>
            </w:r>
          </w:p>
          <w:p>
            <w:pPr>
              <w:spacing w:line="360" w:lineRule="auto"/>
              <w:rPr>
                <w:rFonts w:ascii="宋体" w:hAnsi="宋体" w:cs="宋体"/>
                <w:color w:val="auto"/>
                <w:kern w:val="1"/>
                <w:szCs w:val="21"/>
                <w:highlight w:val="none"/>
              </w:rPr>
            </w:pPr>
            <w:r>
              <w:rPr>
                <w:rFonts w:hint="eastAsia" w:ascii="宋体" w:hAnsi="宋体" w:cs="宋体"/>
                <w:color w:val="auto"/>
                <w:szCs w:val="21"/>
                <w:highlight w:val="none"/>
              </w:rPr>
              <w:t>除发生上述情况外，开标评标均以投标人通过交易平台网上递交的电子投标文件为准。</w:t>
            </w:r>
          </w:p>
        </w:tc>
      </w:tr>
    </w:tbl>
    <w:p>
      <w:pPr>
        <w:pStyle w:val="3"/>
        <w:rPr>
          <w:color w:val="auto"/>
          <w:highlight w:val="none"/>
        </w:rPr>
      </w:pPr>
      <w:bookmarkStart w:id="40" w:name="_Toc362816480"/>
      <w:bookmarkEnd w:id="40"/>
      <w:bookmarkStart w:id="41" w:name="_Toc300834949"/>
      <w:bookmarkEnd w:id="41"/>
      <w:bookmarkStart w:id="42" w:name="_Toc443505822"/>
      <w:bookmarkEnd w:id="42"/>
      <w:bookmarkStart w:id="43" w:name="_Toc144974497"/>
      <w:bookmarkEnd w:id="43"/>
      <w:bookmarkStart w:id="44" w:name="_Toc247513952"/>
      <w:bookmarkEnd w:id="44"/>
      <w:bookmarkStart w:id="45" w:name="_Toc247527553"/>
      <w:bookmarkEnd w:id="45"/>
      <w:bookmarkStart w:id="46" w:name="_Toc152042305"/>
      <w:bookmarkEnd w:id="46"/>
      <w:bookmarkStart w:id="47" w:name="_Toc357089511"/>
      <w:bookmarkEnd w:id="47"/>
      <w:bookmarkStart w:id="48" w:name="_Toc152045529"/>
      <w:bookmarkEnd w:id="48"/>
      <w:r>
        <w:rPr>
          <w:rFonts w:hint="eastAsia" w:ascii="宋体" w:hAnsi="宋体" w:eastAsia="宋体" w:cs="宋体"/>
          <w:color w:val="auto"/>
          <w:highlight w:val="none"/>
          <w:lang w:val="zh-CN"/>
        </w:rPr>
        <w:br w:type="page"/>
      </w:r>
      <w:bookmarkStart w:id="49" w:name="_Toc224"/>
      <w:bookmarkEnd w:id="49"/>
      <w:bookmarkStart w:id="50" w:name="_Toc13193"/>
      <w:bookmarkEnd w:id="50"/>
      <w:bookmarkStart w:id="51" w:name="_Toc22063"/>
      <w:bookmarkStart w:id="52" w:name="_Toc24193"/>
      <w:r>
        <w:rPr>
          <w:rFonts w:hint="eastAsia"/>
          <w:color w:val="auto"/>
          <w:highlight w:val="none"/>
        </w:rPr>
        <w:t>1. 总则</w:t>
      </w:r>
      <w:bookmarkEnd w:id="51"/>
      <w:bookmarkEnd w:id="52"/>
    </w:p>
    <w:p>
      <w:pPr>
        <w:pStyle w:val="4"/>
        <w:rPr>
          <w:color w:val="auto"/>
          <w:highlight w:val="none"/>
        </w:rPr>
      </w:pPr>
      <w:bookmarkStart w:id="53" w:name="_Toc13369"/>
      <w:bookmarkStart w:id="54" w:name="_Toc152042306"/>
      <w:bookmarkStart w:id="55" w:name="_Toc144974498"/>
      <w:bookmarkStart w:id="56" w:name="_Toc247527554"/>
      <w:bookmarkStart w:id="57" w:name="_Toc247513953"/>
      <w:bookmarkStart w:id="58" w:name="_Toc152045530"/>
      <w:bookmarkStart w:id="59" w:name="_Toc30387"/>
      <w:r>
        <w:rPr>
          <w:rFonts w:hint="eastAsia" w:ascii="Times New Roman" w:hAnsi="Times New Roman"/>
          <w:color w:val="auto"/>
          <w:highlight w:val="none"/>
        </w:rPr>
        <w:t>1.1</w:t>
      </w:r>
      <w:r>
        <w:rPr>
          <w:rFonts w:hint="eastAsia"/>
          <w:color w:val="auto"/>
          <w:highlight w:val="none"/>
        </w:rPr>
        <w:t xml:space="preserve"> 项目概况</w:t>
      </w:r>
      <w:bookmarkEnd w:id="53"/>
      <w:bookmarkEnd w:id="54"/>
      <w:bookmarkEnd w:id="55"/>
      <w:bookmarkEnd w:id="56"/>
      <w:bookmarkEnd w:id="57"/>
      <w:bookmarkEnd w:id="58"/>
      <w:bookmarkEnd w:id="59"/>
    </w:p>
    <w:p>
      <w:pPr>
        <w:spacing w:line="400" w:lineRule="exact"/>
        <w:ind w:firstLine="420" w:firstLineChars="200"/>
        <w:rPr>
          <w:color w:val="auto"/>
          <w:highlight w:val="none"/>
        </w:rPr>
      </w:pPr>
      <w:r>
        <w:rPr>
          <w:rFonts w:hint="eastAsia"/>
          <w:color w:val="auto"/>
          <w:highlight w:val="none"/>
        </w:rPr>
        <w:t>1.1.1根据《中华人民共和国招标投标法》等有关法律、法规和规章的规定，本招标项目已具备招标条件，现对该项目设计施工进行总承包招标。</w:t>
      </w:r>
    </w:p>
    <w:p>
      <w:pPr>
        <w:spacing w:line="400" w:lineRule="exact"/>
        <w:ind w:firstLine="420" w:firstLineChars="200"/>
        <w:rPr>
          <w:color w:val="auto"/>
          <w:highlight w:val="none"/>
        </w:rPr>
      </w:pPr>
      <w:r>
        <w:rPr>
          <w:rFonts w:hint="eastAsia"/>
          <w:color w:val="auto"/>
          <w:highlight w:val="none"/>
        </w:rPr>
        <w:t>1.1.2 招标人：见投标人须知前附表。</w:t>
      </w:r>
    </w:p>
    <w:p>
      <w:pPr>
        <w:spacing w:line="400" w:lineRule="exact"/>
        <w:ind w:firstLine="420" w:firstLineChars="200"/>
        <w:rPr>
          <w:color w:val="auto"/>
          <w:highlight w:val="none"/>
        </w:rPr>
      </w:pPr>
      <w:r>
        <w:rPr>
          <w:rFonts w:hint="eastAsia"/>
          <w:color w:val="auto"/>
          <w:highlight w:val="none"/>
        </w:rPr>
        <w:t>1.1.3 招标代理机构：见投标人须知前附表。</w:t>
      </w:r>
    </w:p>
    <w:p>
      <w:pPr>
        <w:spacing w:line="400" w:lineRule="exact"/>
        <w:ind w:firstLine="420" w:firstLineChars="200"/>
        <w:rPr>
          <w:color w:val="auto"/>
          <w:highlight w:val="none"/>
        </w:rPr>
      </w:pPr>
      <w:r>
        <w:rPr>
          <w:rFonts w:hint="eastAsia"/>
          <w:color w:val="auto"/>
          <w:highlight w:val="none"/>
        </w:rPr>
        <w:t>1.1.4 招标项目名称：见投标人须知前附表。</w:t>
      </w:r>
    </w:p>
    <w:p>
      <w:pPr>
        <w:spacing w:line="400" w:lineRule="exact"/>
        <w:ind w:firstLine="420" w:firstLineChars="200"/>
        <w:rPr>
          <w:color w:val="auto"/>
          <w:highlight w:val="none"/>
        </w:rPr>
      </w:pPr>
      <w:r>
        <w:rPr>
          <w:rFonts w:hint="eastAsia"/>
          <w:color w:val="auto"/>
          <w:highlight w:val="none"/>
        </w:rPr>
        <w:t>1.1.5 项目建设地点：见投标人须知前附表。</w:t>
      </w:r>
    </w:p>
    <w:p>
      <w:pPr>
        <w:pStyle w:val="4"/>
        <w:rPr>
          <w:color w:val="auto"/>
          <w:highlight w:val="none"/>
        </w:rPr>
      </w:pPr>
      <w:bookmarkStart w:id="60" w:name="_Toc247527555"/>
      <w:bookmarkStart w:id="61" w:name="_Toc152042307"/>
      <w:bookmarkStart w:id="62" w:name="_Toc144974499"/>
      <w:bookmarkStart w:id="63" w:name="_Toc23462"/>
      <w:bookmarkStart w:id="64" w:name="_Toc152045531"/>
      <w:bookmarkStart w:id="65" w:name="_Toc16857"/>
      <w:bookmarkStart w:id="66" w:name="_Toc247513954"/>
      <w:r>
        <w:rPr>
          <w:rFonts w:hint="eastAsia" w:ascii="Times New Roman" w:hAnsi="Times New Roman"/>
          <w:color w:val="auto"/>
          <w:highlight w:val="none"/>
        </w:rPr>
        <w:t xml:space="preserve">1.2 </w:t>
      </w:r>
      <w:r>
        <w:rPr>
          <w:rFonts w:hint="eastAsia"/>
          <w:color w:val="auto"/>
          <w:highlight w:val="none"/>
        </w:rPr>
        <w:t>项目的资金来源和落实情况</w:t>
      </w:r>
      <w:bookmarkEnd w:id="60"/>
      <w:bookmarkEnd w:id="61"/>
      <w:bookmarkEnd w:id="62"/>
      <w:bookmarkEnd w:id="63"/>
      <w:bookmarkEnd w:id="64"/>
      <w:bookmarkEnd w:id="65"/>
      <w:bookmarkEnd w:id="66"/>
    </w:p>
    <w:p>
      <w:pPr>
        <w:spacing w:line="400" w:lineRule="exact"/>
        <w:ind w:firstLine="420" w:firstLineChars="200"/>
        <w:rPr>
          <w:color w:val="auto"/>
          <w:highlight w:val="none"/>
        </w:rPr>
      </w:pPr>
      <w:r>
        <w:rPr>
          <w:rFonts w:hint="eastAsia"/>
          <w:color w:val="auto"/>
          <w:highlight w:val="none"/>
        </w:rPr>
        <w:t>1.2.1 资金来源及比例：见投标人须知前附表。</w:t>
      </w:r>
    </w:p>
    <w:p>
      <w:pPr>
        <w:spacing w:line="400" w:lineRule="exact"/>
        <w:ind w:firstLine="420" w:firstLineChars="200"/>
        <w:rPr>
          <w:color w:val="auto"/>
          <w:highlight w:val="none"/>
        </w:rPr>
      </w:pPr>
      <w:r>
        <w:rPr>
          <w:rFonts w:hint="eastAsia"/>
          <w:color w:val="auto"/>
          <w:highlight w:val="none"/>
        </w:rPr>
        <w:t>1.2.2 资金落实情况：见投标人须知前附表。</w:t>
      </w:r>
    </w:p>
    <w:p>
      <w:pPr>
        <w:pStyle w:val="4"/>
        <w:rPr>
          <w:color w:val="auto"/>
          <w:highlight w:val="none"/>
        </w:rPr>
      </w:pPr>
      <w:bookmarkStart w:id="67" w:name="_Toc152042308"/>
      <w:bookmarkStart w:id="68" w:name="_Toc152045532"/>
      <w:bookmarkStart w:id="69" w:name="_Toc247527556"/>
      <w:bookmarkStart w:id="70" w:name="_Toc247513955"/>
      <w:bookmarkStart w:id="71" w:name="_Toc144974500"/>
      <w:bookmarkStart w:id="72" w:name="_Toc13265"/>
      <w:bookmarkStart w:id="73" w:name="_Toc14789"/>
      <w:r>
        <w:rPr>
          <w:rFonts w:hint="eastAsia" w:ascii="Times New Roman" w:hAnsi="Times New Roman"/>
          <w:color w:val="auto"/>
          <w:highlight w:val="none"/>
        </w:rPr>
        <w:t>1.3</w:t>
      </w:r>
      <w:r>
        <w:rPr>
          <w:rFonts w:hint="eastAsia"/>
          <w:color w:val="auto"/>
          <w:highlight w:val="none"/>
        </w:rPr>
        <w:t xml:space="preserve"> 招标范围、计划工期和</w:t>
      </w:r>
      <w:bookmarkEnd w:id="67"/>
      <w:bookmarkEnd w:id="68"/>
      <w:bookmarkEnd w:id="69"/>
      <w:bookmarkEnd w:id="70"/>
      <w:bookmarkEnd w:id="71"/>
      <w:r>
        <w:rPr>
          <w:rFonts w:hint="eastAsia"/>
          <w:color w:val="auto"/>
          <w:highlight w:val="none"/>
        </w:rPr>
        <w:t>质量标准</w:t>
      </w:r>
      <w:bookmarkEnd w:id="72"/>
      <w:bookmarkEnd w:id="73"/>
    </w:p>
    <w:p>
      <w:pPr>
        <w:spacing w:line="400" w:lineRule="exact"/>
        <w:ind w:firstLine="420" w:firstLineChars="200"/>
        <w:rPr>
          <w:color w:val="auto"/>
          <w:highlight w:val="none"/>
        </w:rPr>
      </w:pPr>
      <w:r>
        <w:rPr>
          <w:rFonts w:hint="eastAsia"/>
          <w:color w:val="auto"/>
          <w:highlight w:val="none"/>
        </w:rPr>
        <w:t>1.3.1 招标范围：见投标人须知前附表。</w:t>
      </w:r>
    </w:p>
    <w:p>
      <w:pPr>
        <w:spacing w:line="400" w:lineRule="exact"/>
        <w:ind w:firstLine="420" w:firstLineChars="200"/>
        <w:rPr>
          <w:color w:val="auto"/>
          <w:highlight w:val="none"/>
        </w:rPr>
      </w:pPr>
      <w:r>
        <w:rPr>
          <w:rFonts w:hint="eastAsia"/>
          <w:color w:val="auto"/>
          <w:highlight w:val="none"/>
        </w:rPr>
        <w:t>1.3.2 计划工期：见投标人须知前附表。</w:t>
      </w:r>
    </w:p>
    <w:p>
      <w:pPr>
        <w:spacing w:line="400" w:lineRule="exact"/>
        <w:ind w:firstLine="420" w:firstLineChars="200"/>
        <w:rPr>
          <w:color w:val="auto"/>
          <w:highlight w:val="none"/>
        </w:rPr>
      </w:pPr>
      <w:r>
        <w:rPr>
          <w:rFonts w:hint="eastAsia"/>
          <w:color w:val="auto"/>
          <w:highlight w:val="none"/>
        </w:rPr>
        <w:t>1.3.3 质量标准：见投标人须知前附表。</w:t>
      </w:r>
    </w:p>
    <w:p>
      <w:pPr>
        <w:pStyle w:val="4"/>
        <w:rPr>
          <w:color w:val="auto"/>
          <w:highlight w:val="none"/>
        </w:rPr>
      </w:pPr>
      <w:bookmarkStart w:id="74" w:name="_Toc152042310"/>
      <w:bookmarkStart w:id="75" w:name="_Toc30781"/>
      <w:bookmarkStart w:id="76" w:name="_Toc152045534"/>
      <w:bookmarkStart w:id="77" w:name="_Toc25105"/>
      <w:bookmarkStart w:id="78" w:name="_Toc247513957"/>
      <w:bookmarkStart w:id="79" w:name="_Toc144974502"/>
      <w:bookmarkStart w:id="80" w:name="_Toc247527558"/>
      <w:r>
        <w:rPr>
          <w:rFonts w:hint="eastAsia" w:ascii="Times New Roman" w:hAnsi="Times New Roman"/>
          <w:color w:val="auto"/>
          <w:highlight w:val="none"/>
        </w:rPr>
        <w:t>1.4</w:t>
      </w:r>
      <w:r>
        <w:rPr>
          <w:rFonts w:hint="eastAsia"/>
          <w:color w:val="auto"/>
          <w:highlight w:val="none"/>
        </w:rPr>
        <w:t xml:space="preserve"> 投标人资格要求</w:t>
      </w:r>
      <w:bookmarkEnd w:id="74"/>
      <w:bookmarkEnd w:id="75"/>
      <w:bookmarkEnd w:id="76"/>
      <w:bookmarkEnd w:id="77"/>
      <w:bookmarkEnd w:id="78"/>
      <w:bookmarkEnd w:id="79"/>
      <w:bookmarkEnd w:id="80"/>
    </w:p>
    <w:p>
      <w:pPr>
        <w:spacing w:line="400" w:lineRule="exact"/>
        <w:ind w:firstLine="420" w:firstLineChars="200"/>
        <w:rPr>
          <w:color w:val="auto"/>
          <w:highlight w:val="none"/>
          <w:u w:val="single"/>
        </w:rPr>
      </w:pPr>
      <w:r>
        <w:rPr>
          <w:rFonts w:hint="eastAsia"/>
          <w:color w:val="auto"/>
          <w:highlight w:val="none"/>
          <w:u w:val="single"/>
        </w:rPr>
        <w:t>1.4.1 投标人资格要求详见招标公告。</w:t>
      </w:r>
    </w:p>
    <w:p>
      <w:pPr>
        <w:spacing w:line="400" w:lineRule="exact"/>
        <w:ind w:firstLine="420" w:firstLineChars="200"/>
        <w:rPr>
          <w:color w:val="auto"/>
          <w:highlight w:val="none"/>
        </w:rPr>
      </w:pPr>
      <w:r>
        <w:rPr>
          <w:rFonts w:hint="eastAsia"/>
          <w:color w:val="auto"/>
          <w:highlight w:val="none"/>
        </w:rPr>
        <w:t>1.4.2 投标人须知前附表规定接受联合体投标的，除应符合本章第1.4.1项和投标人须知前附表的要求外，还应遵守以下规定：</w:t>
      </w:r>
    </w:p>
    <w:p>
      <w:pPr>
        <w:spacing w:line="400" w:lineRule="exact"/>
        <w:ind w:firstLine="315" w:firstLineChars="150"/>
        <w:rPr>
          <w:color w:val="auto"/>
          <w:highlight w:val="none"/>
        </w:rPr>
      </w:pPr>
      <w:r>
        <w:rPr>
          <w:rFonts w:hint="eastAsia"/>
          <w:color w:val="auto"/>
          <w:highlight w:val="none"/>
        </w:rPr>
        <w:t>（1）联合体各方应按招标文件提供的格式签订联合体协议书，明确联合体牵头人和各方权利义务；</w:t>
      </w:r>
    </w:p>
    <w:p>
      <w:pPr>
        <w:spacing w:line="400" w:lineRule="exact"/>
        <w:ind w:firstLine="315" w:firstLineChars="150"/>
        <w:rPr>
          <w:color w:val="auto"/>
          <w:highlight w:val="none"/>
        </w:rPr>
      </w:pPr>
      <w:r>
        <w:rPr>
          <w:rFonts w:hint="eastAsia"/>
          <w:color w:val="auto"/>
          <w:highlight w:val="none"/>
        </w:rPr>
        <w:t>（2）由同一专业的单位组成的联合体，按照资质等级较低的单位确定资质等级；</w:t>
      </w:r>
    </w:p>
    <w:p>
      <w:pPr>
        <w:spacing w:line="400" w:lineRule="exact"/>
        <w:ind w:firstLine="315" w:firstLineChars="150"/>
        <w:rPr>
          <w:color w:val="auto"/>
          <w:highlight w:val="none"/>
        </w:rPr>
      </w:pPr>
      <w:r>
        <w:rPr>
          <w:rFonts w:hint="eastAsia"/>
          <w:color w:val="auto"/>
          <w:highlight w:val="none"/>
        </w:rPr>
        <w:t>（3）联合体各方不得再以自己名义单独或参加其他联合体在本招标项目中投标。</w:t>
      </w:r>
    </w:p>
    <w:p>
      <w:pPr>
        <w:spacing w:line="400" w:lineRule="exact"/>
        <w:ind w:firstLine="420" w:firstLineChars="200"/>
        <w:rPr>
          <w:color w:val="auto"/>
          <w:highlight w:val="none"/>
          <w:u w:val="single"/>
        </w:rPr>
      </w:pPr>
      <w:r>
        <w:rPr>
          <w:rFonts w:hint="eastAsia"/>
          <w:color w:val="auto"/>
          <w:highlight w:val="none"/>
          <w:u w:val="single"/>
        </w:rPr>
        <w:t>1.4.3 投标人不得存在的情形以招标公告及《投标人声明》第三点的规定为准。</w:t>
      </w:r>
    </w:p>
    <w:p>
      <w:pPr>
        <w:spacing w:line="400" w:lineRule="exact"/>
        <w:ind w:firstLine="420" w:firstLineChars="200"/>
        <w:rPr>
          <w:color w:val="auto"/>
          <w:highlight w:val="none"/>
        </w:rPr>
      </w:pPr>
      <w:r>
        <w:rPr>
          <w:rFonts w:hint="eastAsia"/>
          <w:color w:val="auto"/>
          <w:highlight w:val="none"/>
        </w:rPr>
        <w:t>1.4.4 单位负责人为同一人或者存在控股、管理关系的不同单位，不得同时参加本招标项目投标。</w:t>
      </w:r>
    </w:p>
    <w:p>
      <w:pPr>
        <w:pStyle w:val="4"/>
        <w:rPr>
          <w:color w:val="auto"/>
          <w:highlight w:val="none"/>
        </w:rPr>
      </w:pPr>
      <w:bookmarkStart w:id="81" w:name="_Toc144974503"/>
      <w:bookmarkStart w:id="82" w:name="_Toc152042311"/>
      <w:bookmarkStart w:id="83" w:name="_Toc247513958"/>
      <w:bookmarkStart w:id="84" w:name="_Toc152045535"/>
      <w:bookmarkStart w:id="85" w:name="_Toc247527559"/>
      <w:bookmarkStart w:id="86" w:name="_Toc5312"/>
      <w:bookmarkStart w:id="87" w:name="_Toc10015"/>
      <w:r>
        <w:rPr>
          <w:rFonts w:hint="eastAsia" w:ascii="Times New Roman" w:hAnsi="Times New Roman"/>
          <w:color w:val="auto"/>
          <w:highlight w:val="none"/>
        </w:rPr>
        <w:t>1.5</w:t>
      </w:r>
      <w:r>
        <w:rPr>
          <w:rFonts w:hint="eastAsia"/>
          <w:color w:val="auto"/>
          <w:highlight w:val="none"/>
        </w:rPr>
        <w:t xml:space="preserve"> 费用承担</w:t>
      </w:r>
      <w:bookmarkEnd w:id="81"/>
      <w:bookmarkEnd w:id="82"/>
      <w:bookmarkEnd w:id="83"/>
      <w:bookmarkEnd w:id="84"/>
      <w:bookmarkEnd w:id="85"/>
      <w:r>
        <w:rPr>
          <w:rFonts w:hint="eastAsia"/>
          <w:color w:val="auto"/>
          <w:highlight w:val="none"/>
        </w:rPr>
        <w:t>和设计成果补偿</w:t>
      </w:r>
      <w:bookmarkEnd w:id="86"/>
      <w:bookmarkEnd w:id="87"/>
    </w:p>
    <w:p>
      <w:pPr>
        <w:spacing w:line="400" w:lineRule="exact"/>
        <w:ind w:firstLine="420" w:firstLineChars="200"/>
        <w:rPr>
          <w:color w:val="auto"/>
          <w:highlight w:val="none"/>
        </w:rPr>
      </w:pPr>
      <w:r>
        <w:rPr>
          <w:rFonts w:hint="eastAsia"/>
          <w:color w:val="auto"/>
          <w:highlight w:val="none"/>
        </w:rPr>
        <w:t>1.5.1 投标人准备和参加投标活动发生的费用自理。</w:t>
      </w:r>
    </w:p>
    <w:p>
      <w:pPr>
        <w:spacing w:line="400" w:lineRule="exact"/>
        <w:ind w:firstLine="420" w:firstLineChars="200"/>
        <w:rPr>
          <w:color w:val="auto"/>
          <w:highlight w:val="none"/>
        </w:rPr>
      </w:pPr>
      <w:r>
        <w:rPr>
          <w:rFonts w:hint="eastAsia"/>
          <w:color w:val="auto"/>
          <w:highlight w:val="none"/>
        </w:rPr>
        <w:t>1.5.2 招标人对符合招标文件规定的未中标人的设计成果进行补偿的，按投标人须知前附表规定给予补偿，并有权免费使用未中标人设计成果。</w:t>
      </w:r>
    </w:p>
    <w:p>
      <w:pPr>
        <w:pStyle w:val="4"/>
        <w:rPr>
          <w:color w:val="auto"/>
          <w:highlight w:val="none"/>
        </w:rPr>
      </w:pPr>
      <w:bookmarkStart w:id="88" w:name="_Toc152045536"/>
      <w:bookmarkStart w:id="89" w:name="_Toc10891"/>
      <w:bookmarkStart w:id="90" w:name="_Toc152042312"/>
      <w:bookmarkStart w:id="91" w:name="_Toc247513959"/>
      <w:bookmarkStart w:id="92" w:name="_Toc144974504"/>
      <w:bookmarkStart w:id="93" w:name="_Toc247527560"/>
      <w:bookmarkStart w:id="94" w:name="_Toc11231"/>
      <w:r>
        <w:rPr>
          <w:rFonts w:hint="eastAsia" w:ascii="Times New Roman" w:hAnsi="Times New Roman"/>
          <w:color w:val="auto"/>
          <w:highlight w:val="none"/>
        </w:rPr>
        <w:t xml:space="preserve">1.6 </w:t>
      </w:r>
      <w:r>
        <w:rPr>
          <w:rFonts w:hint="eastAsia"/>
          <w:color w:val="auto"/>
          <w:highlight w:val="none"/>
        </w:rPr>
        <w:t>保密</w:t>
      </w:r>
      <w:bookmarkEnd w:id="88"/>
      <w:bookmarkEnd w:id="89"/>
      <w:bookmarkEnd w:id="90"/>
      <w:bookmarkEnd w:id="91"/>
      <w:bookmarkEnd w:id="92"/>
      <w:bookmarkEnd w:id="93"/>
      <w:bookmarkEnd w:id="94"/>
    </w:p>
    <w:p>
      <w:pPr>
        <w:spacing w:line="400" w:lineRule="exact"/>
        <w:ind w:firstLine="420" w:firstLineChars="200"/>
        <w:rPr>
          <w:color w:val="auto"/>
          <w:highlight w:val="none"/>
        </w:rPr>
      </w:pPr>
      <w:r>
        <w:rPr>
          <w:rFonts w:hint="eastAsia"/>
          <w:color w:val="auto"/>
          <w:highlight w:val="none"/>
        </w:rPr>
        <w:t xml:space="preserve">参与招标投标活动的各方应对招标文件和投标文件中的商业和技术等秘密保密，否则应承担相应的法律责任。 </w:t>
      </w:r>
    </w:p>
    <w:p>
      <w:pPr>
        <w:pStyle w:val="4"/>
        <w:rPr>
          <w:color w:val="auto"/>
          <w:highlight w:val="none"/>
        </w:rPr>
      </w:pPr>
      <w:bookmarkStart w:id="95" w:name="_Toc144974505"/>
      <w:bookmarkStart w:id="96" w:name="_Toc152042313"/>
      <w:bookmarkStart w:id="97" w:name="_Toc6336"/>
      <w:bookmarkStart w:id="98" w:name="_Toc152045537"/>
      <w:bookmarkStart w:id="99" w:name="_Toc247513960"/>
      <w:bookmarkStart w:id="100" w:name="_Toc4973"/>
      <w:bookmarkStart w:id="101" w:name="_Toc247527561"/>
      <w:r>
        <w:rPr>
          <w:rFonts w:hint="eastAsia" w:ascii="Times New Roman" w:hAnsi="Times New Roman"/>
          <w:color w:val="auto"/>
          <w:highlight w:val="none"/>
        </w:rPr>
        <w:t>1.7</w:t>
      </w:r>
      <w:r>
        <w:rPr>
          <w:rFonts w:hint="eastAsia"/>
          <w:color w:val="auto"/>
          <w:highlight w:val="none"/>
        </w:rPr>
        <w:t xml:space="preserve"> 语言</w:t>
      </w:r>
      <w:bookmarkEnd w:id="95"/>
      <w:r>
        <w:rPr>
          <w:rFonts w:hint="eastAsia"/>
          <w:color w:val="auto"/>
          <w:highlight w:val="none"/>
        </w:rPr>
        <w:t>文字</w:t>
      </w:r>
      <w:bookmarkEnd w:id="96"/>
      <w:bookmarkEnd w:id="97"/>
      <w:bookmarkEnd w:id="98"/>
      <w:bookmarkEnd w:id="99"/>
      <w:bookmarkEnd w:id="100"/>
      <w:bookmarkEnd w:id="101"/>
    </w:p>
    <w:p>
      <w:pPr>
        <w:spacing w:line="400" w:lineRule="exact"/>
        <w:ind w:firstLine="420" w:firstLineChars="200"/>
        <w:rPr>
          <w:color w:val="auto"/>
          <w:highlight w:val="none"/>
        </w:rPr>
      </w:pPr>
      <w:r>
        <w:rPr>
          <w:rFonts w:hint="eastAsia"/>
          <w:color w:val="auto"/>
          <w:highlight w:val="none"/>
        </w:rPr>
        <w:t>招标投标文件使用的语言文字为中文。专用术语使用外文的，应附有中文注释。</w:t>
      </w:r>
    </w:p>
    <w:p>
      <w:pPr>
        <w:pStyle w:val="4"/>
        <w:rPr>
          <w:color w:val="auto"/>
          <w:highlight w:val="none"/>
        </w:rPr>
      </w:pPr>
      <w:bookmarkStart w:id="102" w:name="_Toc144974506"/>
      <w:bookmarkStart w:id="103" w:name="_Toc152045538"/>
      <w:bookmarkStart w:id="104" w:name="_Toc247527562"/>
      <w:bookmarkStart w:id="105" w:name="_Toc152042314"/>
      <w:bookmarkStart w:id="106" w:name="_Toc10919"/>
      <w:bookmarkStart w:id="107" w:name="_Toc26287"/>
      <w:bookmarkStart w:id="108" w:name="_Toc247513961"/>
      <w:r>
        <w:rPr>
          <w:rFonts w:hint="eastAsia" w:ascii="Times New Roman" w:hAnsi="Times New Roman"/>
          <w:color w:val="auto"/>
          <w:highlight w:val="none"/>
        </w:rPr>
        <w:t xml:space="preserve">1.8 </w:t>
      </w:r>
      <w:r>
        <w:rPr>
          <w:rFonts w:hint="eastAsia"/>
          <w:color w:val="auto"/>
          <w:highlight w:val="none"/>
        </w:rPr>
        <w:t>计量单位</w:t>
      </w:r>
      <w:bookmarkEnd w:id="102"/>
      <w:bookmarkEnd w:id="103"/>
      <w:bookmarkEnd w:id="104"/>
      <w:bookmarkEnd w:id="105"/>
      <w:bookmarkEnd w:id="106"/>
      <w:bookmarkEnd w:id="107"/>
      <w:bookmarkEnd w:id="108"/>
    </w:p>
    <w:p>
      <w:pPr>
        <w:spacing w:line="400" w:lineRule="exact"/>
        <w:ind w:firstLine="420" w:firstLineChars="200"/>
        <w:rPr>
          <w:color w:val="auto"/>
          <w:highlight w:val="none"/>
        </w:rPr>
      </w:pPr>
      <w:r>
        <w:rPr>
          <w:rFonts w:hint="eastAsia"/>
          <w:color w:val="auto"/>
          <w:highlight w:val="none"/>
        </w:rPr>
        <w:t>所有计量均采用中华人民共和国法定计量单位。</w:t>
      </w:r>
    </w:p>
    <w:p>
      <w:pPr>
        <w:pStyle w:val="4"/>
        <w:rPr>
          <w:color w:val="auto"/>
          <w:highlight w:val="none"/>
        </w:rPr>
      </w:pPr>
      <w:bookmarkStart w:id="109" w:name="_Toc152042315"/>
      <w:bookmarkStart w:id="110" w:name="_Toc247527563"/>
      <w:bookmarkStart w:id="111" w:name="_Toc152045539"/>
      <w:bookmarkStart w:id="112" w:name="_Toc144974507"/>
      <w:bookmarkStart w:id="113" w:name="_Toc23833"/>
      <w:bookmarkStart w:id="114" w:name="_Toc247513962"/>
      <w:bookmarkStart w:id="115" w:name="_Toc19856"/>
      <w:r>
        <w:rPr>
          <w:rFonts w:hint="eastAsia" w:ascii="Times New Roman" w:hAnsi="Times New Roman"/>
          <w:color w:val="auto"/>
          <w:highlight w:val="none"/>
        </w:rPr>
        <w:t>1.9</w:t>
      </w:r>
      <w:r>
        <w:rPr>
          <w:rFonts w:hint="eastAsia"/>
          <w:color w:val="auto"/>
          <w:highlight w:val="none"/>
        </w:rPr>
        <w:t xml:space="preserve"> 踏勘现场</w:t>
      </w:r>
      <w:bookmarkEnd w:id="109"/>
      <w:bookmarkEnd w:id="110"/>
      <w:bookmarkEnd w:id="111"/>
      <w:bookmarkEnd w:id="112"/>
      <w:bookmarkEnd w:id="113"/>
      <w:bookmarkEnd w:id="114"/>
      <w:bookmarkEnd w:id="115"/>
    </w:p>
    <w:p>
      <w:pPr>
        <w:spacing w:line="400" w:lineRule="exact"/>
        <w:ind w:firstLine="420" w:firstLineChars="200"/>
        <w:rPr>
          <w:color w:val="auto"/>
          <w:highlight w:val="none"/>
        </w:rPr>
      </w:pPr>
      <w:r>
        <w:rPr>
          <w:rFonts w:hint="eastAsia"/>
          <w:color w:val="auto"/>
          <w:highlight w:val="none"/>
        </w:rPr>
        <w:t xml:space="preserve">1.9.1 投标人须知前附表规定组织踏勘现场的，招标人按投标人须知前附表规定的时间、地点组织投标人踏勘项目现场。 </w:t>
      </w:r>
    </w:p>
    <w:p>
      <w:pPr>
        <w:spacing w:line="400" w:lineRule="exact"/>
        <w:ind w:firstLine="420" w:firstLineChars="200"/>
        <w:rPr>
          <w:color w:val="auto"/>
          <w:highlight w:val="none"/>
        </w:rPr>
      </w:pPr>
      <w:r>
        <w:rPr>
          <w:rFonts w:hint="eastAsia"/>
          <w:color w:val="auto"/>
          <w:highlight w:val="none"/>
        </w:rPr>
        <w:t>1.9.2 投标人踏勘现场发生的费用自理。</w:t>
      </w:r>
    </w:p>
    <w:p>
      <w:pPr>
        <w:spacing w:line="400" w:lineRule="exact"/>
        <w:ind w:firstLine="420" w:firstLineChars="200"/>
        <w:rPr>
          <w:color w:val="auto"/>
          <w:highlight w:val="none"/>
        </w:rPr>
      </w:pPr>
      <w:r>
        <w:rPr>
          <w:rFonts w:hint="eastAsia"/>
          <w:color w:val="auto"/>
          <w:highlight w:val="none"/>
        </w:rPr>
        <w:t>1.9.3 除招标人的原因外，投标人自行负责在踏勘现场中所发生的人员伤亡和财产损失。</w:t>
      </w:r>
    </w:p>
    <w:p>
      <w:pPr>
        <w:spacing w:line="400" w:lineRule="exact"/>
        <w:ind w:firstLine="420" w:firstLineChars="200"/>
        <w:rPr>
          <w:color w:val="auto"/>
          <w:highlight w:val="none"/>
          <w:u w:val="single"/>
        </w:rPr>
      </w:pPr>
      <w:r>
        <w:rPr>
          <w:rFonts w:hint="eastAsia"/>
          <w:color w:val="auto"/>
          <w:highlight w:val="none"/>
          <w:u w:val="single"/>
        </w:rPr>
        <w:t>1.9.4 现场由投标人自行踏勘，投标人不进行踏勘的，视为已熟知现场条件，自行承担相关风险。招标人不对投标人自行踏勘现场作出的判断和决策负责。</w:t>
      </w:r>
    </w:p>
    <w:p>
      <w:pPr>
        <w:pStyle w:val="4"/>
        <w:rPr>
          <w:color w:val="auto"/>
          <w:highlight w:val="none"/>
          <w:u w:val="single"/>
        </w:rPr>
      </w:pPr>
      <w:bookmarkStart w:id="116" w:name="_Toc247527564"/>
      <w:bookmarkStart w:id="117" w:name="_Toc247513963"/>
      <w:bookmarkStart w:id="118" w:name="_Toc152045540"/>
      <w:bookmarkStart w:id="119" w:name="_Toc144974508"/>
      <w:bookmarkStart w:id="120" w:name="_Toc20584"/>
      <w:bookmarkStart w:id="121" w:name="_Toc16251"/>
      <w:bookmarkStart w:id="122" w:name="_Toc152042316"/>
      <w:r>
        <w:rPr>
          <w:rFonts w:hint="eastAsia" w:ascii="Times New Roman" w:hAnsi="Times New Roman"/>
          <w:color w:val="auto"/>
          <w:highlight w:val="none"/>
        </w:rPr>
        <w:t>1.10</w:t>
      </w:r>
      <w:r>
        <w:rPr>
          <w:rFonts w:hint="eastAsia"/>
          <w:color w:val="auto"/>
          <w:highlight w:val="none"/>
        </w:rPr>
        <w:t xml:space="preserve"> </w:t>
      </w:r>
      <w:bookmarkEnd w:id="116"/>
      <w:bookmarkEnd w:id="117"/>
      <w:bookmarkEnd w:id="118"/>
      <w:bookmarkEnd w:id="119"/>
      <w:bookmarkEnd w:id="120"/>
      <w:bookmarkEnd w:id="121"/>
      <w:bookmarkEnd w:id="122"/>
      <w:r>
        <w:rPr>
          <w:rFonts w:hint="eastAsia" w:ascii="宋体" w:hAnsi="宋体" w:cs="宋体"/>
          <w:color w:val="auto"/>
          <w:kern w:val="1"/>
          <w:szCs w:val="21"/>
          <w:highlight w:val="none"/>
        </w:rPr>
        <w:t>投标预备会</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1.10.1 投标人须知前附表规定召开投标预备会的，招标人按投标人须知前附表规定的时间和地点召开投标预备会，澄清投标人提出的问题。</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1.10.2投标人应在投标人须知前附表规定的时间前，以书面形式将提出的问题送达招标人，以便招标人在会议期间澄清。</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1.10.3投标预备会后，招标人在投标人须知前附表规定的时间内，将对投标人所提问题的澄清，以书面形式通知所有购买招标文件的投标人。该澄清内容为招标文件的组成部分。</w:t>
      </w:r>
    </w:p>
    <w:p>
      <w:pPr>
        <w:pStyle w:val="4"/>
        <w:rPr>
          <w:color w:val="auto"/>
          <w:highlight w:val="none"/>
        </w:rPr>
      </w:pPr>
      <w:bookmarkStart w:id="123" w:name="_Toc144974509"/>
      <w:bookmarkStart w:id="124" w:name="_Toc17636"/>
      <w:bookmarkStart w:id="125" w:name="_Toc152045541"/>
      <w:bookmarkStart w:id="126" w:name="_Toc152042317"/>
      <w:bookmarkStart w:id="127" w:name="_Toc25813"/>
      <w:bookmarkStart w:id="128" w:name="_Toc247527565"/>
      <w:bookmarkStart w:id="129" w:name="_Toc247513964"/>
      <w:r>
        <w:rPr>
          <w:rFonts w:hint="eastAsia" w:ascii="Times New Roman" w:hAnsi="Times New Roman"/>
          <w:color w:val="auto"/>
          <w:highlight w:val="none"/>
        </w:rPr>
        <w:t xml:space="preserve">1.11 </w:t>
      </w:r>
      <w:r>
        <w:rPr>
          <w:rFonts w:hint="eastAsia"/>
          <w:color w:val="auto"/>
          <w:highlight w:val="none"/>
        </w:rPr>
        <w:t>分包</w:t>
      </w:r>
      <w:bookmarkEnd w:id="123"/>
      <w:bookmarkEnd w:id="124"/>
      <w:bookmarkEnd w:id="125"/>
      <w:bookmarkEnd w:id="126"/>
      <w:bookmarkEnd w:id="127"/>
      <w:bookmarkEnd w:id="128"/>
      <w:bookmarkEnd w:id="129"/>
    </w:p>
    <w:p>
      <w:pPr>
        <w:spacing w:line="400" w:lineRule="exact"/>
        <w:ind w:firstLine="567" w:firstLineChars="270"/>
        <w:rPr>
          <w:color w:val="auto"/>
          <w:highlight w:val="none"/>
        </w:rPr>
      </w:pPr>
      <w:r>
        <w:rPr>
          <w:rFonts w:hint="eastAsia"/>
          <w:color w:val="auto"/>
          <w:highlight w:val="none"/>
        </w:rPr>
        <w:t>1.11.1 投标人须知前附表规定应当由分包人实施的非主体、非关键性工作，投标人应当按照第五章“发包人要求”的规定提供分包人侯选名单及其相应资料。</w:t>
      </w:r>
    </w:p>
    <w:p>
      <w:pPr>
        <w:spacing w:line="400" w:lineRule="exact"/>
        <w:ind w:firstLine="567" w:firstLineChars="270"/>
        <w:rPr>
          <w:color w:val="auto"/>
          <w:highlight w:val="none"/>
        </w:rPr>
      </w:pPr>
      <w:r>
        <w:rPr>
          <w:rFonts w:hint="eastAsia"/>
          <w:color w:val="auto"/>
          <w:highlight w:val="none"/>
        </w:rPr>
        <w:t>1.11.2 投标人拟在中标后将中标项目的部分非主体、非关键性工作进行分包的，应符合投标人须知前附表规定的分包内容、分包金额和资质要求等限制性条件。</w:t>
      </w:r>
    </w:p>
    <w:p>
      <w:pPr>
        <w:pStyle w:val="4"/>
        <w:rPr>
          <w:color w:val="auto"/>
          <w:highlight w:val="none"/>
        </w:rPr>
      </w:pPr>
      <w:bookmarkStart w:id="130" w:name="_Toc29090"/>
      <w:bookmarkStart w:id="131" w:name="_Toc30381"/>
      <w:bookmarkStart w:id="132" w:name="_Toc247513965"/>
      <w:bookmarkStart w:id="133" w:name="_Toc247527566"/>
      <w:r>
        <w:rPr>
          <w:rFonts w:hint="eastAsia" w:ascii="Times New Roman" w:hAnsi="Times New Roman"/>
          <w:color w:val="auto"/>
          <w:highlight w:val="none"/>
        </w:rPr>
        <w:t>1.12</w:t>
      </w:r>
      <w:r>
        <w:rPr>
          <w:rFonts w:hint="eastAsia"/>
          <w:color w:val="auto"/>
          <w:highlight w:val="none"/>
        </w:rPr>
        <w:t xml:space="preserve"> 偏离</w:t>
      </w:r>
      <w:bookmarkEnd w:id="130"/>
      <w:bookmarkEnd w:id="131"/>
      <w:bookmarkEnd w:id="132"/>
      <w:bookmarkEnd w:id="133"/>
    </w:p>
    <w:p>
      <w:pPr>
        <w:spacing w:line="400" w:lineRule="exact"/>
        <w:ind w:firstLine="359" w:firstLineChars="171"/>
        <w:rPr>
          <w:color w:val="auto"/>
          <w:highlight w:val="none"/>
        </w:rPr>
      </w:pPr>
      <w:r>
        <w:rPr>
          <w:rFonts w:hint="eastAsia"/>
          <w:color w:val="auto"/>
          <w:highlight w:val="none"/>
        </w:rPr>
        <w:t>投标人须知前附表允许投标文件偏离招标文件某些要求的，偏离应当符合招标文件规定的偏离范围和幅度。</w:t>
      </w:r>
    </w:p>
    <w:p>
      <w:pPr>
        <w:pStyle w:val="3"/>
        <w:rPr>
          <w:color w:val="auto"/>
          <w:highlight w:val="none"/>
        </w:rPr>
      </w:pPr>
      <w:bookmarkStart w:id="134" w:name="_Toc1073"/>
      <w:bookmarkStart w:id="135" w:name="_Toc247527567"/>
      <w:bookmarkStart w:id="136" w:name="_Toc144974510"/>
      <w:bookmarkStart w:id="137" w:name="_Toc152045542"/>
      <w:bookmarkStart w:id="138" w:name="_Toc247513966"/>
      <w:bookmarkStart w:id="139" w:name="_Toc18987"/>
      <w:bookmarkStart w:id="140" w:name="_Toc152042318"/>
      <w:r>
        <w:rPr>
          <w:rFonts w:hint="eastAsia"/>
          <w:color w:val="auto"/>
          <w:highlight w:val="none"/>
        </w:rPr>
        <w:t>2. 招标文件</w:t>
      </w:r>
      <w:bookmarkEnd w:id="134"/>
      <w:bookmarkEnd w:id="135"/>
      <w:bookmarkEnd w:id="136"/>
      <w:bookmarkEnd w:id="137"/>
      <w:bookmarkEnd w:id="138"/>
      <w:bookmarkEnd w:id="139"/>
      <w:bookmarkEnd w:id="140"/>
    </w:p>
    <w:p>
      <w:pPr>
        <w:pStyle w:val="4"/>
        <w:rPr>
          <w:color w:val="auto"/>
          <w:highlight w:val="none"/>
        </w:rPr>
      </w:pPr>
      <w:bookmarkStart w:id="141" w:name="_Toc152042319"/>
      <w:bookmarkStart w:id="142" w:name="_Toc152045543"/>
      <w:bookmarkStart w:id="143" w:name="_Toc247527568"/>
      <w:bookmarkStart w:id="144" w:name="_Toc144974511"/>
      <w:bookmarkStart w:id="145" w:name="_Toc27699"/>
      <w:bookmarkStart w:id="146" w:name="_Toc30775"/>
      <w:bookmarkStart w:id="147" w:name="_Toc247513967"/>
      <w:r>
        <w:rPr>
          <w:rFonts w:hint="eastAsia" w:ascii="Times New Roman" w:hAnsi="Times New Roman"/>
          <w:color w:val="auto"/>
          <w:highlight w:val="none"/>
        </w:rPr>
        <w:t>2.1</w:t>
      </w:r>
      <w:r>
        <w:rPr>
          <w:rFonts w:hint="eastAsia"/>
          <w:color w:val="auto"/>
          <w:highlight w:val="none"/>
        </w:rPr>
        <w:t xml:space="preserve"> 招标文件的组成</w:t>
      </w:r>
      <w:bookmarkEnd w:id="141"/>
      <w:bookmarkEnd w:id="142"/>
      <w:bookmarkEnd w:id="143"/>
      <w:bookmarkEnd w:id="144"/>
      <w:bookmarkEnd w:id="145"/>
      <w:bookmarkEnd w:id="146"/>
      <w:bookmarkEnd w:id="147"/>
    </w:p>
    <w:p>
      <w:pPr>
        <w:spacing w:line="400" w:lineRule="exact"/>
        <w:rPr>
          <w:color w:val="auto"/>
          <w:highlight w:val="none"/>
        </w:rPr>
      </w:pPr>
      <w:r>
        <w:rPr>
          <w:rFonts w:hint="eastAsia"/>
          <w:color w:val="auto"/>
          <w:highlight w:val="none"/>
        </w:rPr>
        <w:t>　　本招标文件包括：</w:t>
      </w:r>
    </w:p>
    <w:p>
      <w:pPr>
        <w:spacing w:line="400" w:lineRule="exact"/>
        <w:ind w:firstLine="359" w:firstLineChars="171"/>
        <w:rPr>
          <w:color w:val="auto"/>
          <w:highlight w:val="none"/>
        </w:rPr>
      </w:pPr>
      <w:r>
        <w:rPr>
          <w:rFonts w:hint="eastAsia"/>
          <w:color w:val="auto"/>
          <w:highlight w:val="none"/>
        </w:rPr>
        <w:t>（1）招标公告（或投标邀请书）；</w:t>
      </w:r>
    </w:p>
    <w:p>
      <w:pPr>
        <w:spacing w:line="400" w:lineRule="exact"/>
        <w:ind w:firstLine="359" w:firstLineChars="171"/>
        <w:rPr>
          <w:color w:val="auto"/>
          <w:highlight w:val="none"/>
        </w:rPr>
      </w:pPr>
      <w:r>
        <w:rPr>
          <w:rFonts w:hint="eastAsia"/>
          <w:color w:val="auto"/>
          <w:highlight w:val="none"/>
        </w:rPr>
        <w:t>（2）投标人须知；</w:t>
      </w:r>
    </w:p>
    <w:p>
      <w:pPr>
        <w:spacing w:line="400" w:lineRule="exact"/>
        <w:ind w:firstLine="359" w:firstLineChars="171"/>
        <w:rPr>
          <w:color w:val="auto"/>
          <w:highlight w:val="none"/>
        </w:rPr>
      </w:pPr>
      <w:r>
        <w:rPr>
          <w:rFonts w:hint="eastAsia"/>
          <w:color w:val="auto"/>
          <w:highlight w:val="none"/>
        </w:rPr>
        <w:t>（3）评标办法；</w:t>
      </w:r>
    </w:p>
    <w:p>
      <w:pPr>
        <w:spacing w:line="400" w:lineRule="exact"/>
        <w:ind w:firstLine="359" w:firstLineChars="171"/>
        <w:rPr>
          <w:color w:val="auto"/>
          <w:highlight w:val="none"/>
        </w:rPr>
      </w:pPr>
      <w:r>
        <w:rPr>
          <w:rFonts w:hint="eastAsia"/>
          <w:color w:val="auto"/>
          <w:highlight w:val="none"/>
        </w:rPr>
        <w:t>（4）合同条款及格式；</w:t>
      </w:r>
    </w:p>
    <w:p>
      <w:pPr>
        <w:spacing w:line="400" w:lineRule="exact"/>
        <w:ind w:firstLine="359" w:firstLineChars="171"/>
        <w:rPr>
          <w:color w:val="auto"/>
          <w:highlight w:val="none"/>
        </w:rPr>
      </w:pPr>
      <w:r>
        <w:rPr>
          <w:rFonts w:hint="eastAsia"/>
          <w:color w:val="auto"/>
          <w:highlight w:val="none"/>
        </w:rPr>
        <w:t>（5）发包人要求；</w:t>
      </w:r>
    </w:p>
    <w:p>
      <w:pPr>
        <w:spacing w:line="400" w:lineRule="exact"/>
        <w:ind w:firstLine="359" w:firstLineChars="171"/>
        <w:rPr>
          <w:color w:val="auto"/>
          <w:highlight w:val="none"/>
        </w:rPr>
      </w:pPr>
      <w:r>
        <w:rPr>
          <w:rFonts w:hint="eastAsia"/>
          <w:color w:val="auto"/>
          <w:highlight w:val="none"/>
        </w:rPr>
        <w:t>（6）发包人提供的资料和条件；</w:t>
      </w:r>
    </w:p>
    <w:p>
      <w:pPr>
        <w:spacing w:line="400" w:lineRule="exact"/>
        <w:ind w:firstLine="359" w:firstLineChars="171"/>
        <w:rPr>
          <w:color w:val="auto"/>
          <w:highlight w:val="none"/>
        </w:rPr>
      </w:pPr>
      <w:r>
        <w:rPr>
          <w:rFonts w:hint="eastAsia"/>
          <w:color w:val="auto"/>
          <w:highlight w:val="none"/>
        </w:rPr>
        <w:t>（7）投标文件格式；</w:t>
      </w:r>
    </w:p>
    <w:p>
      <w:pPr>
        <w:spacing w:line="400" w:lineRule="exact"/>
        <w:ind w:firstLine="359" w:firstLineChars="171"/>
        <w:rPr>
          <w:color w:val="auto"/>
          <w:highlight w:val="none"/>
        </w:rPr>
      </w:pPr>
      <w:r>
        <w:rPr>
          <w:rFonts w:hint="eastAsia"/>
          <w:color w:val="auto"/>
          <w:highlight w:val="none"/>
        </w:rPr>
        <w:t>（8）投标人须知前附表规定的其他资料。</w:t>
      </w:r>
    </w:p>
    <w:p>
      <w:pPr>
        <w:spacing w:line="400" w:lineRule="exact"/>
        <w:ind w:firstLine="420" w:firstLineChars="200"/>
        <w:rPr>
          <w:rFonts w:hint="eastAsia"/>
          <w:bCs/>
          <w:color w:val="auto"/>
          <w:highlight w:val="none"/>
        </w:rPr>
      </w:pPr>
      <w:r>
        <w:rPr>
          <w:rFonts w:hint="eastAsia"/>
          <w:color w:val="auto"/>
          <w:highlight w:val="none"/>
        </w:rPr>
        <w:t>根据本章第1.10款、第2.2款和第2.3款对招标文件所作的澄清、修改，构成招标文件的组成部分。</w:t>
      </w:r>
      <w:r>
        <w:rPr>
          <w:rFonts w:hint="eastAsia"/>
          <w:bCs/>
          <w:color w:val="auto"/>
          <w:highlight w:val="none"/>
        </w:rPr>
        <w:t>当招标文件的澄清、修改等在同一内容的表述不一致时，以最后发出的书面文件为准。</w:t>
      </w:r>
    </w:p>
    <w:p>
      <w:pPr>
        <w:pStyle w:val="4"/>
        <w:ind w:left="0" w:leftChars="0" w:firstLine="0" w:firstLineChars="0"/>
        <w:rPr>
          <w:color w:val="auto"/>
          <w:highlight w:val="none"/>
        </w:rPr>
      </w:pPr>
      <w:bookmarkStart w:id="148" w:name="_Toc30434"/>
      <w:bookmarkStart w:id="149" w:name="_Toc18918"/>
      <w:bookmarkStart w:id="150" w:name="_Toc247527569"/>
      <w:bookmarkStart w:id="151" w:name="_Toc152042320"/>
      <w:bookmarkStart w:id="152" w:name="_Toc152045544"/>
      <w:bookmarkStart w:id="153" w:name="_Toc144974512"/>
      <w:bookmarkStart w:id="154" w:name="_Toc247513968"/>
      <w:r>
        <w:rPr>
          <w:rFonts w:hint="eastAsia" w:ascii="Times New Roman" w:hAnsi="Times New Roman"/>
          <w:color w:val="auto"/>
          <w:highlight w:val="none"/>
        </w:rPr>
        <w:t>2.2</w:t>
      </w:r>
      <w:r>
        <w:rPr>
          <w:rFonts w:hint="eastAsia"/>
          <w:color w:val="auto"/>
          <w:highlight w:val="none"/>
        </w:rPr>
        <w:t xml:space="preserve"> 招标文件的澄清</w:t>
      </w:r>
      <w:bookmarkEnd w:id="148"/>
      <w:bookmarkEnd w:id="149"/>
      <w:bookmarkEnd w:id="150"/>
      <w:bookmarkEnd w:id="151"/>
      <w:bookmarkEnd w:id="152"/>
      <w:bookmarkEnd w:id="153"/>
      <w:bookmarkEnd w:id="154"/>
    </w:p>
    <w:p>
      <w:pPr>
        <w:pStyle w:val="4"/>
        <w:rPr>
          <w:rFonts w:hint="eastAsia" w:ascii="Calibri" w:hAnsi="Calibri" w:eastAsia="宋体" w:cs="Calibri"/>
          <w:color w:val="auto"/>
          <w:sz w:val="21"/>
          <w:szCs w:val="22"/>
          <w:highlight w:val="none"/>
        </w:rPr>
      </w:pPr>
      <w:r>
        <w:rPr>
          <w:rFonts w:hint="eastAsia" w:ascii="Calibri" w:hAnsi="Calibri" w:eastAsia="宋体" w:cs="Calibri"/>
          <w:color w:val="auto"/>
          <w:sz w:val="21"/>
          <w:szCs w:val="22"/>
          <w:highlight w:val="none"/>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pStyle w:val="4"/>
        <w:rPr>
          <w:rFonts w:hint="eastAsia" w:ascii="Calibri" w:hAnsi="Calibri" w:eastAsia="宋体" w:cs="Calibri"/>
          <w:color w:val="auto"/>
          <w:sz w:val="21"/>
          <w:szCs w:val="22"/>
          <w:highlight w:val="none"/>
        </w:rPr>
      </w:pPr>
      <w:r>
        <w:rPr>
          <w:rFonts w:hint="eastAsia" w:ascii="Calibri" w:hAnsi="Calibri" w:eastAsia="宋体" w:cs="Calibri"/>
          <w:color w:val="auto"/>
          <w:sz w:val="21"/>
          <w:szCs w:val="22"/>
          <w:highlight w:val="none"/>
        </w:rPr>
        <w:t>2.2.2招标文件的澄清以书面形式发给所有购买招标文件的投标人，但不指明澄清问题的来源。澄清发出的时间距投标人须知前附表规定的投标截止时间不足15天的，并且澄清内容影响投标文件编制的，将相应延长投标截止时间。</w:t>
      </w:r>
    </w:p>
    <w:p>
      <w:pPr>
        <w:pStyle w:val="4"/>
        <w:rPr>
          <w:rFonts w:hint="eastAsia" w:ascii="Calibri" w:hAnsi="Calibri" w:eastAsia="宋体" w:cs="Calibri"/>
          <w:color w:val="auto"/>
          <w:sz w:val="21"/>
          <w:szCs w:val="22"/>
          <w:highlight w:val="none"/>
        </w:rPr>
      </w:pPr>
      <w:r>
        <w:rPr>
          <w:rFonts w:hint="eastAsia" w:ascii="Calibri" w:hAnsi="Calibri" w:eastAsia="宋体" w:cs="Calibri"/>
          <w:color w:val="auto"/>
          <w:sz w:val="21"/>
          <w:szCs w:val="22"/>
          <w:highlight w:val="none"/>
        </w:rPr>
        <w:t>2.2.3投标人在收到澄清后，应在投标人须知前附表规定的时间内以书面形式通知招标人，确认已收到该澄清。</w:t>
      </w:r>
    </w:p>
    <w:p>
      <w:pPr>
        <w:pStyle w:val="4"/>
        <w:rPr>
          <w:color w:val="auto"/>
          <w:highlight w:val="none"/>
        </w:rPr>
      </w:pPr>
      <w:bookmarkStart w:id="155" w:name="_Toc6494"/>
      <w:bookmarkStart w:id="156" w:name="_Toc144974513"/>
      <w:bookmarkStart w:id="157" w:name="_Toc20829"/>
      <w:bookmarkStart w:id="158" w:name="_Toc152042321"/>
      <w:bookmarkStart w:id="159" w:name="_Toc247513969"/>
      <w:bookmarkStart w:id="160" w:name="_Toc247527570"/>
      <w:bookmarkStart w:id="161" w:name="_Toc152045545"/>
      <w:r>
        <w:rPr>
          <w:rFonts w:hint="eastAsia" w:ascii="Times New Roman" w:hAnsi="Times New Roman"/>
          <w:color w:val="auto"/>
          <w:highlight w:val="none"/>
        </w:rPr>
        <w:t>2.3</w:t>
      </w:r>
      <w:r>
        <w:rPr>
          <w:rFonts w:hint="eastAsia"/>
          <w:color w:val="auto"/>
          <w:highlight w:val="none"/>
        </w:rPr>
        <w:t xml:space="preserve"> 招标文件的修改</w:t>
      </w:r>
      <w:bookmarkEnd w:id="155"/>
      <w:bookmarkEnd w:id="156"/>
      <w:bookmarkEnd w:id="157"/>
      <w:bookmarkEnd w:id="158"/>
      <w:bookmarkEnd w:id="159"/>
      <w:bookmarkEnd w:id="160"/>
      <w:bookmarkEnd w:id="161"/>
    </w:p>
    <w:p>
      <w:pPr>
        <w:spacing w:line="400" w:lineRule="exact"/>
        <w:ind w:firstLine="420" w:firstLineChars="200"/>
        <w:rPr>
          <w:rFonts w:hint="eastAsia"/>
          <w:color w:val="auto"/>
          <w:highlight w:val="none"/>
        </w:rPr>
      </w:pPr>
      <w:r>
        <w:rPr>
          <w:rFonts w:hint="eastAsia"/>
          <w:color w:val="auto"/>
          <w:highlight w:val="none"/>
        </w:rPr>
        <w:t xml:space="preserve">2.3.1招标人可以书面形式修改招标文件，并通知所有已购买招标文件的投标人。修改招标文件的时间距投标人须知前附表规定的投标截止时间不足15天的，并且澄清内容影响投标文件编制的，将相应延长投标截止时间。 </w:t>
      </w:r>
    </w:p>
    <w:p>
      <w:pPr>
        <w:spacing w:line="400" w:lineRule="exact"/>
        <w:ind w:firstLine="420" w:firstLineChars="200"/>
        <w:rPr>
          <w:color w:val="auto"/>
          <w:highlight w:val="none"/>
        </w:rPr>
      </w:pPr>
      <w:r>
        <w:rPr>
          <w:rFonts w:hint="eastAsia"/>
          <w:color w:val="auto"/>
          <w:highlight w:val="none"/>
        </w:rPr>
        <w:t>2.3.2投标人收到修改内容后，应在投标人须知前附表规定的时间内以书面形式通知招标人，确认已收到该修改</w:t>
      </w:r>
      <w:r>
        <w:rPr>
          <w:rFonts w:hint="eastAsia"/>
          <w:color w:val="auto"/>
          <w:highlight w:val="none"/>
          <w:u w:val="single"/>
        </w:rPr>
        <w:t>。</w:t>
      </w:r>
    </w:p>
    <w:p>
      <w:pPr>
        <w:pStyle w:val="3"/>
        <w:rPr>
          <w:color w:val="auto"/>
          <w:highlight w:val="none"/>
        </w:rPr>
      </w:pPr>
      <w:bookmarkStart w:id="162" w:name="_Toc144974514"/>
      <w:bookmarkStart w:id="163" w:name="_Toc21876"/>
      <w:bookmarkStart w:id="164" w:name="_Toc152045546"/>
      <w:bookmarkStart w:id="165" w:name="_Toc2660"/>
      <w:bookmarkStart w:id="166" w:name="_Toc247527571"/>
      <w:bookmarkStart w:id="167" w:name="_Toc247513970"/>
      <w:bookmarkStart w:id="168" w:name="_Toc152042322"/>
      <w:r>
        <w:rPr>
          <w:rFonts w:hint="eastAsia"/>
          <w:color w:val="auto"/>
          <w:highlight w:val="none"/>
        </w:rPr>
        <w:t>3. 投标文件</w:t>
      </w:r>
      <w:bookmarkEnd w:id="162"/>
      <w:bookmarkEnd w:id="163"/>
      <w:bookmarkEnd w:id="164"/>
      <w:bookmarkEnd w:id="165"/>
      <w:bookmarkEnd w:id="166"/>
      <w:bookmarkEnd w:id="167"/>
      <w:bookmarkEnd w:id="168"/>
    </w:p>
    <w:p>
      <w:pPr>
        <w:pStyle w:val="4"/>
        <w:rPr>
          <w:color w:val="auto"/>
          <w:highlight w:val="none"/>
        </w:rPr>
      </w:pPr>
      <w:bookmarkStart w:id="169" w:name="_Toc144974515"/>
      <w:bookmarkStart w:id="170" w:name="_Toc247527572"/>
      <w:bookmarkStart w:id="171" w:name="_Toc17705"/>
      <w:bookmarkStart w:id="172" w:name="_Toc152042323"/>
      <w:bookmarkStart w:id="173" w:name="_Toc247513971"/>
      <w:bookmarkStart w:id="174" w:name="_Toc152045547"/>
      <w:bookmarkStart w:id="175" w:name="_Toc21008"/>
      <w:r>
        <w:rPr>
          <w:rFonts w:hint="eastAsia" w:ascii="Times New Roman" w:hAnsi="Times New Roman"/>
          <w:color w:val="auto"/>
          <w:highlight w:val="none"/>
        </w:rPr>
        <w:t>3.1</w:t>
      </w:r>
      <w:r>
        <w:rPr>
          <w:rFonts w:hint="eastAsia"/>
          <w:color w:val="auto"/>
          <w:highlight w:val="none"/>
        </w:rPr>
        <w:t xml:space="preserve"> 投标文件的组成</w:t>
      </w:r>
      <w:bookmarkEnd w:id="169"/>
      <w:bookmarkEnd w:id="170"/>
      <w:bookmarkEnd w:id="171"/>
      <w:bookmarkEnd w:id="172"/>
      <w:bookmarkEnd w:id="173"/>
      <w:bookmarkEnd w:id="174"/>
      <w:bookmarkEnd w:id="175"/>
    </w:p>
    <w:p>
      <w:pPr>
        <w:spacing w:line="360" w:lineRule="auto"/>
        <w:ind w:firstLine="420" w:firstLineChars="200"/>
        <w:rPr>
          <w:color w:val="auto"/>
          <w:highlight w:val="none"/>
        </w:rPr>
      </w:pPr>
      <w:r>
        <w:rPr>
          <w:rFonts w:hint="eastAsia"/>
          <w:color w:val="auto"/>
          <w:highlight w:val="none"/>
        </w:rPr>
        <w:t>3.1.1投标文件由资格审查文件、设计方案文件、工程总承包实施方案文件（含投标报价）三部分组成，各部分投标文件应分别编制。如招标文件没有格式规定的，由投标人自行编制。</w:t>
      </w:r>
    </w:p>
    <w:p>
      <w:pPr>
        <w:spacing w:line="360" w:lineRule="auto"/>
        <w:ind w:firstLine="420" w:firstLineChars="200"/>
        <w:rPr>
          <w:color w:val="auto"/>
          <w:highlight w:val="none"/>
        </w:rPr>
      </w:pPr>
      <w:r>
        <w:rPr>
          <w:rFonts w:hint="eastAsia"/>
          <w:color w:val="auto"/>
          <w:highlight w:val="none"/>
        </w:rPr>
        <w:t>3.1.2资格审查文件</w:t>
      </w:r>
    </w:p>
    <w:p>
      <w:pPr>
        <w:spacing w:line="360" w:lineRule="auto"/>
        <w:ind w:firstLine="420" w:firstLineChars="200"/>
        <w:rPr>
          <w:color w:val="auto"/>
          <w:highlight w:val="none"/>
        </w:rPr>
      </w:pPr>
      <w:r>
        <w:rPr>
          <w:rFonts w:hint="eastAsia"/>
          <w:color w:val="auto"/>
          <w:highlight w:val="none"/>
        </w:rPr>
        <w:t>（1）封面</w:t>
      </w:r>
    </w:p>
    <w:p>
      <w:pPr>
        <w:spacing w:line="360" w:lineRule="auto"/>
        <w:ind w:firstLine="420" w:firstLineChars="200"/>
        <w:rPr>
          <w:color w:val="auto"/>
          <w:highlight w:val="none"/>
        </w:rPr>
      </w:pPr>
      <w:r>
        <w:rPr>
          <w:rFonts w:hint="eastAsia"/>
          <w:color w:val="auto"/>
          <w:highlight w:val="none"/>
        </w:rPr>
        <w:t>（2）目录</w:t>
      </w:r>
    </w:p>
    <w:p>
      <w:pPr>
        <w:spacing w:line="360" w:lineRule="auto"/>
        <w:ind w:firstLine="420" w:firstLineChars="200"/>
        <w:rPr>
          <w:color w:val="auto"/>
          <w:highlight w:val="none"/>
        </w:rPr>
      </w:pPr>
      <w:r>
        <w:rPr>
          <w:rFonts w:hint="eastAsia"/>
          <w:color w:val="auto"/>
          <w:highlight w:val="none"/>
        </w:rPr>
        <w:t>（3）投标单位法定代表人证明书及法人授权委托证明书（按招标文件格式4要求填写)；</w:t>
      </w:r>
    </w:p>
    <w:p>
      <w:pPr>
        <w:spacing w:line="360" w:lineRule="auto"/>
        <w:ind w:firstLine="420" w:firstLineChars="200"/>
        <w:rPr>
          <w:color w:val="auto"/>
          <w:highlight w:val="none"/>
        </w:rPr>
      </w:pPr>
      <w:r>
        <w:rPr>
          <w:rFonts w:hint="eastAsia"/>
          <w:color w:val="auto"/>
          <w:highlight w:val="none"/>
        </w:rPr>
        <w:t>（4）企业营业执照（联合体投标的，联合体各方均提供）；</w:t>
      </w:r>
    </w:p>
    <w:p>
      <w:pPr>
        <w:spacing w:line="360" w:lineRule="auto"/>
        <w:ind w:firstLine="420" w:firstLineChars="200"/>
        <w:rPr>
          <w:color w:val="auto"/>
          <w:highlight w:val="none"/>
        </w:rPr>
      </w:pPr>
      <w:r>
        <w:rPr>
          <w:rFonts w:hint="eastAsia"/>
          <w:color w:val="auto"/>
          <w:highlight w:val="none"/>
        </w:rPr>
        <w:t>（5）资质证书（联合体投标的，联合体各方均提供）；</w:t>
      </w:r>
    </w:p>
    <w:p>
      <w:pPr>
        <w:spacing w:line="360" w:lineRule="auto"/>
        <w:ind w:firstLine="420" w:firstLineChars="200"/>
        <w:rPr>
          <w:color w:val="auto"/>
          <w:highlight w:val="none"/>
        </w:rPr>
      </w:pPr>
      <w:r>
        <w:rPr>
          <w:rFonts w:hint="eastAsia"/>
          <w:color w:val="auto"/>
          <w:highlight w:val="none"/>
        </w:rPr>
        <w:t>（6）安全生产许可证（联合体投标的，联合体主办方提供）；</w:t>
      </w:r>
    </w:p>
    <w:p>
      <w:pPr>
        <w:spacing w:line="360" w:lineRule="auto"/>
        <w:ind w:firstLine="420" w:firstLineChars="200"/>
        <w:rPr>
          <w:color w:val="auto"/>
          <w:highlight w:val="none"/>
        </w:rPr>
      </w:pPr>
      <w:r>
        <w:rPr>
          <w:rFonts w:hint="eastAsia"/>
          <w:color w:val="auto"/>
          <w:highlight w:val="none"/>
        </w:rPr>
        <w:t>（7）工程总承包项目负责人（兼施工负责人，以投标登记时选取的项目负责人为准）</w:t>
      </w:r>
      <w:r>
        <w:rPr>
          <w:rFonts w:hint="eastAsia" w:ascii="宋体" w:hAnsi="宋体"/>
          <w:color w:val="auto"/>
          <w:szCs w:val="21"/>
          <w:highlight w:val="none"/>
        </w:rPr>
        <w:t>有效期内的注册建造师注册证书在广州市住建行业信用平台内上传件（注：打印建造师电子证书后，应在个人签名处手写本人签名再上传广州市住建行业信用平台，上传件未手写签名或与签名图像笔迹不一致的，该电子证书无效），安全生产考核合格证（B证）或建筑施工企业项目负责人安全生产考核合格证在广州市住建行业信用管理平台内上传件</w:t>
      </w:r>
      <w:r>
        <w:rPr>
          <w:rFonts w:hint="eastAsia"/>
          <w:color w:val="auto"/>
          <w:highlight w:val="none"/>
        </w:rPr>
        <w:t>；</w:t>
      </w:r>
    </w:p>
    <w:p>
      <w:pPr>
        <w:spacing w:line="360" w:lineRule="auto"/>
        <w:ind w:firstLine="420" w:firstLineChars="200"/>
        <w:rPr>
          <w:color w:val="auto"/>
          <w:highlight w:val="none"/>
        </w:rPr>
      </w:pPr>
      <w:r>
        <w:rPr>
          <w:rFonts w:hint="eastAsia"/>
          <w:color w:val="auto"/>
          <w:highlight w:val="none"/>
        </w:rPr>
        <w:t>（8）设计负责人（联合体设计成员提供，以投标登记时选取的设计负责人为准）的注册执业证书；</w:t>
      </w:r>
    </w:p>
    <w:p>
      <w:pPr>
        <w:spacing w:line="360" w:lineRule="auto"/>
        <w:ind w:firstLine="420" w:firstLineChars="200"/>
        <w:rPr>
          <w:color w:val="auto"/>
          <w:highlight w:val="none"/>
        </w:rPr>
      </w:pPr>
      <w:r>
        <w:rPr>
          <w:rFonts w:hint="eastAsia"/>
          <w:color w:val="auto"/>
          <w:highlight w:val="none"/>
        </w:rPr>
        <w:t>（9）投标人（或联合体主办方）拟派技术负责人职称证书；</w:t>
      </w:r>
    </w:p>
    <w:p>
      <w:pPr>
        <w:spacing w:line="360" w:lineRule="auto"/>
        <w:ind w:firstLine="420" w:firstLineChars="200"/>
        <w:rPr>
          <w:color w:val="auto"/>
          <w:highlight w:val="none"/>
        </w:rPr>
      </w:pPr>
      <w:r>
        <w:rPr>
          <w:rFonts w:hint="eastAsia"/>
          <w:color w:val="auto"/>
          <w:highlight w:val="none"/>
        </w:rPr>
        <w:t>（10）</w:t>
      </w:r>
      <w:r>
        <w:rPr>
          <w:rFonts w:hint="eastAsia" w:ascii="宋体" w:hAnsi="宋体" w:cs="宋体"/>
          <w:color w:val="auto"/>
          <w:szCs w:val="21"/>
          <w:highlight w:val="none"/>
        </w:rPr>
        <w:t>投标人（或联合体主办方）拟派专职安全员（以投标登记时选取的专职安全员为准）须具有在有效期内的安全生产考核合格证（</w:t>
      </w:r>
      <w:r>
        <w:rPr>
          <w:rFonts w:ascii="宋体" w:hAnsi="宋体" w:cs="宋体"/>
          <w:color w:val="auto"/>
          <w:szCs w:val="21"/>
          <w:highlight w:val="none"/>
          <w:u w:val="single"/>
        </w:rPr>
        <w:t>C类</w:t>
      </w:r>
      <w:r>
        <w:rPr>
          <w:rFonts w:hint="eastAsia" w:ascii="宋体" w:hAnsi="宋体" w:cs="宋体"/>
          <w:color w:val="auto"/>
          <w:szCs w:val="21"/>
          <w:highlight w:val="none"/>
        </w:rPr>
        <w:t>）或建筑施工企业专职安全生产管理人员安全生产考核合格证书（</w:t>
      </w:r>
      <w:r>
        <w:rPr>
          <w:rFonts w:ascii="宋体" w:hAnsi="宋体" w:cs="宋体"/>
          <w:color w:val="auto"/>
          <w:szCs w:val="21"/>
          <w:highlight w:val="none"/>
          <w:u w:val="single"/>
        </w:rPr>
        <w:t>C3类</w:t>
      </w:r>
      <w:r>
        <w:rPr>
          <w:rFonts w:hint="eastAsia" w:ascii="宋体" w:hAnsi="宋体" w:cs="宋体"/>
          <w:color w:val="auto"/>
          <w:szCs w:val="21"/>
          <w:highlight w:val="none"/>
        </w:rPr>
        <w:t>）在广州市住建行业信用管理平台内上传件。</w:t>
      </w:r>
      <w:r>
        <w:rPr>
          <w:rFonts w:hint="eastAsia"/>
          <w:color w:val="auto"/>
          <w:highlight w:val="none"/>
        </w:rPr>
        <w:t>；</w:t>
      </w:r>
    </w:p>
    <w:p>
      <w:pPr>
        <w:spacing w:line="360" w:lineRule="auto"/>
        <w:ind w:firstLine="420" w:firstLineChars="200"/>
        <w:rPr>
          <w:color w:val="auto"/>
          <w:highlight w:val="none"/>
        </w:rPr>
      </w:pPr>
      <w:r>
        <w:rPr>
          <w:rFonts w:hint="eastAsia"/>
          <w:color w:val="auto"/>
          <w:highlight w:val="none"/>
        </w:rPr>
        <w:t>（11）按招标公告附件一盖章签署的《投标人声明》；</w:t>
      </w:r>
    </w:p>
    <w:p>
      <w:pPr>
        <w:spacing w:line="360" w:lineRule="auto"/>
        <w:ind w:firstLine="420" w:firstLineChars="200"/>
        <w:rPr>
          <w:color w:val="auto"/>
          <w:highlight w:val="none"/>
        </w:rPr>
      </w:pPr>
      <w:r>
        <w:rPr>
          <w:rFonts w:hint="eastAsia"/>
          <w:color w:val="auto"/>
          <w:highlight w:val="none"/>
        </w:rPr>
        <w:t>（12）按招标公告附件二盖章签署的联合体投标协议书（如有）；</w:t>
      </w:r>
    </w:p>
    <w:p>
      <w:pPr>
        <w:spacing w:line="360" w:lineRule="auto"/>
        <w:ind w:firstLine="420" w:firstLineChars="200"/>
        <w:rPr>
          <w:rFonts w:hint="eastAsia"/>
          <w:color w:val="auto"/>
          <w:highlight w:val="none"/>
        </w:rPr>
      </w:pPr>
      <w:r>
        <w:rPr>
          <w:rFonts w:hint="eastAsia"/>
          <w:color w:val="auto"/>
          <w:highlight w:val="none"/>
        </w:rPr>
        <w:t>（13）资格审查前，投标人（含联合体各方）须在广州市住房和城乡建设局建立企业信用档案及拟担任本工程的工程总承包项目负责人（兼施工负责人）、设计负责人、技术负责人、专职安全员须是投标人信用档案中的在册人员（联合体投标的，信用备案和人员在册情况为联合体协议分工对应广州市住房和城乡建设局信用管理平台内信息）（企业信用档案取自投标截止时间投标人在广州市住房和城乡建设局信用管理平台内的信息，投标人无需提交相关资料）；</w:t>
      </w:r>
    </w:p>
    <w:p>
      <w:pPr>
        <w:spacing w:line="360" w:lineRule="auto"/>
        <w:ind w:firstLine="420" w:firstLineChars="200"/>
        <w:rPr>
          <w:rStyle w:val="20"/>
          <w:highlight w:val="none"/>
          <w:lang w:val="zh-CN"/>
        </w:rPr>
      </w:pPr>
      <w:r>
        <w:rPr>
          <w:rFonts w:hint="eastAsia"/>
          <w:color w:val="auto"/>
          <w:highlight w:val="none"/>
        </w:rPr>
        <w:t>（14）投标人认为应该提供的其他资料。</w:t>
      </w:r>
    </w:p>
    <w:p>
      <w:pPr>
        <w:spacing w:line="360" w:lineRule="auto"/>
        <w:ind w:firstLine="420" w:firstLineChars="200"/>
        <w:rPr>
          <w:rFonts w:hint="eastAsia"/>
          <w:color w:val="auto"/>
          <w:highlight w:val="none"/>
        </w:rPr>
      </w:pPr>
      <w:r>
        <w:rPr>
          <w:rFonts w:hint="eastAsia"/>
          <w:color w:val="auto"/>
          <w:highlight w:val="none"/>
        </w:rPr>
        <w:t>（15）资格审查文件中的(7)、(10)、（13）取自广州市住建行业信用管理平台，投标人信用管理平台中记录的该部分上传件将被视为投标人递交投标文件的一部分，不需重复提交。评标委员会对该部分资料的审查将以投标截止时间在广州市住建行业信用管理平台内上传件为依据。若招标人延长投标截止时间的，以上资料的评审时点也相应延长。投标人应及时维护其在广州市住建行业信用管理平台登记的信息及上传件，确保各项信息及上传件在有效期内。</w:t>
      </w:r>
    </w:p>
    <w:p>
      <w:pPr>
        <w:spacing w:line="360" w:lineRule="auto"/>
        <w:ind w:firstLine="420" w:firstLineChars="200"/>
        <w:rPr>
          <w:color w:val="auto"/>
          <w:highlight w:val="none"/>
        </w:rPr>
      </w:pPr>
      <w:r>
        <w:rPr>
          <w:rFonts w:hint="eastAsia"/>
          <w:color w:val="auto"/>
          <w:highlight w:val="none"/>
        </w:rPr>
        <w:t>3.1.3设计方案文件</w:t>
      </w:r>
    </w:p>
    <w:p>
      <w:pPr>
        <w:spacing w:line="360" w:lineRule="auto"/>
        <w:ind w:firstLine="420" w:firstLineChars="200"/>
        <w:rPr>
          <w:rFonts w:hint="eastAsia"/>
          <w:color w:val="auto"/>
          <w:highlight w:val="none"/>
        </w:rPr>
      </w:pPr>
      <w:r>
        <w:rPr>
          <w:rFonts w:hint="eastAsia"/>
          <w:color w:val="auto"/>
          <w:highlight w:val="none"/>
        </w:rPr>
        <w:t>设计方案评审采用“暗标”形式，不得出现可以辨认投标人及专业技术人员身份的名称、印章、商标、图形等记认符号，也不得通过明标、暗标中包含的相同内容（如报价等）互相印证、辨认投标人身份，应包含但不限于以下内容:</w:t>
      </w:r>
    </w:p>
    <w:p>
      <w:pPr>
        <w:spacing w:line="360" w:lineRule="auto"/>
        <w:ind w:firstLine="420" w:firstLineChars="200"/>
        <w:rPr>
          <w:rFonts w:hint="eastAsia"/>
          <w:color w:val="auto"/>
          <w:highlight w:val="none"/>
        </w:rPr>
      </w:pPr>
      <w:r>
        <w:rPr>
          <w:rFonts w:hint="eastAsia"/>
          <w:color w:val="auto"/>
          <w:highlight w:val="none"/>
        </w:rPr>
        <w:t>（1）封面；</w:t>
      </w:r>
    </w:p>
    <w:p>
      <w:pPr>
        <w:spacing w:line="360" w:lineRule="auto"/>
        <w:ind w:firstLine="420" w:firstLineChars="200"/>
        <w:rPr>
          <w:rFonts w:hint="eastAsia"/>
          <w:color w:val="auto"/>
          <w:highlight w:val="none"/>
        </w:rPr>
      </w:pPr>
      <w:r>
        <w:rPr>
          <w:rFonts w:hint="eastAsia"/>
          <w:color w:val="auto"/>
          <w:highlight w:val="none"/>
        </w:rPr>
        <w:t>（2）目录；</w:t>
      </w:r>
    </w:p>
    <w:p>
      <w:pPr>
        <w:spacing w:line="360" w:lineRule="auto"/>
        <w:ind w:firstLine="420" w:firstLineChars="200"/>
        <w:rPr>
          <w:rFonts w:hint="eastAsia"/>
          <w:color w:val="auto"/>
          <w:highlight w:val="none"/>
        </w:rPr>
      </w:pPr>
      <w:r>
        <w:rPr>
          <w:rFonts w:hint="eastAsia"/>
          <w:color w:val="auto"/>
          <w:highlight w:val="none"/>
        </w:rPr>
        <w:t>（3）设计说明书；</w:t>
      </w:r>
    </w:p>
    <w:p>
      <w:pPr>
        <w:spacing w:line="360" w:lineRule="auto"/>
        <w:ind w:firstLine="420" w:firstLineChars="200"/>
        <w:rPr>
          <w:rFonts w:hint="eastAsia"/>
          <w:color w:val="auto"/>
          <w:highlight w:val="none"/>
        </w:rPr>
      </w:pPr>
      <w:r>
        <w:rPr>
          <w:rFonts w:hint="eastAsia"/>
          <w:color w:val="auto"/>
          <w:highlight w:val="none"/>
        </w:rPr>
        <w:t>（4）设计方案；</w:t>
      </w:r>
    </w:p>
    <w:p>
      <w:pPr>
        <w:spacing w:line="360" w:lineRule="auto"/>
        <w:ind w:firstLine="420" w:firstLineChars="200"/>
        <w:rPr>
          <w:rFonts w:hint="eastAsia"/>
          <w:color w:val="auto"/>
          <w:highlight w:val="none"/>
        </w:rPr>
      </w:pPr>
      <w:r>
        <w:rPr>
          <w:rFonts w:hint="eastAsia"/>
          <w:color w:val="auto"/>
          <w:highlight w:val="none"/>
        </w:rPr>
        <w:t>（5）设计图纸（含概念方案设计图）；</w:t>
      </w:r>
    </w:p>
    <w:p>
      <w:pPr>
        <w:spacing w:line="360" w:lineRule="auto"/>
        <w:ind w:firstLine="420" w:firstLineChars="200"/>
        <w:rPr>
          <w:rFonts w:hint="eastAsia"/>
          <w:color w:val="auto"/>
          <w:highlight w:val="none"/>
        </w:rPr>
      </w:pPr>
      <w:r>
        <w:rPr>
          <w:rFonts w:hint="eastAsia"/>
          <w:color w:val="auto"/>
          <w:highlight w:val="none"/>
        </w:rPr>
        <w:t>（6）《工期计划表》（方案设计、初步设计及概算、施工图设计的总工时和工期）；</w:t>
      </w:r>
    </w:p>
    <w:p>
      <w:pPr>
        <w:spacing w:line="360" w:lineRule="auto"/>
        <w:ind w:firstLine="420" w:firstLineChars="200"/>
        <w:rPr>
          <w:rFonts w:hint="eastAsia"/>
          <w:color w:val="auto"/>
          <w:highlight w:val="none"/>
        </w:rPr>
      </w:pPr>
      <w:r>
        <w:rPr>
          <w:rFonts w:hint="eastAsia"/>
          <w:color w:val="auto"/>
          <w:highlight w:val="none"/>
        </w:rPr>
        <w:t>（7）投标人认为有必要提供的其他资料。</w:t>
      </w:r>
    </w:p>
    <w:p>
      <w:pPr>
        <w:spacing w:line="360" w:lineRule="auto"/>
        <w:ind w:firstLine="420" w:firstLineChars="200"/>
        <w:rPr>
          <w:rFonts w:hint="eastAsia"/>
          <w:color w:val="auto"/>
          <w:highlight w:val="none"/>
          <w:u w:val="single"/>
        </w:rPr>
      </w:pPr>
      <w:r>
        <w:rPr>
          <w:rFonts w:hint="eastAsia"/>
          <w:color w:val="auto"/>
          <w:highlight w:val="none"/>
          <w:u w:val="single"/>
        </w:rPr>
        <w:t>3.1.4工程总承包实施方案文件（含投标报价）（包括但不限于以下内容：）</w:t>
      </w:r>
    </w:p>
    <w:p>
      <w:pPr>
        <w:numPr>
          <w:ilvl w:val="0"/>
          <w:numId w:val="2"/>
        </w:numPr>
        <w:spacing w:line="360" w:lineRule="auto"/>
        <w:ind w:firstLine="420" w:firstLineChars="200"/>
        <w:rPr>
          <w:rFonts w:hint="eastAsia"/>
          <w:color w:val="auto"/>
          <w:highlight w:val="none"/>
          <w:u w:val="single"/>
        </w:rPr>
      </w:pPr>
      <w:r>
        <w:rPr>
          <w:rFonts w:hint="eastAsia"/>
          <w:color w:val="auto"/>
          <w:highlight w:val="none"/>
          <w:u w:val="single"/>
        </w:rPr>
        <w:t>封面；</w:t>
      </w:r>
    </w:p>
    <w:p>
      <w:pPr>
        <w:numPr>
          <w:ilvl w:val="0"/>
          <w:numId w:val="2"/>
        </w:numPr>
        <w:spacing w:line="360" w:lineRule="auto"/>
        <w:ind w:firstLine="420" w:firstLineChars="200"/>
        <w:rPr>
          <w:rFonts w:hint="eastAsia"/>
          <w:color w:val="auto"/>
          <w:highlight w:val="none"/>
          <w:u w:val="single"/>
        </w:rPr>
      </w:pPr>
      <w:r>
        <w:rPr>
          <w:rFonts w:hint="eastAsia"/>
          <w:color w:val="auto"/>
          <w:highlight w:val="none"/>
          <w:u w:val="single"/>
        </w:rPr>
        <w:t>目录；</w:t>
      </w:r>
    </w:p>
    <w:p>
      <w:pPr>
        <w:numPr>
          <w:ilvl w:val="0"/>
          <w:numId w:val="2"/>
        </w:numPr>
        <w:spacing w:line="360" w:lineRule="auto"/>
        <w:ind w:firstLine="420" w:firstLineChars="200"/>
        <w:rPr>
          <w:rFonts w:hint="eastAsia"/>
          <w:color w:val="auto"/>
          <w:highlight w:val="none"/>
          <w:u w:val="single"/>
        </w:rPr>
      </w:pPr>
      <w:r>
        <w:rPr>
          <w:rFonts w:hint="eastAsia"/>
          <w:color w:val="auto"/>
          <w:highlight w:val="none"/>
          <w:u w:val="single"/>
        </w:rPr>
        <w:t>投标书(按招标文件格式2要求填写)；</w:t>
      </w:r>
    </w:p>
    <w:p>
      <w:pPr>
        <w:numPr>
          <w:ilvl w:val="0"/>
          <w:numId w:val="2"/>
        </w:numPr>
        <w:spacing w:line="360" w:lineRule="auto"/>
        <w:ind w:firstLine="420" w:firstLineChars="200"/>
        <w:rPr>
          <w:rFonts w:hint="eastAsia"/>
          <w:color w:val="auto"/>
          <w:highlight w:val="none"/>
          <w:u w:val="single"/>
        </w:rPr>
      </w:pPr>
      <w:r>
        <w:rPr>
          <w:rFonts w:hint="eastAsia"/>
          <w:color w:val="auto"/>
          <w:highlight w:val="none"/>
          <w:u w:val="single"/>
        </w:rPr>
        <w:t>投标承诺函（按招标文件格式3要求填写)；</w:t>
      </w:r>
    </w:p>
    <w:p>
      <w:pPr>
        <w:numPr>
          <w:ilvl w:val="0"/>
          <w:numId w:val="2"/>
        </w:numPr>
        <w:spacing w:line="360" w:lineRule="auto"/>
        <w:ind w:firstLine="420" w:firstLineChars="200"/>
        <w:rPr>
          <w:rFonts w:hint="eastAsia"/>
          <w:color w:val="auto"/>
          <w:highlight w:val="none"/>
          <w:u w:val="single"/>
        </w:rPr>
      </w:pPr>
      <w:r>
        <w:rPr>
          <w:rFonts w:hint="eastAsia"/>
          <w:color w:val="auto"/>
          <w:highlight w:val="none"/>
          <w:u w:val="single"/>
        </w:rPr>
        <w:t>投标文件编制人员名单（按招标文件提供的格式5填写)；</w:t>
      </w:r>
    </w:p>
    <w:p>
      <w:pPr>
        <w:numPr>
          <w:ilvl w:val="0"/>
          <w:numId w:val="2"/>
        </w:numPr>
        <w:spacing w:line="360" w:lineRule="auto"/>
        <w:ind w:firstLine="420" w:firstLineChars="200"/>
        <w:rPr>
          <w:rFonts w:hint="eastAsia"/>
          <w:color w:val="auto"/>
          <w:highlight w:val="none"/>
          <w:u w:val="single"/>
        </w:rPr>
      </w:pPr>
      <w:r>
        <w:rPr>
          <w:rFonts w:hint="eastAsia"/>
          <w:color w:val="auto"/>
          <w:highlight w:val="none"/>
          <w:u w:val="single"/>
        </w:rPr>
        <w:t>工程总承包项目管理团队人员信息表（按招标文件格式6要求填写)</w:t>
      </w:r>
    </w:p>
    <w:p>
      <w:pPr>
        <w:numPr>
          <w:ilvl w:val="0"/>
          <w:numId w:val="2"/>
        </w:numPr>
        <w:spacing w:line="360" w:lineRule="auto"/>
        <w:ind w:firstLine="420" w:firstLineChars="200"/>
        <w:rPr>
          <w:rFonts w:hint="eastAsia"/>
          <w:color w:val="auto"/>
          <w:highlight w:val="none"/>
          <w:u w:val="single"/>
        </w:rPr>
      </w:pPr>
      <w:r>
        <w:rPr>
          <w:rFonts w:hint="eastAsia"/>
          <w:color w:val="auto"/>
          <w:highlight w:val="none"/>
          <w:u w:val="single"/>
        </w:rPr>
        <w:t>拟投入本项目主要负责人员简历表（按招标文件格式7要求填写)；</w:t>
      </w:r>
    </w:p>
    <w:p>
      <w:pPr>
        <w:numPr>
          <w:ilvl w:val="0"/>
          <w:numId w:val="2"/>
        </w:numPr>
        <w:spacing w:line="360" w:lineRule="auto"/>
        <w:ind w:firstLine="420" w:firstLineChars="200"/>
        <w:rPr>
          <w:rFonts w:hint="eastAsia"/>
          <w:color w:val="auto"/>
          <w:highlight w:val="none"/>
          <w:u w:val="single"/>
        </w:rPr>
      </w:pPr>
      <w:r>
        <w:rPr>
          <w:rFonts w:hint="eastAsia"/>
          <w:color w:val="auto"/>
          <w:highlight w:val="none"/>
          <w:u w:val="single"/>
        </w:rPr>
        <w:t>资信部分（按评分表要求结合企业自身实力提供）；</w:t>
      </w:r>
    </w:p>
    <w:p>
      <w:pPr>
        <w:numPr>
          <w:ilvl w:val="0"/>
          <w:numId w:val="2"/>
        </w:numPr>
        <w:spacing w:line="360" w:lineRule="auto"/>
        <w:ind w:firstLine="420" w:firstLineChars="200"/>
        <w:rPr>
          <w:rFonts w:hint="eastAsia"/>
          <w:color w:val="auto"/>
          <w:highlight w:val="none"/>
          <w:u w:val="single"/>
        </w:rPr>
      </w:pPr>
      <w:r>
        <w:rPr>
          <w:rFonts w:hint="eastAsia"/>
          <w:color w:val="auto"/>
          <w:highlight w:val="none"/>
          <w:u w:val="single"/>
        </w:rPr>
        <w:t>工程实施方案；</w:t>
      </w:r>
    </w:p>
    <w:p>
      <w:pPr>
        <w:numPr>
          <w:ilvl w:val="0"/>
          <w:numId w:val="2"/>
        </w:numPr>
        <w:spacing w:line="360" w:lineRule="auto"/>
        <w:ind w:firstLine="420" w:firstLineChars="200"/>
        <w:rPr>
          <w:rFonts w:hint="eastAsia"/>
          <w:color w:val="auto"/>
          <w:highlight w:val="none"/>
        </w:rPr>
      </w:pPr>
      <w:r>
        <w:rPr>
          <w:rFonts w:hint="eastAsia"/>
          <w:color w:val="auto"/>
          <w:highlight w:val="none"/>
          <w:u w:val="single"/>
        </w:rPr>
        <w:t>投标人认为应该提供的其他资料。</w:t>
      </w:r>
    </w:p>
    <w:p>
      <w:pPr>
        <w:pStyle w:val="4"/>
        <w:rPr>
          <w:color w:val="auto"/>
          <w:highlight w:val="none"/>
        </w:rPr>
      </w:pPr>
      <w:bookmarkStart w:id="176" w:name="_Toc152045548"/>
      <w:bookmarkStart w:id="177" w:name="_Toc24519"/>
      <w:bookmarkStart w:id="178" w:name="_Toc32322"/>
      <w:bookmarkStart w:id="179" w:name="_Toc247527573"/>
      <w:bookmarkStart w:id="180" w:name="_Toc144974516"/>
      <w:bookmarkStart w:id="181" w:name="_Toc247513972"/>
      <w:bookmarkStart w:id="182" w:name="_Toc152042324"/>
      <w:r>
        <w:rPr>
          <w:rFonts w:hint="eastAsia" w:ascii="Times New Roman" w:hAnsi="Times New Roman"/>
          <w:color w:val="auto"/>
          <w:highlight w:val="none"/>
        </w:rPr>
        <w:t>3.2</w:t>
      </w:r>
      <w:r>
        <w:rPr>
          <w:rFonts w:hint="eastAsia"/>
          <w:color w:val="auto"/>
          <w:highlight w:val="none"/>
        </w:rPr>
        <w:t xml:space="preserve"> 投标报价</w:t>
      </w:r>
      <w:bookmarkEnd w:id="176"/>
      <w:bookmarkEnd w:id="177"/>
      <w:bookmarkEnd w:id="178"/>
      <w:bookmarkEnd w:id="179"/>
      <w:bookmarkEnd w:id="180"/>
      <w:bookmarkEnd w:id="181"/>
      <w:bookmarkEnd w:id="182"/>
      <w:r>
        <w:rPr>
          <w:rFonts w:hint="eastAsia"/>
          <w:color w:val="auto"/>
          <w:highlight w:val="none"/>
        </w:rPr>
        <w:t xml:space="preserve"> </w:t>
      </w:r>
    </w:p>
    <w:p>
      <w:pPr>
        <w:spacing w:line="400" w:lineRule="exact"/>
        <w:ind w:firstLine="420" w:firstLineChars="200"/>
        <w:rPr>
          <w:color w:val="auto"/>
          <w:highlight w:val="none"/>
        </w:rPr>
      </w:pPr>
      <w:r>
        <w:rPr>
          <w:rFonts w:hint="eastAsia"/>
          <w:color w:val="auto"/>
          <w:highlight w:val="none"/>
        </w:rPr>
        <w:t>3.2.1 投标人应按第七章“投标文件格式”的要求填写价格清单。</w:t>
      </w:r>
    </w:p>
    <w:p>
      <w:pPr>
        <w:spacing w:line="440" w:lineRule="exact"/>
        <w:ind w:firstLine="420" w:firstLineChars="200"/>
        <w:rPr>
          <w:color w:val="auto"/>
          <w:szCs w:val="21"/>
          <w:highlight w:val="none"/>
        </w:rPr>
      </w:pPr>
      <w:r>
        <w:rPr>
          <w:rFonts w:hint="eastAsia"/>
          <w:color w:val="auto"/>
          <w:highlight w:val="none"/>
        </w:rPr>
        <w:t xml:space="preserve">3.2.2 </w:t>
      </w:r>
      <w:r>
        <w:rPr>
          <w:rFonts w:hint="eastAsia"/>
          <w:color w:val="auto"/>
          <w:szCs w:val="21"/>
          <w:highlight w:val="none"/>
        </w:rPr>
        <w:t>投标人应充分了解施工场地的</w:t>
      </w:r>
      <w:r>
        <w:rPr>
          <w:color w:val="auto"/>
          <w:szCs w:val="21"/>
          <w:highlight w:val="none"/>
        </w:rPr>
        <w:t>位置、周边</w:t>
      </w:r>
      <w:r>
        <w:rPr>
          <w:rFonts w:hint="eastAsia"/>
          <w:color w:val="auto"/>
          <w:szCs w:val="21"/>
          <w:highlight w:val="none"/>
        </w:rPr>
        <w:t>环境</w:t>
      </w:r>
      <w:r>
        <w:rPr>
          <w:color w:val="auto"/>
          <w:szCs w:val="21"/>
          <w:highlight w:val="none"/>
        </w:rPr>
        <w:t>、道路、装卸、保管、安装限制</w:t>
      </w:r>
      <w:r>
        <w:rPr>
          <w:rFonts w:hint="eastAsia"/>
          <w:color w:val="auto"/>
          <w:szCs w:val="21"/>
          <w:highlight w:val="none"/>
        </w:rPr>
        <w:t>以</w:t>
      </w:r>
      <w:r>
        <w:rPr>
          <w:color w:val="auto"/>
          <w:szCs w:val="21"/>
          <w:highlight w:val="none"/>
        </w:rPr>
        <w:t>及影响</w:t>
      </w:r>
      <w:r>
        <w:rPr>
          <w:rFonts w:hint="eastAsia"/>
          <w:color w:val="auto"/>
          <w:szCs w:val="21"/>
          <w:highlight w:val="none"/>
        </w:rPr>
        <w:t>投标报价的其他要素。投标人</w:t>
      </w:r>
      <w:r>
        <w:rPr>
          <w:color w:val="auto"/>
          <w:szCs w:val="21"/>
          <w:highlight w:val="none"/>
        </w:rPr>
        <w:t>根据</w:t>
      </w:r>
      <w:r>
        <w:rPr>
          <w:rFonts w:hint="eastAsia"/>
          <w:color w:val="auto"/>
          <w:szCs w:val="21"/>
          <w:highlight w:val="none"/>
        </w:rPr>
        <w:t>投标</w:t>
      </w:r>
      <w:r>
        <w:rPr>
          <w:color w:val="auto"/>
          <w:szCs w:val="21"/>
          <w:highlight w:val="none"/>
        </w:rPr>
        <w:t>设计</w:t>
      </w:r>
      <w:r>
        <w:rPr>
          <w:rFonts w:hint="eastAsia"/>
          <w:color w:val="auto"/>
          <w:szCs w:val="21"/>
          <w:highlight w:val="none"/>
        </w:rPr>
        <w:t>，结合</w:t>
      </w:r>
      <w:r>
        <w:rPr>
          <w:color w:val="auto"/>
          <w:szCs w:val="21"/>
          <w:highlight w:val="none"/>
        </w:rPr>
        <w:t>市场情况进行投标报价。</w:t>
      </w:r>
    </w:p>
    <w:p>
      <w:pPr>
        <w:spacing w:line="400" w:lineRule="exact"/>
        <w:ind w:firstLine="420" w:firstLineChars="200"/>
        <w:rPr>
          <w:color w:val="auto"/>
          <w:highlight w:val="none"/>
        </w:rPr>
      </w:pPr>
      <w:r>
        <w:rPr>
          <w:rFonts w:hint="eastAsia"/>
          <w:color w:val="auto"/>
          <w:highlight w:val="none"/>
        </w:rPr>
        <w:t>3.2.3 投标人在投标截止时间前修改投标函中的投标报价总额，应同时修改投标文件“价格清单”中的相应报价，投标报价总额为各分项金额之和。此修改须符合本章第4.3款的有关要求。</w:t>
      </w:r>
    </w:p>
    <w:p>
      <w:pPr>
        <w:spacing w:line="400" w:lineRule="exact"/>
        <w:ind w:firstLine="420" w:firstLineChars="200"/>
        <w:rPr>
          <w:rFonts w:hint="eastAsia"/>
          <w:color w:val="auto"/>
          <w:highlight w:val="none"/>
        </w:rPr>
      </w:pPr>
      <w:r>
        <w:rPr>
          <w:rFonts w:hint="eastAsia"/>
          <w:color w:val="auto"/>
          <w:highlight w:val="none"/>
        </w:rPr>
        <w:t>3.2.4 招标人设有最高投标限价的，投标人的投标报价不得超过最高投标限价，最高投标限价或其计算方法在投标人须知前附表中载明。</w:t>
      </w:r>
    </w:p>
    <w:p>
      <w:pPr>
        <w:spacing w:line="400" w:lineRule="exact"/>
        <w:ind w:firstLine="420" w:firstLineChars="200"/>
        <w:rPr>
          <w:color w:val="auto"/>
          <w:highlight w:val="none"/>
        </w:rPr>
      </w:pPr>
      <w:r>
        <w:rPr>
          <w:rFonts w:hint="eastAsia"/>
          <w:color w:val="auto"/>
          <w:highlight w:val="none"/>
        </w:rPr>
        <w:t>3.2.5 投标报价的其他要求见投标人须知前附表。</w:t>
      </w:r>
    </w:p>
    <w:p>
      <w:pPr>
        <w:pStyle w:val="4"/>
        <w:rPr>
          <w:color w:val="auto"/>
          <w:highlight w:val="none"/>
        </w:rPr>
      </w:pPr>
      <w:bookmarkStart w:id="183" w:name="_Toc247513973"/>
      <w:bookmarkStart w:id="184" w:name="_Toc152045549"/>
      <w:bookmarkStart w:id="185" w:name="_Toc31142"/>
      <w:bookmarkStart w:id="186" w:name="_Toc144974517"/>
      <w:bookmarkStart w:id="187" w:name="_Toc152042325"/>
      <w:bookmarkStart w:id="188" w:name="_Toc13756"/>
      <w:bookmarkStart w:id="189" w:name="_Toc247527574"/>
      <w:r>
        <w:rPr>
          <w:rFonts w:hint="eastAsia" w:ascii="Times New Roman" w:hAnsi="Times New Roman"/>
          <w:color w:val="auto"/>
          <w:highlight w:val="none"/>
        </w:rPr>
        <w:t>3.3</w:t>
      </w:r>
      <w:r>
        <w:rPr>
          <w:rFonts w:hint="eastAsia"/>
          <w:color w:val="auto"/>
          <w:highlight w:val="none"/>
        </w:rPr>
        <w:t xml:space="preserve"> 投标有效期</w:t>
      </w:r>
      <w:bookmarkEnd w:id="183"/>
      <w:bookmarkEnd w:id="184"/>
      <w:bookmarkEnd w:id="185"/>
      <w:bookmarkEnd w:id="186"/>
      <w:bookmarkEnd w:id="187"/>
      <w:bookmarkEnd w:id="188"/>
      <w:bookmarkEnd w:id="189"/>
    </w:p>
    <w:p>
      <w:pPr>
        <w:spacing w:line="400" w:lineRule="exact"/>
        <w:ind w:firstLine="420" w:firstLineChars="200"/>
        <w:rPr>
          <w:color w:val="auto"/>
          <w:highlight w:val="none"/>
        </w:rPr>
      </w:pPr>
      <w:r>
        <w:rPr>
          <w:rFonts w:hint="eastAsia"/>
          <w:color w:val="auto"/>
          <w:highlight w:val="none"/>
        </w:rPr>
        <w:t>3.3.1 除投标人须知前附表另有规定外，投标有效期为120天。</w:t>
      </w:r>
    </w:p>
    <w:p>
      <w:pPr>
        <w:spacing w:line="400" w:lineRule="exact"/>
        <w:ind w:firstLine="420" w:firstLineChars="200"/>
        <w:rPr>
          <w:color w:val="auto"/>
          <w:highlight w:val="none"/>
        </w:rPr>
      </w:pPr>
      <w:r>
        <w:rPr>
          <w:rFonts w:hint="eastAsia"/>
          <w:color w:val="auto"/>
          <w:highlight w:val="none"/>
        </w:rPr>
        <w:t>3.3.2 在投标有效期内，投标人撤销或修改其投标文件的，应承担招标文件和法律规定的责任。</w:t>
      </w:r>
    </w:p>
    <w:p>
      <w:pPr>
        <w:spacing w:line="400" w:lineRule="exact"/>
        <w:ind w:firstLine="420" w:firstLineChars="200"/>
        <w:rPr>
          <w:color w:val="auto"/>
          <w:highlight w:val="none"/>
        </w:rPr>
      </w:pPr>
      <w:r>
        <w:rPr>
          <w:rFonts w:hint="eastAsia"/>
          <w:color w:val="auto"/>
          <w:highlight w:val="none"/>
        </w:rPr>
        <w:t xml:space="preserve">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pPr>
        <w:pStyle w:val="4"/>
        <w:rPr>
          <w:strike/>
          <w:color w:val="auto"/>
          <w:highlight w:val="none"/>
        </w:rPr>
      </w:pPr>
      <w:bookmarkStart w:id="190" w:name="_Toc14863"/>
      <w:bookmarkStart w:id="191" w:name="_Toc152045550"/>
      <w:bookmarkStart w:id="192" w:name="_Toc152042326"/>
      <w:bookmarkStart w:id="193" w:name="_Toc18959"/>
      <w:bookmarkStart w:id="194" w:name="_Toc247527575"/>
      <w:bookmarkStart w:id="195" w:name="_Toc144974518"/>
      <w:bookmarkStart w:id="196" w:name="_Toc247513974"/>
      <w:r>
        <w:rPr>
          <w:rFonts w:hint="eastAsia" w:ascii="Times New Roman" w:hAnsi="Times New Roman"/>
          <w:strike/>
          <w:color w:val="auto"/>
          <w:highlight w:val="none"/>
        </w:rPr>
        <w:t>3.4</w:t>
      </w:r>
      <w:r>
        <w:rPr>
          <w:rFonts w:hint="eastAsia"/>
          <w:strike/>
          <w:color w:val="auto"/>
          <w:highlight w:val="none"/>
        </w:rPr>
        <w:t xml:space="preserve"> 投标保证金</w:t>
      </w:r>
      <w:bookmarkEnd w:id="190"/>
      <w:bookmarkEnd w:id="191"/>
      <w:bookmarkEnd w:id="192"/>
      <w:bookmarkEnd w:id="193"/>
      <w:bookmarkEnd w:id="194"/>
      <w:bookmarkEnd w:id="195"/>
      <w:bookmarkEnd w:id="196"/>
    </w:p>
    <w:p>
      <w:pPr>
        <w:spacing w:line="400" w:lineRule="exact"/>
        <w:ind w:firstLine="420" w:firstLineChars="200"/>
        <w:rPr>
          <w:strike/>
          <w:color w:val="auto"/>
          <w:highlight w:val="none"/>
        </w:rPr>
      </w:pPr>
      <w:r>
        <w:rPr>
          <w:rFonts w:hint="eastAsia"/>
          <w:strike/>
          <w:color w:val="auto"/>
          <w:highlight w:val="none"/>
        </w:rPr>
        <w:t xml:space="preserve">3.4.1 </w:t>
      </w:r>
      <w:r>
        <w:rPr>
          <w:rFonts w:hint="eastAsia"/>
          <w:strike/>
          <w:color w:val="auto"/>
          <w:highlight w:val="none"/>
          <w:u w:val="single"/>
        </w:rPr>
        <w:t>投标人在投标截止时间前，应按投标人须知前附表规定的金额、担保形式或第七章“投标文件格式”规定的投标担保格式递交投标担保，</w:t>
      </w:r>
      <w:r>
        <w:rPr>
          <w:rFonts w:hint="eastAsia"/>
          <w:strike/>
          <w:color w:val="auto"/>
          <w:highlight w:val="none"/>
        </w:rPr>
        <w:t>并作为其投标文件的组成部分。联合体投标的，其投标保证金由牵头人递交，并应符合投标人须知前附表的规定。</w:t>
      </w:r>
    </w:p>
    <w:p>
      <w:pPr>
        <w:spacing w:line="400" w:lineRule="exact"/>
        <w:ind w:firstLine="420" w:firstLineChars="200"/>
        <w:rPr>
          <w:strike/>
          <w:color w:val="auto"/>
          <w:highlight w:val="none"/>
        </w:rPr>
      </w:pPr>
      <w:r>
        <w:rPr>
          <w:rFonts w:hint="eastAsia"/>
          <w:strike/>
          <w:color w:val="auto"/>
          <w:highlight w:val="none"/>
        </w:rPr>
        <w:t>3.4.2 投标人不按本章第3.4.1项要求提交投标保证金的，评标委员会将否决其投标。</w:t>
      </w:r>
    </w:p>
    <w:p>
      <w:pPr>
        <w:spacing w:line="400" w:lineRule="exact"/>
        <w:ind w:firstLine="420" w:firstLineChars="200"/>
        <w:rPr>
          <w:strike/>
          <w:color w:val="auto"/>
          <w:highlight w:val="none"/>
        </w:rPr>
      </w:pPr>
      <w:r>
        <w:rPr>
          <w:rFonts w:hint="eastAsia"/>
          <w:strike/>
          <w:color w:val="auto"/>
          <w:highlight w:val="none"/>
        </w:rPr>
        <w:t>3.4.3 招标人与中标人签订合同后5日内，向未中标的投标人和中标人退还投标保证金及同期银行存款利息。</w:t>
      </w:r>
    </w:p>
    <w:p>
      <w:pPr>
        <w:spacing w:line="400" w:lineRule="exact"/>
        <w:ind w:firstLine="420" w:firstLineChars="200"/>
        <w:rPr>
          <w:strike/>
          <w:color w:val="auto"/>
          <w:highlight w:val="none"/>
        </w:rPr>
      </w:pPr>
      <w:r>
        <w:rPr>
          <w:rFonts w:hint="eastAsia"/>
          <w:strike/>
          <w:color w:val="auto"/>
          <w:highlight w:val="none"/>
        </w:rPr>
        <w:t xml:space="preserve">3.4.4 有下列情形之一的，投标保证金将不予退还： </w:t>
      </w:r>
    </w:p>
    <w:p>
      <w:pPr>
        <w:spacing w:line="400" w:lineRule="exact"/>
        <w:ind w:firstLine="315" w:firstLineChars="150"/>
        <w:rPr>
          <w:strike/>
          <w:color w:val="auto"/>
          <w:highlight w:val="none"/>
        </w:rPr>
      </w:pPr>
      <w:r>
        <w:rPr>
          <w:rFonts w:hint="eastAsia"/>
          <w:strike/>
          <w:color w:val="auto"/>
          <w:highlight w:val="none"/>
        </w:rPr>
        <w:t>（1）投标人在规定的投标有效期内撤销或修改其投标文件；</w:t>
      </w:r>
    </w:p>
    <w:p>
      <w:pPr>
        <w:spacing w:line="400" w:lineRule="exact"/>
        <w:ind w:firstLine="315" w:firstLineChars="150"/>
        <w:rPr>
          <w:strike/>
          <w:color w:val="auto"/>
          <w:highlight w:val="none"/>
        </w:rPr>
      </w:pPr>
      <w:r>
        <w:rPr>
          <w:rFonts w:hint="eastAsia"/>
          <w:strike/>
          <w:color w:val="auto"/>
          <w:highlight w:val="none"/>
        </w:rPr>
        <w:t>（2）中标人在收到中标通知书后，无正当理由拒签合同或未按招标文件规定提交履约担保。</w:t>
      </w:r>
    </w:p>
    <w:p>
      <w:pPr>
        <w:pStyle w:val="4"/>
        <w:rPr>
          <w:color w:val="auto"/>
          <w:highlight w:val="none"/>
        </w:rPr>
      </w:pPr>
      <w:bookmarkStart w:id="197" w:name="_Toc23374"/>
      <w:bookmarkStart w:id="198" w:name="_Toc247513976"/>
      <w:bookmarkStart w:id="199" w:name="_Toc152045552"/>
      <w:bookmarkStart w:id="200" w:name="_Toc247527577"/>
      <w:bookmarkStart w:id="201" w:name="_Toc152042328"/>
      <w:bookmarkStart w:id="202" w:name="_Toc23531"/>
      <w:bookmarkStart w:id="203" w:name="_Toc144974520"/>
      <w:r>
        <w:rPr>
          <w:rFonts w:hint="eastAsia" w:ascii="Times New Roman" w:hAnsi="Times New Roman"/>
          <w:color w:val="auto"/>
          <w:highlight w:val="none"/>
        </w:rPr>
        <w:t>3.5</w:t>
      </w:r>
      <w:r>
        <w:rPr>
          <w:rFonts w:hint="eastAsia"/>
          <w:color w:val="auto"/>
          <w:highlight w:val="none"/>
        </w:rPr>
        <w:t xml:space="preserve"> 资格审查资料</w:t>
      </w:r>
      <w:bookmarkEnd w:id="197"/>
      <w:bookmarkEnd w:id="198"/>
      <w:bookmarkEnd w:id="199"/>
      <w:bookmarkEnd w:id="200"/>
      <w:bookmarkEnd w:id="201"/>
      <w:bookmarkEnd w:id="202"/>
      <w:bookmarkEnd w:id="203"/>
    </w:p>
    <w:p>
      <w:pPr>
        <w:spacing w:line="400" w:lineRule="exact"/>
        <w:ind w:firstLine="420" w:firstLineChars="200"/>
        <w:rPr>
          <w:rFonts w:hint="eastAsia"/>
          <w:color w:val="auto"/>
          <w:highlight w:val="none"/>
          <w:u w:val="single"/>
        </w:rPr>
      </w:pPr>
      <w:r>
        <w:rPr>
          <w:rFonts w:hint="eastAsia"/>
          <w:color w:val="auto"/>
          <w:highlight w:val="none"/>
          <w:u w:val="single"/>
        </w:rPr>
        <w:t>本项目采用电子化资格后审，由评标委员会负责对投标人的资格进行审查，评标时只对通过资格审查的投标人进行下一阶段的评审。</w:t>
      </w:r>
    </w:p>
    <w:p>
      <w:pPr>
        <w:spacing w:line="400" w:lineRule="exact"/>
        <w:ind w:firstLine="422" w:firstLineChars="200"/>
        <w:rPr>
          <w:color w:val="auto"/>
          <w:highlight w:val="none"/>
          <w:u w:val="single"/>
        </w:rPr>
      </w:pPr>
      <w:r>
        <w:rPr>
          <w:rFonts w:hint="eastAsia"/>
          <w:b/>
          <w:bCs/>
          <w:color w:val="auto"/>
          <w:highlight w:val="none"/>
          <w:u w:val="single"/>
        </w:rPr>
        <w:t>资审合格后，投标人的资格发生变化而不满足投标人合格条件，在发出中标通知书前，资格问题仍未解决的，招标人将取消其中标资格。</w:t>
      </w:r>
    </w:p>
    <w:p>
      <w:pPr>
        <w:pStyle w:val="4"/>
        <w:rPr>
          <w:color w:val="auto"/>
          <w:highlight w:val="none"/>
        </w:rPr>
      </w:pPr>
      <w:bookmarkStart w:id="204" w:name="_Toc144974521"/>
      <w:bookmarkStart w:id="205" w:name="_Toc3155"/>
      <w:bookmarkStart w:id="206" w:name="_Toc247527578"/>
      <w:bookmarkStart w:id="207" w:name="_Toc27554"/>
      <w:bookmarkStart w:id="208" w:name="_Toc152045553"/>
      <w:bookmarkStart w:id="209" w:name="_Toc152042329"/>
      <w:bookmarkStart w:id="210" w:name="_Toc247513977"/>
      <w:r>
        <w:rPr>
          <w:rFonts w:hint="eastAsia" w:ascii="Times New Roman" w:hAnsi="Times New Roman"/>
          <w:color w:val="auto"/>
          <w:highlight w:val="none"/>
        </w:rPr>
        <w:t>3.6</w:t>
      </w:r>
      <w:r>
        <w:rPr>
          <w:rFonts w:hint="eastAsia"/>
          <w:color w:val="auto"/>
          <w:highlight w:val="none"/>
        </w:rPr>
        <w:t xml:space="preserve"> 备选投标方案</w:t>
      </w:r>
      <w:bookmarkEnd w:id="204"/>
      <w:bookmarkEnd w:id="205"/>
      <w:bookmarkEnd w:id="206"/>
      <w:bookmarkEnd w:id="207"/>
      <w:bookmarkEnd w:id="208"/>
      <w:bookmarkEnd w:id="209"/>
      <w:bookmarkEnd w:id="210"/>
    </w:p>
    <w:p>
      <w:pPr>
        <w:spacing w:line="400" w:lineRule="exact"/>
        <w:ind w:firstLine="420" w:firstLineChars="200"/>
        <w:rPr>
          <w:color w:val="auto"/>
          <w:highlight w:val="none"/>
        </w:rPr>
      </w:pPr>
      <w:r>
        <w:rPr>
          <w:rFonts w:hint="eastAsia"/>
          <w:color w:val="auto"/>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4"/>
        <w:rPr>
          <w:color w:val="auto"/>
          <w:highlight w:val="none"/>
        </w:rPr>
      </w:pPr>
      <w:bookmarkStart w:id="211" w:name="_Toc247527579"/>
      <w:bookmarkStart w:id="212" w:name="_Toc144974522"/>
      <w:bookmarkStart w:id="213" w:name="_Toc152045554"/>
      <w:bookmarkStart w:id="214" w:name="_Toc152042330"/>
      <w:bookmarkStart w:id="215" w:name="_Toc15348"/>
      <w:bookmarkStart w:id="216" w:name="_Toc247513978"/>
      <w:bookmarkStart w:id="217" w:name="_Toc4493"/>
      <w:r>
        <w:rPr>
          <w:rFonts w:hint="eastAsia" w:ascii="Times New Roman" w:hAnsi="Times New Roman"/>
          <w:color w:val="auto"/>
          <w:highlight w:val="none"/>
        </w:rPr>
        <w:t>3.7</w:t>
      </w:r>
      <w:r>
        <w:rPr>
          <w:rFonts w:hint="eastAsia"/>
          <w:color w:val="auto"/>
          <w:highlight w:val="none"/>
        </w:rPr>
        <w:t xml:space="preserve"> 投标文件的编制</w:t>
      </w:r>
      <w:bookmarkEnd w:id="211"/>
      <w:bookmarkEnd w:id="212"/>
      <w:bookmarkEnd w:id="213"/>
      <w:bookmarkEnd w:id="214"/>
      <w:bookmarkEnd w:id="215"/>
      <w:bookmarkEnd w:id="216"/>
      <w:bookmarkEnd w:id="217"/>
    </w:p>
    <w:p>
      <w:pPr>
        <w:spacing w:line="400" w:lineRule="exact"/>
        <w:ind w:firstLine="420" w:firstLineChars="200"/>
        <w:rPr>
          <w:color w:val="auto"/>
          <w:highlight w:val="none"/>
        </w:rPr>
      </w:pPr>
      <w:r>
        <w:rPr>
          <w:rFonts w:hint="eastAsia"/>
          <w:color w:val="auto"/>
          <w:highlight w:val="none"/>
        </w:rPr>
        <w:t>3.7.1 投标文件应按第七章“投标文件格式”进行编写，如有必要，可以增加附页，作为投标文件的组成部分。</w:t>
      </w:r>
      <w:r>
        <w:rPr>
          <w:rFonts w:hint="eastAsia"/>
          <w:color w:val="auto"/>
          <w:highlight w:val="none"/>
          <w:u w:val="single"/>
        </w:rPr>
        <w:t>其中，投标函附录在满足招标文件实质性要求的基础上，可以提出比招标文件要求更有利于招标人的承诺。</w:t>
      </w:r>
    </w:p>
    <w:p>
      <w:pPr>
        <w:spacing w:line="400" w:lineRule="exact"/>
        <w:ind w:firstLine="420" w:firstLineChars="200"/>
        <w:rPr>
          <w:color w:val="auto"/>
          <w:szCs w:val="21"/>
          <w:highlight w:val="none"/>
        </w:rPr>
      </w:pPr>
      <w:r>
        <w:rPr>
          <w:rFonts w:hint="eastAsia"/>
          <w:color w:val="auto"/>
          <w:highlight w:val="none"/>
        </w:rPr>
        <w:t>3.7.2 投标文件应当对招标文件有关</w:t>
      </w:r>
      <w:r>
        <w:rPr>
          <w:rFonts w:hint="eastAsia"/>
          <w:color w:val="auto"/>
          <w:szCs w:val="21"/>
          <w:highlight w:val="none"/>
        </w:rPr>
        <w:t>招标范围、投标有效期、工期、质量标准、发包人要求等实质性内容作出响应。</w:t>
      </w:r>
    </w:p>
    <w:p>
      <w:pPr>
        <w:spacing w:line="400" w:lineRule="exact"/>
        <w:ind w:firstLine="420" w:firstLineChars="200"/>
        <w:rPr>
          <w:rFonts w:hint="eastAsia"/>
          <w:color w:val="auto"/>
          <w:highlight w:val="none"/>
        </w:rPr>
      </w:pPr>
      <w:r>
        <w:rPr>
          <w:rFonts w:hint="eastAsia"/>
          <w:color w:val="auto"/>
          <w:highlight w:val="none"/>
        </w:rPr>
        <w:t>3.7.3投标文件编制要求：</w:t>
      </w:r>
    </w:p>
    <w:p>
      <w:pPr>
        <w:spacing w:line="360" w:lineRule="auto"/>
        <w:ind w:firstLine="420" w:firstLineChars="200"/>
        <w:rPr>
          <w:rFonts w:hint="eastAsia"/>
          <w:color w:val="auto"/>
          <w:highlight w:val="none"/>
          <w:u w:val="single"/>
        </w:rPr>
      </w:pPr>
      <w:r>
        <w:rPr>
          <w:rFonts w:hint="eastAsia"/>
          <w:color w:val="auto"/>
          <w:highlight w:val="none"/>
          <w:u w:val="single"/>
        </w:rPr>
        <w:t>由投标人的法定代表人签字或加盖电子印章的，应附法定代表人身份证明，由投标人的法定代表人授权代理人签字或盖章的，投标文件应附由法定代表人签署的授权委托书。投标文件应尽量避免涂改、行间插字或删除。如果出现上述情况，改动之处应加盖单位章或由投标人的法定代表人或其授权的代理人签字或盖章确认。签字或盖章的具体要求见投标人须知前附表。</w:t>
      </w:r>
    </w:p>
    <w:p>
      <w:pPr>
        <w:spacing w:line="360" w:lineRule="auto"/>
        <w:ind w:firstLine="420" w:firstLineChars="200"/>
        <w:rPr>
          <w:rFonts w:hint="eastAsia"/>
          <w:strike/>
          <w:color w:val="auto"/>
          <w:highlight w:val="none"/>
        </w:rPr>
      </w:pPr>
      <w:r>
        <w:rPr>
          <w:rFonts w:hint="eastAsia"/>
          <w:strike/>
          <w:color w:val="auto"/>
          <w:highlight w:val="none"/>
        </w:rPr>
        <w:t>3.7.4 投标文件正本一份, 副本份数见投标人须知前附表。正本和副本的封面上应清楚地标记“正本”或“副本”的字样。当副本和正本不一致时，以正本为准。</w:t>
      </w:r>
    </w:p>
    <w:p>
      <w:pPr>
        <w:spacing w:line="360" w:lineRule="auto"/>
        <w:ind w:firstLine="420" w:firstLineChars="200"/>
        <w:rPr>
          <w:color w:val="auto"/>
          <w:highlight w:val="none"/>
          <w:u w:val="single"/>
        </w:rPr>
      </w:pPr>
      <w:r>
        <w:rPr>
          <w:rFonts w:hint="eastAsia"/>
          <w:strike/>
          <w:color w:val="auto"/>
          <w:highlight w:val="none"/>
        </w:rPr>
        <w:t>3.7.5 投标文件的正本与副本应分别装订成册，具体装订要求见投标人须知前附表规定。</w:t>
      </w:r>
    </w:p>
    <w:p>
      <w:pPr>
        <w:pStyle w:val="3"/>
        <w:rPr>
          <w:color w:val="auto"/>
          <w:highlight w:val="none"/>
        </w:rPr>
      </w:pPr>
      <w:bookmarkStart w:id="218" w:name="_Toc152045555"/>
      <w:bookmarkStart w:id="219" w:name="_Toc247527580"/>
      <w:bookmarkStart w:id="220" w:name="_Toc247513979"/>
      <w:bookmarkStart w:id="221" w:name="_Toc6768"/>
      <w:bookmarkStart w:id="222" w:name="_Toc144974523"/>
      <w:bookmarkStart w:id="223" w:name="_Toc152042331"/>
      <w:bookmarkStart w:id="224" w:name="_Toc16074"/>
      <w:r>
        <w:rPr>
          <w:rFonts w:hint="eastAsia"/>
          <w:color w:val="auto"/>
          <w:highlight w:val="none"/>
        </w:rPr>
        <w:t>4. 投标</w:t>
      </w:r>
      <w:bookmarkEnd w:id="218"/>
      <w:bookmarkEnd w:id="219"/>
      <w:bookmarkEnd w:id="220"/>
      <w:bookmarkEnd w:id="221"/>
      <w:bookmarkEnd w:id="222"/>
      <w:bookmarkEnd w:id="223"/>
      <w:bookmarkEnd w:id="224"/>
    </w:p>
    <w:p>
      <w:pPr>
        <w:pStyle w:val="4"/>
        <w:rPr>
          <w:color w:val="auto"/>
          <w:highlight w:val="none"/>
        </w:rPr>
      </w:pPr>
      <w:bookmarkStart w:id="225" w:name="_Toc152042332"/>
      <w:bookmarkStart w:id="226" w:name="_Toc17494"/>
      <w:bookmarkStart w:id="227" w:name="_Toc152045556"/>
      <w:bookmarkStart w:id="228" w:name="_Toc144974524"/>
      <w:bookmarkStart w:id="229" w:name="_Toc247513980"/>
      <w:bookmarkStart w:id="230" w:name="_Toc20926"/>
      <w:bookmarkStart w:id="231" w:name="_Toc247527581"/>
      <w:r>
        <w:rPr>
          <w:rFonts w:hint="eastAsia" w:ascii="Times New Roman" w:hAnsi="Times New Roman"/>
          <w:color w:val="auto"/>
          <w:highlight w:val="none"/>
        </w:rPr>
        <w:t>4.1</w:t>
      </w:r>
      <w:r>
        <w:rPr>
          <w:rFonts w:hint="eastAsia"/>
          <w:color w:val="auto"/>
          <w:highlight w:val="none"/>
        </w:rPr>
        <w:t xml:space="preserve"> 投标文件的密封和标记</w:t>
      </w:r>
      <w:bookmarkEnd w:id="225"/>
      <w:bookmarkEnd w:id="226"/>
      <w:bookmarkEnd w:id="227"/>
      <w:bookmarkEnd w:id="228"/>
      <w:bookmarkEnd w:id="229"/>
      <w:bookmarkEnd w:id="230"/>
      <w:bookmarkEnd w:id="231"/>
    </w:p>
    <w:p>
      <w:pPr>
        <w:spacing w:line="400" w:lineRule="exact"/>
        <w:ind w:firstLine="420" w:firstLineChars="200"/>
        <w:rPr>
          <w:color w:val="auto"/>
          <w:highlight w:val="none"/>
          <w:u w:val="single"/>
        </w:rPr>
      </w:pPr>
      <w:r>
        <w:rPr>
          <w:rFonts w:hint="eastAsia"/>
          <w:color w:val="auto"/>
          <w:highlight w:val="none"/>
          <w:u w:val="single"/>
        </w:rPr>
        <w:t>4.1.1 投标人应当按照招标文件和电子招标投标交易平台的要求加密投标文件。</w:t>
      </w:r>
    </w:p>
    <w:p>
      <w:pPr>
        <w:spacing w:line="400" w:lineRule="exact"/>
        <w:ind w:firstLine="420" w:firstLineChars="200"/>
        <w:rPr>
          <w:rFonts w:hint="eastAsia"/>
          <w:color w:val="auto"/>
          <w:highlight w:val="none"/>
          <w:u w:val="single"/>
        </w:rPr>
      </w:pPr>
      <w:r>
        <w:rPr>
          <w:rFonts w:hint="eastAsia"/>
          <w:color w:val="auto"/>
          <w:highlight w:val="none"/>
          <w:u w:val="single"/>
        </w:rPr>
        <w:t>4.1.2 投标文件封套上应写明的内容见投标人须知前附表。</w:t>
      </w:r>
    </w:p>
    <w:p>
      <w:pPr>
        <w:spacing w:line="400" w:lineRule="exact"/>
        <w:ind w:firstLine="420" w:firstLineChars="200"/>
        <w:rPr>
          <w:color w:val="auto"/>
          <w:highlight w:val="none"/>
          <w:u w:val="single"/>
        </w:rPr>
      </w:pPr>
      <w:r>
        <w:rPr>
          <w:rFonts w:hint="eastAsia"/>
          <w:color w:val="auto"/>
          <w:highlight w:val="none"/>
          <w:u w:val="single"/>
        </w:rPr>
        <w:t>4.1.3 未按本章第4.1.1项或第4.1.2项要求密封和加写标记的投标文件，招标人不予受理。</w:t>
      </w:r>
    </w:p>
    <w:p>
      <w:pPr>
        <w:pStyle w:val="4"/>
        <w:rPr>
          <w:color w:val="auto"/>
          <w:highlight w:val="none"/>
        </w:rPr>
      </w:pPr>
      <w:bookmarkStart w:id="232" w:name="_Toc152042333"/>
      <w:bookmarkStart w:id="233" w:name="_Toc247527582"/>
      <w:bookmarkStart w:id="234" w:name="_Toc152045557"/>
      <w:bookmarkStart w:id="235" w:name="_Toc3388"/>
      <w:bookmarkStart w:id="236" w:name="_Toc247513981"/>
      <w:bookmarkStart w:id="237" w:name="_Toc144974525"/>
      <w:bookmarkStart w:id="238" w:name="_Toc8928"/>
      <w:r>
        <w:rPr>
          <w:rFonts w:hint="eastAsia" w:ascii="Times New Roman" w:hAnsi="Times New Roman"/>
          <w:color w:val="auto"/>
          <w:highlight w:val="none"/>
        </w:rPr>
        <w:t>4.2</w:t>
      </w:r>
      <w:r>
        <w:rPr>
          <w:rFonts w:hint="eastAsia"/>
          <w:color w:val="auto"/>
          <w:highlight w:val="none"/>
        </w:rPr>
        <w:t xml:space="preserve"> 投标文件的递交</w:t>
      </w:r>
      <w:bookmarkEnd w:id="232"/>
      <w:bookmarkEnd w:id="233"/>
      <w:bookmarkEnd w:id="234"/>
      <w:bookmarkEnd w:id="235"/>
      <w:bookmarkEnd w:id="236"/>
      <w:bookmarkEnd w:id="237"/>
      <w:bookmarkEnd w:id="238"/>
    </w:p>
    <w:p>
      <w:pPr>
        <w:spacing w:line="400" w:lineRule="exact"/>
        <w:ind w:firstLine="420" w:firstLineChars="200"/>
        <w:rPr>
          <w:color w:val="auto"/>
          <w:highlight w:val="none"/>
        </w:rPr>
      </w:pPr>
      <w:r>
        <w:rPr>
          <w:rFonts w:hint="eastAsia"/>
          <w:color w:val="auto"/>
          <w:highlight w:val="none"/>
        </w:rPr>
        <w:t>4.2.1 投标人应在第2.2.2项规定的投标截止时间前递交投标文件。</w:t>
      </w:r>
    </w:p>
    <w:p>
      <w:pPr>
        <w:spacing w:line="400" w:lineRule="exact"/>
        <w:ind w:firstLine="420" w:firstLineChars="200"/>
        <w:rPr>
          <w:color w:val="auto"/>
          <w:highlight w:val="none"/>
        </w:rPr>
      </w:pPr>
      <w:r>
        <w:rPr>
          <w:rFonts w:hint="eastAsia"/>
          <w:color w:val="auto"/>
          <w:highlight w:val="none"/>
        </w:rPr>
        <w:t>4.2.2 投标人递交投标文件的地点：见投标人须知前附表。</w:t>
      </w:r>
    </w:p>
    <w:p>
      <w:pPr>
        <w:spacing w:line="400" w:lineRule="exact"/>
        <w:ind w:firstLine="420" w:firstLineChars="200"/>
        <w:rPr>
          <w:color w:val="auto"/>
          <w:highlight w:val="none"/>
        </w:rPr>
      </w:pPr>
      <w:r>
        <w:rPr>
          <w:rFonts w:hint="eastAsia"/>
          <w:color w:val="auto"/>
          <w:highlight w:val="none"/>
        </w:rPr>
        <w:t>4.2.3 除投标人须知前附表另有规定外，投标人所递交的投标文件不予退还。</w:t>
      </w:r>
    </w:p>
    <w:p>
      <w:pPr>
        <w:spacing w:line="400" w:lineRule="exact"/>
        <w:ind w:firstLine="420" w:firstLineChars="200"/>
        <w:rPr>
          <w:color w:val="auto"/>
          <w:highlight w:val="none"/>
        </w:rPr>
      </w:pPr>
      <w:r>
        <w:rPr>
          <w:rFonts w:hint="eastAsia"/>
          <w:color w:val="auto"/>
          <w:highlight w:val="none"/>
        </w:rPr>
        <w:t>4.2.4 招标人收到投标文件后，向投标人出具签收凭证。</w:t>
      </w:r>
    </w:p>
    <w:p>
      <w:pPr>
        <w:spacing w:line="400" w:lineRule="exact"/>
        <w:ind w:firstLine="420" w:firstLineChars="200"/>
        <w:rPr>
          <w:rFonts w:hint="eastAsia"/>
          <w:color w:val="auto"/>
          <w:highlight w:val="none"/>
        </w:rPr>
      </w:pPr>
      <w:r>
        <w:rPr>
          <w:rFonts w:hint="eastAsia"/>
          <w:color w:val="auto"/>
          <w:highlight w:val="none"/>
        </w:rPr>
        <w:t>4.2.5 逾期送达的或者未送达指定地点的投标文件，招标人不予受理。</w:t>
      </w:r>
    </w:p>
    <w:p>
      <w:pPr>
        <w:spacing w:line="400" w:lineRule="exact"/>
        <w:ind w:firstLine="422" w:firstLineChars="200"/>
        <w:rPr>
          <w:rFonts w:hint="eastAsia"/>
          <w:color w:val="auto"/>
          <w:highlight w:val="none"/>
        </w:rPr>
      </w:pPr>
      <w:r>
        <w:rPr>
          <w:rFonts w:hint="eastAsia"/>
          <w:b/>
          <w:bCs/>
          <w:color w:val="auto"/>
          <w:highlight w:val="none"/>
          <w:u w:val="single"/>
        </w:rPr>
        <w:t>注：因投标人自身原因导致的上传有误、解密未及时等情况，投标人自行承担相应后果。</w:t>
      </w:r>
    </w:p>
    <w:p>
      <w:pPr>
        <w:pStyle w:val="4"/>
        <w:rPr>
          <w:color w:val="auto"/>
          <w:highlight w:val="none"/>
        </w:rPr>
      </w:pPr>
      <w:bookmarkStart w:id="239" w:name="_Toc152045558"/>
      <w:bookmarkStart w:id="240" w:name="_Toc152042334"/>
      <w:bookmarkStart w:id="241" w:name="_Toc17286"/>
      <w:bookmarkStart w:id="242" w:name="_Toc144974526"/>
      <w:bookmarkStart w:id="243" w:name="_Toc247513982"/>
      <w:bookmarkStart w:id="244" w:name="_Toc23264"/>
      <w:bookmarkStart w:id="245" w:name="_Toc247527583"/>
      <w:r>
        <w:rPr>
          <w:rFonts w:hint="eastAsia" w:ascii="Times New Roman" w:hAnsi="Times New Roman"/>
          <w:color w:val="auto"/>
          <w:highlight w:val="none"/>
        </w:rPr>
        <w:t>4.3</w:t>
      </w:r>
      <w:r>
        <w:rPr>
          <w:rFonts w:hint="eastAsia"/>
          <w:color w:val="auto"/>
          <w:highlight w:val="none"/>
        </w:rPr>
        <w:t xml:space="preserve"> 投标文件的修改与撤回</w:t>
      </w:r>
      <w:bookmarkEnd w:id="239"/>
      <w:bookmarkEnd w:id="240"/>
      <w:bookmarkEnd w:id="241"/>
      <w:bookmarkEnd w:id="242"/>
      <w:bookmarkEnd w:id="243"/>
      <w:bookmarkEnd w:id="244"/>
      <w:bookmarkEnd w:id="245"/>
    </w:p>
    <w:p>
      <w:pPr>
        <w:spacing w:line="400" w:lineRule="exact"/>
        <w:ind w:firstLine="420" w:firstLineChars="200"/>
        <w:rPr>
          <w:color w:val="auto"/>
          <w:highlight w:val="none"/>
        </w:rPr>
      </w:pPr>
      <w:r>
        <w:rPr>
          <w:rFonts w:hint="eastAsia"/>
          <w:color w:val="auto"/>
          <w:highlight w:val="none"/>
        </w:rPr>
        <w:t>4.3.1 在本章第2.2.2项规定的投标截止时间前，投标人可以修改或撤回已递交的投标文件，但应以书面形式通知招标人。</w:t>
      </w:r>
    </w:p>
    <w:p>
      <w:pPr>
        <w:spacing w:line="400" w:lineRule="exact"/>
        <w:ind w:firstLine="420" w:firstLineChars="200"/>
        <w:rPr>
          <w:color w:val="auto"/>
          <w:highlight w:val="none"/>
        </w:rPr>
      </w:pPr>
      <w:r>
        <w:rPr>
          <w:rFonts w:hint="eastAsia"/>
          <w:color w:val="auto"/>
          <w:highlight w:val="none"/>
        </w:rPr>
        <w:t>4.3.2 投标人修改或撤回已递交投标文件的书面通知应按照本章第3.7.3项的要求签字或盖章。招标人收到书面通知后，向投标人出具签收凭证。</w:t>
      </w:r>
    </w:p>
    <w:p>
      <w:pPr>
        <w:spacing w:line="400" w:lineRule="exact"/>
        <w:ind w:firstLine="420" w:firstLineChars="200"/>
        <w:rPr>
          <w:color w:val="auto"/>
          <w:highlight w:val="none"/>
        </w:rPr>
      </w:pPr>
      <w:r>
        <w:rPr>
          <w:rFonts w:hint="eastAsia"/>
          <w:color w:val="auto"/>
          <w:highlight w:val="none"/>
        </w:rPr>
        <w:t>4.3.3 投标人撤回投标文件的，招标人自收到投标人书面撤回通知之日起5日内退还已收取的投标保证金。</w:t>
      </w:r>
    </w:p>
    <w:p>
      <w:pPr>
        <w:spacing w:line="400" w:lineRule="exact"/>
        <w:ind w:firstLine="420" w:firstLineChars="200"/>
        <w:rPr>
          <w:color w:val="auto"/>
          <w:highlight w:val="none"/>
        </w:rPr>
      </w:pPr>
      <w:r>
        <w:rPr>
          <w:rFonts w:hint="eastAsia"/>
          <w:color w:val="auto"/>
          <w:highlight w:val="none"/>
        </w:rPr>
        <w:t>4.3.4 修改的内容为投标文件的组成部分。修改的投标文件应按照本章第3条、第4条规定进行编制、密封、标记和递交，并标明“修改”字样。</w:t>
      </w:r>
    </w:p>
    <w:p>
      <w:pPr>
        <w:spacing w:line="400" w:lineRule="exact"/>
        <w:ind w:firstLine="420" w:firstLineChars="200"/>
        <w:rPr>
          <w:color w:val="auto"/>
          <w:highlight w:val="none"/>
          <w:u w:val="single"/>
        </w:rPr>
      </w:pPr>
      <w:r>
        <w:rPr>
          <w:rFonts w:hint="eastAsia"/>
          <w:color w:val="auto"/>
          <w:highlight w:val="none"/>
          <w:u w:val="single"/>
        </w:rPr>
        <w:t>4.3.5 在投标截止时间之后，投标人不得补充、修改和更换投标文件。</w:t>
      </w:r>
    </w:p>
    <w:p>
      <w:pPr>
        <w:spacing w:line="400" w:lineRule="exact"/>
        <w:ind w:firstLine="420" w:firstLineChars="200"/>
        <w:rPr>
          <w:color w:val="auto"/>
          <w:highlight w:val="none"/>
          <w:u w:val="single"/>
        </w:rPr>
      </w:pPr>
      <w:r>
        <w:rPr>
          <w:rFonts w:hint="eastAsia"/>
          <w:color w:val="auto"/>
          <w:highlight w:val="none"/>
          <w:u w:val="single"/>
        </w:rPr>
        <w:t>4.3.6 在投标截止后，投标人在投标文件格式中规定的有效期终止日前，投标人不能撤回投标文件，否则其投标担保将被没收，且招标人有权就其撤回行为报告政府主管部门载入不良信用记录。</w:t>
      </w:r>
    </w:p>
    <w:p>
      <w:pPr>
        <w:pStyle w:val="3"/>
        <w:rPr>
          <w:color w:val="auto"/>
          <w:highlight w:val="none"/>
        </w:rPr>
      </w:pPr>
      <w:bookmarkStart w:id="246" w:name="_Toc144974527"/>
      <w:bookmarkStart w:id="247" w:name="_Toc247513983"/>
      <w:bookmarkStart w:id="248" w:name="_Toc6688"/>
      <w:bookmarkStart w:id="249" w:name="_Toc31204"/>
      <w:bookmarkStart w:id="250" w:name="_Toc152042335"/>
      <w:bookmarkStart w:id="251" w:name="_Toc247527584"/>
      <w:bookmarkStart w:id="252" w:name="_Toc152045559"/>
      <w:r>
        <w:rPr>
          <w:rFonts w:hint="eastAsia"/>
          <w:color w:val="auto"/>
          <w:highlight w:val="none"/>
        </w:rPr>
        <w:t>5. 开标</w:t>
      </w:r>
      <w:bookmarkEnd w:id="246"/>
      <w:bookmarkEnd w:id="247"/>
      <w:bookmarkEnd w:id="248"/>
      <w:bookmarkEnd w:id="249"/>
      <w:bookmarkEnd w:id="250"/>
      <w:bookmarkEnd w:id="251"/>
      <w:bookmarkEnd w:id="252"/>
    </w:p>
    <w:p>
      <w:pPr>
        <w:pStyle w:val="4"/>
        <w:rPr>
          <w:color w:val="auto"/>
          <w:highlight w:val="none"/>
        </w:rPr>
      </w:pPr>
      <w:bookmarkStart w:id="253" w:name="_Toc152045560"/>
      <w:bookmarkStart w:id="254" w:name="_Toc16458"/>
      <w:bookmarkStart w:id="255" w:name="_Toc247513984"/>
      <w:bookmarkStart w:id="256" w:name="_Toc247527585"/>
      <w:bookmarkStart w:id="257" w:name="_Toc144974528"/>
      <w:bookmarkStart w:id="258" w:name="_Toc152042336"/>
      <w:bookmarkStart w:id="259" w:name="_Toc20614"/>
      <w:r>
        <w:rPr>
          <w:rFonts w:hint="eastAsia" w:ascii="Times New Roman" w:hAnsi="Times New Roman"/>
          <w:color w:val="auto"/>
          <w:highlight w:val="none"/>
        </w:rPr>
        <w:t>5.1</w:t>
      </w:r>
      <w:r>
        <w:rPr>
          <w:rFonts w:hint="eastAsia"/>
          <w:color w:val="auto"/>
          <w:highlight w:val="none"/>
        </w:rPr>
        <w:t xml:space="preserve"> 开标时间和地点</w:t>
      </w:r>
      <w:bookmarkEnd w:id="253"/>
      <w:bookmarkEnd w:id="254"/>
      <w:bookmarkEnd w:id="255"/>
      <w:bookmarkEnd w:id="256"/>
      <w:bookmarkEnd w:id="257"/>
      <w:bookmarkEnd w:id="258"/>
      <w:bookmarkEnd w:id="259"/>
    </w:p>
    <w:p>
      <w:pPr>
        <w:spacing w:line="400" w:lineRule="exact"/>
        <w:ind w:firstLine="420" w:firstLineChars="200"/>
        <w:rPr>
          <w:rFonts w:hint="eastAsia"/>
          <w:color w:val="auto"/>
          <w:highlight w:val="none"/>
          <w:u w:val="single"/>
        </w:rPr>
      </w:pPr>
      <w:r>
        <w:rPr>
          <w:rFonts w:hint="eastAsia"/>
          <w:color w:val="auto"/>
          <w:highlight w:val="none"/>
        </w:rPr>
        <w:t>招标人在本章第2.2.2项规定的投标截止时间（开标时间）和投标人须知前附表规定的地点公开开标，并邀请所有投标人的法定代表人或其委托代理人准时参加。</w:t>
      </w:r>
      <w:r>
        <w:rPr>
          <w:rFonts w:hint="eastAsia"/>
          <w:color w:val="auto"/>
          <w:highlight w:val="none"/>
          <w:u w:val="single"/>
        </w:rPr>
        <w:t>投标人（法定代表人或其委托代理人）可自行决定是否参加开标。投标人不参加的，视为认可开标过程及结果。</w:t>
      </w:r>
    </w:p>
    <w:p>
      <w:pPr>
        <w:pStyle w:val="4"/>
        <w:rPr>
          <w:color w:val="auto"/>
          <w:highlight w:val="none"/>
        </w:rPr>
      </w:pPr>
      <w:bookmarkStart w:id="260" w:name="_Toc152042337"/>
      <w:bookmarkStart w:id="261" w:name="_Toc19643"/>
      <w:bookmarkStart w:id="262" w:name="_Toc152045561"/>
      <w:bookmarkStart w:id="263" w:name="_Toc144974529"/>
      <w:bookmarkStart w:id="264" w:name="_Toc247527586"/>
      <w:bookmarkStart w:id="265" w:name="_Toc247513985"/>
      <w:bookmarkStart w:id="266" w:name="_Toc22361"/>
      <w:r>
        <w:rPr>
          <w:rFonts w:hint="eastAsia" w:ascii="Times New Roman" w:hAnsi="Times New Roman"/>
          <w:color w:val="auto"/>
          <w:highlight w:val="none"/>
        </w:rPr>
        <w:t>5.2</w:t>
      </w:r>
      <w:r>
        <w:rPr>
          <w:rFonts w:hint="eastAsia"/>
          <w:color w:val="auto"/>
          <w:highlight w:val="none"/>
        </w:rPr>
        <w:t xml:space="preserve"> 开标程序</w:t>
      </w:r>
      <w:bookmarkEnd w:id="260"/>
      <w:bookmarkEnd w:id="261"/>
      <w:bookmarkEnd w:id="262"/>
      <w:bookmarkEnd w:id="263"/>
      <w:bookmarkEnd w:id="264"/>
      <w:bookmarkEnd w:id="265"/>
      <w:bookmarkEnd w:id="266"/>
    </w:p>
    <w:p>
      <w:pPr>
        <w:spacing w:line="400" w:lineRule="exact"/>
        <w:ind w:firstLine="420" w:firstLineChars="200"/>
        <w:rPr>
          <w:color w:val="auto"/>
          <w:highlight w:val="none"/>
        </w:rPr>
      </w:pPr>
      <w:r>
        <w:rPr>
          <w:rFonts w:hint="eastAsia"/>
          <w:color w:val="auto"/>
          <w:highlight w:val="none"/>
        </w:rPr>
        <w:t>主持人按下列程序进行开标：</w:t>
      </w:r>
    </w:p>
    <w:p>
      <w:pPr>
        <w:spacing w:line="400" w:lineRule="exact"/>
        <w:ind w:firstLine="359" w:firstLineChars="171"/>
        <w:rPr>
          <w:color w:val="auto"/>
          <w:highlight w:val="none"/>
        </w:rPr>
      </w:pPr>
      <w:r>
        <w:rPr>
          <w:rFonts w:hint="eastAsia"/>
          <w:color w:val="auto"/>
          <w:highlight w:val="none"/>
        </w:rPr>
        <w:t>（1）在投标截止时间后</w:t>
      </w:r>
      <w:r>
        <w:rPr>
          <w:rFonts w:hint="eastAsia"/>
          <w:color w:val="auto"/>
          <w:highlight w:val="none"/>
          <w:u w:val="single"/>
        </w:rPr>
        <w:t>半</w:t>
      </w:r>
      <w:r>
        <w:rPr>
          <w:rFonts w:hint="eastAsia"/>
          <w:color w:val="auto"/>
          <w:highlight w:val="none"/>
        </w:rPr>
        <w:t>小时内，投标人通过递交投标文件的交易平台对已递交的电子投标文件进行解密。投标人完成解密后，再由招标人进行解密（投标人只用执行一次解密，招标人执行解密次数根据招标文件开标次数确定）。</w:t>
      </w:r>
    </w:p>
    <w:p>
      <w:pPr>
        <w:spacing w:line="400" w:lineRule="exact"/>
        <w:ind w:firstLine="359" w:firstLineChars="171"/>
        <w:rPr>
          <w:color w:val="auto"/>
          <w:highlight w:val="none"/>
        </w:rPr>
      </w:pPr>
      <w:r>
        <w:rPr>
          <w:rFonts w:hint="eastAsia"/>
          <w:color w:val="auto"/>
          <w:highlight w:val="none"/>
        </w:rPr>
        <w:t>（2）解密完成后，公布：a投标人名称；b投标文件递交情况；c投标文件解密情况；d投标担保递交情况；e项目负责人（兼施工负责人）、设计负责人、专职安全员；f投标报价（含设计报价和施工报价）；g工期；h投标人的加密打包投标文件电脑机器特征码等主要内容，并记录在案。未在规定时间内解密的投标文件不参与开标、评标。</w:t>
      </w:r>
    </w:p>
    <w:p>
      <w:pPr>
        <w:spacing w:line="400" w:lineRule="exact"/>
        <w:ind w:firstLine="359" w:firstLineChars="171"/>
        <w:rPr>
          <w:color w:val="auto"/>
          <w:highlight w:val="none"/>
        </w:rPr>
      </w:pPr>
      <w:r>
        <w:rPr>
          <w:rFonts w:hint="eastAsia"/>
          <w:color w:val="auto"/>
          <w:highlight w:val="none"/>
        </w:rPr>
        <w:t>（3）截标后，开标开始时间因故推迟的，相关评标信息仍以原定的开标开始时间的信息为准。</w:t>
      </w:r>
    </w:p>
    <w:p>
      <w:pPr>
        <w:spacing w:line="400" w:lineRule="exact"/>
        <w:ind w:firstLine="359" w:firstLineChars="171"/>
        <w:rPr>
          <w:color w:val="auto"/>
          <w:highlight w:val="none"/>
        </w:rPr>
      </w:pPr>
      <w:r>
        <w:rPr>
          <w:rFonts w:hint="eastAsia"/>
          <w:color w:val="auto"/>
          <w:highlight w:val="none"/>
        </w:rPr>
        <w:t>（4）备用光盘的读取按“10 电子招标投标”第6点的规定执行。</w:t>
      </w:r>
    </w:p>
    <w:p>
      <w:pPr>
        <w:spacing w:line="400" w:lineRule="exact"/>
        <w:ind w:firstLine="359" w:firstLineChars="171"/>
        <w:rPr>
          <w:color w:val="auto"/>
          <w:highlight w:val="none"/>
        </w:rPr>
      </w:pPr>
      <w:r>
        <w:rPr>
          <w:rFonts w:hint="eastAsia"/>
          <w:color w:val="auto"/>
          <w:highlight w:val="none"/>
        </w:rPr>
        <w:t>（5）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spacing w:line="400" w:lineRule="exact"/>
        <w:ind w:firstLine="359" w:firstLineChars="171"/>
        <w:rPr>
          <w:color w:val="auto"/>
          <w:highlight w:val="none"/>
        </w:rPr>
      </w:pPr>
      <w:r>
        <w:rPr>
          <w:rFonts w:hint="eastAsia"/>
          <w:color w:val="auto"/>
          <w:highlight w:val="none"/>
        </w:rPr>
        <w:t>（6）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spacing w:line="400" w:lineRule="exact"/>
        <w:ind w:firstLine="359" w:firstLineChars="171"/>
        <w:rPr>
          <w:color w:val="auto"/>
          <w:highlight w:val="none"/>
        </w:rPr>
      </w:pPr>
      <w:r>
        <w:rPr>
          <w:rFonts w:hint="eastAsia"/>
          <w:color w:val="auto"/>
          <w:highlight w:val="none"/>
        </w:rPr>
        <w:t>（7）投标人未参加开标或在规定的时间内未提出异议的，视为对开标无异议。</w:t>
      </w:r>
    </w:p>
    <w:p>
      <w:pPr>
        <w:spacing w:line="400" w:lineRule="exact"/>
        <w:ind w:firstLine="359" w:firstLineChars="171"/>
        <w:rPr>
          <w:color w:val="auto"/>
          <w:highlight w:val="none"/>
        </w:rPr>
      </w:pPr>
      <w:r>
        <w:rPr>
          <w:rFonts w:hint="eastAsia"/>
          <w:color w:val="auto"/>
          <w:highlight w:val="none"/>
        </w:rPr>
        <w:t>（8）开标时，两个（含两个）以上的投标人加密打包投标文件电脑机器特征码一致的，不参与下一程序，并由评标委员会否决其投标。</w:t>
      </w:r>
    </w:p>
    <w:p>
      <w:pPr>
        <w:spacing w:line="400" w:lineRule="exact"/>
        <w:ind w:firstLine="359" w:firstLineChars="171"/>
        <w:rPr>
          <w:rFonts w:hint="eastAsia"/>
          <w:color w:val="auto"/>
          <w:highlight w:val="none"/>
        </w:rPr>
      </w:pPr>
      <w:r>
        <w:rPr>
          <w:rFonts w:hint="eastAsia"/>
          <w:color w:val="auto"/>
          <w:highlight w:val="none"/>
        </w:rPr>
        <w:t>（9）投标文件（设计方案）开标时不得开启，在评标时由交易平台随机编号后开启，交由评标委员会进行评审。编号所对应的投标人在设计方案评审结束前不得告知评标委员会、交易平台工作人员、招标人或招标代理机构。</w:t>
      </w:r>
    </w:p>
    <w:p>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（10）投标人代表、招标人代表、监标人、记录人等有关人员在开标记录上签字确认；若有关人员不签字的，不影响开标程序；</w:t>
      </w:r>
    </w:p>
    <w:p>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（11）开标结束。</w:t>
      </w:r>
    </w:p>
    <w:p>
      <w:pPr>
        <w:pStyle w:val="4"/>
        <w:rPr>
          <w:color w:val="auto"/>
          <w:highlight w:val="none"/>
        </w:rPr>
      </w:pPr>
      <w:bookmarkStart w:id="267" w:name="_Toc31464"/>
      <w:bookmarkStart w:id="268" w:name="_Toc27275"/>
      <w:r>
        <w:rPr>
          <w:rFonts w:hint="eastAsia" w:ascii="Times New Roman" w:hAnsi="Times New Roman"/>
          <w:color w:val="auto"/>
          <w:highlight w:val="none"/>
        </w:rPr>
        <w:t>5.3</w:t>
      </w:r>
      <w:r>
        <w:rPr>
          <w:rFonts w:hint="eastAsia"/>
          <w:color w:val="auto"/>
          <w:highlight w:val="none"/>
        </w:rPr>
        <w:t xml:space="preserve"> 开标异议</w:t>
      </w:r>
      <w:bookmarkEnd w:id="267"/>
      <w:bookmarkEnd w:id="268"/>
    </w:p>
    <w:p>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pStyle w:val="3"/>
        <w:rPr>
          <w:color w:val="auto"/>
          <w:highlight w:val="none"/>
        </w:rPr>
      </w:pPr>
      <w:bookmarkStart w:id="269" w:name="_Toc144974530"/>
      <w:bookmarkStart w:id="270" w:name="_Toc8086"/>
      <w:bookmarkStart w:id="271" w:name="_Toc247527587"/>
      <w:bookmarkStart w:id="272" w:name="_Toc152042338"/>
      <w:bookmarkStart w:id="273" w:name="_Toc18405"/>
      <w:bookmarkStart w:id="274" w:name="_Toc247513986"/>
      <w:bookmarkStart w:id="275" w:name="_Toc152045562"/>
      <w:r>
        <w:rPr>
          <w:rFonts w:hint="eastAsia"/>
          <w:color w:val="auto"/>
          <w:highlight w:val="none"/>
        </w:rPr>
        <w:t>6. 评标</w:t>
      </w:r>
      <w:bookmarkEnd w:id="269"/>
      <w:bookmarkEnd w:id="270"/>
      <w:bookmarkEnd w:id="271"/>
      <w:bookmarkEnd w:id="272"/>
      <w:bookmarkEnd w:id="273"/>
      <w:bookmarkEnd w:id="274"/>
      <w:bookmarkEnd w:id="275"/>
    </w:p>
    <w:p>
      <w:pPr>
        <w:pStyle w:val="4"/>
        <w:rPr>
          <w:color w:val="auto"/>
          <w:highlight w:val="none"/>
        </w:rPr>
      </w:pPr>
      <w:bookmarkStart w:id="276" w:name="_Toc152045563"/>
      <w:bookmarkStart w:id="277" w:name="_Toc247513987"/>
      <w:bookmarkStart w:id="278" w:name="_Toc247527588"/>
      <w:bookmarkStart w:id="279" w:name="_Toc19178"/>
      <w:bookmarkStart w:id="280" w:name="_Toc7468"/>
      <w:bookmarkStart w:id="281" w:name="_Toc152042339"/>
      <w:bookmarkStart w:id="282" w:name="_Toc144974531"/>
      <w:r>
        <w:rPr>
          <w:rFonts w:hint="eastAsia" w:ascii="Times New Roman" w:hAnsi="Times New Roman"/>
          <w:color w:val="auto"/>
          <w:highlight w:val="none"/>
        </w:rPr>
        <w:t>6.1</w:t>
      </w:r>
      <w:r>
        <w:rPr>
          <w:rFonts w:hint="eastAsia"/>
          <w:color w:val="auto"/>
          <w:highlight w:val="none"/>
        </w:rPr>
        <w:t xml:space="preserve"> 评标委员会</w:t>
      </w:r>
      <w:bookmarkEnd w:id="276"/>
      <w:bookmarkEnd w:id="277"/>
      <w:bookmarkEnd w:id="278"/>
      <w:bookmarkEnd w:id="279"/>
      <w:bookmarkEnd w:id="280"/>
      <w:bookmarkEnd w:id="281"/>
      <w:bookmarkEnd w:id="282"/>
    </w:p>
    <w:p>
      <w:pPr>
        <w:spacing w:line="400" w:lineRule="exact"/>
        <w:ind w:firstLine="420" w:firstLineChars="200"/>
        <w:rPr>
          <w:color w:val="auto"/>
          <w:highlight w:val="none"/>
        </w:rPr>
      </w:pPr>
      <w:r>
        <w:rPr>
          <w:rFonts w:hint="eastAsia"/>
          <w:color w:val="auto"/>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400" w:lineRule="exact"/>
        <w:ind w:firstLine="420" w:firstLineChars="200"/>
        <w:rPr>
          <w:color w:val="auto"/>
          <w:highlight w:val="none"/>
        </w:rPr>
      </w:pPr>
      <w:r>
        <w:rPr>
          <w:rFonts w:hint="eastAsia"/>
          <w:color w:val="auto"/>
          <w:highlight w:val="none"/>
        </w:rPr>
        <w:t>6.1.2 评标委员会成员有下列情形之一的，应当回避：</w:t>
      </w:r>
    </w:p>
    <w:p>
      <w:pPr>
        <w:spacing w:line="400" w:lineRule="exact"/>
        <w:ind w:firstLine="718" w:firstLineChars="342"/>
        <w:rPr>
          <w:color w:val="auto"/>
          <w:highlight w:val="none"/>
        </w:rPr>
      </w:pPr>
      <w:r>
        <w:rPr>
          <w:rFonts w:hint="eastAsia"/>
          <w:color w:val="auto"/>
          <w:highlight w:val="none"/>
        </w:rPr>
        <w:t>（1）投标人或投标人主要负责人的近亲属；</w:t>
      </w:r>
    </w:p>
    <w:p>
      <w:pPr>
        <w:spacing w:line="400" w:lineRule="exact"/>
        <w:ind w:firstLine="718" w:firstLineChars="342"/>
        <w:rPr>
          <w:color w:val="auto"/>
          <w:highlight w:val="none"/>
        </w:rPr>
      </w:pPr>
      <w:r>
        <w:rPr>
          <w:rFonts w:hint="eastAsia"/>
          <w:color w:val="auto"/>
          <w:highlight w:val="none"/>
        </w:rPr>
        <w:t>（2）项目主管部门或者行政监督部门的人员；</w:t>
      </w:r>
    </w:p>
    <w:p>
      <w:pPr>
        <w:spacing w:line="400" w:lineRule="exact"/>
        <w:ind w:firstLine="718" w:firstLineChars="342"/>
        <w:rPr>
          <w:color w:val="auto"/>
          <w:highlight w:val="none"/>
        </w:rPr>
      </w:pPr>
      <w:r>
        <w:rPr>
          <w:rFonts w:hint="eastAsia"/>
          <w:color w:val="auto"/>
          <w:highlight w:val="none"/>
        </w:rPr>
        <w:t>（3）与投标人有经济利益关系，可能影响对投标公正评审的；</w:t>
      </w:r>
    </w:p>
    <w:p>
      <w:pPr>
        <w:spacing w:line="400" w:lineRule="exact"/>
        <w:ind w:firstLine="718" w:firstLineChars="342"/>
        <w:rPr>
          <w:color w:val="auto"/>
          <w:highlight w:val="none"/>
        </w:rPr>
      </w:pPr>
      <w:r>
        <w:rPr>
          <w:rFonts w:hint="eastAsia"/>
          <w:color w:val="auto"/>
          <w:highlight w:val="none"/>
        </w:rPr>
        <w:t>（4）曾因在招标、评标以及其他与招标投标有关活动中从事违法行为而受过行政处罚或刑事处罚的；</w:t>
      </w:r>
    </w:p>
    <w:p>
      <w:pPr>
        <w:spacing w:line="400" w:lineRule="exact"/>
        <w:ind w:firstLine="718" w:firstLineChars="342"/>
        <w:rPr>
          <w:color w:val="auto"/>
          <w:highlight w:val="none"/>
        </w:rPr>
      </w:pPr>
      <w:r>
        <w:rPr>
          <w:rFonts w:hint="eastAsia"/>
          <w:color w:val="auto"/>
          <w:highlight w:val="none"/>
        </w:rPr>
        <w:t>（5）与投标人有其他利害关系。</w:t>
      </w:r>
    </w:p>
    <w:p>
      <w:pPr>
        <w:pStyle w:val="4"/>
        <w:rPr>
          <w:color w:val="auto"/>
          <w:highlight w:val="none"/>
        </w:rPr>
      </w:pPr>
      <w:bookmarkStart w:id="283" w:name="_Toc21626"/>
      <w:bookmarkStart w:id="284" w:name="_Toc144974532"/>
      <w:bookmarkStart w:id="285" w:name="_Toc247527589"/>
      <w:bookmarkStart w:id="286" w:name="_Toc247513988"/>
      <w:bookmarkStart w:id="287" w:name="_Toc29261"/>
      <w:bookmarkStart w:id="288" w:name="_Toc152045564"/>
      <w:bookmarkStart w:id="289" w:name="_Toc152042340"/>
      <w:r>
        <w:rPr>
          <w:rFonts w:hint="eastAsia" w:ascii="Times New Roman" w:hAnsi="Times New Roman"/>
          <w:color w:val="auto"/>
          <w:highlight w:val="none"/>
        </w:rPr>
        <w:t>6.2</w:t>
      </w:r>
      <w:r>
        <w:rPr>
          <w:rFonts w:hint="eastAsia"/>
          <w:color w:val="auto"/>
          <w:highlight w:val="none"/>
        </w:rPr>
        <w:t xml:space="preserve"> 评标原则</w:t>
      </w:r>
      <w:bookmarkEnd w:id="283"/>
      <w:bookmarkEnd w:id="284"/>
      <w:bookmarkEnd w:id="285"/>
      <w:bookmarkEnd w:id="286"/>
      <w:bookmarkEnd w:id="287"/>
      <w:bookmarkEnd w:id="288"/>
      <w:bookmarkEnd w:id="289"/>
      <w:r>
        <w:rPr>
          <w:color w:val="auto"/>
          <w:highlight w:val="none"/>
        </w:rPr>
        <w:tab/>
      </w:r>
    </w:p>
    <w:p>
      <w:pPr>
        <w:spacing w:line="400" w:lineRule="exact"/>
        <w:ind w:firstLine="420" w:firstLineChars="200"/>
        <w:rPr>
          <w:color w:val="auto"/>
          <w:highlight w:val="none"/>
        </w:rPr>
      </w:pPr>
      <w:r>
        <w:rPr>
          <w:rFonts w:hint="eastAsia"/>
          <w:color w:val="auto"/>
          <w:highlight w:val="none"/>
        </w:rPr>
        <w:t>评标活动遵循公平、公正、科学和择优的原则。</w:t>
      </w:r>
    </w:p>
    <w:p>
      <w:pPr>
        <w:pStyle w:val="4"/>
        <w:rPr>
          <w:color w:val="auto"/>
          <w:highlight w:val="none"/>
        </w:rPr>
      </w:pPr>
      <w:bookmarkStart w:id="290" w:name="_Toc9663"/>
      <w:bookmarkStart w:id="291" w:name="_Toc152042341"/>
      <w:bookmarkStart w:id="292" w:name="_Toc247527590"/>
      <w:bookmarkStart w:id="293" w:name="_Toc144974533"/>
      <w:bookmarkStart w:id="294" w:name="_Toc247513989"/>
      <w:bookmarkStart w:id="295" w:name="_Toc152045565"/>
      <w:bookmarkStart w:id="296" w:name="_Toc1422"/>
      <w:r>
        <w:rPr>
          <w:rFonts w:hint="eastAsia" w:ascii="Times New Roman" w:hAnsi="Times New Roman"/>
          <w:color w:val="auto"/>
          <w:highlight w:val="none"/>
        </w:rPr>
        <w:t>6.3</w:t>
      </w:r>
      <w:r>
        <w:rPr>
          <w:rFonts w:hint="eastAsia"/>
          <w:color w:val="auto"/>
          <w:highlight w:val="none"/>
        </w:rPr>
        <w:t xml:space="preserve"> 评标</w:t>
      </w:r>
      <w:bookmarkEnd w:id="290"/>
      <w:bookmarkEnd w:id="291"/>
      <w:bookmarkEnd w:id="292"/>
      <w:bookmarkEnd w:id="293"/>
      <w:bookmarkEnd w:id="294"/>
      <w:bookmarkEnd w:id="295"/>
      <w:bookmarkEnd w:id="296"/>
    </w:p>
    <w:p>
      <w:pPr>
        <w:spacing w:line="400" w:lineRule="exact"/>
        <w:ind w:firstLine="420" w:firstLineChars="200"/>
        <w:rPr>
          <w:color w:val="auto"/>
          <w:highlight w:val="none"/>
        </w:rPr>
      </w:pPr>
      <w:r>
        <w:rPr>
          <w:rFonts w:hint="eastAsia"/>
          <w:color w:val="auto"/>
          <w:highlight w:val="none"/>
        </w:rPr>
        <w:t>评标委员会按照第三章“评标办法”规定的方法、评审因素、标准和程序对投标文件进行评审。第三章“评标办法”没有规定的方法、评审因素和标准，不作为评标依据。</w:t>
      </w:r>
    </w:p>
    <w:p>
      <w:pPr>
        <w:pStyle w:val="3"/>
        <w:rPr>
          <w:color w:val="auto"/>
          <w:highlight w:val="none"/>
        </w:rPr>
      </w:pPr>
      <w:bookmarkStart w:id="297" w:name="_Toc152045566"/>
      <w:bookmarkStart w:id="298" w:name="_Toc247513990"/>
      <w:bookmarkStart w:id="299" w:name="_Toc144974534"/>
      <w:bookmarkStart w:id="300" w:name="_Toc152042342"/>
      <w:bookmarkStart w:id="301" w:name="_Toc7626"/>
      <w:bookmarkStart w:id="302" w:name="_Toc247527591"/>
      <w:bookmarkStart w:id="303" w:name="_Toc30659"/>
      <w:r>
        <w:rPr>
          <w:rFonts w:hint="eastAsia"/>
          <w:color w:val="auto"/>
          <w:highlight w:val="none"/>
        </w:rPr>
        <w:t>7. 合同授予</w:t>
      </w:r>
      <w:bookmarkEnd w:id="297"/>
      <w:bookmarkEnd w:id="298"/>
      <w:bookmarkEnd w:id="299"/>
      <w:bookmarkEnd w:id="300"/>
      <w:bookmarkEnd w:id="301"/>
      <w:bookmarkEnd w:id="302"/>
      <w:bookmarkEnd w:id="303"/>
    </w:p>
    <w:p>
      <w:pPr>
        <w:pStyle w:val="4"/>
        <w:rPr>
          <w:color w:val="auto"/>
          <w:highlight w:val="none"/>
        </w:rPr>
      </w:pPr>
      <w:bookmarkStart w:id="304" w:name="_Toc144974535"/>
      <w:bookmarkStart w:id="305" w:name="_Toc247513991"/>
      <w:bookmarkStart w:id="306" w:name="_Toc247527592"/>
      <w:bookmarkStart w:id="307" w:name="_Toc4338"/>
      <w:bookmarkStart w:id="308" w:name="_Toc12676"/>
      <w:bookmarkStart w:id="309" w:name="_Toc152045567"/>
      <w:bookmarkStart w:id="310" w:name="_Toc152042343"/>
      <w:r>
        <w:rPr>
          <w:rFonts w:hint="eastAsia" w:ascii="Times New Roman" w:hAnsi="Times New Roman"/>
          <w:color w:val="auto"/>
          <w:highlight w:val="none"/>
        </w:rPr>
        <w:t>7.1</w:t>
      </w:r>
      <w:r>
        <w:rPr>
          <w:rFonts w:hint="eastAsia"/>
          <w:color w:val="auto"/>
          <w:highlight w:val="none"/>
        </w:rPr>
        <w:t xml:space="preserve"> 定标方式</w:t>
      </w:r>
      <w:bookmarkEnd w:id="304"/>
      <w:bookmarkEnd w:id="305"/>
      <w:bookmarkEnd w:id="306"/>
      <w:bookmarkEnd w:id="307"/>
      <w:bookmarkEnd w:id="308"/>
      <w:bookmarkEnd w:id="309"/>
      <w:bookmarkEnd w:id="310"/>
    </w:p>
    <w:p>
      <w:pPr>
        <w:spacing w:line="400" w:lineRule="exact"/>
        <w:ind w:firstLine="420" w:firstLineChars="200"/>
        <w:rPr>
          <w:color w:val="auto"/>
          <w:highlight w:val="none"/>
        </w:rPr>
      </w:pPr>
      <w:r>
        <w:rPr>
          <w:rFonts w:hint="eastAsia"/>
          <w:color w:val="auto"/>
          <w:highlight w:val="none"/>
        </w:rPr>
        <w:t>7.1.1除投标人须知前附表规定评标委员会直接确定中标人外，招标人依据评标委员会推荐的中标候选人确定中标人，评标委员会推荐中标候选人的人数见投标人须知前附表。</w:t>
      </w:r>
    </w:p>
    <w:p>
      <w:pPr>
        <w:spacing w:line="400" w:lineRule="exact"/>
        <w:ind w:firstLine="420" w:firstLineChars="200"/>
        <w:rPr>
          <w:color w:val="auto"/>
          <w:highlight w:val="none"/>
          <w:u w:val="single"/>
        </w:rPr>
      </w:pPr>
      <w:r>
        <w:rPr>
          <w:rFonts w:hint="eastAsia"/>
          <w:color w:val="auto"/>
          <w:highlight w:val="none"/>
          <w:u w:val="single"/>
        </w:rPr>
        <w:t>7.1.2 依法必须进行公开招标的项目，招标人应当确定排名第一的中标候选人为中标人。</w:t>
      </w:r>
    </w:p>
    <w:p>
      <w:pPr>
        <w:spacing w:line="400" w:lineRule="exact"/>
        <w:ind w:firstLine="420" w:firstLineChars="200"/>
        <w:rPr>
          <w:color w:val="auto"/>
          <w:highlight w:val="none"/>
          <w:u w:val="single"/>
        </w:rPr>
      </w:pPr>
      <w:r>
        <w:rPr>
          <w:rFonts w:hint="eastAsia"/>
          <w:color w:val="auto"/>
          <w:highlight w:val="none"/>
          <w:u w:val="single"/>
        </w:rPr>
        <w:t>7.1.3排名第一的中标候选人放弃中标、或被取消中标资格，或因不可抗力提出不能履行合同，或者招标文件规定应当提交履约担保而在规定的期限内未能提交的，招标人可以按照中标候选人顺序依次上升替补定标，以此类推。</w:t>
      </w:r>
    </w:p>
    <w:p>
      <w:pPr>
        <w:pStyle w:val="4"/>
        <w:rPr>
          <w:color w:val="auto"/>
          <w:highlight w:val="none"/>
        </w:rPr>
      </w:pPr>
      <w:bookmarkStart w:id="311" w:name="_Toc11852"/>
      <w:bookmarkStart w:id="312" w:name="_Toc12566"/>
      <w:r>
        <w:rPr>
          <w:rFonts w:hint="eastAsia" w:ascii="Times New Roman" w:hAnsi="Times New Roman"/>
          <w:color w:val="auto"/>
          <w:highlight w:val="none"/>
        </w:rPr>
        <w:t>7.2</w:t>
      </w:r>
      <w:r>
        <w:rPr>
          <w:rFonts w:hint="eastAsia"/>
          <w:color w:val="auto"/>
          <w:highlight w:val="none"/>
        </w:rPr>
        <w:t xml:space="preserve"> 中标候选人公示</w:t>
      </w:r>
      <w:bookmarkEnd w:id="311"/>
      <w:bookmarkEnd w:id="312"/>
    </w:p>
    <w:p>
      <w:pPr>
        <w:spacing w:line="400" w:lineRule="exact"/>
        <w:ind w:firstLine="420" w:firstLineChars="200"/>
        <w:rPr>
          <w:rFonts w:hint="eastAsia"/>
          <w:color w:val="auto"/>
          <w:highlight w:val="none"/>
        </w:rPr>
      </w:pPr>
      <w:bookmarkStart w:id="313" w:name="_Toc21013"/>
      <w:bookmarkStart w:id="314" w:name="_Toc144974536"/>
      <w:bookmarkStart w:id="315" w:name="_Toc6076"/>
      <w:bookmarkStart w:id="316" w:name="_Toc247527593"/>
      <w:bookmarkStart w:id="317" w:name="_Toc152042344"/>
      <w:bookmarkStart w:id="318" w:name="_Toc152045568"/>
      <w:bookmarkStart w:id="319" w:name="_Toc247513992"/>
      <w:r>
        <w:rPr>
          <w:rFonts w:hint="eastAsia"/>
          <w:color w:val="auto"/>
          <w:highlight w:val="none"/>
        </w:rPr>
        <w:t>7.2.1招标人在投标人须知前附表规定的媒介公示中标候选人。</w:t>
      </w:r>
    </w:p>
    <w:p>
      <w:pPr>
        <w:spacing w:line="400" w:lineRule="exact"/>
        <w:ind w:firstLine="420" w:firstLineChars="200"/>
        <w:rPr>
          <w:rFonts w:hint="eastAsia"/>
          <w:color w:val="auto"/>
          <w:highlight w:val="none"/>
        </w:rPr>
      </w:pPr>
      <w:r>
        <w:rPr>
          <w:rFonts w:hint="eastAsia"/>
          <w:color w:val="auto"/>
          <w:highlight w:val="none"/>
        </w:rPr>
        <w:t>7.2.2</w:t>
      </w:r>
      <w:r>
        <w:rPr>
          <w:rFonts w:hint="eastAsia"/>
          <w:color w:val="auto"/>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400" w:lineRule="exact"/>
        <w:ind w:firstLine="420" w:firstLineChars="200"/>
        <w:rPr>
          <w:rFonts w:hint="eastAsia"/>
          <w:color w:val="auto"/>
          <w:highlight w:val="none"/>
        </w:rPr>
      </w:pPr>
      <w:r>
        <w:rPr>
          <w:rFonts w:hint="eastAsia"/>
          <w:color w:val="auto"/>
          <w:highlight w:val="none"/>
        </w:rPr>
        <w:t>7.2.3在产生中标候选人后，招标人将中标候选人的投标文件商务部分的电子版（包括人员、业绩、奖项等资料）在广州公共资源交易中心、广东省招标投标监管网公开。</w:t>
      </w:r>
    </w:p>
    <w:p>
      <w:pPr>
        <w:pStyle w:val="4"/>
        <w:rPr>
          <w:color w:val="auto"/>
          <w:highlight w:val="none"/>
        </w:rPr>
      </w:pPr>
      <w:r>
        <w:rPr>
          <w:rFonts w:hint="eastAsia" w:ascii="Times New Roman" w:hAnsi="Times New Roman"/>
          <w:color w:val="auto"/>
          <w:highlight w:val="none"/>
        </w:rPr>
        <w:t>7.3</w:t>
      </w:r>
      <w:r>
        <w:rPr>
          <w:rFonts w:hint="eastAsia"/>
          <w:color w:val="auto"/>
          <w:highlight w:val="none"/>
        </w:rPr>
        <w:t xml:space="preserve"> 中标通知</w:t>
      </w:r>
      <w:bookmarkEnd w:id="313"/>
      <w:bookmarkEnd w:id="314"/>
      <w:bookmarkEnd w:id="315"/>
      <w:bookmarkEnd w:id="316"/>
      <w:bookmarkEnd w:id="317"/>
      <w:bookmarkEnd w:id="318"/>
      <w:bookmarkEnd w:id="319"/>
    </w:p>
    <w:p>
      <w:pPr>
        <w:spacing w:line="400" w:lineRule="exact"/>
        <w:ind w:firstLine="420" w:firstLineChars="200"/>
        <w:rPr>
          <w:color w:val="auto"/>
          <w:highlight w:val="none"/>
        </w:rPr>
      </w:pPr>
      <w:r>
        <w:rPr>
          <w:rFonts w:hint="eastAsia"/>
          <w:color w:val="auto"/>
          <w:highlight w:val="none"/>
        </w:rPr>
        <w:t>7.3.1在本章第3.3款规定的投标有效期内，招标人以书面形式向中标人发出中标通知书，同时将中标结果通知未中标的投标人。中标通知书按本章附表格式填写。</w:t>
      </w:r>
    </w:p>
    <w:p>
      <w:pPr>
        <w:spacing w:line="400" w:lineRule="exact"/>
        <w:ind w:firstLine="420" w:firstLineChars="200"/>
        <w:rPr>
          <w:color w:val="auto"/>
          <w:highlight w:val="none"/>
        </w:rPr>
      </w:pPr>
      <w:r>
        <w:rPr>
          <w:rFonts w:hint="eastAsia"/>
          <w:color w:val="auto"/>
          <w:highlight w:val="none"/>
        </w:rPr>
        <w:t>7.3.2 招标人应当自确定中标人后，向招投标监管机构提交招标投标情况的书面报告；经招投标监管机构备案后，方可发出中标通知书。中标通知书由招标人颁发，并经广州公共资源交易中心确认。</w:t>
      </w:r>
    </w:p>
    <w:p>
      <w:pPr>
        <w:pStyle w:val="4"/>
        <w:rPr>
          <w:color w:val="auto"/>
          <w:highlight w:val="none"/>
        </w:rPr>
      </w:pPr>
      <w:bookmarkStart w:id="320" w:name="_Toc152042345"/>
      <w:bookmarkStart w:id="321" w:name="_Toc144974537"/>
      <w:bookmarkStart w:id="322" w:name="_Toc25890"/>
      <w:bookmarkStart w:id="323" w:name="_Toc152045569"/>
      <w:bookmarkStart w:id="324" w:name="_Toc247513993"/>
      <w:bookmarkStart w:id="325" w:name="_Toc23913"/>
      <w:bookmarkStart w:id="326" w:name="_Toc247527594"/>
      <w:r>
        <w:rPr>
          <w:rFonts w:hint="eastAsia" w:ascii="Times New Roman" w:hAnsi="Times New Roman"/>
          <w:color w:val="auto"/>
          <w:highlight w:val="none"/>
        </w:rPr>
        <w:t>7.4</w:t>
      </w:r>
      <w:r>
        <w:rPr>
          <w:rFonts w:hint="eastAsia"/>
          <w:color w:val="auto"/>
          <w:highlight w:val="none"/>
        </w:rPr>
        <w:t xml:space="preserve"> 履约担保</w:t>
      </w:r>
      <w:bookmarkEnd w:id="320"/>
      <w:bookmarkEnd w:id="321"/>
      <w:bookmarkEnd w:id="322"/>
      <w:bookmarkEnd w:id="323"/>
      <w:bookmarkEnd w:id="324"/>
      <w:bookmarkEnd w:id="325"/>
      <w:bookmarkEnd w:id="326"/>
    </w:p>
    <w:p>
      <w:pPr>
        <w:spacing w:line="400" w:lineRule="exact"/>
        <w:ind w:firstLine="420" w:firstLineChars="200"/>
        <w:rPr>
          <w:color w:val="auto"/>
          <w:highlight w:val="none"/>
        </w:rPr>
      </w:pPr>
      <w:r>
        <w:rPr>
          <w:rFonts w:hint="eastAsia"/>
          <w:color w:val="auto"/>
          <w:highlight w:val="none"/>
        </w:rPr>
        <w:t>7.4.1 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联合体中标的，其履约担保由联合体各方或者联合体中牵头人的名义提交。</w:t>
      </w:r>
    </w:p>
    <w:p>
      <w:pPr>
        <w:spacing w:line="400" w:lineRule="exact"/>
        <w:ind w:firstLine="420" w:firstLineChars="200"/>
        <w:rPr>
          <w:color w:val="auto"/>
          <w:highlight w:val="none"/>
        </w:rPr>
      </w:pPr>
      <w:r>
        <w:rPr>
          <w:rFonts w:hint="eastAsia"/>
          <w:color w:val="auto"/>
          <w:highlight w:val="none"/>
        </w:rPr>
        <w:t>7.4.2 中标人不能按本章第7.4.1项要求提交履约担保的，视为放弃中标，其投标保证金不予退还，给招标人造成的损失超过投标保证金数额的，中标人还应当对超过部分予以赔偿。</w:t>
      </w:r>
    </w:p>
    <w:p>
      <w:pPr>
        <w:pStyle w:val="4"/>
        <w:rPr>
          <w:color w:val="auto"/>
          <w:highlight w:val="none"/>
        </w:rPr>
      </w:pPr>
      <w:bookmarkStart w:id="327" w:name="_Toc247513994"/>
      <w:bookmarkStart w:id="328" w:name="_Toc18469"/>
      <w:bookmarkStart w:id="329" w:name="_Toc247527595"/>
      <w:bookmarkStart w:id="330" w:name="_Toc144974538"/>
      <w:bookmarkStart w:id="331" w:name="_Toc152042346"/>
      <w:bookmarkStart w:id="332" w:name="_Toc13630"/>
      <w:bookmarkStart w:id="333" w:name="_Toc152045570"/>
      <w:r>
        <w:rPr>
          <w:rFonts w:hint="eastAsia" w:ascii="Times New Roman" w:hAnsi="Times New Roman"/>
          <w:color w:val="auto"/>
          <w:highlight w:val="none"/>
        </w:rPr>
        <w:t>7.5</w:t>
      </w:r>
      <w:r>
        <w:rPr>
          <w:rFonts w:hint="eastAsia"/>
          <w:color w:val="auto"/>
          <w:highlight w:val="none"/>
        </w:rPr>
        <w:t xml:space="preserve"> 签订合同</w:t>
      </w:r>
      <w:bookmarkEnd w:id="327"/>
      <w:bookmarkEnd w:id="328"/>
      <w:bookmarkEnd w:id="329"/>
      <w:bookmarkEnd w:id="330"/>
      <w:bookmarkEnd w:id="331"/>
      <w:bookmarkEnd w:id="332"/>
      <w:bookmarkEnd w:id="333"/>
    </w:p>
    <w:p>
      <w:pPr>
        <w:spacing w:line="400" w:lineRule="exact"/>
        <w:ind w:firstLine="420" w:firstLineChars="200"/>
        <w:rPr>
          <w:color w:val="auto"/>
          <w:highlight w:val="none"/>
        </w:rPr>
      </w:pPr>
      <w:r>
        <w:rPr>
          <w:rFonts w:hint="eastAsia"/>
          <w:color w:val="auto"/>
          <w:highlight w:val="none"/>
        </w:rPr>
        <w:t xml:space="preserve">7.5.1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pPr>
        <w:spacing w:line="400" w:lineRule="exact"/>
        <w:ind w:firstLine="420" w:firstLineChars="200"/>
        <w:rPr>
          <w:color w:val="auto"/>
          <w:highlight w:val="none"/>
        </w:rPr>
      </w:pPr>
      <w:r>
        <w:rPr>
          <w:rFonts w:hint="eastAsia"/>
          <w:color w:val="auto"/>
          <w:highlight w:val="none"/>
        </w:rPr>
        <w:t xml:space="preserve">7.5.2 发出中标通知书后，招标人无正当理由拒签合同的，招标人向中标人退还投标保证金；给中标人造成损失的，还应当赔偿损失。 </w:t>
      </w:r>
    </w:p>
    <w:p>
      <w:pPr>
        <w:pStyle w:val="3"/>
        <w:rPr>
          <w:color w:val="auto"/>
          <w:highlight w:val="none"/>
        </w:rPr>
      </w:pPr>
      <w:bookmarkStart w:id="334" w:name="_Toc152042347"/>
      <w:bookmarkStart w:id="335" w:name="_Toc144974539"/>
      <w:bookmarkStart w:id="336" w:name="_Toc247527596"/>
      <w:bookmarkStart w:id="337" w:name="_Toc152045571"/>
      <w:bookmarkStart w:id="338" w:name="_Toc247513995"/>
      <w:bookmarkStart w:id="339" w:name="_Toc23477"/>
      <w:bookmarkStart w:id="340" w:name="_Toc6837"/>
      <w:r>
        <w:rPr>
          <w:rFonts w:hint="eastAsia"/>
          <w:color w:val="auto"/>
          <w:highlight w:val="none"/>
        </w:rPr>
        <w:t>8.</w:t>
      </w:r>
      <w:bookmarkEnd w:id="334"/>
      <w:bookmarkEnd w:id="335"/>
      <w:bookmarkEnd w:id="336"/>
      <w:bookmarkEnd w:id="337"/>
      <w:bookmarkEnd w:id="338"/>
      <w:bookmarkStart w:id="341" w:name="_Toc152045574"/>
      <w:bookmarkStart w:id="342" w:name="_Toc247513998"/>
      <w:bookmarkStart w:id="343" w:name="_Toc247527599"/>
      <w:bookmarkStart w:id="344" w:name="_Toc144974542"/>
      <w:bookmarkStart w:id="345" w:name="_Toc152042350"/>
      <w:r>
        <w:rPr>
          <w:rFonts w:hint="eastAsia"/>
          <w:color w:val="auto"/>
          <w:highlight w:val="none"/>
        </w:rPr>
        <w:t xml:space="preserve"> 纪律和监督</w:t>
      </w:r>
      <w:bookmarkEnd w:id="339"/>
      <w:bookmarkEnd w:id="340"/>
      <w:bookmarkEnd w:id="341"/>
      <w:bookmarkEnd w:id="342"/>
      <w:bookmarkEnd w:id="343"/>
      <w:bookmarkEnd w:id="344"/>
      <w:bookmarkEnd w:id="345"/>
    </w:p>
    <w:p>
      <w:pPr>
        <w:pStyle w:val="4"/>
        <w:rPr>
          <w:color w:val="auto"/>
          <w:highlight w:val="none"/>
        </w:rPr>
      </w:pPr>
      <w:bookmarkStart w:id="346" w:name="_Toc32747"/>
      <w:bookmarkStart w:id="347" w:name="_Toc247513999"/>
      <w:bookmarkStart w:id="348" w:name="_Toc9436"/>
      <w:bookmarkStart w:id="349" w:name="_Toc247527600"/>
      <w:bookmarkStart w:id="350" w:name="_Toc152042351"/>
      <w:bookmarkStart w:id="351" w:name="_Toc152045575"/>
      <w:bookmarkStart w:id="352" w:name="_Toc144974543"/>
      <w:r>
        <w:rPr>
          <w:rFonts w:hint="eastAsia" w:ascii="Times New Roman" w:hAnsi="Times New Roman"/>
          <w:color w:val="auto"/>
          <w:highlight w:val="none"/>
        </w:rPr>
        <w:t>8.1</w:t>
      </w:r>
      <w:r>
        <w:rPr>
          <w:rFonts w:hint="eastAsia"/>
          <w:color w:val="auto"/>
          <w:highlight w:val="none"/>
        </w:rPr>
        <w:t xml:space="preserve"> 对招标人的纪律要求</w:t>
      </w:r>
      <w:bookmarkEnd w:id="346"/>
      <w:bookmarkEnd w:id="347"/>
      <w:bookmarkEnd w:id="348"/>
      <w:bookmarkEnd w:id="349"/>
      <w:bookmarkEnd w:id="350"/>
      <w:bookmarkEnd w:id="351"/>
      <w:bookmarkEnd w:id="352"/>
    </w:p>
    <w:p>
      <w:pPr>
        <w:spacing w:line="400" w:lineRule="exact"/>
        <w:ind w:firstLine="420" w:firstLineChars="200"/>
        <w:rPr>
          <w:color w:val="auto"/>
          <w:highlight w:val="none"/>
        </w:rPr>
      </w:pPr>
      <w:r>
        <w:rPr>
          <w:rFonts w:hint="eastAsia"/>
          <w:color w:val="auto"/>
          <w:highlight w:val="none"/>
        </w:rPr>
        <w:t>招标人不得泄漏招标投标活动中应当保密的情况和资料，不得与投标人串通损害国家利益、社会公共利益或者他人合法权益。</w:t>
      </w:r>
    </w:p>
    <w:p>
      <w:pPr>
        <w:pStyle w:val="4"/>
        <w:rPr>
          <w:color w:val="auto"/>
          <w:highlight w:val="none"/>
        </w:rPr>
      </w:pPr>
      <w:bookmarkStart w:id="353" w:name="_Toc152045576"/>
      <w:bookmarkStart w:id="354" w:name="_Toc247527601"/>
      <w:bookmarkStart w:id="355" w:name="_Toc144974544"/>
      <w:bookmarkStart w:id="356" w:name="_Toc247514000"/>
      <w:bookmarkStart w:id="357" w:name="_Toc152042352"/>
      <w:bookmarkStart w:id="358" w:name="_Toc14858"/>
      <w:bookmarkStart w:id="359" w:name="_Toc20721"/>
      <w:r>
        <w:rPr>
          <w:rFonts w:hint="eastAsia" w:ascii="Times New Roman" w:hAnsi="Times New Roman"/>
          <w:color w:val="auto"/>
          <w:highlight w:val="none"/>
        </w:rPr>
        <w:t>8.2</w:t>
      </w:r>
      <w:r>
        <w:rPr>
          <w:rFonts w:hint="eastAsia"/>
          <w:color w:val="auto"/>
          <w:highlight w:val="none"/>
        </w:rPr>
        <w:t xml:space="preserve"> 对投标人的纪律要求</w:t>
      </w:r>
      <w:bookmarkEnd w:id="353"/>
      <w:bookmarkEnd w:id="354"/>
      <w:bookmarkEnd w:id="355"/>
      <w:bookmarkEnd w:id="356"/>
      <w:bookmarkEnd w:id="357"/>
      <w:bookmarkEnd w:id="358"/>
      <w:bookmarkEnd w:id="359"/>
    </w:p>
    <w:p>
      <w:pPr>
        <w:spacing w:line="400" w:lineRule="exact"/>
        <w:ind w:firstLine="420" w:firstLineChars="200"/>
        <w:rPr>
          <w:color w:val="auto"/>
          <w:highlight w:val="none"/>
        </w:rPr>
      </w:pPr>
      <w:r>
        <w:rPr>
          <w:rFonts w:hint="eastAsia"/>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rPr>
          <w:color w:val="auto"/>
          <w:highlight w:val="none"/>
        </w:rPr>
      </w:pPr>
      <w:bookmarkStart w:id="360" w:name="_Toc247527602"/>
      <w:bookmarkStart w:id="361" w:name="_Toc152045577"/>
      <w:bookmarkStart w:id="362" w:name="_Toc247514001"/>
      <w:bookmarkStart w:id="363" w:name="_Toc3357"/>
      <w:bookmarkStart w:id="364" w:name="_Toc144974545"/>
      <w:bookmarkStart w:id="365" w:name="_Toc16012"/>
      <w:bookmarkStart w:id="366" w:name="_Toc152042353"/>
      <w:r>
        <w:rPr>
          <w:rFonts w:hint="eastAsia" w:ascii="Times New Roman" w:hAnsi="Times New Roman"/>
          <w:color w:val="auto"/>
          <w:highlight w:val="none"/>
        </w:rPr>
        <w:t>8.3</w:t>
      </w:r>
      <w:r>
        <w:rPr>
          <w:rFonts w:hint="eastAsia"/>
          <w:color w:val="auto"/>
          <w:highlight w:val="none"/>
        </w:rPr>
        <w:t xml:space="preserve"> 对评标委员会成员的纪律要求</w:t>
      </w:r>
      <w:bookmarkEnd w:id="360"/>
      <w:bookmarkEnd w:id="361"/>
      <w:bookmarkEnd w:id="362"/>
      <w:bookmarkEnd w:id="363"/>
      <w:bookmarkEnd w:id="364"/>
      <w:bookmarkEnd w:id="365"/>
      <w:bookmarkEnd w:id="366"/>
    </w:p>
    <w:p>
      <w:pPr>
        <w:spacing w:line="400" w:lineRule="exact"/>
        <w:ind w:firstLine="420" w:firstLineChars="200"/>
        <w:rPr>
          <w:color w:val="auto"/>
          <w:highlight w:val="none"/>
        </w:rPr>
      </w:pPr>
      <w:r>
        <w:rPr>
          <w:rFonts w:hint="eastAsia"/>
          <w:color w:val="auto"/>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4"/>
        <w:rPr>
          <w:color w:val="auto"/>
          <w:highlight w:val="none"/>
        </w:rPr>
      </w:pPr>
      <w:bookmarkStart w:id="367" w:name="_Toc152045578"/>
      <w:bookmarkStart w:id="368" w:name="_Toc247514002"/>
      <w:bookmarkStart w:id="369" w:name="_Toc18141"/>
      <w:bookmarkStart w:id="370" w:name="_Toc4993"/>
      <w:bookmarkStart w:id="371" w:name="_Toc152042354"/>
      <w:bookmarkStart w:id="372" w:name="_Toc247527603"/>
      <w:bookmarkStart w:id="373" w:name="_Toc144974546"/>
      <w:r>
        <w:rPr>
          <w:rFonts w:hint="eastAsia" w:ascii="Times New Roman" w:hAnsi="Times New Roman"/>
          <w:color w:val="auto"/>
          <w:highlight w:val="none"/>
        </w:rPr>
        <w:t>8.4</w:t>
      </w:r>
      <w:r>
        <w:rPr>
          <w:rFonts w:hint="eastAsia"/>
          <w:color w:val="auto"/>
          <w:highlight w:val="none"/>
        </w:rPr>
        <w:t xml:space="preserve"> 对与评标活动有关的工作人员的纪律要求</w:t>
      </w:r>
      <w:bookmarkEnd w:id="367"/>
      <w:bookmarkEnd w:id="368"/>
      <w:bookmarkEnd w:id="369"/>
      <w:bookmarkEnd w:id="370"/>
      <w:bookmarkEnd w:id="371"/>
      <w:bookmarkEnd w:id="372"/>
    </w:p>
    <w:p>
      <w:pPr>
        <w:spacing w:line="400" w:lineRule="exact"/>
        <w:ind w:firstLine="420" w:firstLineChars="200"/>
        <w:rPr>
          <w:color w:val="auto"/>
          <w:highlight w:val="none"/>
        </w:rPr>
      </w:pPr>
      <w:bookmarkStart w:id="374" w:name="_Toc152042355"/>
      <w:r>
        <w:rPr>
          <w:rFonts w:hint="eastAsia"/>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74"/>
    </w:p>
    <w:p>
      <w:pPr>
        <w:pStyle w:val="4"/>
        <w:rPr>
          <w:color w:val="auto"/>
          <w:highlight w:val="none"/>
        </w:rPr>
      </w:pPr>
      <w:bookmarkStart w:id="375" w:name="_Toc247514003"/>
      <w:bookmarkStart w:id="376" w:name="_Toc152042356"/>
      <w:bookmarkStart w:id="377" w:name="_Toc152045579"/>
      <w:bookmarkStart w:id="378" w:name="_Toc13736"/>
      <w:bookmarkStart w:id="379" w:name="_Toc247527604"/>
      <w:bookmarkStart w:id="380" w:name="_Toc1651"/>
      <w:r>
        <w:rPr>
          <w:rFonts w:hint="eastAsia" w:ascii="Times New Roman" w:hAnsi="Times New Roman"/>
          <w:color w:val="auto"/>
          <w:highlight w:val="none"/>
        </w:rPr>
        <w:t>8.5</w:t>
      </w:r>
      <w:r>
        <w:rPr>
          <w:rFonts w:hint="eastAsia"/>
          <w:color w:val="auto"/>
          <w:highlight w:val="none"/>
        </w:rPr>
        <w:t xml:space="preserve"> 投诉</w:t>
      </w:r>
      <w:bookmarkEnd w:id="373"/>
      <w:bookmarkEnd w:id="375"/>
      <w:bookmarkEnd w:id="376"/>
      <w:bookmarkEnd w:id="377"/>
      <w:bookmarkEnd w:id="378"/>
      <w:bookmarkEnd w:id="379"/>
      <w:bookmarkEnd w:id="380"/>
    </w:p>
    <w:p>
      <w:pPr>
        <w:spacing w:line="400" w:lineRule="exact"/>
        <w:ind w:firstLine="420" w:firstLineChars="200"/>
        <w:rPr>
          <w:color w:val="auto"/>
          <w:highlight w:val="none"/>
        </w:rPr>
      </w:pPr>
      <w:r>
        <w:rPr>
          <w:rFonts w:hint="eastAsia"/>
          <w:color w:val="auto"/>
          <w:highlight w:val="none"/>
        </w:rPr>
        <w:t>投标人和其他利害关系人认为本次招标活动违反法律、法规和规章规定的，有权向有关行政监督部门投诉。</w:t>
      </w:r>
    </w:p>
    <w:p>
      <w:pPr>
        <w:pStyle w:val="3"/>
        <w:rPr>
          <w:color w:val="auto"/>
          <w:highlight w:val="none"/>
        </w:rPr>
      </w:pPr>
      <w:bookmarkStart w:id="381" w:name="_Toc152042357"/>
      <w:bookmarkStart w:id="382" w:name="_Toc6725"/>
      <w:bookmarkStart w:id="383" w:name="_Toc21164"/>
      <w:bookmarkStart w:id="384" w:name="_Toc152045580"/>
      <w:bookmarkStart w:id="385" w:name="_Toc247514004"/>
      <w:bookmarkStart w:id="386" w:name="_Toc144974547"/>
      <w:bookmarkStart w:id="387" w:name="_Toc247527605"/>
      <w:r>
        <w:rPr>
          <w:rFonts w:hint="eastAsia"/>
          <w:color w:val="auto"/>
          <w:highlight w:val="none"/>
        </w:rPr>
        <w:t>9. 需要补充的其他内容</w:t>
      </w:r>
      <w:bookmarkEnd w:id="381"/>
      <w:bookmarkEnd w:id="382"/>
      <w:bookmarkEnd w:id="383"/>
      <w:bookmarkEnd w:id="384"/>
      <w:bookmarkEnd w:id="385"/>
      <w:bookmarkEnd w:id="386"/>
      <w:bookmarkEnd w:id="387"/>
    </w:p>
    <w:p>
      <w:pPr>
        <w:spacing w:line="400" w:lineRule="exact"/>
        <w:ind w:firstLine="420" w:firstLineChars="200"/>
        <w:rPr>
          <w:color w:val="auto"/>
          <w:highlight w:val="none"/>
        </w:rPr>
      </w:pPr>
      <w:r>
        <w:rPr>
          <w:rFonts w:hint="eastAsia"/>
          <w:color w:val="auto"/>
          <w:highlight w:val="none"/>
        </w:rPr>
        <w:t>需要补充的其他内容：见投标人须知前附表。</w:t>
      </w:r>
    </w:p>
    <w:p>
      <w:pPr>
        <w:pStyle w:val="3"/>
        <w:rPr>
          <w:color w:val="auto"/>
          <w:highlight w:val="none"/>
        </w:rPr>
      </w:pPr>
      <w:r>
        <w:rPr>
          <w:rFonts w:hint="eastAsia"/>
          <w:color w:val="auto"/>
          <w:highlight w:val="none"/>
        </w:rPr>
        <w:t>10. 电子招标投标</w:t>
      </w:r>
    </w:p>
    <w:p>
      <w:pPr>
        <w:spacing w:line="400" w:lineRule="exact"/>
        <w:ind w:firstLine="420" w:firstLineChars="200"/>
        <w:rPr>
          <w:color w:val="auto"/>
          <w:highlight w:val="none"/>
        </w:rPr>
      </w:pPr>
      <w:r>
        <w:rPr>
          <w:rFonts w:hint="eastAsia"/>
          <w:color w:val="auto"/>
          <w:highlight w:val="none"/>
        </w:rPr>
        <w:t>采用电子招标投标，对投标文件的编制、密封和标记、递交、开标、评标等具体要求，见投标人须知前附表。</w:t>
      </w:r>
    </w:p>
    <w:p>
      <w:pPr>
        <w:pStyle w:val="16"/>
        <w:rPr>
          <w:color w:val="auto"/>
          <w:highlight w:val="none"/>
        </w:rPr>
      </w:pPr>
    </w:p>
    <w:p>
      <w:pPr>
        <w:spacing w:line="360" w:lineRule="auto"/>
        <w:rPr>
          <w:rFonts w:ascii="宋体" w:hAnsi="宋体" w:cs="宋体"/>
          <w:color w:val="auto"/>
          <w:kern w:val="1"/>
          <w:highlight w:val="none"/>
        </w:rPr>
        <w:sectPr>
          <w:footerReference r:id="rId3" w:type="default"/>
          <w:pgSz w:w="11906" w:h="16838"/>
          <w:pgMar w:top="1440" w:right="1269" w:bottom="1440" w:left="1597" w:header="851" w:footer="992" w:gutter="0"/>
          <w:pgNumType w:start="1"/>
          <w:cols w:space="720" w:num="1"/>
          <w:titlePg/>
          <w:docGrid w:linePitch="286" w:charSpace="0"/>
        </w:sectPr>
      </w:pPr>
    </w:p>
    <w:p>
      <w:pPr>
        <w:pStyle w:val="4"/>
        <w:spacing w:line="415" w:lineRule="auto"/>
        <w:ind w:firstLineChars="49"/>
        <w:rPr>
          <w:rFonts w:hAnsi="宋体"/>
          <w:bCs/>
          <w:color w:val="auto"/>
          <w:kern w:val="2"/>
          <w:highlight w:val="none"/>
        </w:rPr>
      </w:pPr>
      <w:bookmarkStart w:id="388" w:name="_Toc5620345"/>
      <w:r>
        <w:rPr>
          <w:rFonts w:hint="eastAsia" w:hAnsi="宋体"/>
          <w:bCs/>
          <w:color w:val="auto"/>
          <w:kern w:val="2"/>
          <w:highlight w:val="none"/>
        </w:rPr>
        <w:t>附件一：开标记录表</w:t>
      </w:r>
      <w:bookmarkEnd w:id="388"/>
    </w:p>
    <w:p>
      <w:pPr>
        <w:spacing w:line="400" w:lineRule="exact"/>
        <w:ind w:right="420"/>
        <w:jc w:val="center"/>
        <w:rPr>
          <w:color w:val="auto"/>
          <w:sz w:val="28"/>
          <w:szCs w:val="28"/>
          <w:highlight w:val="none"/>
        </w:rPr>
      </w:pPr>
      <w:r>
        <w:rPr>
          <w:rFonts w:hint="eastAsia" w:ascii="宋体" w:hAnsi="宋体" w:cs="宋体"/>
          <w:color w:val="auto"/>
          <w:sz w:val="28"/>
          <w:szCs w:val="28"/>
          <w:highlight w:val="none"/>
        </w:rPr>
        <w:t>开标记录表采用广州公共资源交易中心系统生成格式</w:t>
      </w:r>
    </w:p>
    <w:p>
      <w:pPr>
        <w:spacing w:line="360" w:lineRule="auto"/>
        <w:ind w:right="420"/>
        <w:jc w:val="center"/>
        <w:rPr>
          <w:color w:val="auto"/>
          <w:szCs w:val="21"/>
          <w:highlight w:val="none"/>
        </w:rPr>
      </w:pPr>
      <w:r>
        <w:rPr>
          <w:color w:val="auto"/>
          <w:szCs w:val="21"/>
          <w:highlight w:val="none"/>
        </w:rPr>
        <w:t xml:space="preserve">    </w:t>
      </w:r>
    </w:p>
    <w:p>
      <w:pPr>
        <w:spacing w:line="360" w:lineRule="auto"/>
        <w:ind w:right="420"/>
        <w:jc w:val="center"/>
        <w:rPr>
          <w:rFonts w:ascii="宋体" w:hAnsi="宋体" w:cs="宋体"/>
          <w:color w:val="auto"/>
          <w:kern w:val="1"/>
          <w:szCs w:val="21"/>
          <w:highlight w:val="none"/>
          <w:u w:val="single"/>
        </w:rPr>
        <w:sectPr>
          <w:headerReference r:id="rId4" w:type="default"/>
          <w:footerReference r:id="rId5" w:type="default"/>
          <w:pgSz w:w="11906" w:h="16838"/>
          <w:pgMar w:top="1304" w:right="1304" w:bottom="1304" w:left="1361" w:header="851" w:footer="992" w:gutter="0"/>
          <w:cols w:space="720" w:num="1"/>
        </w:sectPr>
      </w:pPr>
      <w:r>
        <w:rPr>
          <w:color w:val="auto"/>
          <w:szCs w:val="21"/>
          <w:highlight w:val="none"/>
        </w:rPr>
        <w:t xml:space="preserve">   </w:t>
      </w:r>
    </w:p>
    <w:p>
      <w:pPr>
        <w:pStyle w:val="2"/>
        <w:spacing w:line="360" w:lineRule="auto"/>
        <w:jc w:val="center"/>
        <w:rPr>
          <w:rFonts w:ascii="宋体" w:hAnsi="宋体" w:cs="宋体"/>
          <w:color w:val="auto"/>
          <w:kern w:val="1"/>
          <w:highlight w:val="none"/>
        </w:rPr>
      </w:pPr>
      <w:bookmarkStart w:id="389" w:name="_Toc31642"/>
      <w:bookmarkEnd w:id="389"/>
      <w:bookmarkStart w:id="390" w:name="_Toc16394"/>
      <w:bookmarkStart w:id="391" w:name="_Toc5620346"/>
      <w:r>
        <w:rPr>
          <w:rFonts w:hint="eastAsia" w:ascii="宋体" w:hAnsi="宋体" w:cs="宋体"/>
          <w:color w:val="auto"/>
          <w:kern w:val="1"/>
          <w:highlight w:val="none"/>
        </w:rPr>
        <w:t>第三章 评标办法（综合评估法）</w:t>
      </w:r>
      <w:bookmarkEnd w:id="390"/>
      <w:bookmarkEnd w:id="391"/>
    </w:p>
    <w:p>
      <w:pPr>
        <w:pStyle w:val="3"/>
        <w:spacing w:line="415" w:lineRule="auto"/>
        <w:jc w:val="left"/>
        <w:rPr>
          <w:bCs/>
          <w:color w:val="auto"/>
          <w:kern w:val="2"/>
          <w:highlight w:val="none"/>
        </w:rPr>
      </w:pPr>
      <w:r>
        <w:rPr>
          <w:rFonts w:hint="eastAsia"/>
          <w:bCs/>
          <w:color w:val="auto"/>
          <w:kern w:val="2"/>
          <w:highlight w:val="none"/>
        </w:rPr>
        <w:t>评标办法前附表</w:t>
      </w:r>
    </w:p>
    <w:tbl>
      <w:tblPr>
        <w:tblStyle w:val="17"/>
        <w:tblW w:w="935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9"/>
        <w:gridCol w:w="1158"/>
        <w:gridCol w:w="1821"/>
        <w:gridCol w:w="148"/>
        <w:gridCol w:w="53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07" w:type="dxa"/>
            <w:gridSpan w:val="2"/>
            <w:tcBorders>
              <w:top w:val="single" w:color="auto" w:sz="4" w:space="0"/>
              <w:bottom w:val="single" w:color="auto" w:sz="4" w:space="0"/>
              <w:right w:val="single" w:color="auto" w:sz="4" w:space="0"/>
            </w:tcBorders>
            <w:noWrap w:val="0"/>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182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评审因素</w:t>
            </w:r>
          </w:p>
        </w:tc>
        <w:tc>
          <w:tcPr>
            <w:tcW w:w="552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9" w:type="dxa"/>
            <w:vMerge w:val="restart"/>
            <w:tcBorders>
              <w:top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2.1.1</w:t>
            </w:r>
          </w:p>
        </w:tc>
        <w:tc>
          <w:tcPr>
            <w:tcW w:w="1158" w:type="dxa"/>
            <w:vMerge w:val="restart"/>
            <w:tcBorders>
              <w:top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形式评审标准</w:t>
            </w:r>
          </w:p>
        </w:tc>
        <w:tc>
          <w:tcPr>
            <w:tcW w:w="182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552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9" w:type="dxa"/>
            <w:vMerge w:val="continue"/>
            <w:tcBorders>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158" w:type="dxa"/>
            <w:vMerge w:val="continue"/>
            <w:tcBorders>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法定代表人证明及授权</w:t>
            </w:r>
          </w:p>
        </w:tc>
        <w:tc>
          <w:tcPr>
            <w:tcW w:w="552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投标文件中有有效的法定代表人证明书，或由委托代理人签字或盖章的投标文件中有法定代表人证明书和授权委托证明书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9" w:type="dxa"/>
            <w:vMerge w:val="continue"/>
            <w:tcBorders>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158" w:type="dxa"/>
            <w:vMerge w:val="continue"/>
            <w:tcBorders>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投标承诺函</w:t>
            </w:r>
          </w:p>
        </w:tc>
        <w:tc>
          <w:tcPr>
            <w:tcW w:w="552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投标承诺函内容与招标文件规定一致，且按规定加盖投标人电子印章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849" w:type="dxa"/>
            <w:vMerge w:val="continue"/>
            <w:tcBorders>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158" w:type="dxa"/>
            <w:vMerge w:val="continue"/>
            <w:tcBorders>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投标文件格式</w:t>
            </w:r>
          </w:p>
        </w:tc>
        <w:tc>
          <w:tcPr>
            <w:tcW w:w="552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符合第七章“投标文件格式”的要求（《投标</w:t>
            </w:r>
            <w:r>
              <w:rPr>
                <w:rFonts w:hint="eastAsia" w:ascii="宋体" w:hAnsi="宋体" w:cs="宋体"/>
                <w:color w:val="auto"/>
                <w:szCs w:val="21"/>
                <w:highlight w:val="none"/>
              </w:rPr>
              <w:t>书》、《投标承诺函》、《投标文件编制人员名单》）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849" w:type="dxa"/>
            <w:vMerge w:val="continue"/>
            <w:tcBorders>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158" w:type="dxa"/>
            <w:vMerge w:val="continue"/>
            <w:tcBorders>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821" w:type="dxa"/>
            <w:tcBorders>
              <w:top w:val="single" w:color="auto" w:sz="4" w:space="0"/>
              <w:left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报价唯一</w:t>
            </w:r>
          </w:p>
        </w:tc>
        <w:tc>
          <w:tcPr>
            <w:tcW w:w="552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849" w:type="dxa"/>
            <w:vMerge w:val="continue"/>
            <w:tcBorders>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158" w:type="dxa"/>
            <w:vMerge w:val="continue"/>
            <w:tcBorders>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821" w:type="dxa"/>
            <w:tcBorders>
              <w:top w:val="single" w:color="auto" w:sz="4" w:space="0"/>
              <w:left w:val="single" w:color="auto" w:sz="4" w:space="0"/>
              <w:right w:val="single" w:color="auto" w:sz="4" w:space="0"/>
            </w:tcBorders>
            <w:noWrap w:val="0"/>
            <w:vAlign w:val="center"/>
          </w:tcPr>
          <w:p>
            <w:pPr>
              <w:spacing w:line="440" w:lineRule="exact"/>
              <w:jc w:val="center"/>
              <w:rPr>
                <w:rFonts w:hint="eastAsia" w:ascii="宋体" w:hAnsi="宋体" w:cs="宋体"/>
                <w:strike/>
                <w:color w:val="auto"/>
                <w:szCs w:val="21"/>
                <w:highlight w:val="none"/>
              </w:rPr>
            </w:pPr>
            <w:r>
              <w:rPr>
                <w:rFonts w:hint="eastAsia" w:ascii="宋体" w:hAnsi="宋体" w:cs="宋体"/>
                <w:strike/>
                <w:color w:val="auto"/>
                <w:szCs w:val="21"/>
                <w:highlight w:val="none"/>
              </w:rPr>
              <w:t>投标保证金递交情况</w:t>
            </w:r>
          </w:p>
        </w:tc>
        <w:tc>
          <w:tcPr>
            <w:tcW w:w="552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strike/>
                <w:color w:val="auto"/>
                <w:szCs w:val="21"/>
                <w:highlight w:val="none"/>
              </w:rPr>
            </w:pPr>
            <w:r>
              <w:rPr>
                <w:rFonts w:hint="eastAsia" w:ascii="宋体" w:hAnsi="宋体" w:cs="宋体"/>
                <w:strike/>
                <w:color w:val="auto"/>
                <w:szCs w:val="21"/>
                <w:highlight w:val="none"/>
              </w:rPr>
              <w:t>按招标文件要求递交投标保证金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9" w:type="dxa"/>
            <w:vMerge w:val="continue"/>
            <w:tcBorders>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158" w:type="dxa"/>
            <w:vMerge w:val="continue"/>
            <w:tcBorders>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机器特征码一致</w:t>
            </w:r>
          </w:p>
        </w:tc>
        <w:tc>
          <w:tcPr>
            <w:tcW w:w="552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投标人与本项目其他投标人加密打包投标文件电脑机器特征码不一致(以广州公共资源交易中心交易平台评标系统的检索信息为准)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9" w:type="dxa"/>
            <w:vMerge w:val="continue"/>
            <w:tcBorders>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158" w:type="dxa"/>
            <w:vMerge w:val="continue"/>
            <w:tcBorders>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备选投标方案</w:t>
            </w:r>
          </w:p>
        </w:tc>
        <w:tc>
          <w:tcPr>
            <w:tcW w:w="552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不得提交备选投标方案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9" w:type="dxa"/>
            <w:vMerge w:val="restart"/>
            <w:tcBorders>
              <w:top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2.1.2</w:t>
            </w:r>
          </w:p>
        </w:tc>
        <w:tc>
          <w:tcPr>
            <w:tcW w:w="1158" w:type="dxa"/>
            <w:vMerge w:val="restart"/>
            <w:tcBorders>
              <w:top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资格评审标准</w:t>
            </w:r>
          </w:p>
        </w:tc>
        <w:tc>
          <w:tcPr>
            <w:tcW w:w="182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营业执照</w:t>
            </w:r>
          </w:p>
        </w:tc>
        <w:tc>
          <w:tcPr>
            <w:tcW w:w="552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9"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158"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资质等级</w:t>
            </w:r>
          </w:p>
        </w:tc>
        <w:tc>
          <w:tcPr>
            <w:tcW w:w="552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9"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158"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552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849"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158"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设计负责人</w:t>
            </w:r>
          </w:p>
        </w:tc>
        <w:tc>
          <w:tcPr>
            <w:tcW w:w="552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9"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158"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u w:val="single"/>
              </w:rPr>
            </w:pPr>
            <w:r>
              <w:rPr>
                <w:rFonts w:hint="eastAsia" w:ascii="宋体" w:hAnsi="宋体" w:cs="宋体"/>
                <w:color w:val="auto"/>
                <w:szCs w:val="21"/>
                <w:highlight w:val="none"/>
                <w:u w:val="single"/>
              </w:rPr>
              <w:t>技术负责人</w:t>
            </w:r>
          </w:p>
        </w:tc>
        <w:tc>
          <w:tcPr>
            <w:tcW w:w="552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s="宋体"/>
                <w:color w:val="auto"/>
                <w:szCs w:val="21"/>
                <w:highlight w:val="none"/>
                <w:u w:val="single"/>
              </w:rPr>
            </w:pPr>
            <w:r>
              <w:rPr>
                <w:rFonts w:hint="eastAsia" w:ascii="宋体" w:hAnsi="宋体" w:cs="宋体"/>
                <w:color w:val="auto"/>
                <w:szCs w:val="21"/>
                <w:highlight w:val="none"/>
                <w:u w:val="singl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9"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158"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专职安全员</w:t>
            </w:r>
          </w:p>
        </w:tc>
        <w:tc>
          <w:tcPr>
            <w:tcW w:w="552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9"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158"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其他要求</w:t>
            </w:r>
          </w:p>
        </w:tc>
        <w:tc>
          <w:tcPr>
            <w:tcW w:w="552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9"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158"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u w:val="single"/>
              </w:rPr>
              <w:t>未被列入拖欠农民工工资失信联合惩戒对象名单</w:t>
            </w:r>
          </w:p>
        </w:tc>
        <w:tc>
          <w:tcPr>
            <w:tcW w:w="552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color w:val="auto"/>
                <w:szCs w:val="21"/>
                <w:highlight w:val="none"/>
              </w:rPr>
            </w:pPr>
            <w:r>
              <w:rPr>
                <w:rFonts w:hint="eastAsia" w:cs="宋体"/>
                <w:color w:val="auto"/>
                <w:szCs w:val="21"/>
                <w:highlight w:val="none"/>
                <w:u w:val="single"/>
              </w:rPr>
              <w:t>投标人无需提供资料，按交易系统比对的结果进行评审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9"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158"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联合体投标人</w:t>
            </w:r>
          </w:p>
        </w:tc>
        <w:tc>
          <w:tcPr>
            <w:tcW w:w="552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849" w:type="dxa"/>
            <w:vMerge w:val="restart"/>
            <w:tcBorders>
              <w:top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2.1.3（1）</w:t>
            </w:r>
          </w:p>
        </w:tc>
        <w:tc>
          <w:tcPr>
            <w:tcW w:w="1158" w:type="dxa"/>
            <w:vMerge w:val="restart"/>
            <w:tcBorders>
              <w:top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r>
              <w:rPr>
                <w:rFonts w:hint="eastAsia"/>
                <w:color w:val="auto"/>
                <w:szCs w:val="21"/>
                <w:highlight w:val="none"/>
              </w:rPr>
              <w:t>设计方案文件响应性评审标准</w:t>
            </w:r>
          </w:p>
        </w:tc>
        <w:tc>
          <w:tcPr>
            <w:tcW w:w="1821" w:type="dxa"/>
            <w:tcBorders>
              <w:top w:val="single" w:color="auto" w:sz="4" w:space="0"/>
              <w:left w:val="single" w:color="auto" w:sz="4" w:space="0"/>
              <w:right w:val="single" w:color="auto" w:sz="4" w:space="0"/>
            </w:tcBorders>
            <w:noWrap w:val="0"/>
            <w:vAlign w:val="center"/>
          </w:tcPr>
          <w:p>
            <w:pPr>
              <w:jc w:val="center"/>
              <w:rPr>
                <w:rFonts w:ascii="宋体" w:hAnsi="宋体" w:cs="宋体"/>
                <w:color w:val="auto"/>
                <w:szCs w:val="21"/>
                <w:highlight w:val="none"/>
              </w:rPr>
            </w:pPr>
            <w:r>
              <w:rPr>
                <w:rFonts w:hint="eastAsia"/>
                <w:color w:val="auto"/>
                <w:szCs w:val="21"/>
                <w:highlight w:val="none"/>
              </w:rPr>
              <w:t>暗标形式</w:t>
            </w:r>
          </w:p>
        </w:tc>
        <w:tc>
          <w:tcPr>
            <w:tcW w:w="552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color w:val="auto"/>
                <w:szCs w:val="21"/>
                <w:highlight w:val="none"/>
              </w:rPr>
              <w:t>投标人未在设计方案上标注或做任何可以辨认投标人及专业技术人员身份的名称、印章、商标、图形等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849" w:type="dxa"/>
            <w:vMerge w:val="continue"/>
            <w:tcBorders>
              <w:right w:val="single" w:color="auto" w:sz="4" w:space="0"/>
            </w:tcBorders>
            <w:noWrap w:val="0"/>
            <w:vAlign w:val="center"/>
          </w:tcPr>
          <w:p>
            <w:pPr>
              <w:spacing w:line="440" w:lineRule="exact"/>
              <w:jc w:val="center"/>
              <w:rPr>
                <w:rFonts w:hint="eastAsia" w:ascii="宋体" w:hAnsi="宋体" w:cs="宋体"/>
                <w:color w:val="auto"/>
                <w:szCs w:val="21"/>
                <w:highlight w:val="none"/>
              </w:rPr>
            </w:pPr>
          </w:p>
        </w:tc>
        <w:tc>
          <w:tcPr>
            <w:tcW w:w="1158" w:type="dxa"/>
            <w:vMerge w:val="continue"/>
            <w:tcBorders>
              <w:right w:val="single" w:color="auto" w:sz="4" w:space="0"/>
            </w:tcBorders>
            <w:noWrap w:val="0"/>
            <w:vAlign w:val="center"/>
          </w:tcPr>
          <w:p>
            <w:pPr>
              <w:spacing w:line="440" w:lineRule="exact"/>
              <w:jc w:val="center"/>
              <w:rPr>
                <w:rFonts w:hint="eastAsia"/>
                <w:color w:val="auto"/>
                <w:szCs w:val="21"/>
                <w:highlight w:val="none"/>
              </w:rPr>
            </w:pPr>
          </w:p>
        </w:tc>
        <w:tc>
          <w:tcPr>
            <w:tcW w:w="1821" w:type="dxa"/>
            <w:tcBorders>
              <w:top w:val="single" w:color="auto" w:sz="4" w:space="0"/>
              <w:left w:val="single" w:color="auto" w:sz="4" w:space="0"/>
              <w:right w:val="single" w:color="auto" w:sz="4" w:space="0"/>
            </w:tcBorders>
            <w:noWrap w:val="0"/>
            <w:vAlign w:val="center"/>
          </w:tcPr>
          <w:p>
            <w:pPr>
              <w:jc w:val="center"/>
              <w:rPr>
                <w:rFonts w:hint="eastAsia"/>
                <w:color w:val="auto"/>
                <w:szCs w:val="21"/>
                <w:highlight w:val="none"/>
              </w:rPr>
            </w:pPr>
            <w:r>
              <w:rPr>
                <w:rFonts w:hint="eastAsia"/>
                <w:color w:val="auto"/>
                <w:szCs w:val="21"/>
                <w:highlight w:val="none"/>
              </w:rPr>
              <w:t>明标暗标互相印证</w:t>
            </w:r>
          </w:p>
        </w:tc>
        <w:tc>
          <w:tcPr>
            <w:tcW w:w="552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color w:val="auto"/>
                <w:szCs w:val="21"/>
                <w:highlight w:val="none"/>
              </w:rPr>
            </w:pPr>
            <w:r>
              <w:rPr>
                <w:rFonts w:hint="eastAsia"/>
                <w:color w:val="auto"/>
                <w:szCs w:val="21"/>
                <w:highlight w:val="none"/>
              </w:rPr>
              <w:t>投标文件未通过明标、暗标中包含的相同内容（如报价等）互相印证、辨认投标人身份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849"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158"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821" w:type="dxa"/>
            <w:tcBorders>
              <w:top w:val="single" w:color="auto" w:sz="4" w:space="0"/>
              <w:left w:val="single" w:color="auto" w:sz="4" w:space="0"/>
              <w:right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方案唯一性</w:t>
            </w:r>
          </w:p>
        </w:tc>
        <w:tc>
          <w:tcPr>
            <w:tcW w:w="552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投标人不存在明显抄袭行为；</w:t>
            </w:r>
            <w:r>
              <w:rPr>
                <w:rFonts w:hint="eastAsia"/>
                <w:highlight w:val="none"/>
              </w:rPr>
              <w:t>投标文件</w:t>
            </w:r>
            <w:r>
              <w:rPr>
                <w:rFonts w:hint="eastAsia" w:ascii="宋体" w:hAnsi="宋体" w:cs="宋体"/>
                <w:color w:val="auto"/>
                <w:szCs w:val="21"/>
                <w:highlight w:val="none"/>
              </w:rPr>
              <w:t>未发现侵犯他人著作权和特许权；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849"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158"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821" w:type="dxa"/>
            <w:tcBorders>
              <w:top w:val="single" w:color="auto" w:sz="4" w:space="0"/>
              <w:left w:val="single" w:color="auto" w:sz="4" w:space="0"/>
              <w:right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合法合规性</w:t>
            </w:r>
          </w:p>
        </w:tc>
        <w:tc>
          <w:tcPr>
            <w:tcW w:w="5528"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Cs w:val="21"/>
                <w:highlight w:val="none"/>
              </w:rPr>
            </w:pPr>
            <w:r>
              <w:rPr>
                <w:rFonts w:hint="eastAsia" w:ascii="宋体" w:hAnsi="宋体" w:cs="宋体"/>
                <w:color w:val="auto"/>
                <w:szCs w:val="21"/>
                <w:highlight w:val="none"/>
              </w:rPr>
              <w:t>投标人之间不存在《广东省实施&lt;中华人民共和国招标投标法&gt;》第十六条所禁止的情形的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9" w:type="dxa"/>
            <w:vMerge w:val="restart"/>
            <w:tcBorders>
              <w:top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2.1.3（2）</w:t>
            </w:r>
          </w:p>
          <w:p>
            <w:pPr>
              <w:spacing w:line="440" w:lineRule="exact"/>
              <w:jc w:val="center"/>
              <w:rPr>
                <w:rFonts w:ascii="宋体" w:hAnsi="宋体" w:cs="宋体"/>
                <w:color w:val="auto"/>
                <w:szCs w:val="21"/>
                <w:highlight w:val="none"/>
              </w:rPr>
            </w:pPr>
          </w:p>
        </w:tc>
        <w:tc>
          <w:tcPr>
            <w:tcW w:w="1158" w:type="dxa"/>
            <w:vMerge w:val="restart"/>
            <w:tcBorders>
              <w:top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r>
              <w:rPr>
                <w:rFonts w:hint="eastAsia"/>
                <w:color w:val="auto"/>
                <w:szCs w:val="21"/>
                <w:highlight w:val="none"/>
              </w:rPr>
              <w:t>工程总承包实施方案文件（含投标报价）</w:t>
            </w:r>
            <w:r>
              <w:rPr>
                <w:rFonts w:hint="eastAsia" w:ascii="宋体" w:hAnsi="宋体" w:cs="宋体"/>
                <w:color w:val="auto"/>
                <w:szCs w:val="21"/>
                <w:highlight w:val="none"/>
              </w:rPr>
              <w:t>响应性评审标准</w:t>
            </w:r>
          </w:p>
        </w:tc>
        <w:tc>
          <w:tcPr>
            <w:tcW w:w="182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投标报价</w:t>
            </w:r>
          </w:p>
        </w:tc>
        <w:tc>
          <w:tcPr>
            <w:tcW w:w="552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符合第二章“投标人须知”第3.2.4项规定且不</w:t>
            </w:r>
            <w:r>
              <w:rPr>
                <w:rFonts w:hint="eastAsia" w:ascii="宋体" w:cs="宋体"/>
                <w:color w:val="auto"/>
                <w:szCs w:val="21"/>
                <w:highlight w:val="none"/>
              </w:rPr>
              <w:t>低于成本价（如低于成本警戒价，或明显低于其他投标报价，使得其投标报价可能低于其个别成本，又不能合理说明或者不能提供相关证明材料，评标委员会认定该投标人低于成本报价的）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9"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158"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投标内容</w:t>
            </w:r>
          </w:p>
        </w:tc>
        <w:tc>
          <w:tcPr>
            <w:tcW w:w="552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9"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158"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工期</w:t>
            </w:r>
          </w:p>
        </w:tc>
        <w:tc>
          <w:tcPr>
            <w:tcW w:w="552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9"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158"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质量标准</w:t>
            </w:r>
          </w:p>
        </w:tc>
        <w:tc>
          <w:tcPr>
            <w:tcW w:w="552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9"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158"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552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trPr>
        <w:tc>
          <w:tcPr>
            <w:tcW w:w="849" w:type="dxa"/>
            <w:vMerge w:val="continue"/>
            <w:tcBorders>
              <w:top w:val="single" w:color="auto" w:sz="4" w:space="0"/>
              <w:bottom w:val="single" w:color="auto" w:sz="4" w:space="0"/>
              <w:right w:val="single" w:color="auto" w:sz="4" w:space="0"/>
            </w:tcBorders>
            <w:noWrap w:val="0"/>
            <w:vAlign w:val="center"/>
          </w:tcPr>
          <w:p>
            <w:pPr>
              <w:spacing w:line="440" w:lineRule="exact"/>
              <w:rPr>
                <w:rFonts w:ascii="宋体" w:hAnsi="宋体" w:cs="宋体"/>
                <w:color w:val="auto"/>
                <w:szCs w:val="21"/>
                <w:highlight w:val="none"/>
              </w:rPr>
            </w:pPr>
          </w:p>
        </w:tc>
        <w:tc>
          <w:tcPr>
            <w:tcW w:w="1158"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合法合规性</w:t>
            </w:r>
          </w:p>
        </w:tc>
        <w:tc>
          <w:tcPr>
            <w:tcW w:w="552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投标人之间不存在《广东省实施&lt;中华人民共和国招标投标法&gt;》第十六条所禁止的情形的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07" w:type="dxa"/>
            <w:gridSpan w:val="2"/>
            <w:tcBorders>
              <w:top w:val="single" w:color="auto" w:sz="4" w:space="0"/>
              <w:bottom w:val="single" w:color="auto" w:sz="4" w:space="0"/>
              <w:right w:val="single" w:color="auto" w:sz="4" w:space="0"/>
            </w:tcBorders>
            <w:noWrap w:val="0"/>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182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条款内容</w:t>
            </w:r>
          </w:p>
        </w:tc>
        <w:tc>
          <w:tcPr>
            <w:tcW w:w="552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r>
              <w:rPr>
                <w:rFonts w:hint="eastAsia" w:ascii="宋体" w:hAnsi="宋体" w:cs="宋体"/>
                <w:b/>
                <w:color w:val="auto"/>
                <w:szCs w:val="21"/>
                <w:highlight w:val="none"/>
              </w:rPr>
              <w:t>编制内容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07" w:type="dxa"/>
            <w:gridSpan w:val="2"/>
            <w:tcBorders>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2.2.1</w:t>
            </w:r>
          </w:p>
        </w:tc>
        <w:tc>
          <w:tcPr>
            <w:tcW w:w="182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分值构成</w:t>
            </w:r>
          </w:p>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(总分100分)</w:t>
            </w:r>
          </w:p>
        </w:tc>
        <w:tc>
          <w:tcPr>
            <w:tcW w:w="5528" w:type="dxa"/>
            <w:gridSpan w:val="2"/>
            <w:tcBorders>
              <w:top w:val="single" w:color="auto" w:sz="4" w:space="0"/>
              <w:left w:val="single" w:color="auto" w:sz="4" w:space="0"/>
              <w:bottom w:val="single" w:color="auto" w:sz="4" w:space="0"/>
              <w:right w:val="single" w:color="auto" w:sz="4" w:space="0"/>
            </w:tcBorders>
            <w:noWrap w:val="0"/>
            <w:vAlign w:val="center"/>
          </w:tcPr>
          <w:p>
            <w:pPr>
              <w:pStyle w:val="15"/>
              <w:ind w:firstLine="41"/>
              <w:rPr>
                <w:rFonts w:ascii="宋体" w:hAnsi="宋体"/>
                <w:color w:val="auto"/>
                <w:szCs w:val="21"/>
                <w:highlight w:val="none"/>
              </w:rPr>
            </w:pPr>
            <w:r>
              <w:rPr>
                <w:rFonts w:hint="eastAsia" w:ascii="宋体" w:hAnsi="宋体"/>
                <w:color w:val="auto"/>
                <w:szCs w:val="21"/>
                <w:highlight w:val="none"/>
              </w:rPr>
              <w:t>投标人总得分（满分为100分），</w:t>
            </w:r>
            <w:r>
              <w:rPr>
                <w:rFonts w:hint="eastAsia" w:ascii="宋体" w:hAnsi="宋体"/>
                <w:b/>
                <w:bCs/>
                <w:color w:val="auto"/>
                <w:szCs w:val="21"/>
                <w:highlight w:val="none"/>
              </w:rPr>
              <w:t>总分=设计方案得分（满分为100</w:t>
            </w:r>
            <w:r>
              <w:rPr>
                <w:rFonts w:hint="eastAsia" w:ascii="宋体" w:hAnsi="宋体"/>
                <w:b/>
                <w:bCs/>
                <w:color w:val="auto"/>
                <w:szCs w:val="21"/>
                <w:highlight w:val="none"/>
              </w:rPr>
              <w:t>分）×权重10%+工程总承包实施方案（含资信部分）得分（满分为100分）×权重40%+投标报价得分（满分为100分）×权重45%+企业综合诚信评价排名得分×权重5%</w:t>
            </w:r>
          </w:p>
          <w:p>
            <w:pPr>
              <w:pStyle w:val="15"/>
              <w:ind w:firstLine="41"/>
              <w:rPr>
                <w:rFonts w:ascii="宋体" w:hAnsi="宋体"/>
                <w:color w:val="auto"/>
                <w:szCs w:val="21"/>
                <w:highlight w:val="none"/>
              </w:rPr>
            </w:pPr>
            <w:r>
              <w:rPr>
                <w:rFonts w:hint="eastAsia" w:ascii="宋体" w:hAnsi="宋体"/>
                <w:color w:val="auto"/>
                <w:szCs w:val="21"/>
                <w:highlight w:val="none"/>
              </w:rPr>
              <w:t>其中：</w:t>
            </w:r>
            <w:r>
              <w:rPr>
                <w:rFonts w:hint="eastAsia" w:ascii="宋体" w:hAnsi="宋体"/>
                <w:b/>
                <w:bCs/>
                <w:color w:val="auto"/>
                <w:szCs w:val="21"/>
                <w:highlight w:val="none"/>
              </w:rPr>
              <w:t>工程总承包实施方案（含资信部分）得分=企业资</w:t>
            </w:r>
            <w:r>
              <w:rPr>
                <w:rFonts w:hint="eastAsia" w:ascii="宋体" w:hAnsi="宋体"/>
                <w:b/>
                <w:bCs/>
                <w:color w:val="auto"/>
                <w:szCs w:val="21"/>
                <w:highlight w:val="none"/>
              </w:rPr>
              <w:t>信部分（满分为36分）+工程实施方案（满分为64分）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07" w:type="dxa"/>
            <w:gridSpan w:val="2"/>
            <w:tcBorders>
              <w:top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2.2.2</w:t>
            </w:r>
          </w:p>
        </w:tc>
        <w:tc>
          <w:tcPr>
            <w:tcW w:w="182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评标基准价计算方法</w:t>
            </w:r>
          </w:p>
        </w:tc>
        <w:tc>
          <w:tcPr>
            <w:tcW w:w="5528" w:type="dxa"/>
            <w:gridSpan w:val="2"/>
            <w:tcBorders>
              <w:top w:val="single" w:color="auto" w:sz="4" w:space="0"/>
              <w:left w:val="single" w:color="auto" w:sz="4" w:space="0"/>
              <w:bottom w:val="single" w:color="auto" w:sz="4" w:space="0"/>
              <w:right w:val="single" w:color="auto" w:sz="4" w:space="0"/>
            </w:tcBorders>
            <w:noWrap w:val="0"/>
            <w:vAlign w:val="center"/>
          </w:tcPr>
          <w:p>
            <w:pPr>
              <w:pStyle w:val="15"/>
              <w:ind w:firstLine="41"/>
              <w:jc w:val="left"/>
              <w:rPr>
                <w:rFonts w:ascii="宋体" w:hAnsi="宋体" w:cs="宋体"/>
                <w:color w:val="auto"/>
                <w:szCs w:val="21"/>
                <w:highlight w:val="none"/>
                <w:lang w:val="zh-TW" w:eastAsia="zh-TW"/>
              </w:rPr>
            </w:pPr>
            <w:r>
              <w:rPr>
                <w:rFonts w:hint="eastAsia" w:ascii="宋体" w:hAnsi="宋体"/>
                <w:color w:val="auto"/>
                <w:highlight w:val="none"/>
                <w:u w:val="single"/>
              </w:rPr>
              <w:t>建安工程费报价位于[建安工程费最高投标限价×90%，建安工程费最高投标限价]区间，方可参与评标基准价计算。以通过设计方案和工程总承包实施方案响应性审查并经算术校核的投标人建安工程费报价中，若位于[建安工程费最高投标限价×90%，建安工程费最高投标限价]区间的建安工程费报价大于5个，去一个最高价和一个最低价后，剩余报价的算术平均值为评标基准价，保留到小数点后两位，第三位四舍五入。若位于[建安工程费最高投标限价×90%，建安工程费最高投标限价]区间的建安工程费报价少于或等于5个，直接取区间中的报价的算术平均值为评标基准价。</w:t>
            </w:r>
            <w:r>
              <w:rPr>
                <w:rFonts w:hint="eastAsia"/>
                <w:highlight w:val="none"/>
                <w:u w:val="single"/>
              </w:rPr>
              <w:t>若没有位于[建安工程费最高投标限价×90%，建安工程费最高投标限价]区间的建安工程费报价，则所有有效投标人的建安工程费投标报</w:t>
            </w:r>
            <w:r>
              <w:rPr>
                <w:rFonts w:hint="eastAsia"/>
                <w:color w:val="auto"/>
                <w:highlight w:val="none"/>
                <w:u w:val="single"/>
              </w:rPr>
              <w:t>价的算术平均值为评标参考价</w:t>
            </w:r>
            <w:r>
              <w:rPr>
                <w:rFonts w:hint="eastAsia" w:ascii="宋体" w:hAnsi="宋体"/>
                <w:color w:val="auto"/>
                <w:highlight w:val="none"/>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1" w:hRule="atLeast"/>
        </w:trPr>
        <w:tc>
          <w:tcPr>
            <w:tcW w:w="2007" w:type="dxa"/>
            <w:gridSpan w:val="2"/>
            <w:tcBorders>
              <w:top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2.2.3</w:t>
            </w:r>
          </w:p>
        </w:tc>
        <w:tc>
          <w:tcPr>
            <w:tcW w:w="1821" w:type="dxa"/>
            <w:tcBorders>
              <w:top w:val="single" w:color="auto" w:sz="4" w:space="0"/>
              <w:left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lang w:val="zh-TW" w:eastAsia="zh-TW"/>
              </w:rPr>
            </w:pPr>
            <w:r>
              <w:rPr>
                <w:rFonts w:hint="eastAsia" w:ascii="宋体" w:hAnsi="宋体" w:cs="宋体"/>
                <w:color w:val="auto"/>
                <w:szCs w:val="21"/>
                <w:highlight w:val="none"/>
                <w:lang w:val="zh-TW" w:eastAsia="zh-TW"/>
              </w:rPr>
              <w:t>投标报价的偏差率计算公式</w:t>
            </w:r>
          </w:p>
        </w:tc>
        <w:tc>
          <w:tcPr>
            <w:tcW w:w="5528" w:type="dxa"/>
            <w:gridSpan w:val="2"/>
            <w:tcBorders>
              <w:top w:val="single" w:color="auto" w:sz="4" w:space="0"/>
              <w:left w:val="single" w:color="auto" w:sz="4" w:space="0"/>
              <w:right w:val="single" w:color="auto" w:sz="4" w:space="0"/>
            </w:tcBorders>
            <w:noWrap w:val="0"/>
            <w:vAlign w:val="center"/>
          </w:tcPr>
          <w:p>
            <w:pPr>
              <w:spacing w:line="440" w:lineRule="exact"/>
              <w:jc w:val="left"/>
              <w:rPr>
                <w:rFonts w:ascii="宋体" w:hAnsi="宋体" w:cs="宋体"/>
                <w:color w:val="auto"/>
                <w:szCs w:val="21"/>
                <w:highlight w:val="none"/>
                <w:lang w:val="zh-TW" w:eastAsia="zh-TW"/>
              </w:rPr>
            </w:pPr>
            <w:r>
              <w:rPr>
                <w:rFonts w:hint="eastAsia" w:ascii="宋体" w:hAnsi="宋体" w:cs="宋体"/>
                <w:color w:val="auto"/>
                <w:szCs w:val="21"/>
                <w:highlight w:val="none"/>
                <w:lang w:val="zh-TW" w:eastAsia="zh-TW"/>
              </w:rPr>
              <w:t>偏差率=100%</w:t>
            </w:r>
            <w:r>
              <w:rPr>
                <w:rFonts w:ascii="宋体" w:hAnsi="宋体" w:cs="Arial"/>
                <w:color w:val="auto"/>
                <w:szCs w:val="21"/>
                <w:highlight w:val="none"/>
                <w:lang w:val="zh-TW" w:eastAsia="zh-TW"/>
              </w:rPr>
              <w:t>×</w:t>
            </w:r>
            <w:r>
              <w:rPr>
                <w:rFonts w:hint="eastAsia" w:ascii="宋体" w:hAnsi="宋体" w:cs="宋体"/>
                <w:color w:val="auto"/>
                <w:szCs w:val="21"/>
                <w:highlight w:val="none"/>
                <w:lang w:val="zh-TW" w:eastAsia="zh-TW"/>
              </w:rPr>
              <w:t>（投标人报价－评标基准价）/评标基准价（偏差率四舍五入保留2位小数，报价偏差率不足1%的，按直线内插法计算投标报价得分。）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07" w:type="dxa"/>
            <w:gridSpan w:val="2"/>
            <w:tcBorders>
              <w:top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r>
              <w:rPr>
                <w:rFonts w:hint="eastAsia" w:ascii="宋体" w:hAnsi="宋体" w:cs="宋体"/>
                <w:b/>
                <w:color w:val="auto"/>
                <w:szCs w:val="21"/>
                <w:highlight w:val="none"/>
              </w:rPr>
              <w:t>条款号</w:t>
            </w:r>
          </w:p>
        </w:tc>
        <w:tc>
          <w:tcPr>
            <w:tcW w:w="182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评分因素</w:t>
            </w:r>
          </w:p>
        </w:tc>
        <w:tc>
          <w:tcPr>
            <w:tcW w:w="552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r>
              <w:rPr>
                <w:rFonts w:hint="eastAsia" w:ascii="宋体" w:hAnsi="宋体" w:cs="宋体"/>
                <w:b/>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9" w:type="dxa"/>
            <w:tcBorders>
              <w:top w:val="single" w:color="auto" w:sz="4" w:space="0"/>
              <w:right w:val="single" w:color="auto" w:sz="4" w:space="0"/>
            </w:tcBorders>
            <w:noWrap w:val="0"/>
            <w:vAlign w:val="center"/>
          </w:tcPr>
          <w:p>
            <w:pPr>
              <w:spacing w:line="440" w:lineRule="exact"/>
              <w:jc w:val="center"/>
              <w:rPr>
                <w:rFonts w:ascii="宋体" w:hAnsi="宋体" w:cs="宋体"/>
                <w:b/>
                <w:color w:val="auto"/>
                <w:szCs w:val="21"/>
                <w:highlight w:val="none"/>
              </w:rPr>
            </w:pPr>
            <w:r>
              <w:rPr>
                <w:rFonts w:hint="eastAsia" w:ascii="宋体" w:hAnsi="宋体" w:cs="宋体"/>
                <w:color w:val="auto"/>
                <w:szCs w:val="21"/>
                <w:highlight w:val="none"/>
              </w:rPr>
              <w:t>2.2.4（1）</w:t>
            </w:r>
          </w:p>
        </w:tc>
        <w:tc>
          <w:tcPr>
            <w:tcW w:w="1158" w:type="dxa"/>
            <w:tcBorders>
              <w:top w:val="single" w:color="auto" w:sz="4" w:space="0"/>
              <w:right w:val="single" w:color="auto" w:sz="4" w:space="0"/>
            </w:tcBorders>
            <w:noWrap w:val="0"/>
            <w:vAlign w:val="center"/>
          </w:tcPr>
          <w:p>
            <w:pPr>
              <w:spacing w:line="440" w:lineRule="exact"/>
              <w:jc w:val="center"/>
              <w:rPr>
                <w:rFonts w:ascii="宋体" w:hAnsi="宋体" w:cs="宋体"/>
                <w:b/>
                <w:color w:val="auto"/>
                <w:szCs w:val="21"/>
                <w:highlight w:val="none"/>
              </w:rPr>
            </w:pPr>
            <w:r>
              <w:rPr>
                <w:rFonts w:hint="eastAsia" w:ascii="宋体" w:hAnsi="宋体" w:cs="宋体"/>
                <w:bCs/>
                <w:color w:val="auto"/>
                <w:szCs w:val="21"/>
                <w:highlight w:val="none"/>
              </w:rPr>
              <w:t>设计方案评分标准</w:t>
            </w:r>
          </w:p>
        </w:tc>
        <w:tc>
          <w:tcPr>
            <w:tcW w:w="7349"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b/>
                <w:color w:val="auto"/>
                <w:szCs w:val="21"/>
                <w:highlight w:val="none"/>
              </w:rPr>
            </w:pPr>
            <w:r>
              <w:rPr>
                <w:rFonts w:hint="eastAsia" w:ascii="宋体" w:hAnsi="宋体"/>
                <w:color w:val="auto"/>
                <w:szCs w:val="21"/>
                <w:highlight w:val="none"/>
              </w:rPr>
              <w:t>详见附表1《设计方案详细审查评分标准》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9" w:hRule="atLeast"/>
        </w:trPr>
        <w:tc>
          <w:tcPr>
            <w:tcW w:w="849" w:type="dxa"/>
            <w:tcBorders>
              <w:top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2.2.4（2）</w:t>
            </w:r>
          </w:p>
        </w:tc>
        <w:tc>
          <w:tcPr>
            <w:tcW w:w="1158" w:type="dxa"/>
            <w:tcBorders>
              <w:top w:val="single" w:color="auto" w:sz="4" w:space="0"/>
              <w:right w:val="single" w:color="auto" w:sz="4" w:space="0"/>
            </w:tcBorders>
            <w:noWrap w:val="0"/>
            <w:vAlign w:val="top"/>
          </w:tcPr>
          <w:p>
            <w:pPr>
              <w:spacing w:line="440" w:lineRule="exact"/>
              <w:rPr>
                <w:rFonts w:ascii="宋体" w:hAnsi="宋体" w:cs="宋体"/>
                <w:color w:val="auto"/>
                <w:szCs w:val="21"/>
                <w:highlight w:val="none"/>
              </w:rPr>
            </w:pPr>
            <w:r>
              <w:rPr>
                <w:rFonts w:hint="eastAsia" w:ascii="宋体" w:hAnsi="宋体"/>
                <w:color w:val="auto"/>
                <w:szCs w:val="21"/>
                <w:highlight w:val="none"/>
              </w:rPr>
              <w:t>工程总承包实施方案</w:t>
            </w:r>
          </w:p>
        </w:tc>
        <w:tc>
          <w:tcPr>
            <w:tcW w:w="7349"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auto"/>
                <w:szCs w:val="21"/>
                <w:highlight w:val="none"/>
              </w:rPr>
            </w:pPr>
            <w:r>
              <w:rPr>
                <w:rFonts w:hint="eastAsia" w:ascii="宋体" w:hAnsi="宋体"/>
                <w:color w:val="auto"/>
                <w:szCs w:val="21"/>
                <w:highlight w:val="none"/>
              </w:rPr>
              <w:t>详见附表2《工程总承包实施方案审查评分标准》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84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2.2.4（3）</w:t>
            </w:r>
          </w:p>
        </w:tc>
        <w:tc>
          <w:tcPr>
            <w:tcW w:w="11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投标报价评分标准</w:t>
            </w:r>
          </w:p>
        </w:tc>
        <w:tc>
          <w:tcPr>
            <w:tcW w:w="196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报价得分</w:t>
            </w:r>
          </w:p>
          <w:p>
            <w:pPr>
              <w:widowControl/>
              <w:jc w:val="center"/>
              <w:rPr>
                <w:rFonts w:ascii="宋体" w:hAnsi="宋体"/>
                <w:color w:val="auto"/>
                <w:highlight w:val="none"/>
              </w:rPr>
            </w:pPr>
            <w:r>
              <w:rPr>
                <w:rFonts w:hint="eastAsia" w:ascii="宋体" w:hAnsi="宋体"/>
                <w:color w:val="auto"/>
                <w:highlight w:val="none"/>
              </w:rPr>
              <w:t>（</w:t>
            </w:r>
            <w:r>
              <w:rPr>
                <w:rFonts w:ascii="宋体" w:hAnsi="宋体"/>
                <w:color w:val="auto"/>
                <w:highlight w:val="none"/>
              </w:rPr>
              <w:t>100</w:t>
            </w:r>
            <w:r>
              <w:rPr>
                <w:rFonts w:hint="eastAsia" w:ascii="宋体" w:hAnsi="宋体"/>
                <w:color w:val="auto"/>
                <w:highlight w:val="none"/>
              </w:rPr>
              <w:t>分）</w:t>
            </w:r>
          </w:p>
        </w:tc>
        <w:tc>
          <w:tcPr>
            <w:tcW w:w="538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auto"/>
                <w:szCs w:val="21"/>
                <w:highlight w:val="none"/>
              </w:rPr>
            </w:pPr>
            <w:r>
              <w:rPr>
                <w:rFonts w:hint="eastAsia" w:ascii="宋体" w:hAnsi="宋体"/>
                <w:color w:val="auto"/>
                <w:highlight w:val="none"/>
              </w:rPr>
              <w:t>当建安工程费投标报价等于评标基准价时得100分，建安工程费投标报价每高于评标基准价1%，扣</w:t>
            </w:r>
            <w:r>
              <w:rPr>
                <w:rFonts w:hint="eastAsia" w:ascii="宋体" w:hAnsi="宋体"/>
                <w:color w:val="auto"/>
                <w:highlight w:val="none"/>
                <w:u w:val="single"/>
              </w:rPr>
              <w:t>1</w:t>
            </w:r>
            <w:r>
              <w:rPr>
                <w:rFonts w:hint="eastAsia" w:ascii="宋体" w:hAnsi="宋体"/>
                <w:color w:val="auto"/>
                <w:highlight w:val="none"/>
              </w:rPr>
              <w:t>分，每低于评标基准价1%，扣</w:t>
            </w:r>
            <w:r>
              <w:rPr>
                <w:rFonts w:hint="eastAsia" w:ascii="宋体" w:hAnsi="宋体"/>
                <w:color w:val="auto"/>
                <w:highlight w:val="none"/>
                <w:u w:val="single"/>
              </w:rPr>
              <w:t>0.5</w:t>
            </w:r>
            <w:r>
              <w:rPr>
                <w:rFonts w:hint="eastAsia" w:ascii="宋体" w:hAnsi="宋体"/>
                <w:color w:val="auto"/>
                <w:highlight w:val="none"/>
              </w:rPr>
              <w:t>分，扣至0分为止，精确到小数点后两位。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84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2.2.4</w:t>
            </w:r>
          </w:p>
          <w:p>
            <w:pPr>
              <w:spacing w:line="44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1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rFonts w:hint="eastAsia" w:ascii="宋体" w:hAnsi="宋体"/>
                <w:color w:val="auto"/>
                <w:highlight w:val="none"/>
                <w:u w:val="single"/>
              </w:rPr>
              <w:t>企业</w:t>
            </w:r>
            <w:r>
              <w:rPr>
                <w:rFonts w:hint="eastAsia" w:ascii="宋体" w:hAnsi="宋体" w:cs="宋体"/>
                <w:color w:val="auto"/>
                <w:szCs w:val="21"/>
                <w:highlight w:val="none"/>
                <w:u w:val="single"/>
              </w:rPr>
              <w:t>综合诚信评价</w:t>
            </w:r>
          </w:p>
        </w:tc>
        <w:tc>
          <w:tcPr>
            <w:tcW w:w="196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auto"/>
                <w:highlight w:val="none"/>
                <w:u w:val="single"/>
              </w:rPr>
            </w:pPr>
            <w:r>
              <w:rPr>
                <w:rFonts w:hint="eastAsia" w:ascii="宋体" w:hAnsi="宋体"/>
                <w:color w:val="auto"/>
                <w:highlight w:val="none"/>
                <w:u w:val="single"/>
              </w:rPr>
              <w:t>企业</w:t>
            </w:r>
            <w:r>
              <w:rPr>
                <w:rFonts w:hint="eastAsia" w:ascii="宋体" w:hAnsi="宋体"/>
                <w:color w:val="auto"/>
                <w:highlight w:val="none"/>
                <w:u w:val="single"/>
              </w:rPr>
              <w:t>综合诚信评价得分</w:t>
            </w:r>
          </w:p>
        </w:tc>
        <w:tc>
          <w:tcPr>
            <w:tcW w:w="538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olor w:val="auto"/>
                <w:highlight w:val="none"/>
                <w:u w:val="single"/>
                <w:lang w:eastAsia="zh-CN"/>
              </w:rPr>
            </w:pPr>
            <w:r>
              <w:rPr>
                <w:rFonts w:hint="eastAsia" w:ascii="宋体" w:hAnsi="宋体"/>
                <w:color w:val="auto"/>
                <w:highlight w:val="none"/>
                <w:u w:val="single"/>
              </w:rPr>
              <w:t>企业综合诚信评价分数即投标截止当日广州市工程招标代理行业协会网站上公布的企业综合诚信评价60日诚信分</w:t>
            </w:r>
            <w:r>
              <w:rPr>
                <w:rFonts w:hint="eastAsia" w:ascii="宋体" w:hAnsi="宋体"/>
                <w:color w:val="auto"/>
                <w:highlight w:val="none"/>
                <w:u w:val="single"/>
                <w:lang w:eastAsia="zh-CN"/>
              </w:rPr>
              <w:t>，</w:t>
            </w:r>
            <w:r>
              <w:rPr>
                <w:rFonts w:hint="eastAsia" w:ascii="宋体" w:hAnsi="宋体"/>
                <w:b/>
                <w:bCs/>
                <w:color w:val="auto"/>
                <w:highlight w:val="none"/>
                <w:u w:val="single"/>
                <w:lang w:val="en-US" w:eastAsia="zh-CN"/>
              </w:rPr>
              <w:t>本项目的</w:t>
            </w:r>
            <w:r>
              <w:rPr>
                <w:rFonts w:hint="eastAsia" w:ascii="宋体" w:hAnsi="宋体"/>
                <w:b/>
                <w:bCs/>
                <w:color w:val="auto"/>
                <w:highlight w:val="none"/>
                <w:u w:val="single"/>
              </w:rPr>
              <w:t>企业综合诚信评价</w:t>
            </w:r>
            <w:r>
              <w:rPr>
                <w:rFonts w:hint="eastAsia" w:ascii="宋体" w:hAnsi="宋体"/>
                <w:b/>
                <w:bCs/>
                <w:color w:val="auto"/>
                <w:highlight w:val="none"/>
                <w:u w:val="single"/>
                <w:lang w:val="en-US" w:eastAsia="zh-CN"/>
              </w:rPr>
              <w:t>分数</w:t>
            </w:r>
            <w:r>
              <w:rPr>
                <w:rFonts w:hint="eastAsia" w:ascii="宋体" w:hAnsi="宋体"/>
                <w:b/>
                <w:bCs/>
                <w:color w:val="auto"/>
                <w:szCs w:val="21"/>
                <w:highlight w:val="none"/>
                <w:u w:val="single"/>
              </w:rPr>
              <w:t>以施工企业房建诚信评价排名为准（如为联合体以联合体</w:t>
            </w:r>
            <w:r>
              <w:rPr>
                <w:rFonts w:hint="eastAsia" w:ascii="宋体" w:hAnsi="宋体"/>
                <w:b/>
                <w:bCs/>
                <w:color w:val="auto"/>
                <w:szCs w:val="21"/>
                <w:highlight w:val="none"/>
                <w:u w:val="single"/>
                <w:lang w:val="en-US" w:eastAsia="zh-CN"/>
              </w:rPr>
              <w:t>主办</w:t>
            </w:r>
            <w:r>
              <w:rPr>
                <w:rFonts w:hint="eastAsia" w:ascii="宋体" w:hAnsi="宋体"/>
                <w:b/>
                <w:bCs/>
                <w:color w:val="auto"/>
                <w:szCs w:val="21"/>
                <w:highlight w:val="none"/>
                <w:u w:val="single"/>
              </w:rPr>
              <w:t>方为准）</w:t>
            </w:r>
            <w:r>
              <w:rPr>
                <w:rFonts w:hint="eastAsia" w:ascii="宋体" w:hAnsi="宋体"/>
                <w:b/>
                <w:bCs/>
                <w:color w:val="auto"/>
                <w:szCs w:val="21"/>
                <w:highlight w:val="none"/>
                <w:u w:val="single"/>
                <w:lang w:eastAsia="zh-CN"/>
              </w:rPr>
              <w:t>。</w:t>
            </w:r>
          </w:p>
        </w:tc>
      </w:tr>
    </w:tbl>
    <w:p>
      <w:pPr>
        <w:jc w:val="left"/>
        <w:rPr>
          <w:rFonts w:ascii="宋体" w:hAnsi="宋体"/>
          <w:color w:val="auto"/>
          <w:highlight w:val="none"/>
        </w:rPr>
      </w:pPr>
    </w:p>
    <w:p>
      <w:pPr>
        <w:pStyle w:val="10"/>
        <w:rPr>
          <w:color w:val="auto"/>
          <w:highlight w:val="none"/>
          <w:lang w:val="en-US"/>
        </w:rPr>
      </w:pPr>
    </w:p>
    <w:p>
      <w:pPr>
        <w:pStyle w:val="10"/>
        <w:rPr>
          <w:color w:val="auto"/>
          <w:highlight w:val="none"/>
          <w:lang w:val="en-US"/>
        </w:rPr>
      </w:pPr>
    </w:p>
    <w:p>
      <w:pPr>
        <w:pStyle w:val="10"/>
        <w:rPr>
          <w:color w:val="auto"/>
          <w:highlight w:val="none"/>
          <w:lang w:val="en-US"/>
        </w:rPr>
      </w:pPr>
    </w:p>
    <w:p>
      <w:pPr>
        <w:widowControl/>
        <w:jc w:val="left"/>
        <w:rPr>
          <w:rFonts w:ascii="宋体" w:hAnsi="宋体" w:cs="宋体"/>
          <w:color w:val="auto"/>
          <w:highlight w:val="none"/>
        </w:rPr>
      </w:pPr>
      <w:r>
        <w:rPr>
          <w:rFonts w:ascii="宋体" w:hAnsi="宋体" w:cs="宋体"/>
          <w:color w:val="auto"/>
          <w:highlight w:val="none"/>
        </w:rPr>
        <w:br w:type="page"/>
      </w:r>
    </w:p>
    <w:p>
      <w:pPr>
        <w:pStyle w:val="3"/>
        <w:spacing w:line="240" w:lineRule="auto"/>
        <w:rPr>
          <w:color w:val="auto"/>
          <w:highlight w:val="none"/>
        </w:rPr>
      </w:pPr>
      <w:bookmarkStart w:id="392" w:name="_Toc247527625"/>
      <w:bookmarkStart w:id="393" w:name="_Toc2959"/>
      <w:bookmarkStart w:id="394" w:name="_Toc152042377"/>
      <w:bookmarkStart w:id="395" w:name="_Toc247514024"/>
      <w:bookmarkStart w:id="396" w:name="_Toc28120"/>
      <w:bookmarkStart w:id="397" w:name="_Toc152045600"/>
      <w:bookmarkStart w:id="398" w:name="_Toc144974567"/>
      <w:r>
        <w:rPr>
          <w:rFonts w:hint="eastAsia"/>
          <w:color w:val="auto"/>
          <w:highlight w:val="none"/>
        </w:rPr>
        <w:t>1. 评标方法</w:t>
      </w:r>
      <w:bookmarkEnd w:id="392"/>
      <w:bookmarkEnd w:id="393"/>
      <w:bookmarkEnd w:id="394"/>
      <w:bookmarkEnd w:id="395"/>
      <w:bookmarkEnd w:id="396"/>
      <w:bookmarkEnd w:id="397"/>
      <w:bookmarkEnd w:id="398"/>
    </w:p>
    <w:p>
      <w:pPr>
        <w:spacing w:line="400" w:lineRule="exact"/>
        <w:ind w:firstLine="420" w:firstLineChars="200"/>
        <w:rPr>
          <w:color w:val="auto"/>
          <w:highlight w:val="none"/>
        </w:rPr>
      </w:pPr>
      <w:bookmarkStart w:id="399" w:name="_Toc247527626"/>
      <w:bookmarkStart w:id="400" w:name="_Toc29422"/>
      <w:bookmarkStart w:id="401" w:name="_Toc152045601"/>
      <w:bookmarkStart w:id="402" w:name="_Toc15465"/>
      <w:bookmarkStart w:id="403" w:name="_Toc247514025"/>
      <w:bookmarkStart w:id="404" w:name="_Toc144974568"/>
      <w:bookmarkStart w:id="405" w:name="_Toc152042378"/>
      <w:r>
        <w:rPr>
          <w:rFonts w:hint="eastAsia"/>
          <w:color w:val="auto"/>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总得分相同的投标文件，以工程总承包实施方案评审得分较高的排前；总分与工程总承包实施方案评审得分均相同的投标文件，以设计方案得分高的排前；总得分、工程总承包实施方案评审得分与设计方案得分均相同的投标文件，以投标报价得分高的排前；如仍存在相同情况，则对具有相同情况的投标人，按中标候选人数量规定，则由评标委员会采用记名投票以得票多优先，确定中标候选人的排序。</w:t>
      </w:r>
    </w:p>
    <w:p>
      <w:pPr>
        <w:pStyle w:val="3"/>
        <w:spacing w:line="240" w:lineRule="auto"/>
        <w:rPr>
          <w:color w:val="auto"/>
          <w:highlight w:val="none"/>
        </w:rPr>
      </w:pPr>
      <w:r>
        <w:rPr>
          <w:rFonts w:hint="eastAsia"/>
          <w:color w:val="auto"/>
          <w:highlight w:val="none"/>
        </w:rPr>
        <w:t>2. 评审标准</w:t>
      </w:r>
      <w:bookmarkEnd w:id="399"/>
      <w:bookmarkEnd w:id="400"/>
      <w:bookmarkEnd w:id="401"/>
      <w:bookmarkEnd w:id="402"/>
      <w:bookmarkEnd w:id="403"/>
      <w:bookmarkEnd w:id="404"/>
      <w:bookmarkEnd w:id="405"/>
    </w:p>
    <w:p>
      <w:pPr>
        <w:pStyle w:val="4"/>
        <w:spacing w:line="240" w:lineRule="auto"/>
        <w:ind w:firstLine="136"/>
        <w:rPr>
          <w:color w:val="auto"/>
          <w:highlight w:val="none"/>
        </w:rPr>
      </w:pPr>
      <w:bookmarkStart w:id="406" w:name="_Toc152042379"/>
      <w:bookmarkStart w:id="407" w:name="_Toc247514026"/>
      <w:bookmarkStart w:id="408" w:name="_Toc152045602"/>
      <w:bookmarkStart w:id="409" w:name="_Toc20046"/>
      <w:bookmarkStart w:id="410" w:name="_Toc247527627"/>
      <w:bookmarkStart w:id="411" w:name="_Toc18619"/>
      <w:bookmarkStart w:id="412" w:name="_Toc144974569"/>
      <w:r>
        <w:rPr>
          <w:rFonts w:hint="eastAsia" w:ascii="Times New Roman" w:hAnsi="Times New Roman"/>
          <w:color w:val="auto"/>
          <w:highlight w:val="none"/>
        </w:rPr>
        <w:t>2.1</w:t>
      </w:r>
      <w:r>
        <w:rPr>
          <w:rFonts w:hint="eastAsia"/>
          <w:color w:val="auto"/>
          <w:highlight w:val="none"/>
        </w:rPr>
        <w:t xml:space="preserve"> 初步评审标准</w:t>
      </w:r>
      <w:bookmarkEnd w:id="406"/>
      <w:bookmarkEnd w:id="407"/>
      <w:bookmarkEnd w:id="408"/>
      <w:bookmarkEnd w:id="409"/>
      <w:bookmarkEnd w:id="410"/>
      <w:bookmarkEnd w:id="411"/>
      <w:bookmarkEnd w:id="412"/>
    </w:p>
    <w:p>
      <w:pPr>
        <w:spacing w:line="360" w:lineRule="auto"/>
        <w:ind w:firstLine="420" w:firstLineChars="200"/>
        <w:rPr>
          <w:color w:val="auto"/>
          <w:highlight w:val="none"/>
        </w:rPr>
      </w:pPr>
      <w:bookmarkStart w:id="413" w:name="_Toc144974570"/>
      <w:bookmarkStart w:id="414" w:name="_Toc247514027"/>
      <w:bookmarkStart w:id="415" w:name="_Toc247527628"/>
      <w:bookmarkStart w:id="416" w:name="_Toc152042380"/>
      <w:bookmarkStart w:id="417" w:name="_Toc12471"/>
      <w:bookmarkStart w:id="418" w:name="_Toc148"/>
      <w:bookmarkStart w:id="419" w:name="_Toc152045603"/>
      <w:r>
        <w:rPr>
          <w:rFonts w:hint="eastAsia"/>
          <w:color w:val="auto"/>
          <w:highlight w:val="none"/>
        </w:rPr>
        <w:t>2.1.1 形式评审标准：见评标办法前附表。</w:t>
      </w:r>
    </w:p>
    <w:p>
      <w:pPr>
        <w:spacing w:line="360" w:lineRule="auto"/>
        <w:ind w:firstLine="420" w:firstLineChars="200"/>
        <w:rPr>
          <w:color w:val="auto"/>
          <w:highlight w:val="none"/>
        </w:rPr>
      </w:pPr>
      <w:r>
        <w:rPr>
          <w:rFonts w:hint="eastAsia"/>
          <w:color w:val="auto"/>
          <w:highlight w:val="none"/>
        </w:rPr>
        <w:t>2.1.2 资格评审标准：见评标办法前附表。</w:t>
      </w:r>
    </w:p>
    <w:p>
      <w:pPr>
        <w:spacing w:line="360" w:lineRule="auto"/>
        <w:ind w:firstLine="420" w:firstLineChars="200"/>
        <w:rPr>
          <w:color w:val="auto"/>
          <w:highlight w:val="none"/>
        </w:rPr>
      </w:pPr>
      <w:r>
        <w:rPr>
          <w:rFonts w:hint="eastAsia"/>
          <w:color w:val="auto"/>
          <w:highlight w:val="none"/>
        </w:rPr>
        <w:t>2.1.3 响应性评审标准：见评标办法前附表。</w:t>
      </w:r>
    </w:p>
    <w:p>
      <w:pPr>
        <w:pStyle w:val="4"/>
        <w:spacing w:line="240" w:lineRule="auto"/>
        <w:ind w:firstLine="136"/>
        <w:rPr>
          <w:color w:val="auto"/>
          <w:highlight w:val="none"/>
        </w:rPr>
      </w:pPr>
      <w:r>
        <w:rPr>
          <w:rFonts w:hint="eastAsia" w:ascii="Times New Roman" w:hAnsi="Times New Roman"/>
          <w:color w:val="auto"/>
          <w:highlight w:val="none"/>
        </w:rPr>
        <w:t>2.2</w:t>
      </w:r>
      <w:r>
        <w:rPr>
          <w:rFonts w:hint="eastAsia"/>
          <w:color w:val="auto"/>
          <w:highlight w:val="none"/>
        </w:rPr>
        <w:t xml:space="preserve"> 分值构成与评分标准</w:t>
      </w:r>
      <w:bookmarkEnd w:id="413"/>
      <w:bookmarkEnd w:id="414"/>
      <w:bookmarkEnd w:id="415"/>
      <w:bookmarkEnd w:id="416"/>
      <w:bookmarkEnd w:id="417"/>
      <w:bookmarkEnd w:id="418"/>
      <w:bookmarkEnd w:id="419"/>
    </w:p>
    <w:p>
      <w:pPr>
        <w:spacing w:line="360" w:lineRule="auto"/>
        <w:ind w:firstLine="420" w:firstLineChars="200"/>
        <w:rPr>
          <w:color w:val="auto"/>
          <w:highlight w:val="none"/>
        </w:rPr>
      </w:pPr>
      <w:bookmarkStart w:id="420" w:name="_Toc34503611"/>
      <w:bookmarkStart w:id="421" w:name="_Toc29258"/>
      <w:bookmarkStart w:id="422" w:name="_Toc48818544"/>
      <w:bookmarkStart w:id="423" w:name="_Toc21600"/>
      <w:bookmarkStart w:id="424" w:name="_Toc443505839"/>
      <w:bookmarkStart w:id="425" w:name="_Toc18919735"/>
      <w:bookmarkStart w:id="426" w:name="_Toc505152703"/>
      <w:bookmarkStart w:id="427" w:name="_Toc480225664"/>
      <w:bookmarkStart w:id="428" w:name="_Toc34431276"/>
      <w:r>
        <w:rPr>
          <w:rFonts w:hint="eastAsia"/>
          <w:color w:val="auto"/>
          <w:highlight w:val="none"/>
        </w:rPr>
        <w:t>2.2.1 分值构成</w:t>
      </w:r>
    </w:p>
    <w:p>
      <w:pPr>
        <w:spacing w:line="360" w:lineRule="auto"/>
        <w:ind w:firstLine="420" w:firstLineChars="200"/>
        <w:rPr>
          <w:color w:val="auto"/>
          <w:highlight w:val="none"/>
        </w:rPr>
      </w:pPr>
      <w:r>
        <w:rPr>
          <w:rFonts w:hint="eastAsia"/>
          <w:color w:val="auto"/>
          <w:highlight w:val="none"/>
        </w:rPr>
        <w:t>（1）设计方案：见评标办法前附表；</w:t>
      </w:r>
    </w:p>
    <w:p>
      <w:pPr>
        <w:spacing w:line="360" w:lineRule="auto"/>
        <w:ind w:firstLine="420" w:firstLineChars="200"/>
        <w:rPr>
          <w:color w:val="auto"/>
          <w:highlight w:val="none"/>
        </w:rPr>
      </w:pPr>
      <w:r>
        <w:rPr>
          <w:rFonts w:hint="eastAsia"/>
          <w:color w:val="auto"/>
          <w:highlight w:val="none"/>
        </w:rPr>
        <w:t>（2）工程总承包实施方案：见评标办法前附表；</w:t>
      </w:r>
    </w:p>
    <w:p>
      <w:pPr>
        <w:spacing w:line="360" w:lineRule="auto"/>
        <w:ind w:firstLine="420" w:firstLineChars="200"/>
        <w:rPr>
          <w:rFonts w:hint="eastAsia" w:eastAsia="宋体"/>
          <w:color w:val="auto"/>
          <w:highlight w:val="none"/>
          <w:lang w:eastAsia="zh-CN"/>
        </w:rPr>
      </w:pPr>
      <w:r>
        <w:rPr>
          <w:rFonts w:hint="eastAsia"/>
          <w:color w:val="auto"/>
          <w:highlight w:val="none"/>
        </w:rPr>
        <w:t>（3）投标报价：见评标办法前附表</w:t>
      </w:r>
      <w:r>
        <w:rPr>
          <w:rFonts w:hint="eastAsia"/>
          <w:color w:val="auto"/>
          <w:highlight w:val="none"/>
          <w:lang w:eastAsia="zh-CN"/>
        </w:rPr>
        <w:t>；</w:t>
      </w:r>
    </w:p>
    <w:p>
      <w:pPr>
        <w:spacing w:line="360" w:lineRule="auto"/>
        <w:ind w:firstLine="420" w:firstLineChars="200"/>
        <w:rPr>
          <w:rFonts w:hint="default" w:eastAsia="宋体"/>
          <w:color w:val="auto"/>
          <w:highlight w:val="none"/>
          <w:u w:val="single"/>
          <w:lang w:val="en-US" w:eastAsia="zh-CN"/>
        </w:rPr>
      </w:pPr>
      <w:r>
        <w:rPr>
          <w:rFonts w:hint="eastAsia"/>
          <w:color w:val="auto"/>
          <w:highlight w:val="none"/>
          <w:u w:val="single"/>
          <w:lang w:eastAsia="zh-CN"/>
        </w:rPr>
        <w:t>（</w:t>
      </w:r>
      <w:r>
        <w:rPr>
          <w:rFonts w:hint="eastAsia"/>
          <w:color w:val="auto"/>
          <w:highlight w:val="none"/>
          <w:u w:val="single"/>
          <w:lang w:val="en-US" w:eastAsia="zh-CN"/>
        </w:rPr>
        <w:t>4</w:t>
      </w:r>
      <w:r>
        <w:rPr>
          <w:rFonts w:hint="eastAsia"/>
          <w:color w:val="auto"/>
          <w:highlight w:val="none"/>
          <w:u w:val="single"/>
          <w:lang w:eastAsia="zh-CN"/>
        </w:rPr>
        <w:t>）</w:t>
      </w:r>
      <w:r>
        <w:rPr>
          <w:rFonts w:hint="eastAsia" w:ascii="宋体" w:hAnsi="宋体"/>
          <w:color w:val="auto"/>
          <w:highlight w:val="none"/>
          <w:u w:val="single"/>
        </w:rPr>
        <w:t>企业</w:t>
      </w:r>
      <w:r>
        <w:rPr>
          <w:rFonts w:hint="eastAsia"/>
          <w:color w:val="auto"/>
          <w:highlight w:val="none"/>
          <w:u w:val="single"/>
          <w:lang w:eastAsia="zh-CN"/>
        </w:rPr>
        <w:t>综合诚信评价：</w:t>
      </w:r>
      <w:r>
        <w:rPr>
          <w:rFonts w:hint="eastAsia"/>
          <w:color w:val="auto"/>
          <w:highlight w:val="none"/>
          <w:u w:val="single"/>
        </w:rPr>
        <w:t>见评标办法前附表。</w:t>
      </w:r>
    </w:p>
    <w:p>
      <w:pPr>
        <w:spacing w:line="360" w:lineRule="auto"/>
        <w:ind w:firstLine="420" w:firstLineChars="200"/>
        <w:rPr>
          <w:color w:val="auto"/>
          <w:highlight w:val="none"/>
        </w:rPr>
      </w:pPr>
      <w:r>
        <w:rPr>
          <w:rFonts w:hint="eastAsia"/>
          <w:color w:val="auto"/>
          <w:highlight w:val="none"/>
        </w:rPr>
        <w:t>2.2.2 评标基准价计算</w:t>
      </w:r>
    </w:p>
    <w:p>
      <w:pPr>
        <w:spacing w:line="360" w:lineRule="auto"/>
        <w:ind w:firstLine="420" w:firstLineChars="200"/>
        <w:rPr>
          <w:color w:val="auto"/>
          <w:highlight w:val="none"/>
        </w:rPr>
      </w:pPr>
      <w:r>
        <w:rPr>
          <w:rFonts w:hint="eastAsia"/>
          <w:color w:val="auto"/>
          <w:highlight w:val="none"/>
        </w:rPr>
        <w:t>评标基准价计算方法：见评标办法前附表。</w:t>
      </w:r>
    </w:p>
    <w:p>
      <w:pPr>
        <w:spacing w:line="360" w:lineRule="auto"/>
        <w:ind w:firstLine="420" w:firstLineChars="200"/>
        <w:rPr>
          <w:color w:val="auto"/>
          <w:highlight w:val="none"/>
        </w:rPr>
      </w:pPr>
      <w:r>
        <w:rPr>
          <w:rFonts w:hint="eastAsia"/>
          <w:color w:val="auto"/>
          <w:highlight w:val="none"/>
        </w:rPr>
        <w:t>2.2.3 投标报价的偏差率计算</w:t>
      </w:r>
    </w:p>
    <w:p>
      <w:pPr>
        <w:spacing w:line="360" w:lineRule="auto"/>
        <w:ind w:firstLine="420" w:firstLineChars="200"/>
        <w:rPr>
          <w:color w:val="auto"/>
          <w:highlight w:val="none"/>
        </w:rPr>
      </w:pPr>
      <w:r>
        <w:rPr>
          <w:rFonts w:hint="eastAsia"/>
          <w:color w:val="auto"/>
          <w:highlight w:val="none"/>
        </w:rPr>
        <w:t>投标报价的偏差率计算公式：见评标办法前附表。</w:t>
      </w:r>
    </w:p>
    <w:p>
      <w:pPr>
        <w:spacing w:line="360" w:lineRule="auto"/>
        <w:ind w:firstLine="420" w:firstLineChars="200"/>
        <w:rPr>
          <w:color w:val="auto"/>
          <w:highlight w:val="none"/>
        </w:rPr>
      </w:pPr>
      <w:r>
        <w:rPr>
          <w:rFonts w:hint="eastAsia"/>
          <w:color w:val="auto"/>
          <w:highlight w:val="none"/>
        </w:rPr>
        <w:t>2.2.4 评分标准</w:t>
      </w:r>
    </w:p>
    <w:p>
      <w:pPr>
        <w:spacing w:line="360" w:lineRule="auto"/>
        <w:ind w:firstLine="420" w:firstLineChars="200"/>
        <w:rPr>
          <w:color w:val="auto"/>
          <w:highlight w:val="none"/>
        </w:rPr>
      </w:pPr>
      <w:r>
        <w:rPr>
          <w:rFonts w:hint="eastAsia"/>
          <w:color w:val="auto"/>
          <w:highlight w:val="none"/>
        </w:rPr>
        <w:t>（1）设计方案评分标准：见评标办法前附表；</w:t>
      </w:r>
    </w:p>
    <w:p>
      <w:pPr>
        <w:spacing w:line="360" w:lineRule="auto"/>
        <w:ind w:firstLine="420" w:firstLineChars="200"/>
        <w:rPr>
          <w:color w:val="auto"/>
          <w:highlight w:val="none"/>
        </w:rPr>
      </w:pPr>
      <w:r>
        <w:rPr>
          <w:rFonts w:hint="eastAsia"/>
          <w:color w:val="auto"/>
          <w:highlight w:val="none"/>
        </w:rPr>
        <w:t>（2）工程总承包实施方案评分标准：见评标办法前附表；</w:t>
      </w:r>
    </w:p>
    <w:p>
      <w:pPr>
        <w:spacing w:line="360" w:lineRule="auto"/>
        <w:ind w:firstLine="420" w:firstLineChars="200"/>
        <w:rPr>
          <w:rFonts w:hint="eastAsia" w:eastAsia="宋体"/>
          <w:color w:val="auto"/>
          <w:highlight w:val="none"/>
          <w:lang w:eastAsia="zh-CN"/>
        </w:rPr>
      </w:pPr>
      <w:r>
        <w:rPr>
          <w:rFonts w:hint="eastAsia"/>
          <w:color w:val="auto"/>
          <w:highlight w:val="none"/>
        </w:rPr>
        <w:t>（3）投标报价评分标准：见评标办法前附表</w:t>
      </w:r>
      <w:r>
        <w:rPr>
          <w:rFonts w:hint="eastAsia"/>
          <w:color w:val="auto"/>
          <w:highlight w:val="none"/>
          <w:lang w:eastAsia="zh-CN"/>
        </w:rPr>
        <w:t>；</w:t>
      </w:r>
    </w:p>
    <w:p>
      <w:pPr>
        <w:spacing w:line="360" w:lineRule="auto"/>
        <w:ind w:firstLine="420" w:firstLineChars="200"/>
        <w:rPr>
          <w:rFonts w:hint="eastAsia" w:eastAsia="宋体"/>
          <w:color w:val="auto"/>
          <w:highlight w:val="none"/>
          <w:lang w:eastAsia="zh-CN"/>
        </w:rPr>
      </w:pPr>
      <w:r>
        <w:rPr>
          <w:rFonts w:hint="eastAsia"/>
          <w:color w:val="auto"/>
          <w:highlight w:val="none"/>
          <w:u w:val="single"/>
          <w:lang w:eastAsia="zh-CN"/>
        </w:rPr>
        <w:t>（</w:t>
      </w:r>
      <w:r>
        <w:rPr>
          <w:rFonts w:hint="eastAsia"/>
          <w:color w:val="auto"/>
          <w:highlight w:val="none"/>
          <w:u w:val="single"/>
          <w:lang w:val="en-US" w:eastAsia="zh-CN"/>
        </w:rPr>
        <w:t>4</w:t>
      </w:r>
      <w:r>
        <w:rPr>
          <w:rFonts w:hint="eastAsia"/>
          <w:color w:val="auto"/>
          <w:highlight w:val="none"/>
          <w:u w:val="single"/>
          <w:lang w:eastAsia="zh-CN"/>
        </w:rPr>
        <w:t>）</w:t>
      </w:r>
      <w:r>
        <w:rPr>
          <w:rFonts w:hint="eastAsia" w:ascii="宋体" w:hAnsi="宋体"/>
          <w:color w:val="auto"/>
          <w:highlight w:val="none"/>
          <w:u w:val="single"/>
        </w:rPr>
        <w:t>企业</w:t>
      </w:r>
      <w:r>
        <w:rPr>
          <w:rFonts w:hint="eastAsia"/>
          <w:color w:val="auto"/>
          <w:highlight w:val="none"/>
          <w:u w:val="single"/>
          <w:lang w:eastAsia="zh-CN"/>
        </w:rPr>
        <w:t>综合诚信评价</w:t>
      </w:r>
      <w:r>
        <w:rPr>
          <w:rFonts w:hint="eastAsia"/>
          <w:color w:val="auto"/>
          <w:highlight w:val="none"/>
          <w:u w:val="single"/>
          <w:lang w:val="en-US" w:eastAsia="zh-CN"/>
        </w:rPr>
        <w:t>评分标准</w:t>
      </w:r>
      <w:r>
        <w:rPr>
          <w:rFonts w:hint="eastAsia"/>
          <w:color w:val="auto"/>
          <w:highlight w:val="none"/>
          <w:u w:val="single"/>
          <w:lang w:eastAsia="zh-CN"/>
        </w:rPr>
        <w:t>：</w:t>
      </w:r>
      <w:r>
        <w:rPr>
          <w:rFonts w:hint="eastAsia"/>
          <w:color w:val="auto"/>
          <w:highlight w:val="none"/>
          <w:u w:val="single"/>
        </w:rPr>
        <w:t>见评标办法前附表。</w:t>
      </w:r>
    </w:p>
    <w:p>
      <w:pPr>
        <w:pStyle w:val="3"/>
        <w:spacing w:before="100" w:after="10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评标程序</w:t>
      </w:r>
      <w:bookmarkEnd w:id="420"/>
      <w:bookmarkEnd w:id="421"/>
      <w:bookmarkEnd w:id="422"/>
      <w:bookmarkEnd w:id="423"/>
      <w:bookmarkEnd w:id="424"/>
      <w:bookmarkEnd w:id="425"/>
      <w:bookmarkEnd w:id="426"/>
      <w:bookmarkEnd w:id="427"/>
      <w:bookmarkEnd w:id="428"/>
    </w:p>
    <w:p>
      <w:pPr>
        <w:spacing w:line="400" w:lineRule="exact"/>
        <w:ind w:firstLine="420" w:firstLineChars="200"/>
        <w:rPr>
          <w:rFonts w:ascii="宋体" w:hAnsi="宋体"/>
          <w:color w:val="auto"/>
          <w:szCs w:val="21"/>
          <w:highlight w:val="none"/>
        </w:rPr>
      </w:pPr>
      <w:bookmarkStart w:id="429" w:name="_Toc48818547"/>
      <w:bookmarkStart w:id="430" w:name="_Toc17906"/>
      <w:bookmarkStart w:id="431" w:name="_Toc34503614"/>
      <w:bookmarkStart w:id="432" w:name="_Toc28288"/>
      <w:r>
        <w:rPr>
          <w:rFonts w:hint="eastAsia" w:ascii="宋体" w:hAnsi="宋体"/>
          <w:color w:val="auto"/>
          <w:szCs w:val="21"/>
          <w:highlight w:val="none"/>
        </w:rPr>
        <w:t>本项目采取电子评标。评标由招标人依法组建的评标委员会负责。</w:t>
      </w:r>
    </w:p>
    <w:p>
      <w:pPr>
        <w:pStyle w:val="4"/>
        <w:spacing w:line="240" w:lineRule="auto"/>
        <w:ind w:firstLine="136"/>
        <w:rPr>
          <w:color w:val="auto"/>
          <w:highlight w:val="none"/>
        </w:rPr>
      </w:pPr>
      <w:r>
        <w:rPr>
          <w:rFonts w:hint="eastAsia"/>
          <w:color w:val="auto"/>
          <w:highlight w:val="none"/>
        </w:rPr>
        <w:t>3.</w:t>
      </w:r>
      <w:r>
        <w:rPr>
          <w:color w:val="auto"/>
          <w:highlight w:val="none"/>
        </w:rPr>
        <w:t>1</w:t>
      </w:r>
      <w:r>
        <w:rPr>
          <w:rFonts w:hint="eastAsia"/>
          <w:color w:val="auto"/>
          <w:highlight w:val="none"/>
        </w:rPr>
        <w:t>设计方案评审</w:t>
      </w:r>
      <w:bookmarkEnd w:id="429"/>
      <w:bookmarkEnd w:id="430"/>
      <w:bookmarkEnd w:id="431"/>
      <w:bookmarkEnd w:id="432"/>
      <w:r>
        <w:rPr>
          <w:rFonts w:hint="eastAsia"/>
          <w:color w:val="auto"/>
          <w:highlight w:val="none"/>
        </w:rPr>
        <w:t>（由设计评审组负责）</w:t>
      </w:r>
    </w:p>
    <w:p>
      <w:pPr>
        <w:spacing w:line="400" w:lineRule="exact"/>
        <w:ind w:firstLine="457"/>
        <w:rPr>
          <w:rFonts w:ascii="宋体" w:hAnsi="宋体" w:cs="宋体"/>
          <w:color w:val="auto"/>
          <w:highlight w:val="none"/>
        </w:rPr>
      </w:pPr>
      <w:r>
        <w:rPr>
          <w:rFonts w:hint="eastAsia" w:ascii="宋体" w:hAnsi="宋体" w:cs="宋体"/>
          <w:color w:val="auto"/>
          <w:highlight w:val="none"/>
        </w:rPr>
        <w:t>3.1.1设计评审组按设计方案文件响应性审查标准对所有成功解密的设计标投标文件进行评审，只有通过响应性审查的设计方案文件方可进入下一阶段的评审。如果有否决投标提议，则设计评审组共同表决，按照少数服从多数的原则决定是否否决其投标。评委发现投标文件中含义不明确、对同类问题表述不一致、有明显文字和计算错误的，应当要求投标人作必要的澄清、说明后再判定投标人是否通过有效性审查，不得直接否决投标。</w:t>
      </w:r>
    </w:p>
    <w:p>
      <w:pPr>
        <w:spacing w:line="400" w:lineRule="exact"/>
        <w:ind w:firstLine="457"/>
        <w:rPr>
          <w:rFonts w:ascii="宋体" w:hAnsi="宋体" w:cs="宋体"/>
          <w:color w:val="auto"/>
          <w:highlight w:val="none"/>
        </w:rPr>
      </w:pPr>
      <w:r>
        <w:rPr>
          <w:rFonts w:hint="eastAsia" w:ascii="宋体" w:hAnsi="宋体" w:cs="宋体"/>
          <w:color w:val="auto"/>
          <w:highlight w:val="none"/>
        </w:rPr>
        <w:t>3.1.2设计评审组按设计方案评分标准对各设计方案文件进行评分。</w:t>
      </w:r>
    </w:p>
    <w:p>
      <w:pPr>
        <w:spacing w:line="400" w:lineRule="exact"/>
        <w:ind w:firstLine="457"/>
        <w:rPr>
          <w:rFonts w:ascii="宋体" w:hAnsi="宋体" w:cs="宋体"/>
          <w:color w:val="auto"/>
          <w:highlight w:val="none"/>
        </w:rPr>
      </w:pPr>
      <w:r>
        <w:rPr>
          <w:rFonts w:hint="eastAsia" w:ascii="宋体" w:hAnsi="宋体" w:cs="宋体"/>
          <w:color w:val="auto"/>
          <w:highlight w:val="none"/>
        </w:rPr>
        <w:t>3.1.3汇总设计评审组各评委每个分项的分数后的算术平均值，得出每个投标人设计方案得分，分数出现小数点，保留小数点后二位，第三位小数四舍五入。</w:t>
      </w:r>
    </w:p>
    <w:p>
      <w:pPr>
        <w:spacing w:line="400" w:lineRule="exact"/>
        <w:ind w:firstLine="457"/>
        <w:rPr>
          <w:rFonts w:ascii="宋体" w:hAnsi="宋体" w:cs="宋体"/>
          <w:color w:val="auto"/>
          <w:highlight w:val="none"/>
        </w:rPr>
      </w:pPr>
      <w:r>
        <w:rPr>
          <w:rFonts w:hint="eastAsia" w:ascii="宋体" w:hAnsi="宋体" w:cs="宋体"/>
          <w:color w:val="auto"/>
          <w:highlight w:val="none"/>
        </w:rPr>
        <w:t>3.1.4设计评审组揭晓投标人身份。</w:t>
      </w:r>
    </w:p>
    <w:p>
      <w:pPr>
        <w:spacing w:line="400" w:lineRule="exact"/>
        <w:ind w:firstLine="457"/>
        <w:rPr>
          <w:rFonts w:hint="eastAsia" w:ascii="宋体" w:hAnsi="宋体" w:cs="宋体"/>
          <w:color w:val="auto"/>
          <w:highlight w:val="none"/>
        </w:rPr>
      </w:pPr>
      <w:r>
        <w:rPr>
          <w:rFonts w:hint="eastAsia" w:ascii="宋体" w:hAnsi="宋体" w:cs="宋体"/>
          <w:color w:val="auto"/>
          <w:highlight w:val="none"/>
        </w:rPr>
        <w:t>3.1.5设计评审组按只有通过响应性审查的投标人的投标文件方可进入下一阶段评审的评审原则，在揭晓投标人身份后，根据响应性审查结果，否决未通过响应性评审的投标人的投标，取消其得分，且不再进入得分汇总阶段。设计评审组评委汇总各投标人设计方案得分、编写、签署设计方案评标报告，评标报告由设计评审组评委全体成员签名，对评标结论持有异议的设计评审组成员可以书面方式阐述其不同意见和理由。</w:t>
      </w:r>
    </w:p>
    <w:p>
      <w:pPr>
        <w:spacing w:line="400" w:lineRule="exact"/>
        <w:ind w:firstLine="457"/>
        <w:rPr>
          <w:rFonts w:hint="eastAsia" w:ascii="宋体" w:hAnsi="宋体" w:cs="宋体"/>
          <w:color w:val="auto"/>
          <w:highlight w:val="none"/>
        </w:rPr>
      </w:pPr>
      <w:r>
        <w:rPr>
          <w:rFonts w:hint="eastAsia" w:ascii="宋体" w:hAnsi="宋体" w:cs="宋体"/>
          <w:color w:val="auto"/>
          <w:highlight w:val="none"/>
        </w:rPr>
        <w:t>3.1.6设计评审组评委向招标人提交书面设计方案评标报告后即告解散。</w:t>
      </w:r>
    </w:p>
    <w:p>
      <w:pPr>
        <w:pStyle w:val="11"/>
        <w:rPr>
          <w:highlight w:val="none"/>
        </w:rPr>
      </w:pPr>
    </w:p>
    <w:p>
      <w:pPr>
        <w:pStyle w:val="4"/>
        <w:spacing w:line="240" w:lineRule="auto"/>
        <w:ind w:firstLine="136"/>
        <w:rPr>
          <w:color w:val="auto"/>
          <w:highlight w:val="none"/>
        </w:rPr>
      </w:pPr>
      <w:bookmarkStart w:id="433" w:name="_Toc6609"/>
      <w:bookmarkStart w:id="434" w:name="_Toc34503612"/>
      <w:bookmarkStart w:id="435" w:name="_Toc48818545"/>
      <w:bookmarkStart w:id="436" w:name="_Toc7054"/>
      <w:bookmarkStart w:id="437" w:name="_Toc11025"/>
      <w:bookmarkStart w:id="438" w:name="_Toc48818549"/>
      <w:bookmarkStart w:id="439" w:name="_Toc29937"/>
      <w:bookmarkStart w:id="440" w:name="_Toc34503617"/>
      <w:r>
        <w:rPr>
          <w:rFonts w:hint="eastAsia"/>
          <w:color w:val="auto"/>
          <w:highlight w:val="none"/>
        </w:rPr>
        <w:t>3.</w:t>
      </w:r>
      <w:r>
        <w:rPr>
          <w:color w:val="auto"/>
          <w:highlight w:val="none"/>
        </w:rPr>
        <w:t>2</w:t>
      </w:r>
      <w:bookmarkEnd w:id="433"/>
      <w:bookmarkEnd w:id="434"/>
      <w:bookmarkEnd w:id="435"/>
      <w:bookmarkEnd w:id="436"/>
      <w:r>
        <w:rPr>
          <w:rFonts w:hint="eastAsia"/>
          <w:color w:val="auto"/>
          <w:highlight w:val="none"/>
        </w:rPr>
        <w:t>形式审查及资格审查（由综合评审组负责）</w:t>
      </w:r>
    </w:p>
    <w:p>
      <w:pPr>
        <w:spacing w:line="360" w:lineRule="auto"/>
        <w:ind w:firstLine="420" w:firstLineChars="200"/>
        <w:rPr>
          <w:rFonts w:ascii="宋体" w:hAnsi="宋体" w:cs="宋体"/>
          <w:color w:val="auto"/>
          <w:szCs w:val="21"/>
          <w:highlight w:val="none"/>
        </w:rPr>
      </w:pPr>
      <w:bookmarkStart w:id="441" w:name="_Toc21054"/>
      <w:bookmarkStart w:id="442" w:name="_Toc30692"/>
      <w:bookmarkStart w:id="443" w:name="_Toc48818548"/>
      <w:bookmarkStart w:id="444" w:name="_Toc34503616"/>
      <w:r>
        <w:rPr>
          <w:rFonts w:hint="eastAsia" w:ascii="宋体" w:hAnsi="宋体" w:cs="宋体"/>
          <w:color w:val="auto"/>
          <w:szCs w:val="21"/>
          <w:highlight w:val="none"/>
        </w:rPr>
        <w:t>3.2.1 形式审查中全部符合形式评审标准（详见前附表）中规定情形的，为形式审查合格。否则为形式审查不合格，经综合评审组评委共同认定后，其投标文件将被拒绝。如综合评审组评委的评审意见不一致时，以综合评审组过半数成员的意见作为综合评审组对该情形的认定结论。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3.2.2汇总形式审查情况，只有通过形式审查的投标人方可进入下一阶段的评审。形式审查合格的投标人少于3名的，则本项目招标失败。</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3.2.3综合评审组评委对所有通过形式审查的投标人进行资格审查。资格审查文件中全部符合资格评审标准（详见前附表）中规定情形的，为资格审查合格。否则为资格审查不合格，经综合评审组评委共同认定后，其投标将被拒绝。如综合评审组评委的评审意见不一致时，以综合评审组过半数成员的意见作为综合评审组对该情形的认定结论。只有通过资格审查的投标人方可进入下一阶段的评审。评委发现投标文件中含义不明确、对同类问题表述不一致、有明显文字和计算错误的，应当要求投标人作必要的澄清、说明后再判定投标人是否通过资格审查，不得直接认定其不通过资格审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3.2.4汇总资格审查情况，编写资格审查报告。资格审查合格的投标人少于3名的，则本项目招标失败。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3.2.5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特别声明：资审合格后，投标人的资格发生变化而不满足投标人合格条件，在发出中标通知书前，资格问题仍未解决的，招标人将取消其中标资格。</w:t>
      </w:r>
    </w:p>
    <w:p>
      <w:pPr>
        <w:pStyle w:val="4"/>
        <w:spacing w:before="120" w:after="0" w:line="360" w:lineRule="auto"/>
        <w:rPr>
          <w:rFonts w:ascii="Times New Roman" w:hAnsi="Times New Roman"/>
          <w:color w:val="auto"/>
          <w:highlight w:val="none"/>
        </w:rPr>
      </w:pPr>
      <w:bookmarkStart w:id="445" w:name="_Toc439240661"/>
      <w:bookmarkStart w:id="446" w:name="_Toc439246060"/>
      <w:bookmarkStart w:id="447" w:name="_Toc8745"/>
      <w:r>
        <w:rPr>
          <w:rFonts w:hint="eastAsia" w:ascii="Times New Roman" w:hAnsi="Times New Roman"/>
          <w:color w:val="auto"/>
          <w:highlight w:val="none"/>
        </w:rPr>
        <w:t>3.3</w:t>
      </w:r>
      <w:r>
        <w:rPr>
          <w:rFonts w:hint="eastAsia" w:ascii="宋体"/>
          <w:color w:val="auto"/>
          <w:szCs w:val="21"/>
          <w:highlight w:val="none"/>
        </w:rPr>
        <w:t>工程总承包实施方案</w:t>
      </w:r>
      <w:r>
        <w:rPr>
          <w:rFonts w:hint="eastAsia" w:ascii="Times New Roman" w:hAnsi="Times New Roman"/>
          <w:color w:val="auto"/>
          <w:highlight w:val="none"/>
        </w:rPr>
        <w:t>评审</w:t>
      </w:r>
      <w:bookmarkEnd w:id="445"/>
      <w:bookmarkEnd w:id="446"/>
      <w:bookmarkEnd w:id="447"/>
      <w:r>
        <w:rPr>
          <w:rFonts w:hint="eastAsia" w:ascii="Times New Roman" w:hAnsi="Times New Roman"/>
          <w:color w:val="auto"/>
          <w:highlight w:val="none"/>
        </w:rPr>
        <w:t>（由综合评审组负责）</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3.3.1工程总承包实施方案文件（含投标报价）的响应性审查：通过资格审查的投标文件中全部符合工程总承包实施方案文件（含投标报价）响应性评审标准（详见前附表）中情形的，为有效标书。否则为无效标书，经综合评审组评委共同认定后，其投标文件将被拒绝。如综合评审组评委的评审意见不一致时，以综合评审组评委过半数成员的意见作为综合评审组对该情形的认定结论。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3.3.2</w:t>
      </w:r>
      <w:r>
        <w:rPr>
          <w:rFonts w:hint="eastAsia"/>
          <w:color w:val="auto"/>
          <w:szCs w:val="21"/>
          <w:highlight w:val="none"/>
        </w:rPr>
        <w:t>工程总承包实施方案</w:t>
      </w:r>
      <w:r>
        <w:rPr>
          <w:rFonts w:hint="eastAsia" w:ascii="宋体" w:hAnsi="宋体" w:cs="宋体"/>
          <w:color w:val="auto"/>
          <w:szCs w:val="21"/>
          <w:highlight w:val="none"/>
        </w:rPr>
        <w:t>详细审查：</w:t>
      </w:r>
      <w:r>
        <w:rPr>
          <w:rFonts w:hint="eastAsia" w:ascii="宋体" w:hAnsi="宋体" w:cs="宋体"/>
          <w:color w:val="auto"/>
          <w:highlight w:val="none"/>
        </w:rPr>
        <w:t>综合评审组</w:t>
      </w:r>
      <w:r>
        <w:rPr>
          <w:rFonts w:hint="eastAsia" w:ascii="宋体" w:hAnsi="宋体" w:cs="宋体"/>
          <w:color w:val="auto"/>
          <w:szCs w:val="21"/>
          <w:highlight w:val="none"/>
        </w:rPr>
        <w:t>评委按照</w:t>
      </w:r>
      <w:r>
        <w:rPr>
          <w:rFonts w:hint="eastAsia"/>
          <w:color w:val="auto"/>
          <w:szCs w:val="21"/>
          <w:highlight w:val="none"/>
        </w:rPr>
        <w:t>工程总承包实施方案</w:t>
      </w:r>
      <w:r>
        <w:rPr>
          <w:rFonts w:hint="eastAsia" w:ascii="宋体" w:hAnsi="宋体" w:cs="宋体"/>
          <w:color w:val="auto"/>
          <w:szCs w:val="21"/>
          <w:highlight w:val="none"/>
        </w:rPr>
        <w:t>评分标准（详见前附表），对通过响应性审查的投标文件进行详细审查，评分。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3.3.3各投标人</w:t>
      </w:r>
      <w:r>
        <w:rPr>
          <w:rFonts w:hint="eastAsia"/>
          <w:color w:val="auto"/>
          <w:szCs w:val="21"/>
          <w:highlight w:val="none"/>
        </w:rPr>
        <w:t>工程总承包实施方案</w:t>
      </w:r>
      <w:r>
        <w:rPr>
          <w:rFonts w:hint="eastAsia" w:ascii="宋体" w:hAnsi="宋体" w:cs="宋体"/>
          <w:color w:val="auto"/>
          <w:szCs w:val="21"/>
          <w:highlight w:val="none"/>
        </w:rPr>
        <w:t>得分为各评委评分的算术平均值，</w:t>
      </w:r>
      <w:r>
        <w:rPr>
          <w:rFonts w:hint="eastAsia" w:ascii="宋体" w:hAnsi="宋体" w:cs="宋体"/>
          <w:color w:val="auto"/>
          <w:highlight w:val="none"/>
        </w:rPr>
        <w:t>综合评审组</w:t>
      </w:r>
      <w:r>
        <w:rPr>
          <w:rFonts w:hint="eastAsia" w:ascii="宋体" w:hAnsi="宋体" w:cs="宋体"/>
          <w:color w:val="auto"/>
          <w:szCs w:val="21"/>
          <w:highlight w:val="none"/>
        </w:rPr>
        <w:t>评委按此汇总每个投标人工程总承包实施方案详细审查得分，分数出现小数点，保留小数点后二位，第三位小数四舍五入。</w:t>
      </w:r>
    </w:p>
    <w:p>
      <w:pPr>
        <w:pStyle w:val="4"/>
        <w:spacing w:before="120" w:after="0" w:line="360" w:lineRule="auto"/>
        <w:rPr>
          <w:rFonts w:ascii="Times New Roman" w:hAnsi="Times New Roman"/>
          <w:color w:val="auto"/>
          <w:highlight w:val="none"/>
        </w:rPr>
      </w:pPr>
      <w:bookmarkStart w:id="448" w:name="_Toc439246061"/>
      <w:bookmarkStart w:id="449" w:name="_Toc16232"/>
      <w:bookmarkStart w:id="450" w:name="_Toc439240662"/>
      <w:r>
        <w:rPr>
          <w:rFonts w:hint="eastAsia" w:ascii="Times New Roman" w:hAnsi="Times New Roman"/>
          <w:color w:val="auto"/>
          <w:highlight w:val="none"/>
        </w:rPr>
        <w:t>3.4投标报价得分</w:t>
      </w:r>
      <w:bookmarkEnd w:id="448"/>
      <w:bookmarkEnd w:id="449"/>
      <w:bookmarkEnd w:id="450"/>
      <w:r>
        <w:rPr>
          <w:rFonts w:hint="eastAsia" w:ascii="Times New Roman" w:hAnsi="Times New Roman"/>
          <w:color w:val="auto"/>
          <w:highlight w:val="none"/>
        </w:rPr>
        <w:t>（由综合评审组负责）</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3.4.1</w:t>
      </w:r>
      <w:r>
        <w:rPr>
          <w:rFonts w:hint="eastAsia" w:ascii="宋体" w:hAnsi="宋体" w:cs="宋体"/>
          <w:color w:val="auto"/>
          <w:highlight w:val="none"/>
        </w:rPr>
        <w:t>综合评审组</w:t>
      </w:r>
      <w:r>
        <w:rPr>
          <w:rFonts w:hint="eastAsia" w:ascii="宋体" w:hAnsi="宋体" w:cs="宋体"/>
          <w:color w:val="auto"/>
          <w:szCs w:val="21"/>
          <w:highlight w:val="none"/>
        </w:rPr>
        <w:t>评委汇总响应性评审结果，未通过设计方案响应性评审的投标人的投标报价，不再进行投标报价评审，也不参与评标基准价的计算。</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3.4.2投标报价的算术校核。</w:t>
      </w:r>
      <w:r>
        <w:rPr>
          <w:rFonts w:hint="eastAsia" w:ascii="宋体" w:hAnsi="宋体" w:cs="宋体"/>
          <w:color w:val="auto"/>
          <w:highlight w:val="none"/>
        </w:rPr>
        <w:t>综合评审组</w:t>
      </w:r>
      <w:r>
        <w:rPr>
          <w:rFonts w:hint="eastAsia" w:ascii="宋体" w:hAnsi="宋体" w:cs="宋体"/>
          <w:color w:val="auto"/>
          <w:szCs w:val="21"/>
          <w:highlight w:val="none"/>
        </w:rPr>
        <w:t>评委对通过设计方案响应性审查和工程总承包实施方案响应性审查的投标文件的投标报进行算术校核，具体标准如下：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（1）如果下浮率与最高投标限价乘积不等于投标报价时，以下浮率为准修正投标报价（下浮率有明显的数量级错误的除外，此时应修正下浮率），若修正后的投标报价超过最高投标限价的，作否决投标处理；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（2）如果分项报价累加不等总价的，以分项报价累加为准，修正总价；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（3）投标文件存在其他计算性错误的，按就低不就高计算并修正；</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（4）按上述修正错误的原则及方法调整或修正投标文件的投标报价，调整后的投标报价对投标人起约束作用。如果投标人不接受修正后的报价，则取消其投标资格或中标资格。</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3.4.3投标报价评分</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综合评审组评委按照投标报价评分标准（详见前附表）计算投标报价得分。</w:t>
      </w:r>
    </w:p>
    <w:p>
      <w:pPr>
        <w:pStyle w:val="4"/>
        <w:spacing w:line="240" w:lineRule="auto"/>
        <w:ind w:firstLine="136"/>
        <w:rPr>
          <w:color w:val="auto"/>
          <w:highlight w:val="none"/>
        </w:rPr>
      </w:pPr>
      <w:r>
        <w:rPr>
          <w:rFonts w:hint="eastAsia"/>
          <w:color w:val="auto"/>
          <w:highlight w:val="none"/>
        </w:rPr>
        <w:t>3.</w:t>
      </w:r>
      <w:r>
        <w:rPr>
          <w:color w:val="auto"/>
          <w:highlight w:val="none"/>
        </w:rPr>
        <w:t>5</w:t>
      </w:r>
      <w:r>
        <w:rPr>
          <w:rFonts w:hint="eastAsia"/>
          <w:color w:val="auto"/>
          <w:highlight w:val="none"/>
        </w:rPr>
        <w:t>评审汇总</w:t>
      </w:r>
      <w:bookmarkEnd w:id="441"/>
      <w:bookmarkEnd w:id="442"/>
      <w:bookmarkEnd w:id="443"/>
      <w:bookmarkEnd w:id="444"/>
      <w:r>
        <w:rPr>
          <w:rFonts w:hint="eastAsia"/>
          <w:color w:val="auto"/>
          <w:highlight w:val="none"/>
        </w:rPr>
        <w:t>（由综合评审组负责）</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3.5.1投标人总得分满分为100分，各部分分值分配详见评标办法前附表。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3.5.2</w:t>
      </w:r>
      <w:r>
        <w:rPr>
          <w:rFonts w:hint="eastAsia" w:ascii="宋体" w:hAnsi="宋体" w:cs="宋体"/>
          <w:color w:val="auto"/>
          <w:highlight w:val="none"/>
        </w:rPr>
        <w:t>综合评审组</w:t>
      </w:r>
      <w:r>
        <w:rPr>
          <w:rFonts w:hint="eastAsia" w:ascii="宋体" w:hAnsi="宋体" w:cs="宋体"/>
          <w:color w:val="auto"/>
          <w:szCs w:val="21"/>
          <w:highlight w:val="none"/>
        </w:rPr>
        <w:t>汇总各有效投标文件的总得分，并按照总分从高到低排列先后次序，只有通过形式审查、资格审查、</w:t>
      </w:r>
      <w:r>
        <w:rPr>
          <w:rFonts w:hint="eastAsia"/>
          <w:color w:val="auto"/>
          <w:szCs w:val="21"/>
          <w:highlight w:val="none"/>
        </w:rPr>
        <w:t>设计方案文件响应性评审和工程总承包实施方案文件（含投标报价）响应性评审</w:t>
      </w:r>
      <w:r>
        <w:rPr>
          <w:rFonts w:hint="eastAsia" w:ascii="宋体" w:hAnsi="宋体" w:cs="宋体"/>
          <w:color w:val="auto"/>
          <w:szCs w:val="21"/>
          <w:highlight w:val="none"/>
        </w:rPr>
        <w:t>的投标文件方可计算总分。</w:t>
      </w:r>
      <w:r>
        <w:rPr>
          <w:rFonts w:hint="eastAsia" w:ascii="宋体" w:hAnsi="宋体" w:cs="宋体"/>
          <w:color w:val="auto"/>
          <w:highlight w:val="none"/>
        </w:rPr>
        <w:t>总</w:t>
      </w:r>
      <w:r>
        <w:rPr>
          <w:rFonts w:hint="eastAsia" w:ascii="宋体" w:hAnsi="宋体" w:cs="宋体"/>
          <w:color w:val="auto"/>
          <w:szCs w:val="21"/>
          <w:highlight w:val="none"/>
        </w:rPr>
        <w:t>得</w:t>
      </w:r>
      <w:r>
        <w:rPr>
          <w:rFonts w:hint="eastAsia" w:ascii="宋体" w:hAnsi="宋体" w:cs="宋体"/>
          <w:color w:val="auto"/>
          <w:highlight w:val="none"/>
        </w:rPr>
        <w:t>分相同的投标文件，以工程总承包实施方案评审得分较高的排前；总分与工程总承包实施方案评审得分均相同的投标文件，以设计方案得分高的排前；总</w:t>
      </w:r>
      <w:r>
        <w:rPr>
          <w:rFonts w:hint="eastAsia" w:ascii="宋体" w:hAnsi="宋体" w:cs="宋体"/>
          <w:color w:val="auto"/>
          <w:szCs w:val="21"/>
          <w:highlight w:val="none"/>
        </w:rPr>
        <w:t>得</w:t>
      </w:r>
      <w:r>
        <w:rPr>
          <w:rFonts w:hint="eastAsia" w:ascii="宋体" w:hAnsi="宋体" w:cs="宋体"/>
          <w:color w:val="auto"/>
          <w:highlight w:val="none"/>
        </w:rPr>
        <w:t>分、工程总承包实施方案评审得分与设计方案得分均相同的投标文件，以投标报价得分高的排前；如仍存在相同情况，则对具有相同情况的投标人，按中标候选人数量规定，则由综合评审组采用记名投票以得票多优先，确定中标候选人的排序。综合评审组</w:t>
      </w:r>
      <w:r>
        <w:rPr>
          <w:rFonts w:hint="eastAsia" w:ascii="宋体" w:hAnsi="宋体" w:cs="宋体"/>
          <w:color w:val="auto"/>
          <w:szCs w:val="21"/>
          <w:highlight w:val="none"/>
        </w:rPr>
        <w:t>应按排序先后，向招标人推荐前3名投标人依次为第一中标候选人至第三中标候选人，并编写评标报告。</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3.5.3有效投标单位不足三家，应当依法重新组织招标。</w:t>
      </w:r>
    </w:p>
    <w:p>
      <w:pPr>
        <w:pStyle w:val="4"/>
        <w:spacing w:line="240" w:lineRule="auto"/>
        <w:ind w:firstLine="136"/>
        <w:rPr>
          <w:color w:val="auto"/>
          <w:highlight w:val="none"/>
        </w:rPr>
      </w:pPr>
      <w:r>
        <w:rPr>
          <w:rFonts w:hint="eastAsia"/>
          <w:color w:val="auto"/>
          <w:highlight w:val="none"/>
        </w:rPr>
        <w:t>3.</w:t>
      </w:r>
      <w:r>
        <w:rPr>
          <w:color w:val="auto"/>
          <w:highlight w:val="none"/>
        </w:rPr>
        <w:t>6</w:t>
      </w:r>
      <w:r>
        <w:rPr>
          <w:rFonts w:hint="eastAsia"/>
          <w:color w:val="auto"/>
          <w:highlight w:val="none"/>
        </w:rPr>
        <w:t>投标文件的澄清和补正</w:t>
      </w:r>
      <w:bookmarkEnd w:id="437"/>
      <w:bookmarkEnd w:id="438"/>
      <w:bookmarkEnd w:id="439"/>
      <w:bookmarkEnd w:id="440"/>
      <w:r>
        <w:rPr>
          <w:color w:val="auto"/>
          <w:highlight w:val="none"/>
        </w:rPr>
        <w:tab/>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3.6.1为有助于投标文件的审查、评价和比较，评标期间，经评标委员会中两人以上（含两人）的成员以书面形式提出动议，评标委员会应当书面发出澄清通知，要求投标人对投标文件含义不明确的内容作出澄清。</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3.6.2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3.6.3 评标委员会成员均应当阅读投标人的澄清，但应独立参考澄清对投标文件进行评审。</w:t>
      </w:r>
    </w:p>
    <w:p>
      <w:pPr>
        <w:spacing w:line="400" w:lineRule="exact"/>
        <w:ind w:firstLine="420" w:firstLineChars="200"/>
        <w:rPr>
          <w:rFonts w:ascii="宋体" w:hAnsi="宋体" w:cs="宋体"/>
          <w:color w:val="auto"/>
          <w:szCs w:val="21"/>
          <w:highlight w:val="none"/>
        </w:rPr>
      </w:pPr>
      <w:r>
        <w:rPr>
          <w:rFonts w:hint="eastAsia" w:ascii="宋体" w:hAnsi="宋体" w:cs="宋体"/>
          <w:color w:val="auto"/>
          <w:highlight w:val="none"/>
        </w:rPr>
        <w:t>3.6.4如果投标文件实质上不响应招标文件的各项要求，评标委员会相应评审将按照响应性审查标准予以拒绝，不接受投标人通过修改或撤销其不符合要求的差异或保留，使之成为具有响应性的投标。</w:t>
      </w:r>
    </w:p>
    <w:p>
      <w:pPr>
        <w:pStyle w:val="4"/>
        <w:spacing w:line="240" w:lineRule="auto"/>
        <w:ind w:firstLine="136"/>
        <w:rPr>
          <w:color w:val="auto"/>
          <w:highlight w:val="none"/>
        </w:rPr>
      </w:pPr>
      <w:bookmarkStart w:id="451" w:name="_Toc21926"/>
      <w:bookmarkStart w:id="452" w:name="_Toc34503618"/>
      <w:bookmarkStart w:id="453" w:name="_Toc48818550"/>
      <w:bookmarkStart w:id="454" w:name="_Toc32079"/>
      <w:r>
        <w:rPr>
          <w:rFonts w:hint="eastAsia"/>
          <w:color w:val="auto"/>
          <w:highlight w:val="none"/>
        </w:rPr>
        <w:t>3.</w:t>
      </w:r>
      <w:r>
        <w:rPr>
          <w:color w:val="auto"/>
          <w:highlight w:val="none"/>
        </w:rPr>
        <w:t>7</w:t>
      </w:r>
      <w:r>
        <w:rPr>
          <w:rFonts w:hint="eastAsia"/>
          <w:color w:val="auto"/>
          <w:highlight w:val="none"/>
        </w:rPr>
        <w:t>评标结果</w:t>
      </w:r>
      <w:bookmarkEnd w:id="451"/>
      <w:bookmarkEnd w:id="452"/>
      <w:bookmarkEnd w:id="453"/>
      <w:bookmarkEnd w:id="454"/>
    </w:p>
    <w:p>
      <w:pPr>
        <w:snapToGrid w:val="0"/>
        <w:spacing w:line="400" w:lineRule="exact"/>
        <w:ind w:firstLine="457" w:firstLineChars="218"/>
        <w:rPr>
          <w:rFonts w:ascii="宋体" w:hAnsi="宋体" w:cs="宋体"/>
          <w:color w:val="auto"/>
          <w:highlight w:val="none"/>
        </w:rPr>
      </w:pPr>
      <w:r>
        <w:rPr>
          <w:rFonts w:hint="eastAsia" w:ascii="宋体" w:hAnsi="宋体" w:cs="宋体"/>
          <w:color w:val="auto"/>
          <w:highlight w:val="none"/>
        </w:rPr>
        <w:t>3.7.1 除第二章“投标人须知”前附表授权直接确定中标人外，评标委员会按照得分由高到低的顺序推荐中标候选人。</w:t>
      </w:r>
    </w:p>
    <w:p>
      <w:pPr>
        <w:snapToGrid w:val="0"/>
        <w:spacing w:line="400" w:lineRule="exact"/>
        <w:ind w:firstLine="457" w:firstLineChars="218"/>
        <w:rPr>
          <w:rFonts w:ascii="宋体" w:hAnsi="宋体" w:cs="宋体"/>
          <w:color w:val="auto"/>
          <w:highlight w:val="none"/>
        </w:rPr>
      </w:pPr>
      <w:r>
        <w:rPr>
          <w:rFonts w:hint="eastAsia" w:ascii="宋体" w:hAnsi="宋体" w:cs="宋体"/>
          <w:color w:val="auto"/>
          <w:highlight w:val="none"/>
        </w:rPr>
        <w:t>3.7.2 评标委员会完成评标后，应当向招标人提交书面评标报告。</w:t>
      </w:r>
    </w:p>
    <w:p>
      <w:pPr>
        <w:snapToGrid w:val="0"/>
        <w:spacing w:line="400" w:lineRule="exact"/>
        <w:ind w:firstLine="457" w:firstLineChars="218"/>
        <w:rPr>
          <w:rFonts w:ascii="华文楷体" w:hAnsi="华文楷体" w:eastAsia="华文楷体" w:cs="华文楷体"/>
          <w:b/>
          <w:bCs/>
          <w:color w:val="auto"/>
          <w:szCs w:val="21"/>
          <w:highlight w:val="none"/>
        </w:rPr>
        <w:sectPr>
          <w:headerReference r:id="rId6" w:type="default"/>
          <w:footerReference r:id="rId7" w:type="default"/>
          <w:pgSz w:w="11907" w:h="16840"/>
          <w:pgMar w:top="1361" w:right="1304" w:bottom="1304" w:left="1304" w:header="851" w:footer="720" w:gutter="0"/>
          <w:cols w:space="720" w:num="1"/>
        </w:sectPr>
      </w:pPr>
      <w:r>
        <w:rPr>
          <w:rFonts w:hint="eastAsia" w:ascii="宋体" w:hAnsi="宋体" w:cs="宋体"/>
          <w:color w:val="auto"/>
          <w:highlight w:val="none"/>
        </w:rPr>
        <w:t>3.7.3投标人如在本项目中存在串通投标、弄虚作假、行贿情形且在评标过程中未被发现的，其投标不改变本项目评标结果排序。招标人按照《中华人民共和国招标投标法实施条例》第五十五条的规定确定中标人或重新招标</w:t>
      </w:r>
      <w:r>
        <w:rPr>
          <w:rFonts w:hint="eastAsia"/>
          <w:color w:val="auto"/>
          <w:highlight w:val="none"/>
        </w:rPr>
        <w:t>。</w:t>
      </w:r>
    </w:p>
    <w:p>
      <w:pPr>
        <w:spacing w:line="360" w:lineRule="auto"/>
        <w:jc w:val="left"/>
        <w:rPr>
          <w:rFonts w:ascii="宋体" w:hAnsi="宋体"/>
          <w:b/>
          <w:color w:val="auto"/>
          <w:szCs w:val="21"/>
          <w:highlight w:val="none"/>
        </w:rPr>
      </w:pPr>
      <w:r>
        <w:rPr>
          <w:rFonts w:hint="eastAsia" w:ascii="宋体" w:hAnsi="宋体"/>
          <w:b/>
          <w:color w:val="auto"/>
          <w:szCs w:val="21"/>
          <w:highlight w:val="none"/>
        </w:rPr>
        <w:t xml:space="preserve"> 附表1：</w:t>
      </w:r>
    </w:p>
    <w:p>
      <w:pPr>
        <w:spacing w:line="360" w:lineRule="auto"/>
        <w:jc w:val="center"/>
        <w:rPr>
          <w:rFonts w:hint="eastAsia"/>
          <w:b/>
          <w:bCs/>
          <w:color w:val="auto"/>
          <w:sz w:val="28"/>
          <w:szCs w:val="28"/>
          <w:highlight w:val="none"/>
        </w:rPr>
      </w:pPr>
      <w:r>
        <w:rPr>
          <w:rFonts w:hint="eastAsia"/>
          <w:b/>
          <w:bCs/>
          <w:color w:val="auto"/>
          <w:sz w:val="28"/>
          <w:szCs w:val="28"/>
          <w:highlight w:val="none"/>
        </w:rPr>
        <w:t>设计方案详细审查评分标准</w:t>
      </w:r>
    </w:p>
    <w:tbl>
      <w:tblPr>
        <w:tblStyle w:val="17"/>
        <w:tblW w:w="14154" w:type="dxa"/>
        <w:tblInd w:w="0" w:type="dxa"/>
        <w:tblLayout w:type="fixed"/>
        <w:tblCellMar>
          <w:top w:w="0" w:type="dxa"/>
          <w:left w:w="108" w:type="dxa"/>
          <w:bottom w:w="0" w:type="dxa"/>
          <w:right w:w="108" w:type="dxa"/>
        </w:tblCellMar>
      </w:tblPr>
      <w:tblGrid>
        <w:gridCol w:w="725"/>
        <w:gridCol w:w="1583"/>
        <w:gridCol w:w="9309"/>
        <w:gridCol w:w="1337"/>
        <w:gridCol w:w="1200"/>
      </w:tblGrid>
      <w:tr>
        <w:tblPrEx>
          <w:tblCellMar>
            <w:top w:w="0" w:type="dxa"/>
            <w:left w:w="108" w:type="dxa"/>
            <w:bottom w:w="0" w:type="dxa"/>
            <w:right w:w="108" w:type="dxa"/>
          </w:tblCellMar>
        </w:tblPrEx>
        <w:trPr>
          <w:trHeight w:val="95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kern w:val="1"/>
                <w:szCs w:val="21"/>
                <w:highlight w:val="none"/>
              </w:rPr>
            </w:pPr>
            <w:r>
              <w:rPr>
                <w:rFonts w:hint="eastAsia" w:ascii="宋体" w:hAnsi="宋体" w:cs="宋体"/>
                <w:kern w:val="1"/>
                <w:szCs w:val="21"/>
                <w:highlight w:val="none"/>
              </w:rPr>
              <w:t>评分项目</w:t>
            </w:r>
          </w:p>
        </w:tc>
        <w:tc>
          <w:tcPr>
            <w:tcW w:w="15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kern w:val="1"/>
                <w:szCs w:val="21"/>
                <w:highlight w:val="none"/>
              </w:rPr>
            </w:pPr>
            <w:r>
              <w:rPr>
                <w:rFonts w:hint="eastAsia" w:ascii="宋体" w:hAnsi="宋体" w:cs="宋体"/>
                <w:kern w:val="1"/>
                <w:szCs w:val="21"/>
                <w:highlight w:val="none"/>
              </w:rPr>
              <w:t>评审内容</w:t>
            </w:r>
          </w:p>
        </w:tc>
        <w:tc>
          <w:tcPr>
            <w:tcW w:w="93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kern w:val="1"/>
                <w:szCs w:val="21"/>
                <w:highlight w:val="none"/>
              </w:rPr>
            </w:pPr>
            <w:r>
              <w:rPr>
                <w:rFonts w:hint="eastAsia" w:ascii="宋体" w:hAnsi="宋体" w:cs="宋体"/>
                <w:kern w:val="1"/>
                <w:szCs w:val="21"/>
                <w:highlight w:val="none"/>
              </w:rPr>
              <w:t>主要评判因素</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kern w:val="1"/>
                <w:szCs w:val="21"/>
                <w:highlight w:val="none"/>
              </w:rPr>
            </w:pPr>
            <w:r>
              <w:rPr>
                <w:rFonts w:hint="eastAsia" w:ascii="宋体" w:hAnsi="宋体" w:cs="宋体"/>
                <w:kern w:val="1"/>
                <w:szCs w:val="21"/>
                <w:highlight w:val="none"/>
              </w:rPr>
              <w:t>评分范围</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kern w:val="1"/>
                <w:szCs w:val="21"/>
                <w:highlight w:val="none"/>
              </w:rPr>
            </w:pPr>
            <w:r>
              <w:rPr>
                <w:rFonts w:hint="eastAsia" w:ascii="宋体" w:hAnsi="宋体" w:cs="宋体"/>
                <w:kern w:val="1"/>
                <w:szCs w:val="21"/>
                <w:highlight w:val="none"/>
              </w:rPr>
              <w:t>评审得分</w:t>
            </w:r>
          </w:p>
        </w:tc>
      </w:tr>
      <w:tr>
        <w:tblPrEx>
          <w:tblCellMar>
            <w:top w:w="0" w:type="dxa"/>
            <w:left w:w="108" w:type="dxa"/>
            <w:bottom w:w="0" w:type="dxa"/>
            <w:right w:w="108" w:type="dxa"/>
          </w:tblCellMar>
        </w:tblPrEx>
        <w:trPr>
          <w:trHeight w:val="895" w:hRule="atLeast"/>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kern w:val="1"/>
                <w:szCs w:val="21"/>
                <w:highlight w:val="none"/>
              </w:rPr>
            </w:pPr>
            <w:r>
              <w:rPr>
                <w:rFonts w:hint="eastAsia" w:ascii="宋体" w:hAnsi="宋体" w:cs="宋体"/>
                <w:kern w:val="1"/>
                <w:szCs w:val="21"/>
                <w:highlight w:val="none"/>
              </w:rPr>
              <w:t>设计</w:t>
            </w:r>
          </w:p>
          <w:p>
            <w:pPr>
              <w:jc w:val="center"/>
              <w:rPr>
                <w:rFonts w:ascii="宋体" w:hAnsi="宋体" w:cs="宋体"/>
                <w:kern w:val="1"/>
                <w:szCs w:val="21"/>
                <w:highlight w:val="none"/>
              </w:rPr>
            </w:pPr>
            <w:r>
              <w:rPr>
                <w:rFonts w:hint="eastAsia" w:ascii="宋体" w:hAnsi="宋体" w:cs="宋体"/>
                <w:kern w:val="1"/>
                <w:szCs w:val="21"/>
                <w:highlight w:val="none"/>
              </w:rPr>
              <w:t>方案</w:t>
            </w:r>
          </w:p>
          <w:p>
            <w:pPr>
              <w:jc w:val="center"/>
              <w:rPr>
                <w:rFonts w:ascii="宋体" w:hAnsi="宋体" w:cs="宋体"/>
                <w:kern w:val="1"/>
                <w:szCs w:val="21"/>
                <w:highlight w:val="none"/>
                <w:u w:val="single"/>
              </w:rPr>
            </w:pPr>
          </w:p>
        </w:tc>
        <w:tc>
          <w:tcPr>
            <w:tcW w:w="15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kern w:val="1"/>
                <w:szCs w:val="21"/>
                <w:highlight w:val="none"/>
              </w:rPr>
            </w:pPr>
            <w:r>
              <w:rPr>
                <w:rFonts w:hint="eastAsia" w:ascii="宋体" w:hAnsi="宋体" w:cs="宋体"/>
                <w:szCs w:val="21"/>
                <w:highlight w:val="none"/>
              </w:rPr>
              <w:t>前期调研和对项目的理解</w:t>
            </w:r>
          </w:p>
        </w:tc>
        <w:tc>
          <w:tcPr>
            <w:tcW w:w="9309"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szCs w:val="21"/>
                <w:highlight w:val="none"/>
              </w:rPr>
            </w:pPr>
            <w:r>
              <w:rPr>
                <w:rFonts w:hint="eastAsia" w:ascii="宋体" w:hAnsi="宋体" w:cs="宋体"/>
                <w:szCs w:val="21"/>
                <w:highlight w:val="none"/>
              </w:rPr>
              <w:t>对项目背景、区位条件、现状资源、目标愿景、改造内容等的理解程度，以及对国家、省、市相关政策的理解。</w:t>
            </w:r>
          </w:p>
          <w:p>
            <w:pPr>
              <w:rPr>
                <w:rFonts w:ascii="宋体" w:hAnsi="宋体" w:cs="宋体"/>
                <w:kern w:val="1"/>
                <w:szCs w:val="21"/>
                <w:highlight w:val="none"/>
              </w:rPr>
            </w:pPr>
            <w:r>
              <w:rPr>
                <w:rFonts w:hint="eastAsia" w:ascii="宋体" w:hAnsi="宋体" w:cs="宋体"/>
                <w:szCs w:val="21"/>
                <w:highlight w:val="none"/>
              </w:rPr>
              <w:t>优得8-10分、良得5-7分、一般得1-4分、无此部分内容得0分。</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kern w:val="1"/>
                <w:szCs w:val="21"/>
                <w:highlight w:val="none"/>
                <w:u w:val="single"/>
              </w:rPr>
            </w:pPr>
            <w:r>
              <w:rPr>
                <w:rFonts w:hint="eastAsia" w:ascii="宋体" w:hAnsi="宋体" w:cs="宋体"/>
                <w:szCs w:val="21"/>
                <w:highlight w:val="none"/>
              </w:rPr>
              <w:t>0-</w:t>
            </w:r>
            <w:r>
              <w:rPr>
                <w:rFonts w:ascii="宋体" w:hAnsi="宋体" w:cs="宋体"/>
                <w:szCs w:val="21"/>
                <w:highlight w:val="none"/>
              </w:rPr>
              <w:t>10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kern w:val="1"/>
                <w:szCs w:val="21"/>
                <w:highlight w:val="none"/>
              </w:rPr>
            </w:pPr>
          </w:p>
        </w:tc>
      </w:tr>
      <w:tr>
        <w:tblPrEx>
          <w:tblCellMar>
            <w:top w:w="0" w:type="dxa"/>
            <w:left w:w="108" w:type="dxa"/>
            <w:bottom w:w="0" w:type="dxa"/>
            <w:right w:w="108" w:type="dxa"/>
          </w:tblCellMar>
        </w:tblPrEx>
        <w:trPr>
          <w:trHeight w:val="1001" w:hRule="atLeast"/>
        </w:trPr>
        <w:tc>
          <w:tcPr>
            <w:tcW w:w="725" w:type="dxa"/>
            <w:vMerge w:val="continue"/>
            <w:tcBorders>
              <w:left w:val="single" w:color="000000" w:sz="4" w:space="0"/>
              <w:right w:val="single" w:color="000000" w:sz="4" w:space="0"/>
            </w:tcBorders>
            <w:noWrap w:val="0"/>
            <w:vAlign w:val="center"/>
          </w:tcPr>
          <w:p>
            <w:pPr>
              <w:jc w:val="center"/>
              <w:rPr>
                <w:rFonts w:ascii="宋体" w:hAnsi="宋体" w:cs="宋体"/>
                <w:kern w:val="1"/>
                <w:szCs w:val="21"/>
                <w:highlight w:val="none"/>
                <w:u w:val="single"/>
              </w:rPr>
            </w:pPr>
          </w:p>
        </w:tc>
        <w:tc>
          <w:tcPr>
            <w:tcW w:w="15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kern w:val="1"/>
                <w:szCs w:val="21"/>
                <w:highlight w:val="none"/>
              </w:rPr>
            </w:pPr>
            <w:r>
              <w:rPr>
                <w:rFonts w:hint="eastAsia" w:ascii="宋体" w:hAnsi="宋体" w:cs="宋体"/>
                <w:szCs w:val="21"/>
                <w:highlight w:val="none"/>
              </w:rPr>
              <w:t>设计概念</w:t>
            </w:r>
          </w:p>
        </w:tc>
        <w:tc>
          <w:tcPr>
            <w:tcW w:w="9309" w:type="dxa"/>
            <w:tcBorders>
              <w:top w:val="single" w:color="000000" w:sz="4" w:space="0"/>
              <w:left w:val="single" w:color="000000" w:sz="4" w:space="0"/>
              <w:bottom w:val="single" w:color="000000" w:sz="4" w:space="0"/>
              <w:right w:val="single" w:color="000000" w:sz="4" w:space="0"/>
            </w:tcBorders>
            <w:noWrap w:val="0"/>
            <w:vAlign w:val="center"/>
          </w:tcPr>
          <w:p>
            <w:pPr>
              <w:pStyle w:val="7"/>
              <w:rPr>
                <w:rFonts w:ascii="宋体" w:hAnsi="宋体" w:cs="宋体"/>
                <w:szCs w:val="21"/>
                <w:highlight w:val="none"/>
              </w:rPr>
            </w:pPr>
            <w:r>
              <w:rPr>
                <w:rFonts w:hint="eastAsia" w:ascii="宋体" w:hAnsi="宋体" w:cs="宋体"/>
                <w:szCs w:val="21"/>
                <w:highlight w:val="none"/>
              </w:rPr>
              <w:t>了解改造片区城市发展历程和历史文化，了解用地性质与建筑使用情况，总体设计与周边环境协调</w:t>
            </w:r>
            <w:r>
              <w:rPr>
                <w:rFonts w:hint="eastAsia" w:cs="宋体"/>
                <w:szCs w:val="21"/>
                <w:highlight w:val="none"/>
              </w:rPr>
              <w:t>，</w:t>
            </w:r>
            <w:r>
              <w:rPr>
                <w:rFonts w:hint="eastAsia" w:ascii="宋体" w:hAnsi="宋体" w:cs="宋体"/>
                <w:szCs w:val="21"/>
                <w:highlight w:val="none"/>
              </w:rPr>
              <w:t>方案</w:t>
            </w:r>
            <w:r>
              <w:rPr>
                <w:rFonts w:hint="eastAsia" w:cs="宋体"/>
                <w:szCs w:val="21"/>
                <w:highlight w:val="none"/>
              </w:rPr>
              <w:t>应</w:t>
            </w:r>
            <w:r>
              <w:rPr>
                <w:rFonts w:hint="eastAsia" w:ascii="宋体" w:hAnsi="宋体" w:cs="宋体"/>
                <w:szCs w:val="21"/>
                <w:highlight w:val="none"/>
              </w:rPr>
              <w:t>体现城市风貌特色。</w:t>
            </w:r>
          </w:p>
          <w:p>
            <w:pPr>
              <w:rPr>
                <w:rFonts w:ascii="宋体" w:hAnsi="宋体" w:cs="宋体"/>
                <w:kern w:val="1"/>
                <w:szCs w:val="21"/>
                <w:highlight w:val="none"/>
              </w:rPr>
            </w:pPr>
            <w:r>
              <w:rPr>
                <w:rFonts w:hint="eastAsia" w:hAnsi="宋体" w:cs="宋体"/>
                <w:szCs w:val="21"/>
                <w:highlight w:val="none"/>
              </w:rPr>
              <w:t>优得4-5分、良得 2-3分、一般得 1分，无此部分内容得 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kern w:val="1"/>
                <w:szCs w:val="21"/>
                <w:highlight w:val="none"/>
                <w:u w:val="single"/>
              </w:rPr>
            </w:pPr>
            <w:r>
              <w:rPr>
                <w:rFonts w:hint="eastAsia" w:ascii="宋体" w:hAnsi="宋体" w:cs="宋体"/>
                <w:szCs w:val="21"/>
                <w:highlight w:val="none"/>
              </w:rPr>
              <w:t>0-5</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kern w:val="1"/>
                <w:szCs w:val="21"/>
                <w:highlight w:val="none"/>
              </w:rPr>
            </w:pPr>
          </w:p>
        </w:tc>
      </w:tr>
      <w:tr>
        <w:tblPrEx>
          <w:tblCellMar>
            <w:top w:w="0" w:type="dxa"/>
            <w:left w:w="108" w:type="dxa"/>
            <w:bottom w:w="0" w:type="dxa"/>
            <w:right w:w="108" w:type="dxa"/>
          </w:tblCellMar>
        </w:tblPrEx>
        <w:trPr>
          <w:trHeight w:val="1204" w:hRule="atLeast"/>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kern w:val="1"/>
                <w:szCs w:val="21"/>
                <w:highlight w:val="none"/>
              </w:rPr>
            </w:pPr>
          </w:p>
        </w:tc>
        <w:tc>
          <w:tcPr>
            <w:tcW w:w="15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kern w:val="1"/>
                <w:szCs w:val="21"/>
                <w:highlight w:val="none"/>
              </w:rPr>
            </w:pPr>
            <w:r>
              <w:rPr>
                <w:rFonts w:hint="eastAsia" w:ascii="宋体" w:hAnsi="宋体" w:cs="宋体"/>
                <w:szCs w:val="21"/>
                <w:highlight w:val="none"/>
              </w:rPr>
              <w:t>总体方案</w:t>
            </w:r>
          </w:p>
        </w:tc>
        <w:tc>
          <w:tcPr>
            <w:tcW w:w="9309" w:type="dxa"/>
            <w:tcBorders>
              <w:top w:val="single" w:color="000000" w:sz="4" w:space="0"/>
              <w:left w:val="single" w:color="000000" w:sz="4" w:space="0"/>
              <w:bottom w:val="single" w:color="000000" w:sz="4" w:space="0"/>
              <w:right w:val="single" w:color="000000" w:sz="4" w:space="0"/>
            </w:tcBorders>
            <w:noWrap w:val="0"/>
            <w:vAlign w:val="center"/>
          </w:tcPr>
          <w:p>
            <w:pPr>
              <w:pStyle w:val="10"/>
              <w:rPr>
                <w:rFonts w:cs="宋体"/>
                <w:sz w:val="21"/>
                <w:szCs w:val="21"/>
                <w:highlight w:val="none"/>
                <w:lang w:eastAsia="zh-CN"/>
              </w:rPr>
            </w:pPr>
            <w:r>
              <w:rPr>
                <w:rFonts w:hint="eastAsia" w:cs="宋体"/>
                <w:sz w:val="21"/>
                <w:szCs w:val="21"/>
                <w:highlight w:val="none"/>
                <w:lang w:eastAsia="zh-CN"/>
              </w:rPr>
              <w:t>总体方案设计符合场地实际情况，反映居民实际需求，符合可持续性、以人为本。把握改造重点，改造策略应因地制宜，充分考虑地域环境条件，减少对周围环境的损害，提升居住区环境品质，改善居民居住条件。</w:t>
            </w:r>
          </w:p>
          <w:p>
            <w:pPr>
              <w:pStyle w:val="10"/>
              <w:rPr>
                <w:rFonts w:cs="宋体"/>
                <w:kern w:val="1"/>
                <w:sz w:val="21"/>
                <w:szCs w:val="21"/>
                <w:highlight w:val="none"/>
                <w:lang w:eastAsia="zh-CN"/>
              </w:rPr>
            </w:pPr>
            <w:r>
              <w:rPr>
                <w:rFonts w:hint="eastAsia" w:cs="宋体"/>
                <w:sz w:val="21"/>
                <w:szCs w:val="21"/>
                <w:highlight w:val="none"/>
                <w:lang w:eastAsia="zh-CN"/>
              </w:rPr>
              <w:t>优得 1</w:t>
            </w:r>
            <w:r>
              <w:rPr>
                <w:rFonts w:hint="eastAsia" w:cs="宋体"/>
                <w:sz w:val="21"/>
                <w:szCs w:val="21"/>
                <w:highlight w:val="none"/>
                <w:lang w:val="en-US" w:eastAsia="zh-CN"/>
              </w:rPr>
              <w:t>3</w:t>
            </w:r>
            <w:r>
              <w:rPr>
                <w:rFonts w:hint="eastAsia" w:cs="宋体"/>
                <w:sz w:val="21"/>
                <w:szCs w:val="21"/>
                <w:highlight w:val="none"/>
                <w:lang w:eastAsia="zh-CN"/>
              </w:rPr>
              <w:t xml:space="preserve">-15分、良得 </w:t>
            </w:r>
            <w:r>
              <w:rPr>
                <w:rFonts w:hint="eastAsia" w:cs="宋体"/>
                <w:sz w:val="21"/>
                <w:szCs w:val="21"/>
                <w:highlight w:val="none"/>
                <w:lang w:val="en-US" w:eastAsia="zh-CN"/>
              </w:rPr>
              <w:t>9</w:t>
            </w:r>
            <w:r>
              <w:rPr>
                <w:rFonts w:hint="eastAsia" w:cs="宋体"/>
                <w:sz w:val="21"/>
                <w:szCs w:val="21"/>
                <w:highlight w:val="none"/>
                <w:lang w:eastAsia="zh-CN"/>
              </w:rPr>
              <w:t>-1</w:t>
            </w:r>
            <w:r>
              <w:rPr>
                <w:rFonts w:hint="eastAsia" w:cs="宋体"/>
                <w:sz w:val="21"/>
                <w:szCs w:val="21"/>
                <w:highlight w:val="none"/>
                <w:lang w:val="en-US" w:eastAsia="zh-CN"/>
              </w:rPr>
              <w:t>2</w:t>
            </w:r>
            <w:r>
              <w:rPr>
                <w:rFonts w:hint="eastAsia" w:cs="宋体"/>
                <w:sz w:val="21"/>
                <w:szCs w:val="21"/>
                <w:highlight w:val="none"/>
                <w:lang w:eastAsia="zh-CN"/>
              </w:rPr>
              <w:t>分、一般得1-</w:t>
            </w:r>
            <w:r>
              <w:rPr>
                <w:rFonts w:hint="eastAsia" w:cs="宋体"/>
                <w:sz w:val="21"/>
                <w:szCs w:val="21"/>
                <w:highlight w:val="none"/>
                <w:lang w:val="en-US" w:eastAsia="zh-CN"/>
              </w:rPr>
              <w:t>8</w:t>
            </w:r>
            <w:r>
              <w:rPr>
                <w:rFonts w:hint="eastAsia" w:cs="宋体"/>
                <w:sz w:val="21"/>
                <w:szCs w:val="21"/>
                <w:highlight w:val="none"/>
                <w:lang w:eastAsia="zh-CN"/>
              </w:rPr>
              <w:t>分，无此部分内容得0分。</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kern w:val="1"/>
                <w:szCs w:val="21"/>
                <w:highlight w:val="none"/>
                <w:u w:val="single"/>
              </w:rPr>
            </w:pPr>
            <w:r>
              <w:rPr>
                <w:rFonts w:hint="eastAsia" w:ascii="宋体" w:hAnsi="宋体" w:cs="宋体"/>
                <w:szCs w:val="21"/>
                <w:highlight w:val="none"/>
              </w:rPr>
              <w:t>0-15</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kern w:val="1"/>
                <w:szCs w:val="21"/>
                <w:highlight w:val="none"/>
              </w:rPr>
            </w:pPr>
          </w:p>
        </w:tc>
      </w:tr>
      <w:tr>
        <w:tblPrEx>
          <w:tblCellMar>
            <w:top w:w="0" w:type="dxa"/>
            <w:left w:w="108" w:type="dxa"/>
            <w:bottom w:w="0" w:type="dxa"/>
            <w:right w:w="108" w:type="dxa"/>
          </w:tblCellMar>
        </w:tblPrEx>
        <w:trPr>
          <w:trHeight w:val="952" w:hRule="atLeast"/>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kern w:val="1"/>
                <w:szCs w:val="21"/>
                <w:highlight w:val="none"/>
              </w:rPr>
            </w:pPr>
          </w:p>
        </w:tc>
        <w:tc>
          <w:tcPr>
            <w:tcW w:w="15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kern w:val="1"/>
                <w:szCs w:val="21"/>
                <w:highlight w:val="none"/>
              </w:rPr>
            </w:pPr>
            <w:r>
              <w:rPr>
                <w:rFonts w:hint="eastAsia" w:ascii="宋体" w:hAnsi="宋体" w:cs="宋体"/>
                <w:szCs w:val="21"/>
                <w:highlight w:val="none"/>
              </w:rPr>
              <w:t>方案设计</w:t>
            </w:r>
          </w:p>
        </w:tc>
        <w:tc>
          <w:tcPr>
            <w:tcW w:w="9309" w:type="dxa"/>
            <w:tcBorders>
              <w:top w:val="single" w:color="000000" w:sz="4" w:space="0"/>
              <w:left w:val="single" w:color="000000" w:sz="4" w:space="0"/>
              <w:bottom w:val="single" w:color="000000" w:sz="4" w:space="0"/>
              <w:right w:val="single" w:color="000000" w:sz="4" w:space="0"/>
            </w:tcBorders>
            <w:noWrap w:val="0"/>
            <w:vAlign w:val="center"/>
          </w:tcPr>
          <w:p>
            <w:pPr>
              <w:pStyle w:val="7"/>
              <w:rPr>
                <w:rFonts w:ascii="宋体" w:hAnsi="宋体" w:cs="宋体"/>
                <w:kern w:val="0"/>
                <w:szCs w:val="21"/>
                <w:highlight w:val="none"/>
              </w:rPr>
            </w:pPr>
            <w:r>
              <w:rPr>
                <w:rFonts w:hint="eastAsia" w:ascii="宋体" w:hAnsi="宋体" w:cs="宋体"/>
                <w:kern w:val="0"/>
                <w:szCs w:val="21"/>
                <w:highlight w:val="none"/>
              </w:rPr>
              <w:t>方案设计应符合功能性、适用性以及美观性原则，对社区公共环境和基础设施等进行充分设计</w:t>
            </w:r>
            <w:r>
              <w:rPr>
                <w:rFonts w:hint="eastAsia" w:cs="宋体"/>
                <w:kern w:val="0"/>
                <w:szCs w:val="21"/>
                <w:highlight w:val="none"/>
              </w:rPr>
              <w:t>。</w:t>
            </w:r>
            <w:r>
              <w:rPr>
                <w:rFonts w:hint="eastAsia" w:ascii="宋体" w:hAnsi="宋体" w:cs="宋体"/>
                <w:kern w:val="0"/>
                <w:szCs w:val="21"/>
                <w:highlight w:val="none"/>
              </w:rPr>
              <w:t>整体设计合理，符合居民的实际需求，与周边环境协调。</w:t>
            </w:r>
          </w:p>
          <w:p>
            <w:pPr>
              <w:pStyle w:val="7"/>
              <w:rPr>
                <w:rFonts w:ascii="宋体" w:hAnsi="宋体" w:cs="宋体"/>
                <w:szCs w:val="21"/>
                <w:highlight w:val="none"/>
              </w:rPr>
            </w:pPr>
            <w:r>
              <w:rPr>
                <w:rFonts w:hint="eastAsia" w:ascii="宋体" w:hAnsi="宋体" w:cs="宋体"/>
                <w:kern w:val="0"/>
                <w:szCs w:val="21"/>
                <w:highlight w:val="none"/>
              </w:rPr>
              <w:t>优得 21-</w:t>
            </w:r>
            <w:r>
              <w:rPr>
                <w:rFonts w:cs="宋体"/>
                <w:kern w:val="0"/>
                <w:szCs w:val="21"/>
                <w:highlight w:val="none"/>
              </w:rPr>
              <w:t>25</w:t>
            </w:r>
            <w:r>
              <w:rPr>
                <w:rFonts w:hint="eastAsia" w:ascii="宋体" w:hAnsi="宋体" w:cs="宋体"/>
                <w:kern w:val="0"/>
                <w:szCs w:val="21"/>
                <w:highlight w:val="none"/>
              </w:rPr>
              <w:t>分、良得 11-20分、一般得1-10分，无此部分内容得0分。</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kern w:val="1"/>
                <w:szCs w:val="21"/>
                <w:highlight w:val="none"/>
                <w:u w:val="single"/>
              </w:rPr>
            </w:pPr>
            <w:r>
              <w:rPr>
                <w:rFonts w:hint="eastAsia" w:ascii="宋体" w:hAnsi="宋体" w:cs="宋体"/>
                <w:szCs w:val="21"/>
                <w:highlight w:val="none"/>
              </w:rPr>
              <w:t>0-</w:t>
            </w:r>
            <w:r>
              <w:rPr>
                <w:rFonts w:ascii="宋体" w:hAnsi="宋体" w:cs="宋体"/>
                <w:szCs w:val="21"/>
                <w:highlight w:val="none"/>
              </w:rPr>
              <w:t>25</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kern w:val="1"/>
                <w:szCs w:val="21"/>
                <w:highlight w:val="none"/>
              </w:rPr>
            </w:pPr>
          </w:p>
        </w:tc>
      </w:tr>
      <w:tr>
        <w:tblPrEx>
          <w:tblCellMar>
            <w:top w:w="0" w:type="dxa"/>
            <w:left w:w="108" w:type="dxa"/>
            <w:bottom w:w="0" w:type="dxa"/>
            <w:right w:w="108" w:type="dxa"/>
          </w:tblCellMar>
        </w:tblPrEx>
        <w:trPr>
          <w:trHeight w:val="739" w:hRule="atLeast"/>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kern w:val="1"/>
                <w:szCs w:val="21"/>
                <w:highlight w:val="none"/>
              </w:rPr>
            </w:pPr>
          </w:p>
        </w:tc>
        <w:tc>
          <w:tcPr>
            <w:tcW w:w="15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kern w:val="1"/>
                <w:szCs w:val="21"/>
                <w:highlight w:val="none"/>
              </w:rPr>
            </w:pPr>
            <w:r>
              <w:rPr>
                <w:rFonts w:hint="eastAsia" w:ascii="宋体" w:hAnsi="宋体" w:cs="宋体"/>
                <w:szCs w:val="21"/>
                <w:highlight w:val="none"/>
              </w:rPr>
              <w:t>专项设计</w:t>
            </w:r>
          </w:p>
        </w:tc>
        <w:tc>
          <w:tcPr>
            <w:tcW w:w="9309" w:type="dxa"/>
            <w:tcBorders>
              <w:top w:val="single" w:color="000000" w:sz="4" w:space="0"/>
              <w:left w:val="single" w:color="000000" w:sz="4" w:space="0"/>
              <w:bottom w:val="single" w:color="000000" w:sz="4" w:space="0"/>
              <w:right w:val="single" w:color="000000" w:sz="4" w:space="0"/>
            </w:tcBorders>
            <w:noWrap w:val="0"/>
            <w:vAlign w:val="center"/>
          </w:tcPr>
          <w:p>
            <w:pPr>
              <w:pStyle w:val="10"/>
              <w:rPr>
                <w:rFonts w:cs="宋体"/>
                <w:sz w:val="21"/>
                <w:szCs w:val="21"/>
                <w:highlight w:val="none"/>
                <w:lang w:eastAsia="zh-CN"/>
              </w:rPr>
            </w:pPr>
            <w:r>
              <w:rPr>
                <w:rFonts w:hint="eastAsia" w:cs="宋体"/>
                <w:sz w:val="21"/>
                <w:szCs w:val="21"/>
                <w:highlight w:val="none"/>
                <w:lang w:eastAsia="zh-CN"/>
              </w:rPr>
              <w:t>遵循相关规定要求，包含给排水、海绵城市、树木保护等专项内容，有针对性思路，结合现状进行设计改造方式适度合理。</w:t>
            </w:r>
          </w:p>
          <w:p>
            <w:pPr>
              <w:pStyle w:val="10"/>
              <w:rPr>
                <w:rFonts w:cs="宋体"/>
                <w:kern w:val="1"/>
                <w:sz w:val="21"/>
                <w:szCs w:val="21"/>
                <w:highlight w:val="none"/>
                <w:lang w:eastAsia="zh-CN"/>
              </w:rPr>
            </w:pPr>
            <w:r>
              <w:rPr>
                <w:rFonts w:hint="eastAsia" w:cs="宋体"/>
                <w:sz w:val="21"/>
                <w:szCs w:val="21"/>
                <w:highlight w:val="none"/>
                <w:lang w:eastAsia="zh-CN"/>
              </w:rPr>
              <w:t>优得 16-20 分、良得 11-15 分、一般得 1-10 分，无此部分内容得0分</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kern w:val="1"/>
                <w:szCs w:val="21"/>
                <w:highlight w:val="none"/>
                <w:u w:val="single"/>
              </w:rPr>
            </w:pPr>
            <w:r>
              <w:rPr>
                <w:rFonts w:hint="eastAsia" w:ascii="宋体" w:hAnsi="宋体" w:cs="宋体"/>
                <w:szCs w:val="21"/>
                <w:highlight w:val="none"/>
              </w:rPr>
              <w:t>0-20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kern w:val="1"/>
                <w:szCs w:val="21"/>
                <w:highlight w:val="none"/>
              </w:rPr>
            </w:pPr>
          </w:p>
        </w:tc>
      </w:tr>
      <w:tr>
        <w:tblPrEx>
          <w:tblCellMar>
            <w:top w:w="0" w:type="dxa"/>
            <w:left w:w="108" w:type="dxa"/>
            <w:bottom w:w="0" w:type="dxa"/>
            <w:right w:w="108" w:type="dxa"/>
          </w:tblCellMar>
        </w:tblPrEx>
        <w:trPr>
          <w:trHeight w:val="1026" w:hRule="atLeast"/>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kern w:val="1"/>
                <w:szCs w:val="21"/>
                <w:highlight w:val="none"/>
                <w:u w:val="single"/>
              </w:rPr>
            </w:pPr>
          </w:p>
        </w:tc>
        <w:tc>
          <w:tcPr>
            <w:tcW w:w="15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kern w:val="1"/>
                <w:szCs w:val="21"/>
                <w:highlight w:val="none"/>
              </w:rPr>
            </w:pPr>
            <w:r>
              <w:rPr>
                <w:rFonts w:hint="eastAsia" w:ascii="宋体" w:hAnsi="宋体" w:cs="宋体"/>
                <w:szCs w:val="21"/>
                <w:highlight w:val="none"/>
              </w:rPr>
              <w:t>老旧小区相关专项内容</w:t>
            </w:r>
          </w:p>
        </w:tc>
        <w:tc>
          <w:tcPr>
            <w:tcW w:w="9309" w:type="dxa"/>
            <w:tcBorders>
              <w:top w:val="single" w:color="000000" w:sz="4" w:space="0"/>
              <w:left w:val="single" w:color="000000" w:sz="4" w:space="0"/>
              <w:bottom w:val="single" w:color="000000" w:sz="4" w:space="0"/>
              <w:right w:val="single" w:color="000000" w:sz="4" w:space="0"/>
            </w:tcBorders>
            <w:noWrap w:val="0"/>
            <w:vAlign w:val="center"/>
          </w:tcPr>
          <w:p>
            <w:pPr>
              <w:pStyle w:val="10"/>
              <w:rPr>
                <w:rFonts w:cs="宋体"/>
                <w:sz w:val="21"/>
                <w:szCs w:val="21"/>
                <w:highlight w:val="none"/>
                <w:lang w:eastAsia="zh-CN"/>
              </w:rPr>
            </w:pPr>
            <w:r>
              <w:rPr>
                <w:rFonts w:hint="eastAsia" w:cs="宋体"/>
                <w:sz w:val="21"/>
                <w:szCs w:val="21"/>
                <w:highlight w:val="none"/>
                <w:lang w:eastAsia="zh-CN"/>
              </w:rPr>
              <w:t>结合居民改造意愿，以人的实际需求出发，以安全适用为原则，科学设计解决民生问题。改造内容需符合广州市相关规范或指引的要求</w:t>
            </w:r>
            <w:r>
              <w:rPr>
                <w:rFonts w:cs="宋体"/>
                <w:sz w:val="21"/>
                <w:szCs w:val="21"/>
                <w:highlight w:val="none"/>
                <w:lang w:eastAsia="zh-Hans"/>
              </w:rPr>
              <w:t>。</w:t>
            </w:r>
          </w:p>
          <w:p>
            <w:pPr>
              <w:pStyle w:val="10"/>
              <w:rPr>
                <w:rFonts w:cs="宋体"/>
                <w:kern w:val="1"/>
                <w:sz w:val="21"/>
                <w:szCs w:val="21"/>
                <w:highlight w:val="none"/>
                <w:u w:val="single"/>
                <w:lang w:eastAsia="zh-CN"/>
              </w:rPr>
            </w:pPr>
            <w:r>
              <w:rPr>
                <w:rFonts w:hint="eastAsia" w:cs="宋体"/>
                <w:sz w:val="21"/>
                <w:szCs w:val="21"/>
                <w:highlight w:val="none"/>
                <w:lang w:eastAsia="zh-CN"/>
              </w:rPr>
              <w:t>优得 16-20 分、良得 11-15 分、一般得 1-10 分，无此部分内容得0分。</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kern w:val="1"/>
                <w:szCs w:val="21"/>
                <w:highlight w:val="none"/>
                <w:u w:val="single"/>
              </w:rPr>
            </w:pPr>
            <w:r>
              <w:rPr>
                <w:rFonts w:hint="eastAsia" w:ascii="宋体" w:hAnsi="宋体" w:cs="宋体"/>
                <w:szCs w:val="21"/>
                <w:highlight w:val="none"/>
              </w:rPr>
              <w:t>0-20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kern w:val="1"/>
                <w:szCs w:val="21"/>
                <w:highlight w:val="none"/>
                <w:u w:val="single"/>
              </w:rPr>
            </w:pPr>
          </w:p>
        </w:tc>
      </w:tr>
      <w:tr>
        <w:tblPrEx>
          <w:tblCellMar>
            <w:top w:w="0" w:type="dxa"/>
            <w:left w:w="108" w:type="dxa"/>
            <w:bottom w:w="0" w:type="dxa"/>
            <w:right w:w="108" w:type="dxa"/>
          </w:tblCellMar>
        </w:tblPrEx>
        <w:trPr>
          <w:trHeight w:val="949" w:hRule="atLeast"/>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kern w:val="1"/>
                <w:szCs w:val="21"/>
                <w:highlight w:val="none"/>
                <w:u w:val="single"/>
              </w:rPr>
            </w:pPr>
          </w:p>
        </w:tc>
        <w:tc>
          <w:tcPr>
            <w:tcW w:w="15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kern w:val="1"/>
                <w:szCs w:val="21"/>
                <w:highlight w:val="none"/>
              </w:rPr>
            </w:pPr>
            <w:r>
              <w:rPr>
                <w:rFonts w:hint="eastAsia" w:ascii="宋体" w:hAnsi="宋体" w:cs="宋体"/>
                <w:szCs w:val="21"/>
                <w:highlight w:val="none"/>
              </w:rPr>
              <w:t>进度保证措施</w:t>
            </w:r>
          </w:p>
        </w:tc>
        <w:tc>
          <w:tcPr>
            <w:tcW w:w="9309" w:type="dxa"/>
            <w:tcBorders>
              <w:top w:val="single" w:color="000000" w:sz="4" w:space="0"/>
              <w:left w:val="single" w:color="000000" w:sz="4" w:space="0"/>
              <w:bottom w:val="single" w:color="000000" w:sz="4" w:space="0"/>
              <w:right w:val="single" w:color="000000" w:sz="4" w:space="0"/>
            </w:tcBorders>
            <w:noWrap w:val="0"/>
            <w:vAlign w:val="center"/>
          </w:tcPr>
          <w:p>
            <w:pPr>
              <w:pStyle w:val="10"/>
              <w:rPr>
                <w:rFonts w:cs="宋体"/>
                <w:sz w:val="21"/>
                <w:szCs w:val="21"/>
                <w:highlight w:val="none"/>
                <w:lang w:eastAsia="zh-CN"/>
              </w:rPr>
            </w:pPr>
            <w:r>
              <w:rPr>
                <w:rFonts w:hint="eastAsia" w:cs="宋体"/>
                <w:sz w:val="21"/>
                <w:szCs w:val="21"/>
                <w:highlight w:val="none"/>
                <w:lang w:eastAsia="zh-CN"/>
              </w:rPr>
              <w:t>项目</w:t>
            </w:r>
            <w:r>
              <w:rPr>
                <w:rFonts w:hint="eastAsia" w:cs="宋体"/>
                <w:sz w:val="21"/>
                <w:szCs w:val="21"/>
                <w:highlight w:val="none"/>
                <w:lang w:val="en-US" w:eastAsia="zh-CN"/>
              </w:rPr>
              <w:t>进度</w:t>
            </w:r>
            <w:r>
              <w:rPr>
                <w:rFonts w:hint="eastAsia" w:cs="宋体"/>
                <w:sz w:val="21"/>
                <w:szCs w:val="21"/>
                <w:highlight w:val="none"/>
                <w:lang w:eastAsia="zh-CN"/>
              </w:rPr>
              <w:t>保障措施具体、合理、可行，符合设计标准、规范，满足反复修改论证、随时汇报以及短期内提交成果等要求。</w:t>
            </w:r>
          </w:p>
          <w:p>
            <w:pPr>
              <w:pStyle w:val="10"/>
              <w:rPr>
                <w:rFonts w:cs="宋体"/>
                <w:kern w:val="1"/>
                <w:sz w:val="21"/>
                <w:szCs w:val="21"/>
                <w:highlight w:val="none"/>
                <w:lang w:eastAsia="zh-CN"/>
              </w:rPr>
            </w:pPr>
            <w:r>
              <w:rPr>
                <w:rFonts w:hint="eastAsia" w:cs="宋体"/>
                <w:sz w:val="21"/>
                <w:szCs w:val="21"/>
                <w:highlight w:val="none"/>
                <w:lang w:eastAsia="zh-CN"/>
              </w:rPr>
              <w:t>优得4-5分、良得 2-3分、一般得 1分，无此部分内容得 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kern w:val="1"/>
                <w:szCs w:val="21"/>
                <w:highlight w:val="none"/>
                <w:u w:val="single"/>
              </w:rPr>
            </w:pPr>
            <w:r>
              <w:rPr>
                <w:rFonts w:hint="eastAsia" w:ascii="宋体" w:hAnsi="宋体" w:cs="宋体"/>
                <w:szCs w:val="21"/>
                <w:highlight w:val="none"/>
              </w:rPr>
              <w:t>0-5</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kern w:val="1"/>
                <w:szCs w:val="21"/>
                <w:highlight w:val="none"/>
                <w:u w:val="single"/>
              </w:rPr>
            </w:pPr>
          </w:p>
        </w:tc>
      </w:tr>
      <w:tr>
        <w:tblPrEx>
          <w:tblCellMar>
            <w:top w:w="0" w:type="dxa"/>
            <w:left w:w="108" w:type="dxa"/>
            <w:bottom w:w="0" w:type="dxa"/>
            <w:right w:w="108" w:type="dxa"/>
          </w:tblCellMar>
        </w:tblPrEx>
        <w:trPr>
          <w:trHeight w:val="448" w:hRule="atLeast"/>
        </w:trPr>
        <w:tc>
          <w:tcPr>
            <w:tcW w:w="11617"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kern w:val="1"/>
                <w:szCs w:val="21"/>
                <w:highlight w:val="none"/>
              </w:rPr>
            </w:pPr>
            <w:r>
              <w:rPr>
                <w:rFonts w:hint="eastAsia" w:ascii="宋体" w:hAnsi="宋体" w:cs="宋体"/>
                <w:b/>
                <w:kern w:val="1"/>
                <w:szCs w:val="21"/>
                <w:highlight w:val="none"/>
              </w:rPr>
              <w:t>合计</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kern w:val="1"/>
                <w:szCs w:val="21"/>
                <w:highlight w:val="none"/>
              </w:rPr>
            </w:pPr>
            <w:r>
              <w:rPr>
                <w:rFonts w:hint="eastAsia" w:ascii="宋体" w:hAnsi="宋体" w:cs="宋体"/>
                <w:kern w:val="1"/>
                <w:szCs w:val="21"/>
                <w:highlight w:val="none"/>
              </w:rPr>
              <w:t>100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kern w:val="1"/>
                <w:szCs w:val="21"/>
                <w:highlight w:val="none"/>
              </w:rPr>
            </w:pPr>
          </w:p>
        </w:tc>
      </w:tr>
    </w:tbl>
    <w:p>
      <w:pPr>
        <w:spacing w:line="360" w:lineRule="auto"/>
        <w:jc w:val="left"/>
        <w:rPr>
          <w:rFonts w:hint="eastAsia" w:ascii="宋体" w:hAnsi="宋体"/>
          <w:b/>
          <w:color w:val="auto"/>
          <w:szCs w:val="21"/>
          <w:highlight w:val="none"/>
        </w:rPr>
      </w:pPr>
      <w:r>
        <w:rPr>
          <w:rFonts w:hint="eastAsia" w:ascii="宋体" w:hAnsi="宋体"/>
          <w:b/>
          <w:color w:val="auto"/>
          <w:szCs w:val="21"/>
          <w:highlight w:val="none"/>
        </w:rPr>
        <w:br w:type="page"/>
      </w:r>
      <w:r>
        <w:rPr>
          <w:rFonts w:hint="eastAsia" w:ascii="宋体" w:hAnsi="宋体"/>
          <w:b/>
          <w:color w:val="auto"/>
          <w:szCs w:val="21"/>
          <w:highlight w:val="none"/>
        </w:rPr>
        <w:t>附表2：</w:t>
      </w:r>
    </w:p>
    <w:p>
      <w:pPr>
        <w:jc w:val="center"/>
        <w:outlineLvl w:val="1"/>
        <w:rPr>
          <w:rFonts w:ascii="宋体" w:hAnsi="宋体" w:cs="宋体"/>
          <w:b/>
          <w:color w:val="auto"/>
          <w:kern w:val="1"/>
          <w:sz w:val="28"/>
          <w:szCs w:val="28"/>
          <w:highlight w:val="none"/>
        </w:rPr>
      </w:pPr>
      <w:bookmarkStart w:id="455" w:name="_Toc25769"/>
      <w:bookmarkEnd w:id="455"/>
      <w:bookmarkStart w:id="456" w:name="_Toc16039"/>
      <w:bookmarkStart w:id="457" w:name="_Toc5620359"/>
      <w:r>
        <w:rPr>
          <w:rFonts w:hint="eastAsia" w:ascii="宋体" w:hAnsi="宋体" w:cs="宋体"/>
          <w:b/>
          <w:color w:val="auto"/>
          <w:kern w:val="1"/>
          <w:sz w:val="28"/>
          <w:szCs w:val="28"/>
          <w:highlight w:val="none"/>
        </w:rPr>
        <w:t>工程总承包实施方案审查评分标准</w:t>
      </w:r>
    </w:p>
    <w:tbl>
      <w:tblPr>
        <w:tblStyle w:val="17"/>
        <w:tblW w:w="14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1355"/>
        <w:gridCol w:w="610"/>
        <w:gridCol w:w="1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snapToGrid w:val="0"/>
                <w:sz w:val="18"/>
                <w:szCs w:val="18"/>
                <w:highlight w:val="none"/>
              </w:rPr>
            </w:pPr>
            <w:r>
              <w:rPr>
                <w:rFonts w:hint="eastAsia" w:ascii="宋体" w:hAnsi="宋体"/>
                <w:b/>
                <w:bCs/>
                <w:snapToGrid w:val="0"/>
                <w:sz w:val="18"/>
                <w:szCs w:val="18"/>
                <w:highlight w:val="none"/>
              </w:rPr>
              <w:t>序号</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snapToGrid w:val="0"/>
                <w:sz w:val="18"/>
                <w:szCs w:val="18"/>
                <w:highlight w:val="none"/>
              </w:rPr>
            </w:pPr>
            <w:r>
              <w:rPr>
                <w:rFonts w:hint="eastAsia" w:ascii="宋体" w:hAnsi="宋体"/>
                <w:b/>
                <w:bCs/>
                <w:snapToGrid w:val="0"/>
                <w:sz w:val="18"/>
                <w:szCs w:val="18"/>
                <w:highlight w:val="none"/>
              </w:rPr>
              <w:t>评分内容</w:t>
            </w:r>
          </w:p>
        </w:tc>
        <w:tc>
          <w:tcPr>
            <w:tcW w:w="61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snapToGrid w:val="0"/>
                <w:sz w:val="18"/>
                <w:szCs w:val="18"/>
                <w:highlight w:val="none"/>
              </w:rPr>
            </w:pPr>
            <w:r>
              <w:rPr>
                <w:rFonts w:hint="eastAsia" w:ascii="宋体" w:hAnsi="宋体"/>
                <w:b/>
                <w:bCs/>
                <w:snapToGrid w:val="0"/>
                <w:sz w:val="18"/>
                <w:szCs w:val="18"/>
                <w:highlight w:val="none"/>
              </w:rPr>
              <w:t>分值</w:t>
            </w:r>
          </w:p>
        </w:tc>
        <w:tc>
          <w:tcPr>
            <w:tcW w:w="1145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sz w:val="18"/>
                <w:szCs w:val="18"/>
                <w:highlight w:val="none"/>
              </w:rPr>
            </w:pPr>
            <w:r>
              <w:rPr>
                <w:rFonts w:hint="eastAsia" w:ascii="宋体" w:hAnsi="宋体"/>
                <w:b/>
                <w:bCs/>
                <w:sz w:val="18"/>
                <w:szCs w:val="18"/>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09" w:type="dxa"/>
            <w:gridSpan w:val="4"/>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宋体" w:hAnsi="宋体" w:cs="宋体"/>
                <w:b/>
                <w:bCs/>
                <w:snapToGrid w:val="0"/>
                <w:sz w:val="18"/>
                <w:szCs w:val="18"/>
                <w:highlight w:val="none"/>
              </w:rPr>
            </w:pPr>
            <w:r>
              <w:rPr>
                <w:rFonts w:hint="eastAsia" w:ascii="宋体" w:hAnsi="宋体" w:cs="宋体"/>
                <w:b/>
                <w:bCs/>
                <w:snapToGrid w:val="0"/>
                <w:sz w:val="18"/>
                <w:szCs w:val="18"/>
                <w:highlight w:val="none"/>
              </w:rPr>
              <w:t>1.资信</w:t>
            </w:r>
            <w:r>
              <w:rPr>
                <w:rFonts w:ascii="宋体" w:hAnsi="宋体" w:cs="宋体"/>
                <w:b/>
                <w:bCs/>
                <w:snapToGrid w:val="0"/>
                <w:sz w:val="18"/>
                <w:szCs w:val="18"/>
                <w:highlight w:val="none"/>
              </w:rPr>
              <w:t>部分</w:t>
            </w:r>
            <w:r>
              <w:rPr>
                <w:rFonts w:hint="eastAsia" w:ascii="宋体" w:hAnsi="宋体" w:cs="宋体"/>
                <w:b/>
                <w:bCs/>
                <w:snapToGrid w:val="0"/>
                <w:sz w:val="18"/>
                <w:szCs w:val="18"/>
                <w:highlight w:val="none"/>
              </w:rPr>
              <w:t>（3</w:t>
            </w:r>
            <w:r>
              <w:rPr>
                <w:rFonts w:ascii="宋体" w:hAnsi="宋体" w:cs="宋体"/>
                <w:b/>
                <w:bCs/>
                <w:snapToGrid w:val="0"/>
                <w:sz w:val="18"/>
                <w:szCs w:val="18"/>
                <w:highlight w:val="none"/>
              </w:rPr>
              <w:t>6分</w:t>
            </w:r>
            <w:r>
              <w:rPr>
                <w:rFonts w:hint="eastAsia" w:ascii="宋体" w:hAnsi="宋体" w:cs="宋体"/>
                <w:b/>
                <w:bCs/>
                <w:snapToGrid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589"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宋体" w:hAnsi="宋体" w:cs="宋体"/>
                <w:bCs/>
                <w:snapToGrid w:val="0"/>
                <w:szCs w:val="21"/>
                <w:highlight w:val="none"/>
              </w:rPr>
            </w:pPr>
            <w:r>
              <w:rPr>
                <w:rFonts w:hint="eastAsia" w:ascii="宋体" w:hAnsi="宋体" w:cs="宋体"/>
                <w:bCs/>
                <w:snapToGrid w:val="0"/>
                <w:szCs w:val="21"/>
                <w:highlight w:val="none"/>
              </w:rPr>
              <w:t>1.1</w:t>
            </w:r>
          </w:p>
        </w:tc>
        <w:tc>
          <w:tcPr>
            <w:tcW w:w="1355" w:type="dxa"/>
            <w:vMerge w:val="restart"/>
            <w:tcBorders>
              <w:top w:val="single" w:color="auto" w:sz="4" w:space="0"/>
              <w:left w:val="nil"/>
              <w:right w:val="single" w:color="auto" w:sz="4" w:space="0"/>
            </w:tcBorders>
            <w:noWrap w:val="0"/>
            <w:vAlign w:val="center"/>
          </w:tcPr>
          <w:p>
            <w:pPr>
              <w:widowControl/>
              <w:adjustRightInd w:val="0"/>
              <w:snapToGrid w:val="0"/>
              <w:jc w:val="center"/>
              <w:rPr>
                <w:rFonts w:ascii="宋体" w:hAnsi="宋体"/>
                <w:szCs w:val="21"/>
                <w:highlight w:val="none"/>
              </w:rPr>
            </w:pPr>
            <w:r>
              <w:rPr>
                <w:rFonts w:hint="eastAsia" w:ascii="宋体" w:hAnsi="宋体"/>
                <w:szCs w:val="21"/>
                <w:highlight w:val="none"/>
              </w:rPr>
              <w:t>企业业绩</w:t>
            </w:r>
          </w:p>
        </w:tc>
        <w:tc>
          <w:tcPr>
            <w:tcW w:w="610" w:type="dxa"/>
            <w:vMerge w:val="restart"/>
            <w:tcBorders>
              <w:top w:val="single" w:color="auto" w:sz="4" w:space="0"/>
              <w:left w:val="nil"/>
              <w:right w:val="single" w:color="auto" w:sz="4" w:space="0"/>
            </w:tcBorders>
            <w:noWrap w:val="0"/>
            <w:vAlign w:val="center"/>
          </w:tcPr>
          <w:p>
            <w:pPr>
              <w:widowControl/>
              <w:snapToGrid w:val="0"/>
              <w:spacing w:line="240" w:lineRule="exact"/>
              <w:ind w:left="-56" w:leftChars="-27"/>
              <w:jc w:val="center"/>
              <w:rPr>
                <w:rFonts w:ascii="宋体" w:hAnsi="宋体"/>
                <w:szCs w:val="21"/>
                <w:highlight w:val="none"/>
              </w:rPr>
            </w:pPr>
            <w:r>
              <w:rPr>
                <w:rFonts w:hint="eastAsia" w:ascii="宋体" w:hAnsi="宋体"/>
                <w:szCs w:val="21"/>
                <w:highlight w:val="none"/>
              </w:rPr>
              <w:t>12</w:t>
            </w:r>
          </w:p>
        </w:tc>
        <w:tc>
          <w:tcPr>
            <w:tcW w:w="11455" w:type="dxa"/>
            <w:tcBorders>
              <w:top w:val="single" w:color="auto" w:sz="4" w:space="0"/>
              <w:left w:val="nil"/>
              <w:bottom w:val="single" w:color="auto" w:sz="4" w:space="0"/>
              <w:right w:val="single" w:color="auto" w:sz="4" w:space="0"/>
            </w:tcBorders>
            <w:noWrap w:val="0"/>
            <w:vAlign w:val="center"/>
          </w:tcPr>
          <w:p>
            <w:pPr>
              <w:widowControl/>
              <w:ind w:firstLine="420" w:firstLineChars="200"/>
              <w:rPr>
                <w:rFonts w:hint="eastAsia"/>
                <w:highlight w:val="none"/>
              </w:rPr>
            </w:pPr>
            <w:r>
              <w:rPr>
                <w:rFonts w:hint="eastAsia"/>
                <w:highlight w:val="none"/>
              </w:rPr>
              <w:t>投标人(若为联合体，指联合体主办方)自2020年1月1日至今完成过中标金额大于或等于1500万元的建筑工程施工总承包业绩的，每项得1分，最多得6分，没有不得分。</w:t>
            </w:r>
          </w:p>
          <w:p>
            <w:pPr>
              <w:ind w:firstLine="420" w:firstLineChars="200"/>
              <w:rPr>
                <w:rFonts w:hint="eastAsia" w:ascii="宋体" w:hAnsi="宋体" w:cs="宋体"/>
                <w:szCs w:val="21"/>
                <w:highlight w:val="none"/>
              </w:rPr>
            </w:pPr>
            <w:r>
              <w:rPr>
                <w:rFonts w:hint="eastAsia"/>
                <w:highlight w:val="none"/>
              </w:rPr>
              <w:t>注:（1）</w:t>
            </w:r>
            <w:r>
              <w:rPr>
                <w:rFonts w:hint="eastAsia" w:ascii="宋体" w:hAnsi="宋体" w:cs="宋体"/>
                <w:sz w:val="21"/>
                <w:szCs w:val="21"/>
                <w:highlight w:val="none"/>
              </w:rPr>
              <w:t>须同时提供中标通知书（</w:t>
            </w:r>
            <w:r>
              <w:rPr>
                <w:rFonts w:hint="eastAsia" w:ascii="宋体" w:hAnsi="宋体" w:cs="宋体"/>
                <w:szCs w:val="21"/>
                <w:highlight w:val="none"/>
              </w:rPr>
              <w:t>或</w:t>
            </w:r>
            <w:r>
              <w:rPr>
                <w:rFonts w:hint="eastAsia" w:ascii="宋体" w:hAnsi="宋体" w:cs="宋体"/>
                <w:sz w:val="21"/>
                <w:szCs w:val="21"/>
                <w:highlight w:val="none"/>
              </w:rPr>
              <w:t>免招标证明文件）、施工合同、竣工验收文件等相关证明资料。业绩金额以中标通知书为准，中标通知书上没有金额或免招标的，以施工合同（不含补充合同）为准。完成时间以竣工验收文件为准。验收文件至少具有建设单位、设计、施工和监理单位盖章。</w:t>
            </w:r>
          </w:p>
          <w:p>
            <w:pPr>
              <w:ind w:firstLine="420" w:firstLineChars="200"/>
              <w:rPr>
                <w:rFonts w:hint="eastAsia"/>
                <w:highlight w:val="none"/>
              </w:rPr>
            </w:pPr>
            <w:r>
              <w:rPr>
                <w:rFonts w:hint="eastAsia"/>
                <w:highlight w:val="none"/>
              </w:rPr>
              <w:t>（2）工程总承包业绩使用规则：若由设计单位和施工单位组成联合体的工程总承包单位主办方同时具有施工资质和设计资质的，工程总承包业绩既可当作设计业绩也可当作施工业绩使用，非主办方的工程总承包的业绩按联合体协议中分工所承担的工作进行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589"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cs="宋体"/>
                <w:bCs/>
                <w:snapToGrid w:val="0"/>
                <w:szCs w:val="21"/>
                <w:highlight w:val="none"/>
              </w:rPr>
            </w:pPr>
          </w:p>
        </w:tc>
        <w:tc>
          <w:tcPr>
            <w:tcW w:w="1355" w:type="dxa"/>
            <w:vMerge w:val="continue"/>
            <w:tcBorders>
              <w:left w:val="nil"/>
              <w:bottom w:val="single" w:color="auto" w:sz="4" w:space="0"/>
              <w:right w:val="single" w:color="auto" w:sz="4" w:space="0"/>
            </w:tcBorders>
            <w:noWrap w:val="0"/>
            <w:vAlign w:val="center"/>
          </w:tcPr>
          <w:p>
            <w:pPr>
              <w:widowControl/>
              <w:adjustRightInd w:val="0"/>
              <w:snapToGrid w:val="0"/>
              <w:jc w:val="center"/>
              <w:rPr>
                <w:rFonts w:ascii="宋体" w:hAnsi="宋体"/>
                <w:szCs w:val="21"/>
                <w:highlight w:val="none"/>
              </w:rPr>
            </w:pPr>
          </w:p>
        </w:tc>
        <w:tc>
          <w:tcPr>
            <w:tcW w:w="610" w:type="dxa"/>
            <w:vMerge w:val="continue"/>
            <w:tcBorders>
              <w:left w:val="nil"/>
              <w:bottom w:val="single" w:color="auto" w:sz="4" w:space="0"/>
              <w:right w:val="single" w:color="auto" w:sz="4" w:space="0"/>
            </w:tcBorders>
            <w:noWrap w:val="0"/>
            <w:vAlign w:val="center"/>
          </w:tcPr>
          <w:p>
            <w:pPr>
              <w:widowControl/>
              <w:snapToGrid w:val="0"/>
              <w:spacing w:line="240" w:lineRule="exact"/>
              <w:ind w:left="-56" w:leftChars="-27"/>
              <w:jc w:val="center"/>
              <w:rPr>
                <w:rFonts w:ascii="宋体" w:hAnsi="宋体"/>
                <w:szCs w:val="21"/>
                <w:highlight w:val="none"/>
              </w:rPr>
            </w:pPr>
          </w:p>
        </w:tc>
        <w:tc>
          <w:tcPr>
            <w:tcW w:w="11455" w:type="dxa"/>
            <w:tcBorders>
              <w:top w:val="single" w:color="auto" w:sz="4" w:space="0"/>
              <w:left w:val="nil"/>
              <w:bottom w:val="single" w:color="auto" w:sz="4" w:space="0"/>
              <w:right w:val="single" w:color="auto" w:sz="4" w:space="0"/>
            </w:tcBorders>
            <w:noWrap w:val="0"/>
            <w:vAlign w:val="center"/>
          </w:tcPr>
          <w:p>
            <w:pPr>
              <w:widowControl/>
              <w:ind w:firstLine="420" w:firstLineChars="200"/>
              <w:rPr>
                <w:rFonts w:hint="eastAsia" w:ascii="宋体" w:hAnsi="宋体"/>
                <w:szCs w:val="21"/>
                <w:highlight w:val="none"/>
              </w:rPr>
            </w:pPr>
            <w:r>
              <w:rPr>
                <w:rFonts w:hint="eastAsia" w:ascii="宋体" w:hAnsi="宋体"/>
                <w:szCs w:val="21"/>
                <w:highlight w:val="none"/>
              </w:rPr>
              <w:t>投标人（若为联合体，指承担设计任务的成员方）自2020年1月1日至今，承接过总投资或单项工程建安费（或施工费）≥1500万元建筑工程设计业绩的分，每项得1分，最多得6分</w:t>
            </w:r>
            <w:r>
              <w:rPr>
                <w:rFonts w:hint="eastAsia"/>
                <w:highlight w:val="none"/>
              </w:rPr>
              <w:t>，没有不得分</w:t>
            </w:r>
            <w:r>
              <w:rPr>
                <w:rFonts w:hint="eastAsia" w:ascii="宋体" w:hAnsi="宋体"/>
                <w:szCs w:val="21"/>
                <w:highlight w:val="none"/>
              </w:rPr>
              <w:t>。</w:t>
            </w:r>
          </w:p>
          <w:p>
            <w:pPr>
              <w:rPr>
                <w:highlight w:val="none"/>
              </w:rPr>
            </w:pPr>
            <w:r>
              <w:rPr>
                <w:rFonts w:hint="eastAsia" w:ascii="宋体" w:hAnsi="宋体"/>
                <w:szCs w:val="21"/>
                <w:highlight w:val="none"/>
              </w:rPr>
              <w:t>注：</w:t>
            </w:r>
            <w:r>
              <w:rPr>
                <w:rFonts w:hint="eastAsia"/>
                <w:highlight w:val="none"/>
              </w:rPr>
              <w:t>（1）</w:t>
            </w:r>
            <w:r>
              <w:rPr>
                <w:rFonts w:hint="eastAsia"/>
                <w:highlight w:val="none"/>
                <w:lang w:val="zh-CN"/>
              </w:rPr>
              <w:t>须同时提供中标通知书（</w:t>
            </w:r>
            <w:r>
              <w:rPr>
                <w:rFonts w:hint="eastAsia"/>
                <w:highlight w:val="none"/>
              </w:rPr>
              <w:t>或免招标证明</w:t>
            </w:r>
            <w:r>
              <w:rPr>
                <w:rFonts w:hint="eastAsia"/>
                <w:highlight w:val="none"/>
                <w:lang w:val="zh-CN"/>
              </w:rPr>
              <w:t>）、合同关键页</w:t>
            </w:r>
            <w:r>
              <w:rPr>
                <w:rFonts w:hint="eastAsia"/>
                <w:highlight w:val="none"/>
              </w:rPr>
              <w:t>扫描</w:t>
            </w:r>
            <w:r>
              <w:rPr>
                <w:rFonts w:hint="eastAsia"/>
                <w:highlight w:val="none"/>
                <w:lang w:val="zh-CN"/>
              </w:rPr>
              <w:t>件。如以上资料不能证明业绩规模或技术指标的，须另提供业主盖章的业绩证明或可证明业绩规模或技术指标的其他资料扫描件。</w:t>
            </w:r>
            <w:r>
              <w:rPr>
                <w:rFonts w:hint="eastAsia"/>
                <w:highlight w:val="none"/>
              </w:rPr>
              <w:t>时间以合同文件签订时间为准，若合同文件无签订时间的，以中标通知书（或免招标证明）的时间为准</w:t>
            </w:r>
            <w:r>
              <w:rPr>
                <w:rStyle w:val="20"/>
                <w:rFonts w:hint="eastAsia"/>
                <w:highlight w:val="none"/>
                <w:lang w:val="zh-CN"/>
              </w:rPr>
              <w:t>。</w:t>
            </w:r>
          </w:p>
          <w:p>
            <w:pPr>
              <w:widowControl/>
              <w:rPr>
                <w:rFonts w:ascii="宋体" w:hAnsi="宋体"/>
                <w:szCs w:val="21"/>
                <w:highlight w:val="none"/>
              </w:rPr>
            </w:pPr>
            <w:r>
              <w:rPr>
                <w:rFonts w:hint="eastAsia"/>
                <w:highlight w:val="none"/>
              </w:rPr>
              <w:t>（2）工程总承包业绩使用规则：若由设计单位和施工单位组成联合体的工程总承包单位主办方同时具有施工资质和设计资质的，工程总承包业绩既可当作设计业绩也可当作施工业绩使用，非主办方的工程总承包的业绩按联合体协议中分工所承担的工作进行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589"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宋体" w:hAnsi="宋体" w:cs="宋体"/>
                <w:bCs/>
                <w:snapToGrid w:val="0"/>
                <w:szCs w:val="21"/>
                <w:highlight w:val="none"/>
              </w:rPr>
            </w:pPr>
            <w:r>
              <w:rPr>
                <w:rFonts w:hint="eastAsia" w:ascii="宋体" w:hAnsi="宋体" w:cs="宋体"/>
                <w:bCs/>
                <w:snapToGrid w:val="0"/>
                <w:szCs w:val="21"/>
                <w:highlight w:val="none"/>
              </w:rPr>
              <w:t>1.2</w:t>
            </w:r>
          </w:p>
        </w:tc>
        <w:tc>
          <w:tcPr>
            <w:tcW w:w="1355" w:type="dxa"/>
            <w:vMerge w:val="restart"/>
            <w:tcBorders>
              <w:top w:val="single" w:color="auto" w:sz="4" w:space="0"/>
              <w:left w:val="nil"/>
              <w:right w:val="single" w:color="auto" w:sz="4" w:space="0"/>
            </w:tcBorders>
            <w:noWrap w:val="0"/>
            <w:vAlign w:val="center"/>
          </w:tcPr>
          <w:p>
            <w:pPr>
              <w:widowControl/>
              <w:adjustRightInd w:val="0"/>
              <w:snapToGrid w:val="0"/>
              <w:jc w:val="center"/>
              <w:rPr>
                <w:rFonts w:ascii="宋体" w:hAnsi="宋体" w:cs="宋体"/>
                <w:bCs/>
                <w:snapToGrid w:val="0"/>
                <w:szCs w:val="21"/>
                <w:highlight w:val="none"/>
              </w:rPr>
            </w:pPr>
            <w:r>
              <w:rPr>
                <w:rFonts w:hint="eastAsia" w:ascii="宋体" w:hAnsi="宋体" w:cs="宋体"/>
                <w:bCs/>
                <w:snapToGrid w:val="0"/>
                <w:szCs w:val="21"/>
                <w:highlight w:val="none"/>
              </w:rPr>
              <w:t>企业获奖</w:t>
            </w:r>
          </w:p>
        </w:tc>
        <w:tc>
          <w:tcPr>
            <w:tcW w:w="610" w:type="dxa"/>
            <w:vMerge w:val="restart"/>
            <w:tcBorders>
              <w:top w:val="single" w:color="auto" w:sz="4" w:space="0"/>
              <w:left w:val="nil"/>
              <w:right w:val="single" w:color="auto" w:sz="4" w:space="0"/>
            </w:tcBorders>
            <w:noWrap w:val="0"/>
            <w:vAlign w:val="center"/>
          </w:tcPr>
          <w:p>
            <w:pPr>
              <w:widowControl/>
              <w:adjustRightInd w:val="0"/>
              <w:snapToGrid w:val="0"/>
              <w:jc w:val="center"/>
              <w:rPr>
                <w:rFonts w:ascii="宋体" w:hAnsi="宋体" w:cs="宋体"/>
                <w:snapToGrid w:val="0"/>
                <w:szCs w:val="21"/>
                <w:highlight w:val="none"/>
              </w:rPr>
            </w:pPr>
            <w:r>
              <w:rPr>
                <w:rFonts w:hint="eastAsia" w:ascii="宋体" w:hAnsi="宋体" w:cs="宋体"/>
                <w:snapToGrid w:val="0"/>
                <w:szCs w:val="21"/>
                <w:highlight w:val="none"/>
              </w:rPr>
              <w:t>10</w:t>
            </w:r>
          </w:p>
        </w:tc>
        <w:tc>
          <w:tcPr>
            <w:tcW w:w="11455" w:type="dxa"/>
            <w:tcBorders>
              <w:top w:val="single" w:color="auto" w:sz="4" w:space="0"/>
              <w:left w:val="nil"/>
              <w:bottom w:val="single" w:color="auto" w:sz="4" w:space="0"/>
              <w:right w:val="single" w:color="auto" w:sz="4" w:space="0"/>
            </w:tcBorders>
            <w:noWrap w:val="0"/>
            <w:vAlign w:val="center"/>
          </w:tcPr>
          <w:p>
            <w:pPr>
              <w:widowControl/>
              <w:snapToGrid w:val="0"/>
              <w:rPr>
                <w:rFonts w:hint="eastAsia" w:ascii="宋体" w:hAnsi="宋体"/>
                <w:szCs w:val="21"/>
                <w:highlight w:val="none"/>
              </w:rPr>
            </w:pPr>
            <w:r>
              <w:rPr>
                <w:rFonts w:hint="eastAsia" w:ascii="宋体" w:hAnsi="宋体"/>
                <w:szCs w:val="21"/>
                <w:highlight w:val="none"/>
              </w:rPr>
              <w:t>投标人（若为联合体，指联合体主办方）自2020年1月1日至今，承接的工程项目获得过国家级工程质量奖项，每项得0.5分；获得过省（市）级工程质量奖项，每项得0.2分；本小项最多得5分。</w:t>
            </w:r>
          </w:p>
          <w:p>
            <w:pPr>
              <w:rPr>
                <w:rFonts w:hint="eastAsia" w:ascii="宋体" w:hAnsi="宋体"/>
                <w:szCs w:val="21"/>
                <w:highlight w:val="none"/>
              </w:rPr>
            </w:pPr>
            <w:r>
              <w:rPr>
                <w:rFonts w:hint="eastAsia" w:ascii="宋体" w:hAnsi="宋体"/>
                <w:szCs w:val="21"/>
                <w:highlight w:val="none"/>
              </w:rPr>
              <w:t>注：国家级工程质量奖项指鲁班奖、詹天佑奖、国家优质工程金质奖、国家优质工程奖；</w:t>
            </w:r>
            <w:r>
              <w:rPr>
                <w:rFonts w:hint="eastAsia"/>
                <w:highlight w:val="none"/>
              </w:rPr>
              <w:t>省市级质量奖项是指由省市级建设行政主管部门或行业协会颁发的工程质量奖项（奖项不含安全、钢结构、装饰、技术创新QC成果及技术应用类奖项）。</w:t>
            </w:r>
            <w:r>
              <w:rPr>
                <w:rFonts w:hint="eastAsia" w:ascii="宋体" w:hAnsi="宋体"/>
                <w:szCs w:val="21"/>
                <w:highlight w:val="none"/>
              </w:rPr>
              <w:t>同一工程获得多个奖项的按最高级别奖项只计一次得分；获奖时间以获奖证书颁发时间或网站公布时间为准，须提供获奖证书扫描件或获奖文件证明材料网页截图并加盖电子印章</w:t>
            </w:r>
            <w:r>
              <w:rPr>
                <w:rFonts w:hint="eastAsia" w:ascii="宋体" w:hAnsi="宋体"/>
                <w:szCs w:val="21"/>
                <w:highlight w:val="none"/>
              </w:rPr>
              <w:t>，否则不得分。若奖项为协会颁发的，需提供证书发证机构在“中国社会组织公共服务平台”登记的网页查询截图，否则不得分。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89"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cs="宋体"/>
                <w:bCs/>
                <w:snapToGrid w:val="0"/>
                <w:szCs w:val="21"/>
                <w:highlight w:val="none"/>
              </w:rPr>
            </w:pPr>
          </w:p>
        </w:tc>
        <w:tc>
          <w:tcPr>
            <w:tcW w:w="1355" w:type="dxa"/>
            <w:vMerge w:val="continue"/>
            <w:tcBorders>
              <w:left w:val="nil"/>
              <w:bottom w:val="single" w:color="auto" w:sz="4" w:space="0"/>
              <w:right w:val="single" w:color="auto" w:sz="4" w:space="0"/>
            </w:tcBorders>
            <w:noWrap w:val="0"/>
            <w:vAlign w:val="center"/>
          </w:tcPr>
          <w:p>
            <w:pPr>
              <w:widowControl/>
              <w:adjustRightInd w:val="0"/>
              <w:snapToGrid w:val="0"/>
              <w:jc w:val="center"/>
              <w:rPr>
                <w:rFonts w:ascii="宋体" w:hAnsi="宋体" w:cs="宋体"/>
                <w:bCs/>
                <w:snapToGrid w:val="0"/>
                <w:szCs w:val="21"/>
                <w:highlight w:val="none"/>
              </w:rPr>
            </w:pPr>
          </w:p>
        </w:tc>
        <w:tc>
          <w:tcPr>
            <w:tcW w:w="610" w:type="dxa"/>
            <w:vMerge w:val="continue"/>
            <w:tcBorders>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snapToGrid w:val="0"/>
                <w:szCs w:val="21"/>
                <w:highlight w:val="none"/>
              </w:rPr>
            </w:pPr>
          </w:p>
        </w:tc>
        <w:tc>
          <w:tcPr>
            <w:tcW w:w="11455" w:type="dxa"/>
            <w:tcBorders>
              <w:top w:val="single" w:color="auto" w:sz="4" w:space="0"/>
              <w:left w:val="nil"/>
              <w:bottom w:val="single" w:color="auto" w:sz="4" w:space="0"/>
              <w:right w:val="single" w:color="auto" w:sz="4" w:space="0"/>
            </w:tcBorders>
            <w:noWrap w:val="0"/>
            <w:vAlign w:val="center"/>
          </w:tcPr>
          <w:p>
            <w:pPr>
              <w:tabs>
                <w:tab w:val="center" w:pos="4153"/>
                <w:tab w:val="right" w:pos="8306"/>
              </w:tabs>
              <w:snapToGrid w:val="0"/>
              <w:ind w:left="42" w:leftChars="20" w:right="42" w:rightChars="20"/>
              <w:jc w:val="left"/>
              <w:rPr>
                <w:rFonts w:hint="eastAsia" w:ascii="宋体" w:hAnsi="宋体" w:cs="宋体"/>
                <w:spacing w:val="-2"/>
                <w:szCs w:val="21"/>
                <w:highlight w:val="none"/>
                <w:lang w:val="en-US" w:eastAsia="zh-CN"/>
              </w:rPr>
            </w:pPr>
            <w:r>
              <w:rPr>
                <w:rFonts w:hint="eastAsia" w:ascii="宋体" w:hAnsi="宋体" w:cs="宋体"/>
                <w:spacing w:val="-2"/>
                <w:szCs w:val="21"/>
                <w:highlight w:val="none"/>
              </w:rPr>
              <w:t>投标人（若为联合体，指承担设计任务的成员方）自2020年1月1日至今，承接过的建筑工程勘察设计或设计项目获国家或行业级级奖项的，每项得1分；获省级（含副省级）奖项的，每项得0.5分，获市级奖项，每项得0.3分；本小项最多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89" w:type="dxa"/>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宋体" w:hAnsi="宋体" w:cs="宋体"/>
                <w:bCs/>
                <w:snapToGrid w:val="0"/>
                <w:sz w:val="18"/>
                <w:szCs w:val="18"/>
                <w:highlight w:val="none"/>
              </w:rPr>
            </w:pPr>
            <w:r>
              <w:rPr>
                <w:rFonts w:hint="eastAsia" w:ascii="宋体" w:hAnsi="宋体" w:cs="宋体"/>
                <w:bCs/>
                <w:snapToGrid w:val="0"/>
                <w:sz w:val="18"/>
                <w:szCs w:val="18"/>
                <w:highlight w:val="none"/>
              </w:rPr>
              <w:t>1</w:t>
            </w:r>
            <w:r>
              <w:rPr>
                <w:rFonts w:ascii="宋体" w:hAnsi="宋体" w:cs="宋体"/>
                <w:bCs/>
                <w:snapToGrid w:val="0"/>
                <w:sz w:val="18"/>
                <w:szCs w:val="18"/>
                <w:highlight w:val="none"/>
              </w:rPr>
              <w:t>.</w:t>
            </w:r>
            <w:r>
              <w:rPr>
                <w:rFonts w:hint="eastAsia" w:ascii="宋体" w:hAnsi="宋体" w:cs="宋体"/>
                <w:bCs/>
                <w:snapToGrid w:val="0"/>
                <w:sz w:val="18"/>
                <w:szCs w:val="18"/>
                <w:highlight w:val="none"/>
              </w:rPr>
              <w:t>3</w:t>
            </w:r>
          </w:p>
        </w:tc>
        <w:tc>
          <w:tcPr>
            <w:tcW w:w="1355" w:type="dxa"/>
            <w:tcBorders>
              <w:top w:val="single" w:color="auto" w:sz="4" w:space="0"/>
              <w:left w:val="nil"/>
              <w:right w:val="single" w:color="auto" w:sz="4" w:space="0"/>
            </w:tcBorders>
            <w:noWrap w:val="0"/>
            <w:vAlign w:val="center"/>
          </w:tcPr>
          <w:p>
            <w:pPr>
              <w:widowControl/>
              <w:adjustRightInd w:val="0"/>
              <w:snapToGrid w:val="0"/>
              <w:jc w:val="center"/>
              <w:rPr>
                <w:rFonts w:ascii="宋体" w:hAnsi="宋体" w:cs="宋体"/>
                <w:bCs/>
                <w:snapToGrid w:val="0"/>
                <w:szCs w:val="21"/>
                <w:highlight w:val="none"/>
              </w:rPr>
            </w:pPr>
            <w:r>
              <w:rPr>
                <w:rFonts w:ascii="宋体" w:hAnsi="宋体" w:cs="宋体"/>
                <w:bCs/>
                <w:snapToGrid w:val="0"/>
                <w:szCs w:val="21"/>
                <w:highlight w:val="none"/>
              </w:rPr>
              <w:t>第三方评价</w:t>
            </w:r>
          </w:p>
        </w:tc>
        <w:tc>
          <w:tcPr>
            <w:tcW w:w="610" w:type="dxa"/>
            <w:tcBorders>
              <w:top w:val="single" w:color="auto" w:sz="4" w:space="0"/>
              <w:left w:val="nil"/>
              <w:right w:val="single" w:color="auto" w:sz="4" w:space="0"/>
            </w:tcBorders>
            <w:noWrap w:val="0"/>
            <w:vAlign w:val="center"/>
          </w:tcPr>
          <w:p>
            <w:pPr>
              <w:widowControl/>
              <w:adjustRightInd w:val="0"/>
              <w:snapToGrid w:val="0"/>
              <w:jc w:val="center"/>
              <w:rPr>
                <w:rFonts w:hint="eastAsia" w:ascii="宋体" w:hAnsi="宋体" w:cs="宋体"/>
                <w:snapToGrid w:val="0"/>
                <w:szCs w:val="21"/>
                <w:highlight w:val="none"/>
              </w:rPr>
            </w:pPr>
            <w:r>
              <w:rPr>
                <w:rFonts w:hint="eastAsia" w:ascii="宋体" w:hAnsi="宋体" w:cs="宋体"/>
                <w:snapToGrid w:val="0"/>
                <w:szCs w:val="21"/>
                <w:highlight w:val="none"/>
              </w:rPr>
              <w:t>7</w:t>
            </w:r>
          </w:p>
        </w:tc>
        <w:tc>
          <w:tcPr>
            <w:tcW w:w="11455" w:type="dxa"/>
            <w:tcBorders>
              <w:top w:val="single" w:color="auto" w:sz="4" w:space="0"/>
              <w:left w:val="nil"/>
              <w:bottom w:val="single" w:color="auto" w:sz="4" w:space="0"/>
              <w:right w:val="single" w:color="auto" w:sz="4" w:space="0"/>
            </w:tcBorders>
            <w:noWrap w:val="0"/>
            <w:vAlign w:val="center"/>
          </w:tcPr>
          <w:p>
            <w:pPr>
              <w:widowControl/>
              <w:snapToGrid w:val="0"/>
              <w:rPr>
                <w:rFonts w:hint="eastAsia"/>
                <w:highlight w:val="none"/>
              </w:rPr>
            </w:pPr>
            <w:r>
              <w:rPr>
                <w:rFonts w:hint="eastAsia"/>
                <w:highlight w:val="none"/>
              </w:rPr>
              <w:t>1.投标人（若为联合体，指联合体主办方）连续五年或以上获得纳税信用A级纳税人称号的（评价年度从2022年起往前算）得3分，否则不得分。</w:t>
            </w:r>
          </w:p>
          <w:p>
            <w:pPr>
              <w:widowControl/>
              <w:snapToGrid w:val="0"/>
              <w:rPr>
                <w:rFonts w:hint="eastAsia"/>
                <w:highlight w:val="none"/>
              </w:rPr>
            </w:pPr>
            <w:r>
              <w:rPr>
                <w:rFonts w:hint="eastAsia"/>
                <w:highlight w:val="none"/>
              </w:rPr>
              <w:t>2.投标人（若为联合体，指承担设计任务的成员方）获得有效期内的质量管理体系认证证书、环境管理体系认证证书、职业健康安全管理体系认证证书、</w:t>
            </w:r>
            <w:r>
              <w:rPr>
                <w:rFonts w:hint="eastAsia" w:ascii="Calibri" w:hAnsi="Calibri" w:cs="Calibri"/>
                <w:sz w:val="21"/>
                <w:szCs w:val="22"/>
                <w:highlight w:val="none"/>
              </w:rPr>
              <w:t>信息安全管理体系认证</w:t>
            </w:r>
            <w:r>
              <w:rPr>
                <w:rFonts w:hint="eastAsia"/>
                <w:highlight w:val="none"/>
              </w:rPr>
              <w:t>证书，同时具备4项的，得4分；同时具备任意3项的，得2分；同时具备任意2项的，得1分；其余情况不得分。</w:t>
            </w:r>
          </w:p>
          <w:p>
            <w:pPr>
              <w:ind w:firstLine="0" w:firstLineChars="0"/>
              <w:rPr>
                <w:rFonts w:hint="eastAsia"/>
                <w:highlight w:val="none"/>
              </w:rPr>
            </w:pPr>
            <w:r>
              <w:rPr>
                <w:rFonts w:hint="eastAsia" w:ascii="宋体" w:hAnsi="宋体"/>
                <w:szCs w:val="21"/>
                <w:highlight w:val="none"/>
              </w:rPr>
              <w:t>注：</w:t>
            </w:r>
            <w:r>
              <w:rPr>
                <w:rFonts w:hint="eastAsia"/>
                <w:highlight w:val="none"/>
              </w:rPr>
              <w:t>（1）纳税信用等级须包含2022年度，须提供“国家税务总局”官网（http://www.chinatax.gov.cn/）或各省级税务平台相关网站查询截图并加盖投标单位电子印章。只计算投标人自身（不含投标人的子公司或分公司），时间以评价（评定）年度为准。</w:t>
            </w:r>
          </w:p>
          <w:p>
            <w:pPr>
              <w:rPr>
                <w:rFonts w:hint="eastAsia"/>
                <w:highlight w:val="none"/>
              </w:rPr>
            </w:pPr>
            <w:r>
              <w:rPr>
                <w:rFonts w:hint="eastAsia"/>
                <w:highlight w:val="none"/>
              </w:rPr>
              <w:t>（2）体系认证需提供证书扫描件并加盖投标人企业电子印章，不满足上述情况的不得分。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5" w:hRule="atLeast"/>
          <w:jc w:val="center"/>
        </w:trPr>
        <w:tc>
          <w:tcPr>
            <w:tcW w:w="589" w:type="dxa"/>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宋体" w:hAnsi="宋体" w:cs="宋体"/>
                <w:bCs/>
                <w:snapToGrid w:val="0"/>
                <w:sz w:val="18"/>
                <w:szCs w:val="18"/>
                <w:highlight w:val="none"/>
              </w:rPr>
            </w:pPr>
            <w:r>
              <w:rPr>
                <w:rFonts w:hint="eastAsia" w:ascii="宋体" w:hAnsi="宋体" w:cs="宋体"/>
                <w:bCs/>
                <w:snapToGrid w:val="0"/>
                <w:sz w:val="18"/>
                <w:szCs w:val="18"/>
                <w:highlight w:val="none"/>
              </w:rPr>
              <w:t>1.4</w:t>
            </w:r>
          </w:p>
        </w:tc>
        <w:tc>
          <w:tcPr>
            <w:tcW w:w="1355" w:type="dxa"/>
            <w:tcBorders>
              <w:top w:val="single" w:color="auto" w:sz="4" w:space="0"/>
              <w:left w:val="nil"/>
              <w:right w:val="single" w:color="auto" w:sz="4" w:space="0"/>
            </w:tcBorders>
            <w:noWrap w:val="0"/>
            <w:vAlign w:val="center"/>
          </w:tcPr>
          <w:p>
            <w:pPr>
              <w:rPr>
                <w:highlight w:val="none"/>
              </w:rPr>
            </w:pPr>
            <w:r>
              <w:rPr>
                <w:rFonts w:hint="eastAsia" w:ascii="宋体" w:hAnsi="宋体" w:cs="宋体"/>
                <w:bCs/>
                <w:snapToGrid w:val="0"/>
                <w:szCs w:val="21"/>
                <w:highlight w:val="none"/>
              </w:rPr>
              <w:t>企业研发能力</w:t>
            </w:r>
          </w:p>
          <w:p>
            <w:pPr>
              <w:widowControl/>
              <w:adjustRightInd w:val="0"/>
              <w:snapToGrid w:val="0"/>
              <w:jc w:val="center"/>
              <w:rPr>
                <w:rFonts w:hint="eastAsia" w:ascii="宋体" w:hAnsi="宋体" w:cs="宋体"/>
                <w:bCs/>
                <w:snapToGrid w:val="0"/>
                <w:szCs w:val="21"/>
                <w:highlight w:val="none"/>
              </w:rPr>
            </w:pPr>
          </w:p>
        </w:tc>
        <w:tc>
          <w:tcPr>
            <w:tcW w:w="610" w:type="dxa"/>
            <w:tcBorders>
              <w:top w:val="single" w:color="auto" w:sz="4" w:space="0"/>
              <w:left w:val="nil"/>
              <w:right w:val="single" w:color="auto" w:sz="4" w:space="0"/>
            </w:tcBorders>
            <w:noWrap w:val="0"/>
            <w:vAlign w:val="center"/>
          </w:tcPr>
          <w:p>
            <w:pPr>
              <w:widowControl/>
              <w:snapToGrid w:val="0"/>
              <w:rPr>
                <w:rFonts w:hint="eastAsia" w:eastAsia="宋体"/>
                <w:highlight w:val="none"/>
              </w:rPr>
            </w:pPr>
            <w:r>
              <w:rPr>
                <w:rFonts w:hint="eastAsia" w:eastAsia="宋体"/>
                <w:highlight w:val="none"/>
              </w:rPr>
              <w:t>7</w:t>
            </w:r>
          </w:p>
        </w:tc>
        <w:tc>
          <w:tcPr>
            <w:tcW w:w="11455" w:type="dxa"/>
            <w:tcBorders>
              <w:top w:val="single" w:color="auto" w:sz="4" w:space="0"/>
              <w:left w:val="nil"/>
              <w:bottom w:val="single" w:color="auto" w:sz="4" w:space="0"/>
              <w:right w:val="single" w:color="auto" w:sz="4" w:space="0"/>
            </w:tcBorders>
            <w:noWrap w:val="0"/>
            <w:vAlign w:val="center"/>
          </w:tcPr>
          <w:p>
            <w:pPr>
              <w:widowControl/>
              <w:snapToGrid w:val="0"/>
              <w:rPr>
                <w:rFonts w:hint="eastAsia" w:eastAsia="宋体"/>
                <w:highlight w:val="none"/>
              </w:rPr>
            </w:pPr>
            <w:r>
              <w:rPr>
                <w:rFonts w:hint="eastAsia" w:eastAsia="宋体"/>
                <w:highlight w:val="none"/>
              </w:rPr>
              <w:t>投标人(若为联合体，指联合体主办方)自2018年1月1日至今获得国家级科学技术进步奖的，得7分；获得省级（含副省级）科学技术奖的，得4分；获得市级科学技术奖的，得1分；本项最多计1项，提交多项的按提交的最高等级计算得分，没有的不得分。</w:t>
            </w:r>
          </w:p>
          <w:p>
            <w:pPr>
              <w:widowControl/>
              <w:snapToGrid w:val="0"/>
              <w:rPr>
                <w:rFonts w:hint="eastAsia" w:eastAsia="宋体"/>
                <w:highlight w:val="none"/>
              </w:rPr>
            </w:pPr>
            <w:r>
              <w:rPr>
                <w:rFonts w:hint="eastAsia" w:eastAsia="宋体"/>
                <w:highlight w:val="none"/>
              </w:rPr>
              <w:t>注：科学技术奖项包括科学技术奖、技术发明奖、科学技术进步奖等，以市级或以上人民政府或行政部门或行业协会颁发的为准。投标人需提供获奖证书扫描件或获奖文件证明材料网页截图并按招标文件要求加盖电子印章，获奖时间以获奖证书颁发时间或网站公布时间为准。如颁奖单位为协会的，需提供证书发证机构在“中国社会组织公共服务平台”登记的网页查询截图，不符合条件或无提供相关证明材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09" w:type="dxa"/>
            <w:gridSpan w:val="4"/>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宋体" w:hAnsi="宋体" w:cs="宋体"/>
                <w:b/>
                <w:bCs/>
                <w:snapToGrid w:val="0"/>
                <w:sz w:val="18"/>
                <w:szCs w:val="18"/>
                <w:highlight w:val="none"/>
              </w:rPr>
            </w:pPr>
            <w:r>
              <w:rPr>
                <w:rFonts w:hint="eastAsia" w:ascii="宋体" w:hAnsi="宋体" w:cs="宋体"/>
                <w:b/>
                <w:bCs/>
                <w:snapToGrid w:val="0"/>
                <w:sz w:val="18"/>
                <w:szCs w:val="18"/>
                <w:highlight w:val="none"/>
              </w:rPr>
              <w:t>2</w:t>
            </w:r>
            <w:r>
              <w:rPr>
                <w:rFonts w:ascii="宋体" w:hAnsi="宋体" w:cs="宋体"/>
                <w:b/>
                <w:bCs/>
                <w:snapToGrid w:val="0"/>
                <w:sz w:val="18"/>
                <w:szCs w:val="18"/>
                <w:highlight w:val="none"/>
              </w:rPr>
              <w:t>.工程实施方案</w:t>
            </w:r>
            <w:r>
              <w:rPr>
                <w:rFonts w:hint="eastAsia" w:ascii="宋体" w:hAnsi="宋体" w:cs="宋体"/>
                <w:b/>
                <w:bCs/>
                <w:snapToGrid w:val="0"/>
                <w:sz w:val="18"/>
                <w:szCs w:val="18"/>
                <w:highlight w:val="none"/>
              </w:rPr>
              <w:t>（6</w:t>
            </w:r>
            <w:r>
              <w:rPr>
                <w:rFonts w:ascii="宋体" w:hAnsi="宋体" w:cs="宋体"/>
                <w:b/>
                <w:bCs/>
                <w:snapToGrid w:val="0"/>
                <w:sz w:val="18"/>
                <w:szCs w:val="18"/>
                <w:highlight w:val="none"/>
              </w:rPr>
              <w:t>4分</w:t>
            </w:r>
            <w:r>
              <w:rPr>
                <w:rFonts w:hint="eastAsia" w:ascii="宋体" w:hAnsi="宋体" w:cs="宋体"/>
                <w:b/>
                <w:bCs/>
                <w:snapToGrid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589" w:type="dxa"/>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宋体" w:hAnsi="宋体" w:cs="宋体"/>
                <w:bCs/>
                <w:snapToGrid w:val="0"/>
                <w:sz w:val="18"/>
                <w:szCs w:val="18"/>
                <w:highlight w:val="none"/>
              </w:rPr>
            </w:pPr>
            <w:r>
              <w:rPr>
                <w:rFonts w:hint="eastAsia" w:ascii="宋体" w:hAnsi="宋体" w:cs="宋体"/>
                <w:bCs/>
                <w:snapToGrid w:val="0"/>
                <w:sz w:val="18"/>
                <w:szCs w:val="18"/>
                <w:highlight w:val="none"/>
              </w:rPr>
              <w:t>2</w:t>
            </w:r>
            <w:r>
              <w:rPr>
                <w:rFonts w:ascii="宋体" w:hAnsi="宋体" w:cs="宋体"/>
                <w:bCs/>
                <w:snapToGrid w:val="0"/>
                <w:sz w:val="18"/>
                <w:szCs w:val="18"/>
                <w:highlight w:val="none"/>
              </w:rPr>
              <w:t>.1</w:t>
            </w:r>
          </w:p>
        </w:tc>
        <w:tc>
          <w:tcPr>
            <w:tcW w:w="1355" w:type="dxa"/>
            <w:tcBorders>
              <w:top w:val="single" w:color="auto" w:sz="4" w:space="0"/>
              <w:left w:val="nil"/>
              <w:right w:val="single" w:color="auto" w:sz="4" w:space="0"/>
            </w:tcBorders>
            <w:noWrap w:val="0"/>
            <w:vAlign w:val="center"/>
          </w:tcPr>
          <w:p>
            <w:pPr>
              <w:widowControl/>
              <w:adjustRightInd w:val="0"/>
              <w:snapToGrid w:val="0"/>
              <w:jc w:val="center"/>
              <w:rPr>
                <w:rFonts w:ascii="宋体" w:hAnsi="宋体" w:cs="宋体"/>
                <w:bCs/>
                <w:snapToGrid w:val="0"/>
                <w:szCs w:val="21"/>
                <w:highlight w:val="none"/>
              </w:rPr>
            </w:pPr>
            <w:r>
              <w:rPr>
                <w:rFonts w:hint="eastAsia" w:ascii="宋体" w:hAnsi="宋体" w:cs="宋体"/>
                <w:bCs/>
                <w:snapToGrid w:val="0"/>
                <w:szCs w:val="21"/>
                <w:highlight w:val="none"/>
              </w:rPr>
              <w:t>设计和施工融合措施</w:t>
            </w:r>
          </w:p>
        </w:tc>
        <w:tc>
          <w:tcPr>
            <w:tcW w:w="610" w:type="dxa"/>
            <w:tcBorders>
              <w:top w:val="single" w:color="auto" w:sz="4" w:space="0"/>
              <w:left w:val="nil"/>
              <w:right w:val="single" w:color="auto" w:sz="4" w:space="0"/>
            </w:tcBorders>
            <w:noWrap w:val="0"/>
            <w:vAlign w:val="center"/>
          </w:tcPr>
          <w:p>
            <w:pPr>
              <w:widowControl/>
              <w:adjustRightInd w:val="0"/>
              <w:snapToGrid w:val="0"/>
              <w:jc w:val="center"/>
              <w:rPr>
                <w:rFonts w:ascii="宋体" w:hAnsi="宋体" w:cs="宋体"/>
                <w:bCs/>
                <w:snapToGrid w:val="0"/>
                <w:szCs w:val="21"/>
                <w:highlight w:val="none"/>
              </w:rPr>
            </w:pPr>
            <w:r>
              <w:rPr>
                <w:rFonts w:hint="eastAsia" w:ascii="宋体" w:hAnsi="宋体" w:cs="宋体"/>
                <w:bCs/>
                <w:snapToGrid w:val="0"/>
                <w:szCs w:val="21"/>
                <w:highlight w:val="none"/>
              </w:rPr>
              <w:t>24</w:t>
            </w:r>
          </w:p>
        </w:tc>
        <w:tc>
          <w:tcPr>
            <w:tcW w:w="11455" w:type="dxa"/>
            <w:tcBorders>
              <w:top w:val="single" w:color="auto" w:sz="4" w:space="0"/>
              <w:left w:val="nil"/>
              <w:bottom w:val="single" w:color="auto" w:sz="4" w:space="0"/>
              <w:right w:val="single" w:color="auto" w:sz="4" w:space="0"/>
            </w:tcBorders>
            <w:noWrap w:val="0"/>
            <w:vAlign w:val="center"/>
          </w:tcPr>
          <w:p>
            <w:pPr>
              <w:jc w:val="left"/>
              <w:rPr>
                <w:rFonts w:ascii="宋体" w:hAnsi="宋体"/>
                <w:color w:val="auto"/>
                <w:szCs w:val="21"/>
                <w:highlight w:val="none"/>
              </w:rPr>
            </w:pPr>
            <w:r>
              <w:rPr>
                <w:rFonts w:hint="eastAsia" w:ascii="宋体" w:hAnsi="宋体"/>
                <w:color w:val="auto"/>
                <w:szCs w:val="21"/>
                <w:highlight w:val="none"/>
              </w:rPr>
              <w:t>①投标人（若为联合体，</w:t>
            </w:r>
            <w:r>
              <w:rPr>
                <w:rFonts w:hint="eastAsia" w:ascii="宋体" w:hAnsi="宋体"/>
                <w:color w:val="auto"/>
                <w:szCs w:val="21"/>
                <w:highlight w:val="none"/>
              </w:rPr>
              <w:t>指主办方</w:t>
            </w:r>
            <w:r>
              <w:rPr>
                <w:rFonts w:hint="eastAsia" w:ascii="宋体" w:hAnsi="宋体"/>
                <w:color w:val="auto"/>
                <w:szCs w:val="21"/>
                <w:highlight w:val="none"/>
              </w:rPr>
              <w:t>）拟投入本工程的项目主要管理人员：</w:t>
            </w:r>
          </w:p>
          <w:p>
            <w:pPr>
              <w:jc w:val="left"/>
              <w:rPr>
                <w:rFonts w:ascii="宋体" w:hAnsi="宋体"/>
                <w:color w:val="auto"/>
                <w:szCs w:val="21"/>
                <w:highlight w:val="none"/>
              </w:rPr>
            </w:pPr>
            <w:r>
              <w:rPr>
                <w:rFonts w:hint="eastAsia" w:ascii="宋体" w:hAnsi="宋体"/>
                <w:color w:val="auto"/>
                <w:szCs w:val="21"/>
                <w:highlight w:val="none"/>
              </w:rPr>
              <w:t>1、造价负责人具有一级注册造价工程师注册证书的，得4分；本小项最高得4分。</w:t>
            </w:r>
          </w:p>
          <w:p>
            <w:pPr>
              <w:jc w:val="left"/>
              <w:rPr>
                <w:highlight w:val="none"/>
              </w:rPr>
            </w:pPr>
            <w:r>
              <w:rPr>
                <w:rFonts w:hint="eastAsia" w:ascii="宋体" w:hAnsi="宋体"/>
                <w:color w:val="auto"/>
                <w:szCs w:val="21"/>
                <w:highlight w:val="none"/>
              </w:rPr>
              <w:t>2、安全负责人具有注册安全工程师注册证书的，得4分；本小项最高得4分。</w:t>
            </w:r>
          </w:p>
          <w:p>
            <w:pPr>
              <w:pStyle w:val="10"/>
              <w:widowControl/>
              <w:rPr>
                <w:rFonts w:hint="eastAsia" w:ascii="Calibri" w:hAnsi="Calibri" w:cs="Calibri"/>
                <w:b/>
                <w:sz w:val="21"/>
                <w:szCs w:val="21"/>
                <w:highlight w:val="none"/>
                <w:lang w:eastAsia="zh-CN"/>
              </w:rPr>
            </w:pPr>
            <w:r>
              <w:rPr>
                <w:rFonts w:hint="eastAsia" w:cs="宋体"/>
                <w:color w:val="auto"/>
                <w:sz w:val="21"/>
                <w:szCs w:val="21"/>
                <w:highlight w:val="none"/>
                <w:lang w:val="en-US" w:eastAsia="zh-CN"/>
              </w:rPr>
              <w:t>②</w:t>
            </w:r>
            <w:r>
              <w:rPr>
                <w:rFonts w:hint="eastAsia" w:cs="宋体"/>
                <w:b w:val="0"/>
                <w:sz w:val="21"/>
                <w:szCs w:val="21"/>
                <w:highlight w:val="none"/>
                <w:lang w:eastAsia="zh-CN"/>
              </w:rPr>
              <w:t>投标人（若为联合体，指承担设计任务的成员方）</w:t>
            </w:r>
            <w:r>
              <w:rPr>
                <w:rFonts w:hint="eastAsia"/>
                <w:color w:val="auto"/>
                <w:szCs w:val="21"/>
                <w:highlight w:val="none"/>
                <w:lang w:eastAsia="zh-CN"/>
              </w:rPr>
              <w:t>拟投入本工程的项目主要管理人员：</w:t>
            </w:r>
          </w:p>
          <w:p>
            <w:pPr>
              <w:pStyle w:val="10"/>
              <w:widowControl/>
              <w:rPr>
                <w:rFonts w:cs="宋体"/>
                <w:sz w:val="21"/>
                <w:szCs w:val="21"/>
                <w:highlight w:val="none"/>
                <w:lang w:val="en-US" w:eastAsia="zh-CN"/>
              </w:rPr>
            </w:pPr>
            <w:r>
              <w:rPr>
                <w:rFonts w:hint="eastAsia" w:cs="宋体"/>
                <w:sz w:val="21"/>
                <w:szCs w:val="21"/>
                <w:highlight w:val="none"/>
                <w:lang w:eastAsia="zh-CN"/>
              </w:rPr>
              <w:t>（</w:t>
            </w:r>
            <w:r>
              <w:rPr>
                <w:rFonts w:hint="eastAsia" w:cs="宋体"/>
                <w:sz w:val="21"/>
                <w:szCs w:val="21"/>
                <w:highlight w:val="none"/>
                <w:lang w:val="en-US" w:eastAsia="zh-CN"/>
              </w:rPr>
              <w:t>1）设计负责人：建筑工程类专业高级或以上技术职称的，得3分。</w:t>
            </w:r>
          </w:p>
          <w:p>
            <w:pPr>
              <w:pStyle w:val="10"/>
              <w:widowControl/>
              <w:rPr>
                <w:rFonts w:hint="eastAsia" w:ascii="Calibri" w:hAnsi="Calibri" w:cs="Calibri"/>
                <w:sz w:val="21"/>
                <w:szCs w:val="21"/>
                <w:highlight w:val="none"/>
                <w:lang w:eastAsia="zh-CN"/>
              </w:rPr>
            </w:pPr>
            <w:r>
              <w:rPr>
                <w:rFonts w:hint="eastAsia" w:cs="宋体"/>
                <w:sz w:val="21"/>
                <w:szCs w:val="21"/>
                <w:highlight w:val="none"/>
                <w:lang w:eastAsia="zh-CN"/>
              </w:rPr>
              <w:t>（</w:t>
            </w:r>
            <w:r>
              <w:rPr>
                <w:rFonts w:hint="eastAsia" w:cs="宋体"/>
                <w:sz w:val="21"/>
                <w:szCs w:val="21"/>
                <w:highlight w:val="none"/>
                <w:lang w:val="en-US" w:eastAsia="zh-CN"/>
              </w:rPr>
              <w:t>2</w:t>
            </w:r>
            <w:r>
              <w:rPr>
                <w:rFonts w:hint="eastAsia" w:cs="宋体"/>
                <w:sz w:val="21"/>
                <w:szCs w:val="21"/>
                <w:highlight w:val="none"/>
                <w:lang w:eastAsia="zh-CN"/>
              </w:rPr>
              <w:t>）建筑专业设计负责人：</w:t>
            </w:r>
            <w:r>
              <w:rPr>
                <w:rFonts w:hint="eastAsia" w:cs="宋体"/>
                <w:sz w:val="21"/>
                <w:szCs w:val="21"/>
                <w:highlight w:val="none"/>
                <w:lang w:eastAsia="zh-CN"/>
              </w:rPr>
              <w:t>具有一级注册建筑师</w:t>
            </w:r>
            <w:r>
              <w:rPr>
                <w:rFonts w:hint="eastAsia" w:cs="宋体"/>
                <w:sz w:val="21"/>
                <w:szCs w:val="21"/>
                <w:highlight w:val="none"/>
                <w:lang w:val="en-US" w:eastAsia="zh-CN" w:bidi="ar"/>
              </w:rPr>
              <w:t>注册证书</w:t>
            </w:r>
            <w:r>
              <w:rPr>
                <w:rFonts w:hint="eastAsia" w:cs="宋体"/>
                <w:sz w:val="21"/>
                <w:szCs w:val="21"/>
                <w:highlight w:val="none"/>
                <w:lang w:eastAsia="zh-CN"/>
              </w:rPr>
              <w:t>及建筑工程类专业高级或以上技术职称的，得</w:t>
            </w:r>
            <w:r>
              <w:rPr>
                <w:rFonts w:ascii="Calibri" w:hAnsi="Calibri" w:cs="Calibri"/>
                <w:sz w:val="21"/>
                <w:szCs w:val="21"/>
                <w:highlight w:val="none"/>
                <w:lang w:eastAsia="zh-CN"/>
              </w:rPr>
              <w:t>3</w:t>
            </w:r>
            <w:r>
              <w:rPr>
                <w:rFonts w:hint="eastAsia" w:cs="宋体"/>
                <w:sz w:val="21"/>
                <w:szCs w:val="21"/>
                <w:highlight w:val="none"/>
                <w:lang w:eastAsia="zh-CN"/>
              </w:rPr>
              <w:t>分。</w:t>
            </w:r>
          </w:p>
          <w:p>
            <w:pPr>
              <w:pStyle w:val="10"/>
              <w:widowControl/>
              <w:rPr>
                <w:rFonts w:hint="eastAsia" w:ascii="Calibri" w:hAnsi="Calibri" w:cs="Calibri"/>
                <w:sz w:val="21"/>
                <w:szCs w:val="21"/>
                <w:highlight w:val="none"/>
                <w:lang w:eastAsia="zh-CN"/>
              </w:rPr>
            </w:pPr>
            <w:r>
              <w:rPr>
                <w:rFonts w:hint="eastAsia" w:cs="宋体"/>
                <w:sz w:val="21"/>
                <w:szCs w:val="21"/>
                <w:highlight w:val="none"/>
                <w:lang w:eastAsia="zh-CN"/>
              </w:rPr>
              <w:t>（</w:t>
            </w:r>
            <w:r>
              <w:rPr>
                <w:rFonts w:hint="eastAsia" w:cs="宋体"/>
                <w:sz w:val="21"/>
                <w:szCs w:val="21"/>
                <w:highlight w:val="none"/>
                <w:lang w:val="en-US" w:eastAsia="zh-CN"/>
              </w:rPr>
              <w:t>3</w:t>
            </w:r>
            <w:r>
              <w:rPr>
                <w:rFonts w:hint="eastAsia" w:cs="宋体"/>
                <w:sz w:val="21"/>
                <w:szCs w:val="21"/>
                <w:highlight w:val="none"/>
                <w:lang w:eastAsia="zh-CN"/>
              </w:rPr>
              <w:t>）给排水专业设计负责人：</w:t>
            </w:r>
            <w:r>
              <w:rPr>
                <w:rFonts w:hint="eastAsia" w:cs="宋体"/>
                <w:sz w:val="21"/>
                <w:szCs w:val="21"/>
                <w:highlight w:val="none"/>
                <w:lang w:eastAsia="zh-CN"/>
              </w:rPr>
              <w:t>具有注册公用设备工程师（给水排水）</w:t>
            </w:r>
            <w:r>
              <w:rPr>
                <w:rFonts w:hint="eastAsia" w:cs="宋体"/>
                <w:sz w:val="21"/>
                <w:szCs w:val="21"/>
                <w:highlight w:val="none"/>
                <w:lang w:val="en-US" w:eastAsia="zh-CN" w:bidi="ar"/>
              </w:rPr>
              <w:t>注册证书</w:t>
            </w:r>
            <w:r>
              <w:rPr>
                <w:rFonts w:hint="eastAsia" w:cs="宋体"/>
                <w:sz w:val="21"/>
                <w:szCs w:val="21"/>
                <w:highlight w:val="none"/>
                <w:lang w:eastAsia="zh-CN"/>
              </w:rPr>
              <w:t>及给水排水类专业高级或以上技术职称的，得</w:t>
            </w:r>
            <w:r>
              <w:rPr>
                <w:rFonts w:ascii="Calibri" w:hAnsi="Calibri" w:cs="Calibri"/>
                <w:sz w:val="21"/>
                <w:szCs w:val="21"/>
                <w:highlight w:val="none"/>
                <w:lang w:eastAsia="zh-CN"/>
              </w:rPr>
              <w:t>3</w:t>
            </w:r>
            <w:r>
              <w:rPr>
                <w:rFonts w:hint="eastAsia" w:cs="宋体"/>
                <w:sz w:val="21"/>
                <w:szCs w:val="21"/>
                <w:highlight w:val="none"/>
                <w:lang w:eastAsia="zh-CN"/>
              </w:rPr>
              <w:t>分。</w:t>
            </w:r>
          </w:p>
          <w:p>
            <w:pPr>
              <w:pStyle w:val="10"/>
              <w:widowControl/>
              <w:rPr>
                <w:rFonts w:hint="eastAsia" w:cs="宋体"/>
                <w:sz w:val="21"/>
                <w:szCs w:val="21"/>
                <w:highlight w:val="none"/>
                <w:lang w:eastAsia="zh-CN"/>
              </w:rPr>
            </w:pPr>
            <w:r>
              <w:rPr>
                <w:rFonts w:hint="eastAsia" w:cs="宋体"/>
                <w:sz w:val="21"/>
                <w:szCs w:val="21"/>
                <w:highlight w:val="none"/>
                <w:lang w:eastAsia="zh-CN"/>
              </w:rPr>
              <w:t>（</w:t>
            </w:r>
            <w:r>
              <w:rPr>
                <w:rFonts w:hint="eastAsia" w:cs="宋体"/>
                <w:sz w:val="21"/>
                <w:szCs w:val="21"/>
                <w:highlight w:val="none"/>
                <w:lang w:val="en-US" w:eastAsia="zh-CN"/>
              </w:rPr>
              <w:t>4</w:t>
            </w:r>
            <w:r>
              <w:rPr>
                <w:rFonts w:hint="eastAsia" w:cs="宋体"/>
                <w:sz w:val="21"/>
                <w:szCs w:val="21"/>
                <w:highlight w:val="none"/>
                <w:lang w:eastAsia="zh-CN"/>
              </w:rPr>
              <w:t>）电气专业设计负责人：</w:t>
            </w:r>
            <w:r>
              <w:rPr>
                <w:rFonts w:hint="eastAsia" w:cs="宋体"/>
                <w:sz w:val="21"/>
                <w:szCs w:val="21"/>
                <w:highlight w:val="none"/>
                <w:lang w:eastAsia="zh-CN"/>
              </w:rPr>
              <w:t>具有注册电气工程师（供配电）</w:t>
            </w:r>
            <w:r>
              <w:rPr>
                <w:rFonts w:hint="eastAsia" w:cs="宋体"/>
                <w:sz w:val="21"/>
                <w:szCs w:val="21"/>
                <w:highlight w:val="none"/>
                <w:lang w:val="en-US" w:eastAsia="zh-CN" w:bidi="ar"/>
              </w:rPr>
              <w:t>注册证书</w:t>
            </w:r>
            <w:r>
              <w:rPr>
                <w:rFonts w:hint="eastAsia" w:cs="宋体"/>
                <w:sz w:val="21"/>
                <w:szCs w:val="21"/>
                <w:highlight w:val="none"/>
                <w:lang w:eastAsia="zh-CN"/>
              </w:rPr>
              <w:t>及电气类</w:t>
            </w:r>
            <w:r>
              <w:rPr>
                <w:rFonts w:hint="eastAsia" w:cs="宋体"/>
                <w:sz w:val="21"/>
                <w:szCs w:val="21"/>
                <w:highlight w:val="none"/>
                <w:u w:val="none"/>
                <w:lang w:eastAsia="zh-CN"/>
              </w:rPr>
              <w:t>（或</w:t>
            </w:r>
            <w:r>
              <w:rPr>
                <w:rFonts w:hint="eastAsia" w:cs="宋体"/>
                <w:sz w:val="21"/>
                <w:szCs w:val="21"/>
                <w:highlight w:val="none"/>
                <w:lang w:eastAsia="zh-CN"/>
              </w:rPr>
              <w:t>建筑</w:t>
            </w:r>
            <w:r>
              <w:rPr>
                <w:rFonts w:hint="eastAsia" w:cs="宋体"/>
                <w:sz w:val="21"/>
                <w:szCs w:val="21"/>
                <w:highlight w:val="none"/>
                <w:u w:val="none"/>
                <w:lang w:eastAsia="zh-CN"/>
              </w:rPr>
              <w:t>机电安装类）专业</w:t>
            </w:r>
            <w:r>
              <w:rPr>
                <w:rFonts w:hint="eastAsia" w:cs="宋体"/>
                <w:sz w:val="21"/>
                <w:szCs w:val="21"/>
                <w:highlight w:val="none"/>
                <w:lang w:eastAsia="zh-CN"/>
              </w:rPr>
              <w:t>高级或以上技术职称的，得</w:t>
            </w:r>
            <w:r>
              <w:rPr>
                <w:rFonts w:ascii="Calibri" w:hAnsi="Calibri" w:cs="Calibri"/>
                <w:sz w:val="21"/>
                <w:szCs w:val="21"/>
                <w:highlight w:val="none"/>
                <w:lang w:eastAsia="zh-CN"/>
              </w:rPr>
              <w:t>3</w:t>
            </w:r>
            <w:r>
              <w:rPr>
                <w:rFonts w:hint="eastAsia" w:cs="宋体"/>
                <w:sz w:val="21"/>
                <w:szCs w:val="21"/>
                <w:highlight w:val="none"/>
                <w:lang w:eastAsia="zh-CN"/>
              </w:rPr>
              <w:t>分。</w:t>
            </w:r>
          </w:p>
          <w:p>
            <w:pPr>
              <w:pStyle w:val="10"/>
              <w:widowControl/>
              <w:rPr>
                <w:rFonts w:cs="宋体"/>
                <w:sz w:val="21"/>
                <w:szCs w:val="21"/>
                <w:highlight w:val="none"/>
                <w:lang w:val="en-US" w:eastAsia="zh-CN"/>
              </w:rPr>
            </w:pPr>
            <w:r>
              <w:rPr>
                <w:rFonts w:hint="eastAsia" w:cs="宋体"/>
                <w:sz w:val="21"/>
                <w:szCs w:val="21"/>
                <w:highlight w:val="none"/>
                <w:lang w:eastAsia="zh-CN"/>
              </w:rPr>
              <w:t>（</w:t>
            </w:r>
            <w:r>
              <w:rPr>
                <w:rFonts w:hint="eastAsia" w:cs="宋体"/>
                <w:sz w:val="21"/>
                <w:szCs w:val="21"/>
                <w:highlight w:val="none"/>
                <w:lang w:val="en-US" w:eastAsia="zh-CN"/>
              </w:rPr>
              <w:t>5）造价专业负责人：具有一级注册造价工程师</w:t>
            </w:r>
            <w:r>
              <w:rPr>
                <w:rFonts w:hint="eastAsia" w:cs="宋体"/>
                <w:sz w:val="21"/>
                <w:szCs w:val="21"/>
                <w:highlight w:val="none"/>
                <w:lang w:val="en-US" w:eastAsia="zh-CN" w:bidi="ar"/>
              </w:rPr>
              <w:t>注册证书</w:t>
            </w:r>
            <w:r>
              <w:rPr>
                <w:rFonts w:hint="eastAsia" w:cs="宋体"/>
                <w:sz w:val="21"/>
                <w:szCs w:val="21"/>
                <w:highlight w:val="none"/>
                <w:lang w:val="en-US" w:eastAsia="zh-CN"/>
              </w:rPr>
              <w:t>及工程类或造价类专业高级或以上</w:t>
            </w:r>
            <w:r>
              <w:rPr>
                <w:rFonts w:hint="eastAsia" w:cs="宋体"/>
                <w:sz w:val="21"/>
                <w:szCs w:val="21"/>
                <w:highlight w:val="none"/>
                <w:lang w:val="en-US" w:eastAsia="zh-CN"/>
              </w:rPr>
              <w:t>技术职称</w:t>
            </w:r>
            <w:r>
              <w:rPr>
                <w:rFonts w:hint="eastAsia" w:cs="宋体"/>
                <w:sz w:val="21"/>
                <w:szCs w:val="21"/>
                <w:highlight w:val="none"/>
                <w:lang w:val="en-US" w:eastAsia="zh-CN"/>
              </w:rPr>
              <w:t>的，得2分。</w:t>
            </w:r>
          </w:p>
          <w:p>
            <w:pPr>
              <w:rPr>
                <w:rFonts w:hint="eastAsia"/>
                <w:highlight w:val="none"/>
                <w:lang w:eastAsia="zh-CN"/>
              </w:rPr>
            </w:pPr>
            <w:r>
              <w:rPr>
                <w:rFonts w:hint="eastAsia" w:cs="宋体"/>
                <w:sz w:val="21"/>
                <w:szCs w:val="21"/>
                <w:highlight w:val="none"/>
                <w:lang w:eastAsia="zh-CN"/>
              </w:rPr>
              <w:t>（</w:t>
            </w:r>
            <w:r>
              <w:rPr>
                <w:rFonts w:cs="宋体"/>
                <w:sz w:val="21"/>
                <w:szCs w:val="21"/>
                <w:highlight w:val="none"/>
                <w:lang w:val="en-US" w:eastAsia="zh-CN"/>
              </w:rPr>
              <w:t>6</w:t>
            </w:r>
            <w:r>
              <w:rPr>
                <w:rFonts w:hint="eastAsia" w:cs="宋体"/>
                <w:sz w:val="21"/>
                <w:szCs w:val="21"/>
                <w:highlight w:val="none"/>
                <w:lang w:val="en-US" w:eastAsia="zh-CN"/>
              </w:rPr>
              <w:t>）设计团队自2020年1月1日至今，每1名参与设计的房屋建筑工程获得过市级（含以上）奖项的，每项得1分，最多得2分。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8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bCs/>
                <w:snapToGrid w:val="0"/>
                <w:sz w:val="18"/>
                <w:szCs w:val="18"/>
                <w:highlight w:val="none"/>
              </w:rPr>
            </w:pPr>
            <w:r>
              <w:rPr>
                <w:rFonts w:hint="eastAsia" w:ascii="宋体" w:hAnsi="宋体" w:cs="宋体"/>
                <w:bCs/>
                <w:snapToGrid w:val="0"/>
                <w:sz w:val="18"/>
                <w:szCs w:val="18"/>
                <w:highlight w:val="none"/>
              </w:rPr>
              <w:t>2</w:t>
            </w:r>
            <w:r>
              <w:rPr>
                <w:rFonts w:ascii="宋体" w:hAnsi="宋体" w:cs="宋体"/>
                <w:bCs/>
                <w:snapToGrid w:val="0"/>
                <w:sz w:val="18"/>
                <w:szCs w:val="18"/>
                <w:highlight w:val="none"/>
              </w:rPr>
              <w:t>.2</w:t>
            </w:r>
          </w:p>
        </w:tc>
        <w:tc>
          <w:tcPr>
            <w:tcW w:w="135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bCs/>
                <w:snapToGrid w:val="0"/>
                <w:szCs w:val="21"/>
                <w:highlight w:val="none"/>
              </w:rPr>
            </w:pPr>
            <w:r>
              <w:rPr>
                <w:rFonts w:hint="eastAsia" w:ascii="宋体" w:hAnsi="宋体" w:cs="宋体"/>
                <w:color w:val="auto"/>
                <w:szCs w:val="21"/>
                <w:highlight w:val="none"/>
              </w:rPr>
              <w:t>安全控制措施</w:t>
            </w:r>
          </w:p>
        </w:tc>
        <w:tc>
          <w:tcPr>
            <w:tcW w:w="61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bCs/>
                <w:snapToGrid w:val="0"/>
                <w:szCs w:val="21"/>
                <w:highlight w:val="none"/>
              </w:rPr>
            </w:pPr>
            <w:r>
              <w:rPr>
                <w:rFonts w:hint="eastAsia" w:ascii="宋体" w:hAnsi="宋体" w:cs="宋体"/>
                <w:bCs/>
                <w:snapToGrid w:val="0"/>
                <w:sz w:val="18"/>
                <w:szCs w:val="18"/>
                <w:highlight w:val="none"/>
              </w:rPr>
              <w:t>10</w:t>
            </w:r>
          </w:p>
        </w:tc>
        <w:tc>
          <w:tcPr>
            <w:tcW w:w="11455" w:type="dxa"/>
            <w:tcBorders>
              <w:top w:val="single" w:color="auto" w:sz="4" w:space="0"/>
              <w:left w:val="nil"/>
              <w:bottom w:val="single" w:color="auto" w:sz="4" w:space="0"/>
              <w:right w:val="single" w:color="auto" w:sz="4" w:space="0"/>
            </w:tcBorders>
            <w:noWrap w:val="0"/>
            <w:vAlign w:val="center"/>
          </w:tcPr>
          <w:p>
            <w:pPr>
              <w:spacing w:line="320" w:lineRule="exact"/>
              <w:rPr>
                <w:rFonts w:ascii="宋体" w:hAnsi="宋体"/>
                <w:color w:val="auto"/>
                <w:highlight w:val="none"/>
              </w:rPr>
            </w:pPr>
            <w:r>
              <w:rPr>
                <w:rFonts w:hint="eastAsia" w:ascii="宋体" w:hAnsi="宋体"/>
                <w:color w:val="auto"/>
                <w:highlight w:val="none"/>
              </w:rPr>
              <w:t>有安全保证体系、安全保证措施，有文明施工保证体系、文明施工保证措施，有消防保证措施，得</w:t>
            </w:r>
            <w:r>
              <w:rPr>
                <w:rFonts w:ascii="宋体" w:hAnsi="宋体"/>
                <w:color w:val="auto"/>
                <w:highlight w:val="none"/>
              </w:rPr>
              <w:t>10分</w:t>
            </w:r>
            <w:r>
              <w:rPr>
                <w:rFonts w:hint="eastAsia" w:ascii="宋体" w:hAnsi="宋体"/>
                <w:color w:val="auto"/>
                <w:highlight w:val="none"/>
              </w:rPr>
              <w:t>；</w:t>
            </w:r>
          </w:p>
          <w:p>
            <w:pPr>
              <w:spacing w:line="320" w:lineRule="exact"/>
              <w:rPr>
                <w:rFonts w:ascii="宋体" w:hAnsi="宋体"/>
                <w:color w:val="auto"/>
                <w:highlight w:val="none"/>
              </w:rPr>
            </w:pPr>
            <w:r>
              <w:rPr>
                <w:rFonts w:hint="eastAsia" w:ascii="宋体" w:hAnsi="宋体"/>
                <w:color w:val="auto"/>
                <w:highlight w:val="none"/>
              </w:rPr>
              <w:t>有安全保证体系、安全保证措施，有文明施工保证体系、文明施工保证措施，得</w:t>
            </w:r>
            <w:r>
              <w:rPr>
                <w:rFonts w:ascii="宋体" w:hAnsi="宋体"/>
                <w:color w:val="auto"/>
                <w:highlight w:val="none"/>
              </w:rPr>
              <w:t>8分</w:t>
            </w:r>
            <w:r>
              <w:rPr>
                <w:rFonts w:hint="eastAsia" w:ascii="宋体" w:hAnsi="宋体"/>
                <w:color w:val="auto"/>
                <w:highlight w:val="none"/>
              </w:rPr>
              <w:t>；</w:t>
            </w:r>
          </w:p>
          <w:p>
            <w:pPr>
              <w:spacing w:line="320" w:lineRule="exact"/>
              <w:rPr>
                <w:rFonts w:ascii="宋体" w:hAnsi="宋体"/>
                <w:color w:val="auto"/>
                <w:highlight w:val="none"/>
              </w:rPr>
            </w:pPr>
            <w:r>
              <w:rPr>
                <w:rFonts w:hint="eastAsia" w:ascii="宋体" w:hAnsi="宋体"/>
                <w:color w:val="auto"/>
                <w:highlight w:val="none"/>
              </w:rPr>
              <w:t>有安全保证体系、安全保证措施，得</w:t>
            </w:r>
            <w:r>
              <w:rPr>
                <w:rFonts w:ascii="宋体" w:hAnsi="宋体"/>
                <w:color w:val="auto"/>
                <w:highlight w:val="none"/>
              </w:rPr>
              <w:t>6分。</w:t>
            </w:r>
          </w:p>
          <w:p>
            <w:pPr>
              <w:spacing w:line="320" w:lineRule="exact"/>
              <w:rPr>
                <w:rFonts w:hint="eastAsia"/>
                <w:highlight w:val="none"/>
              </w:rPr>
            </w:pPr>
            <w:r>
              <w:rPr>
                <w:rFonts w:hint="eastAsia" w:ascii="宋体" w:hAnsi="宋体"/>
                <w:color w:val="auto"/>
                <w:highlight w:val="none"/>
              </w:rPr>
              <w:t>不满足上述要求者不得分</w:t>
            </w:r>
            <w:r>
              <w:rPr>
                <w:rFonts w:ascii="宋体" w:hAnsi="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8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bCs/>
                <w:snapToGrid w:val="0"/>
                <w:sz w:val="18"/>
                <w:szCs w:val="18"/>
                <w:highlight w:val="none"/>
              </w:rPr>
            </w:pPr>
            <w:r>
              <w:rPr>
                <w:rFonts w:hint="eastAsia" w:ascii="宋体" w:hAnsi="宋体" w:cs="宋体"/>
                <w:bCs/>
                <w:snapToGrid w:val="0"/>
                <w:sz w:val="18"/>
                <w:szCs w:val="18"/>
                <w:highlight w:val="none"/>
              </w:rPr>
              <w:t>2</w:t>
            </w:r>
            <w:r>
              <w:rPr>
                <w:rFonts w:ascii="宋体" w:hAnsi="宋体" w:cs="宋体"/>
                <w:bCs/>
                <w:snapToGrid w:val="0"/>
                <w:sz w:val="18"/>
                <w:szCs w:val="18"/>
                <w:highlight w:val="none"/>
              </w:rPr>
              <w:t>.3</w:t>
            </w:r>
          </w:p>
        </w:tc>
        <w:tc>
          <w:tcPr>
            <w:tcW w:w="1355"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ascii="宋体" w:hAnsi="宋体" w:cs="宋体"/>
                <w:bCs/>
                <w:snapToGrid w:val="0"/>
                <w:szCs w:val="21"/>
                <w:highlight w:val="none"/>
              </w:rPr>
            </w:pPr>
            <w:r>
              <w:rPr>
                <w:rFonts w:hint="eastAsia" w:ascii="宋体" w:hAnsi="宋体" w:cs="宋体"/>
                <w:color w:val="auto"/>
                <w:szCs w:val="21"/>
                <w:highlight w:val="none"/>
              </w:rPr>
              <w:t>质量控制措施</w:t>
            </w:r>
          </w:p>
        </w:tc>
        <w:tc>
          <w:tcPr>
            <w:tcW w:w="61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bCs/>
                <w:snapToGrid w:val="0"/>
                <w:szCs w:val="21"/>
                <w:highlight w:val="none"/>
              </w:rPr>
            </w:pPr>
            <w:r>
              <w:rPr>
                <w:rFonts w:hint="eastAsia" w:ascii="宋体" w:hAnsi="宋体" w:cs="宋体"/>
                <w:bCs/>
                <w:snapToGrid w:val="0"/>
                <w:sz w:val="18"/>
                <w:szCs w:val="18"/>
                <w:highlight w:val="none"/>
              </w:rPr>
              <w:t>10</w:t>
            </w:r>
          </w:p>
        </w:tc>
        <w:tc>
          <w:tcPr>
            <w:tcW w:w="11455" w:type="dxa"/>
            <w:tcBorders>
              <w:top w:val="single" w:color="auto" w:sz="4" w:space="0"/>
              <w:left w:val="nil"/>
              <w:bottom w:val="single" w:color="auto" w:sz="4" w:space="0"/>
              <w:right w:val="single" w:color="auto" w:sz="4" w:space="0"/>
            </w:tcBorders>
            <w:noWrap w:val="0"/>
            <w:vAlign w:val="center"/>
          </w:tcPr>
          <w:p>
            <w:pPr>
              <w:spacing w:line="320" w:lineRule="exact"/>
              <w:rPr>
                <w:rFonts w:ascii="宋体" w:hAnsi="宋体"/>
                <w:color w:val="auto"/>
                <w:highlight w:val="none"/>
              </w:rPr>
            </w:pPr>
            <w:r>
              <w:rPr>
                <w:rFonts w:hint="eastAsia" w:ascii="宋体" w:hAnsi="宋体"/>
                <w:color w:val="auto"/>
                <w:highlight w:val="none"/>
              </w:rPr>
              <w:t>有质量保证体系、质量保证措施，有机械设备投入计划，有质量违约责任承诺，得1</w:t>
            </w:r>
            <w:r>
              <w:rPr>
                <w:rFonts w:ascii="宋体" w:hAnsi="宋体"/>
                <w:color w:val="auto"/>
                <w:highlight w:val="none"/>
              </w:rPr>
              <w:t>0</w:t>
            </w:r>
            <w:r>
              <w:rPr>
                <w:rFonts w:hint="eastAsia" w:ascii="宋体" w:hAnsi="宋体"/>
                <w:color w:val="auto"/>
                <w:highlight w:val="none"/>
              </w:rPr>
              <w:t>分；</w:t>
            </w:r>
          </w:p>
          <w:p>
            <w:pPr>
              <w:spacing w:line="320" w:lineRule="exact"/>
              <w:rPr>
                <w:rFonts w:ascii="宋体" w:hAnsi="宋体"/>
                <w:color w:val="auto"/>
                <w:highlight w:val="none"/>
              </w:rPr>
            </w:pPr>
            <w:r>
              <w:rPr>
                <w:rFonts w:hint="eastAsia" w:ascii="宋体" w:hAnsi="宋体"/>
                <w:color w:val="auto"/>
                <w:highlight w:val="none"/>
              </w:rPr>
              <w:t>有质量保证体系、质量保证措施，有机械设备投入计划，得</w:t>
            </w:r>
            <w:r>
              <w:rPr>
                <w:rFonts w:ascii="宋体" w:hAnsi="宋体"/>
                <w:color w:val="auto"/>
                <w:highlight w:val="none"/>
              </w:rPr>
              <w:t>8</w:t>
            </w:r>
            <w:r>
              <w:rPr>
                <w:rFonts w:hint="eastAsia" w:ascii="宋体" w:hAnsi="宋体"/>
                <w:color w:val="auto"/>
                <w:highlight w:val="none"/>
              </w:rPr>
              <w:t>分；</w:t>
            </w:r>
          </w:p>
          <w:p>
            <w:pPr>
              <w:spacing w:line="320" w:lineRule="exact"/>
              <w:rPr>
                <w:rFonts w:ascii="宋体" w:hAnsi="宋体"/>
                <w:color w:val="auto"/>
                <w:highlight w:val="none"/>
              </w:rPr>
            </w:pPr>
            <w:r>
              <w:rPr>
                <w:rFonts w:hint="eastAsia" w:ascii="宋体" w:hAnsi="宋体"/>
                <w:color w:val="auto"/>
                <w:highlight w:val="none"/>
              </w:rPr>
              <w:t>有质量保证体系、质量保证措施，得</w:t>
            </w:r>
            <w:r>
              <w:rPr>
                <w:rFonts w:ascii="宋体" w:hAnsi="宋体"/>
                <w:color w:val="auto"/>
                <w:highlight w:val="none"/>
              </w:rPr>
              <w:t>6</w:t>
            </w:r>
            <w:r>
              <w:rPr>
                <w:rFonts w:hint="eastAsia" w:ascii="宋体" w:hAnsi="宋体"/>
                <w:color w:val="auto"/>
                <w:highlight w:val="none"/>
              </w:rPr>
              <w:t>分；</w:t>
            </w:r>
          </w:p>
          <w:p>
            <w:pPr>
              <w:spacing w:line="320" w:lineRule="exact"/>
              <w:rPr>
                <w:rFonts w:hint="eastAsia"/>
                <w:highlight w:val="none"/>
              </w:rPr>
            </w:pPr>
            <w:r>
              <w:rPr>
                <w:rFonts w:hint="eastAsia" w:ascii="宋体" w:hAnsi="宋体"/>
                <w:color w:val="auto"/>
                <w:highlight w:val="none"/>
              </w:rPr>
              <w:t>不满足上述要求者不得分</w:t>
            </w:r>
            <w:r>
              <w:rPr>
                <w:rFonts w:ascii="宋体" w:hAnsi="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bCs/>
                <w:snapToGrid w:val="0"/>
                <w:sz w:val="18"/>
                <w:szCs w:val="18"/>
                <w:highlight w:val="none"/>
              </w:rPr>
            </w:pPr>
            <w:r>
              <w:rPr>
                <w:rFonts w:hint="eastAsia" w:ascii="宋体" w:hAnsi="宋体" w:cs="宋体"/>
                <w:bCs/>
                <w:snapToGrid w:val="0"/>
                <w:sz w:val="18"/>
                <w:szCs w:val="18"/>
                <w:highlight w:val="none"/>
              </w:rPr>
              <w:t>2</w:t>
            </w:r>
            <w:r>
              <w:rPr>
                <w:rFonts w:ascii="宋体" w:hAnsi="宋体" w:cs="宋体"/>
                <w:bCs/>
                <w:snapToGrid w:val="0"/>
                <w:sz w:val="18"/>
                <w:szCs w:val="18"/>
                <w:highlight w:val="none"/>
              </w:rPr>
              <w:t>.4</w:t>
            </w:r>
          </w:p>
        </w:tc>
        <w:tc>
          <w:tcPr>
            <w:tcW w:w="1355"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ascii="宋体" w:hAnsi="宋体" w:cs="宋体"/>
                <w:bCs/>
                <w:snapToGrid w:val="0"/>
                <w:szCs w:val="21"/>
                <w:highlight w:val="none"/>
              </w:rPr>
            </w:pPr>
            <w:r>
              <w:rPr>
                <w:rFonts w:hint="eastAsia" w:ascii="宋体" w:hAnsi="宋体" w:cs="宋体"/>
                <w:color w:val="auto"/>
                <w:szCs w:val="21"/>
                <w:highlight w:val="none"/>
              </w:rPr>
              <w:t>进度控制措施</w:t>
            </w:r>
          </w:p>
        </w:tc>
        <w:tc>
          <w:tcPr>
            <w:tcW w:w="61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bCs/>
                <w:snapToGrid w:val="0"/>
                <w:szCs w:val="21"/>
                <w:highlight w:val="none"/>
              </w:rPr>
            </w:pPr>
            <w:r>
              <w:rPr>
                <w:rFonts w:hint="eastAsia" w:ascii="宋体" w:hAnsi="宋体" w:cs="宋体"/>
                <w:bCs/>
                <w:snapToGrid w:val="0"/>
                <w:sz w:val="18"/>
                <w:szCs w:val="18"/>
                <w:highlight w:val="none"/>
              </w:rPr>
              <w:t>10</w:t>
            </w:r>
          </w:p>
        </w:tc>
        <w:tc>
          <w:tcPr>
            <w:tcW w:w="11455" w:type="dxa"/>
            <w:tcBorders>
              <w:top w:val="single" w:color="auto" w:sz="4" w:space="0"/>
              <w:left w:val="nil"/>
              <w:bottom w:val="single" w:color="auto" w:sz="4" w:space="0"/>
              <w:right w:val="single" w:color="auto" w:sz="4" w:space="0"/>
            </w:tcBorders>
            <w:noWrap w:val="0"/>
            <w:vAlign w:val="center"/>
          </w:tcPr>
          <w:p>
            <w:pPr>
              <w:spacing w:line="320" w:lineRule="exact"/>
              <w:rPr>
                <w:rFonts w:ascii="宋体" w:hAnsi="宋体"/>
                <w:color w:val="auto"/>
                <w:highlight w:val="none"/>
              </w:rPr>
            </w:pPr>
            <w:r>
              <w:rPr>
                <w:rFonts w:hint="eastAsia" w:ascii="宋体" w:hAnsi="宋体"/>
                <w:color w:val="auto"/>
                <w:highlight w:val="none"/>
              </w:rPr>
              <w:t>有总进度计划，有进度保障措施，有项目总进度计划横道图</w:t>
            </w:r>
            <w:r>
              <w:rPr>
                <w:rFonts w:ascii="宋体" w:hAnsi="宋体"/>
                <w:color w:val="auto"/>
                <w:highlight w:val="none"/>
              </w:rPr>
              <w:t>，得10分</w:t>
            </w:r>
            <w:r>
              <w:rPr>
                <w:rFonts w:hint="eastAsia" w:ascii="宋体" w:hAnsi="宋体"/>
                <w:color w:val="auto"/>
                <w:highlight w:val="none"/>
              </w:rPr>
              <w:t>；</w:t>
            </w:r>
          </w:p>
          <w:p>
            <w:pPr>
              <w:spacing w:line="320" w:lineRule="exact"/>
              <w:rPr>
                <w:rFonts w:ascii="宋体" w:hAnsi="宋体"/>
                <w:color w:val="auto"/>
                <w:highlight w:val="none"/>
              </w:rPr>
            </w:pPr>
            <w:r>
              <w:rPr>
                <w:rFonts w:hint="eastAsia" w:ascii="宋体" w:hAnsi="宋体"/>
                <w:color w:val="auto"/>
                <w:highlight w:val="none"/>
              </w:rPr>
              <w:t>有总进度计划，有进度保障措施，</w:t>
            </w:r>
            <w:r>
              <w:rPr>
                <w:rFonts w:ascii="宋体" w:hAnsi="宋体"/>
                <w:color w:val="auto"/>
                <w:highlight w:val="none"/>
              </w:rPr>
              <w:t>得8分</w:t>
            </w:r>
            <w:r>
              <w:rPr>
                <w:rFonts w:hint="eastAsia" w:ascii="宋体" w:hAnsi="宋体"/>
                <w:color w:val="auto"/>
                <w:highlight w:val="none"/>
              </w:rPr>
              <w:t>；</w:t>
            </w:r>
          </w:p>
          <w:p>
            <w:pPr>
              <w:spacing w:line="320" w:lineRule="exact"/>
              <w:rPr>
                <w:rFonts w:ascii="宋体" w:hAnsi="宋体"/>
                <w:color w:val="auto"/>
                <w:highlight w:val="none"/>
              </w:rPr>
            </w:pPr>
            <w:r>
              <w:rPr>
                <w:rFonts w:hint="eastAsia" w:ascii="宋体" w:hAnsi="宋体"/>
                <w:color w:val="auto"/>
                <w:highlight w:val="none"/>
              </w:rPr>
              <w:t>有总进度计划，</w:t>
            </w:r>
            <w:r>
              <w:rPr>
                <w:rFonts w:ascii="宋体" w:hAnsi="宋体"/>
                <w:color w:val="auto"/>
                <w:highlight w:val="none"/>
              </w:rPr>
              <w:t>得6分</w:t>
            </w:r>
            <w:r>
              <w:rPr>
                <w:rFonts w:hint="eastAsia" w:ascii="宋体" w:hAnsi="宋体"/>
                <w:color w:val="auto"/>
                <w:highlight w:val="none"/>
              </w:rPr>
              <w:t>。</w:t>
            </w:r>
          </w:p>
          <w:p>
            <w:pPr>
              <w:spacing w:line="320" w:lineRule="exact"/>
              <w:rPr>
                <w:rFonts w:hint="eastAsia"/>
                <w:highlight w:val="none"/>
              </w:rPr>
            </w:pPr>
            <w:r>
              <w:rPr>
                <w:rFonts w:hint="eastAsia" w:ascii="宋体" w:hAnsi="宋体"/>
                <w:color w:val="auto"/>
                <w:highlight w:val="none"/>
              </w:rPr>
              <w:t>不满足上述要求者不得分</w:t>
            </w:r>
            <w:r>
              <w:rPr>
                <w:rFonts w:ascii="宋体" w:hAnsi="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8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bCs/>
                <w:snapToGrid w:val="0"/>
                <w:sz w:val="18"/>
                <w:szCs w:val="18"/>
                <w:highlight w:val="none"/>
              </w:rPr>
            </w:pPr>
            <w:r>
              <w:rPr>
                <w:rFonts w:hint="eastAsia" w:ascii="宋体" w:hAnsi="宋体" w:cs="宋体"/>
                <w:bCs/>
                <w:snapToGrid w:val="0"/>
                <w:sz w:val="18"/>
                <w:szCs w:val="18"/>
                <w:highlight w:val="none"/>
              </w:rPr>
              <w:t>2</w:t>
            </w:r>
            <w:r>
              <w:rPr>
                <w:rFonts w:ascii="宋体" w:hAnsi="宋体" w:cs="宋体"/>
                <w:bCs/>
                <w:snapToGrid w:val="0"/>
                <w:sz w:val="18"/>
                <w:szCs w:val="18"/>
                <w:highlight w:val="none"/>
              </w:rPr>
              <w:t>.5</w:t>
            </w:r>
          </w:p>
        </w:tc>
        <w:tc>
          <w:tcPr>
            <w:tcW w:w="1355"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ascii="宋体" w:hAnsi="宋体" w:cs="宋体"/>
                <w:bCs/>
                <w:snapToGrid w:val="0"/>
                <w:szCs w:val="21"/>
                <w:highlight w:val="none"/>
              </w:rPr>
            </w:pPr>
            <w:r>
              <w:rPr>
                <w:rFonts w:hint="eastAsia" w:ascii="宋体" w:hAnsi="宋体"/>
                <w:color w:val="auto"/>
                <w:highlight w:val="none"/>
              </w:rPr>
              <w:t>绿色节能控制措施</w:t>
            </w:r>
          </w:p>
        </w:tc>
        <w:tc>
          <w:tcPr>
            <w:tcW w:w="61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bCs/>
                <w:snapToGrid w:val="0"/>
                <w:szCs w:val="21"/>
                <w:highlight w:val="none"/>
              </w:rPr>
            </w:pPr>
            <w:r>
              <w:rPr>
                <w:rFonts w:hint="eastAsia" w:ascii="宋体" w:hAnsi="宋体" w:cs="宋体"/>
                <w:bCs/>
                <w:snapToGrid w:val="0"/>
                <w:sz w:val="18"/>
                <w:szCs w:val="18"/>
                <w:highlight w:val="none"/>
              </w:rPr>
              <w:t>10</w:t>
            </w:r>
          </w:p>
        </w:tc>
        <w:tc>
          <w:tcPr>
            <w:tcW w:w="11455" w:type="dxa"/>
            <w:tcBorders>
              <w:top w:val="single" w:color="auto" w:sz="4" w:space="0"/>
              <w:left w:val="nil"/>
              <w:bottom w:val="single" w:color="auto" w:sz="4" w:space="0"/>
              <w:right w:val="single" w:color="auto" w:sz="4" w:space="0"/>
            </w:tcBorders>
            <w:noWrap w:val="0"/>
            <w:vAlign w:val="center"/>
          </w:tcPr>
          <w:p>
            <w:pPr>
              <w:spacing w:line="320" w:lineRule="exact"/>
              <w:rPr>
                <w:rFonts w:ascii="宋体" w:hAnsi="宋体"/>
                <w:color w:val="auto"/>
                <w:highlight w:val="none"/>
              </w:rPr>
            </w:pPr>
            <w:r>
              <w:rPr>
                <w:rFonts w:hint="eastAsia" w:ascii="宋体" w:hAnsi="宋体"/>
                <w:color w:val="auto"/>
                <w:highlight w:val="none"/>
              </w:rPr>
              <w:t>有绿色节能控制措施，有在水资源利用、土地利用、材料消耗使用方面的控制措施，承诺使用绿色生产达标企业生产的混凝土，得</w:t>
            </w:r>
            <w:r>
              <w:rPr>
                <w:rFonts w:ascii="宋体" w:hAnsi="宋体"/>
                <w:color w:val="auto"/>
                <w:highlight w:val="none"/>
              </w:rPr>
              <w:t>10分；</w:t>
            </w:r>
          </w:p>
          <w:p>
            <w:pPr>
              <w:spacing w:line="320" w:lineRule="exact"/>
              <w:rPr>
                <w:rFonts w:ascii="宋体" w:hAnsi="宋体"/>
                <w:color w:val="auto"/>
                <w:highlight w:val="none"/>
              </w:rPr>
            </w:pPr>
            <w:r>
              <w:rPr>
                <w:rFonts w:hint="eastAsia" w:ascii="宋体" w:hAnsi="宋体"/>
                <w:color w:val="auto"/>
                <w:highlight w:val="none"/>
              </w:rPr>
              <w:t>有绿色节能控制措施，有在水资源利用、土地利用、材料消耗使用方面的控制措施，得8分；</w:t>
            </w:r>
          </w:p>
          <w:p>
            <w:pPr>
              <w:spacing w:line="320" w:lineRule="exact"/>
              <w:rPr>
                <w:rFonts w:ascii="宋体" w:hAnsi="宋体"/>
                <w:color w:val="auto"/>
                <w:highlight w:val="none"/>
              </w:rPr>
            </w:pPr>
            <w:r>
              <w:rPr>
                <w:rFonts w:hint="eastAsia" w:ascii="宋体" w:hAnsi="宋体"/>
                <w:color w:val="auto"/>
                <w:highlight w:val="none"/>
              </w:rPr>
              <w:t>有绿色节能控制措施，得6分。</w:t>
            </w:r>
          </w:p>
          <w:p>
            <w:pPr>
              <w:spacing w:line="320" w:lineRule="exact"/>
              <w:rPr>
                <w:rFonts w:hint="eastAsia"/>
                <w:highlight w:val="none"/>
              </w:rPr>
            </w:pPr>
            <w:r>
              <w:rPr>
                <w:rFonts w:hint="eastAsia" w:ascii="宋体" w:hAnsi="宋体"/>
                <w:color w:val="auto"/>
                <w:highlight w:val="none"/>
              </w:rPr>
              <w:t>不满足上述要求者不得分</w:t>
            </w:r>
            <w:r>
              <w:rPr>
                <w:rFonts w:ascii="宋体" w:hAnsi="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b/>
                <w:snapToGrid w:val="0"/>
                <w:sz w:val="18"/>
                <w:szCs w:val="18"/>
                <w:highlight w:val="none"/>
              </w:rPr>
            </w:pPr>
          </w:p>
        </w:tc>
        <w:tc>
          <w:tcPr>
            <w:tcW w:w="135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b/>
                <w:snapToGrid w:val="0"/>
                <w:sz w:val="18"/>
                <w:szCs w:val="18"/>
                <w:highlight w:val="none"/>
              </w:rPr>
            </w:pPr>
            <w:r>
              <w:rPr>
                <w:rFonts w:hint="eastAsia" w:ascii="宋体" w:hAnsi="宋体"/>
                <w:b/>
                <w:snapToGrid w:val="0"/>
                <w:sz w:val="18"/>
                <w:szCs w:val="18"/>
                <w:highlight w:val="none"/>
              </w:rPr>
              <w:t>合计</w:t>
            </w:r>
          </w:p>
        </w:tc>
        <w:tc>
          <w:tcPr>
            <w:tcW w:w="61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b/>
                <w:bCs/>
                <w:snapToGrid w:val="0"/>
                <w:sz w:val="18"/>
                <w:szCs w:val="18"/>
                <w:highlight w:val="none"/>
              </w:rPr>
            </w:pPr>
            <w:r>
              <w:rPr>
                <w:rFonts w:ascii="宋体" w:hAnsi="宋体" w:cs="宋体"/>
                <w:b/>
                <w:bCs/>
                <w:snapToGrid w:val="0"/>
                <w:sz w:val="18"/>
                <w:szCs w:val="18"/>
                <w:highlight w:val="none"/>
              </w:rPr>
              <w:t>100</w:t>
            </w:r>
          </w:p>
        </w:tc>
        <w:tc>
          <w:tcPr>
            <w:tcW w:w="1145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ascii="宋体" w:hAnsi="宋体" w:cs="宋体"/>
                <w:b/>
                <w:bCs/>
                <w:snapToGrid w:val="0"/>
                <w:sz w:val="18"/>
                <w:szCs w:val="18"/>
                <w:highlight w:val="none"/>
              </w:rPr>
            </w:pPr>
          </w:p>
        </w:tc>
      </w:tr>
    </w:tbl>
    <w:p>
      <w:pPr>
        <w:ind w:firstLine="210" w:firstLineChars="100"/>
        <w:rPr>
          <w:rFonts w:hint="eastAsia" w:ascii="宋体" w:hAnsi="宋体"/>
          <w:szCs w:val="21"/>
          <w:highlight w:val="none"/>
        </w:rPr>
      </w:pPr>
      <w:r>
        <w:rPr>
          <w:rFonts w:hint="eastAsia" w:ascii="宋体" w:hAnsi="宋体" w:cs="宋体"/>
          <w:b/>
          <w:szCs w:val="21"/>
          <w:highlight w:val="none"/>
        </w:rPr>
        <w:t>注：</w:t>
      </w:r>
      <w:r>
        <w:rPr>
          <w:rFonts w:hint="eastAsia" w:ascii="宋体" w:hAnsi="宋体" w:cs="宋体"/>
          <w:b w:val="0"/>
          <w:szCs w:val="21"/>
          <w:highlight w:val="none"/>
        </w:rPr>
        <w:t>1.</w:t>
      </w:r>
      <w:r>
        <w:rPr>
          <w:rFonts w:hint="eastAsia" w:ascii="宋体" w:hAnsi="宋体"/>
          <w:szCs w:val="21"/>
          <w:highlight w:val="none"/>
        </w:rPr>
        <w:t>设计业绩获奖（企业及人员获奖）：获奖是由住建部颁发的全国优秀工程勘察设计奖、中国勘察设计协会颁发的全国优秀工程勘察设计行业奖、省级（含副省级）建设行政主管部门或省级（含副省级）工程勘察设计行业协会颁发的省级（含副省级）优秀勘察设计奖、市级建设行政主管部门或市级工程勘察设计行业协会颁发的市级优秀勘察设计奖；由国务院或国家级行业协会（学会）颁发的国家科学技术奖、住建部的华夏建设科学技术奖励委员会颁发的华夏建设科学技术奖、省级（含副省级）人民政府或省级（含副省级）行业协会（学会）颁发的省级（含副省级）科学技术奖、市级人民政府或市级行业协会（学会）颁发的市级科学技术奖。需提供获奖证书扫描件，时间以获奖证书颁发时间为准；同一项目获奖按获奖的最高级别只计算一次，不重复计算。如颁奖单位为协会的，需提供证书发证机构在“中国社会组织公共服务平台”登记的网页查询截图。人员获奖的，证书上需体现人员名字，如无法体现的，需另提供建设单位确认的相关证明材料。不符合条件或无提供相关证明材料不计分。</w:t>
      </w:r>
    </w:p>
    <w:p>
      <w:pPr>
        <w:ind w:firstLine="420" w:firstLineChars="200"/>
        <w:rPr>
          <w:rFonts w:hint="eastAsia" w:ascii="宋体" w:hAnsi="宋体" w:cs="Calibri"/>
          <w:b w:val="0"/>
          <w:szCs w:val="21"/>
          <w:highlight w:val="none"/>
        </w:rPr>
      </w:pPr>
      <w:r>
        <w:rPr>
          <w:rFonts w:hint="eastAsia" w:ascii="宋体" w:hAnsi="宋体" w:cs="宋体"/>
          <w:b w:val="0"/>
          <w:szCs w:val="21"/>
          <w:highlight w:val="none"/>
        </w:rPr>
        <w:t>2.</w:t>
      </w:r>
      <w:r>
        <w:rPr>
          <w:rFonts w:hint="eastAsia" w:ascii="宋体" w:hAnsi="宋体"/>
          <w:szCs w:val="21"/>
          <w:highlight w:val="none"/>
        </w:rPr>
        <w:t>上表中拟投入人员岗位不得兼任，需同时</w:t>
      </w:r>
      <w:r>
        <w:rPr>
          <w:rFonts w:hint="eastAsia"/>
          <w:highlight w:val="none"/>
        </w:rPr>
        <w:t>提交</w:t>
      </w:r>
      <w:r>
        <w:rPr>
          <w:rFonts w:hint="eastAsia" w:ascii="宋体" w:hAnsi="宋体"/>
          <w:szCs w:val="21"/>
          <w:highlight w:val="none"/>
        </w:rPr>
        <w:t>职称证、注册证书、获奖证书等</w:t>
      </w:r>
      <w:r>
        <w:rPr>
          <w:rFonts w:hint="eastAsia"/>
          <w:highlight w:val="none"/>
        </w:rPr>
        <w:t>相关</w:t>
      </w:r>
      <w:r>
        <w:rPr>
          <w:rFonts w:hint="eastAsia" w:ascii="宋体" w:hAnsi="宋体"/>
          <w:szCs w:val="21"/>
          <w:highlight w:val="none"/>
        </w:rPr>
        <w:t>证明材料</w:t>
      </w:r>
      <w:r>
        <w:rPr>
          <w:rFonts w:hint="eastAsia"/>
          <w:highlight w:val="none"/>
        </w:rPr>
        <w:t>扫描件</w:t>
      </w:r>
      <w:r>
        <w:rPr>
          <w:rFonts w:hint="eastAsia" w:ascii="宋体" w:hAnsi="宋体"/>
          <w:szCs w:val="21"/>
          <w:highlight w:val="none"/>
        </w:rPr>
        <w:t>以及</w:t>
      </w:r>
      <w:r>
        <w:rPr>
          <w:rFonts w:hint="eastAsia"/>
          <w:highlight w:val="none"/>
        </w:rPr>
        <w:t>近一个月（2023年10月）或以上在本单位（不含投标人的子公司，含分公司及分支机构）购买社保的缴费记录。</w:t>
      </w:r>
      <w:r>
        <w:rPr>
          <w:rFonts w:hint="eastAsia" w:ascii="宋体" w:hAnsi="宋体" w:cs="Calibri"/>
          <w:b w:val="0"/>
          <w:szCs w:val="21"/>
          <w:highlight w:val="none"/>
        </w:rPr>
        <w:t>其中一级注册造价工程师执业资格须同时提供注册造价工程师注册信息查询网站（http://zaojiasys.jianshe99.com/cecaopsys/queryAndSearch/view.do?op=queryUserInfoInit）查询结果网页截图；注册安全工程师执业资格须同时提供中华人民共和国应急管理部网站（https://zwfw.mem.gov.cn/zwthlw/pages/hlwmh/yyfw/zcaqgcscx/index.html）查询结果网页截图。</w:t>
      </w:r>
      <w:r>
        <w:rPr>
          <w:rFonts w:hint="eastAsia"/>
          <w:szCs w:val="21"/>
          <w:highlight w:val="none"/>
        </w:rPr>
        <w:t>根据原人事部、原建设部发布的《造价工程师执业资格制度暂行规定》（人发〔1996〕77号）取得的造价工程师执业资格，并经注册且在有限期内的，等同于一级注册造价工程师。上述注册类人员包括在广东省住房和城乡建设主管部门备案且备案的业务范围符合上述注册人员要求的香港专业人士。不符合上述条件或未按要求提供上述资料的不得分。</w:t>
      </w:r>
    </w:p>
    <w:p>
      <w:pPr>
        <w:ind w:firstLine="210" w:firstLineChars="100"/>
        <w:rPr>
          <w:rFonts w:hint="eastAsia" w:ascii="宋体" w:hAnsi="宋体"/>
          <w:b/>
          <w:szCs w:val="21"/>
          <w:highlight w:val="none"/>
        </w:rPr>
      </w:pPr>
      <w:r>
        <w:rPr>
          <w:rFonts w:hint="eastAsia" w:ascii="宋体" w:hAnsi="宋体"/>
          <w:b/>
          <w:szCs w:val="21"/>
          <w:highlight w:val="none"/>
        </w:rPr>
        <w:t>评委签名：                                                                                         日期：</w:t>
      </w:r>
    </w:p>
    <w:p>
      <w:pPr>
        <w:pStyle w:val="11"/>
        <w:rPr>
          <w:rFonts w:hint="eastAsia" w:ascii="宋体" w:hAnsi="宋体"/>
          <w:b/>
          <w:szCs w:val="21"/>
          <w:highlight w:val="none"/>
        </w:rPr>
      </w:pPr>
    </w:p>
    <w:p>
      <w:pPr>
        <w:pStyle w:val="11"/>
        <w:rPr>
          <w:rFonts w:hint="eastAsia" w:ascii="宋体" w:hAnsi="宋体"/>
          <w:b/>
          <w:szCs w:val="21"/>
          <w:highlight w:val="none"/>
        </w:rPr>
      </w:pPr>
    </w:p>
    <w:p>
      <w:pPr>
        <w:pStyle w:val="11"/>
        <w:rPr>
          <w:rFonts w:hint="eastAsia" w:ascii="宋体" w:hAnsi="宋体"/>
          <w:b/>
          <w:szCs w:val="21"/>
          <w:highlight w:val="none"/>
        </w:rPr>
      </w:pPr>
    </w:p>
    <w:p>
      <w:pPr>
        <w:pStyle w:val="11"/>
        <w:rPr>
          <w:rFonts w:hint="eastAsia" w:ascii="宋体" w:hAnsi="宋体"/>
          <w:b/>
          <w:szCs w:val="21"/>
          <w:highlight w:val="none"/>
        </w:rPr>
      </w:pPr>
    </w:p>
    <w:p>
      <w:pPr>
        <w:pStyle w:val="11"/>
        <w:rPr>
          <w:rFonts w:hint="eastAsia" w:ascii="宋体" w:hAnsi="宋体"/>
          <w:b/>
          <w:szCs w:val="21"/>
          <w:highlight w:val="none"/>
        </w:rPr>
      </w:pPr>
    </w:p>
    <w:p>
      <w:pPr>
        <w:jc w:val="center"/>
        <w:rPr>
          <w:color w:val="auto"/>
          <w:highlight w:val="none"/>
        </w:rPr>
      </w:pPr>
    </w:p>
    <w:p>
      <w:pPr>
        <w:tabs>
          <w:tab w:val="left" w:pos="1526"/>
        </w:tabs>
        <w:adjustRightInd w:val="0"/>
        <w:snapToGrid w:val="0"/>
        <w:spacing w:before="78" w:beforeLines="25" w:line="240" w:lineRule="exact"/>
        <w:ind w:right="-50" w:rightChars="-24" w:firstLine="420" w:firstLineChars="200"/>
        <w:jc w:val="left"/>
        <w:rPr>
          <w:rFonts w:hint="eastAsia" w:ascii="宋体" w:hAnsi="宋体" w:cs="宋体"/>
          <w:b/>
          <w:szCs w:val="21"/>
          <w:highlight w:val="none"/>
        </w:rPr>
        <w:sectPr>
          <w:headerReference r:id="rId8" w:type="default"/>
          <w:footerReference r:id="rId9" w:type="default"/>
          <w:footerReference r:id="rId10" w:type="even"/>
          <w:pgSz w:w="16838" w:h="11906" w:orient="landscape"/>
          <w:pgMar w:top="851" w:right="1440" w:bottom="1134" w:left="1440" w:header="568" w:footer="647" w:gutter="0"/>
          <w:cols w:space="720" w:num="1"/>
          <w:docGrid w:type="linesAndChars" w:linePitch="312" w:charSpace="0"/>
        </w:sectPr>
      </w:pPr>
    </w:p>
    <w:p>
      <w:pPr>
        <w:rPr>
          <w:color w:val="auto"/>
          <w:highlight w:val="none"/>
        </w:rPr>
      </w:pPr>
    </w:p>
    <w:p>
      <w:pPr>
        <w:pStyle w:val="2"/>
        <w:spacing w:line="360" w:lineRule="auto"/>
        <w:jc w:val="center"/>
        <w:rPr>
          <w:rFonts w:ascii="宋体" w:hAnsi="宋体" w:cs="宋体"/>
          <w:color w:val="auto"/>
          <w:kern w:val="1"/>
          <w:highlight w:val="none"/>
        </w:rPr>
      </w:pPr>
      <w:r>
        <w:rPr>
          <w:rFonts w:hint="eastAsia" w:ascii="宋体" w:hAnsi="宋体" w:cs="宋体"/>
          <w:color w:val="auto"/>
          <w:kern w:val="1"/>
          <w:highlight w:val="none"/>
        </w:rPr>
        <w:t>第四章 合同条款及格式</w:t>
      </w:r>
      <w:bookmarkEnd w:id="456"/>
      <w:bookmarkEnd w:id="457"/>
    </w:p>
    <w:p>
      <w:pPr>
        <w:spacing w:line="360" w:lineRule="auto"/>
        <w:jc w:val="center"/>
        <w:rPr>
          <w:rFonts w:ascii="宋体" w:hAnsi="宋体" w:cs="宋体"/>
          <w:b/>
          <w:color w:val="auto"/>
          <w:kern w:val="1"/>
          <w:sz w:val="24"/>
          <w:highlight w:val="none"/>
        </w:rPr>
      </w:pPr>
      <w:r>
        <w:rPr>
          <w:rFonts w:hint="eastAsia" w:ascii="宋体" w:hAnsi="宋体" w:cs="宋体"/>
          <w:b/>
          <w:color w:val="auto"/>
          <w:kern w:val="1"/>
          <w:sz w:val="24"/>
          <w:highlight w:val="none"/>
        </w:rPr>
        <w:t xml:space="preserve">      (另册)</w:t>
      </w:r>
    </w:p>
    <w:p>
      <w:pPr>
        <w:pStyle w:val="10"/>
        <w:spacing w:line="360" w:lineRule="auto"/>
        <w:rPr>
          <w:rFonts w:cs="宋体"/>
          <w:b/>
          <w:color w:val="auto"/>
          <w:kern w:val="1"/>
          <w:sz w:val="28"/>
          <w:szCs w:val="28"/>
          <w:highlight w:val="none"/>
        </w:rPr>
      </w:pPr>
      <w:r>
        <w:rPr>
          <w:rFonts w:cs="宋体"/>
          <w:b/>
          <w:color w:val="auto"/>
          <w:kern w:val="1"/>
          <w:sz w:val="28"/>
          <w:szCs w:val="28"/>
          <w:highlight w:val="none"/>
        </w:rPr>
        <w:br w:type="page"/>
      </w:r>
    </w:p>
    <w:p>
      <w:pPr>
        <w:pStyle w:val="2"/>
        <w:spacing w:line="360" w:lineRule="auto"/>
        <w:jc w:val="center"/>
        <w:rPr>
          <w:rFonts w:hint="eastAsia"/>
          <w:color w:val="auto"/>
          <w:highlight w:val="none"/>
        </w:rPr>
      </w:pPr>
      <w:bookmarkStart w:id="458" w:name="_Toc16641"/>
      <w:r>
        <w:rPr>
          <w:rFonts w:hint="eastAsia"/>
          <w:color w:val="auto"/>
          <w:highlight w:val="none"/>
        </w:rPr>
        <w:t>第五章 发包人要求</w:t>
      </w:r>
      <w:bookmarkEnd w:id="458"/>
    </w:p>
    <w:p>
      <w:pPr>
        <w:pStyle w:val="2"/>
        <w:spacing w:line="360" w:lineRule="auto"/>
        <w:jc w:val="center"/>
        <w:rPr>
          <w:color w:val="auto"/>
          <w:highlight w:val="none"/>
        </w:rPr>
      </w:pPr>
      <w:r>
        <w:rPr>
          <w:rFonts w:hint="eastAsia"/>
          <w:color w:val="auto"/>
          <w:highlight w:val="none"/>
        </w:rPr>
        <w:t>（另册）</w:t>
      </w:r>
    </w:p>
    <w:p>
      <w:pPr>
        <w:spacing w:line="400" w:lineRule="exact"/>
        <w:rPr>
          <w:color w:val="auto"/>
          <w:highlight w:val="none"/>
        </w:rPr>
      </w:pPr>
      <w:bookmarkStart w:id="459" w:name="_Toc3467"/>
      <w:bookmarkStart w:id="460" w:name="_Toc5620360"/>
    </w:p>
    <w:p>
      <w:pPr>
        <w:pStyle w:val="15"/>
        <w:rPr>
          <w:color w:val="auto"/>
          <w:highlight w:val="none"/>
        </w:rPr>
      </w:pPr>
    </w:p>
    <w:p>
      <w:pPr>
        <w:pStyle w:val="15"/>
        <w:rPr>
          <w:color w:val="auto"/>
          <w:highlight w:val="none"/>
        </w:rPr>
      </w:pPr>
      <w:bookmarkStart w:id="478" w:name="_GoBack"/>
      <w:bookmarkEnd w:id="478"/>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2"/>
        <w:spacing w:line="360" w:lineRule="auto"/>
        <w:jc w:val="center"/>
        <w:rPr>
          <w:color w:val="auto"/>
          <w:highlight w:val="none"/>
        </w:rPr>
      </w:pPr>
      <w:r>
        <w:rPr>
          <w:rFonts w:hint="eastAsia"/>
          <w:color w:val="auto"/>
          <w:highlight w:val="none"/>
        </w:rPr>
        <w:t>第六章 发包人提供的资料</w:t>
      </w:r>
      <w:bookmarkEnd w:id="459"/>
      <w:bookmarkEnd w:id="460"/>
    </w:p>
    <w:p>
      <w:pPr>
        <w:pStyle w:val="10"/>
        <w:jc w:val="center"/>
        <w:rPr>
          <w:color w:val="auto"/>
          <w:sz w:val="30"/>
          <w:szCs w:val="30"/>
          <w:highlight w:val="none"/>
          <w:lang w:val="en-US"/>
        </w:rPr>
      </w:pPr>
      <w:bookmarkStart w:id="461" w:name="_Toc439240671"/>
      <w:bookmarkEnd w:id="461"/>
      <w:bookmarkStart w:id="462" w:name="_Toc436834201"/>
      <w:bookmarkEnd w:id="462"/>
      <w:bookmarkStart w:id="463" w:name="_Toc439246070"/>
      <w:bookmarkEnd w:id="463"/>
      <w:bookmarkStart w:id="464" w:name="_Toc436834794"/>
      <w:bookmarkEnd w:id="464"/>
      <w:r>
        <w:rPr>
          <w:rFonts w:hint="eastAsia" w:cs="宋体"/>
          <w:color w:val="auto"/>
          <w:kern w:val="1"/>
          <w:sz w:val="30"/>
          <w:szCs w:val="30"/>
          <w:highlight w:val="none"/>
          <w:lang w:val="en-US"/>
        </w:rPr>
        <w:t>详见第五章发包人要求</w:t>
      </w:r>
    </w:p>
    <w:p>
      <w:pPr>
        <w:spacing w:line="360" w:lineRule="auto"/>
        <w:jc w:val="center"/>
        <w:rPr>
          <w:rFonts w:ascii="宋体" w:hAnsi="宋体" w:cs="宋体"/>
          <w:color w:val="auto"/>
          <w:kern w:val="1"/>
          <w:sz w:val="24"/>
          <w:szCs w:val="28"/>
          <w:highlight w:val="none"/>
        </w:rPr>
      </w:pPr>
      <w:r>
        <w:rPr>
          <w:rFonts w:ascii="宋体" w:hAnsi="宋体" w:cs="宋体"/>
          <w:color w:val="auto"/>
          <w:kern w:val="1"/>
          <w:sz w:val="36"/>
          <w:szCs w:val="36"/>
          <w:highlight w:val="none"/>
        </w:rPr>
        <w:br w:type="page"/>
      </w:r>
    </w:p>
    <w:p>
      <w:pPr>
        <w:pStyle w:val="2"/>
        <w:spacing w:line="360" w:lineRule="auto"/>
        <w:jc w:val="center"/>
        <w:rPr>
          <w:color w:val="auto"/>
          <w:highlight w:val="none"/>
        </w:rPr>
      </w:pPr>
      <w:bookmarkStart w:id="465" w:name="_Toc16136"/>
      <w:bookmarkEnd w:id="465"/>
      <w:bookmarkStart w:id="466" w:name="_Toc18390"/>
      <w:bookmarkStart w:id="467" w:name="_Toc5620362"/>
      <w:r>
        <w:rPr>
          <w:rFonts w:hint="eastAsia"/>
          <w:color w:val="auto"/>
          <w:highlight w:val="none"/>
        </w:rPr>
        <w:t>第七章 投标文件格式</w:t>
      </w:r>
      <w:bookmarkEnd w:id="466"/>
      <w:bookmarkEnd w:id="467"/>
    </w:p>
    <w:p>
      <w:pPr>
        <w:widowControl/>
        <w:adjustRightInd w:val="0"/>
        <w:snapToGrid w:val="0"/>
        <w:spacing w:line="360" w:lineRule="auto"/>
        <w:ind w:right="102"/>
        <w:jc w:val="center"/>
        <w:rPr>
          <w:color w:val="auto"/>
          <w:highlight w:val="none"/>
        </w:rPr>
      </w:pPr>
      <w:r>
        <w:rPr>
          <w:rFonts w:ascii="宋体" w:hAnsi="宋体" w:cs="宋体"/>
          <w:color w:val="auto"/>
          <w:kern w:val="1"/>
          <w:sz w:val="20"/>
          <w:szCs w:val="20"/>
          <w:highlight w:val="none"/>
          <w:lang w:val="zh-CN"/>
        </w:rPr>
        <w:br w:type="page"/>
      </w:r>
      <w:r>
        <w:rPr>
          <w:color w:val="auto"/>
          <w:highlight w:val="none"/>
        </w:rPr>
        <w:t xml:space="preserve"> </w:t>
      </w:r>
    </w:p>
    <w:p>
      <w:pPr>
        <w:pStyle w:val="10"/>
        <w:spacing w:line="360" w:lineRule="auto"/>
        <w:rPr>
          <w:rFonts w:hint="eastAsia"/>
          <w:b/>
          <w:bCs/>
          <w:color w:val="auto"/>
          <w:highlight w:val="none"/>
          <w:lang w:val="en-US"/>
        </w:rPr>
      </w:pPr>
      <w:r>
        <w:rPr>
          <w:rFonts w:hint="eastAsia"/>
          <w:b/>
          <w:bCs/>
          <w:color w:val="auto"/>
          <w:highlight w:val="none"/>
        </w:rPr>
        <w:t>格式1</w:t>
      </w:r>
      <w:r>
        <w:rPr>
          <w:b/>
          <w:bCs/>
          <w:color w:val="auto"/>
          <w:highlight w:val="none"/>
        </w:rPr>
        <w:t xml:space="preserve"> </w:t>
      </w:r>
      <w:r>
        <w:rPr>
          <w:rFonts w:hint="eastAsia"/>
          <w:b/>
          <w:bCs/>
          <w:color w:val="auto"/>
          <w:highlight w:val="none"/>
        </w:rPr>
        <w:t>封面</w:t>
      </w:r>
      <w:r>
        <w:rPr>
          <w:rFonts w:hint="eastAsia"/>
          <w:b/>
          <w:bCs/>
          <w:color w:val="auto"/>
          <w:highlight w:val="none"/>
          <w:lang w:val="en-US"/>
        </w:rPr>
        <w:t xml:space="preserve"> （封面可以用系统生成的格式，也可以用提供的格式）</w:t>
      </w:r>
    </w:p>
    <w:p>
      <w:pPr>
        <w:spacing w:line="440" w:lineRule="exact"/>
        <w:rPr>
          <w:rFonts w:eastAsia="黑体"/>
          <w:color w:val="auto"/>
          <w:sz w:val="20"/>
          <w:szCs w:val="20"/>
          <w:highlight w:val="none"/>
        </w:rPr>
      </w:pPr>
    </w:p>
    <w:p>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（项目名称）</w:t>
      </w:r>
    </w:p>
    <w:p>
      <w:pPr>
        <w:rPr>
          <w:rFonts w:eastAsia="黑体"/>
          <w:color w:val="auto"/>
          <w:sz w:val="20"/>
          <w:szCs w:val="20"/>
          <w:highlight w:val="none"/>
        </w:rPr>
      </w:pPr>
    </w:p>
    <w:p>
      <w:pPr>
        <w:rPr>
          <w:rFonts w:eastAsia="黑体"/>
          <w:color w:val="auto"/>
          <w:sz w:val="20"/>
          <w:szCs w:val="20"/>
          <w:highlight w:val="none"/>
        </w:rPr>
      </w:pPr>
    </w:p>
    <w:p>
      <w:pPr>
        <w:jc w:val="center"/>
        <w:rPr>
          <w:rFonts w:eastAsia="黑体"/>
          <w:color w:val="auto"/>
          <w:sz w:val="44"/>
          <w:szCs w:val="44"/>
          <w:highlight w:val="none"/>
        </w:rPr>
      </w:pPr>
    </w:p>
    <w:p>
      <w:pPr>
        <w:jc w:val="center"/>
        <w:rPr>
          <w:rFonts w:eastAsia="黑体"/>
          <w:color w:val="auto"/>
          <w:sz w:val="44"/>
          <w:szCs w:val="44"/>
          <w:highlight w:val="none"/>
        </w:rPr>
      </w:pPr>
    </w:p>
    <w:p>
      <w:pPr>
        <w:jc w:val="center"/>
        <w:rPr>
          <w:rFonts w:eastAsia="黑体"/>
          <w:color w:val="auto"/>
          <w:sz w:val="44"/>
          <w:szCs w:val="44"/>
          <w:highlight w:val="none"/>
        </w:rPr>
      </w:pPr>
    </w:p>
    <w:p>
      <w:pPr>
        <w:jc w:val="center"/>
        <w:rPr>
          <w:rFonts w:eastAsia="黑体"/>
          <w:color w:val="auto"/>
          <w:sz w:val="44"/>
          <w:szCs w:val="44"/>
          <w:highlight w:val="none"/>
        </w:rPr>
      </w:pPr>
    </w:p>
    <w:p>
      <w:pPr>
        <w:jc w:val="center"/>
        <w:rPr>
          <w:rFonts w:eastAsia="黑体"/>
          <w:color w:val="auto"/>
          <w:sz w:val="44"/>
          <w:szCs w:val="44"/>
          <w:highlight w:val="none"/>
        </w:rPr>
      </w:pPr>
    </w:p>
    <w:p>
      <w:pPr>
        <w:jc w:val="center"/>
        <w:rPr>
          <w:rFonts w:eastAsia="黑体"/>
          <w:color w:val="auto"/>
          <w:sz w:val="44"/>
          <w:szCs w:val="44"/>
          <w:highlight w:val="none"/>
        </w:rPr>
      </w:pPr>
    </w:p>
    <w:p>
      <w:pPr>
        <w:jc w:val="center"/>
        <w:rPr>
          <w:rFonts w:eastAsia="黑体"/>
          <w:color w:val="auto"/>
          <w:sz w:val="44"/>
          <w:szCs w:val="44"/>
          <w:highlight w:val="none"/>
        </w:rPr>
      </w:pPr>
      <w:r>
        <w:rPr>
          <w:rFonts w:eastAsia="黑体"/>
          <w:color w:val="auto"/>
          <w:sz w:val="44"/>
          <w:szCs w:val="44"/>
          <w:highlight w:val="none"/>
        </w:rPr>
        <w:t>投  标  文  件</w:t>
      </w: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jc w:val="center"/>
        <w:rPr>
          <w:rFonts w:eastAsia="黑体"/>
          <w:color w:val="auto"/>
          <w:sz w:val="28"/>
          <w:szCs w:val="28"/>
          <w:highlight w:val="none"/>
          <w:u w:val="singl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（盖单位章）</w:t>
      </w:r>
    </w:p>
    <w:p>
      <w:pPr>
        <w:jc w:val="center"/>
        <w:rPr>
          <w:rFonts w:eastAsia="黑体"/>
          <w:color w:val="auto"/>
          <w:sz w:val="28"/>
          <w:szCs w:val="28"/>
          <w:highlight w:val="none"/>
        </w:rPr>
      </w:pPr>
      <w:r>
        <w:rPr>
          <w:rFonts w:eastAsia="黑体"/>
          <w:color w:val="auto"/>
          <w:sz w:val="28"/>
          <w:szCs w:val="28"/>
          <w:highlight w:val="none"/>
        </w:rPr>
        <w:t>法定代表人或其委托代理人：</w:t>
      </w:r>
      <w:r>
        <w:rPr>
          <w:rFonts w:eastAsia="黑体"/>
          <w:color w:val="auto"/>
          <w:sz w:val="28"/>
          <w:szCs w:val="28"/>
          <w:highlight w:val="none"/>
          <w:u w:val="single"/>
        </w:rPr>
        <w:t xml:space="preserve">                </w:t>
      </w:r>
      <w:r>
        <w:rPr>
          <w:rFonts w:eastAsia="黑体"/>
          <w:color w:val="auto"/>
          <w:sz w:val="28"/>
          <w:szCs w:val="28"/>
          <w:highlight w:val="none"/>
        </w:rPr>
        <w:t>（签字）</w:t>
      </w:r>
    </w:p>
    <w:p>
      <w:pPr>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pPr>
        <w:spacing w:line="440" w:lineRule="exact"/>
        <w:rPr>
          <w:rFonts w:eastAsia="黑体"/>
          <w:color w:val="auto"/>
          <w:sz w:val="20"/>
          <w:szCs w:val="20"/>
          <w:highlight w:val="none"/>
        </w:rPr>
      </w:pPr>
    </w:p>
    <w:p>
      <w:pPr>
        <w:spacing w:line="400" w:lineRule="exact"/>
        <w:rPr>
          <w:color w:val="auto"/>
          <w:highlight w:val="none"/>
        </w:rPr>
      </w:pPr>
      <w:r>
        <w:rPr>
          <w:color w:val="auto"/>
          <w:highlight w:val="none"/>
        </w:rPr>
        <w:br w:type="page"/>
      </w:r>
    </w:p>
    <w:p>
      <w:pPr>
        <w:spacing w:line="400" w:lineRule="exact"/>
        <w:rPr>
          <w:color w:val="auto"/>
          <w:highlight w:val="none"/>
        </w:rPr>
      </w:pPr>
      <w:bookmarkStart w:id="468" w:name="_Toc144974856"/>
      <w:bookmarkStart w:id="469" w:name="_Toc247514246"/>
      <w:bookmarkStart w:id="470" w:name="_Toc25935"/>
      <w:bookmarkStart w:id="471" w:name="_Toc22244"/>
      <w:bookmarkStart w:id="472" w:name="_Toc152045787"/>
      <w:bookmarkStart w:id="473" w:name="_Toc247527827"/>
      <w:bookmarkStart w:id="474" w:name="_Toc152042576"/>
      <w:r>
        <w:rPr>
          <w:rFonts w:hint="eastAsia"/>
          <w:color w:val="auto"/>
          <w:highlight w:val="none"/>
        </w:rPr>
        <w:t>目    录</w:t>
      </w:r>
      <w:bookmarkEnd w:id="468"/>
      <w:bookmarkEnd w:id="469"/>
      <w:bookmarkEnd w:id="470"/>
      <w:bookmarkEnd w:id="471"/>
      <w:bookmarkEnd w:id="472"/>
      <w:bookmarkEnd w:id="473"/>
      <w:bookmarkEnd w:id="474"/>
    </w:p>
    <w:p>
      <w:pPr>
        <w:spacing w:line="400" w:lineRule="exact"/>
        <w:rPr>
          <w:color w:val="auto"/>
          <w:highlight w:val="none"/>
        </w:rPr>
      </w:pPr>
      <w:r>
        <w:rPr>
          <w:rFonts w:hint="eastAsia"/>
          <w:color w:val="auto"/>
          <w:highlight w:val="none"/>
        </w:rPr>
        <w:t>第一部分、资格审查文件</w:t>
      </w:r>
    </w:p>
    <w:p>
      <w:pPr>
        <w:spacing w:line="400" w:lineRule="exact"/>
        <w:rPr>
          <w:color w:val="auto"/>
          <w:highlight w:val="none"/>
        </w:rPr>
      </w:pPr>
      <w:r>
        <w:rPr>
          <w:rFonts w:hint="eastAsia"/>
          <w:color w:val="auto"/>
          <w:highlight w:val="none"/>
        </w:rPr>
        <w:t>第二部分、设计方案</w:t>
      </w:r>
    </w:p>
    <w:p>
      <w:pPr>
        <w:spacing w:line="400" w:lineRule="exact"/>
        <w:rPr>
          <w:color w:val="auto"/>
          <w:highlight w:val="none"/>
        </w:rPr>
      </w:pPr>
      <w:r>
        <w:rPr>
          <w:rFonts w:hint="eastAsia"/>
          <w:color w:val="auto"/>
          <w:highlight w:val="none"/>
        </w:rPr>
        <w:t>第三部分、工程总承包实施方案（含投标报价）</w:t>
      </w:r>
    </w:p>
    <w:p>
      <w:pPr>
        <w:spacing w:line="540" w:lineRule="exact"/>
        <w:rPr>
          <w:color w:val="auto"/>
          <w:highlight w:val="none"/>
        </w:rPr>
      </w:pPr>
      <w:r>
        <w:rPr>
          <w:rFonts w:hint="eastAsia"/>
          <w:color w:val="auto"/>
          <w:highlight w:val="none"/>
        </w:rPr>
        <w:br w:type="page"/>
      </w:r>
    </w:p>
    <w:p>
      <w:pPr>
        <w:pStyle w:val="10"/>
        <w:spacing w:line="360" w:lineRule="auto"/>
        <w:rPr>
          <w:b/>
          <w:bCs/>
          <w:color w:val="auto"/>
          <w:highlight w:val="none"/>
        </w:rPr>
      </w:pPr>
      <w:r>
        <w:rPr>
          <w:rFonts w:hint="eastAsia"/>
          <w:b/>
          <w:bCs/>
          <w:color w:val="auto"/>
          <w:highlight w:val="none"/>
        </w:rPr>
        <w:t>格式2</w:t>
      </w:r>
      <w:r>
        <w:rPr>
          <w:b/>
          <w:bCs/>
          <w:color w:val="auto"/>
          <w:highlight w:val="none"/>
        </w:rPr>
        <w:t xml:space="preserve"> </w:t>
      </w:r>
      <w:r>
        <w:rPr>
          <w:rFonts w:hint="eastAsia"/>
          <w:b/>
          <w:bCs/>
          <w:color w:val="auto"/>
          <w:highlight w:val="none"/>
        </w:rPr>
        <w:t>投标书</w:t>
      </w:r>
    </w:p>
    <w:p>
      <w:pPr>
        <w:autoSpaceDE w:val="0"/>
        <w:autoSpaceDN w:val="0"/>
        <w:adjustRightInd w:val="0"/>
        <w:spacing w:line="360" w:lineRule="auto"/>
        <w:jc w:val="center"/>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投标书</w:t>
      </w:r>
    </w:p>
    <w:p>
      <w:pPr>
        <w:spacing w:line="360" w:lineRule="auto"/>
        <w:rPr>
          <w:rFonts w:ascii="宋体" w:hAnsi="宋体"/>
          <w:color w:val="auto"/>
          <w:highlight w:val="none"/>
        </w:rPr>
      </w:pPr>
    </w:p>
    <w:tbl>
      <w:tblPr>
        <w:tblStyle w:val="17"/>
        <w:tblW w:w="9275" w:type="dxa"/>
        <w:tblInd w:w="0" w:type="dxa"/>
        <w:tblLayout w:type="fixed"/>
        <w:tblCellMar>
          <w:top w:w="0" w:type="dxa"/>
          <w:left w:w="108" w:type="dxa"/>
          <w:bottom w:w="0" w:type="dxa"/>
          <w:right w:w="108" w:type="dxa"/>
        </w:tblCellMar>
      </w:tblPr>
      <w:tblGrid>
        <w:gridCol w:w="3048"/>
        <w:gridCol w:w="2294"/>
        <w:gridCol w:w="1571"/>
        <w:gridCol w:w="2362"/>
      </w:tblGrid>
      <w:tr>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工 程 名 称</w:t>
            </w:r>
          </w:p>
        </w:tc>
        <w:tc>
          <w:tcPr>
            <w:tcW w:w="62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b/>
                <w:color w:val="auto"/>
                <w:kern w:val="1"/>
                <w:sz w:val="24"/>
                <w:highlight w:val="none"/>
                <w:lang w:val="zh-CN"/>
              </w:rPr>
            </w:pPr>
          </w:p>
        </w:tc>
      </w:tr>
      <w:tr>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投 标 总 工 期</w:t>
            </w:r>
          </w:p>
        </w:tc>
        <w:tc>
          <w:tcPr>
            <w:tcW w:w="62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236" w:hanging="236"/>
              <w:rPr>
                <w:rFonts w:ascii="宋体" w:hAnsi="宋体" w:cs="宋体"/>
                <w:b/>
                <w:color w:val="auto"/>
                <w:kern w:val="1"/>
                <w:sz w:val="24"/>
                <w:highlight w:val="none"/>
                <w:lang w:val="zh-CN"/>
              </w:rPr>
            </w:pPr>
          </w:p>
        </w:tc>
      </w:tr>
      <w:tr>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color w:val="auto"/>
                <w:kern w:val="1"/>
                <w:sz w:val="24"/>
                <w:highlight w:val="none"/>
                <w:lang w:val="zh-CN"/>
              </w:rPr>
            </w:pPr>
            <w:r>
              <w:rPr>
                <w:rFonts w:hint="eastAsia" w:ascii="宋体" w:hAnsi="宋体" w:cs="宋体"/>
                <w:b/>
                <w:bCs/>
                <w:color w:val="auto"/>
                <w:kern w:val="1"/>
                <w:sz w:val="24"/>
                <w:highlight w:val="none"/>
                <w:lang w:val="zh-CN"/>
              </w:rPr>
              <w:t>质量标准</w:t>
            </w:r>
          </w:p>
        </w:tc>
        <w:tc>
          <w:tcPr>
            <w:tcW w:w="62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color w:val="auto"/>
                <w:kern w:val="1"/>
                <w:sz w:val="24"/>
                <w:highlight w:val="none"/>
                <w:lang w:val="zh-CN"/>
              </w:rPr>
            </w:pPr>
          </w:p>
        </w:tc>
      </w:tr>
      <w:tr>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保修期限</w:t>
            </w:r>
          </w:p>
        </w:tc>
        <w:tc>
          <w:tcPr>
            <w:tcW w:w="62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color w:val="auto"/>
                <w:kern w:val="1"/>
                <w:sz w:val="24"/>
                <w:highlight w:val="none"/>
                <w:lang w:val="zh-CN"/>
              </w:rPr>
            </w:pPr>
          </w:p>
        </w:tc>
      </w:tr>
      <w:tr>
        <w:tblPrEx>
          <w:tblCellMar>
            <w:top w:w="0" w:type="dxa"/>
            <w:left w:w="108" w:type="dxa"/>
            <w:bottom w:w="0" w:type="dxa"/>
            <w:right w:w="108" w:type="dxa"/>
          </w:tblCellMar>
        </w:tblPrEx>
        <w:trPr>
          <w:trHeight w:val="680" w:hRule="atLeast"/>
        </w:trPr>
        <w:tc>
          <w:tcPr>
            <w:tcW w:w="3048" w:type="dxa"/>
            <w:vMerge w:val="restart"/>
            <w:tcBorders>
              <w:top w:val="single" w:color="000000" w:sz="4" w:space="0"/>
              <w:left w:val="single" w:color="000000" w:sz="4" w:space="0"/>
              <w:right w:val="single" w:color="000000" w:sz="4" w:space="0"/>
            </w:tcBorders>
            <w:noWrap w:val="0"/>
            <w:vAlign w:val="center"/>
          </w:tcPr>
          <w:p>
            <w:pPr>
              <w:spacing w:line="360" w:lineRule="auto"/>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投标总报价（含税）</w:t>
            </w:r>
          </w:p>
          <w:p>
            <w:pPr>
              <w:spacing w:line="360" w:lineRule="auto"/>
              <w:jc w:val="center"/>
              <w:rPr>
                <w:rFonts w:ascii="宋体" w:hAnsi="宋体" w:cs="宋体"/>
                <w:b/>
                <w:color w:val="auto"/>
                <w:kern w:val="1"/>
                <w:sz w:val="24"/>
                <w:highlight w:val="none"/>
                <w:lang w:val="zh-CN"/>
              </w:rPr>
            </w:pPr>
            <w:r>
              <w:rPr>
                <w:rFonts w:hint="eastAsia" w:ascii="宋体" w:hAnsi="宋体" w:cs="宋体"/>
                <w:b/>
                <w:color w:val="auto"/>
                <w:sz w:val="24"/>
                <w:szCs w:val="24"/>
                <w:highlight w:val="none"/>
                <w:lang w:val="zh-CN"/>
              </w:rPr>
              <w:t>（</w:t>
            </w:r>
            <w:r>
              <w:rPr>
                <w:rFonts w:hint="eastAsia" w:ascii="宋体" w:hAnsi="宋体" w:cs="宋体"/>
                <w:b/>
                <w:color w:val="auto"/>
                <w:sz w:val="24"/>
                <w:szCs w:val="24"/>
                <w:highlight w:val="none"/>
              </w:rPr>
              <w:t>单位：元</w:t>
            </w:r>
            <w:r>
              <w:rPr>
                <w:rFonts w:hint="eastAsia" w:ascii="宋体" w:hAnsi="宋体" w:cs="宋体"/>
                <w:b/>
                <w:color w:val="auto"/>
                <w:sz w:val="24"/>
                <w:szCs w:val="24"/>
                <w:highlight w:val="none"/>
                <w:lang w:val="zh-CN"/>
              </w:rPr>
              <w:t>）</w:t>
            </w:r>
          </w:p>
        </w:tc>
        <w:tc>
          <w:tcPr>
            <w:tcW w:w="62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大写：</w:t>
            </w:r>
          </w:p>
        </w:tc>
      </w:tr>
      <w:tr>
        <w:tblPrEx>
          <w:tblCellMar>
            <w:top w:w="0" w:type="dxa"/>
            <w:left w:w="108" w:type="dxa"/>
            <w:bottom w:w="0" w:type="dxa"/>
            <w:right w:w="108" w:type="dxa"/>
          </w:tblCellMar>
        </w:tblPrEx>
        <w:trPr>
          <w:trHeight w:val="680" w:hRule="atLeast"/>
        </w:trPr>
        <w:tc>
          <w:tcPr>
            <w:tcW w:w="3048" w:type="dxa"/>
            <w:vMerge w:val="continue"/>
            <w:tcBorders>
              <w:left w:val="single" w:color="000000" w:sz="4" w:space="0"/>
              <w:bottom w:val="single" w:color="auto" w:sz="4" w:space="0"/>
              <w:right w:val="single" w:color="000000" w:sz="4" w:space="0"/>
            </w:tcBorders>
            <w:noWrap w:val="0"/>
            <w:vAlign w:val="center"/>
          </w:tcPr>
          <w:p>
            <w:pPr>
              <w:spacing w:line="360" w:lineRule="auto"/>
              <w:jc w:val="center"/>
              <w:rPr>
                <w:rFonts w:ascii="宋体" w:hAnsi="宋体" w:cs="宋体"/>
                <w:b/>
                <w:color w:val="auto"/>
                <w:sz w:val="24"/>
                <w:szCs w:val="24"/>
                <w:highlight w:val="none"/>
                <w:lang w:val="zh-CN"/>
              </w:rPr>
            </w:pPr>
          </w:p>
        </w:tc>
        <w:tc>
          <w:tcPr>
            <w:tcW w:w="62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小写：</w:t>
            </w:r>
          </w:p>
        </w:tc>
      </w:tr>
      <w:tr>
        <w:tblPrEx>
          <w:tblCellMar>
            <w:top w:w="0" w:type="dxa"/>
            <w:left w:w="108" w:type="dxa"/>
            <w:bottom w:w="0" w:type="dxa"/>
            <w:right w:w="108" w:type="dxa"/>
          </w:tblCellMar>
        </w:tblPrEx>
        <w:trPr>
          <w:trHeight w:val="690" w:hRule="atLeast"/>
        </w:trPr>
        <w:tc>
          <w:tcPr>
            <w:tcW w:w="304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color w:val="auto"/>
                <w:sz w:val="24"/>
                <w:szCs w:val="24"/>
                <w:highlight w:val="none"/>
              </w:rPr>
              <w:t>设计</w:t>
            </w:r>
            <w:r>
              <w:rPr>
                <w:rFonts w:hint="eastAsia" w:ascii="宋体" w:hAnsi="宋体" w:cs="宋体"/>
                <w:b/>
                <w:color w:val="auto"/>
                <w:sz w:val="24"/>
                <w:szCs w:val="24"/>
                <w:highlight w:val="none"/>
                <w:lang w:val="zh-CN"/>
              </w:rPr>
              <w:t>费（含税）（单位：元）</w:t>
            </w:r>
          </w:p>
        </w:tc>
        <w:tc>
          <w:tcPr>
            <w:tcW w:w="3865" w:type="dxa"/>
            <w:gridSpan w:val="2"/>
            <w:tcBorders>
              <w:top w:val="single" w:color="000000" w:sz="4" w:space="0"/>
              <w:left w:val="single" w:color="auto" w:sz="4" w:space="0"/>
              <w:bottom w:val="single" w:color="000000" w:sz="4" w:space="0"/>
              <w:right w:val="single" w:color="000000" w:sz="4" w:space="0"/>
            </w:tcBorders>
            <w:noWrap w:val="0"/>
            <w:vAlign w:val="center"/>
          </w:tcPr>
          <w:p>
            <w:pPr>
              <w:spacing w:line="360" w:lineRule="auto"/>
              <w:jc w:val="left"/>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大写：</w:t>
            </w:r>
          </w:p>
        </w:tc>
        <w:tc>
          <w:tcPr>
            <w:tcW w:w="2362" w:type="dxa"/>
            <w:vMerge w:val="restart"/>
            <w:tcBorders>
              <w:top w:val="single" w:color="000000" w:sz="4" w:space="0"/>
              <w:left w:val="single" w:color="000000" w:sz="4" w:space="0"/>
              <w:right w:val="single" w:color="000000" w:sz="4" w:space="0"/>
            </w:tcBorders>
            <w:noWrap w:val="0"/>
            <w:vAlign w:val="center"/>
          </w:tcPr>
          <w:p>
            <w:pPr>
              <w:spacing w:line="360" w:lineRule="auto"/>
              <w:jc w:val="left"/>
              <w:rPr>
                <w:rFonts w:ascii="宋体" w:hAnsi="宋体" w:cs="宋体"/>
                <w:b/>
                <w:color w:val="auto"/>
                <w:kern w:val="1"/>
                <w:sz w:val="24"/>
                <w:highlight w:val="none"/>
              </w:rPr>
            </w:pPr>
            <w:r>
              <w:rPr>
                <w:rFonts w:hint="eastAsia" w:ascii="宋体" w:hAnsi="宋体" w:cs="宋体"/>
                <w:b/>
                <w:color w:val="auto"/>
                <w:kern w:val="1"/>
                <w:sz w:val="24"/>
                <w:highlight w:val="none"/>
              </w:rPr>
              <w:t>下浮率：    %</w:t>
            </w:r>
          </w:p>
        </w:tc>
      </w:tr>
      <w:tr>
        <w:tblPrEx>
          <w:tblCellMar>
            <w:top w:w="0" w:type="dxa"/>
            <w:left w:w="108" w:type="dxa"/>
            <w:bottom w:w="0" w:type="dxa"/>
            <w:right w:w="108" w:type="dxa"/>
          </w:tblCellMar>
        </w:tblPrEx>
        <w:trPr>
          <w:trHeight w:val="690" w:hRule="atLeast"/>
        </w:trPr>
        <w:tc>
          <w:tcPr>
            <w:tcW w:w="304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color w:val="auto"/>
                <w:highlight w:val="none"/>
              </w:rPr>
            </w:pPr>
          </w:p>
        </w:tc>
        <w:tc>
          <w:tcPr>
            <w:tcW w:w="3865" w:type="dxa"/>
            <w:gridSpan w:val="2"/>
            <w:tcBorders>
              <w:top w:val="single" w:color="000000" w:sz="4" w:space="0"/>
              <w:left w:val="single" w:color="auto" w:sz="4" w:space="0"/>
              <w:bottom w:val="single" w:color="000000" w:sz="4" w:space="0"/>
              <w:right w:val="single" w:color="000000" w:sz="4" w:space="0"/>
            </w:tcBorders>
            <w:noWrap w:val="0"/>
            <w:vAlign w:val="center"/>
          </w:tcPr>
          <w:p>
            <w:pPr>
              <w:spacing w:line="360" w:lineRule="auto"/>
              <w:jc w:val="left"/>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小写：</w:t>
            </w:r>
          </w:p>
        </w:tc>
        <w:tc>
          <w:tcPr>
            <w:tcW w:w="2362" w:type="dxa"/>
            <w:vMerge w:val="continue"/>
            <w:tcBorders>
              <w:left w:val="single" w:color="000000" w:sz="4" w:space="0"/>
              <w:bottom w:val="single" w:color="000000" w:sz="4" w:space="0"/>
              <w:right w:val="single" w:color="000000" w:sz="4" w:space="0"/>
            </w:tcBorders>
            <w:noWrap w:val="0"/>
            <w:vAlign w:val="center"/>
          </w:tcPr>
          <w:p>
            <w:pPr>
              <w:spacing w:line="360" w:lineRule="auto"/>
              <w:jc w:val="left"/>
              <w:rPr>
                <w:rFonts w:ascii="宋体" w:hAnsi="宋体" w:cs="宋体"/>
                <w:b/>
                <w:color w:val="auto"/>
                <w:kern w:val="1"/>
                <w:sz w:val="24"/>
                <w:highlight w:val="none"/>
                <w:lang w:val="zh-CN"/>
              </w:rPr>
            </w:pPr>
          </w:p>
        </w:tc>
      </w:tr>
      <w:tr>
        <w:tblPrEx>
          <w:tblCellMar>
            <w:top w:w="0" w:type="dxa"/>
            <w:left w:w="108" w:type="dxa"/>
            <w:bottom w:w="0" w:type="dxa"/>
            <w:right w:w="108" w:type="dxa"/>
          </w:tblCellMar>
        </w:tblPrEx>
        <w:trPr>
          <w:trHeight w:val="690" w:hRule="atLeast"/>
        </w:trPr>
        <w:tc>
          <w:tcPr>
            <w:tcW w:w="304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其中：建安工程费</w:t>
            </w:r>
          </w:p>
          <w:p>
            <w:pPr>
              <w:spacing w:line="360" w:lineRule="auto"/>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（含税）（单位：元）</w:t>
            </w:r>
          </w:p>
        </w:tc>
        <w:tc>
          <w:tcPr>
            <w:tcW w:w="3865" w:type="dxa"/>
            <w:gridSpan w:val="2"/>
            <w:tcBorders>
              <w:top w:val="single" w:color="000000" w:sz="4" w:space="0"/>
              <w:left w:val="single" w:color="auto" w:sz="4" w:space="0"/>
              <w:bottom w:val="single" w:color="000000" w:sz="4" w:space="0"/>
              <w:right w:val="single" w:color="000000" w:sz="4" w:space="0"/>
            </w:tcBorders>
            <w:noWrap w:val="0"/>
            <w:vAlign w:val="center"/>
          </w:tcPr>
          <w:p>
            <w:pPr>
              <w:spacing w:line="360" w:lineRule="auto"/>
              <w:jc w:val="left"/>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大写：</w:t>
            </w:r>
          </w:p>
        </w:tc>
        <w:tc>
          <w:tcPr>
            <w:tcW w:w="2362" w:type="dxa"/>
            <w:vMerge w:val="restart"/>
            <w:tcBorders>
              <w:top w:val="single" w:color="000000" w:sz="4" w:space="0"/>
              <w:left w:val="single" w:color="000000" w:sz="4" w:space="0"/>
              <w:right w:val="single" w:color="000000" w:sz="4" w:space="0"/>
            </w:tcBorders>
            <w:noWrap w:val="0"/>
            <w:vAlign w:val="center"/>
          </w:tcPr>
          <w:p>
            <w:pPr>
              <w:spacing w:line="360" w:lineRule="auto"/>
              <w:jc w:val="left"/>
              <w:rPr>
                <w:rFonts w:ascii="宋体" w:hAnsi="宋体" w:cs="宋体"/>
                <w:b/>
                <w:color w:val="auto"/>
                <w:kern w:val="1"/>
                <w:sz w:val="24"/>
                <w:highlight w:val="none"/>
                <w:lang w:val="zh-CN"/>
              </w:rPr>
            </w:pPr>
            <w:r>
              <w:rPr>
                <w:rFonts w:hint="eastAsia" w:ascii="宋体" w:hAnsi="宋体" w:cs="宋体"/>
                <w:b/>
                <w:color w:val="auto"/>
                <w:kern w:val="1"/>
                <w:sz w:val="24"/>
                <w:highlight w:val="none"/>
              </w:rPr>
              <w:t>下浮率：    %</w:t>
            </w:r>
          </w:p>
        </w:tc>
      </w:tr>
      <w:tr>
        <w:tblPrEx>
          <w:tblCellMar>
            <w:top w:w="0" w:type="dxa"/>
            <w:left w:w="108" w:type="dxa"/>
            <w:bottom w:w="0" w:type="dxa"/>
            <w:right w:w="108" w:type="dxa"/>
          </w:tblCellMar>
        </w:tblPrEx>
        <w:trPr>
          <w:trHeight w:val="690" w:hRule="atLeast"/>
        </w:trPr>
        <w:tc>
          <w:tcPr>
            <w:tcW w:w="304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color w:val="auto"/>
                <w:highlight w:val="none"/>
              </w:rPr>
            </w:pPr>
          </w:p>
        </w:tc>
        <w:tc>
          <w:tcPr>
            <w:tcW w:w="3865" w:type="dxa"/>
            <w:gridSpan w:val="2"/>
            <w:tcBorders>
              <w:top w:val="single" w:color="000000" w:sz="4" w:space="0"/>
              <w:left w:val="single" w:color="auto" w:sz="4" w:space="0"/>
              <w:bottom w:val="single" w:color="000000" w:sz="4" w:space="0"/>
              <w:right w:val="single" w:color="000000" w:sz="4" w:space="0"/>
            </w:tcBorders>
            <w:noWrap w:val="0"/>
            <w:vAlign w:val="center"/>
          </w:tcPr>
          <w:p>
            <w:pPr>
              <w:spacing w:line="360" w:lineRule="auto"/>
              <w:jc w:val="left"/>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小写：</w:t>
            </w:r>
          </w:p>
        </w:tc>
        <w:tc>
          <w:tcPr>
            <w:tcW w:w="2362" w:type="dxa"/>
            <w:vMerge w:val="continue"/>
            <w:tcBorders>
              <w:left w:val="single" w:color="000000" w:sz="4" w:space="0"/>
              <w:bottom w:val="single" w:color="000000" w:sz="4" w:space="0"/>
              <w:right w:val="single" w:color="000000" w:sz="4" w:space="0"/>
            </w:tcBorders>
            <w:noWrap w:val="0"/>
            <w:vAlign w:val="center"/>
          </w:tcPr>
          <w:p>
            <w:pPr>
              <w:spacing w:line="360" w:lineRule="auto"/>
              <w:jc w:val="left"/>
              <w:rPr>
                <w:rFonts w:ascii="宋体" w:hAnsi="宋体" w:cs="宋体"/>
                <w:b/>
                <w:color w:val="auto"/>
                <w:kern w:val="1"/>
                <w:sz w:val="24"/>
                <w:highlight w:val="none"/>
                <w:lang w:val="zh-CN"/>
              </w:rPr>
            </w:pPr>
          </w:p>
        </w:tc>
      </w:tr>
      <w:tr>
        <w:tblPrEx>
          <w:tblCellMar>
            <w:top w:w="0" w:type="dxa"/>
            <w:left w:w="108" w:type="dxa"/>
            <w:bottom w:w="0" w:type="dxa"/>
            <w:right w:w="108" w:type="dxa"/>
          </w:tblCellMar>
        </w:tblPrEx>
        <w:trPr>
          <w:trHeight w:val="510" w:hRule="atLeast"/>
        </w:trPr>
        <w:tc>
          <w:tcPr>
            <w:tcW w:w="3048" w:type="dxa"/>
            <w:vMerge w:val="restart"/>
            <w:tcBorders>
              <w:top w:val="single" w:color="auto" w:sz="4" w:space="0"/>
              <w:left w:val="single" w:color="000000" w:sz="4" w:space="0"/>
              <w:bottom w:val="single" w:color="auto" w:sz="4" w:space="0"/>
              <w:right w:val="single" w:color="000000" w:sz="4" w:space="0"/>
            </w:tcBorders>
            <w:noWrap w:val="0"/>
            <w:vAlign w:val="center"/>
          </w:tcPr>
          <w:p>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委派的项目负责人</w:t>
            </w:r>
          </w:p>
          <w:p>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（兼任施工负责人）</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color w:val="auto"/>
                <w:kern w:val="1"/>
                <w:sz w:val="24"/>
                <w:highlight w:val="none"/>
              </w:rPr>
            </w:pPr>
            <w:r>
              <w:rPr>
                <w:rFonts w:hint="eastAsia" w:ascii="宋体" w:hAnsi="宋体" w:cs="宋体"/>
                <w:b/>
                <w:color w:val="auto"/>
                <w:sz w:val="24"/>
                <w:highlight w:val="none"/>
              </w:rPr>
              <w:t>姓    名</w:t>
            </w:r>
          </w:p>
        </w:tc>
        <w:tc>
          <w:tcPr>
            <w:tcW w:w="3933"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hAnsi="宋体" w:cs="宋体"/>
                <w:b/>
                <w:color w:val="auto"/>
                <w:kern w:val="1"/>
                <w:sz w:val="24"/>
                <w:highlight w:val="none"/>
                <w:lang w:val="zh-CN"/>
              </w:rPr>
            </w:pPr>
          </w:p>
        </w:tc>
      </w:tr>
      <w:tr>
        <w:tblPrEx>
          <w:tblCellMar>
            <w:top w:w="0" w:type="dxa"/>
            <w:left w:w="108" w:type="dxa"/>
            <w:bottom w:w="0" w:type="dxa"/>
            <w:right w:w="108" w:type="dxa"/>
          </w:tblCellMar>
        </w:tblPrEx>
        <w:trPr>
          <w:trHeight w:val="510" w:hRule="atLeast"/>
        </w:trPr>
        <w:tc>
          <w:tcPr>
            <w:tcW w:w="3048" w:type="dxa"/>
            <w:vMerge w:val="continue"/>
            <w:tcBorders>
              <w:top w:val="single" w:color="auto" w:sz="4" w:space="0"/>
              <w:left w:val="single" w:color="000000" w:sz="4" w:space="0"/>
              <w:bottom w:val="single" w:color="auto" w:sz="4" w:space="0"/>
              <w:right w:val="single" w:color="000000" w:sz="4" w:space="0"/>
            </w:tcBorders>
            <w:noWrap w:val="0"/>
            <w:vAlign w:val="center"/>
          </w:tcPr>
          <w:p>
            <w:pPr>
              <w:spacing w:line="360" w:lineRule="auto"/>
              <w:jc w:val="center"/>
              <w:rPr>
                <w:rFonts w:ascii="宋体" w:hAnsi="宋体" w:cs="宋体"/>
                <w:b/>
                <w:color w:val="auto"/>
                <w:kern w:val="1"/>
                <w:sz w:val="24"/>
                <w:highlight w:val="none"/>
                <w:lang w:val="zh-CN"/>
              </w:rPr>
            </w:pPr>
          </w:p>
        </w:tc>
        <w:tc>
          <w:tcPr>
            <w:tcW w:w="229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color w:val="auto"/>
                <w:kern w:val="1"/>
                <w:sz w:val="24"/>
                <w:highlight w:val="none"/>
              </w:rPr>
            </w:pPr>
            <w:r>
              <w:rPr>
                <w:rFonts w:hint="eastAsia" w:ascii="宋体" w:hAnsi="宋体" w:cs="宋体"/>
                <w:b/>
                <w:color w:val="auto"/>
                <w:sz w:val="24"/>
                <w:highlight w:val="none"/>
                <w:lang w:val="zh-CN"/>
              </w:rPr>
              <w:t>注册建造师编号</w:t>
            </w:r>
          </w:p>
        </w:tc>
        <w:tc>
          <w:tcPr>
            <w:tcW w:w="3933"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hAnsi="宋体" w:cs="宋体"/>
                <w:b/>
                <w:color w:val="auto"/>
                <w:kern w:val="1"/>
                <w:sz w:val="24"/>
                <w:highlight w:val="none"/>
                <w:lang w:val="zh-CN"/>
              </w:rPr>
            </w:pPr>
          </w:p>
        </w:tc>
      </w:tr>
      <w:tr>
        <w:tblPrEx>
          <w:tblCellMar>
            <w:top w:w="0" w:type="dxa"/>
            <w:left w:w="108" w:type="dxa"/>
            <w:bottom w:w="0" w:type="dxa"/>
            <w:right w:w="108" w:type="dxa"/>
          </w:tblCellMar>
        </w:tblPrEx>
        <w:trPr>
          <w:trHeight w:val="510" w:hRule="atLeast"/>
        </w:trPr>
        <w:tc>
          <w:tcPr>
            <w:tcW w:w="3048" w:type="dxa"/>
            <w:vMerge w:val="continue"/>
            <w:tcBorders>
              <w:top w:val="single" w:color="auto" w:sz="4" w:space="0"/>
              <w:left w:val="single" w:color="000000" w:sz="4" w:space="0"/>
              <w:bottom w:val="single" w:color="auto" w:sz="4" w:space="0"/>
              <w:right w:val="single" w:color="000000" w:sz="4" w:space="0"/>
            </w:tcBorders>
            <w:noWrap w:val="0"/>
            <w:vAlign w:val="center"/>
          </w:tcPr>
          <w:p>
            <w:pPr>
              <w:spacing w:line="360" w:lineRule="auto"/>
              <w:jc w:val="center"/>
              <w:rPr>
                <w:rFonts w:ascii="宋体" w:hAnsi="宋体" w:cs="宋体"/>
                <w:b/>
                <w:color w:val="auto"/>
                <w:kern w:val="1"/>
                <w:sz w:val="24"/>
                <w:highlight w:val="none"/>
                <w:lang w:val="zh-CN"/>
              </w:rPr>
            </w:pPr>
          </w:p>
        </w:tc>
        <w:tc>
          <w:tcPr>
            <w:tcW w:w="229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color w:val="auto"/>
                <w:kern w:val="1"/>
                <w:sz w:val="24"/>
                <w:highlight w:val="none"/>
              </w:rPr>
            </w:pPr>
            <w:r>
              <w:rPr>
                <w:rFonts w:hint="eastAsia" w:ascii="宋体" w:hAnsi="宋体" w:cs="宋体"/>
                <w:b/>
                <w:color w:val="auto"/>
                <w:sz w:val="24"/>
                <w:highlight w:val="none"/>
                <w:lang w:val="zh-CN"/>
              </w:rPr>
              <w:t>安全生产考核合格证（B类）或建筑施工企业项目负责人安全生产考核合格证书编号</w:t>
            </w:r>
          </w:p>
        </w:tc>
        <w:tc>
          <w:tcPr>
            <w:tcW w:w="3933"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hAnsi="宋体" w:cs="宋体"/>
                <w:b/>
                <w:color w:val="auto"/>
                <w:kern w:val="1"/>
                <w:sz w:val="24"/>
                <w:highlight w:val="none"/>
                <w:lang w:val="zh-CN"/>
              </w:rPr>
            </w:pPr>
          </w:p>
        </w:tc>
      </w:tr>
      <w:tr>
        <w:tblPrEx>
          <w:tblCellMar>
            <w:top w:w="0" w:type="dxa"/>
            <w:left w:w="108" w:type="dxa"/>
            <w:bottom w:w="0" w:type="dxa"/>
            <w:right w:w="108" w:type="dxa"/>
          </w:tblCellMar>
        </w:tblPrEx>
        <w:trPr>
          <w:trHeight w:val="555" w:hRule="atLeast"/>
        </w:trPr>
        <w:tc>
          <w:tcPr>
            <w:tcW w:w="3048" w:type="dxa"/>
            <w:vMerge w:val="restart"/>
            <w:tcBorders>
              <w:top w:val="single" w:color="auto" w:sz="4" w:space="0"/>
              <w:left w:val="single" w:color="000000" w:sz="4" w:space="0"/>
              <w:bottom w:val="single" w:color="auto" w:sz="4" w:space="0"/>
              <w:right w:val="single" w:color="000000" w:sz="4" w:space="0"/>
            </w:tcBorders>
            <w:noWrap w:val="0"/>
            <w:vAlign w:val="center"/>
          </w:tcPr>
          <w:p>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委派的设计负责人</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olor w:val="auto"/>
                <w:sz w:val="24"/>
                <w:szCs w:val="24"/>
                <w:highlight w:val="none"/>
              </w:rPr>
            </w:pPr>
            <w:r>
              <w:rPr>
                <w:rFonts w:hint="eastAsia" w:ascii="宋体" w:hAnsi="宋体" w:cs="宋体"/>
                <w:b/>
                <w:color w:val="auto"/>
                <w:sz w:val="24"/>
                <w:highlight w:val="none"/>
              </w:rPr>
              <w:t>姓    名</w:t>
            </w:r>
          </w:p>
        </w:tc>
        <w:tc>
          <w:tcPr>
            <w:tcW w:w="3933"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hAnsi="宋体" w:cs="宋体"/>
                <w:b/>
                <w:color w:val="auto"/>
                <w:kern w:val="1"/>
                <w:sz w:val="24"/>
                <w:highlight w:val="none"/>
                <w:lang w:val="zh-CN"/>
              </w:rPr>
            </w:pPr>
          </w:p>
        </w:tc>
      </w:tr>
      <w:tr>
        <w:tblPrEx>
          <w:tblCellMar>
            <w:top w:w="0" w:type="dxa"/>
            <w:left w:w="108" w:type="dxa"/>
            <w:bottom w:w="0" w:type="dxa"/>
            <w:right w:w="108" w:type="dxa"/>
          </w:tblCellMar>
        </w:tblPrEx>
        <w:trPr>
          <w:trHeight w:val="555" w:hRule="atLeast"/>
        </w:trPr>
        <w:tc>
          <w:tcPr>
            <w:tcW w:w="3048" w:type="dxa"/>
            <w:vMerge w:val="continue"/>
            <w:tcBorders>
              <w:top w:val="single" w:color="auto" w:sz="4" w:space="0"/>
              <w:left w:val="single" w:color="000000" w:sz="4" w:space="0"/>
              <w:bottom w:val="single" w:color="auto" w:sz="4" w:space="0"/>
              <w:right w:val="single" w:color="000000" w:sz="4" w:space="0"/>
            </w:tcBorders>
            <w:noWrap w:val="0"/>
            <w:vAlign w:val="center"/>
          </w:tcPr>
          <w:p>
            <w:pPr>
              <w:spacing w:line="360" w:lineRule="auto"/>
              <w:jc w:val="center"/>
              <w:rPr>
                <w:rFonts w:ascii="宋体" w:hAnsi="宋体" w:cs="宋体"/>
                <w:b/>
                <w:color w:val="auto"/>
                <w:kern w:val="1"/>
                <w:sz w:val="24"/>
                <w:highlight w:val="none"/>
                <w:lang w:val="zh-CN"/>
              </w:rPr>
            </w:pPr>
          </w:p>
        </w:tc>
        <w:tc>
          <w:tcPr>
            <w:tcW w:w="229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color w:val="auto"/>
                <w:kern w:val="1"/>
                <w:sz w:val="24"/>
                <w:highlight w:val="none"/>
              </w:rPr>
            </w:pPr>
            <w:r>
              <w:rPr>
                <w:rFonts w:hint="eastAsia" w:ascii="宋体" w:hAnsi="宋体" w:cs="宋体"/>
                <w:b/>
                <w:color w:val="auto"/>
                <w:sz w:val="24"/>
                <w:highlight w:val="none"/>
                <w:lang w:val="zh-CN"/>
              </w:rPr>
              <w:t>注册执业证书编号</w:t>
            </w:r>
          </w:p>
        </w:tc>
        <w:tc>
          <w:tcPr>
            <w:tcW w:w="3933"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hAnsi="宋体" w:cs="宋体"/>
                <w:b/>
                <w:color w:val="auto"/>
                <w:kern w:val="1"/>
                <w:sz w:val="24"/>
                <w:highlight w:val="none"/>
                <w:lang w:val="zh-CN"/>
              </w:rPr>
            </w:pPr>
          </w:p>
        </w:tc>
      </w:tr>
      <w:tr>
        <w:tblPrEx>
          <w:tblCellMar>
            <w:top w:w="0" w:type="dxa"/>
            <w:left w:w="108" w:type="dxa"/>
            <w:bottom w:w="0" w:type="dxa"/>
            <w:right w:w="108" w:type="dxa"/>
          </w:tblCellMar>
        </w:tblPrEx>
        <w:trPr>
          <w:trHeight w:val="469" w:hRule="atLeast"/>
        </w:trPr>
        <w:tc>
          <w:tcPr>
            <w:tcW w:w="3048" w:type="dxa"/>
            <w:vMerge w:val="restart"/>
            <w:tcBorders>
              <w:top w:val="single" w:color="auto" w:sz="4" w:space="0"/>
              <w:left w:val="single" w:color="000000" w:sz="4" w:space="0"/>
              <w:bottom w:val="single" w:color="auto" w:sz="4" w:space="0"/>
              <w:right w:val="single" w:color="000000" w:sz="4" w:space="0"/>
            </w:tcBorders>
            <w:noWrap w:val="0"/>
            <w:vAlign w:val="center"/>
          </w:tcPr>
          <w:p>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委派的专职安全员</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color w:val="auto"/>
                <w:kern w:val="1"/>
                <w:sz w:val="24"/>
                <w:highlight w:val="none"/>
                <w:lang w:val="zh-CN"/>
              </w:rPr>
            </w:pPr>
            <w:r>
              <w:rPr>
                <w:rFonts w:hint="eastAsia" w:ascii="宋体" w:hAnsi="宋体" w:cs="宋体"/>
                <w:b/>
                <w:color w:val="auto"/>
                <w:sz w:val="24"/>
                <w:highlight w:val="none"/>
              </w:rPr>
              <w:t>姓    名</w:t>
            </w:r>
          </w:p>
        </w:tc>
        <w:tc>
          <w:tcPr>
            <w:tcW w:w="3933"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hAnsi="宋体" w:cs="宋体"/>
                <w:b/>
                <w:color w:val="auto"/>
                <w:kern w:val="1"/>
                <w:sz w:val="24"/>
                <w:highlight w:val="none"/>
                <w:lang w:val="zh-CN"/>
              </w:rPr>
            </w:pPr>
          </w:p>
        </w:tc>
      </w:tr>
      <w:tr>
        <w:tblPrEx>
          <w:tblCellMar>
            <w:top w:w="0" w:type="dxa"/>
            <w:left w:w="108" w:type="dxa"/>
            <w:bottom w:w="0" w:type="dxa"/>
            <w:right w:w="108" w:type="dxa"/>
          </w:tblCellMar>
        </w:tblPrEx>
        <w:trPr>
          <w:trHeight w:val="469" w:hRule="atLeast"/>
        </w:trPr>
        <w:tc>
          <w:tcPr>
            <w:tcW w:w="3048" w:type="dxa"/>
            <w:vMerge w:val="continue"/>
            <w:tcBorders>
              <w:top w:val="single" w:color="auto" w:sz="4" w:space="0"/>
              <w:left w:val="single" w:color="000000" w:sz="4" w:space="0"/>
              <w:bottom w:val="single" w:color="auto" w:sz="4" w:space="0"/>
              <w:right w:val="single" w:color="000000" w:sz="4" w:space="0"/>
            </w:tcBorders>
            <w:noWrap w:val="0"/>
            <w:vAlign w:val="center"/>
          </w:tcPr>
          <w:p>
            <w:pPr>
              <w:spacing w:line="360" w:lineRule="auto"/>
              <w:jc w:val="center"/>
              <w:rPr>
                <w:rFonts w:ascii="宋体" w:hAnsi="宋体" w:cs="宋体"/>
                <w:b/>
                <w:color w:val="auto"/>
                <w:kern w:val="1"/>
                <w:sz w:val="24"/>
                <w:highlight w:val="none"/>
                <w:lang w:val="zh-CN"/>
              </w:rPr>
            </w:pPr>
          </w:p>
        </w:tc>
        <w:tc>
          <w:tcPr>
            <w:tcW w:w="229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color w:val="auto"/>
                <w:kern w:val="1"/>
                <w:sz w:val="24"/>
                <w:highlight w:val="none"/>
              </w:rPr>
            </w:pPr>
            <w:r>
              <w:rPr>
                <w:rFonts w:hint="eastAsia" w:ascii="宋体" w:hAnsi="宋体" w:cs="宋体"/>
                <w:b/>
                <w:color w:val="auto"/>
                <w:sz w:val="24"/>
                <w:highlight w:val="none"/>
                <w:lang w:val="zh-CN"/>
              </w:rPr>
              <w:t>安全生产考核合格证（C类）或建筑施工企业专职安全生产管理人员安全生产考核合格证书（C3类）编号</w:t>
            </w:r>
          </w:p>
        </w:tc>
        <w:tc>
          <w:tcPr>
            <w:tcW w:w="3933"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hAnsi="宋体" w:cs="宋体"/>
                <w:b/>
                <w:color w:val="auto"/>
                <w:kern w:val="1"/>
                <w:sz w:val="24"/>
                <w:highlight w:val="none"/>
                <w:lang w:val="zh-CN"/>
              </w:rPr>
            </w:pPr>
          </w:p>
        </w:tc>
      </w:tr>
      <w:tr>
        <w:tblPrEx>
          <w:tblCellMar>
            <w:top w:w="0" w:type="dxa"/>
            <w:left w:w="108" w:type="dxa"/>
            <w:bottom w:w="0" w:type="dxa"/>
            <w:right w:w="108" w:type="dxa"/>
          </w:tblCellMar>
        </w:tblPrEx>
        <w:trPr>
          <w:trHeight w:val="469" w:hRule="atLeast"/>
        </w:trPr>
        <w:tc>
          <w:tcPr>
            <w:tcW w:w="3048" w:type="dxa"/>
            <w:tcBorders>
              <w:top w:val="single" w:color="auto"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color w:val="auto"/>
                <w:kern w:val="1"/>
                <w:sz w:val="24"/>
                <w:highlight w:val="none"/>
              </w:rPr>
            </w:pPr>
            <w:r>
              <w:rPr>
                <w:rFonts w:hint="eastAsia" w:ascii="宋体" w:hAnsi="宋体" w:cs="宋体"/>
                <w:b/>
                <w:color w:val="auto"/>
                <w:kern w:val="1"/>
                <w:sz w:val="24"/>
                <w:highlight w:val="none"/>
              </w:rPr>
              <w:t>投标有效期</w:t>
            </w:r>
          </w:p>
        </w:tc>
        <w:tc>
          <w:tcPr>
            <w:tcW w:w="62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b/>
                <w:color w:val="auto"/>
                <w:kern w:val="1"/>
                <w:sz w:val="24"/>
                <w:highlight w:val="none"/>
              </w:rPr>
            </w:pPr>
            <w:r>
              <w:rPr>
                <w:rFonts w:hint="eastAsia" w:ascii="宋体" w:hAnsi="宋体" w:cs="宋体"/>
                <w:b/>
                <w:color w:val="auto"/>
                <w:kern w:val="1"/>
                <w:sz w:val="24"/>
                <w:highlight w:val="none"/>
              </w:rPr>
              <w:t>按招标文件要求</w:t>
            </w:r>
          </w:p>
        </w:tc>
      </w:tr>
      <w:tr>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法 定 代 表 人</w:t>
            </w:r>
          </w:p>
          <w:p>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（签名或盖章）</w:t>
            </w:r>
          </w:p>
        </w:tc>
        <w:tc>
          <w:tcPr>
            <w:tcW w:w="62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b/>
                <w:color w:val="auto"/>
                <w:kern w:val="1"/>
                <w:sz w:val="24"/>
                <w:highlight w:val="none"/>
                <w:lang w:val="zh-CN"/>
              </w:rPr>
            </w:pPr>
          </w:p>
        </w:tc>
      </w:tr>
      <w:tr>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授 权 委 托 人</w:t>
            </w:r>
          </w:p>
          <w:p>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（签名或盖章）</w:t>
            </w:r>
          </w:p>
        </w:tc>
        <w:tc>
          <w:tcPr>
            <w:tcW w:w="62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b/>
                <w:color w:val="auto"/>
                <w:kern w:val="1"/>
                <w:sz w:val="24"/>
                <w:highlight w:val="none"/>
                <w:lang w:val="zh-CN"/>
              </w:rPr>
            </w:pPr>
          </w:p>
        </w:tc>
      </w:tr>
      <w:tr>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投  标  单  位</w:t>
            </w:r>
          </w:p>
          <w:p>
            <w:pPr>
              <w:spacing w:line="360" w:lineRule="auto"/>
              <w:ind w:firstLine="239"/>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（企业公章）</w:t>
            </w:r>
          </w:p>
        </w:tc>
        <w:tc>
          <w:tcPr>
            <w:tcW w:w="62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b/>
                <w:color w:val="auto"/>
                <w:kern w:val="1"/>
                <w:sz w:val="24"/>
                <w:highlight w:val="none"/>
                <w:lang w:val="zh-CN"/>
              </w:rPr>
            </w:pPr>
          </w:p>
        </w:tc>
      </w:tr>
    </w:tbl>
    <w:p>
      <w:pPr>
        <w:tabs>
          <w:tab w:val="left" w:pos="8364"/>
        </w:tabs>
        <w:snapToGrid w:val="0"/>
        <w:spacing w:line="400" w:lineRule="exact"/>
        <w:rPr>
          <w:rFonts w:ascii="宋体" w:hAnsi="宋体"/>
          <w:bCs/>
          <w:color w:val="auto"/>
          <w:szCs w:val="21"/>
          <w:highlight w:val="none"/>
        </w:rPr>
      </w:pPr>
      <w:r>
        <w:rPr>
          <w:rFonts w:hint="eastAsia" w:ascii="宋体" w:hAnsi="宋体"/>
          <w:bCs/>
          <w:color w:val="auto"/>
          <w:szCs w:val="21"/>
          <w:highlight w:val="none"/>
        </w:rPr>
        <w:t>注：（1）投标总报价的大写金额和小写金额不一致的，以大写金额为准，确到小数点后2位，四舍五入。</w:t>
      </w:r>
    </w:p>
    <w:p>
      <w:pPr>
        <w:tabs>
          <w:tab w:val="left" w:pos="8364"/>
        </w:tabs>
        <w:snapToGrid w:val="0"/>
        <w:spacing w:line="400" w:lineRule="exact"/>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2</w:t>
      </w:r>
      <w:r>
        <w:rPr>
          <w:rFonts w:hint="eastAsia" w:ascii="宋体" w:hAnsi="宋体"/>
          <w:bCs/>
          <w:color w:val="auto"/>
          <w:szCs w:val="21"/>
          <w:highlight w:val="none"/>
        </w:rPr>
        <w:t>）联合体投标的，“投标单位”一栏需书写所有联合体成员的单位全称，可由主办方签署、盖章。</w:t>
      </w:r>
    </w:p>
    <w:p>
      <w:pPr>
        <w:pStyle w:val="16"/>
        <w:ind w:left="0" w:leftChars="0" w:firstLine="0" w:firstLineChars="0"/>
        <w:jc w:val="left"/>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3</w:t>
      </w:r>
      <w:r>
        <w:rPr>
          <w:rFonts w:hint="eastAsia" w:ascii="宋体" w:hAnsi="宋体"/>
          <w:bCs/>
          <w:color w:val="auto"/>
          <w:szCs w:val="21"/>
          <w:highlight w:val="none"/>
        </w:rPr>
        <w:t>）“质量标准”、“投标总工期”、“保修期限”可以填写“按招标文件要求”或按招标文件内容填写。</w:t>
      </w:r>
    </w:p>
    <w:p>
      <w:pPr>
        <w:pStyle w:val="16"/>
        <w:ind w:left="0" w:leftChars="0" w:firstLine="0" w:firstLineChars="0"/>
        <w:jc w:val="left"/>
        <w:rPr>
          <w:rFonts w:ascii="宋体" w:hAnsi="宋体"/>
          <w:bCs/>
          <w:color w:val="auto"/>
          <w:szCs w:val="21"/>
          <w:highlight w:val="none"/>
          <w:u w:val="single"/>
        </w:rPr>
      </w:pPr>
      <w:r>
        <w:rPr>
          <w:rFonts w:hint="eastAsia" w:ascii="宋体" w:hAnsi="宋体"/>
          <w:bCs/>
          <w:color w:val="auto"/>
          <w:szCs w:val="21"/>
          <w:highlight w:val="none"/>
        </w:rPr>
        <w:t>（4）</w:t>
      </w:r>
      <w:r>
        <w:rPr>
          <w:rFonts w:hint="eastAsia" w:ascii="宋体" w:hAnsi="宋体" w:cs="宋体"/>
          <w:bCs/>
          <w:color w:val="auto"/>
          <w:szCs w:val="21"/>
          <w:highlight w:val="none"/>
          <w:u w:val="single"/>
        </w:rPr>
        <w:t>下浮率按本项目最高限价为基准计算，以“</w:t>
      </w:r>
      <w:r>
        <w:rPr>
          <w:rFonts w:ascii="宋体" w:hAnsi="宋体" w:cs="宋体"/>
          <w:bCs/>
          <w:color w:val="auto"/>
          <w:szCs w:val="21"/>
          <w:highlight w:val="none"/>
          <w:u w:val="single"/>
        </w:rPr>
        <w:t>%”为单位，精确到小数点后2位，四舍五入</w:t>
      </w:r>
      <w:r>
        <w:rPr>
          <w:rFonts w:hint="eastAsia" w:ascii="宋体" w:hAnsi="宋体" w:cs="宋体"/>
          <w:bCs/>
          <w:color w:val="auto"/>
          <w:szCs w:val="21"/>
          <w:highlight w:val="none"/>
          <w:u w:val="single"/>
        </w:rPr>
        <w:t>。如果下浮率与最高投标限价乘积不等于投标报价时，以下浮率为准修正投标报价（下浮率有明显的数量级错误的除外，此时应修正下浮率），若修正后的投标报价超过最高投标限价的，作否决投标处理。</w:t>
      </w:r>
    </w:p>
    <w:p>
      <w:pPr>
        <w:widowControl/>
        <w:jc w:val="left"/>
        <w:rPr>
          <w:rFonts w:hint="eastAsia"/>
          <w:color w:val="auto"/>
          <w:highlight w:val="none"/>
        </w:rPr>
      </w:pPr>
      <w:r>
        <w:rPr>
          <w:color w:val="auto"/>
          <w:highlight w:val="none"/>
        </w:rPr>
        <w:br w:type="page"/>
      </w:r>
    </w:p>
    <w:p>
      <w:pPr>
        <w:pStyle w:val="10"/>
        <w:rPr>
          <w:b/>
          <w:bCs/>
          <w:color w:val="auto"/>
          <w:highlight w:val="none"/>
          <w:lang w:val="en-US"/>
        </w:rPr>
      </w:pPr>
      <w:r>
        <w:rPr>
          <w:rFonts w:hint="eastAsia"/>
          <w:b/>
          <w:bCs/>
          <w:color w:val="auto"/>
          <w:highlight w:val="none"/>
          <w:lang w:val="en-US"/>
        </w:rPr>
        <w:t>格式</w:t>
      </w:r>
      <w:r>
        <w:rPr>
          <w:b/>
          <w:bCs/>
          <w:color w:val="auto"/>
          <w:highlight w:val="none"/>
          <w:lang w:val="en-US"/>
        </w:rPr>
        <w:t xml:space="preserve">3 </w:t>
      </w:r>
      <w:r>
        <w:rPr>
          <w:rFonts w:hint="eastAsia"/>
          <w:b/>
          <w:bCs/>
          <w:color w:val="auto"/>
          <w:highlight w:val="none"/>
          <w:lang w:val="en-US"/>
        </w:rPr>
        <w:t>投标承诺函</w:t>
      </w:r>
    </w:p>
    <w:p>
      <w:pPr>
        <w:spacing w:line="540" w:lineRule="exact"/>
        <w:jc w:val="center"/>
        <w:rPr>
          <w:color w:val="auto"/>
          <w:highlight w:val="none"/>
        </w:rPr>
      </w:pPr>
      <w:r>
        <w:rPr>
          <w:rFonts w:hint="eastAsia" w:ascii="宋体" w:hAnsi="宋体"/>
          <w:b/>
          <w:color w:val="auto"/>
          <w:sz w:val="28"/>
          <w:szCs w:val="28"/>
          <w:highlight w:val="none"/>
        </w:rPr>
        <w:t>投标承诺函</w:t>
      </w:r>
    </w:p>
    <w:p>
      <w:pPr>
        <w:spacing w:line="440" w:lineRule="exact"/>
        <w:rPr>
          <w:color w:val="auto"/>
          <w:sz w:val="20"/>
          <w:szCs w:val="20"/>
          <w:highlight w:val="none"/>
        </w:rPr>
      </w:pPr>
    </w:p>
    <w:p>
      <w:pPr>
        <w:spacing w:line="440" w:lineRule="exact"/>
        <w:rPr>
          <w:color w:val="auto"/>
          <w:szCs w:val="21"/>
          <w:highlight w:val="none"/>
        </w:rPr>
      </w:pPr>
      <w:r>
        <w:rPr>
          <w:color w:val="auto"/>
          <w:szCs w:val="21"/>
          <w:highlight w:val="none"/>
          <w:u w:val="single"/>
        </w:rPr>
        <w:t xml:space="preserve">                        </w:t>
      </w:r>
      <w:r>
        <w:rPr>
          <w:color w:val="auto"/>
          <w:szCs w:val="21"/>
          <w:highlight w:val="none"/>
        </w:rPr>
        <w:t>（招标人名称）：</w:t>
      </w:r>
    </w:p>
    <w:p>
      <w:pPr>
        <w:spacing w:line="360" w:lineRule="auto"/>
        <w:ind w:firstLine="420" w:firstLineChars="200"/>
        <w:rPr>
          <w:rFonts w:ascii="宋体" w:hAnsi="宋体"/>
          <w:color w:val="auto"/>
          <w:szCs w:val="21"/>
          <w:highlight w:val="none"/>
        </w:rPr>
      </w:pPr>
      <w:r>
        <w:rPr>
          <w:color w:val="auto"/>
          <w:szCs w:val="21"/>
          <w:highlight w:val="none"/>
        </w:rPr>
        <w:t>1．我方已仔细研究了</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（项目名称）招标文件的全部内容，愿意以</w:t>
      </w:r>
      <w:r>
        <w:rPr>
          <w:rFonts w:hint="eastAsia"/>
          <w:color w:val="auto"/>
          <w:szCs w:val="21"/>
          <w:highlight w:val="none"/>
        </w:rPr>
        <w:t>《投标书》中承诺的</w:t>
      </w:r>
      <w:r>
        <w:rPr>
          <w:color w:val="auto"/>
          <w:szCs w:val="21"/>
          <w:highlight w:val="none"/>
        </w:rPr>
        <w:t>投标报价</w:t>
      </w:r>
      <w:r>
        <w:rPr>
          <w:rFonts w:hint="eastAsia"/>
          <w:color w:val="auto"/>
          <w:szCs w:val="21"/>
          <w:highlight w:val="none"/>
        </w:rPr>
        <w:t>和工期，</w:t>
      </w:r>
      <w:r>
        <w:rPr>
          <w:color w:val="auto"/>
          <w:szCs w:val="21"/>
          <w:highlight w:val="none"/>
        </w:rPr>
        <w:t>按合同约定</w:t>
      </w:r>
      <w:r>
        <w:rPr>
          <w:rFonts w:hint="eastAsia"/>
          <w:color w:val="auto"/>
          <w:szCs w:val="21"/>
          <w:highlight w:val="none"/>
        </w:rPr>
        <w:t>进行设计、</w:t>
      </w:r>
      <w:r>
        <w:rPr>
          <w:color w:val="auto"/>
          <w:szCs w:val="21"/>
          <w:highlight w:val="none"/>
        </w:rPr>
        <w:t>实施和</w:t>
      </w:r>
      <w:r>
        <w:rPr>
          <w:rFonts w:hint="eastAsia"/>
          <w:color w:val="auto"/>
          <w:szCs w:val="21"/>
          <w:highlight w:val="none"/>
        </w:rPr>
        <w:t>竣工</w:t>
      </w:r>
      <w:r>
        <w:rPr>
          <w:color w:val="auto"/>
          <w:szCs w:val="21"/>
          <w:highlight w:val="none"/>
        </w:rPr>
        <w:t>承包工程，修补工程中的任何缺陷，</w:t>
      </w:r>
      <w:r>
        <w:rPr>
          <w:rFonts w:hint="eastAsia"/>
          <w:color w:val="auto"/>
          <w:szCs w:val="21"/>
          <w:highlight w:val="none"/>
        </w:rPr>
        <w:t>实现工程目的</w:t>
      </w:r>
      <w:r>
        <w:rPr>
          <w:color w:val="auto"/>
          <w:szCs w:val="21"/>
          <w:highlight w:val="none"/>
        </w:rPr>
        <w:t>。</w:t>
      </w:r>
      <w:r>
        <w:rPr>
          <w:rFonts w:hint="eastAsia" w:ascii="宋体" w:hAnsi="宋体"/>
          <w:color w:val="auto"/>
          <w:szCs w:val="21"/>
          <w:highlight w:val="none"/>
        </w:rPr>
        <w:t>我方充分了解了现场条件对可能存在的所有风险都已充分考虑，我方放弃在此方面提出含糊意见或误解的一切权力，承认招标文件的所有条款，按招标文件规定条款完成本次招标项目的内容。</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2. </w:t>
      </w:r>
      <w:r>
        <w:rPr>
          <w:rFonts w:hint="eastAsia" w:ascii="宋体" w:hAnsi="宋体"/>
          <w:color w:val="auto"/>
          <w:szCs w:val="21"/>
          <w:highlight w:val="none"/>
        </w:rPr>
        <w:t>我方</w:t>
      </w:r>
      <w:r>
        <w:rPr>
          <w:rFonts w:ascii="宋体" w:hAnsi="宋体"/>
          <w:color w:val="auto"/>
          <w:szCs w:val="21"/>
          <w:highlight w:val="none"/>
        </w:rPr>
        <w:t>已充分阅读了</w:t>
      </w:r>
      <w:r>
        <w:rPr>
          <w:rFonts w:hint="eastAsia" w:ascii="宋体" w:hAnsi="宋体"/>
          <w:color w:val="auto"/>
          <w:szCs w:val="21"/>
          <w:highlight w:val="none"/>
        </w:rPr>
        <w:t>本项目</w:t>
      </w:r>
      <w:r>
        <w:rPr>
          <w:rFonts w:ascii="宋体" w:hAnsi="宋体"/>
          <w:color w:val="auto"/>
          <w:szCs w:val="21"/>
          <w:highlight w:val="none"/>
        </w:rPr>
        <w:t>招标文件并充分了解</w:t>
      </w:r>
      <w:r>
        <w:rPr>
          <w:rFonts w:hint="eastAsia" w:ascii="宋体" w:hAnsi="宋体"/>
          <w:color w:val="auto"/>
          <w:szCs w:val="21"/>
          <w:highlight w:val="none"/>
        </w:rPr>
        <w:t>有关报价方式及变更、结算方式，我方完全响应招标文件的规定。</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．我方承诺投标文件中的一切资料、数据是真实的，并承担由此引起的一切责任。</w:t>
      </w:r>
    </w:p>
    <w:p>
      <w:pPr>
        <w:spacing w:line="440" w:lineRule="exact"/>
        <w:ind w:firstLine="420" w:firstLineChars="200"/>
        <w:rPr>
          <w:color w:val="auto"/>
          <w:szCs w:val="21"/>
          <w:highlight w:val="none"/>
        </w:rPr>
      </w:pPr>
      <w:r>
        <w:rPr>
          <w:rFonts w:hint="eastAsia"/>
          <w:color w:val="auto"/>
          <w:szCs w:val="21"/>
          <w:highlight w:val="none"/>
        </w:rPr>
        <w:t>4</w:t>
      </w:r>
      <w:r>
        <w:rPr>
          <w:color w:val="auto"/>
          <w:szCs w:val="21"/>
          <w:highlight w:val="none"/>
        </w:rPr>
        <w:t>．我方承诺在</w:t>
      </w:r>
      <w:r>
        <w:rPr>
          <w:rFonts w:hint="eastAsia"/>
          <w:color w:val="auto"/>
          <w:szCs w:val="21"/>
          <w:highlight w:val="none"/>
        </w:rPr>
        <w:t>招标文件规定的</w:t>
      </w:r>
      <w:r>
        <w:rPr>
          <w:color w:val="auto"/>
          <w:szCs w:val="21"/>
          <w:highlight w:val="none"/>
        </w:rPr>
        <w:t>投标有效期内不修改、撤销投标文件</w:t>
      </w:r>
      <w:r>
        <w:rPr>
          <w:rFonts w:hint="eastAsia"/>
          <w:color w:val="auto"/>
          <w:szCs w:val="21"/>
          <w:highlight w:val="none"/>
        </w:rPr>
        <w:t>。</w:t>
      </w:r>
    </w:p>
    <w:p>
      <w:pPr>
        <w:spacing w:line="440" w:lineRule="exact"/>
        <w:ind w:firstLine="420" w:firstLineChars="200"/>
        <w:rPr>
          <w:color w:val="auto"/>
          <w:szCs w:val="21"/>
          <w:highlight w:val="none"/>
        </w:rPr>
      </w:pPr>
      <w:r>
        <w:rPr>
          <w:rFonts w:hint="eastAsia"/>
          <w:color w:val="auto"/>
          <w:szCs w:val="21"/>
          <w:highlight w:val="none"/>
        </w:rPr>
        <w:t>5</w:t>
      </w:r>
      <w:r>
        <w:rPr>
          <w:color w:val="auto"/>
          <w:szCs w:val="21"/>
          <w:highlight w:val="none"/>
        </w:rPr>
        <w:t>．</w:t>
      </w:r>
      <w:r>
        <w:rPr>
          <w:rFonts w:hint="eastAsia"/>
          <w:color w:val="auto"/>
          <w:szCs w:val="21"/>
          <w:highlight w:val="none"/>
        </w:rPr>
        <w:t>我方如果中标，我方保证：</w:t>
      </w:r>
    </w:p>
    <w:p>
      <w:pPr>
        <w:spacing w:line="440" w:lineRule="exact"/>
        <w:ind w:firstLine="420" w:firstLineChars="200"/>
        <w:rPr>
          <w:color w:val="auto"/>
          <w:szCs w:val="21"/>
          <w:highlight w:val="none"/>
        </w:rPr>
      </w:pPr>
      <w:r>
        <w:rPr>
          <w:rFonts w:hint="eastAsia"/>
          <w:color w:val="auto"/>
          <w:szCs w:val="21"/>
          <w:highlight w:val="none"/>
        </w:rPr>
        <w:t>（1）保证履行招标文件以及招标文件修改书(如有)中的全部责任和义务，在中标通知书规定的时间内签订合同，并严格按国家有关法规履行我方的全部责任，按质、按量、按期完成合同约定的全部任务。</w:t>
      </w:r>
    </w:p>
    <w:p>
      <w:pPr>
        <w:spacing w:line="440" w:lineRule="exact"/>
        <w:ind w:firstLine="420" w:firstLineChars="200"/>
        <w:rPr>
          <w:color w:val="auto"/>
          <w:szCs w:val="21"/>
          <w:highlight w:val="none"/>
        </w:rPr>
      </w:pPr>
      <w:r>
        <w:rPr>
          <w:rFonts w:hint="eastAsia"/>
          <w:color w:val="auto"/>
          <w:szCs w:val="21"/>
          <w:highlight w:val="none"/>
        </w:rPr>
        <w:t>（2）保证将我方的资质承包范围不能涵盖或不具备相应能力(该能力须保证进度和质量且须获得发包人认可)的部分专业工程（如果有），委托获得发包人批准的具备相应专业资质和能力的单位实施，确保项目质量及进度。</w:t>
      </w:r>
    </w:p>
    <w:p>
      <w:pPr>
        <w:spacing w:line="440" w:lineRule="exact"/>
        <w:ind w:firstLine="420" w:firstLineChars="200"/>
        <w:rPr>
          <w:color w:val="auto"/>
          <w:szCs w:val="21"/>
          <w:highlight w:val="none"/>
        </w:rPr>
      </w:pPr>
      <w:r>
        <w:rPr>
          <w:rFonts w:hint="eastAsia"/>
          <w:color w:val="auto"/>
          <w:szCs w:val="21"/>
          <w:highlight w:val="none"/>
        </w:rPr>
        <w:t>（3）保证所完成的设计将完全符合国家相关规范要求，符合或优于招标文件、技术条件、合同条款的要求。若我方完成的设计文件未能达到发包人（或相关政府部门）的要求，我方将无条件根据要求进行修改设计文件，直至得到发包人（及相关政府部门）的认可为止。</w:t>
      </w:r>
    </w:p>
    <w:p>
      <w:pPr>
        <w:spacing w:line="440" w:lineRule="exact"/>
        <w:ind w:firstLine="420" w:firstLineChars="200"/>
        <w:rPr>
          <w:color w:val="auto"/>
          <w:szCs w:val="21"/>
          <w:highlight w:val="none"/>
        </w:rPr>
      </w:pPr>
      <w:r>
        <w:rPr>
          <w:rFonts w:hint="eastAsia"/>
          <w:color w:val="auto"/>
          <w:szCs w:val="21"/>
          <w:highlight w:val="none"/>
        </w:rPr>
        <w:t>（4）保证尽一切力量确保投标承诺的竣工日期，若我方未能按投标承诺的工期完成本项目，除承担合同约定的违约责任外，发包人有权解除合同，我方承担由于违约解除合同退场造成的对发包人的一切损失。</w:t>
      </w:r>
    </w:p>
    <w:p>
      <w:pPr>
        <w:spacing w:line="440" w:lineRule="exact"/>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）保证所投入本项目的主要材料、设备质量符合或优于招标文件要求，所投入本项目的辅助设备、材料与主主要材料、设备质量一致并有良好的配套性。</w:t>
      </w:r>
    </w:p>
    <w:p>
      <w:pPr>
        <w:spacing w:line="440" w:lineRule="exact"/>
        <w:ind w:firstLine="420" w:firstLineChars="20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）保证按照招标文件的要求确保安全生产及文明施工，如有违反，我方愿意按合同约定承担违约责任，并为此负相关的法律责任。</w:t>
      </w:r>
    </w:p>
    <w:p>
      <w:pPr>
        <w:spacing w:line="440" w:lineRule="exact"/>
        <w:ind w:firstLine="420" w:firstLineChars="200"/>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）保证按国家的有关规定制订保证民工工资支付的方案及保证措施，否则，我方愿按合同条款规定承担违约责任并赔偿发包人的全部损失。</w:t>
      </w:r>
    </w:p>
    <w:p>
      <w:pPr>
        <w:spacing w:line="440" w:lineRule="exact"/>
        <w:ind w:firstLine="420" w:firstLineChars="200"/>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）保证按施工期间做好安全文明和交通保证措施，施工区全封闭围挡，根据工程进度计划分段施工分期围挡。最大限度满足交通和市民出行方便，施工行为做到便民，不扰民。</w:t>
      </w:r>
    </w:p>
    <w:p>
      <w:pPr>
        <w:spacing w:line="440" w:lineRule="exact"/>
        <w:ind w:firstLine="420" w:firstLineChars="200"/>
        <w:rPr>
          <w:color w:val="auto"/>
          <w:szCs w:val="21"/>
          <w:highlight w:val="none"/>
        </w:rPr>
      </w:pPr>
      <w:r>
        <w:rPr>
          <w:rFonts w:hint="eastAsia"/>
          <w:color w:val="auto"/>
          <w:szCs w:val="21"/>
          <w:highlight w:val="none"/>
        </w:rPr>
        <w:t>（</w:t>
      </w:r>
      <w:r>
        <w:rPr>
          <w:color w:val="auto"/>
          <w:szCs w:val="21"/>
          <w:highlight w:val="none"/>
        </w:rPr>
        <w:t>9</w:t>
      </w:r>
      <w:r>
        <w:rPr>
          <w:rFonts w:hint="eastAsia"/>
          <w:color w:val="auto"/>
          <w:szCs w:val="21"/>
          <w:highlight w:val="none"/>
        </w:rPr>
        <w:t>）保证按发包方工期要求编制施工进度计划，计划内用全面详实，根据项目特点合理组织分段施工，分段逐步移交。</w:t>
      </w:r>
    </w:p>
    <w:p>
      <w:pPr>
        <w:spacing w:line="440" w:lineRule="exact"/>
        <w:ind w:firstLine="420" w:firstLineChars="200"/>
        <w:rPr>
          <w:color w:val="auto"/>
          <w:szCs w:val="21"/>
          <w:highlight w:val="none"/>
        </w:rPr>
      </w:pPr>
    </w:p>
    <w:p>
      <w:pPr>
        <w:spacing w:line="440" w:lineRule="exact"/>
        <w:ind w:firstLine="420" w:firstLineChars="200"/>
        <w:rPr>
          <w:color w:val="auto"/>
          <w:szCs w:val="21"/>
          <w:highlight w:val="none"/>
        </w:rPr>
      </w:pPr>
    </w:p>
    <w:p>
      <w:pPr>
        <w:spacing w:line="440" w:lineRule="exact"/>
        <w:ind w:firstLine="4725" w:firstLineChars="2250"/>
        <w:rPr>
          <w:color w:val="auto"/>
          <w:szCs w:val="21"/>
          <w:highlight w:val="none"/>
        </w:rPr>
      </w:pPr>
    </w:p>
    <w:p>
      <w:pPr>
        <w:spacing w:line="440" w:lineRule="exact"/>
        <w:ind w:firstLine="4725" w:firstLineChars="2250"/>
        <w:rPr>
          <w:color w:val="auto"/>
          <w:szCs w:val="21"/>
          <w:highlight w:val="none"/>
        </w:rPr>
      </w:pPr>
      <w:r>
        <w:rPr>
          <w:rFonts w:hint="eastAsia"/>
          <w:color w:val="auto"/>
          <w:szCs w:val="21"/>
          <w:highlight w:val="none"/>
        </w:rPr>
        <w:t>投标人：    （盖章）</w:t>
      </w:r>
    </w:p>
    <w:p>
      <w:pPr>
        <w:spacing w:line="440" w:lineRule="exact"/>
        <w:ind w:firstLine="4725" w:firstLineChars="2250"/>
        <w:rPr>
          <w:color w:val="auto"/>
          <w:szCs w:val="21"/>
          <w:highlight w:val="none"/>
        </w:rPr>
      </w:pPr>
      <w:r>
        <w:rPr>
          <w:rFonts w:hint="eastAsia"/>
          <w:color w:val="auto"/>
          <w:szCs w:val="21"/>
          <w:highlight w:val="none"/>
        </w:rPr>
        <w:t>日   期：    年    月    日</w:t>
      </w:r>
    </w:p>
    <w:p>
      <w:pPr>
        <w:pStyle w:val="10"/>
        <w:rPr>
          <w:color w:val="auto"/>
          <w:highlight w:val="none"/>
          <w:lang w:val="en-US"/>
        </w:rPr>
      </w:pPr>
    </w:p>
    <w:p>
      <w:pPr>
        <w:spacing w:after="0" w:line="540" w:lineRule="exact"/>
        <w:ind w:firstLine="0"/>
        <w:rPr>
          <w:rFonts w:ascii="宋体" w:hAnsi="宋体"/>
          <w:b/>
          <w:color w:val="auto"/>
          <w:kern w:val="2"/>
          <w:sz w:val="20"/>
          <w:szCs w:val="20"/>
          <w:highlight w:val="none"/>
        </w:rPr>
      </w:pPr>
      <w:r>
        <w:rPr>
          <w:rFonts w:hint="eastAsia" w:ascii="宋体" w:hAnsi="宋体"/>
          <w:b/>
          <w:color w:val="auto"/>
          <w:sz w:val="28"/>
          <w:szCs w:val="28"/>
          <w:highlight w:val="none"/>
        </w:rPr>
        <w:br w:type="page"/>
      </w:r>
      <w:bookmarkStart w:id="475" w:name="_Toc31965"/>
      <w:bookmarkStart w:id="476" w:name="_Toc22280978"/>
      <w:r>
        <w:rPr>
          <w:rFonts w:hint="eastAsia" w:ascii="宋体" w:hAnsi="宋体"/>
          <w:b/>
          <w:color w:val="auto"/>
          <w:kern w:val="2"/>
          <w:sz w:val="20"/>
          <w:szCs w:val="20"/>
          <w:highlight w:val="none"/>
        </w:rPr>
        <w:t>格式</w:t>
      </w:r>
      <w:r>
        <w:rPr>
          <w:rFonts w:ascii="宋体" w:hAnsi="宋体"/>
          <w:b/>
          <w:color w:val="auto"/>
          <w:kern w:val="2"/>
          <w:sz w:val="20"/>
          <w:szCs w:val="20"/>
          <w:highlight w:val="none"/>
        </w:rPr>
        <w:t xml:space="preserve">4 </w:t>
      </w:r>
      <w:r>
        <w:rPr>
          <w:rFonts w:hint="eastAsia" w:ascii="宋体" w:hAnsi="宋体"/>
          <w:b/>
          <w:color w:val="auto"/>
          <w:kern w:val="2"/>
          <w:sz w:val="20"/>
          <w:szCs w:val="20"/>
          <w:highlight w:val="none"/>
        </w:rPr>
        <w:t>法定代表人证明书、法定代表人授权委托书</w:t>
      </w:r>
    </w:p>
    <w:p>
      <w:pPr>
        <w:pStyle w:val="15"/>
        <w:spacing w:after="0" w:line="360" w:lineRule="auto"/>
        <w:ind w:firstLine="0"/>
        <w:rPr>
          <w:rFonts w:ascii="宋体" w:hAnsi="宋体"/>
          <w:b/>
          <w:color w:val="auto"/>
          <w:kern w:val="2"/>
          <w:sz w:val="28"/>
          <w:szCs w:val="28"/>
          <w:highlight w:val="none"/>
        </w:rPr>
      </w:pPr>
    </w:p>
    <w:p>
      <w:pPr>
        <w:pStyle w:val="15"/>
        <w:spacing w:after="0" w:line="360" w:lineRule="auto"/>
        <w:ind w:firstLine="0"/>
        <w:jc w:val="center"/>
        <w:rPr>
          <w:rFonts w:ascii="宋体" w:hAnsi="宋体"/>
          <w:b/>
          <w:color w:val="auto"/>
          <w:kern w:val="2"/>
          <w:sz w:val="28"/>
          <w:szCs w:val="28"/>
          <w:highlight w:val="none"/>
        </w:rPr>
      </w:pPr>
      <w:r>
        <w:rPr>
          <w:rFonts w:hint="eastAsia" w:ascii="宋体" w:hAnsi="宋体"/>
          <w:b/>
          <w:color w:val="auto"/>
          <w:kern w:val="2"/>
          <w:sz w:val="28"/>
          <w:szCs w:val="28"/>
          <w:highlight w:val="none"/>
        </w:rPr>
        <w:t>法定代表人证明书、法定代表人授权委托书</w:t>
      </w:r>
    </w:p>
    <w:p>
      <w:pPr>
        <w:topLinePunct/>
        <w:adjustRightInd w:val="0"/>
        <w:snapToGrid w:val="0"/>
        <w:spacing w:line="360" w:lineRule="auto"/>
        <w:ind w:firstLine="496" w:firstLineChars="200"/>
        <w:jc w:val="center"/>
        <w:rPr>
          <w:rFonts w:ascii="宋体" w:hAnsi="宋体"/>
          <w:snapToGrid w:val="0"/>
          <w:color w:val="auto"/>
          <w:spacing w:val="4"/>
          <w:sz w:val="24"/>
          <w:highlight w:val="none"/>
        </w:rPr>
      </w:pPr>
      <w:r>
        <w:rPr>
          <w:rFonts w:hint="eastAsia" w:ascii="宋体" w:hAnsi="宋体"/>
          <w:snapToGrid w:val="0"/>
          <w:color w:val="auto"/>
          <w:spacing w:val="4"/>
          <w:sz w:val="24"/>
          <w:highlight w:val="none"/>
        </w:rPr>
        <w:t>（1）法定代表人证明书</w:t>
      </w:r>
    </w:p>
    <w:p>
      <w:pPr>
        <w:topLinePunct/>
        <w:adjustRightInd w:val="0"/>
        <w:snapToGrid w:val="0"/>
        <w:spacing w:line="360" w:lineRule="auto"/>
        <w:ind w:firstLine="420" w:firstLineChars="200"/>
        <w:rPr>
          <w:rFonts w:ascii="宋体" w:hAnsi="宋体"/>
          <w:snapToGrid w:val="0"/>
          <w:color w:val="auto"/>
          <w:spacing w:val="4"/>
          <w:sz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41275</wp:posOffset>
                </wp:positionV>
                <wp:extent cx="5097780" cy="2693035"/>
                <wp:effectExtent l="4445" t="4445" r="22225" b="762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198745" cy="2773680"/>
                        </a:xfrm>
                        <a:prstGeom prst="rect">
                          <a:avLst/>
                        </a:prstGeom>
                        <a:solidFill>
                          <a:srgbClr val="FFFFFF"/>
                        </a:solidFill>
                        <a:ln w="9525">
                          <a:solidFill>
                            <a:srgbClr val="000000"/>
                          </a:solidFill>
                          <a:miter lim="800000"/>
                        </a:ln>
                        <a:effectLst/>
                      </wps:spPr>
                      <wps:txbx>
                        <w:txbxContent>
                          <w:p>
                            <w:pPr>
                              <w:pStyle w:val="24"/>
                              <w:ind w:firstLine="0"/>
                              <w:rPr>
                                <w:szCs w:val="28"/>
                              </w:rPr>
                            </w:pPr>
                          </w:p>
                          <w:p>
                            <w:pPr>
                              <w:pStyle w:val="24"/>
                              <w:ind w:firstLine="0"/>
                              <w:rPr>
                                <w:szCs w:val="28"/>
                              </w:rPr>
                            </w:pPr>
                            <w:r>
                              <w:rPr>
                                <w:rFonts w:hint="eastAsia"/>
                                <w:szCs w:val="28"/>
                              </w:rPr>
                              <w:t>现任我单位</w:t>
                            </w:r>
                            <w:r>
                              <w:rPr>
                                <w:rFonts w:hint="eastAsia"/>
                                <w:szCs w:val="28"/>
                                <w:u w:val="single"/>
                              </w:rPr>
                              <w:t>　　　　　</w:t>
                            </w:r>
                            <w:r>
                              <w:rPr>
                                <w:rFonts w:hint="eastAsia"/>
                                <w:szCs w:val="28"/>
                              </w:rPr>
                              <w:t>职务，为法定代表人（负责人），特此证明。</w:t>
                            </w:r>
                          </w:p>
                          <w:p>
                            <w:pPr>
                              <w:pStyle w:val="24"/>
                              <w:ind w:firstLine="0"/>
                              <w:rPr>
                                <w:szCs w:val="28"/>
                              </w:rPr>
                            </w:pPr>
                            <w:r>
                              <w:rPr>
                                <w:rFonts w:hint="eastAsia"/>
                                <w:szCs w:val="28"/>
                              </w:rPr>
                              <w:t>有效期限：</w:t>
                            </w:r>
                            <w:r>
                              <w:rPr>
                                <w:szCs w:val="28"/>
                                <w:u w:val="single"/>
                              </w:rPr>
                              <w:t xml:space="preserve">                                  </w:t>
                            </w:r>
                          </w:p>
                          <w:p>
                            <w:pPr>
                              <w:pStyle w:val="24"/>
                              <w:ind w:firstLine="0"/>
                              <w:rPr>
                                <w:szCs w:val="28"/>
                              </w:rPr>
                            </w:pPr>
                            <w:r>
                              <w:rPr>
                                <w:rFonts w:hint="eastAsia"/>
                                <w:szCs w:val="28"/>
                              </w:rPr>
                              <w:t>附：法定代表人（负责人）性别：</w:t>
                            </w:r>
                            <w:r>
                              <w:rPr>
                                <w:rFonts w:hint="eastAsia"/>
                                <w:szCs w:val="28"/>
                                <w:u w:val="single"/>
                              </w:rPr>
                              <w:t>　　</w:t>
                            </w:r>
                            <w:r>
                              <w:rPr>
                                <w:rFonts w:hint="eastAsia"/>
                                <w:szCs w:val="28"/>
                              </w:rPr>
                              <w:t>年龄：</w:t>
                            </w:r>
                            <w:r>
                              <w:rPr>
                                <w:rFonts w:hint="eastAsia"/>
                                <w:szCs w:val="28"/>
                                <w:u w:val="single"/>
                              </w:rPr>
                              <w:t>　　</w:t>
                            </w:r>
                            <w:r>
                              <w:rPr>
                                <w:rFonts w:hint="eastAsia"/>
                                <w:szCs w:val="28"/>
                              </w:rPr>
                              <w:t>身份证号码：</w:t>
                            </w:r>
                            <w:r>
                              <w:rPr>
                                <w:szCs w:val="28"/>
                                <w:u w:val="single"/>
                              </w:rPr>
                              <w:t xml:space="preserve">             </w:t>
                            </w:r>
                          </w:p>
                          <w:p>
                            <w:pPr>
                              <w:pStyle w:val="24"/>
                              <w:ind w:firstLine="0"/>
                              <w:rPr>
                                <w:szCs w:val="28"/>
                              </w:rPr>
                            </w:pPr>
                            <w:r>
                              <w:rPr>
                                <w:rFonts w:hint="eastAsia"/>
                                <w:szCs w:val="28"/>
                              </w:rPr>
                              <w:t>注册号码：</w:t>
                            </w:r>
                            <w:r>
                              <w:rPr>
                                <w:rFonts w:hint="eastAsia"/>
                                <w:szCs w:val="28"/>
                                <w:u w:val="single"/>
                              </w:rPr>
                              <w:t>　　　　　　　　　　</w:t>
                            </w:r>
                            <w:r>
                              <w:rPr>
                                <w:rFonts w:hint="eastAsia"/>
                                <w:szCs w:val="28"/>
                              </w:rPr>
                              <w:t>企业类型：</w:t>
                            </w:r>
                            <w:r>
                              <w:rPr>
                                <w:szCs w:val="28"/>
                                <w:u w:val="single"/>
                              </w:rPr>
                              <w:t xml:space="preserve">                          </w:t>
                            </w:r>
                          </w:p>
                          <w:p>
                            <w:pPr>
                              <w:pStyle w:val="24"/>
                              <w:ind w:firstLine="0"/>
                              <w:rPr>
                                <w:szCs w:val="28"/>
                              </w:rPr>
                            </w:pPr>
                            <w:r>
                              <w:rPr>
                                <w:rFonts w:hint="eastAsia"/>
                                <w:szCs w:val="28"/>
                              </w:rPr>
                              <w:t>经营范围：</w:t>
                            </w:r>
                            <w:r>
                              <w:rPr>
                                <w:szCs w:val="28"/>
                                <w:u w:val="single"/>
                              </w:rPr>
                              <w:t xml:space="preserve">                                       </w:t>
                            </w:r>
                          </w:p>
                          <w:p>
                            <w:pPr>
                              <w:pStyle w:val="24"/>
                              <w:ind w:firstLine="0"/>
                              <w:rPr>
                                <w:szCs w:val="28"/>
                              </w:rPr>
                            </w:pPr>
                            <w:r>
                              <w:rPr>
                                <w:rFonts w:hint="eastAsia"/>
                                <w:szCs w:val="28"/>
                              </w:rPr>
                              <w:t>　　　　　　　　　　单位：　　　　　　　　　　　（盖章）</w:t>
                            </w:r>
                          </w:p>
                          <w:p>
                            <w:pPr>
                              <w:pStyle w:val="24"/>
                              <w:ind w:firstLine="0"/>
                              <w:rPr>
                                <w:szCs w:val="28"/>
                              </w:rPr>
                            </w:pPr>
                            <w:r>
                              <w:rPr>
                                <w:rFonts w:hint="eastAsia"/>
                                <w:szCs w:val="28"/>
                              </w:rPr>
                              <w:t>　　　　　　　　　　　　　　　　　　　　　</w:t>
                            </w:r>
                            <w:r>
                              <w:rPr>
                                <w:szCs w:val="28"/>
                              </w:rPr>
                              <w:t xml:space="preserve">    </w:t>
                            </w:r>
                            <w:r>
                              <w:rPr>
                                <w:rFonts w:hint="eastAsia"/>
                                <w:szCs w:val="28"/>
                              </w:rPr>
                              <w:t>年　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pt;margin-top:3.25pt;height:212.05pt;width:401.4pt;z-index:251659264;mso-width-relative:page;mso-height-relative:page;" fillcolor="#FFFFFF" filled="t" stroked="t" coordsize="21600,21600" o:gfxdata="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xXxFNcAAAAIAQAADwAAAAAAAAAB&#10;ACAAAAAiAAAAZHJzL2Rvd25yZXYueG1sUEsBAhQAFAAAAAgAh07iQBb1Yb5KAgAAlgQAAA4AAAAA&#10;AAAAAQAgAAAAJgEAAGRycy9lMm9Eb2MueG1sUEsFBgAAAAAGAAYAWQEAAOIFAAAAAA==&#10;">
                <v:fill on="t" focussize="0,0"/>
                <v:stroke color="#000000" miterlimit="8" joinstyle="miter"/>
                <v:imagedata o:title=""/>
                <o:lock v:ext="edit" aspectratio="f"/>
                <v:textbox>
                  <w:txbxContent>
                    <w:p>
                      <w:pPr>
                        <w:pStyle w:val="24"/>
                        <w:ind w:firstLine="0"/>
                        <w:rPr>
                          <w:szCs w:val="28"/>
                        </w:rPr>
                      </w:pPr>
                    </w:p>
                    <w:p>
                      <w:pPr>
                        <w:pStyle w:val="24"/>
                        <w:ind w:firstLine="0"/>
                        <w:rPr>
                          <w:szCs w:val="28"/>
                        </w:rPr>
                      </w:pPr>
                      <w:r>
                        <w:rPr>
                          <w:rFonts w:hint="eastAsia"/>
                          <w:szCs w:val="28"/>
                        </w:rPr>
                        <w:t>现任我单位</w:t>
                      </w:r>
                      <w:r>
                        <w:rPr>
                          <w:rFonts w:hint="eastAsia"/>
                          <w:szCs w:val="28"/>
                          <w:u w:val="single"/>
                        </w:rPr>
                        <w:t>　　　　　</w:t>
                      </w:r>
                      <w:r>
                        <w:rPr>
                          <w:rFonts w:hint="eastAsia"/>
                          <w:szCs w:val="28"/>
                        </w:rPr>
                        <w:t>职务，为法定代表人（负责人），特此证明。</w:t>
                      </w:r>
                    </w:p>
                    <w:p>
                      <w:pPr>
                        <w:pStyle w:val="24"/>
                        <w:ind w:firstLine="0"/>
                        <w:rPr>
                          <w:szCs w:val="28"/>
                        </w:rPr>
                      </w:pPr>
                      <w:r>
                        <w:rPr>
                          <w:rFonts w:hint="eastAsia"/>
                          <w:szCs w:val="28"/>
                        </w:rPr>
                        <w:t>有效期限：</w:t>
                      </w:r>
                      <w:r>
                        <w:rPr>
                          <w:szCs w:val="28"/>
                          <w:u w:val="single"/>
                        </w:rPr>
                        <w:t xml:space="preserve">                                  </w:t>
                      </w:r>
                    </w:p>
                    <w:p>
                      <w:pPr>
                        <w:pStyle w:val="24"/>
                        <w:ind w:firstLine="0"/>
                        <w:rPr>
                          <w:szCs w:val="28"/>
                        </w:rPr>
                      </w:pPr>
                      <w:r>
                        <w:rPr>
                          <w:rFonts w:hint="eastAsia"/>
                          <w:szCs w:val="28"/>
                        </w:rPr>
                        <w:t>附：法定代表人（负责人）性别：</w:t>
                      </w:r>
                      <w:r>
                        <w:rPr>
                          <w:rFonts w:hint="eastAsia"/>
                          <w:szCs w:val="28"/>
                          <w:u w:val="single"/>
                        </w:rPr>
                        <w:t>　　</w:t>
                      </w:r>
                      <w:r>
                        <w:rPr>
                          <w:rFonts w:hint="eastAsia"/>
                          <w:szCs w:val="28"/>
                        </w:rPr>
                        <w:t>年龄：</w:t>
                      </w:r>
                      <w:r>
                        <w:rPr>
                          <w:rFonts w:hint="eastAsia"/>
                          <w:szCs w:val="28"/>
                          <w:u w:val="single"/>
                        </w:rPr>
                        <w:t>　　</w:t>
                      </w:r>
                      <w:r>
                        <w:rPr>
                          <w:rFonts w:hint="eastAsia"/>
                          <w:szCs w:val="28"/>
                        </w:rPr>
                        <w:t>身份证号码：</w:t>
                      </w:r>
                      <w:r>
                        <w:rPr>
                          <w:szCs w:val="28"/>
                          <w:u w:val="single"/>
                        </w:rPr>
                        <w:t xml:space="preserve">             </w:t>
                      </w:r>
                    </w:p>
                    <w:p>
                      <w:pPr>
                        <w:pStyle w:val="24"/>
                        <w:ind w:firstLine="0"/>
                        <w:rPr>
                          <w:szCs w:val="28"/>
                        </w:rPr>
                      </w:pPr>
                      <w:r>
                        <w:rPr>
                          <w:rFonts w:hint="eastAsia"/>
                          <w:szCs w:val="28"/>
                        </w:rPr>
                        <w:t>注册号码：</w:t>
                      </w:r>
                      <w:r>
                        <w:rPr>
                          <w:rFonts w:hint="eastAsia"/>
                          <w:szCs w:val="28"/>
                          <w:u w:val="single"/>
                        </w:rPr>
                        <w:t>　　　　　　　　　　</w:t>
                      </w:r>
                      <w:r>
                        <w:rPr>
                          <w:rFonts w:hint="eastAsia"/>
                          <w:szCs w:val="28"/>
                        </w:rPr>
                        <w:t>企业类型：</w:t>
                      </w:r>
                      <w:r>
                        <w:rPr>
                          <w:szCs w:val="28"/>
                          <w:u w:val="single"/>
                        </w:rPr>
                        <w:t xml:space="preserve">                          </w:t>
                      </w:r>
                    </w:p>
                    <w:p>
                      <w:pPr>
                        <w:pStyle w:val="24"/>
                        <w:ind w:firstLine="0"/>
                        <w:rPr>
                          <w:szCs w:val="28"/>
                        </w:rPr>
                      </w:pPr>
                      <w:r>
                        <w:rPr>
                          <w:rFonts w:hint="eastAsia"/>
                          <w:szCs w:val="28"/>
                        </w:rPr>
                        <w:t>经营范围：</w:t>
                      </w:r>
                      <w:r>
                        <w:rPr>
                          <w:szCs w:val="28"/>
                          <w:u w:val="single"/>
                        </w:rPr>
                        <w:t xml:space="preserve">                                       </w:t>
                      </w:r>
                    </w:p>
                    <w:p>
                      <w:pPr>
                        <w:pStyle w:val="24"/>
                        <w:ind w:firstLine="0"/>
                        <w:rPr>
                          <w:szCs w:val="28"/>
                        </w:rPr>
                      </w:pPr>
                      <w:r>
                        <w:rPr>
                          <w:rFonts w:hint="eastAsia"/>
                          <w:szCs w:val="28"/>
                        </w:rPr>
                        <w:t>　　　　　　　　　　单位：　　　　　　　　　　　（盖章）</w:t>
                      </w:r>
                    </w:p>
                    <w:p>
                      <w:pPr>
                        <w:pStyle w:val="24"/>
                        <w:ind w:firstLine="0"/>
                        <w:rPr>
                          <w:szCs w:val="28"/>
                        </w:rPr>
                      </w:pPr>
                      <w:r>
                        <w:rPr>
                          <w:rFonts w:hint="eastAsia"/>
                          <w:szCs w:val="28"/>
                        </w:rPr>
                        <w:t>　　　　　　　　　　　　　　　　　　　　　</w:t>
                      </w:r>
                      <w:r>
                        <w:rPr>
                          <w:szCs w:val="28"/>
                        </w:rPr>
                        <w:t xml:space="preserve">    </w:t>
                      </w:r>
                      <w:r>
                        <w:rPr>
                          <w:rFonts w:hint="eastAsia"/>
                          <w:szCs w:val="28"/>
                        </w:rPr>
                        <w:t>年　月　　日</w:t>
                      </w:r>
                    </w:p>
                  </w:txbxContent>
                </v:textbox>
              </v:shape>
            </w:pict>
          </mc:Fallback>
        </mc:AlternateContent>
      </w:r>
    </w:p>
    <w:p>
      <w:pPr>
        <w:topLinePunct/>
        <w:adjustRightInd w:val="0"/>
        <w:snapToGrid w:val="0"/>
        <w:spacing w:line="360" w:lineRule="auto"/>
        <w:ind w:firstLine="496" w:firstLineChars="200"/>
        <w:rPr>
          <w:rFonts w:ascii="宋体" w:hAnsi="宋体"/>
          <w:snapToGrid w:val="0"/>
          <w:color w:val="auto"/>
          <w:spacing w:val="4"/>
          <w:sz w:val="24"/>
          <w:highlight w:val="none"/>
        </w:rPr>
      </w:pPr>
      <w:r>
        <w:rPr>
          <w:rFonts w:hint="eastAsia" w:ascii="宋体" w:hAnsi="宋体"/>
          <w:snapToGrid w:val="0"/>
          <w:color w:val="auto"/>
          <w:spacing w:val="4"/>
          <w:sz w:val="24"/>
          <w:highlight w:val="none"/>
        </w:rPr>
        <w:t>授权委</w:t>
      </w:r>
    </w:p>
    <w:p>
      <w:pPr>
        <w:topLinePunct/>
        <w:adjustRightInd w:val="0"/>
        <w:snapToGrid w:val="0"/>
        <w:spacing w:line="360" w:lineRule="auto"/>
        <w:ind w:firstLine="496" w:firstLineChars="200"/>
        <w:rPr>
          <w:rFonts w:ascii="宋体" w:hAnsi="宋体"/>
          <w:snapToGrid w:val="0"/>
          <w:color w:val="auto"/>
          <w:spacing w:val="4"/>
          <w:sz w:val="24"/>
          <w:highlight w:val="none"/>
        </w:rPr>
      </w:pPr>
    </w:p>
    <w:p>
      <w:pPr>
        <w:topLinePunct/>
        <w:adjustRightInd w:val="0"/>
        <w:snapToGrid w:val="0"/>
        <w:spacing w:line="360" w:lineRule="auto"/>
        <w:ind w:firstLine="496" w:firstLineChars="200"/>
        <w:rPr>
          <w:rFonts w:ascii="宋体" w:hAnsi="宋体"/>
          <w:snapToGrid w:val="0"/>
          <w:color w:val="auto"/>
          <w:spacing w:val="4"/>
          <w:sz w:val="24"/>
          <w:highlight w:val="none"/>
        </w:rPr>
      </w:pPr>
      <w:r>
        <w:rPr>
          <w:rFonts w:hint="eastAsia" w:ascii="宋体" w:hAnsi="宋体"/>
          <w:snapToGrid w:val="0"/>
          <w:color w:val="auto"/>
          <w:spacing w:val="4"/>
          <w:sz w:val="24"/>
          <w:highlight w:val="none"/>
        </w:rPr>
        <w:t>托证明书</w:t>
      </w:r>
    </w:p>
    <w:p>
      <w:pPr>
        <w:topLinePunct/>
        <w:adjustRightInd w:val="0"/>
        <w:snapToGrid w:val="0"/>
        <w:spacing w:line="360" w:lineRule="auto"/>
        <w:ind w:firstLine="496" w:firstLineChars="200"/>
        <w:rPr>
          <w:rFonts w:ascii="宋体" w:hAnsi="宋体"/>
          <w:snapToGrid w:val="0"/>
          <w:color w:val="auto"/>
          <w:spacing w:val="4"/>
          <w:sz w:val="24"/>
          <w:highlight w:val="none"/>
        </w:rPr>
      </w:pPr>
      <w:r>
        <w:rPr>
          <w:rFonts w:hint="eastAsia" w:ascii="宋体" w:hAnsi="宋体"/>
          <w:snapToGrid w:val="0"/>
          <w:color w:val="auto"/>
          <w:spacing w:val="4"/>
          <w:sz w:val="24"/>
          <w:highlight w:val="none"/>
        </w:rPr>
        <w:t>（　 ）第　号</w:t>
      </w:r>
    </w:p>
    <w:p>
      <w:pPr>
        <w:topLinePunct/>
        <w:adjustRightInd w:val="0"/>
        <w:snapToGrid w:val="0"/>
        <w:spacing w:line="360" w:lineRule="auto"/>
        <w:ind w:firstLine="496" w:firstLineChars="200"/>
        <w:rPr>
          <w:rFonts w:ascii="宋体" w:hAnsi="宋体"/>
          <w:snapToGrid w:val="0"/>
          <w:color w:val="auto"/>
          <w:spacing w:val="4"/>
          <w:sz w:val="24"/>
          <w:highlight w:val="none"/>
        </w:rPr>
      </w:pPr>
      <w:r>
        <w:rPr>
          <w:rFonts w:hint="eastAsia" w:ascii="宋体" w:hAnsi="宋体"/>
          <w:snapToGrid w:val="0"/>
          <w:color w:val="auto"/>
          <w:spacing w:val="4"/>
          <w:sz w:val="24"/>
          <w:highlight w:val="none"/>
        </w:rPr>
        <w:t>注：按提供的该表格格式填写，或使用从工商管理部门购买的表格填</w:t>
      </w:r>
    </w:p>
    <w:p>
      <w:pPr>
        <w:topLinePunct/>
        <w:adjustRightInd w:val="0"/>
        <w:snapToGrid w:val="0"/>
        <w:spacing w:line="360" w:lineRule="auto"/>
        <w:ind w:firstLine="496" w:firstLineChars="200"/>
        <w:rPr>
          <w:rFonts w:ascii="宋体" w:hAnsi="宋体"/>
          <w:snapToGrid w:val="0"/>
          <w:color w:val="auto"/>
          <w:spacing w:val="4"/>
          <w:sz w:val="24"/>
          <w:highlight w:val="none"/>
        </w:rPr>
      </w:pPr>
    </w:p>
    <w:p>
      <w:pPr>
        <w:topLinePunct/>
        <w:adjustRightInd w:val="0"/>
        <w:snapToGrid w:val="0"/>
        <w:spacing w:line="360" w:lineRule="auto"/>
        <w:ind w:firstLine="496" w:firstLineChars="200"/>
        <w:rPr>
          <w:rFonts w:ascii="宋体" w:hAnsi="宋体"/>
          <w:snapToGrid w:val="0"/>
          <w:color w:val="auto"/>
          <w:spacing w:val="4"/>
          <w:sz w:val="24"/>
          <w:highlight w:val="none"/>
        </w:rPr>
      </w:pPr>
    </w:p>
    <w:p>
      <w:pPr>
        <w:topLinePunct/>
        <w:adjustRightInd w:val="0"/>
        <w:snapToGrid w:val="0"/>
        <w:spacing w:line="360" w:lineRule="auto"/>
        <w:ind w:firstLine="496" w:firstLineChars="200"/>
        <w:rPr>
          <w:rFonts w:ascii="宋体" w:hAnsi="宋体"/>
          <w:snapToGrid w:val="0"/>
          <w:color w:val="auto"/>
          <w:spacing w:val="4"/>
          <w:sz w:val="24"/>
          <w:highlight w:val="none"/>
        </w:rPr>
      </w:pPr>
    </w:p>
    <w:p>
      <w:pPr>
        <w:topLinePunct/>
        <w:adjustRightInd w:val="0"/>
        <w:snapToGrid w:val="0"/>
        <w:rPr>
          <w:rFonts w:ascii="宋体" w:hAnsi="宋体"/>
          <w:snapToGrid w:val="0"/>
          <w:color w:val="auto"/>
          <w:spacing w:val="4"/>
          <w:szCs w:val="21"/>
          <w:highlight w:val="none"/>
        </w:rPr>
      </w:pPr>
      <w:r>
        <w:rPr>
          <w:rFonts w:hint="eastAsia" w:ascii="宋体" w:hAnsi="宋体"/>
          <w:snapToGrid w:val="0"/>
          <w:color w:val="auto"/>
          <w:spacing w:val="4"/>
          <w:szCs w:val="21"/>
          <w:highlight w:val="none"/>
        </w:rPr>
        <w:t xml:space="preserve">   </w:t>
      </w:r>
    </w:p>
    <w:p>
      <w:pPr>
        <w:topLinePunct/>
        <w:adjustRightInd w:val="0"/>
        <w:snapToGrid w:val="0"/>
        <w:rPr>
          <w:rFonts w:ascii="宋体" w:hAnsi="宋体"/>
          <w:snapToGrid w:val="0"/>
          <w:color w:val="auto"/>
          <w:spacing w:val="4"/>
          <w:sz w:val="20"/>
          <w:szCs w:val="20"/>
          <w:highlight w:val="none"/>
        </w:rPr>
      </w:pPr>
      <w:r>
        <w:rPr>
          <w:rFonts w:hint="eastAsia" w:ascii="宋体" w:hAnsi="宋体"/>
          <w:snapToGrid w:val="0"/>
          <w:color w:val="auto"/>
          <w:spacing w:val="4"/>
          <w:sz w:val="20"/>
          <w:szCs w:val="20"/>
          <w:highlight w:val="none"/>
        </w:rPr>
        <w:t>注：1、法定代表人证明书也可以采用工商行政管理局统一印制的格式。</w:t>
      </w:r>
    </w:p>
    <w:p>
      <w:pPr>
        <w:topLinePunct/>
        <w:adjustRightInd w:val="0"/>
        <w:snapToGrid w:val="0"/>
        <w:ind w:firstLine="416" w:firstLineChars="200"/>
        <w:rPr>
          <w:rFonts w:ascii="宋体" w:hAnsi="宋体"/>
          <w:snapToGrid w:val="0"/>
          <w:color w:val="auto"/>
          <w:spacing w:val="4"/>
          <w:sz w:val="20"/>
          <w:szCs w:val="20"/>
          <w:highlight w:val="none"/>
        </w:rPr>
      </w:pPr>
      <w:r>
        <w:rPr>
          <w:rFonts w:hint="eastAsia" w:ascii="宋体" w:hAnsi="宋体"/>
          <w:snapToGrid w:val="0"/>
          <w:color w:val="auto"/>
          <w:spacing w:val="4"/>
          <w:sz w:val="20"/>
          <w:szCs w:val="20"/>
          <w:highlight w:val="none"/>
        </w:rPr>
        <w:t>2、联合体投标的，本证明书由联合体主办方出具，仅填写主办方单位名称并由联合体主办方盖章即可。</w:t>
      </w:r>
    </w:p>
    <w:p>
      <w:pPr>
        <w:topLinePunct/>
        <w:adjustRightInd w:val="0"/>
        <w:snapToGrid w:val="0"/>
        <w:spacing w:line="360" w:lineRule="auto"/>
        <w:ind w:firstLine="496" w:firstLineChars="200"/>
        <w:rPr>
          <w:rFonts w:ascii="宋体" w:hAnsi="宋体"/>
          <w:snapToGrid w:val="0"/>
          <w:color w:val="auto"/>
          <w:spacing w:val="4"/>
          <w:sz w:val="24"/>
          <w:highlight w:val="none"/>
        </w:rPr>
      </w:pPr>
    </w:p>
    <w:p>
      <w:pPr>
        <w:topLinePunct/>
        <w:adjustRightInd w:val="0"/>
        <w:snapToGrid w:val="0"/>
        <w:spacing w:line="360" w:lineRule="auto"/>
        <w:ind w:firstLine="496" w:firstLineChars="200"/>
        <w:jc w:val="center"/>
        <w:rPr>
          <w:rFonts w:ascii="宋体" w:hAnsi="宋体"/>
          <w:snapToGrid w:val="0"/>
          <w:color w:val="auto"/>
          <w:spacing w:val="4"/>
          <w:sz w:val="24"/>
          <w:highlight w:val="none"/>
        </w:rPr>
      </w:pPr>
      <w:r>
        <w:rPr>
          <w:rFonts w:hint="eastAsia" w:ascii="宋体" w:hAnsi="宋体"/>
          <w:snapToGrid w:val="0"/>
          <w:color w:val="auto"/>
          <w:spacing w:val="4"/>
          <w:sz w:val="24"/>
          <w:highlight w:val="none"/>
        </w:rPr>
        <w:t>（2）法定代表人授权委托书</w:t>
      </w:r>
    </w:p>
    <w:p>
      <w:pPr>
        <w:topLinePunct/>
        <w:adjustRightInd w:val="0"/>
        <w:snapToGrid w:val="0"/>
        <w:spacing w:line="360" w:lineRule="auto"/>
        <w:ind w:firstLine="420" w:firstLineChars="200"/>
        <w:rPr>
          <w:rFonts w:ascii="宋体" w:hAnsi="宋体"/>
          <w:snapToGrid w:val="0"/>
          <w:color w:val="auto"/>
          <w:spacing w:val="4"/>
          <w:sz w:val="24"/>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34290</wp:posOffset>
                </wp:positionV>
                <wp:extent cx="5160645" cy="2618105"/>
                <wp:effectExtent l="4445" t="4445" r="16510" b="635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160645" cy="2698750"/>
                        </a:xfrm>
                        <a:prstGeom prst="rect">
                          <a:avLst/>
                        </a:prstGeom>
                        <a:solidFill>
                          <a:srgbClr val="FFFFFF"/>
                        </a:solidFill>
                        <a:ln w="9525">
                          <a:solidFill>
                            <a:srgbClr val="000000"/>
                          </a:solidFill>
                          <a:miter lim="800000"/>
                        </a:ln>
                        <a:effectLst/>
                      </wps:spPr>
                      <wps:txbx>
                        <w:txbxContent>
                          <w:p>
                            <w:pPr>
                              <w:pStyle w:val="24"/>
                              <w:ind w:firstLine="0"/>
                            </w:pPr>
                            <w:r>
                              <w:rPr>
                                <w:rFonts w:hint="eastAsia"/>
                              </w:rPr>
                              <w:t>兹授权</w:t>
                            </w:r>
                            <w:r>
                              <w:rPr>
                                <w:u w:val="single"/>
                              </w:rPr>
                              <w:t xml:space="preserve">                </w:t>
                            </w:r>
                            <w:r>
                              <w:rPr>
                                <w:rFonts w:hint="eastAsia"/>
                              </w:rPr>
                              <w:t>为我方委托代理人，其权限是：</w:t>
                            </w:r>
                            <w:r>
                              <w:rPr>
                                <w:u w:val="single"/>
                              </w:rPr>
                              <w:t xml:space="preserve">                </w:t>
                            </w:r>
                          </w:p>
                          <w:p>
                            <w:pPr>
                              <w:pStyle w:val="24"/>
                              <w:ind w:firstLine="0"/>
                              <w:rPr>
                                <w:u w:val="single"/>
                              </w:rPr>
                            </w:pPr>
                            <w:r>
                              <w:t xml:space="preserve"> </w:t>
                            </w:r>
                            <w:r>
                              <w:rPr>
                                <w:u w:val="single"/>
                              </w:rPr>
                              <w:t xml:space="preserve">                                                                </w:t>
                            </w:r>
                          </w:p>
                          <w:p>
                            <w:pPr>
                              <w:pStyle w:val="24"/>
                              <w:ind w:firstLine="0"/>
                            </w:pPr>
                            <w:r>
                              <w:rPr>
                                <w:rFonts w:hint="eastAsia"/>
                              </w:rPr>
                              <w:t>有效期限：</w:t>
                            </w:r>
                            <w:r>
                              <w:rPr>
                                <w:u w:val="single"/>
                              </w:rPr>
                              <w:t xml:space="preserve">                                                        </w:t>
                            </w:r>
                          </w:p>
                          <w:p>
                            <w:pPr>
                              <w:pStyle w:val="24"/>
                              <w:ind w:firstLine="0"/>
                            </w:pPr>
                            <w:r>
                              <w:rPr>
                                <w:rFonts w:hint="eastAsia"/>
                              </w:rPr>
                              <w:t>附：代理人性别：</w:t>
                            </w:r>
                            <w:r>
                              <w:rPr>
                                <w:u w:val="single"/>
                              </w:rPr>
                              <w:t xml:space="preserve">     </w:t>
                            </w:r>
                            <w:r>
                              <w:rPr>
                                <w:rFonts w:hint="eastAsia"/>
                              </w:rPr>
                              <w:t>年龄：</w:t>
                            </w:r>
                            <w:r>
                              <w:rPr>
                                <w:u w:val="single"/>
                              </w:rPr>
                              <w:t xml:space="preserve">     </w:t>
                            </w:r>
                            <w:r>
                              <w:rPr>
                                <w:rFonts w:hint="eastAsia"/>
                              </w:rPr>
                              <w:t>身份证号码：</w:t>
                            </w:r>
                            <w:r>
                              <w:rPr>
                                <w:u w:val="single"/>
                              </w:rPr>
                              <w:t xml:space="preserve">                       </w:t>
                            </w:r>
                          </w:p>
                          <w:p>
                            <w:pPr>
                              <w:pStyle w:val="24"/>
                              <w:ind w:firstLine="0"/>
                            </w:pPr>
                            <w:r>
                              <w:rPr>
                                <w:rFonts w:hint="eastAsia"/>
                              </w:rPr>
                              <w:t>注册号码：</w:t>
                            </w:r>
                            <w:r>
                              <w:rPr>
                                <w:u w:val="single"/>
                              </w:rPr>
                              <w:t xml:space="preserve">                  </w:t>
                            </w:r>
                            <w:r>
                              <w:rPr>
                                <w:rFonts w:hint="eastAsia"/>
                              </w:rPr>
                              <w:t>企业类型：</w:t>
                            </w:r>
                            <w:r>
                              <w:rPr>
                                <w:u w:val="single"/>
                              </w:rPr>
                              <w:t xml:space="preserve">                            </w:t>
                            </w:r>
                          </w:p>
                          <w:p>
                            <w:pPr>
                              <w:pStyle w:val="24"/>
                              <w:ind w:firstLine="0"/>
                            </w:pPr>
                            <w:r>
                              <w:rPr>
                                <w:rFonts w:hint="eastAsia"/>
                              </w:rPr>
                              <w:t>经营范围：</w:t>
                            </w:r>
                            <w:r>
                              <w:rPr>
                                <w:u w:val="single"/>
                              </w:rPr>
                              <w:t xml:space="preserve">                                                        </w:t>
                            </w:r>
                          </w:p>
                          <w:p>
                            <w:pPr>
                              <w:pStyle w:val="24"/>
                              <w:ind w:firstLine="0"/>
                            </w:pPr>
                            <w:r>
                              <w:rPr>
                                <w:rFonts w:hint="eastAsia"/>
                              </w:rPr>
                              <w:t>法定代表人（负责人）：</w:t>
                            </w:r>
                            <w:r>
                              <w:rPr>
                                <w:u w:val="single"/>
                              </w:rPr>
                              <w:t xml:space="preserve">                 </w:t>
                            </w:r>
                            <w:r>
                              <w:rPr>
                                <w:rFonts w:hint="eastAsia"/>
                              </w:rPr>
                              <w:t>（签字或盖章）</w:t>
                            </w:r>
                          </w:p>
                          <w:p>
                            <w:pPr>
                              <w:pStyle w:val="24"/>
                              <w:ind w:firstLine="0"/>
                            </w:pPr>
                            <w:r>
                              <w:rPr>
                                <w:rFonts w:hint="eastAsia"/>
                              </w:rPr>
                              <w:t>授权单位：（盖章）</w:t>
                            </w:r>
                            <w:r>
                              <w:rPr>
                                <w:u w:val="single"/>
                              </w:rPr>
                              <w:t xml:space="preserve">                      </w:t>
                            </w:r>
                          </w:p>
                          <w:p>
                            <w:pPr>
                              <w:pStyle w:val="24"/>
                              <w:ind w:firstLine="496"/>
                            </w:pPr>
                            <w:r>
                              <w:rPr>
                                <w:rFonts w:hint="eastAsia"/>
                              </w:rPr>
                              <w:t>年</w:t>
                            </w:r>
                            <w:r>
                              <w:t xml:space="preserve">  </w:t>
                            </w:r>
                            <w:r>
                              <w:rPr>
                                <w:rFonts w:hint="eastAsia"/>
                              </w:rPr>
                              <w:t>月</w:t>
                            </w:r>
                            <w:r>
                              <w:t xml:space="preserve">   </w:t>
                            </w:r>
                            <w:r>
                              <w:rPr>
                                <w:rFonts w:hint="eastAsia"/>
                              </w:rPr>
                              <w:t>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206.15pt;width:406.35pt;z-index:251660288;mso-width-relative:page;mso-height-relative:page;" fillcolor="#FFFFFF" filled="t" stroked="t" coordsize="21600,21600" o:gfxdata="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JnTmt1wAAAAgBAAAPAAAAAAAAAAEA&#10;IAAAACIAAABkcnMvZG93bnJldi54bWxQSwECFAAUAAAACACHTuJAH/vO00kCAACWBAAADgAAAAAA&#10;AAABACAAAAAmAQAAZHJzL2Uyb0RvYy54bWxQSwUGAAAAAAYABgBZAQAA4QUAAAAA&#10;">
                <v:fill on="t" focussize="0,0"/>
                <v:stroke color="#000000" miterlimit="8" joinstyle="miter"/>
                <v:imagedata o:title=""/>
                <o:lock v:ext="edit" aspectratio="f"/>
                <v:textbox>
                  <w:txbxContent>
                    <w:p>
                      <w:pPr>
                        <w:pStyle w:val="24"/>
                        <w:ind w:firstLine="0"/>
                      </w:pPr>
                      <w:r>
                        <w:rPr>
                          <w:rFonts w:hint="eastAsia"/>
                        </w:rPr>
                        <w:t>兹授权</w:t>
                      </w:r>
                      <w:r>
                        <w:rPr>
                          <w:u w:val="single"/>
                        </w:rPr>
                        <w:t xml:space="preserve">                </w:t>
                      </w:r>
                      <w:r>
                        <w:rPr>
                          <w:rFonts w:hint="eastAsia"/>
                        </w:rPr>
                        <w:t>为我方委托代理人，其权限是：</w:t>
                      </w:r>
                      <w:r>
                        <w:rPr>
                          <w:u w:val="single"/>
                        </w:rPr>
                        <w:t xml:space="preserve">                </w:t>
                      </w:r>
                    </w:p>
                    <w:p>
                      <w:pPr>
                        <w:pStyle w:val="24"/>
                        <w:ind w:firstLine="0"/>
                        <w:rPr>
                          <w:u w:val="single"/>
                        </w:rPr>
                      </w:pPr>
                      <w:r>
                        <w:t xml:space="preserve"> </w:t>
                      </w:r>
                      <w:r>
                        <w:rPr>
                          <w:u w:val="single"/>
                        </w:rPr>
                        <w:t xml:space="preserve">                                                                </w:t>
                      </w:r>
                    </w:p>
                    <w:p>
                      <w:pPr>
                        <w:pStyle w:val="24"/>
                        <w:ind w:firstLine="0"/>
                      </w:pPr>
                      <w:r>
                        <w:rPr>
                          <w:rFonts w:hint="eastAsia"/>
                        </w:rPr>
                        <w:t>有效期限：</w:t>
                      </w:r>
                      <w:r>
                        <w:rPr>
                          <w:u w:val="single"/>
                        </w:rPr>
                        <w:t xml:space="preserve">                                                        </w:t>
                      </w:r>
                    </w:p>
                    <w:p>
                      <w:pPr>
                        <w:pStyle w:val="24"/>
                        <w:ind w:firstLine="0"/>
                      </w:pPr>
                      <w:r>
                        <w:rPr>
                          <w:rFonts w:hint="eastAsia"/>
                        </w:rPr>
                        <w:t>附：代理人性别：</w:t>
                      </w:r>
                      <w:r>
                        <w:rPr>
                          <w:u w:val="single"/>
                        </w:rPr>
                        <w:t xml:space="preserve">     </w:t>
                      </w:r>
                      <w:r>
                        <w:rPr>
                          <w:rFonts w:hint="eastAsia"/>
                        </w:rPr>
                        <w:t>年龄：</w:t>
                      </w:r>
                      <w:r>
                        <w:rPr>
                          <w:u w:val="single"/>
                        </w:rPr>
                        <w:t xml:space="preserve">     </w:t>
                      </w:r>
                      <w:r>
                        <w:rPr>
                          <w:rFonts w:hint="eastAsia"/>
                        </w:rPr>
                        <w:t>身份证号码：</w:t>
                      </w:r>
                      <w:r>
                        <w:rPr>
                          <w:u w:val="single"/>
                        </w:rPr>
                        <w:t xml:space="preserve">                       </w:t>
                      </w:r>
                    </w:p>
                    <w:p>
                      <w:pPr>
                        <w:pStyle w:val="24"/>
                        <w:ind w:firstLine="0"/>
                      </w:pPr>
                      <w:r>
                        <w:rPr>
                          <w:rFonts w:hint="eastAsia"/>
                        </w:rPr>
                        <w:t>注册号码：</w:t>
                      </w:r>
                      <w:r>
                        <w:rPr>
                          <w:u w:val="single"/>
                        </w:rPr>
                        <w:t xml:space="preserve">                  </w:t>
                      </w:r>
                      <w:r>
                        <w:rPr>
                          <w:rFonts w:hint="eastAsia"/>
                        </w:rPr>
                        <w:t>企业类型：</w:t>
                      </w:r>
                      <w:r>
                        <w:rPr>
                          <w:u w:val="single"/>
                        </w:rPr>
                        <w:t xml:space="preserve">                            </w:t>
                      </w:r>
                    </w:p>
                    <w:p>
                      <w:pPr>
                        <w:pStyle w:val="24"/>
                        <w:ind w:firstLine="0"/>
                      </w:pPr>
                      <w:r>
                        <w:rPr>
                          <w:rFonts w:hint="eastAsia"/>
                        </w:rPr>
                        <w:t>经营范围：</w:t>
                      </w:r>
                      <w:r>
                        <w:rPr>
                          <w:u w:val="single"/>
                        </w:rPr>
                        <w:t xml:space="preserve">                                                        </w:t>
                      </w:r>
                    </w:p>
                    <w:p>
                      <w:pPr>
                        <w:pStyle w:val="24"/>
                        <w:ind w:firstLine="0"/>
                      </w:pPr>
                      <w:r>
                        <w:rPr>
                          <w:rFonts w:hint="eastAsia"/>
                        </w:rPr>
                        <w:t>法定代表人（负责人）：</w:t>
                      </w:r>
                      <w:r>
                        <w:rPr>
                          <w:u w:val="single"/>
                        </w:rPr>
                        <w:t xml:space="preserve">                 </w:t>
                      </w:r>
                      <w:r>
                        <w:rPr>
                          <w:rFonts w:hint="eastAsia"/>
                        </w:rPr>
                        <w:t>（签字或盖章）</w:t>
                      </w:r>
                    </w:p>
                    <w:p>
                      <w:pPr>
                        <w:pStyle w:val="24"/>
                        <w:ind w:firstLine="0"/>
                      </w:pPr>
                      <w:r>
                        <w:rPr>
                          <w:rFonts w:hint="eastAsia"/>
                        </w:rPr>
                        <w:t>授权单位：（盖章）</w:t>
                      </w:r>
                      <w:r>
                        <w:rPr>
                          <w:u w:val="single"/>
                        </w:rPr>
                        <w:t xml:space="preserve">                      </w:t>
                      </w:r>
                    </w:p>
                    <w:p>
                      <w:pPr>
                        <w:pStyle w:val="24"/>
                        <w:ind w:firstLine="496"/>
                      </w:pPr>
                      <w:r>
                        <w:rPr>
                          <w:rFonts w:hint="eastAsia"/>
                        </w:rPr>
                        <w:t>年</w:t>
                      </w:r>
                      <w:r>
                        <w:t xml:space="preserve">  </w:t>
                      </w:r>
                      <w:r>
                        <w:rPr>
                          <w:rFonts w:hint="eastAsia"/>
                        </w:rPr>
                        <w:t>月</w:t>
                      </w:r>
                      <w:r>
                        <w:t xml:space="preserve">   </w:t>
                      </w:r>
                      <w:r>
                        <w:rPr>
                          <w:rFonts w:hint="eastAsia"/>
                        </w:rPr>
                        <w:t>日</w:t>
                      </w:r>
                    </w:p>
                  </w:txbxContent>
                </v:textbox>
              </v:shape>
            </w:pict>
          </mc:Fallback>
        </mc:AlternateContent>
      </w:r>
      <w:r>
        <w:rPr>
          <w:rFonts w:hint="eastAsia" w:ascii="宋体" w:hAnsi="宋体"/>
          <w:snapToGrid w:val="0"/>
          <w:color w:val="auto"/>
          <w:spacing w:val="4"/>
          <w:sz w:val="24"/>
          <w:highlight w:val="none"/>
        </w:rPr>
        <w:t xml:space="preserve">                                                 </w:t>
      </w:r>
    </w:p>
    <w:p>
      <w:pPr>
        <w:topLinePunct/>
        <w:adjustRightInd w:val="0"/>
        <w:snapToGrid w:val="0"/>
        <w:spacing w:line="360" w:lineRule="auto"/>
        <w:ind w:firstLine="496" w:firstLineChars="200"/>
        <w:rPr>
          <w:rFonts w:ascii="宋体" w:hAnsi="宋体"/>
          <w:snapToGrid w:val="0"/>
          <w:color w:val="auto"/>
          <w:spacing w:val="4"/>
          <w:sz w:val="24"/>
          <w:highlight w:val="none"/>
        </w:rPr>
      </w:pPr>
    </w:p>
    <w:p>
      <w:pPr>
        <w:topLinePunct/>
        <w:adjustRightInd w:val="0"/>
        <w:snapToGrid w:val="0"/>
        <w:spacing w:line="360" w:lineRule="auto"/>
        <w:ind w:firstLine="496" w:firstLineChars="200"/>
        <w:rPr>
          <w:rFonts w:ascii="宋体" w:hAnsi="宋体"/>
          <w:snapToGrid w:val="0"/>
          <w:color w:val="auto"/>
          <w:spacing w:val="4"/>
          <w:sz w:val="24"/>
          <w:highlight w:val="none"/>
        </w:rPr>
      </w:pPr>
    </w:p>
    <w:p>
      <w:pPr>
        <w:topLinePunct/>
        <w:adjustRightInd w:val="0"/>
        <w:snapToGrid w:val="0"/>
        <w:spacing w:line="360" w:lineRule="auto"/>
        <w:ind w:firstLine="496" w:firstLineChars="200"/>
        <w:rPr>
          <w:rFonts w:ascii="宋体" w:hAnsi="宋体"/>
          <w:snapToGrid w:val="0"/>
          <w:color w:val="auto"/>
          <w:spacing w:val="4"/>
          <w:sz w:val="24"/>
          <w:highlight w:val="none"/>
        </w:rPr>
      </w:pPr>
    </w:p>
    <w:p>
      <w:pPr>
        <w:topLinePunct/>
        <w:adjustRightInd w:val="0"/>
        <w:snapToGrid w:val="0"/>
        <w:spacing w:line="360" w:lineRule="auto"/>
        <w:ind w:firstLine="496" w:firstLineChars="200"/>
        <w:rPr>
          <w:rFonts w:ascii="宋体" w:hAnsi="宋体"/>
          <w:snapToGrid w:val="0"/>
          <w:color w:val="auto"/>
          <w:spacing w:val="4"/>
          <w:sz w:val="24"/>
          <w:highlight w:val="none"/>
        </w:rPr>
      </w:pPr>
    </w:p>
    <w:p>
      <w:pPr>
        <w:topLinePunct/>
        <w:adjustRightInd w:val="0"/>
        <w:snapToGrid w:val="0"/>
        <w:spacing w:line="360" w:lineRule="auto"/>
        <w:ind w:firstLine="496" w:firstLineChars="200"/>
        <w:rPr>
          <w:rFonts w:ascii="宋体" w:hAnsi="宋体"/>
          <w:snapToGrid w:val="0"/>
          <w:color w:val="auto"/>
          <w:spacing w:val="4"/>
          <w:sz w:val="24"/>
          <w:highlight w:val="none"/>
        </w:rPr>
      </w:pPr>
    </w:p>
    <w:p>
      <w:pPr>
        <w:topLinePunct/>
        <w:adjustRightInd w:val="0"/>
        <w:snapToGrid w:val="0"/>
        <w:spacing w:line="360" w:lineRule="auto"/>
        <w:ind w:firstLine="496" w:firstLineChars="200"/>
        <w:rPr>
          <w:rFonts w:ascii="宋体" w:hAnsi="宋体"/>
          <w:snapToGrid w:val="0"/>
          <w:color w:val="auto"/>
          <w:spacing w:val="4"/>
          <w:sz w:val="24"/>
          <w:highlight w:val="none"/>
        </w:rPr>
      </w:pPr>
    </w:p>
    <w:p>
      <w:pPr>
        <w:topLinePunct/>
        <w:adjustRightInd w:val="0"/>
        <w:snapToGrid w:val="0"/>
        <w:spacing w:line="360" w:lineRule="auto"/>
        <w:ind w:firstLine="496" w:firstLineChars="200"/>
        <w:rPr>
          <w:rFonts w:ascii="宋体" w:hAnsi="宋体"/>
          <w:snapToGrid w:val="0"/>
          <w:color w:val="auto"/>
          <w:spacing w:val="4"/>
          <w:sz w:val="24"/>
          <w:highlight w:val="none"/>
        </w:rPr>
      </w:pPr>
    </w:p>
    <w:p>
      <w:pPr>
        <w:topLinePunct/>
        <w:adjustRightInd w:val="0"/>
        <w:snapToGrid w:val="0"/>
        <w:spacing w:line="360" w:lineRule="auto"/>
        <w:ind w:firstLine="496" w:firstLineChars="200"/>
        <w:rPr>
          <w:rFonts w:ascii="宋体" w:hAnsi="宋体"/>
          <w:snapToGrid w:val="0"/>
          <w:color w:val="auto"/>
          <w:spacing w:val="4"/>
          <w:sz w:val="24"/>
          <w:highlight w:val="none"/>
        </w:rPr>
      </w:pPr>
    </w:p>
    <w:p>
      <w:pPr>
        <w:rPr>
          <w:rFonts w:ascii="宋体" w:hAnsi="宋体"/>
          <w:color w:val="auto"/>
          <w:sz w:val="20"/>
          <w:szCs w:val="20"/>
          <w:highlight w:val="none"/>
        </w:rPr>
      </w:pPr>
      <w:r>
        <w:rPr>
          <w:rFonts w:hint="eastAsia" w:ascii="宋体" w:hAnsi="宋体"/>
          <w:color w:val="auto"/>
          <w:sz w:val="20"/>
          <w:szCs w:val="20"/>
          <w:highlight w:val="none"/>
        </w:rPr>
        <w:t>注：1、法定代表人授权委托书也可以采用工商行政管理局统一印制的格式。</w:t>
      </w:r>
    </w:p>
    <w:p>
      <w:pPr>
        <w:rPr>
          <w:rFonts w:ascii="宋体" w:hAnsi="宋体"/>
          <w:color w:val="auto"/>
          <w:sz w:val="20"/>
          <w:szCs w:val="20"/>
          <w:highlight w:val="none"/>
        </w:rPr>
      </w:pPr>
      <w:r>
        <w:rPr>
          <w:rFonts w:hint="eastAsia" w:ascii="宋体" w:hAnsi="宋体"/>
          <w:color w:val="auto"/>
          <w:sz w:val="20"/>
          <w:szCs w:val="20"/>
          <w:highlight w:val="none"/>
        </w:rPr>
        <w:t>2、联合体投标的，本授权书由联合体主办方出具，仅填写主办方单位名称并由联合体主办方签字或盖章即可。</w:t>
      </w:r>
    </w:p>
    <w:p>
      <w:pPr>
        <w:pStyle w:val="15"/>
        <w:spacing w:after="0" w:line="360" w:lineRule="auto"/>
        <w:ind w:firstLine="0"/>
        <w:rPr>
          <w:rFonts w:ascii="宋体" w:hAnsi="宋体"/>
          <w:b/>
          <w:color w:val="auto"/>
          <w:kern w:val="2"/>
          <w:sz w:val="20"/>
          <w:szCs w:val="20"/>
          <w:highlight w:val="none"/>
        </w:rPr>
      </w:pPr>
    </w:p>
    <w:p>
      <w:pPr>
        <w:pStyle w:val="15"/>
        <w:spacing w:after="0" w:line="360" w:lineRule="auto"/>
        <w:ind w:firstLine="0"/>
        <w:rPr>
          <w:rFonts w:ascii="宋体" w:hAnsi="宋体"/>
          <w:b/>
          <w:color w:val="auto"/>
          <w:kern w:val="2"/>
          <w:sz w:val="20"/>
          <w:szCs w:val="20"/>
          <w:highlight w:val="none"/>
        </w:rPr>
      </w:pPr>
      <w:r>
        <w:rPr>
          <w:rFonts w:ascii="宋体" w:hAnsi="宋体"/>
          <w:b/>
          <w:color w:val="auto"/>
          <w:kern w:val="2"/>
          <w:sz w:val="20"/>
          <w:szCs w:val="20"/>
          <w:highlight w:val="none"/>
        </w:rPr>
        <w:t>后附法定代表人和</w:t>
      </w:r>
      <w:r>
        <w:rPr>
          <w:rFonts w:hint="eastAsia" w:ascii="宋体" w:hAnsi="宋体"/>
          <w:b/>
          <w:color w:val="auto"/>
          <w:kern w:val="2"/>
          <w:sz w:val="20"/>
          <w:szCs w:val="20"/>
          <w:highlight w:val="none"/>
        </w:rPr>
        <w:t>代理人身份证扫描件。</w:t>
      </w:r>
    </w:p>
    <w:p>
      <w:pPr>
        <w:pStyle w:val="15"/>
        <w:spacing w:after="0" w:line="360" w:lineRule="auto"/>
        <w:ind w:firstLine="0"/>
        <w:rPr>
          <w:rFonts w:hint="eastAsia" w:ascii="宋体" w:hAnsi="宋体"/>
          <w:b/>
          <w:color w:val="auto"/>
          <w:kern w:val="2"/>
          <w:sz w:val="20"/>
          <w:szCs w:val="20"/>
          <w:highlight w:val="none"/>
        </w:rPr>
      </w:pPr>
    </w:p>
    <w:p>
      <w:pPr>
        <w:pStyle w:val="15"/>
        <w:spacing w:after="0" w:line="360" w:lineRule="auto"/>
        <w:ind w:firstLine="0"/>
        <w:rPr>
          <w:rFonts w:ascii="宋体" w:hAnsi="宋体"/>
          <w:b/>
          <w:color w:val="auto"/>
          <w:kern w:val="2"/>
          <w:sz w:val="20"/>
          <w:szCs w:val="20"/>
          <w:highlight w:val="none"/>
        </w:rPr>
      </w:pPr>
      <w:r>
        <w:rPr>
          <w:rFonts w:hint="eastAsia" w:ascii="宋体" w:hAnsi="宋体"/>
          <w:b/>
          <w:color w:val="auto"/>
          <w:kern w:val="2"/>
          <w:sz w:val="20"/>
          <w:szCs w:val="20"/>
          <w:highlight w:val="none"/>
        </w:rPr>
        <w:t>格式</w:t>
      </w:r>
      <w:r>
        <w:rPr>
          <w:rFonts w:ascii="宋体" w:hAnsi="宋体"/>
          <w:b/>
          <w:color w:val="auto"/>
          <w:kern w:val="2"/>
          <w:sz w:val="20"/>
          <w:szCs w:val="20"/>
          <w:highlight w:val="none"/>
        </w:rPr>
        <w:t xml:space="preserve">5 </w:t>
      </w:r>
      <w:r>
        <w:rPr>
          <w:rFonts w:hint="eastAsia" w:ascii="宋体" w:hAnsi="宋体"/>
          <w:b/>
          <w:color w:val="auto"/>
          <w:kern w:val="2"/>
          <w:sz w:val="20"/>
          <w:szCs w:val="20"/>
          <w:highlight w:val="none"/>
        </w:rPr>
        <w:t>投标文件编制人员名单</w:t>
      </w:r>
    </w:p>
    <w:bookmarkEnd w:id="475"/>
    <w:bookmarkEnd w:id="476"/>
    <w:p>
      <w:pPr>
        <w:pStyle w:val="15"/>
        <w:spacing w:after="0" w:line="360" w:lineRule="auto"/>
        <w:ind w:firstLine="0"/>
        <w:jc w:val="center"/>
        <w:rPr>
          <w:color w:val="auto"/>
          <w:sz w:val="18"/>
          <w:szCs w:val="18"/>
          <w:highlight w:val="none"/>
        </w:rPr>
      </w:pPr>
      <w:r>
        <w:rPr>
          <w:rFonts w:hint="eastAsia" w:ascii="宋体" w:hAnsi="宋体"/>
          <w:b/>
          <w:color w:val="auto"/>
          <w:kern w:val="2"/>
          <w:sz w:val="28"/>
          <w:szCs w:val="28"/>
          <w:highlight w:val="none"/>
        </w:rPr>
        <w:t>投标文件编制人员名单</w:t>
      </w:r>
    </w:p>
    <w:tbl>
      <w:tblPr>
        <w:tblStyle w:val="17"/>
        <w:tblW w:w="9003" w:type="dxa"/>
        <w:tblInd w:w="0" w:type="dxa"/>
        <w:tblLayout w:type="fixed"/>
        <w:tblCellMar>
          <w:top w:w="0" w:type="dxa"/>
          <w:left w:w="108" w:type="dxa"/>
          <w:bottom w:w="0" w:type="dxa"/>
          <w:right w:w="108" w:type="dxa"/>
        </w:tblCellMar>
      </w:tblPr>
      <w:tblGrid>
        <w:gridCol w:w="1249"/>
        <w:gridCol w:w="1453"/>
        <w:gridCol w:w="2486"/>
        <w:gridCol w:w="2383"/>
        <w:gridCol w:w="1432"/>
      </w:tblGrid>
      <w:tr>
        <w:tblPrEx>
          <w:tblCellMar>
            <w:top w:w="0" w:type="dxa"/>
            <w:left w:w="108" w:type="dxa"/>
            <w:bottom w:w="0" w:type="dxa"/>
            <w:right w:w="108" w:type="dxa"/>
          </w:tblCellMar>
        </w:tblPrEx>
        <w:trPr>
          <w:trHeight w:val="318" w:hRule="atLeast"/>
        </w:trPr>
        <w:tc>
          <w:tcPr>
            <w:tcW w:w="9003"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rPr>
                <w:rFonts w:ascii="宋体" w:hAnsi="宋体"/>
                <w:color w:val="auto"/>
                <w:sz w:val="18"/>
                <w:szCs w:val="18"/>
                <w:highlight w:val="none"/>
              </w:rPr>
            </w:pPr>
            <w:r>
              <w:rPr>
                <w:rFonts w:hint="eastAsia" w:ascii="宋体" w:hAnsi="宋体"/>
                <w:color w:val="auto"/>
                <w:sz w:val="18"/>
                <w:szCs w:val="18"/>
                <w:highlight w:val="none"/>
              </w:rPr>
              <w:t>投标单位名称：</w:t>
            </w:r>
          </w:p>
        </w:tc>
      </w:tr>
      <w:tr>
        <w:tblPrEx>
          <w:tblCellMar>
            <w:top w:w="0" w:type="dxa"/>
            <w:left w:w="108" w:type="dxa"/>
            <w:bottom w:w="0" w:type="dxa"/>
            <w:right w:w="108" w:type="dxa"/>
          </w:tblCellMar>
        </w:tblPrEx>
        <w:trPr>
          <w:trHeight w:val="212" w:hRule="atLeast"/>
        </w:trPr>
        <w:tc>
          <w:tcPr>
            <w:tcW w:w="124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 w:val="18"/>
                <w:szCs w:val="18"/>
                <w:highlight w:val="none"/>
              </w:rPr>
            </w:pPr>
            <w:r>
              <w:rPr>
                <w:rFonts w:hint="eastAsia" w:ascii="宋体" w:hAnsi="宋体"/>
                <w:color w:val="auto"/>
                <w:sz w:val="18"/>
                <w:szCs w:val="18"/>
                <w:highlight w:val="none"/>
              </w:rPr>
              <w:t>姓名</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 w:val="18"/>
                <w:szCs w:val="18"/>
                <w:highlight w:val="none"/>
              </w:rPr>
            </w:pPr>
            <w:r>
              <w:rPr>
                <w:rFonts w:hint="eastAsia" w:ascii="宋体" w:hAnsi="宋体"/>
                <w:color w:val="auto"/>
                <w:sz w:val="18"/>
                <w:szCs w:val="18"/>
                <w:highlight w:val="none"/>
              </w:rPr>
              <w:t>职务</w:t>
            </w:r>
          </w:p>
        </w:tc>
        <w:tc>
          <w:tcPr>
            <w:tcW w:w="248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 w:val="18"/>
                <w:szCs w:val="18"/>
                <w:highlight w:val="none"/>
              </w:rPr>
            </w:pPr>
            <w:r>
              <w:rPr>
                <w:rFonts w:hint="eastAsia" w:ascii="宋体" w:hAnsi="宋体"/>
                <w:color w:val="auto"/>
                <w:sz w:val="18"/>
                <w:szCs w:val="18"/>
                <w:highlight w:val="none"/>
              </w:rPr>
              <w:t>所承担工作</w:t>
            </w:r>
          </w:p>
        </w:tc>
        <w:tc>
          <w:tcPr>
            <w:tcW w:w="238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 w:val="18"/>
                <w:szCs w:val="18"/>
                <w:highlight w:val="none"/>
              </w:rPr>
            </w:pPr>
            <w:r>
              <w:rPr>
                <w:rFonts w:hint="eastAsia" w:ascii="宋体" w:hAnsi="宋体"/>
                <w:color w:val="auto"/>
                <w:sz w:val="18"/>
                <w:szCs w:val="18"/>
                <w:highlight w:val="none"/>
              </w:rPr>
              <w:t>身份证号码</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 w:val="18"/>
                <w:szCs w:val="18"/>
                <w:highlight w:val="none"/>
              </w:rPr>
            </w:pPr>
            <w:r>
              <w:rPr>
                <w:rFonts w:hint="eastAsia" w:ascii="宋体" w:hAnsi="宋体"/>
                <w:color w:val="auto"/>
                <w:sz w:val="18"/>
                <w:szCs w:val="18"/>
                <w:highlight w:val="none"/>
              </w:rPr>
              <w:t>本人签名栏</w:t>
            </w:r>
          </w:p>
        </w:tc>
      </w:tr>
      <w:tr>
        <w:tblPrEx>
          <w:tblCellMar>
            <w:top w:w="0" w:type="dxa"/>
            <w:left w:w="108" w:type="dxa"/>
            <w:bottom w:w="0" w:type="dxa"/>
            <w:right w:w="108" w:type="dxa"/>
          </w:tblCellMar>
        </w:tblPrEx>
        <w:trPr>
          <w:trHeight w:val="58" w:hRule="atLeast"/>
        </w:trPr>
        <w:tc>
          <w:tcPr>
            <w:tcW w:w="124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 w:val="18"/>
                <w:szCs w:val="18"/>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 w:val="18"/>
                <w:szCs w:val="18"/>
                <w:highlight w:val="none"/>
              </w:rPr>
            </w:pPr>
          </w:p>
        </w:tc>
        <w:tc>
          <w:tcPr>
            <w:tcW w:w="248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 w:val="18"/>
                <w:szCs w:val="18"/>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 w:val="18"/>
                <w:szCs w:val="18"/>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 w:val="18"/>
                <w:szCs w:val="18"/>
                <w:highlight w:val="none"/>
              </w:rPr>
            </w:pPr>
          </w:p>
        </w:tc>
      </w:tr>
      <w:tr>
        <w:tblPrEx>
          <w:tblCellMar>
            <w:top w:w="0" w:type="dxa"/>
            <w:left w:w="108" w:type="dxa"/>
            <w:bottom w:w="0" w:type="dxa"/>
            <w:right w:w="108" w:type="dxa"/>
          </w:tblCellMar>
        </w:tblPrEx>
        <w:trPr>
          <w:trHeight w:val="162" w:hRule="atLeast"/>
        </w:trPr>
        <w:tc>
          <w:tcPr>
            <w:tcW w:w="124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 w:val="18"/>
                <w:szCs w:val="18"/>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 w:val="18"/>
                <w:szCs w:val="18"/>
                <w:highlight w:val="none"/>
              </w:rPr>
            </w:pPr>
          </w:p>
        </w:tc>
        <w:tc>
          <w:tcPr>
            <w:tcW w:w="248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 w:val="18"/>
                <w:szCs w:val="18"/>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 w:val="18"/>
                <w:szCs w:val="18"/>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 w:val="18"/>
                <w:szCs w:val="18"/>
                <w:highlight w:val="none"/>
              </w:rPr>
            </w:pPr>
          </w:p>
        </w:tc>
      </w:tr>
      <w:tr>
        <w:tblPrEx>
          <w:tblCellMar>
            <w:top w:w="0" w:type="dxa"/>
            <w:left w:w="108" w:type="dxa"/>
            <w:bottom w:w="0" w:type="dxa"/>
            <w:right w:w="108" w:type="dxa"/>
          </w:tblCellMar>
        </w:tblPrEx>
        <w:trPr>
          <w:trHeight w:val="123" w:hRule="atLeast"/>
        </w:trPr>
        <w:tc>
          <w:tcPr>
            <w:tcW w:w="124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 w:val="18"/>
                <w:szCs w:val="18"/>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 w:val="18"/>
                <w:szCs w:val="18"/>
                <w:highlight w:val="none"/>
              </w:rPr>
            </w:pPr>
          </w:p>
        </w:tc>
        <w:tc>
          <w:tcPr>
            <w:tcW w:w="248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 w:val="18"/>
                <w:szCs w:val="18"/>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 w:val="18"/>
                <w:szCs w:val="18"/>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 w:val="18"/>
                <w:szCs w:val="18"/>
                <w:highlight w:val="none"/>
              </w:rPr>
            </w:pPr>
          </w:p>
        </w:tc>
      </w:tr>
      <w:tr>
        <w:tblPrEx>
          <w:tblCellMar>
            <w:top w:w="0" w:type="dxa"/>
            <w:left w:w="108" w:type="dxa"/>
            <w:bottom w:w="0" w:type="dxa"/>
            <w:right w:w="108" w:type="dxa"/>
          </w:tblCellMar>
        </w:tblPrEx>
        <w:trPr>
          <w:trHeight w:val="214" w:hRule="atLeast"/>
        </w:trPr>
        <w:tc>
          <w:tcPr>
            <w:tcW w:w="124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 w:val="18"/>
                <w:szCs w:val="18"/>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 w:val="18"/>
                <w:szCs w:val="18"/>
                <w:highlight w:val="none"/>
              </w:rPr>
            </w:pPr>
          </w:p>
        </w:tc>
        <w:tc>
          <w:tcPr>
            <w:tcW w:w="248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 w:val="18"/>
                <w:szCs w:val="18"/>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 w:val="18"/>
                <w:szCs w:val="18"/>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 w:val="18"/>
                <w:szCs w:val="18"/>
                <w:highlight w:val="none"/>
              </w:rPr>
            </w:pPr>
          </w:p>
        </w:tc>
      </w:tr>
      <w:tr>
        <w:tblPrEx>
          <w:tblCellMar>
            <w:top w:w="0" w:type="dxa"/>
            <w:left w:w="108" w:type="dxa"/>
            <w:bottom w:w="0" w:type="dxa"/>
            <w:right w:w="108" w:type="dxa"/>
          </w:tblCellMar>
        </w:tblPrEx>
        <w:trPr>
          <w:trHeight w:val="175" w:hRule="atLeast"/>
        </w:trPr>
        <w:tc>
          <w:tcPr>
            <w:tcW w:w="124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 w:val="18"/>
                <w:szCs w:val="18"/>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 w:val="18"/>
                <w:szCs w:val="18"/>
                <w:highlight w:val="none"/>
              </w:rPr>
            </w:pPr>
          </w:p>
        </w:tc>
        <w:tc>
          <w:tcPr>
            <w:tcW w:w="248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 w:val="18"/>
                <w:szCs w:val="18"/>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 w:val="18"/>
                <w:szCs w:val="18"/>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 w:val="18"/>
                <w:szCs w:val="18"/>
                <w:highlight w:val="none"/>
              </w:rPr>
            </w:pPr>
          </w:p>
        </w:tc>
      </w:tr>
    </w:tbl>
    <w:p>
      <w:pPr>
        <w:pStyle w:val="15"/>
        <w:spacing w:after="0" w:line="360" w:lineRule="auto"/>
        <w:ind w:left="-2" w:leftChars="-1" w:firstLine="0"/>
        <w:rPr>
          <w:rFonts w:ascii="宋体" w:hAnsi="宋体"/>
          <w:color w:val="auto"/>
          <w:sz w:val="18"/>
          <w:szCs w:val="18"/>
          <w:highlight w:val="none"/>
        </w:rPr>
      </w:pPr>
      <w:r>
        <w:rPr>
          <w:rFonts w:hint="eastAsia" w:ascii="宋体" w:hAnsi="宋体"/>
          <w:color w:val="auto"/>
          <w:sz w:val="18"/>
          <w:szCs w:val="18"/>
          <w:highlight w:val="none"/>
        </w:rPr>
        <w:t>编制负责人：                          解释负责人：</w:t>
      </w:r>
    </w:p>
    <w:p>
      <w:pPr>
        <w:pStyle w:val="15"/>
        <w:spacing w:after="0" w:line="360" w:lineRule="auto"/>
        <w:ind w:left="-2" w:leftChars="-1" w:firstLine="0"/>
        <w:rPr>
          <w:rFonts w:ascii="宋体" w:hAnsi="宋体"/>
          <w:bCs/>
          <w:iCs/>
          <w:color w:val="auto"/>
          <w:sz w:val="18"/>
          <w:szCs w:val="18"/>
          <w:highlight w:val="none"/>
        </w:rPr>
      </w:pPr>
      <w:r>
        <w:rPr>
          <w:rFonts w:hint="eastAsia" w:ascii="宋体" w:hAnsi="宋体"/>
          <w:color w:val="auto"/>
          <w:sz w:val="18"/>
          <w:szCs w:val="18"/>
          <w:highlight w:val="none"/>
        </w:rPr>
        <w:t>注：</w:t>
      </w:r>
      <w:r>
        <w:rPr>
          <w:rFonts w:hint="eastAsia" w:ascii="宋体" w:hAnsi="宋体"/>
          <w:bCs/>
          <w:iCs/>
          <w:color w:val="auto"/>
          <w:sz w:val="18"/>
          <w:szCs w:val="18"/>
          <w:highlight w:val="none"/>
        </w:rPr>
        <w:t>参与编制标书所有人员名单应包括如编制设计方案、工程总承包实施方案、投标报价、负责清样校对、负责加密打包、负责上传、负责密封、负责打印及复印等所有人员在内的人员名单。</w:t>
      </w:r>
    </w:p>
    <w:p>
      <w:pPr>
        <w:spacing w:line="360" w:lineRule="auto"/>
        <w:jc w:val="center"/>
        <w:rPr>
          <w:rFonts w:ascii="宋体" w:hAnsi="宋体" w:cs="宋体"/>
          <w:b/>
          <w:color w:val="auto"/>
          <w:kern w:val="1"/>
          <w:sz w:val="30"/>
          <w:szCs w:val="30"/>
          <w:highlight w:val="none"/>
        </w:rPr>
      </w:pPr>
    </w:p>
    <w:p>
      <w:pPr>
        <w:pStyle w:val="10"/>
        <w:spacing w:line="360" w:lineRule="auto"/>
        <w:rPr>
          <w:rFonts w:cs="宋体"/>
          <w:b/>
          <w:color w:val="auto"/>
          <w:kern w:val="1"/>
          <w:sz w:val="30"/>
          <w:szCs w:val="30"/>
          <w:highlight w:val="none"/>
        </w:rPr>
      </w:pPr>
    </w:p>
    <w:p>
      <w:pPr>
        <w:pStyle w:val="10"/>
        <w:spacing w:line="360" w:lineRule="auto"/>
        <w:rPr>
          <w:rFonts w:cs="宋体"/>
          <w:b/>
          <w:color w:val="auto"/>
          <w:kern w:val="1"/>
          <w:sz w:val="30"/>
          <w:szCs w:val="30"/>
          <w:highlight w:val="none"/>
        </w:rPr>
      </w:pPr>
    </w:p>
    <w:p>
      <w:pPr>
        <w:pStyle w:val="10"/>
        <w:spacing w:line="360" w:lineRule="auto"/>
        <w:rPr>
          <w:rFonts w:cs="宋体"/>
          <w:b/>
          <w:color w:val="auto"/>
          <w:kern w:val="1"/>
          <w:sz w:val="30"/>
          <w:szCs w:val="30"/>
          <w:highlight w:val="none"/>
        </w:rPr>
      </w:pPr>
    </w:p>
    <w:p>
      <w:pPr>
        <w:spacing w:line="360" w:lineRule="auto"/>
        <w:jc w:val="center"/>
        <w:rPr>
          <w:rFonts w:ascii="宋体" w:hAnsi="宋体" w:cs="宋体"/>
          <w:b/>
          <w:color w:val="auto"/>
          <w:kern w:val="1"/>
          <w:sz w:val="30"/>
          <w:szCs w:val="30"/>
          <w:highlight w:val="none"/>
        </w:rPr>
      </w:pPr>
    </w:p>
    <w:p>
      <w:pPr>
        <w:spacing w:line="360" w:lineRule="auto"/>
        <w:jc w:val="center"/>
        <w:rPr>
          <w:rFonts w:ascii="宋体" w:hAnsi="宋体" w:cs="宋体"/>
          <w:b/>
          <w:color w:val="auto"/>
          <w:kern w:val="1"/>
          <w:sz w:val="30"/>
          <w:szCs w:val="30"/>
          <w:highlight w:val="none"/>
        </w:rPr>
      </w:pPr>
    </w:p>
    <w:p>
      <w:pPr>
        <w:spacing w:line="360" w:lineRule="auto"/>
        <w:jc w:val="center"/>
        <w:rPr>
          <w:rFonts w:ascii="宋体" w:hAnsi="宋体" w:cs="宋体"/>
          <w:b/>
          <w:color w:val="auto"/>
          <w:kern w:val="1"/>
          <w:sz w:val="30"/>
          <w:szCs w:val="30"/>
          <w:highlight w:val="none"/>
        </w:rPr>
      </w:pPr>
    </w:p>
    <w:p>
      <w:pPr>
        <w:pStyle w:val="24"/>
        <w:rPr>
          <w:color w:val="auto"/>
          <w:highlight w:val="none"/>
        </w:rPr>
      </w:pPr>
      <w:r>
        <w:rPr>
          <w:rFonts w:cs="宋体"/>
          <w:b/>
          <w:color w:val="auto"/>
          <w:kern w:val="1"/>
          <w:highlight w:val="none"/>
        </w:rPr>
        <w:br w:type="page"/>
      </w:r>
    </w:p>
    <w:p>
      <w:pPr>
        <w:pStyle w:val="10"/>
        <w:rPr>
          <w:b/>
          <w:bCs/>
          <w:color w:val="auto"/>
          <w:highlight w:val="none"/>
          <w:lang w:val="en-US"/>
        </w:rPr>
      </w:pPr>
      <w:r>
        <w:rPr>
          <w:rFonts w:hint="eastAsia"/>
          <w:b/>
          <w:bCs/>
          <w:color w:val="auto"/>
          <w:highlight w:val="none"/>
          <w:lang w:val="en-US"/>
        </w:rPr>
        <w:t>格式6</w:t>
      </w:r>
      <w:r>
        <w:rPr>
          <w:b/>
          <w:bCs/>
          <w:color w:val="auto"/>
          <w:highlight w:val="none"/>
          <w:lang w:val="en-US"/>
        </w:rPr>
        <w:t xml:space="preserve"> </w:t>
      </w:r>
      <w:r>
        <w:rPr>
          <w:rFonts w:hint="eastAsia"/>
          <w:b/>
          <w:bCs/>
          <w:color w:val="auto"/>
          <w:highlight w:val="none"/>
          <w:lang w:val="en-US"/>
        </w:rPr>
        <w:t>工程总承包项目管理团队人员信息表</w:t>
      </w:r>
    </w:p>
    <w:p>
      <w:pPr>
        <w:pStyle w:val="10"/>
        <w:rPr>
          <w:b/>
          <w:bCs/>
          <w:color w:val="auto"/>
          <w:highlight w:val="none"/>
          <w:lang w:val="en-US"/>
        </w:rPr>
      </w:pPr>
    </w:p>
    <w:p>
      <w:pPr>
        <w:pStyle w:val="10"/>
        <w:rPr>
          <w:b/>
          <w:bCs/>
          <w:color w:val="auto"/>
          <w:highlight w:val="none"/>
          <w:lang w:val="en-US"/>
        </w:rPr>
      </w:pPr>
    </w:p>
    <w:p>
      <w:pPr>
        <w:spacing w:line="360" w:lineRule="auto"/>
        <w:jc w:val="center"/>
        <w:rPr>
          <w:rFonts w:ascii="宋体" w:hAnsi="宋体" w:cs="宋体"/>
          <w:b/>
          <w:color w:val="auto"/>
          <w:spacing w:val="4"/>
          <w:sz w:val="32"/>
          <w:szCs w:val="32"/>
          <w:highlight w:val="none"/>
        </w:rPr>
      </w:pPr>
      <w:r>
        <w:rPr>
          <w:rFonts w:hint="eastAsia" w:ascii="宋体" w:hAnsi="宋体" w:cs="宋体"/>
          <w:b/>
          <w:color w:val="auto"/>
          <w:spacing w:val="4"/>
          <w:sz w:val="32"/>
          <w:szCs w:val="32"/>
          <w:highlight w:val="none"/>
        </w:rPr>
        <w:t>工程总承包</w:t>
      </w:r>
      <w:r>
        <w:rPr>
          <w:rFonts w:ascii="宋体" w:hAnsi="宋体" w:cs="宋体"/>
          <w:b/>
          <w:color w:val="auto"/>
          <w:spacing w:val="4"/>
          <w:sz w:val="32"/>
          <w:szCs w:val="32"/>
          <w:highlight w:val="none"/>
        </w:rPr>
        <w:t>项目管理团队人员信息表</w:t>
      </w:r>
    </w:p>
    <w:tbl>
      <w:tblPr>
        <w:tblStyle w:val="17"/>
        <w:tblW w:w="9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52"/>
        <w:gridCol w:w="2031"/>
        <w:gridCol w:w="2032"/>
        <w:gridCol w:w="3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76" w:type="dxa"/>
            <w:noWrap w:val="0"/>
            <w:vAlign w:val="center"/>
          </w:tcPr>
          <w:p>
            <w:pPr>
              <w:widowControl/>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1652" w:type="dxa"/>
            <w:noWrap w:val="0"/>
            <w:vAlign w:val="center"/>
          </w:tcPr>
          <w:p>
            <w:pPr>
              <w:widowControl/>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姓名</w:t>
            </w:r>
          </w:p>
        </w:tc>
        <w:tc>
          <w:tcPr>
            <w:tcW w:w="2031" w:type="dxa"/>
            <w:noWrap w:val="0"/>
            <w:vAlign w:val="center"/>
          </w:tcPr>
          <w:p>
            <w:pPr>
              <w:widowControl/>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岗位</w:t>
            </w:r>
          </w:p>
        </w:tc>
        <w:tc>
          <w:tcPr>
            <w:tcW w:w="2032" w:type="dxa"/>
            <w:noWrap w:val="0"/>
            <w:vAlign w:val="center"/>
          </w:tcPr>
          <w:p>
            <w:pPr>
              <w:widowControl/>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职称</w:t>
            </w:r>
          </w:p>
        </w:tc>
        <w:tc>
          <w:tcPr>
            <w:tcW w:w="3024" w:type="dxa"/>
            <w:noWrap w:val="0"/>
            <w:vAlign w:val="center"/>
          </w:tcPr>
          <w:p>
            <w:pPr>
              <w:widowControl/>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职称证书或资格证书编号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76" w:type="dxa"/>
            <w:noWrap w:val="0"/>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652" w:type="dxa"/>
            <w:noWrap w:val="0"/>
            <w:vAlign w:val="center"/>
          </w:tcPr>
          <w:p>
            <w:pPr>
              <w:widowControl/>
              <w:jc w:val="center"/>
              <w:rPr>
                <w:rFonts w:ascii="宋体" w:hAnsi="宋体" w:cs="宋体"/>
                <w:color w:val="auto"/>
                <w:sz w:val="24"/>
                <w:szCs w:val="24"/>
                <w:highlight w:val="none"/>
              </w:rPr>
            </w:pPr>
          </w:p>
        </w:tc>
        <w:tc>
          <w:tcPr>
            <w:tcW w:w="2031" w:type="dxa"/>
            <w:noWrap w:val="0"/>
            <w:vAlign w:val="center"/>
          </w:tcPr>
          <w:p>
            <w:pPr>
              <w:widowControl/>
              <w:jc w:val="center"/>
              <w:rPr>
                <w:rFonts w:ascii="宋体" w:hAnsi="宋体" w:cs="宋体"/>
                <w:color w:val="auto"/>
                <w:sz w:val="24"/>
                <w:szCs w:val="24"/>
                <w:highlight w:val="none"/>
              </w:rPr>
            </w:pPr>
          </w:p>
        </w:tc>
        <w:tc>
          <w:tcPr>
            <w:tcW w:w="2032" w:type="dxa"/>
            <w:noWrap w:val="0"/>
            <w:vAlign w:val="center"/>
          </w:tcPr>
          <w:p>
            <w:pPr>
              <w:widowControl/>
              <w:jc w:val="center"/>
              <w:rPr>
                <w:rFonts w:ascii="宋体" w:hAnsi="宋体" w:cs="宋体"/>
                <w:color w:val="auto"/>
                <w:sz w:val="24"/>
                <w:szCs w:val="24"/>
                <w:highlight w:val="none"/>
              </w:rPr>
            </w:pPr>
          </w:p>
        </w:tc>
        <w:tc>
          <w:tcPr>
            <w:tcW w:w="3024" w:type="dxa"/>
            <w:noWrap w:val="0"/>
            <w:vAlign w:val="center"/>
          </w:tcPr>
          <w:p>
            <w:pPr>
              <w:widowControl/>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76" w:type="dxa"/>
            <w:noWrap w:val="0"/>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652" w:type="dxa"/>
            <w:noWrap w:val="0"/>
            <w:vAlign w:val="center"/>
          </w:tcPr>
          <w:p>
            <w:pPr>
              <w:widowControl/>
              <w:jc w:val="center"/>
              <w:rPr>
                <w:rFonts w:ascii="宋体" w:hAnsi="宋体" w:cs="宋体"/>
                <w:color w:val="auto"/>
                <w:sz w:val="24"/>
                <w:szCs w:val="24"/>
                <w:highlight w:val="none"/>
              </w:rPr>
            </w:pPr>
          </w:p>
        </w:tc>
        <w:tc>
          <w:tcPr>
            <w:tcW w:w="2031" w:type="dxa"/>
            <w:noWrap w:val="0"/>
            <w:vAlign w:val="center"/>
          </w:tcPr>
          <w:p>
            <w:pPr>
              <w:widowControl/>
              <w:jc w:val="center"/>
              <w:rPr>
                <w:rFonts w:ascii="宋体" w:hAnsi="宋体" w:cs="宋体"/>
                <w:color w:val="auto"/>
                <w:sz w:val="24"/>
                <w:szCs w:val="24"/>
                <w:highlight w:val="none"/>
              </w:rPr>
            </w:pPr>
          </w:p>
        </w:tc>
        <w:tc>
          <w:tcPr>
            <w:tcW w:w="2032" w:type="dxa"/>
            <w:noWrap w:val="0"/>
            <w:vAlign w:val="center"/>
          </w:tcPr>
          <w:p>
            <w:pPr>
              <w:widowControl/>
              <w:jc w:val="center"/>
              <w:rPr>
                <w:rFonts w:ascii="宋体" w:hAnsi="宋体" w:cs="宋体"/>
                <w:color w:val="auto"/>
                <w:sz w:val="24"/>
                <w:szCs w:val="24"/>
                <w:highlight w:val="none"/>
              </w:rPr>
            </w:pPr>
          </w:p>
        </w:tc>
        <w:tc>
          <w:tcPr>
            <w:tcW w:w="3024" w:type="dxa"/>
            <w:noWrap w:val="0"/>
            <w:vAlign w:val="center"/>
          </w:tcPr>
          <w:p>
            <w:pPr>
              <w:widowControl/>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76" w:type="dxa"/>
            <w:noWrap w:val="0"/>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652" w:type="dxa"/>
            <w:noWrap w:val="0"/>
            <w:vAlign w:val="center"/>
          </w:tcPr>
          <w:p>
            <w:pPr>
              <w:widowControl/>
              <w:jc w:val="center"/>
              <w:rPr>
                <w:rFonts w:ascii="宋体" w:hAnsi="宋体" w:cs="宋体"/>
                <w:color w:val="auto"/>
                <w:sz w:val="24"/>
                <w:szCs w:val="24"/>
                <w:highlight w:val="none"/>
              </w:rPr>
            </w:pPr>
          </w:p>
        </w:tc>
        <w:tc>
          <w:tcPr>
            <w:tcW w:w="2031" w:type="dxa"/>
            <w:noWrap w:val="0"/>
            <w:vAlign w:val="center"/>
          </w:tcPr>
          <w:p>
            <w:pPr>
              <w:widowControl/>
              <w:jc w:val="center"/>
              <w:rPr>
                <w:rFonts w:ascii="宋体" w:hAnsi="宋体" w:cs="宋体"/>
                <w:color w:val="auto"/>
                <w:sz w:val="24"/>
                <w:szCs w:val="24"/>
                <w:highlight w:val="none"/>
              </w:rPr>
            </w:pPr>
          </w:p>
        </w:tc>
        <w:tc>
          <w:tcPr>
            <w:tcW w:w="2032" w:type="dxa"/>
            <w:noWrap w:val="0"/>
            <w:vAlign w:val="center"/>
          </w:tcPr>
          <w:p>
            <w:pPr>
              <w:widowControl/>
              <w:jc w:val="center"/>
              <w:rPr>
                <w:rFonts w:ascii="宋体" w:hAnsi="宋体" w:cs="宋体"/>
                <w:color w:val="auto"/>
                <w:sz w:val="24"/>
                <w:szCs w:val="24"/>
                <w:highlight w:val="none"/>
              </w:rPr>
            </w:pPr>
          </w:p>
        </w:tc>
        <w:tc>
          <w:tcPr>
            <w:tcW w:w="3024" w:type="dxa"/>
            <w:noWrap w:val="0"/>
            <w:vAlign w:val="center"/>
          </w:tcPr>
          <w:p>
            <w:pPr>
              <w:widowControl/>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76" w:type="dxa"/>
            <w:noWrap w:val="0"/>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652" w:type="dxa"/>
            <w:noWrap w:val="0"/>
            <w:vAlign w:val="center"/>
          </w:tcPr>
          <w:p>
            <w:pPr>
              <w:widowControl/>
              <w:jc w:val="center"/>
              <w:rPr>
                <w:rFonts w:ascii="宋体" w:hAnsi="宋体" w:cs="宋体"/>
                <w:color w:val="auto"/>
                <w:sz w:val="24"/>
                <w:szCs w:val="24"/>
                <w:highlight w:val="none"/>
              </w:rPr>
            </w:pPr>
          </w:p>
        </w:tc>
        <w:tc>
          <w:tcPr>
            <w:tcW w:w="2031" w:type="dxa"/>
            <w:noWrap w:val="0"/>
            <w:vAlign w:val="center"/>
          </w:tcPr>
          <w:p>
            <w:pPr>
              <w:widowControl/>
              <w:jc w:val="center"/>
              <w:rPr>
                <w:rFonts w:ascii="宋体" w:hAnsi="宋体" w:cs="宋体"/>
                <w:color w:val="auto"/>
                <w:sz w:val="24"/>
                <w:szCs w:val="24"/>
                <w:highlight w:val="none"/>
              </w:rPr>
            </w:pPr>
          </w:p>
        </w:tc>
        <w:tc>
          <w:tcPr>
            <w:tcW w:w="2032" w:type="dxa"/>
            <w:noWrap w:val="0"/>
            <w:vAlign w:val="center"/>
          </w:tcPr>
          <w:p>
            <w:pPr>
              <w:widowControl/>
              <w:jc w:val="center"/>
              <w:rPr>
                <w:rFonts w:ascii="宋体" w:hAnsi="宋体" w:cs="宋体"/>
                <w:color w:val="auto"/>
                <w:sz w:val="24"/>
                <w:szCs w:val="24"/>
                <w:highlight w:val="none"/>
              </w:rPr>
            </w:pPr>
          </w:p>
        </w:tc>
        <w:tc>
          <w:tcPr>
            <w:tcW w:w="3024" w:type="dxa"/>
            <w:noWrap w:val="0"/>
            <w:vAlign w:val="center"/>
          </w:tcPr>
          <w:p>
            <w:pPr>
              <w:widowControl/>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76" w:type="dxa"/>
            <w:noWrap w:val="0"/>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652" w:type="dxa"/>
            <w:noWrap w:val="0"/>
            <w:vAlign w:val="center"/>
          </w:tcPr>
          <w:p>
            <w:pPr>
              <w:widowControl/>
              <w:jc w:val="center"/>
              <w:rPr>
                <w:rFonts w:ascii="宋体" w:hAnsi="宋体" w:cs="宋体"/>
                <w:color w:val="auto"/>
                <w:sz w:val="24"/>
                <w:szCs w:val="24"/>
                <w:highlight w:val="none"/>
              </w:rPr>
            </w:pPr>
          </w:p>
        </w:tc>
        <w:tc>
          <w:tcPr>
            <w:tcW w:w="2031" w:type="dxa"/>
            <w:noWrap w:val="0"/>
            <w:vAlign w:val="center"/>
          </w:tcPr>
          <w:p>
            <w:pPr>
              <w:widowControl/>
              <w:jc w:val="center"/>
              <w:rPr>
                <w:rFonts w:ascii="宋体" w:hAnsi="宋体" w:cs="宋体"/>
                <w:color w:val="auto"/>
                <w:sz w:val="24"/>
                <w:szCs w:val="24"/>
                <w:highlight w:val="none"/>
              </w:rPr>
            </w:pPr>
          </w:p>
        </w:tc>
        <w:tc>
          <w:tcPr>
            <w:tcW w:w="2032" w:type="dxa"/>
            <w:noWrap w:val="0"/>
            <w:vAlign w:val="center"/>
          </w:tcPr>
          <w:p>
            <w:pPr>
              <w:widowControl/>
              <w:jc w:val="center"/>
              <w:rPr>
                <w:rFonts w:ascii="宋体" w:hAnsi="宋体" w:cs="宋体"/>
                <w:color w:val="auto"/>
                <w:sz w:val="24"/>
                <w:szCs w:val="24"/>
                <w:highlight w:val="none"/>
              </w:rPr>
            </w:pPr>
          </w:p>
        </w:tc>
        <w:tc>
          <w:tcPr>
            <w:tcW w:w="3024" w:type="dxa"/>
            <w:noWrap w:val="0"/>
            <w:vAlign w:val="center"/>
          </w:tcPr>
          <w:p>
            <w:pPr>
              <w:widowControl/>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76" w:type="dxa"/>
            <w:noWrap w:val="0"/>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652" w:type="dxa"/>
            <w:noWrap w:val="0"/>
            <w:vAlign w:val="center"/>
          </w:tcPr>
          <w:p>
            <w:pPr>
              <w:widowControl/>
              <w:jc w:val="center"/>
              <w:rPr>
                <w:rFonts w:ascii="宋体" w:hAnsi="宋体" w:cs="宋体"/>
                <w:color w:val="auto"/>
                <w:sz w:val="24"/>
                <w:szCs w:val="24"/>
                <w:highlight w:val="none"/>
              </w:rPr>
            </w:pPr>
          </w:p>
        </w:tc>
        <w:tc>
          <w:tcPr>
            <w:tcW w:w="2031" w:type="dxa"/>
            <w:noWrap w:val="0"/>
            <w:vAlign w:val="center"/>
          </w:tcPr>
          <w:p>
            <w:pPr>
              <w:widowControl/>
              <w:jc w:val="center"/>
              <w:rPr>
                <w:rFonts w:ascii="宋体" w:hAnsi="宋体" w:cs="宋体"/>
                <w:color w:val="auto"/>
                <w:sz w:val="24"/>
                <w:szCs w:val="24"/>
                <w:highlight w:val="none"/>
              </w:rPr>
            </w:pPr>
          </w:p>
        </w:tc>
        <w:tc>
          <w:tcPr>
            <w:tcW w:w="2032" w:type="dxa"/>
            <w:noWrap w:val="0"/>
            <w:vAlign w:val="center"/>
          </w:tcPr>
          <w:p>
            <w:pPr>
              <w:widowControl/>
              <w:jc w:val="center"/>
              <w:rPr>
                <w:rFonts w:ascii="宋体" w:hAnsi="宋体" w:cs="宋体"/>
                <w:color w:val="auto"/>
                <w:sz w:val="24"/>
                <w:szCs w:val="24"/>
                <w:highlight w:val="none"/>
              </w:rPr>
            </w:pPr>
          </w:p>
        </w:tc>
        <w:tc>
          <w:tcPr>
            <w:tcW w:w="3024" w:type="dxa"/>
            <w:noWrap w:val="0"/>
            <w:vAlign w:val="center"/>
          </w:tcPr>
          <w:p>
            <w:pPr>
              <w:widowControl/>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76" w:type="dxa"/>
            <w:noWrap w:val="0"/>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652" w:type="dxa"/>
            <w:noWrap w:val="0"/>
            <w:vAlign w:val="center"/>
          </w:tcPr>
          <w:p>
            <w:pPr>
              <w:widowControl/>
              <w:jc w:val="center"/>
              <w:rPr>
                <w:rFonts w:ascii="宋体" w:hAnsi="宋体" w:cs="宋体"/>
                <w:color w:val="auto"/>
                <w:sz w:val="24"/>
                <w:szCs w:val="24"/>
                <w:highlight w:val="none"/>
              </w:rPr>
            </w:pPr>
          </w:p>
        </w:tc>
        <w:tc>
          <w:tcPr>
            <w:tcW w:w="2031" w:type="dxa"/>
            <w:noWrap w:val="0"/>
            <w:vAlign w:val="center"/>
          </w:tcPr>
          <w:p>
            <w:pPr>
              <w:widowControl/>
              <w:jc w:val="center"/>
              <w:rPr>
                <w:rFonts w:ascii="宋体" w:hAnsi="宋体" w:cs="宋体"/>
                <w:color w:val="auto"/>
                <w:sz w:val="24"/>
                <w:szCs w:val="24"/>
                <w:highlight w:val="none"/>
              </w:rPr>
            </w:pPr>
          </w:p>
        </w:tc>
        <w:tc>
          <w:tcPr>
            <w:tcW w:w="2032" w:type="dxa"/>
            <w:noWrap w:val="0"/>
            <w:vAlign w:val="center"/>
          </w:tcPr>
          <w:p>
            <w:pPr>
              <w:widowControl/>
              <w:jc w:val="center"/>
              <w:rPr>
                <w:rFonts w:ascii="宋体" w:hAnsi="宋体" w:cs="宋体"/>
                <w:color w:val="auto"/>
                <w:sz w:val="24"/>
                <w:szCs w:val="24"/>
                <w:highlight w:val="none"/>
              </w:rPr>
            </w:pPr>
          </w:p>
        </w:tc>
        <w:tc>
          <w:tcPr>
            <w:tcW w:w="3024" w:type="dxa"/>
            <w:noWrap w:val="0"/>
            <w:vAlign w:val="center"/>
          </w:tcPr>
          <w:p>
            <w:pPr>
              <w:widowControl/>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76" w:type="dxa"/>
            <w:noWrap w:val="0"/>
            <w:vAlign w:val="center"/>
          </w:tcPr>
          <w:p>
            <w:pPr>
              <w:widowControl/>
              <w:jc w:val="center"/>
              <w:rPr>
                <w:rFonts w:ascii="宋体" w:hAnsi="宋体" w:cs="宋体"/>
                <w:color w:val="auto"/>
                <w:sz w:val="24"/>
                <w:szCs w:val="24"/>
                <w:highlight w:val="none"/>
              </w:rPr>
            </w:pPr>
          </w:p>
        </w:tc>
        <w:tc>
          <w:tcPr>
            <w:tcW w:w="1652" w:type="dxa"/>
            <w:noWrap w:val="0"/>
            <w:vAlign w:val="center"/>
          </w:tcPr>
          <w:p>
            <w:pPr>
              <w:widowControl/>
              <w:jc w:val="center"/>
              <w:rPr>
                <w:rFonts w:ascii="宋体" w:hAnsi="宋体" w:cs="宋体"/>
                <w:color w:val="auto"/>
                <w:sz w:val="24"/>
                <w:szCs w:val="24"/>
                <w:highlight w:val="none"/>
              </w:rPr>
            </w:pPr>
          </w:p>
        </w:tc>
        <w:tc>
          <w:tcPr>
            <w:tcW w:w="2031" w:type="dxa"/>
            <w:noWrap w:val="0"/>
            <w:vAlign w:val="center"/>
          </w:tcPr>
          <w:p>
            <w:pPr>
              <w:widowControl/>
              <w:jc w:val="center"/>
              <w:rPr>
                <w:rFonts w:ascii="宋体" w:hAnsi="宋体" w:cs="宋体"/>
                <w:color w:val="auto"/>
                <w:sz w:val="24"/>
                <w:szCs w:val="24"/>
                <w:highlight w:val="none"/>
              </w:rPr>
            </w:pPr>
          </w:p>
        </w:tc>
        <w:tc>
          <w:tcPr>
            <w:tcW w:w="2032" w:type="dxa"/>
            <w:noWrap w:val="0"/>
            <w:vAlign w:val="center"/>
          </w:tcPr>
          <w:p>
            <w:pPr>
              <w:widowControl/>
              <w:jc w:val="center"/>
              <w:rPr>
                <w:rFonts w:ascii="宋体" w:hAnsi="宋体" w:cs="宋体"/>
                <w:color w:val="auto"/>
                <w:sz w:val="24"/>
                <w:szCs w:val="24"/>
                <w:highlight w:val="none"/>
              </w:rPr>
            </w:pPr>
          </w:p>
        </w:tc>
        <w:tc>
          <w:tcPr>
            <w:tcW w:w="3024" w:type="dxa"/>
            <w:noWrap w:val="0"/>
            <w:vAlign w:val="center"/>
          </w:tcPr>
          <w:p>
            <w:pPr>
              <w:widowControl/>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76" w:type="dxa"/>
            <w:noWrap w:val="0"/>
            <w:vAlign w:val="center"/>
          </w:tcPr>
          <w:p>
            <w:pPr>
              <w:widowControl/>
              <w:jc w:val="center"/>
              <w:rPr>
                <w:rFonts w:ascii="宋体" w:hAnsi="宋体" w:cs="宋体"/>
                <w:color w:val="auto"/>
                <w:sz w:val="24"/>
                <w:szCs w:val="24"/>
                <w:highlight w:val="none"/>
              </w:rPr>
            </w:pPr>
          </w:p>
        </w:tc>
        <w:tc>
          <w:tcPr>
            <w:tcW w:w="1652" w:type="dxa"/>
            <w:noWrap w:val="0"/>
            <w:vAlign w:val="center"/>
          </w:tcPr>
          <w:p>
            <w:pPr>
              <w:widowControl/>
              <w:jc w:val="center"/>
              <w:rPr>
                <w:rFonts w:ascii="宋体" w:hAnsi="宋体" w:cs="宋体"/>
                <w:color w:val="auto"/>
                <w:sz w:val="24"/>
                <w:szCs w:val="24"/>
                <w:highlight w:val="none"/>
              </w:rPr>
            </w:pPr>
          </w:p>
        </w:tc>
        <w:tc>
          <w:tcPr>
            <w:tcW w:w="2031" w:type="dxa"/>
            <w:noWrap w:val="0"/>
            <w:vAlign w:val="center"/>
          </w:tcPr>
          <w:p>
            <w:pPr>
              <w:widowControl/>
              <w:jc w:val="center"/>
              <w:rPr>
                <w:rFonts w:ascii="宋体" w:hAnsi="宋体" w:cs="宋体"/>
                <w:color w:val="auto"/>
                <w:sz w:val="24"/>
                <w:szCs w:val="24"/>
                <w:highlight w:val="none"/>
              </w:rPr>
            </w:pPr>
          </w:p>
        </w:tc>
        <w:tc>
          <w:tcPr>
            <w:tcW w:w="2032" w:type="dxa"/>
            <w:noWrap w:val="0"/>
            <w:vAlign w:val="center"/>
          </w:tcPr>
          <w:p>
            <w:pPr>
              <w:widowControl/>
              <w:jc w:val="center"/>
              <w:rPr>
                <w:rFonts w:ascii="宋体" w:hAnsi="宋体" w:cs="宋体"/>
                <w:color w:val="auto"/>
                <w:sz w:val="24"/>
                <w:szCs w:val="24"/>
                <w:highlight w:val="none"/>
              </w:rPr>
            </w:pPr>
          </w:p>
        </w:tc>
        <w:tc>
          <w:tcPr>
            <w:tcW w:w="3024" w:type="dxa"/>
            <w:noWrap w:val="0"/>
            <w:vAlign w:val="center"/>
          </w:tcPr>
          <w:p>
            <w:pPr>
              <w:widowControl/>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trPr>
        <w:tc>
          <w:tcPr>
            <w:tcW w:w="9515" w:type="dxa"/>
            <w:gridSpan w:val="5"/>
            <w:noWrap w:val="0"/>
            <w:vAlign w:val="center"/>
          </w:tcPr>
          <w:p>
            <w:pPr>
              <w:widowControl/>
              <w:spacing w:line="276" w:lineRule="auto"/>
              <w:jc w:val="left"/>
              <w:rPr>
                <w:rFonts w:ascii="宋体" w:hAnsi="宋体" w:cs="宋体"/>
                <w:color w:val="auto"/>
                <w:szCs w:val="21"/>
                <w:highlight w:val="none"/>
              </w:rPr>
            </w:pPr>
            <w:r>
              <w:rPr>
                <w:rFonts w:hint="eastAsia" w:ascii="宋体" w:hAnsi="宋体" w:cs="宋体"/>
                <w:color w:val="auto"/>
                <w:szCs w:val="21"/>
                <w:highlight w:val="none"/>
              </w:rPr>
              <w:t>备注：1、“岗位”要求（除项目负责人、设计负责人和专职安全员外）由招标人根据项目管理需要在本表备注中明确提出，如：</w:t>
            </w:r>
            <w:r>
              <w:rPr>
                <w:rFonts w:hint="eastAsia" w:ascii="宋体" w:hAnsi="宋体" w:cs="宋体"/>
                <w:color w:val="auto"/>
                <w:szCs w:val="21"/>
                <w:highlight w:val="none"/>
                <w:u w:val="single"/>
              </w:rPr>
              <w:t>拟技术负责人、质量负责人、安全负责人、建筑专业设计负责人、给排水专业设计负责人</w:t>
            </w:r>
            <w:r>
              <w:rPr>
                <w:rFonts w:hint="eastAsia" w:ascii="宋体" w:hAnsi="宋体" w:cs="宋体"/>
                <w:color w:val="auto"/>
                <w:szCs w:val="21"/>
                <w:highlight w:val="none"/>
              </w:rPr>
              <w:t>等。以上项目管理团队人员信息将由交易系统提取后供各相关单位在履约时比对、查核。</w:t>
            </w:r>
          </w:p>
          <w:p>
            <w:pPr>
              <w:widowControl/>
              <w:spacing w:line="276" w:lineRule="auto"/>
              <w:jc w:val="left"/>
              <w:rPr>
                <w:rFonts w:ascii="宋体" w:hAnsi="宋体" w:cs="宋体"/>
                <w:color w:val="auto"/>
                <w:szCs w:val="21"/>
                <w:highlight w:val="none"/>
              </w:rPr>
            </w:pPr>
            <w:r>
              <w:rPr>
                <w:rFonts w:hint="eastAsia" w:ascii="宋体" w:hAnsi="宋体" w:cs="宋体"/>
                <w:color w:val="auto"/>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方可递交投标文件。</w:t>
            </w:r>
          </w:p>
          <w:p>
            <w:pPr>
              <w:widowControl/>
              <w:spacing w:line="276" w:lineRule="auto"/>
              <w:jc w:val="left"/>
              <w:rPr>
                <w:rFonts w:ascii="宋体" w:hAnsi="宋体" w:cs="宋体"/>
                <w:color w:val="auto"/>
                <w:szCs w:val="21"/>
                <w:highlight w:val="none"/>
              </w:rPr>
            </w:pPr>
            <w:r>
              <w:rPr>
                <w:rFonts w:hint="eastAsia" w:ascii="宋体" w:hAnsi="宋体" w:cs="宋体"/>
                <w:color w:val="auto"/>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tabs>
          <w:tab w:val="left" w:pos="7655"/>
        </w:tabs>
        <w:rPr>
          <w:rFonts w:ascii="宋体" w:hAnsi="宋体" w:cs="宋体"/>
          <w:b/>
          <w:color w:val="auto"/>
          <w:kern w:val="1"/>
          <w:sz w:val="24"/>
          <w:highlight w:val="none"/>
        </w:rPr>
      </w:pPr>
    </w:p>
    <w:p>
      <w:pPr>
        <w:pStyle w:val="10"/>
        <w:rPr>
          <w:color w:val="auto"/>
          <w:highlight w:val="none"/>
          <w:lang w:val="en-US"/>
        </w:rPr>
      </w:pPr>
    </w:p>
    <w:p>
      <w:pPr>
        <w:pStyle w:val="10"/>
        <w:rPr>
          <w:color w:val="auto"/>
          <w:highlight w:val="none"/>
          <w:lang w:val="en-US"/>
        </w:rPr>
      </w:pPr>
    </w:p>
    <w:p>
      <w:pPr>
        <w:pStyle w:val="10"/>
        <w:rPr>
          <w:color w:val="auto"/>
          <w:highlight w:val="none"/>
          <w:lang w:val="en-US"/>
        </w:rPr>
      </w:pPr>
    </w:p>
    <w:p>
      <w:pPr>
        <w:pStyle w:val="10"/>
        <w:rPr>
          <w:color w:val="auto"/>
          <w:highlight w:val="none"/>
          <w:lang w:val="en-US"/>
        </w:rPr>
      </w:pPr>
    </w:p>
    <w:p>
      <w:pPr>
        <w:pStyle w:val="10"/>
        <w:rPr>
          <w:color w:val="auto"/>
          <w:highlight w:val="none"/>
          <w:lang w:val="en-US"/>
        </w:rPr>
      </w:pPr>
    </w:p>
    <w:p>
      <w:pPr>
        <w:pStyle w:val="10"/>
        <w:rPr>
          <w:color w:val="auto"/>
          <w:highlight w:val="none"/>
          <w:lang w:val="en-US"/>
        </w:rPr>
      </w:pPr>
    </w:p>
    <w:p>
      <w:pPr>
        <w:pStyle w:val="10"/>
        <w:rPr>
          <w:color w:val="auto"/>
          <w:highlight w:val="none"/>
          <w:lang w:val="en-US"/>
        </w:rPr>
      </w:pPr>
    </w:p>
    <w:p>
      <w:pPr>
        <w:tabs>
          <w:tab w:val="left" w:pos="7655"/>
        </w:tabs>
        <w:rPr>
          <w:rFonts w:ascii="宋体" w:hAnsi="宋体" w:cs="宋体"/>
          <w:b/>
          <w:bCs/>
          <w:color w:val="auto"/>
          <w:spacing w:val="4"/>
          <w:sz w:val="24"/>
          <w:szCs w:val="24"/>
          <w:highlight w:val="none"/>
          <w:lang w:val="zh-CN"/>
        </w:rPr>
      </w:pPr>
      <w:r>
        <w:rPr>
          <w:rFonts w:hint="eastAsia" w:ascii="宋体" w:hAnsi="宋体" w:cs="宋体"/>
          <w:b/>
          <w:color w:val="auto"/>
          <w:kern w:val="1"/>
          <w:sz w:val="24"/>
          <w:highlight w:val="none"/>
        </w:rPr>
        <w:t>格式7 拟投入本项目主要负责人员简历表</w:t>
      </w:r>
    </w:p>
    <w:p>
      <w:pPr>
        <w:tabs>
          <w:tab w:val="left" w:pos="7655"/>
        </w:tabs>
        <w:jc w:val="center"/>
        <w:rPr>
          <w:rFonts w:ascii="宋体" w:hAnsi="宋体" w:cs="宋体"/>
          <w:b/>
          <w:bCs/>
          <w:color w:val="auto"/>
          <w:spacing w:val="4"/>
          <w:sz w:val="28"/>
          <w:szCs w:val="28"/>
          <w:highlight w:val="none"/>
          <w:lang w:val="zh-CN"/>
        </w:rPr>
      </w:pPr>
    </w:p>
    <w:p>
      <w:pPr>
        <w:tabs>
          <w:tab w:val="left" w:pos="7655"/>
        </w:tabs>
        <w:jc w:val="center"/>
        <w:rPr>
          <w:rFonts w:ascii="宋体" w:hAnsi="宋体" w:cs="宋体"/>
          <w:b/>
          <w:bCs/>
          <w:color w:val="auto"/>
          <w:spacing w:val="4"/>
          <w:sz w:val="28"/>
          <w:szCs w:val="28"/>
          <w:highlight w:val="none"/>
          <w:lang w:val="zh-CN"/>
        </w:rPr>
      </w:pPr>
    </w:p>
    <w:p>
      <w:pPr>
        <w:tabs>
          <w:tab w:val="left" w:pos="7655"/>
        </w:tabs>
        <w:jc w:val="center"/>
        <w:rPr>
          <w:rFonts w:ascii="宋体" w:hAnsi="宋体" w:cs="宋体"/>
          <w:b/>
          <w:bCs/>
          <w:color w:val="auto"/>
          <w:spacing w:val="4"/>
          <w:sz w:val="28"/>
          <w:szCs w:val="28"/>
          <w:highlight w:val="none"/>
          <w:lang w:val="zh-CN"/>
        </w:rPr>
      </w:pPr>
      <w:r>
        <w:rPr>
          <w:rFonts w:hint="eastAsia" w:ascii="宋体" w:hAnsi="宋体" w:cs="宋体"/>
          <w:b/>
          <w:bCs/>
          <w:color w:val="auto"/>
          <w:spacing w:val="4"/>
          <w:sz w:val="28"/>
          <w:szCs w:val="28"/>
          <w:highlight w:val="none"/>
          <w:lang w:val="zh-CN"/>
        </w:rPr>
        <w:t>拟投入本项目主要负责人员简历表</w:t>
      </w:r>
    </w:p>
    <w:p>
      <w:pPr>
        <w:pStyle w:val="10"/>
        <w:rPr>
          <w:rFonts w:cs="宋体"/>
          <w:color w:val="auto"/>
          <w:highlight w:val="none"/>
        </w:rPr>
      </w:pPr>
    </w:p>
    <w:tbl>
      <w:tblPr>
        <w:tblStyle w:val="17"/>
        <w:tblW w:w="9180" w:type="dxa"/>
        <w:tblInd w:w="0" w:type="dxa"/>
        <w:tblLayout w:type="fixed"/>
        <w:tblCellMar>
          <w:top w:w="0" w:type="dxa"/>
          <w:left w:w="108" w:type="dxa"/>
          <w:bottom w:w="0" w:type="dxa"/>
          <w:right w:w="108" w:type="dxa"/>
        </w:tblCellMar>
      </w:tblPr>
      <w:tblGrid>
        <w:gridCol w:w="1384"/>
        <w:gridCol w:w="1418"/>
        <w:gridCol w:w="1275"/>
        <w:gridCol w:w="1134"/>
        <w:gridCol w:w="709"/>
        <w:gridCol w:w="709"/>
        <w:gridCol w:w="992"/>
        <w:gridCol w:w="709"/>
        <w:gridCol w:w="850"/>
      </w:tblGrid>
      <w:tr>
        <w:tblPrEx>
          <w:tblCellMar>
            <w:top w:w="0" w:type="dxa"/>
            <w:left w:w="108" w:type="dxa"/>
            <w:bottom w:w="0" w:type="dxa"/>
            <w:right w:w="108" w:type="dxa"/>
          </w:tblCellMar>
        </w:tblPrEx>
        <w:trPr>
          <w:trHeight w:val="749" w:hRule="exact"/>
        </w:trPr>
        <w:tc>
          <w:tcPr>
            <w:tcW w:w="1384" w:type="dxa"/>
            <w:tcBorders>
              <w:top w:val="single" w:color="000000" w:sz="12" w:space="0"/>
              <w:left w:val="single" w:color="000000" w:sz="12" w:space="0"/>
              <w:bottom w:val="single" w:color="000000" w:sz="6" w:space="0"/>
              <w:right w:val="single" w:color="000000" w:sz="6" w:space="0"/>
            </w:tcBorders>
            <w:noWrap w:val="0"/>
            <w:vAlign w:val="center"/>
          </w:tcPr>
          <w:p>
            <w:pPr>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姓名</w:t>
            </w:r>
          </w:p>
        </w:tc>
        <w:tc>
          <w:tcPr>
            <w:tcW w:w="1418" w:type="dxa"/>
            <w:tcBorders>
              <w:top w:val="single" w:color="000000" w:sz="12" w:space="0"/>
              <w:left w:val="single" w:color="000000" w:sz="6" w:space="0"/>
              <w:bottom w:val="single" w:color="000000" w:sz="6" w:space="0"/>
              <w:right w:val="single" w:color="000000" w:sz="6" w:space="0"/>
            </w:tcBorders>
            <w:noWrap w:val="0"/>
            <w:vAlign w:val="center"/>
          </w:tcPr>
          <w:p>
            <w:pPr>
              <w:jc w:val="center"/>
              <w:rPr>
                <w:rFonts w:ascii="宋体" w:hAnsi="宋体" w:cs="宋体"/>
                <w:color w:val="auto"/>
                <w:kern w:val="1"/>
                <w:szCs w:val="21"/>
                <w:highlight w:val="none"/>
              </w:rPr>
            </w:pPr>
          </w:p>
        </w:tc>
        <w:tc>
          <w:tcPr>
            <w:tcW w:w="1275" w:type="dxa"/>
            <w:tcBorders>
              <w:top w:val="single" w:color="000000" w:sz="12" w:space="0"/>
              <w:left w:val="single" w:color="000000" w:sz="6" w:space="0"/>
              <w:bottom w:val="single" w:color="000000" w:sz="6" w:space="0"/>
              <w:right w:val="single" w:color="000000" w:sz="6" w:space="0"/>
            </w:tcBorders>
            <w:noWrap w:val="0"/>
            <w:vAlign w:val="center"/>
          </w:tcPr>
          <w:p>
            <w:pPr>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性别</w:t>
            </w:r>
          </w:p>
        </w:tc>
        <w:tc>
          <w:tcPr>
            <w:tcW w:w="1134" w:type="dxa"/>
            <w:tcBorders>
              <w:top w:val="single" w:color="000000" w:sz="12" w:space="0"/>
              <w:left w:val="single" w:color="000000" w:sz="6" w:space="0"/>
              <w:bottom w:val="single" w:color="000000" w:sz="6" w:space="0"/>
              <w:right w:val="single" w:color="000000" w:sz="6" w:space="0"/>
            </w:tcBorders>
            <w:noWrap w:val="0"/>
            <w:vAlign w:val="center"/>
          </w:tcPr>
          <w:p>
            <w:pPr>
              <w:jc w:val="center"/>
              <w:rPr>
                <w:rFonts w:ascii="宋体" w:hAnsi="宋体" w:cs="宋体"/>
                <w:color w:val="auto"/>
                <w:kern w:val="1"/>
                <w:szCs w:val="21"/>
                <w:highlight w:val="none"/>
              </w:rPr>
            </w:pPr>
          </w:p>
        </w:tc>
        <w:tc>
          <w:tcPr>
            <w:tcW w:w="709" w:type="dxa"/>
            <w:tcBorders>
              <w:top w:val="single" w:color="000000" w:sz="12" w:space="0"/>
              <w:left w:val="single" w:color="000000" w:sz="6" w:space="0"/>
              <w:bottom w:val="single" w:color="000000" w:sz="6" w:space="0"/>
              <w:right w:val="single" w:color="000000" w:sz="6" w:space="0"/>
            </w:tcBorders>
            <w:noWrap w:val="0"/>
            <w:vAlign w:val="center"/>
          </w:tcPr>
          <w:p>
            <w:pPr>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出生年月</w:t>
            </w:r>
          </w:p>
        </w:tc>
        <w:tc>
          <w:tcPr>
            <w:tcW w:w="1701" w:type="dxa"/>
            <w:gridSpan w:val="2"/>
            <w:tcBorders>
              <w:top w:val="single" w:color="000000" w:sz="12" w:space="0"/>
              <w:left w:val="single" w:color="000000" w:sz="6" w:space="0"/>
              <w:bottom w:val="single" w:color="000000" w:sz="6" w:space="0"/>
              <w:right w:val="single" w:color="000000" w:sz="4" w:space="0"/>
            </w:tcBorders>
            <w:noWrap w:val="0"/>
            <w:vAlign w:val="center"/>
          </w:tcPr>
          <w:p>
            <w:pPr>
              <w:jc w:val="center"/>
              <w:rPr>
                <w:rFonts w:ascii="宋体" w:hAnsi="宋体" w:cs="宋体"/>
                <w:color w:val="auto"/>
                <w:kern w:val="1"/>
                <w:szCs w:val="21"/>
                <w:highlight w:val="none"/>
              </w:rPr>
            </w:pPr>
          </w:p>
        </w:tc>
        <w:tc>
          <w:tcPr>
            <w:tcW w:w="709" w:type="dxa"/>
            <w:tcBorders>
              <w:top w:val="single" w:color="000000" w:sz="12" w:space="0"/>
              <w:left w:val="single" w:color="000000" w:sz="4" w:space="0"/>
              <w:bottom w:val="single" w:color="000000" w:sz="6" w:space="0"/>
              <w:right w:val="single" w:color="000000" w:sz="4" w:space="0"/>
            </w:tcBorders>
            <w:noWrap w:val="0"/>
            <w:vAlign w:val="center"/>
          </w:tcPr>
          <w:p>
            <w:pPr>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文化程度</w:t>
            </w:r>
          </w:p>
        </w:tc>
        <w:tc>
          <w:tcPr>
            <w:tcW w:w="850" w:type="dxa"/>
            <w:tcBorders>
              <w:top w:val="single" w:color="000000" w:sz="12" w:space="0"/>
              <w:left w:val="single" w:color="000000" w:sz="4" w:space="0"/>
              <w:bottom w:val="single" w:color="000000" w:sz="6" w:space="0"/>
              <w:right w:val="single" w:color="000000" w:sz="12" w:space="0"/>
            </w:tcBorders>
            <w:noWrap w:val="0"/>
            <w:vAlign w:val="center"/>
          </w:tcPr>
          <w:p>
            <w:pPr>
              <w:spacing w:line="360" w:lineRule="auto"/>
              <w:jc w:val="center"/>
              <w:rPr>
                <w:rFonts w:ascii="宋体" w:hAnsi="宋体" w:cs="宋体"/>
                <w:color w:val="auto"/>
                <w:kern w:val="1"/>
                <w:szCs w:val="21"/>
                <w:highlight w:val="none"/>
              </w:rPr>
            </w:pPr>
          </w:p>
        </w:tc>
      </w:tr>
      <w:tr>
        <w:tblPrEx>
          <w:tblCellMar>
            <w:top w:w="0" w:type="dxa"/>
            <w:left w:w="108" w:type="dxa"/>
            <w:bottom w:w="0" w:type="dxa"/>
            <w:right w:w="108" w:type="dxa"/>
          </w:tblCellMar>
        </w:tblPrEx>
        <w:trPr>
          <w:trHeight w:val="757" w:hRule="exact"/>
        </w:trPr>
        <w:tc>
          <w:tcPr>
            <w:tcW w:w="1384" w:type="dxa"/>
            <w:tcBorders>
              <w:top w:val="single" w:color="000000" w:sz="6" w:space="0"/>
              <w:left w:val="single" w:color="000000" w:sz="12" w:space="0"/>
              <w:bottom w:val="single" w:color="000000" w:sz="6" w:space="0"/>
              <w:right w:val="single" w:color="000000" w:sz="6" w:space="0"/>
            </w:tcBorders>
            <w:noWrap w:val="0"/>
            <w:vAlign w:val="center"/>
          </w:tcPr>
          <w:p>
            <w:pPr>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毕业院校</w:t>
            </w:r>
          </w:p>
        </w:tc>
        <w:tc>
          <w:tcPr>
            <w:tcW w:w="1418"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s="宋体"/>
                <w:color w:val="auto"/>
                <w:kern w:val="1"/>
                <w:szCs w:val="21"/>
                <w:highlight w:val="none"/>
              </w:rPr>
            </w:pPr>
          </w:p>
        </w:tc>
        <w:tc>
          <w:tcPr>
            <w:tcW w:w="1275"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专业</w:t>
            </w:r>
          </w:p>
        </w:tc>
        <w:tc>
          <w:tcPr>
            <w:tcW w:w="1843" w:type="dxa"/>
            <w:gridSpan w:val="2"/>
            <w:tcBorders>
              <w:top w:val="single" w:color="000000" w:sz="6" w:space="0"/>
              <w:left w:val="single" w:color="000000" w:sz="6" w:space="0"/>
              <w:bottom w:val="single" w:color="000000" w:sz="6" w:space="0"/>
              <w:right w:val="single" w:color="000000" w:sz="4" w:space="0"/>
            </w:tcBorders>
            <w:noWrap w:val="0"/>
            <w:vAlign w:val="center"/>
          </w:tcPr>
          <w:p>
            <w:pPr>
              <w:rPr>
                <w:rFonts w:ascii="宋体" w:hAnsi="宋体" w:cs="宋体"/>
                <w:color w:val="auto"/>
                <w:kern w:val="1"/>
                <w:szCs w:val="21"/>
                <w:highlight w:val="none"/>
              </w:rPr>
            </w:pPr>
          </w:p>
        </w:tc>
        <w:tc>
          <w:tcPr>
            <w:tcW w:w="709" w:type="dxa"/>
            <w:tcBorders>
              <w:top w:val="single" w:color="000000" w:sz="6" w:space="0"/>
              <w:left w:val="single" w:color="000000" w:sz="4" w:space="0"/>
              <w:bottom w:val="single" w:color="000000" w:sz="6" w:space="0"/>
              <w:right w:val="single" w:color="000000" w:sz="4" w:space="0"/>
            </w:tcBorders>
            <w:noWrap w:val="0"/>
            <w:vAlign w:val="center"/>
          </w:tcPr>
          <w:p>
            <w:pPr>
              <w:rPr>
                <w:rFonts w:ascii="宋体" w:hAnsi="宋体" w:cs="宋体"/>
                <w:color w:val="auto"/>
                <w:kern w:val="1"/>
                <w:szCs w:val="21"/>
                <w:highlight w:val="none"/>
              </w:rPr>
            </w:pPr>
            <w:r>
              <w:rPr>
                <w:rFonts w:hint="eastAsia" w:ascii="宋体" w:hAnsi="宋体" w:cs="宋体"/>
                <w:color w:val="auto"/>
                <w:kern w:val="1"/>
                <w:szCs w:val="21"/>
                <w:highlight w:val="none"/>
                <w:lang w:val="zh-CN"/>
              </w:rPr>
              <w:t>毕业</w:t>
            </w:r>
          </w:p>
          <w:p>
            <w:pPr>
              <w:rPr>
                <w:rFonts w:ascii="宋体" w:hAnsi="宋体" w:cs="宋体"/>
                <w:color w:val="auto"/>
                <w:kern w:val="1"/>
                <w:szCs w:val="21"/>
                <w:highlight w:val="none"/>
              </w:rPr>
            </w:pPr>
            <w:r>
              <w:rPr>
                <w:rFonts w:hint="eastAsia" w:ascii="宋体" w:hAnsi="宋体" w:cs="宋体"/>
                <w:color w:val="auto"/>
                <w:kern w:val="1"/>
                <w:szCs w:val="21"/>
                <w:highlight w:val="none"/>
                <w:lang w:val="zh-CN"/>
              </w:rPr>
              <w:t>时间</w:t>
            </w:r>
          </w:p>
        </w:tc>
        <w:tc>
          <w:tcPr>
            <w:tcW w:w="992" w:type="dxa"/>
            <w:tcBorders>
              <w:top w:val="single" w:color="000000" w:sz="6" w:space="0"/>
              <w:left w:val="single" w:color="000000" w:sz="4" w:space="0"/>
              <w:bottom w:val="single" w:color="000000" w:sz="6" w:space="0"/>
              <w:right w:val="single" w:color="000000" w:sz="6" w:space="0"/>
            </w:tcBorders>
            <w:noWrap w:val="0"/>
            <w:vAlign w:val="center"/>
          </w:tcPr>
          <w:p>
            <w:pPr>
              <w:rPr>
                <w:rFonts w:ascii="宋体" w:hAnsi="宋体" w:cs="宋体"/>
                <w:color w:val="auto"/>
                <w:kern w:val="1"/>
                <w:szCs w:val="21"/>
                <w:highlight w:val="none"/>
              </w:rPr>
            </w:pPr>
          </w:p>
        </w:tc>
        <w:tc>
          <w:tcPr>
            <w:tcW w:w="709" w:type="dxa"/>
            <w:tcBorders>
              <w:top w:val="single" w:color="000000" w:sz="6" w:space="0"/>
              <w:left w:val="single" w:color="000000" w:sz="6" w:space="0"/>
              <w:bottom w:val="single" w:color="000000" w:sz="6" w:space="0"/>
              <w:right w:val="single" w:color="000000" w:sz="4" w:space="0"/>
            </w:tcBorders>
            <w:noWrap w:val="0"/>
            <w:vAlign w:val="center"/>
          </w:tcPr>
          <w:p>
            <w:pPr>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技术</w:t>
            </w:r>
          </w:p>
          <w:p>
            <w:pPr>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职称</w:t>
            </w:r>
          </w:p>
        </w:tc>
        <w:tc>
          <w:tcPr>
            <w:tcW w:w="850" w:type="dxa"/>
            <w:tcBorders>
              <w:top w:val="single" w:color="000000" w:sz="6" w:space="0"/>
              <w:left w:val="single" w:color="000000" w:sz="4" w:space="0"/>
              <w:bottom w:val="single" w:color="000000" w:sz="6" w:space="0"/>
              <w:right w:val="single" w:color="000000" w:sz="12" w:space="0"/>
            </w:tcBorders>
            <w:noWrap w:val="0"/>
            <w:vAlign w:val="center"/>
          </w:tcPr>
          <w:p>
            <w:pPr>
              <w:spacing w:line="360" w:lineRule="auto"/>
              <w:rPr>
                <w:rFonts w:ascii="宋体" w:hAnsi="宋体" w:cs="宋体"/>
                <w:color w:val="auto"/>
                <w:kern w:val="1"/>
                <w:szCs w:val="21"/>
                <w:highlight w:val="none"/>
              </w:rPr>
            </w:pPr>
          </w:p>
        </w:tc>
      </w:tr>
      <w:tr>
        <w:tblPrEx>
          <w:tblCellMar>
            <w:top w:w="0" w:type="dxa"/>
            <w:left w:w="108" w:type="dxa"/>
            <w:bottom w:w="0" w:type="dxa"/>
            <w:right w:w="108" w:type="dxa"/>
          </w:tblCellMar>
        </w:tblPrEx>
        <w:trPr>
          <w:trHeight w:val="2324" w:hRule="exact"/>
        </w:trPr>
        <w:tc>
          <w:tcPr>
            <w:tcW w:w="1384" w:type="dxa"/>
            <w:tcBorders>
              <w:top w:val="single" w:color="000000" w:sz="6" w:space="0"/>
              <w:left w:val="single" w:color="000000" w:sz="12" w:space="0"/>
              <w:bottom w:val="single" w:color="000000" w:sz="6" w:space="0"/>
              <w:right w:val="single" w:color="000000" w:sz="6" w:space="0"/>
            </w:tcBorders>
            <w:noWrap w:val="0"/>
            <w:vAlign w:val="center"/>
          </w:tcPr>
          <w:p>
            <w:pPr>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拟在本项目担任的职务</w:t>
            </w:r>
          </w:p>
        </w:tc>
        <w:tc>
          <w:tcPr>
            <w:tcW w:w="1418"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s="宋体"/>
                <w:color w:val="auto"/>
                <w:kern w:val="1"/>
                <w:szCs w:val="21"/>
                <w:highlight w:val="none"/>
              </w:rPr>
            </w:pPr>
          </w:p>
        </w:tc>
        <w:tc>
          <w:tcPr>
            <w:tcW w:w="1275" w:type="dxa"/>
            <w:tcBorders>
              <w:top w:val="single" w:color="000000" w:sz="6" w:space="0"/>
              <w:left w:val="single" w:color="000000" w:sz="6" w:space="0"/>
              <w:bottom w:val="single" w:color="000000" w:sz="6" w:space="0"/>
              <w:right w:val="single" w:color="000000" w:sz="6" w:space="0"/>
            </w:tcBorders>
            <w:noWrap w:val="0"/>
            <w:vAlign w:val="center"/>
          </w:tcPr>
          <w:p>
            <w:pPr>
              <w:ind w:left="-80" w:right="-116"/>
              <w:jc w:val="center"/>
              <w:rPr>
                <w:rFonts w:ascii="宋体" w:hAnsi="宋体" w:cs="宋体"/>
                <w:color w:val="auto"/>
                <w:kern w:val="1"/>
                <w:szCs w:val="21"/>
                <w:highlight w:val="none"/>
              </w:rPr>
            </w:pPr>
            <w:r>
              <w:rPr>
                <w:rFonts w:hint="eastAsia" w:ascii="宋体" w:hAnsi="宋体" w:cs="宋体"/>
                <w:color w:val="auto"/>
                <w:kern w:val="1"/>
                <w:szCs w:val="21"/>
                <w:highlight w:val="none"/>
              </w:rPr>
              <w:t>从事工作年限</w:t>
            </w:r>
          </w:p>
        </w:tc>
        <w:tc>
          <w:tcPr>
            <w:tcW w:w="1134"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s="宋体"/>
                <w:color w:val="auto"/>
                <w:kern w:val="1"/>
                <w:szCs w:val="21"/>
                <w:highlight w:val="none"/>
              </w:rPr>
            </w:pPr>
          </w:p>
        </w:tc>
        <w:tc>
          <w:tcPr>
            <w:tcW w:w="709" w:type="dxa"/>
            <w:tcBorders>
              <w:top w:val="single" w:color="000000" w:sz="6" w:space="0"/>
              <w:left w:val="single" w:color="000000" w:sz="6" w:space="0"/>
              <w:bottom w:val="single" w:color="000000" w:sz="6" w:space="0"/>
              <w:right w:val="single" w:color="000000" w:sz="4" w:space="0"/>
            </w:tcBorders>
            <w:noWrap w:val="0"/>
            <w:vAlign w:val="center"/>
          </w:tcPr>
          <w:p>
            <w:pPr>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现任</w:t>
            </w:r>
          </w:p>
          <w:p>
            <w:pPr>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职务</w:t>
            </w:r>
          </w:p>
        </w:tc>
        <w:tc>
          <w:tcPr>
            <w:tcW w:w="1701" w:type="dxa"/>
            <w:gridSpan w:val="2"/>
            <w:tcBorders>
              <w:top w:val="single" w:color="000000" w:sz="6" w:space="0"/>
              <w:left w:val="single" w:color="000000" w:sz="4" w:space="0"/>
              <w:bottom w:val="single" w:color="000000" w:sz="6" w:space="0"/>
              <w:right w:val="single" w:color="000000" w:sz="4" w:space="0"/>
            </w:tcBorders>
            <w:noWrap w:val="0"/>
            <w:vAlign w:val="center"/>
          </w:tcPr>
          <w:p>
            <w:pPr>
              <w:jc w:val="center"/>
              <w:rPr>
                <w:rFonts w:ascii="宋体" w:hAnsi="宋体" w:cs="宋体"/>
                <w:color w:val="auto"/>
                <w:kern w:val="1"/>
                <w:szCs w:val="21"/>
                <w:highlight w:val="none"/>
              </w:rPr>
            </w:pPr>
          </w:p>
        </w:tc>
        <w:tc>
          <w:tcPr>
            <w:tcW w:w="709" w:type="dxa"/>
            <w:tcBorders>
              <w:top w:val="single" w:color="000000" w:sz="6" w:space="0"/>
              <w:left w:val="single" w:color="000000" w:sz="4" w:space="0"/>
              <w:bottom w:val="single" w:color="000000" w:sz="6" w:space="0"/>
              <w:right w:val="single" w:color="000000" w:sz="4" w:space="0"/>
            </w:tcBorders>
            <w:noWrap w:val="0"/>
            <w:vAlign w:val="center"/>
          </w:tcPr>
          <w:p>
            <w:pPr>
              <w:jc w:val="center"/>
              <w:rPr>
                <w:rFonts w:ascii="宋体" w:hAnsi="宋体" w:cs="宋体"/>
                <w:color w:val="auto"/>
                <w:kern w:val="1"/>
                <w:szCs w:val="21"/>
                <w:highlight w:val="none"/>
              </w:rPr>
            </w:pPr>
          </w:p>
        </w:tc>
        <w:tc>
          <w:tcPr>
            <w:tcW w:w="850" w:type="dxa"/>
            <w:tcBorders>
              <w:top w:val="single" w:color="000000" w:sz="6" w:space="0"/>
              <w:left w:val="single" w:color="000000" w:sz="4" w:space="0"/>
              <w:bottom w:val="single" w:color="000000" w:sz="6" w:space="0"/>
              <w:right w:val="single" w:color="000000" w:sz="12" w:space="0"/>
            </w:tcBorders>
            <w:noWrap w:val="0"/>
            <w:vAlign w:val="center"/>
          </w:tcPr>
          <w:p>
            <w:pPr>
              <w:spacing w:line="360" w:lineRule="auto"/>
              <w:jc w:val="center"/>
              <w:rPr>
                <w:rFonts w:ascii="宋体" w:hAnsi="宋体" w:cs="宋体"/>
                <w:color w:val="auto"/>
                <w:kern w:val="1"/>
                <w:szCs w:val="21"/>
                <w:highlight w:val="none"/>
              </w:rPr>
            </w:pPr>
          </w:p>
        </w:tc>
      </w:tr>
      <w:tr>
        <w:tblPrEx>
          <w:tblCellMar>
            <w:top w:w="0" w:type="dxa"/>
            <w:left w:w="108" w:type="dxa"/>
            <w:bottom w:w="0" w:type="dxa"/>
            <w:right w:w="108" w:type="dxa"/>
          </w:tblCellMar>
        </w:tblPrEx>
        <w:trPr>
          <w:trHeight w:val="1289" w:hRule="exact"/>
        </w:trPr>
        <w:tc>
          <w:tcPr>
            <w:tcW w:w="1384" w:type="dxa"/>
            <w:tcBorders>
              <w:top w:val="single" w:color="000000" w:sz="6" w:space="0"/>
              <w:left w:val="single" w:color="000000" w:sz="12" w:space="0"/>
              <w:bottom w:val="single" w:color="000000" w:sz="6" w:space="0"/>
              <w:right w:val="single" w:color="000000" w:sz="6" w:space="0"/>
            </w:tcBorders>
            <w:noWrap w:val="0"/>
            <w:vAlign w:val="center"/>
          </w:tcPr>
          <w:p>
            <w:pPr>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资格证号</w:t>
            </w:r>
          </w:p>
        </w:tc>
        <w:tc>
          <w:tcPr>
            <w:tcW w:w="6237" w:type="dxa"/>
            <w:gridSpan w:val="6"/>
            <w:tcBorders>
              <w:top w:val="single" w:color="000000" w:sz="6" w:space="0"/>
              <w:left w:val="single" w:color="000000" w:sz="6" w:space="0"/>
              <w:bottom w:val="single" w:color="000000" w:sz="6" w:space="0"/>
              <w:right w:val="single" w:color="000000" w:sz="4" w:space="0"/>
            </w:tcBorders>
            <w:noWrap w:val="0"/>
            <w:vAlign w:val="center"/>
          </w:tcPr>
          <w:p>
            <w:pPr>
              <w:jc w:val="center"/>
              <w:rPr>
                <w:rFonts w:ascii="宋体" w:hAnsi="宋体" w:cs="宋体"/>
                <w:color w:val="auto"/>
                <w:kern w:val="1"/>
                <w:szCs w:val="21"/>
                <w:highlight w:val="none"/>
              </w:rPr>
            </w:pPr>
          </w:p>
        </w:tc>
        <w:tc>
          <w:tcPr>
            <w:tcW w:w="709" w:type="dxa"/>
            <w:tcBorders>
              <w:top w:val="single" w:color="000000" w:sz="6" w:space="0"/>
              <w:left w:val="single" w:color="000000" w:sz="4" w:space="0"/>
              <w:bottom w:val="single" w:color="000000" w:sz="6" w:space="0"/>
              <w:right w:val="single" w:color="000000" w:sz="4" w:space="0"/>
            </w:tcBorders>
            <w:noWrap w:val="0"/>
            <w:vAlign w:val="center"/>
          </w:tcPr>
          <w:p>
            <w:pPr>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在册/外聘</w:t>
            </w:r>
          </w:p>
        </w:tc>
        <w:tc>
          <w:tcPr>
            <w:tcW w:w="850" w:type="dxa"/>
            <w:tcBorders>
              <w:top w:val="single" w:color="000000" w:sz="6" w:space="0"/>
              <w:left w:val="single" w:color="000000" w:sz="4" w:space="0"/>
              <w:bottom w:val="single" w:color="000000" w:sz="6" w:space="0"/>
              <w:right w:val="single" w:color="000000" w:sz="12" w:space="0"/>
            </w:tcBorders>
            <w:noWrap w:val="0"/>
            <w:vAlign w:val="center"/>
          </w:tcPr>
          <w:p>
            <w:pPr>
              <w:spacing w:line="360" w:lineRule="auto"/>
              <w:jc w:val="center"/>
              <w:rPr>
                <w:rFonts w:ascii="宋体" w:hAnsi="宋体" w:cs="宋体"/>
                <w:color w:val="auto"/>
                <w:kern w:val="1"/>
                <w:szCs w:val="21"/>
                <w:highlight w:val="none"/>
              </w:rPr>
            </w:pPr>
          </w:p>
        </w:tc>
      </w:tr>
      <w:tr>
        <w:tblPrEx>
          <w:tblCellMar>
            <w:top w:w="0" w:type="dxa"/>
            <w:left w:w="108" w:type="dxa"/>
            <w:bottom w:w="0" w:type="dxa"/>
            <w:right w:w="108" w:type="dxa"/>
          </w:tblCellMar>
        </w:tblPrEx>
        <w:trPr>
          <w:trHeight w:val="618" w:hRule="exact"/>
        </w:trPr>
        <w:tc>
          <w:tcPr>
            <w:tcW w:w="1384" w:type="dxa"/>
            <w:vMerge w:val="restart"/>
            <w:tcBorders>
              <w:top w:val="single" w:color="000000" w:sz="6" w:space="0"/>
              <w:left w:val="single" w:color="000000" w:sz="12" w:space="0"/>
              <w:bottom w:val="single" w:color="000000" w:sz="12" w:space="0"/>
              <w:right w:val="single" w:color="000000" w:sz="6" w:space="0"/>
            </w:tcBorders>
            <w:noWrap w:val="0"/>
            <w:vAlign w:val="center"/>
          </w:tcPr>
          <w:p>
            <w:pPr>
              <w:spacing w:line="48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主要</w:t>
            </w:r>
          </w:p>
          <w:p>
            <w:pPr>
              <w:spacing w:line="48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业绩</w:t>
            </w:r>
          </w:p>
        </w:tc>
        <w:tc>
          <w:tcPr>
            <w:tcW w:w="1418" w:type="dxa"/>
            <w:tcBorders>
              <w:top w:val="single" w:color="000000" w:sz="6" w:space="0"/>
              <w:left w:val="single" w:color="000000" w:sz="6"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时间</w:t>
            </w:r>
          </w:p>
        </w:tc>
        <w:tc>
          <w:tcPr>
            <w:tcW w:w="3827" w:type="dxa"/>
            <w:gridSpan w:val="4"/>
            <w:tcBorders>
              <w:top w:val="single" w:color="000000" w:sz="6"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工程名称</w:t>
            </w:r>
          </w:p>
        </w:tc>
        <w:tc>
          <w:tcPr>
            <w:tcW w:w="992" w:type="dxa"/>
            <w:tcBorders>
              <w:top w:val="single" w:color="000000" w:sz="6" w:space="0"/>
              <w:bottom w:val="single" w:color="000000" w:sz="4" w:space="0"/>
              <w:right w:val="single" w:color="000000" w:sz="4"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任职</w:t>
            </w:r>
          </w:p>
        </w:tc>
        <w:tc>
          <w:tcPr>
            <w:tcW w:w="1559" w:type="dxa"/>
            <w:gridSpan w:val="2"/>
            <w:tcBorders>
              <w:top w:val="single" w:color="000000" w:sz="6" w:space="0"/>
              <w:left w:val="single" w:color="000000" w:sz="4" w:space="0"/>
              <w:bottom w:val="single" w:color="000000" w:sz="4" w:space="0"/>
              <w:right w:val="single" w:color="000000" w:sz="12" w:space="0"/>
            </w:tcBorders>
            <w:noWrap w:val="0"/>
            <w:vAlign w:val="center"/>
          </w:tcPr>
          <w:p>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工作单位</w:t>
            </w:r>
          </w:p>
        </w:tc>
      </w:tr>
      <w:tr>
        <w:tblPrEx>
          <w:tblCellMar>
            <w:top w:w="0" w:type="dxa"/>
            <w:left w:w="108" w:type="dxa"/>
            <w:bottom w:w="0" w:type="dxa"/>
            <w:right w:w="108" w:type="dxa"/>
          </w:tblCellMar>
        </w:tblPrEx>
        <w:trPr>
          <w:trHeight w:val="1913" w:hRule="atLeast"/>
        </w:trPr>
        <w:tc>
          <w:tcPr>
            <w:tcW w:w="1384" w:type="dxa"/>
            <w:vMerge w:val="continue"/>
            <w:tcBorders>
              <w:top w:val="single" w:color="000000" w:sz="6" w:space="0"/>
              <w:left w:val="single" w:color="000000" w:sz="12" w:space="0"/>
              <w:bottom w:val="single" w:color="000000" w:sz="12" w:space="0"/>
              <w:right w:val="single" w:color="000000" w:sz="6" w:space="0"/>
            </w:tcBorders>
            <w:noWrap w:val="0"/>
            <w:vAlign w:val="center"/>
          </w:tcPr>
          <w:p>
            <w:pPr>
              <w:jc w:val="left"/>
              <w:rPr>
                <w:rFonts w:ascii="宋体" w:hAnsi="宋体" w:cs="宋体"/>
                <w:color w:val="auto"/>
                <w:kern w:val="1"/>
                <w:szCs w:val="21"/>
                <w:highlight w:val="none"/>
              </w:rPr>
            </w:pPr>
          </w:p>
        </w:tc>
        <w:tc>
          <w:tcPr>
            <w:tcW w:w="1418" w:type="dxa"/>
            <w:tcBorders>
              <w:top w:val="single" w:color="000000" w:sz="6" w:space="0"/>
              <w:left w:val="single" w:color="000000" w:sz="6" w:space="0"/>
              <w:bottom w:val="single" w:color="000000" w:sz="12" w:space="0"/>
              <w:right w:val="single" w:color="000000" w:sz="4" w:space="0"/>
            </w:tcBorders>
            <w:noWrap w:val="0"/>
            <w:vAlign w:val="center"/>
          </w:tcPr>
          <w:p>
            <w:pPr>
              <w:spacing w:line="360" w:lineRule="auto"/>
              <w:jc w:val="center"/>
              <w:rPr>
                <w:rFonts w:ascii="宋体" w:hAnsi="宋体" w:cs="宋体"/>
                <w:color w:val="auto"/>
                <w:kern w:val="1"/>
                <w:szCs w:val="21"/>
                <w:highlight w:val="none"/>
              </w:rPr>
            </w:pPr>
          </w:p>
        </w:tc>
        <w:tc>
          <w:tcPr>
            <w:tcW w:w="3827" w:type="dxa"/>
            <w:gridSpan w:val="4"/>
            <w:tcBorders>
              <w:top w:val="single" w:color="000000" w:sz="6" w:space="0"/>
              <w:bottom w:val="single" w:color="000000" w:sz="12" w:space="0"/>
              <w:right w:val="single" w:color="000000" w:sz="4" w:space="0"/>
            </w:tcBorders>
            <w:noWrap w:val="0"/>
            <w:vAlign w:val="center"/>
          </w:tcPr>
          <w:p>
            <w:pPr>
              <w:spacing w:line="360" w:lineRule="auto"/>
              <w:jc w:val="center"/>
              <w:rPr>
                <w:rFonts w:ascii="宋体" w:hAnsi="宋体" w:cs="宋体"/>
                <w:color w:val="auto"/>
                <w:kern w:val="1"/>
                <w:szCs w:val="21"/>
                <w:highlight w:val="none"/>
              </w:rPr>
            </w:pPr>
          </w:p>
        </w:tc>
        <w:tc>
          <w:tcPr>
            <w:tcW w:w="992" w:type="dxa"/>
            <w:tcBorders>
              <w:top w:val="single" w:color="000000" w:sz="6" w:space="0"/>
              <w:bottom w:val="single" w:color="000000" w:sz="12" w:space="0"/>
              <w:right w:val="single" w:color="000000" w:sz="4" w:space="0"/>
            </w:tcBorders>
            <w:noWrap w:val="0"/>
            <w:vAlign w:val="center"/>
          </w:tcPr>
          <w:p>
            <w:pPr>
              <w:spacing w:line="360" w:lineRule="auto"/>
              <w:jc w:val="center"/>
              <w:rPr>
                <w:rFonts w:ascii="宋体" w:hAnsi="宋体" w:cs="宋体"/>
                <w:color w:val="auto"/>
                <w:kern w:val="1"/>
                <w:szCs w:val="21"/>
                <w:highlight w:val="none"/>
              </w:rPr>
            </w:pPr>
          </w:p>
        </w:tc>
        <w:tc>
          <w:tcPr>
            <w:tcW w:w="1559" w:type="dxa"/>
            <w:gridSpan w:val="2"/>
            <w:tcBorders>
              <w:top w:val="single" w:color="000000" w:sz="6" w:space="0"/>
              <w:left w:val="single" w:color="000000" w:sz="4" w:space="0"/>
              <w:bottom w:val="single" w:color="000000" w:sz="12" w:space="0"/>
              <w:right w:val="single" w:color="000000" w:sz="12" w:space="0"/>
            </w:tcBorders>
            <w:noWrap w:val="0"/>
            <w:vAlign w:val="center"/>
          </w:tcPr>
          <w:p>
            <w:pPr>
              <w:spacing w:line="360" w:lineRule="auto"/>
              <w:jc w:val="center"/>
              <w:rPr>
                <w:rFonts w:ascii="宋体" w:hAnsi="宋体" w:cs="宋体"/>
                <w:color w:val="auto"/>
                <w:kern w:val="1"/>
                <w:szCs w:val="21"/>
                <w:highlight w:val="none"/>
              </w:rPr>
            </w:pPr>
          </w:p>
        </w:tc>
      </w:tr>
    </w:tbl>
    <w:p>
      <w:pPr>
        <w:spacing w:line="360" w:lineRule="auto"/>
        <w:rPr>
          <w:rFonts w:ascii="宋体" w:hAnsi="宋体" w:cs="宋体"/>
          <w:color w:val="auto"/>
          <w:kern w:val="1"/>
          <w:sz w:val="18"/>
          <w:szCs w:val="18"/>
          <w:highlight w:val="none"/>
          <w:lang w:val="zh-CN"/>
        </w:rPr>
      </w:pPr>
    </w:p>
    <w:p>
      <w:pPr>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lang w:val="zh-CN"/>
        </w:rPr>
        <w:t>备注：</w:t>
      </w:r>
    </w:p>
    <w:p>
      <w:pPr>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lang w:val="zh-CN"/>
        </w:rPr>
        <w:t>1、项目负责人、技术负责人、设计负责人应附本简历表，其余人员无需本表。</w:t>
      </w:r>
    </w:p>
    <w:p>
      <w:pPr>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lang w:val="zh-CN"/>
        </w:rPr>
        <w:t>2、所报人员如有符合评分表中评分项目的，应附相关证明材料。</w:t>
      </w:r>
    </w:p>
    <w:p>
      <w:pPr>
        <w:pStyle w:val="10"/>
        <w:rPr>
          <w:rFonts w:cs="宋体"/>
          <w:color w:val="auto"/>
          <w:highlight w:val="none"/>
        </w:rPr>
      </w:pPr>
    </w:p>
    <w:p>
      <w:pPr>
        <w:tabs>
          <w:tab w:val="left" w:pos="7655"/>
        </w:tabs>
        <w:spacing w:line="480" w:lineRule="auto"/>
        <w:ind w:right="492"/>
        <w:jc w:val="right"/>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(盖公章) </w:t>
      </w:r>
    </w:p>
    <w:p>
      <w:pPr>
        <w:tabs>
          <w:tab w:val="left" w:pos="7655"/>
        </w:tabs>
        <w:spacing w:line="480" w:lineRule="auto"/>
        <w:jc w:val="right"/>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法定代表人或被授权人：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pPr>
        <w:pStyle w:val="24"/>
        <w:ind w:firstLine="0"/>
        <w:jc w:val="right"/>
        <w:rPr>
          <w:rFonts w:ascii="宋体" w:hAnsi="宋体" w:cs="宋体"/>
          <w:color w:val="auto"/>
          <w:spacing w:val="18"/>
          <w:kern w:val="1"/>
          <w:szCs w:val="21"/>
          <w:highlight w:val="none"/>
          <w:lang w:val="zh-CN"/>
        </w:rPr>
      </w:pPr>
      <w:r>
        <w:rPr>
          <w:rFonts w:hint="eastAsia" w:ascii="宋体" w:hAnsi="宋体" w:cs="宋体"/>
          <w:color w:val="auto"/>
          <w:spacing w:val="18"/>
          <w:kern w:val="1"/>
          <w:szCs w:val="21"/>
          <w:highlight w:val="none"/>
          <w:lang w:val="zh-CN"/>
        </w:rPr>
        <w:t>日期：</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年</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月</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日</w:t>
      </w:r>
    </w:p>
    <w:p>
      <w:pPr>
        <w:pStyle w:val="10"/>
        <w:spacing w:line="360" w:lineRule="auto"/>
        <w:rPr>
          <w:rFonts w:hint="eastAsia" w:cs="宋体"/>
          <w:b/>
          <w:color w:val="auto"/>
          <w:kern w:val="1"/>
          <w:sz w:val="24"/>
          <w:highlight w:val="none"/>
        </w:rPr>
      </w:pPr>
    </w:p>
    <w:p>
      <w:pPr>
        <w:pStyle w:val="21"/>
        <w:rPr>
          <w:highlight w:val="none"/>
          <w:lang w:val="zh-CN"/>
        </w:rPr>
      </w:pPr>
    </w:p>
    <w:p>
      <w:pPr>
        <w:rPr>
          <w:highlight w:val="none"/>
        </w:rPr>
      </w:pPr>
    </w:p>
    <w:p>
      <w:pPr>
        <w:wordWrap w:val="0"/>
        <w:spacing w:line="360" w:lineRule="auto"/>
        <w:rPr>
          <w:rFonts w:hint="eastAsia"/>
          <w:color w:val="auto"/>
          <w:highlight w:val="none"/>
        </w:rPr>
      </w:pPr>
    </w:p>
    <w:p>
      <w:pPr>
        <w:tabs>
          <w:tab w:val="left" w:pos="0"/>
        </w:tabs>
        <w:rPr>
          <w:rFonts w:ascii="宋体" w:hAnsi="宋体" w:cs="宋体"/>
          <w:b/>
          <w:color w:val="auto"/>
          <w:kern w:val="1"/>
          <w:sz w:val="24"/>
          <w:szCs w:val="24"/>
          <w:highlight w:val="none"/>
        </w:rPr>
      </w:pPr>
      <w:bookmarkStart w:id="477" w:name="_Toc129186526"/>
      <w:r>
        <w:rPr>
          <w:rFonts w:hint="eastAsia" w:ascii="宋体" w:hAnsi="宋体" w:cs="宋体"/>
          <w:b/>
          <w:color w:val="auto"/>
          <w:kern w:val="1"/>
          <w:sz w:val="24"/>
          <w:szCs w:val="24"/>
          <w:highlight w:val="none"/>
        </w:rPr>
        <w:t xml:space="preserve">格式8 </w:t>
      </w:r>
      <w:r>
        <w:rPr>
          <w:rFonts w:ascii="宋体" w:hAnsi="宋体" w:cs="宋体"/>
          <w:b/>
          <w:color w:val="auto"/>
          <w:kern w:val="1"/>
          <w:sz w:val="24"/>
          <w:szCs w:val="24"/>
          <w:highlight w:val="none"/>
        </w:rPr>
        <w:t>投标企业诚信承诺书</w:t>
      </w:r>
    </w:p>
    <w:p>
      <w:pPr>
        <w:tabs>
          <w:tab w:val="left" w:pos="7655"/>
        </w:tabs>
        <w:rPr>
          <w:rFonts w:ascii="宋体" w:hAnsi="宋体" w:cs="宋体"/>
          <w:b/>
          <w:bCs/>
          <w:color w:val="auto"/>
          <w:spacing w:val="4"/>
          <w:sz w:val="24"/>
          <w:szCs w:val="24"/>
          <w:highlight w:val="none"/>
        </w:rPr>
      </w:pPr>
    </w:p>
    <w:p>
      <w:pPr>
        <w:tabs>
          <w:tab w:val="left" w:pos="0"/>
        </w:tabs>
        <w:jc w:val="center"/>
        <w:rPr>
          <w:rFonts w:ascii="宋体" w:hAnsi="宋体" w:cs="宋体"/>
          <w:b/>
          <w:color w:val="auto"/>
          <w:kern w:val="1"/>
          <w:sz w:val="32"/>
          <w:szCs w:val="32"/>
          <w:highlight w:val="none"/>
        </w:rPr>
      </w:pPr>
      <w:r>
        <w:rPr>
          <w:rFonts w:ascii="宋体" w:hAnsi="宋体" w:cs="宋体"/>
          <w:b/>
          <w:color w:val="auto"/>
          <w:kern w:val="1"/>
          <w:sz w:val="32"/>
          <w:szCs w:val="32"/>
          <w:highlight w:val="none"/>
        </w:rPr>
        <w:t>投标企业诚信承诺书</w:t>
      </w:r>
      <w:bookmarkEnd w:id="477"/>
    </w:p>
    <w:p>
      <w:pPr>
        <w:spacing w:before="260" w:after="260" w:line="415" w:lineRule="auto"/>
        <w:rPr>
          <w:color w:val="auto"/>
          <w:highlight w:val="none"/>
        </w:rPr>
      </w:pPr>
      <w:r>
        <w:rPr>
          <w:color w:val="auto"/>
          <w:highlight w:val="none"/>
        </w:rPr>
        <w:t>致：</w:t>
      </w:r>
      <w:r>
        <w:rPr>
          <w:color w:val="auto"/>
          <w:highlight w:val="none"/>
          <w:u w:val="single"/>
        </w:rPr>
        <w:t xml:space="preserve">        </w:t>
      </w:r>
      <w:r>
        <w:rPr>
          <w:color w:val="auto"/>
          <w:highlight w:val="none"/>
        </w:rPr>
        <w:t>（招标人名称）</w:t>
      </w:r>
    </w:p>
    <w:p>
      <w:pPr>
        <w:spacing w:before="260" w:after="260" w:line="416" w:lineRule="auto"/>
        <w:ind w:firstLine="420" w:firstLineChars="200"/>
        <w:rPr>
          <w:color w:val="auto"/>
          <w:highlight w:val="none"/>
        </w:rPr>
      </w:pPr>
      <w:r>
        <w:rPr>
          <w:color w:val="auto"/>
          <w:highlight w:val="none"/>
        </w:rPr>
        <w:t>本企业郑重声明并承诺：在参加项目投标及施工期间或供货、提供服务期间将严格遵守国家或</w:t>
      </w:r>
      <w:r>
        <w:rPr>
          <w:rFonts w:hint="eastAsia"/>
          <w:color w:val="auto"/>
          <w:highlight w:val="none"/>
        </w:rPr>
        <w:t>广东</w:t>
      </w:r>
      <w:r>
        <w:rPr>
          <w:color w:val="auto"/>
          <w:highlight w:val="none"/>
        </w:rPr>
        <w:t>省相关法律、法规及规定，守法经营，诚实信用。接受各级行政主管部门及相关监督机构监管。同时履行以下各项承诺，如有违反，本企业愿承担相应责任并接受行政主管部门依据法律法规做出的处罚。我公司自愿就本项目招投标有关事项向招标人郑重承诺如下：</w:t>
      </w:r>
    </w:p>
    <w:p>
      <w:pPr>
        <w:spacing w:before="260" w:after="260" w:line="415" w:lineRule="auto"/>
        <w:rPr>
          <w:color w:val="auto"/>
          <w:highlight w:val="none"/>
        </w:rPr>
      </w:pPr>
      <w:r>
        <w:rPr>
          <w:color w:val="auto"/>
          <w:highlight w:val="none"/>
        </w:rPr>
        <w:t xml:space="preserve">1.严格遵守国家招投标法律法规，不以各种方式虚假投标，履行投标文件要求的责任和义务。 </w:t>
      </w:r>
    </w:p>
    <w:p>
      <w:pPr>
        <w:spacing w:before="260" w:after="260" w:line="415" w:lineRule="auto"/>
        <w:rPr>
          <w:color w:val="auto"/>
          <w:highlight w:val="none"/>
        </w:rPr>
      </w:pPr>
      <w:r>
        <w:rPr>
          <w:color w:val="auto"/>
          <w:highlight w:val="none"/>
        </w:rPr>
        <w:t>2.保证不提供伪造、涂改的公文及相关证明、证照、证件、业绩或谎报相关信息。</w:t>
      </w:r>
    </w:p>
    <w:p>
      <w:pPr>
        <w:spacing w:before="260" w:after="260" w:line="415" w:lineRule="auto"/>
        <w:rPr>
          <w:color w:val="auto"/>
          <w:highlight w:val="none"/>
        </w:rPr>
      </w:pPr>
      <w:r>
        <w:rPr>
          <w:color w:val="auto"/>
          <w:highlight w:val="none"/>
        </w:rPr>
        <w:t>3.保证不借用他人资质投标或出售资质给他人投标，不与其他投标人串通投标、围标，不使用非法手段获取中标。</w:t>
      </w:r>
    </w:p>
    <w:p>
      <w:pPr>
        <w:spacing w:before="260" w:after="260" w:line="415" w:lineRule="auto"/>
        <w:rPr>
          <w:color w:val="auto"/>
          <w:highlight w:val="none"/>
        </w:rPr>
      </w:pPr>
      <w:r>
        <w:rPr>
          <w:color w:val="auto"/>
          <w:highlight w:val="none"/>
        </w:rPr>
        <w:t>4.保证投标文件内容无任何虚假。</w:t>
      </w:r>
    </w:p>
    <w:p>
      <w:pPr>
        <w:spacing w:before="260" w:after="260" w:line="415" w:lineRule="auto"/>
        <w:rPr>
          <w:color w:val="auto"/>
          <w:highlight w:val="none"/>
        </w:rPr>
      </w:pPr>
      <w:r>
        <w:rPr>
          <w:color w:val="auto"/>
          <w:highlight w:val="none"/>
        </w:rPr>
        <w:t>5.保证拟投入本项目的工程总承包项目经理在本项目投标及施工期间</w:t>
      </w:r>
      <w:r>
        <w:rPr>
          <w:rFonts w:hint="eastAsia"/>
          <w:color w:val="auto"/>
          <w:highlight w:val="none"/>
        </w:rPr>
        <w:t>没有在其他工程项目担任工程总承包项目负责人、施工项目负责人</w:t>
      </w:r>
      <w:r>
        <w:rPr>
          <w:color w:val="auto"/>
          <w:highlight w:val="none"/>
        </w:rPr>
        <w:t>。</w:t>
      </w:r>
    </w:p>
    <w:p>
      <w:pPr>
        <w:spacing w:before="260" w:after="260" w:line="415" w:lineRule="auto"/>
        <w:rPr>
          <w:color w:val="auto"/>
          <w:highlight w:val="none"/>
        </w:rPr>
      </w:pPr>
      <w:r>
        <w:rPr>
          <w:color w:val="auto"/>
          <w:highlight w:val="none"/>
        </w:rPr>
        <w:t>6.保证按照招标文件及中标通知书规定签订施工合同或供货合同，并提交履约担保。</w:t>
      </w:r>
    </w:p>
    <w:p>
      <w:pPr>
        <w:spacing w:before="260" w:after="260" w:line="415" w:lineRule="auto"/>
        <w:rPr>
          <w:color w:val="auto"/>
          <w:highlight w:val="none"/>
        </w:rPr>
      </w:pPr>
      <w:r>
        <w:rPr>
          <w:color w:val="auto"/>
          <w:highlight w:val="none"/>
        </w:rPr>
        <w:t>7.若我公司中标，保证在履行合同过程中遵守法律法规，不非法转包。</w:t>
      </w:r>
    </w:p>
    <w:p>
      <w:pPr>
        <w:spacing w:before="260" w:after="260" w:line="415" w:lineRule="auto"/>
        <w:rPr>
          <w:color w:val="auto"/>
          <w:highlight w:val="none"/>
        </w:rPr>
      </w:pPr>
      <w:r>
        <w:rPr>
          <w:color w:val="auto"/>
          <w:highlight w:val="none"/>
        </w:rPr>
        <w:t>8.若我公司中标，保证中标之后按照投标文件和合同承诺派驻现场管理人员及投入设备，严格按照质量和工期要求履行合同。</w:t>
      </w:r>
    </w:p>
    <w:p>
      <w:pPr>
        <w:spacing w:before="260" w:after="260" w:line="415" w:lineRule="auto"/>
        <w:rPr>
          <w:color w:val="auto"/>
          <w:highlight w:val="none"/>
        </w:rPr>
      </w:pPr>
      <w:r>
        <w:rPr>
          <w:color w:val="auto"/>
          <w:highlight w:val="none"/>
        </w:rPr>
        <w:t>9.若我公司中标，保证中标之后加强施工现场管理，安全生产，密切配合建设单位及监理单位开展工作。</w:t>
      </w:r>
    </w:p>
    <w:p>
      <w:pPr>
        <w:spacing w:before="260" w:after="260" w:line="415" w:lineRule="auto"/>
        <w:rPr>
          <w:color w:val="auto"/>
          <w:highlight w:val="none"/>
        </w:rPr>
      </w:pPr>
      <w:r>
        <w:rPr>
          <w:color w:val="auto"/>
          <w:highlight w:val="none"/>
        </w:rPr>
        <w:t>10.严格执行廉洁从业有关规定，不发生违纪违法行为。</w:t>
      </w:r>
    </w:p>
    <w:p>
      <w:pPr>
        <w:spacing w:before="260" w:after="260" w:line="415" w:lineRule="auto"/>
        <w:rPr>
          <w:color w:val="auto"/>
          <w:highlight w:val="none"/>
        </w:rPr>
      </w:pPr>
      <w:r>
        <w:rPr>
          <w:color w:val="auto"/>
          <w:highlight w:val="none"/>
        </w:rPr>
        <w:t>11.我公司若违反以上承诺或在本项目投标（或履行合同期间）出现其他违约、违法等重大过失行为，除按招标文件、合同及法律法规接受处罚外，同意招标人向行政主管部门申报我公司不良记录。</w:t>
      </w:r>
    </w:p>
    <w:p>
      <w:pPr>
        <w:spacing w:before="260" w:after="260" w:line="415" w:lineRule="auto"/>
        <w:rPr>
          <w:color w:val="auto"/>
          <w:highlight w:val="none"/>
        </w:rPr>
      </w:pPr>
      <w:r>
        <w:rPr>
          <w:color w:val="auto"/>
          <w:highlight w:val="none"/>
        </w:rPr>
        <w:t>承诺人：</w:t>
      </w:r>
      <w:r>
        <w:rPr>
          <w:color w:val="auto"/>
          <w:highlight w:val="none"/>
          <w:u w:val="single"/>
        </w:rPr>
        <w:t xml:space="preserve">             </w:t>
      </w:r>
      <w:r>
        <w:rPr>
          <w:color w:val="auto"/>
          <w:highlight w:val="none"/>
        </w:rPr>
        <w:t xml:space="preserve"> （公章）</w:t>
      </w:r>
    </w:p>
    <w:p>
      <w:pPr>
        <w:spacing w:before="260" w:after="260" w:line="415" w:lineRule="auto"/>
        <w:rPr>
          <w:color w:val="auto"/>
          <w:highlight w:val="none"/>
        </w:rPr>
      </w:pPr>
      <w:r>
        <w:rPr>
          <w:color w:val="auto"/>
          <w:highlight w:val="none"/>
        </w:rPr>
        <w:t>法定代表人</w:t>
      </w:r>
      <w:r>
        <w:rPr>
          <w:rFonts w:hint="eastAsia" w:ascii="宋体" w:hAnsi="宋体" w:cs="宋体"/>
          <w:color w:val="auto"/>
          <w:spacing w:val="18"/>
          <w:kern w:val="1"/>
          <w:szCs w:val="21"/>
          <w:highlight w:val="none"/>
          <w:lang w:val="zh-CN"/>
        </w:rPr>
        <w:t>或被授权人</w:t>
      </w:r>
      <w:r>
        <w:rPr>
          <w:color w:val="auto"/>
          <w:highlight w:val="none"/>
        </w:rPr>
        <w:t>：</w:t>
      </w:r>
      <w:r>
        <w:rPr>
          <w:color w:val="auto"/>
          <w:highlight w:val="none"/>
          <w:u w:val="single"/>
        </w:rPr>
        <w:t xml:space="preserve">                  </w:t>
      </w:r>
      <w:r>
        <w:rPr>
          <w:color w:val="auto"/>
          <w:highlight w:val="none"/>
        </w:rPr>
        <w:t>（签字或盖章）</w:t>
      </w:r>
    </w:p>
    <w:p>
      <w:pPr>
        <w:wordWrap w:val="0"/>
        <w:spacing w:before="260" w:after="260" w:line="415" w:lineRule="auto"/>
        <w:rPr>
          <w:color w:val="auto"/>
          <w:highlight w:val="none"/>
          <w:u w:val="single"/>
        </w:rPr>
      </w:pPr>
      <w:r>
        <w:rPr>
          <w:color w:val="auto"/>
          <w:highlight w:val="none"/>
        </w:rPr>
        <w:t>联系电话：</w:t>
      </w:r>
      <w:r>
        <w:rPr>
          <w:color w:val="auto"/>
          <w:highlight w:val="none"/>
          <w:u w:val="single"/>
        </w:rPr>
        <w:t xml:space="preserve">                 </w:t>
      </w:r>
      <w:r>
        <w:rPr>
          <w:color w:val="auto"/>
          <w:highlight w:val="none"/>
        </w:rPr>
        <w:t xml:space="preserve"> 传真：</w:t>
      </w:r>
      <w:r>
        <w:rPr>
          <w:color w:val="auto"/>
          <w:highlight w:val="none"/>
          <w:u w:val="single"/>
        </w:rPr>
        <w:t xml:space="preserve">                  </w:t>
      </w:r>
    </w:p>
    <w:p>
      <w:pPr>
        <w:spacing w:before="260" w:after="260" w:line="415" w:lineRule="auto"/>
        <w:rPr>
          <w:color w:val="auto"/>
          <w:highlight w:val="none"/>
        </w:rPr>
      </w:pPr>
      <w:r>
        <w:rPr>
          <w:color w:val="auto"/>
          <w:highlight w:val="none"/>
        </w:rPr>
        <w:t>承诺日期：</w:t>
      </w:r>
      <w:r>
        <w:rPr>
          <w:color w:val="auto"/>
          <w:highlight w:val="none"/>
          <w:u w:val="single"/>
        </w:rPr>
        <w:t xml:space="preserve">         </w:t>
      </w:r>
      <w:r>
        <w:rPr>
          <w:color w:val="auto"/>
          <w:highlight w:val="none"/>
        </w:rPr>
        <w:t xml:space="preserve"> 年</w:t>
      </w:r>
      <w:r>
        <w:rPr>
          <w:color w:val="auto"/>
          <w:highlight w:val="none"/>
          <w:u w:val="single"/>
        </w:rPr>
        <w:t xml:space="preserve">      </w:t>
      </w:r>
      <w:r>
        <w:rPr>
          <w:color w:val="auto"/>
          <w:highlight w:val="none"/>
        </w:rPr>
        <w:t xml:space="preserve"> 月</w:t>
      </w:r>
      <w:r>
        <w:rPr>
          <w:color w:val="auto"/>
          <w:highlight w:val="none"/>
          <w:u w:val="single"/>
        </w:rPr>
        <w:t xml:space="preserve">       </w:t>
      </w:r>
      <w:r>
        <w:rPr>
          <w:color w:val="auto"/>
          <w:highlight w:val="none"/>
        </w:rPr>
        <w:t xml:space="preserve"> 日</w:t>
      </w:r>
    </w:p>
    <w:p>
      <w:pPr>
        <w:pStyle w:val="10"/>
        <w:spacing w:line="360" w:lineRule="auto"/>
        <w:rPr>
          <w:rFonts w:cs="宋体"/>
          <w:b/>
          <w:color w:val="auto"/>
          <w:kern w:val="1"/>
          <w:sz w:val="24"/>
          <w:highlight w:val="none"/>
          <w:lang w:val="en-US"/>
        </w:rPr>
      </w:pPr>
    </w:p>
    <w:p>
      <w:pPr>
        <w:tabs>
          <w:tab w:val="left" w:pos="0"/>
        </w:tabs>
        <w:rPr>
          <w:rFonts w:hint="eastAsia" w:ascii="宋体" w:hAnsi="宋体" w:cs="宋体"/>
          <w:b/>
          <w:color w:val="auto"/>
          <w:kern w:val="1"/>
          <w:sz w:val="24"/>
          <w:szCs w:val="24"/>
          <w:highlight w:val="none"/>
        </w:rPr>
      </w:pPr>
    </w:p>
    <w:p>
      <w:pPr>
        <w:tabs>
          <w:tab w:val="left" w:pos="0"/>
        </w:tabs>
        <w:rPr>
          <w:rFonts w:ascii="宋体" w:hAnsi="宋体" w:cs="宋体"/>
          <w:b/>
          <w:color w:val="auto"/>
          <w:kern w:val="1"/>
          <w:sz w:val="24"/>
          <w:szCs w:val="24"/>
          <w:highlight w:val="none"/>
        </w:rPr>
      </w:pPr>
      <w:r>
        <w:rPr>
          <w:rFonts w:ascii="宋体" w:hAnsi="宋体" w:cs="宋体"/>
          <w:b/>
          <w:color w:val="auto"/>
          <w:kern w:val="1"/>
          <w:sz w:val="24"/>
          <w:szCs w:val="24"/>
          <w:highlight w:val="none"/>
        </w:rPr>
        <w:br w:type="page"/>
      </w:r>
      <w:r>
        <w:rPr>
          <w:rFonts w:hint="eastAsia" w:ascii="宋体" w:hAnsi="宋体" w:cs="宋体"/>
          <w:b/>
          <w:color w:val="auto"/>
          <w:kern w:val="1"/>
          <w:sz w:val="24"/>
          <w:szCs w:val="24"/>
          <w:highlight w:val="none"/>
        </w:rPr>
        <w:t>格式9设计方案</w:t>
      </w:r>
    </w:p>
    <w:p>
      <w:pPr>
        <w:spacing w:line="360" w:lineRule="auto"/>
        <w:jc w:val="center"/>
        <w:rPr>
          <w:rFonts w:ascii="宋体" w:hAnsi="宋体" w:cs="宋体"/>
          <w:b/>
          <w:color w:val="auto"/>
          <w:kern w:val="1"/>
          <w:sz w:val="28"/>
          <w:szCs w:val="28"/>
          <w:highlight w:val="none"/>
          <w:lang w:val="zh-CN"/>
        </w:rPr>
      </w:pPr>
      <w:r>
        <w:rPr>
          <w:rFonts w:hint="eastAsia" w:ascii="宋体" w:hAnsi="宋体" w:cs="宋体"/>
          <w:b/>
          <w:color w:val="auto"/>
          <w:spacing w:val="4"/>
          <w:sz w:val="32"/>
          <w:szCs w:val="32"/>
          <w:highlight w:val="none"/>
        </w:rPr>
        <w:t>设计方案</w:t>
      </w:r>
    </w:p>
    <w:p>
      <w:pPr>
        <w:tabs>
          <w:tab w:val="left" w:pos="0"/>
        </w:tabs>
        <w:rPr>
          <w:rFonts w:ascii="宋体" w:hAnsi="宋体" w:cs="宋体"/>
          <w:b/>
          <w:color w:val="auto"/>
          <w:kern w:val="1"/>
          <w:sz w:val="24"/>
          <w:szCs w:val="24"/>
          <w:highlight w:val="none"/>
        </w:rPr>
      </w:pPr>
      <w:r>
        <w:rPr>
          <w:rFonts w:hint="eastAsia"/>
          <w:color w:val="auto"/>
          <w:sz w:val="24"/>
          <w:szCs w:val="24"/>
          <w:highlight w:val="none"/>
        </w:rPr>
        <w:t>注：采用“暗标”形式，不得出现可以辨认投标人及专业技术人员身份的名称、印章、商标、图形等记认符号，也不得通过明标、暗标中包含的相同内容（如报价等）互相印证、辨认投标人身份，按照评审内容提交，格式自拟。</w:t>
      </w:r>
      <w:r>
        <w:rPr>
          <w:rFonts w:ascii="宋体" w:hAnsi="宋体" w:cs="宋体"/>
          <w:b/>
          <w:color w:val="auto"/>
          <w:kern w:val="1"/>
          <w:sz w:val="24"/>
          <w:szCs w:val="24"/>
          <w:highlight w:val="none"/>
        </w:rPr>
        <w:br w:type="page"/>
      </w:r>
      <w:r>
        <w:rPr>
          <w:rFonts w:hint="eastAsia" w:ascii="宋体" w:hAnsi="宋体" w:cs="宋体"/>
          <w:b/>
          <w:color w:val="auto"/>
          <w:kern w:val="1"/>
          <w:sz w:val="24"/>
          <w:szCs w:val="24"/>
          <w:highlight w:val="none"/>
        </w:rPr>
        <w:t>格式</w:t>
      </w:r>
      <w:r>
        <w:rPr>
          <w:rFonts w:ascii="宋体" w:hAnsi="宋体" w:cs="宋体"/>
          <w:b/>
          <w:color w:val="auto"/>
          <w:kern w:val="1"/>
          <w:sz w:val="24"/>
          <w:szCs w:val="24"/>
          <w:highlight w:val="none"/>
        </w:rPr>
        <w:t>1</w:t>
      </w:r>
      <w:r>
        <w:rPr>
          <w:rFonts w:hint="eastAsia" w:ascii="宋体" w:hAnsi="宋体" w:cs="宋体"/>
          <w:b/>
          <w:color w:val="auto"/>
          <w:kern w:val="1"/>
          <w:sz w:val="24"/>
          <w:szCs w:val="24"/>
          <w:highlight w:val="none"/>
        </w:rPr>
        <w:t>0工程总承包实施方案</w:t>
      </w:r>
    </w:p>
    <w:p>
      <w:pPr>
        <w:spacing w:line="360" w:lineRule="auto"/>
        <w:jc w:val="center"/>
        <w:rPr>
          <w:rFonts w:ascii="宋体" w:hAnsi="宋体" w:cs="宋体"/>
          <w:b/>
          <w:color w:val="auto"/>
          <w:spacing w:val="4"/>
          <w:sz w:val="32"/>
          <w:szCs w:val="32"/>
          <w:highlight w:val="none"/>
        </w:rPr>
      </w:pPr>
      <w:r>
        <w:rPr>
          <w:rFonts w:hint="eastAsia" w:ascii="宋体" w:hAnsi="宋体" w:cs="宋体"/>
          <w:b/>
          <w:color w:val="auto"/>
          <w:spacing w:val="4"/>
          <w:sz w:val="32"/>
          <w:szCs w:val="32"/>
          <w:highlight w:val="none"/>
        </w:rPr>
        <w:t>工程总承包实施方案</w:t>
      </w:r>
    </w:p>
    <w:p>
      <w:pPr>
        <w:spacing w:line="360" w:lineRule="auto"/>
        <w:rPr>
          <w:color w:val="auto"/>
          <w:sz w:val="24"/>
          <w:szCs w:val="24"/>
          <w:highlight w:val="none"/>
        </w:rPr>
      </w:pPr>
      <w:r>
        <w:rPr>
          <w:rFonts w:hint="eastAsia"/>
          <w:color w:val="auto"/>
          <w:sz w:val="24"/>
          <w:szCs w:val="24"/>
          <w:highlight w:val="none"/>
        </w:rPr>
        <w:t>注：按照评审内容提交，格式自拟。</w:t>
      </w:r>
    </w:p>
    <w:p>
      <w:pPr>
        <w:pStyle w:val="10"/>
        <w:rPr>
          <w:color w:val="auto"/>
          <w:highlight w:val="none"/>
          <w:lang w:val="en-US"/>
        </w:rPr>
      </w:pPr>
    </w:p>
    <w:p>
      <w:pPr>
        <w:pStyle w:val="10"/>
        <w:spacing w:line="360" w:lineRule="auto"/>
        <w:jc w:val="left"/>
        <w:rPr>
          <w:rFonts w:cs="宋体"/>
          <w:b/>
          <w:color w:val="auto"/>
          <w:kern w:val="1"/>
          <w:sz w:val="24"/>
          <w:highlight w:val="none"/>
          <w:lang w:val="en-US"/>
        </w:rPr>
      </w:pPr>
    </w:p>
    <w:p>
      <w:pPr>
        <w:pStyle w:val="10"/>
        <w:spacing w:line="360" w:lineRule="auto"/>
        <w:jc w:val="left"/>
        <w:rPr>
          <w:rFonts w:cs="宋体"/>
          <w:b/>
          <w:color w:val="auto"/>
          <w:kern w:val="1"/>
          <w:sz w:val="24"/>
          <w:highlight w:val="none"/>
          <w:lang w:val="en-US"/>
        </w:rPr>
      </w:pPr>
    </w:p>
    <w:p>
      <w:pPr>
        <w:pStyle w:val="10"/>
        <w:spacing w:line="360" w:lineRule="auto"/>
        <w:jc w:val="left"/>
        <w:rPr>
          <w:rFonts w:cs="宋体"/>
          <w:b/>
          <w:color w:val="auto"/>
          <w:kern w:val="1"/>
          <w:sz w:val="24"/>
          <w:highlight w:val="none"/>
          <w:lang w:val="en-US"/>
        </w:rPr>
      </w:pPr>
    </w:p>
    <w:p>
      <w:pPr>
        <w:pStyle w:val="10"/>
        <w:spacing w:line="360" w:lineRule="auto"/>
        <w:jc w:val="left"/>
        <w:rPr>
          <w:rFonts w:cs="宋体"/>
          <w:b/>
          <w:color w:val="auto"/>
          <w:kern w:val="1"/>
          <w:sz w:val="24"/>
          <w:highlight w:val="none"/>
          <w:lang w:val="en-US"/>
        </w:rPr>
      </w:pPr>
    </w:p>
    <w:p>
      <w:pPr>
        <w:pStyle w:val="10"/>
        <w:spacing w:line="360" w:lineRule="auto"/>
        <w:jc w:val="left"/>
        <w:rPr>
          <w:rFonts w:cs="宋体"/>
          <w:b/>
          <w:color w:val="auto"/>
          <w:kern w:val="1"/>
          <w:sz w:val="24"/>
          <w:highlight w:val="none"/>
          <w:lang w:val="en-US"/>
        </w:rPr>
      </w:pPr>
    </w:p>
    <w:p>
      <w:pPr>
        <w:tabs>
          <w:tab w:val="left" w:pos="0"/>
        </w:tabs>
        <w:rPr>
          <w:rFonts w:ascii="宋体" w:hAnsi="宋体" w:cs="宋体"/>
          <w:b/>
          <w:color w:val="auto"/>
          <w:kern w:val="1"/>
          <w:sz w:val="24"/>
          <w:szCs w:val="24"/>
          <w:highlight w:val="none"/>
        </w:rPr>
      </w:pPr>
      <w:r>
        <w:rPr>
          <w:rFonts w:cs="宋体"/>
          <w:b/>
          <w:color w:val="auto"/>
          <w:kern w:val="1"/>
          <w:sz w:val="24"/>
          <w:highlight w:val="none"/>
        </w:rPr>
        <w:br w:type="page"/>
      </w:r>
      <w:r>
        <w:rPr>
          <w:rFonts w:hint="eastAsia" w:ascii="宋体" w:hAnsi="宋体" w:cs="宋体"/>
          <w:b/>
          <w:color w:val="auto"/>
          <w:kern w:val="1"/>
          <w:sz w:val="24"/>
          <w:szCs w:val="24"/>
          <w:highlight w:val="none"/>
        </w:rPr>
        <w:t>格式</w:t>
      </w:r>
      <w:r>
        <w:rPr>
          <w:rFonts w:ascii="宋体" w:hAnsi="宋体" w:cs="宋体"/>
          <w:b/>
          <w:color w:val="auto"/>
          <w:kern w:val="1"/>
          <w:sz w:val="24"/>
          <w:szCs w:val="24"/>
          <w:highlight w:val="none"/>
        </w:rPr>
        <w:t>1</w:t>
      </w:r>
      <w:r>
        <w:rPr>
          <w:rFonts w:hint="eastAsia" w:ascii="宋体" w:hAnsi="宋体" w:cs="宋体"/>
          <w:b/>
          <w:color w:val="auto"/>
          <w:kern w:val="1"/>
          <w:sz w:val="24"/>
          <w:szCs w:val="24"/>
          <w:highlight w:val="none"/>
        </w:rPr>
        <w:t>1</w:t>
      </w:r>
      <w:r>
        <w:rPr>
          <w:rFonts w:ascii="宋体" w:hAnsi="宋体" w:cs="宋体"/>
          <w:b/>
          <w:color w:val="auto"/>
          <w:kern w:val="1"/>
          <w:sz w:val="24"/>
          <w:szCs w:val="24"/>
          <w:highlight w:val="none"/>
        </w:rPr>
        <w:t xml:space="preserve"> </w:t>
      </w:r>
      <w:r>
        <w:rPr>
          <w:rFonts w:hint="eastAsia" w:ascii="宋体" w:hAnsi="宋体" w:cs="宋体"/>
          <w:b/>
          <w:color w:val="auto"/>
          <w:kern w:val="1"/>
          <w:sz w:val="24"/>
          <w:szCs w:val="24"/>
          <w:highlight w:val="none"/>
        </w:rPr>
        <w:t xml:space="preserve"> 投标人认为应该提供的其他资料</w:t>
      </w:r>
    </w:p>
    <w:p>
      <w:pPr>
        <w:rPr>
          <w:rFonts w:hint="eastAsia"/>
          <w:color w:val="auto"/>
          <w:highlight w:val="none"/>
        </w:rPr>
      </w:pPr>
    </w:p>
    <w:p>
      <w:pPr>
        <w:pStyle w:val="10"/>
        <w:spacing w:line="360" w:lineRule="auto"/>
        <w:jc w:val="left"/>
        <w:rPr>
          <w:rFonts w:cs="宋体"/>
          <w:b/>
          <w:color w:val="auto"/>
          <w:kern w:val="1"/>
          <w:sz w:val="24"/>
          <w:highlight w:val="none"/>
          <w:lang w:val="en-US"/>
        </w:rPr>
      </w:pPr>
    </w:p>
    <w:p>
      <w:pPr>
        <w:rPr>
          <w:rFonts w:hint="eastAsia"/>
          <w:color w:val="auto"/>
          <w:highlight w:val="none"/>
        </w:rPr>
      </w:pPr>
    </w:p>
    <w:p>
      <w:pPr>
        <w:widowControl/>
        <w:jc w:val="left"/>
        <w:rPr>
          <w:rFonts w:ascii="宋体" w:hAnsi="宋体" w:cs="宋体"/>
          <w:b/>
          <w:bCs/>
          <w:color w:val="auto"/>
          <w:sz w:val="28"/>
          <w:szCs w:val="28"/>
          <w:highlight w:val="none"/>
          <w:lang w:val="zh-CN"/>
        </w:rPr>
      </w:pPr>
    </w:p>
    <w:p>
      <w:pPr>
        <w:widowControl/>
        <w:jc w:val="left"/>
        <w:rPr>
          <w:rFonts w:ascii="宋体" w:hAnsi="宋体" w:cs="宋体"/>
          <w:b/>
          <w:bCs/>
          <w:color w:val="auto"/>
          <w:sz w:val="28"/>
          <w:szCs w:val="28"/>
          <w:highlight w:val="none"/>
          <w:lang w:val="zh-CN"/>
        </w:rPr>
      </w:pPr>
    </w:p>
    <w:p>
      <w:pPr>
        <w:rPr>
          <w:highlight w:val="none"/>
        </w:rPr>
      </w:pPr>
    </w:p>
    <w:sectPr>
      <w:headerReference r:id="rId11" w:type="default"/>
      <w:footerReference r:id="rId12" w:type="default"/>
      <w:pgSz w:w="11907" w:h="16840"/>
      <w:pgMar w:top="1361" w:right="1417" w:bottom="1304" w:left="1304" w:header="851"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胭..">
    <w:altName w:val="宋体"/>
    <w:panose1 w:val="00000000000000000000"/>
    <w:charset w:val="86"/>
    <w:family w:val="roma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311"/>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92100" cy="19177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2100" cy="191770"/>
                      </a:xfrm>
                      <a:prstGeom prst="rect">
                        <a:avLst/>
                      </a:prstGeom>
                      <a:noFill/>
                      <a:ln>
                        <a:noFill/>
                      </a:ln>
                      <a:effectLst/>
                    </wps:spPr>
                    <wps:txbx>
                      <w:txbxContent>
                        <w:p>
                          <w:pPr>
                            <w:pStyle w:val="11"/>
                          </w:pPr>
                          <w:r>
                            <w:fldChar w:fldCharType="begin"/>
                          </w:r>
                          <w:r>
                            <w:instrText xml:space="preserve"> PAGE \* Arabic </w:instrText>
                          </w:r>
                          <w:r>
                            <w:fldChar w:fldCharType="separate"/>
                          </w:r>
                          <w:r>
                            <w:t>24</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pt;height:15.1pt;width:23pt;mso-position-horizontal:center;mso-position-horizontal-relative:margin;z-index:251660288;mso-width-relative:page;mso-height-relative:page;" filled="f" stroked="f" coordsize="21600,21600" o:gfxdata="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HamvTAAAAAwEAAA8AAAAAAAAAAQAgAAAA&#10;IgAAAGRycy9kb3ducmV2LnhtbFBLAQIUABQAAAAIAIdO4kBmUTU5EAIAABIEAAAOAAAAAAAAAAEA&#10;IAAAACIBAABkcnMvZTJvRG9jLnhtbFBLBQYAAAAABgAGAFkBAACkBQAAAAA=&#10;">
              <v:fill on="f" focussize="0,0"/>
              <v:stroke on="f"/>
              <v:imagedata o:title=""/>
              <o:lock v:ext="edit" aspectratio="f"/>
              <v:textbox inset="0mm,0mm,0mm,0mm">
                <w:txbxContent>
                  <w:p>
                    <w:pPr>
                      <w:pStyle w:val="11"/>
                    </w:pPr>
                    <w:r>
                      <w:fldChar w:fldCharType="begin"/>
                    </w:r>
                    <w:r>
                      <w:instrText xml:space="preserve"> PAGE \* Arabic </w:instrText>
                    </w:r>
                    <w:r>
                      <w:fldChar w:fldCharType="separate"/>
                    </w:r>
                    <w:r>
                      <w:t>24</w:t>
                    </w:r>
                    <w:r>
                      <w:fldChar w:fldCharType="end"/>
                    </w:r>
                  </w:p>
                </w:txbxContent>
              </v:textbox>
            </v:shape>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9455"/>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11"/>
                          </w:pPr>
                          <w:r>
                            <w:fldChar w:fldCharType="begin"/>
                          </w:r>
                          <w:r>
                            <w:instrText xml:space="preserve"> PAGE \* Arabic </w:instrText>
                          </w:r>
                          <w:r>
                            <w:fldChar w:fldCharType="separate"/>
                          </w:r>
                          <w:r>
                            <w:t>25</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&#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Nrcvw0PAgAAEgQAAA4AAAAAAAAAAQAgAAAA&#10;HwEAAGRycy9lMm9Eb2MueG1sUEsFBgAAAAAGAAYAWQEAAKAFAAAAAA==&#10;">
              <v:fill on="f" focussize="0,0"/>
              <v:stroke on="f"/>
              <v:imagedata o:title=""/>
              <o:lock v:ext="edit" aspectratio="f"/>
              <v:textbox inset="0mm,0mm,0mm,0mm" style="mso-fit-shape-to-text:t;">
                <w:txbxContent>
                  <w:p>
                    <w:pPr>
                      <w:pStyle w:val="11"/>
                    </w:pPr>
                    <w:r>
                      <w:fldChar w:fldCharType="begin"/>
                    </w:r>
                    <w:r>
                      <w:instrText xml:space="preserve"> PAGE \* Arabic </w:instrText>
                    </w:r>
                    <w:r>
                      <w:fldChar w:fldCharType="separate"/>
                    </w:r>
                    <w:r>
                      <w:t>25</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6205" cy="139700"/>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11"/>
                          </w:pPr>
                          <w:r>
                            <w:fldChar w:fldCharType="begin"/>
                          </w:r>
                          <w:r>
                            <w:instrText xml:space="preserve"> PAGE  \* MERGEFORMAT </w:instrText>
                          </w:r>
                          <w:r>
                            <w:fldChar w:fldCharType="separate"/>
                          </w:r>
                          <w:r>
                            <w:t>32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2336;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&#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LpYU0AAAAAMBAAAPAAAAAAAAAAEAIAAAACIAAABk&#10;cnMvZG93bnJldi54bWxQSwECFAAUAAAACACHTuJA3NR8tw4CAAAQBAAADgAAAAAAAAABACAAAAAf&#10;AQAAZHJzL2Uyb0RvYy54bWxQSwUGAAAAAAYABgBZAQAAnwU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6</w:t>
    </w:r>
    <w:r>
      <w:fldChar w:fldCharType="end"/>
    </w:r>
  </w:p>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11"/>
                          </w:pPr>
                          <w:r>
                            <w:fldChar w:fldCharType="begin"/>
                          </w:r>
                          <w:r>
                            <w:instrText xml:space="preserve"> PAGE  \* MERGEFORMAT </w:instrText>
                          </w:r>
                          <w:r>
                            <w:fldChar w:fldCharType="separate"/>
                          </w:r>
                          <w:r>
                            <w:t>56</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&#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YulhTQAAAAAwEAAA8AAAAAAAAAAQAgAAAAIgAAAGRy&#10;cy9kb3ducmV2LnhtbFBLAQIUABQAAAAIAIdO4kAxLHdRDQIAABAEAAAOAAAAAAAAAAEAIAAAAB8B&#10;AABkcnMvZTJvRG9jLnhtbFBLBQYAAAAABgAGAFkBAACe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56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A2FE3D"/>
    <w:multiLevelType w:val="singleLevel"/>
    <w:tmpl w:val="E2A2FE3D"/>
    <w:lvl w:ilvl="0" w:tentative="0">
      <w:start w:val="1"/>
      <w:numFmt w:val="decimal"/>
      <w:suff w:val="nothing"/>
      <w:lvlText w:val="（%1）"/>
      <w:lvlJc w:val="left"/>
    </w:lvl>
  </w:abstractNum>
  <w:abstractNum w:abstractNumId="1">
    <w:nsid w:val="63FA3DEB"/>
    <w:multiLevelType w:val="multilevel"/>
    <w:tmpl w:val="63FA3DEB"/>
    <w:lvl w:ilvl="0" w:tentative="0">
      <w:start w:val="1"/>
      <w:numFmt w:val="japaneseCounting"/>
      <w:lvlText w:val="第%1章"/>
      <w:lvlJc w:val="left"/>
      <w:pPr>
        <w:ind w:left="1635" w:hanging="16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kNTA3OWI4NDcxMTNkNTU3YjNkYWU2MDI3MTRkNjMifQ=="/>
  </w:docVars>
  <w:rsids>
    <w:rsidRoot w:val="276264EB"/>
    <w:rsid w:val="27626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color w:val="000000"/>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cs="Times New Roman"/>
      <w:b/>
      <w:sz w:val="32"/>
      <w:szCs w:val="32"/>
    </w:rPr>
  </w:style>
  <w:style w:type="paragraph" w:styleId="4">
    <w:name w:val="heading 3"/>
    <w:basedOn w:val="1"/>
    <w:next w:val="1"/>
    <w:qFormat/>
    <w:uiPriority w:val="0"/>
    <w:pPr>
      <w:keepNext/>
      <w:keepLines/>
      <w:spacing w:before="260" w:after="260" w:line="413" w:lineRule="auto"/>
      <w:ind w:firstLine="137"/>
      <w:outlineLvl w:val="2"/>
    </w:pPr>
    <w:rPr>
      <w:rFonts w:ascii="黑体" w:hAnsi="黑体" w:eastAsia="黑体" w:cs="Times New Roman"/>
      <w:sz w:val="28"/>
      <w:szCs w:val="28"/>
    </w:rPr>
  </w:style>
  <w:style w:type="character" w:default="1" w:styleId="18">
    <w:name w:val="Default Paragraph Font"/>
    <w:semiHidden/>
    <w:qFormat/>
    <w:uiPriority w:val="0"/>
  </w:style>
  <w:style w:type="table" w:default="1" w:styleId="17">
    <w:name w:val="Normal Table"/>
    <w:semiHidden/>
    <w:uiPriority w:val="0"/>
    <w:tblPr>
      <w:tblCellMar>
        <w:top w:w="0" w:type="dxa"/>
        <w:left w:w="108" w:type="dxa"/>
        <w:bottom w:w="0" w:type="dxa"/>
        <w:right w:w="108" w:type="dxa"/>
      </w:tblCellMar>
    </w:tblPr>
  </w:style>
  <w:style w:type="paragraph" w:styleId="5">
    <w:name w:val="annotation text"/>
    <w:basedOn w:val="1"/>
    <w:qFormat/>
    <w:uiPriority w:val="0"/>
    <w:pPr>
      <w:jc w:val="left"/>
    </w:pPr>
    <w:rPr>
      <w:sz w:val="20"/>
      <w:szCs w:val="24"/>
      <w:lang w:val="zh-CN"/>
    </w:rPr>
  </w:style>
  <w:style w:type="paragraph" w:styleId="6">
    <w:name w:val="Body Text 3"/>
    <w:basedOn w:val="1"/>
    <w:qFormat/>
    <w:uiPriority w:val="0"/>
    <w:rPr>
      <w:rFonts w:ascii="宋体" w:hAnsi="宋体" w:cs="Times New Roman"/>
      <w:sz w:val="24"/>
      <w:szCs w:val="20"/>
    </w:rPr>
  </w:style>
  <w:style w:type="paragraph" w:styleId="7">
    <w:name w:val="Body Text"/>
    <w:basedOn w:val="1"/>
    <w:next w:val="1"/>
    <w:qFormat/>
    <w:uiPriority w:val="0"/>
    <w:pPr>
      <w:spacing w:after="120"/>
    </w:pPr>
    <w:rPr>
      <w:kern w:val="1"/>
    </w:rPr>
  </w:style>
  <w:style w:type="paragraph" w:styleId="8">
    <w:name w:val="Body Text Indent"/>
    <w:basedOn w:val="1"/>
    <w:next w:val="9"/>
    <w:unhideWhenUsed/>
    <w:qFormat/>
    <w:uiPriority w:val="99"/>
    <w:pPr>
      <w:spacing w:after="120"/>
      <w:ind w:left="420" w:leftChars="200"/>
    </w:pPr>
  </w:style>
  <w:style w:type="paragraph" w:styleId="9">
    <w:name w:val="envelope return"/>
    <w:basedOn w:val="1"/>
    <w:unhideWhenUsed/>
    <w:qFormat/>
    <w:uiPriority w:val="99"/>
    <w:pPr>
      <w:snapToGrid w:val="0"/>
    </w:pPr>
    <w:rPr>
      <w:rFonts w:ascii="Arial" w:hAnsi="Arial" w:cs="Arial"/>
      <w:szCs w:val="24"/>
    </w:rPr>
  </w:style>
  <w:style w:type="paragraph" w:styleId="10">
    <w:name w:val="Plain Text"/>
    <w:basedOn w:val="1"/>
    <w:qFormat/>
    <w:uiPriority w:val="0"/>
    <w:rPr>
      <w:rFonts w:ascii="宋体" w:hAnsi="宋体" w:cs="Times New Roman"/>
      <w:sz w:val="20"/>
      <w:szCs w:val="20"/>
      <w:lang w:val="zh-CN"/>
    </w:rPr>
  </w:style>
  <w:style w:type="paragraph" w:styleId="11">
    <w:name w:val="footer"/>
    <w:basedOn w:val="1"/>
    <w:qFormat/>
    <w:uiPriority w:val="0"/>
    <w:pPr>
      <w:tabs>
        <w:tab w:val="center" w:pos="4153"/>
        <w:tab w:val="right" w:pos="8306"/>
      </w:tabs>
      <w:jc w:val="left"/>
    </w:pPr>
    <w:rPr>
      <w:rFonts w:ascii="Times New Roman" w:hAnsi="Times New Roman" w:cs="Times New Roman"/>
      <w:color w:val="auto"/>
      <w:sz w:val="18"/>
      <w:szCs w:val="24"/>
    </w:rPr>
  </w:style>
  <w:style w:type="paragraph" w:styleId="12">
    <w:name w:val="header"/>
    <w:basedOn w:val="1"/>
    <w:qFormat/>
    <w:uiPriority w:val="0"/>
    <w:pPr>
      <w:pBdr>
        <w:bottom w:val="single" w:color="000000" w:sz="6" w:space="1"/>
      </w:pBdr>
      <w:tabs>
        <w:tab w:val="center" w:pos="4153"/>
        <w:tab w:val="right" w:pos="8306"/>
      </w:tabs>
      <w:jc w:val="center"/>
    </w:pPr>
    <w:rPr>
      <w:sz w:val="18"/>
      <w:szCs w:val="18"/>
    </w:rPr>
  </w:style>
  <w:style w:type="paragraph" w:styleId="13">
    <w:name w:val="toc 1"/>
    <w:basedOn w:val="1"/>
    <w:next w:val="1"/>
    <w:qFormat/>
    <w:uiPriority w:val="39"/>
    <w:pPr>
      <w:spacing w:before="120" w:after="120"/>
      <w:jc w:val="left"/>
    </w:pPr>
    <w:rPr>
      <w:rFonts w:ascii="Times New Roman" w:hAnsi="Times New Roman" w:cs="Times New Roman"/>
      <w:b/>
      <w:caps/>
      <w:kern w:val="1"/>
      <w:sz w:val="20"/>
      <w:szCs w:val="20"/>
    </w:rPr>
  </w:style>
  <w:style w:type="paragraph" w:styleId="14">
    <w:name w:val="Body Text 2"/>
    <w:basedOn w:val="1"/>
    <w:qFormat/>
    <w:uiPriority w:val="0"/>
    <w:pPr>
      <w:spacing w:after="120" w:line="480" w:lineRule="auto"/>
    </w:pPr>
    <w:rPr>
      <w:sz w:val="20"/>
      <w:szCs w:val="24"/>
    </w:rPr>
  </w:style>
  <w:style w:type="paragraph" w:styleId="15">
    <w:name w:val="Body Text First Indent"/>
    <w:basedOn w:val="7"/>
    <w:qFormat/>
    <w:uiPriority w:val="0"/>
    <w:pPr>
      <w:spacing w:line="312" w:lineRule="auto"/>
      <w:ind w:firstLine="420"/>
    </w:pPr>
  </w:style>
  <w:style w:type="paragraph" w:styleId="16">
    <w:name w:val="Body Text First Indent 2"/>
    <w:basedOn w:val="8"/>
    <w:next w:val="1"/>
    <w:unhideWhenUsed/>
    <w:qFormat/>
    <w:uiPriority w:val="99"/>
    <w:pPr>
      <w:ind w:firstLine="420" w:firstLineChars="200"/>
    </w:pPr>
  </w:style>
  <w:style w:type="character" w:styleId="19">
    <w:name w:val="page number"/>
    <w:basedOn w:val="18"/>
    <w:qFormat/>
    <w:uiPriority w:val="0"/>
  </w:style>
  <w:style w:type="character" w:styleId="20">
    <w:name w:val="annotation reference"/>
    <w:qFormat/>
    <w:uiPriority w:val="0"/>
    <w:rPr>
      <w:sz w:val="21"/>
      <w:szCs w:val="21"/>
    </w:rPr>
  </w:style>
  <w:style w:type="paragraph" w:customStyle="1" w:styleId="21">
    <w:name w:val="Default"/>
    <w:next w:val="22"/>
    <w:qFormat/>
    <w:uiPriority w:val="0"/>
    <w:pPr>
      <w:widowControl w:val="0"/>
      <w:autoSpaceDE w:val="0"/>
      <w:autoSpaceDN w:val="0"/>
      <w:adjustRightInd w:val="0"/>
    </w:pPr>
    <w:rPr>
      <w:rFonts w:ascii="宋体..胭.." w:hAnsi="Calibri" w:eastAsia="宋体..胭.." w:cs="宋体..胭.."/>
      <w:color w:val="000000"/>
      <w:sz w:val="24"/>
      <w:szCs w:val="24"/>
      <w:lang w:val="en-US" w:eastAsia="zh-CN" w:bidi="ar-SA"/>
    </w:rPr>
  </w:style>
  <w:style w:type="paragraph" w:customStyle="1" w:styleId="22">
    <w:name w:val="6'"/>
    <w:basedOn w:val="1"/>
    <w:next w:val="23"/>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3">
    <w:name w:val="AOHead3"/>
    <w:basedOn w:val="1"/>
    <w:next w:val="1"/>
    <w:qFormat/>
    <w:uiPriority w:val="0"/>
    <w:pPr>
      <w:spacing w:line="360" w:lineRule="auto"/>
      <w:ind w:left="1260"/>
      <w:outlineLvl w:val="2"/>
    </w:pPr>
    <w:rPr>
      <w:color w:val="0000FF"/>
    </w:rPr>
  </w:style>
  <w:style w:type="paragraph" w:customStyle="1" w:styleId="24">
    <w:name w:val="文一"/>
    <w:basedOn w:val="1"/>
    <w:qFormat/>
    <w:uiPriority w:val="0"/>
    <w:pPr>
      <w:spacing w:line="360" w:lineRule="auto"/>
      <w:ind w:firstLine="200"/>
    </w:pPr>
    <w:rPr>
      <w:spacing w:val="4"/>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2023-11-13T02:17:00Z</dcterms:created>
  <dc:creator>Kenny</dc:creator>
  <cp:lastModifiedBy>Kenny</cp:lastModifiedBy>
  <dcterms:modified xsi:type="dcterms:W3CDTF">2023-11-13T02:39:51Z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95D041FDC0A2493FB8B1074DB62A7D2B_11</vt:lpwstr>
  </property>
</Properties>
</file>