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SF-2019-0205</w:t>
      </w:r>
    </w:p>
    <w:p>
      <w:pPr>
        <w:pStyle w:val="25"/>
        <w:spacing w:line="640" w:lineRule="exact"/>
        <w:ind w:firstLine="4160" w:firstLineChars="1300"/>
        <w:rPr>
          <w:rFonts w:ascii="仿宋" w:hAnsi="仿宋" w:eastAsia="仿宋" w:cs="仿宋"/>
          <w:color w:val="auto"/>
          <w:sz w:val="18"/>
          <w:szCs w:val="18"/>
          <w:highlight w:val="none"/>
          <w:u w:val="single"/>
        </w:rPr>
      </w:pPr>
      <w:r>
        <w:rPr>
          <w:rFonts w:hint="eastAsia" w:ascii="仿宋" w:hAnsi="仿宋" w:eastAsia="仿宋" w:cs="仿宋"/>
          <w:color w:val="auto"/>
          <w:sz w:val="32"/>
          <w:szCs w:val="32"/>
          <w:highlight w:val="none"/>
        </w:rPr>
        <w:t>项目编码：</w:t>
      </w:r>
      <w:r>
        <w:rPr>
          <w:rFonts w:hint="eastAsia" w:ascii="仿宋" w:hAnsi="仿宋" w:eastAsia="仿宋" w:cs="仿宋"/>
          <w:color w:val="auto"/>
          <w:sz w:val="18"/>
          <w:szCs w:val="18"/>
          <w:highlight w:val="none"/>
          <w:u w:val="single"/>
        </w:rPr>
        <w:t xml:space="preserve">                                   </w:t>
      </w:r>
    </w:p>
    <w:p>
      <w:pPr>
        <w:pStyle w:val="25"/>
        <w:spacing w:line="640" w:lineRule="exact"/>
        <w:ind w:firstLine="4160" w:firstLineChars="13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工程编码：</w:t>
      </w:r>
      <w:r>
        <w:rPr>
          <w:rFonts w:hint="eastAsia" w:ascii="仿宋" w:hAnsi="仿宋" w:eastAsia="仿宋" w:cs="仿宋"/>
          <w:color w:val="auto"/>
          <w:sz w:val="32"/>
          <w:szCs w:val="32"/>
          <w:highlight w:val="none"/>
          <w:u w:val="single"/>
        </w:rPr>
        <w:t xml:space="preserve">                    </w:t>
      </w:r>
    </w:p>
    <w:p>
      <w:pPr>
        <w:pStyle w:val="25"/>
        <w:spacing w:line="640" w:lineRule="exact"/>
        <w:ind w:firstLine="4160" w:firstLineChars="13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合同编号：</w:t>
      </w:r>
      <w:r>
        <w:rPr>
          <w:rFonts w:hint="eastAsia" w:ascii="仿宋" w:hAnsi="仿宋" w:eastAsia="仿宋" w:cs="仿宋"/>
          <w:color w:val="auto"/>
          <w:sz w:val="32"/>
          <w:szCs w:val="32"/>
          <w:highlight w:val="none"/>
          <w:u w:val="single"/>
        </w:rPr>
        <w:t xml:space="preserve">                    </w:t>
      </w:r>
    </w:p>
    <w:p>
      <w:pPr>
        <w:pStyle w:val="25"/>
        <w:spacing w:line="640" w:lineRule="exact"/>
        <w:ind w:firstLine="5920" w:firstLineChars="1850"/>
        <w:rPr>
          <w:rFonts w:ascii="仿宋" w:hAnsi="仿宋" w:eastAsia="仿宋" w:cs="仿宋"/>
          <w:color w:val="auto"/>
          <w:sz w:val="32"/>
          <w:szCs w:val="32"/>
          <w:highlight w:val="none"/>
        </w:rPr>
      </w:pPr>
    </w:p>
    <w:p>
      <w:pPr>
        <w:pStyle w:val="25"/>
        <w:spacing w:line="640" w:lineRule="exact"/>
        <w:ind w:firstLine="5920" w:firstLineChars="1850"/>
        <w:rPr>
          <w:rFonts w:ascii="仿宋" w:hAnsi="仿宋" w:eastAsia="仿宋" w:cs="仿宋"/>
          <w:color w:val="auto"/>
          <w:sz w:val="32"/>
          <w:szCs w:val="32"/>
          <w:highlight w:val="none"/>
        </w:rPr>
      </w:pPr>
    </w:p>
    <w:p>
      <w:pPr>
        <w:pStyle w:val="25"/>
        <w:spacing w:line="640" w:lineRule="exact"/>
        <w:jc w:val="center"/>
        <w:rPr>
          <w:rFonts w:ascii="仿宋" w:hAnsi="仿宋" w:eastAsia="仿宋" w:cs="仿宋"/>
          <w:b/>
          <w:bCs/>
          <w:color w:val="auto"/>
          <w:sz w:val="52"/>
          <w:szCs w:val="52"/>
          <w:highlight w:val="none"/>
        </w:rPr>
      </w:pPr>
      <w:r>
        <w:rPr>
          <w:rFonts w:hint="eastAsia" w:ascii="仿宋" w:hAnsi="仿宋" w:eastAsia="仿宋" w:cs="仿宋"/>
          <w:b/>
          <w:bCs/>
          <w:color w:val="auto"/>
          <w:sz w:val="52"/>
          <w:szCs w:val="52"/>
          <w:highlight w:val="none"/>
        </w:rPr>
        <w:t>广州市建设工程造价咨询合同</w:t>
      </w:r>
    </w:p>
    <w:p>
      <w:pPr>
        <w:pStyle w:val="25"/>
        <w:spacing w:line="640" w:lineRule="exact"/>
        <w:jc w:val="center"/>
        <w:rPr>
          <w:rFonts w:ascii="仿宋" w:hAnsi="仿宋" w:eastAsia="仿宋" w:cs="仿宋"/>
          <w:b/>
          <w:bCs/>
          <w:color w:val="auto"/>
          <w:sz w:val="52"/>
          <w:szCs w:val="52"/>
          <w:highlight w:val="none"/>
        </w:rPr>
      </w:pPr>
      <w:r>
        <w:rPr>
          <w:rFonts w:hint="eastAsia" w:ascii="仿宋" w:hAnsi="仿宋" w:eastAsia="仿宋" w:cs="仿宋"/>
          <w:b/>
          <w:bCs/>
          <w:color w:val="auto"/>
          <w:sz w:val="52"/>
          <w:szCs w:val="52"/>
          <w:highlight w:val="none"/>
        </w:rPr>
        <w:t>(概算审核）</w:t>
      </w:r>
    </w:p>
    <w:p>
      <w:pPr>
        <w:spacing w:line="640" w:lineRule="exact"/>
        <w:ind w:firstLine="2352" w:firstLineChars="735"/>
        <w:rPr>
          <w:rFonts w:ascii="仿宋" w:hAnsi="仿宋" w:eastAsia="仿宋" w:cs="仿宋"/>
          <w:color w:val="auto"/>
          <w:sz w:val="32"/>
          <w:szCs w:val="32"/>
          <w:highlight w:val="none"/>
        </w:rPr>
      </w:pPr>
    </w:p>
    <w:p>
      <w:pPr>
        <w:spacing w:line="640" w:lineRule="exact"/>
        <w:jc w:val="center"/>
        <w:rPr>
          <w:rFonts w:ascii="仿宋" w:hAnsi="仿宋" w:eastAsia="仿宋" w:cs="仿宋"/>
          <w:color w:val="auto"/>
          <w:sz w:val="32"/>
          <w:szCs w:val="32"/>
          <w:highlight w:val="none"/>
        </w:rPr>
      </w:pPr>
    </w:p>
    <w:p>
      <w:pPr>
        <w:spacing w:line="640" w:lineRule="exact"/>
        <w:jc w:val="center"/>
        <w:rPr>
          <w:rFonts w:ascii="仿宋" w:hAnsi="仿宋" w:eastAsia="仿宋" w:cs="仿宋"/>
          <w:color w:val="auto"/>
          <w:sz w:val="32"/>
          <w:szCs w:val="32"/>
          <w:highlight w:val="none"/>
        </w:rPr>
      </w:pPr>
    </w:p>
    <w:p>
      <w:pPr>
        <w:spacing w:line="640" w:lineRule="exact"/>
        <w:ind w:left="2247" w:leftChars="304" w:hanging="1609" w:hangingChars="503"/>
        <w:jc w:val="left"/>
        <w:rPr>
          <w:rFonts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工程名称：</w:t>
      </w:r>
      <w:r>
        <w:rPr>
          <w:rFonts w:hint="eastAsia" w:ascii="仿宋" w:hAnsi="仿宋" w:eastAsia="仿宋" w:cs="仿宋"/>
          <w:color w:val="auto"/>
          <w:sz w:val="32"/>
          <w:szCs w:val="32"/>
          <w:highlight w:val="none"/>
          <w:u w:val="single"/>
        </w:rPr>
        <w:t xml:space="preserve">                                              </w:t>
      </w:r>
    </w:p>
    <w:p>
      <w:pPr>
        <w:spacing w:line="6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工程地点：</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w:t>
      </w:r>
    </w:p>
    <w:p>
      <w:pPr>
        <w:spacing w:line="6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甲方（委托人）：</w:t>
      </w:r>
      <w:r>
        <w:rPr>
          <w:rFonts w:hint="eastAsia" w:ascii="仿宋" w:hAnsi="仿宋" w:eastAsia="仿宋" w:cs="仿宋"/>
          <w:color w:val="auto"/>
          <w:sz w:val="32"/>
          <w:szCs w:val="32"/>
          <w:highlight w:val="none"/>
          <w:u w:val="single"/>
        </w:rPr>
        <w:t xml:space="preserve">   广州市天河区住房建设和园林局        </w:t>
      </w:r>
      <w:r>
        <w:rPr>
          <w:rFonts w:hint="eastAsia" w:ascii="仿宋" w:hAnsi="仿宋" w:eastAsia="仿宋" w:cs="仿宋"/>
          <w:color w:val="auto"/>
          <w:sz w:val="32"/>
          <w:szCs w:val="32"/>
          <w:highlight w:val="none"/>
        </w:rPr>
        <w:t xml:space="preserve">              </w:t>
      </w:r>
    </w:p>
    <w:p>
      <w:pPr>
        <w:spacing w:line="640" w:lineRule="exact"/>
        <w:ind w:firstLine="640" w:firstLineChars="200"/>
        <w:rPr>
          <w:rFonts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乙方（咨询人）：</w:t>
      </w:r>
      <w:r>
        <w:rPr>
          <w:rFonts w:hint="eastAsia" w:ascii="仿宋" w:hAnsi="仿宋" w:eastAsia="仿宋" w:cs="仿宋"/>
          <w:color w:val="auto"/>
          <w:sz w:val="32"/>
          <w:szCs w:val="32"/>
          <w:highlight w:val="none"/>
          <w:u w:val="single"/>
        </w:rPr>
        <w:t xml:space="preserve">                                       </w:t>
      </w:r>
    </w:p>
    <w:p>
      <w:pPr>
        <w:spacing w:line="640" w:lineRule="exact"/>
        <w:rPr>
          <w:rFonts w:ascii="仿宋" w:hAnsi="仿宋" w:eastAsia="仿宋" w:cs="仿宋"/>
          <w:color w:val="auto"/>
          <w:sz w:val="32"/>
          <w:szCs w:val="32"/>
          <w:highlight w:val="none"/>
        </w:rPr>
      </w:pPr>
    </w:p>
    <w:p>
      <w:pPr>
        <w:spacing w:line="640" w:lineRule="exact"/>
        <w:rPr>
          <w:rFonts w:ascii="仿宋" w:hAnsi="仿宋" w:eastAsia="仿宋" w:cs="仿宋"/>
          <w:color w:val="auto"/>
          <w:sz w:val="32"/>
          <w:szCs w:val="32"/>
          <w:highlight w:val="none"/>
        </w:rPr>
      </w:pPr>
    </w:p>
    <w:p>
      <w:pPr>
        <w:snapToGrid w:val="0"/>
        <w:spacing w:line="200" w:lineRule="atLeast"/>
        <w:jc w:val="center"/>
        <w:rPr>
          <w:rFonts w:ascii="仿宋" w:hAnsi="仿宋" w:eastAsia="仿宋" w:cs="仿宋"/>
          <w:b/>
          <w:bCs/>
          <w:color w:val="auto"/>
          <w:spacing w:val="40"/>
          <w:sz w:val="32"/>
          <w:szCs w:val="32"/>
          <w:highlight w:val="none"/>
        </w:rPr>
      </w:pPr>
      <w:r>
        <w:rPr>
          <w:rFonts w:hint="eastAsia" w:ascii="仿宋" w:hAnsi="仿宋" w:eastAsia="仿宋" w:cs="仿宋"/>
          <w:b/>
          <w:bCs/>
          <w:color w:val="auto"/>
          <w:spacing w:val="40"/>
          <w:sz w:val="32"/>
          <w:szCs w:val="32"/>
          <w:highlight w:val="none"/>
        </w:rPr>
        <w:t>广州市住房和城乡建设局</w:t>
      </w:r>
    </w:p>
    <w:p>
      <w:pPr>
        <w:snapToGrid w:val="0"/>
        <w:spacing w:line="200" w:lineRule="atLeast"/>
        <w:jc w:val="center"/>
        <w:rPr>
          <w:rFonts w:ascii="仿宋" w:hAnsi="仿宋" w:eastAsia="仿宋" w:cs="仿宋"/>
          <w:b/>
          <w:bCs/>
          <w:color w:val="auto"/>
          <w:spacing w:val="50"/>
          <w:sz w:val="32"/>
          <w:szCs w:val="32"/>
          <w:highlight w:val="none"/>
        </w:rPr>
      </w:pPr>
      <w:r>
        <w:rPr>
          <w:rFonts w:hint="eastAsia" w:ascii="仿宋" w:hAnsi="仿宋" w:eastAsia="仿宋" w:cs="仿宋"/>
          <w:b/>
          <w:bCs/>
          <w:color w:val="auto"/>
          <w:spacing w:val="50"/>
          <w:sz w:val="32"/>
          <w:szCs w:val="32"/>
          <w:highlight w:val="none"/>
        </w:rPr>
        <w:t xml:space="preserve">                          制定</w:t>
      </w:r>
    </w:p>
    <w:p>
      <w:pPr>
        <w:snapToGrid w:val="0"/>
        <w:spacing w:line="200" w:lineRule="atLeast"/>
        <w:jc w:val="center"/>
        <w:rPr>
          <w:rFonts w:ascii="仿宋" w:hAnsi="仿宋" w:eastAsia="仿宋" w:cs="仿宋"/>
          <w:b/>
          <w:bCs/>
          <w:color w:val="auto"/>
          <w:spacing w:val="50"/>
          <w:sz w:val="32"/>
          <w:szCs w:val="32"/>
          <w:highlight w:val="none"/>
        </w:rPr>
      </w:pPr>
      <w:r>
        <w:rPr>
          <w:rFonts w:hint="eastAsia" w:ascii="仿宋" w:hAnsi="仿宋" w:eastAsia="仿宋" w:cs="仿宋"/>
          <w:b/>
          <w:bCs/>
          <w:color w:val="auto"/>
          <w:spacing w:val="50"/>
          <w:sz w:val="32"/>
          <w:szCs w:val="32"/>
          <w:highlight w:val="none"/>
        </w:rPr>
        <w:t>广州市市场监督管理局</w:t>
      </w:r>
    </w:p>
    <w:p>
      <w:pPr>
        <w:tabs>
          <w:tab w:val="left" w:pos="3120"/>
        </w:tabs>
        <w:spacing w:line="360" w:lineRule="auto"/>
        <w:rPr>
          <w:rFonts w:ascii="仿宋" w:hAnsi="仿宋" w:eastAsia="仿宋" w:cs="仿宋"/>
          <w:color w:val="auto"/>
          <w:sz w:val="32"/>
          <w:szCs w:val="32"/>
          <w:highlight w:val="none"/>
        </w:rPr>
        <w:sectPr>
          <w:footerReference r:id="rId5" w:type="first"/>
          <w:headerReference r:id="rId3" w:type="default"/>
          <w:footerReference r:id="rId4" w:type="default"/>
          <w:pgSz w:w="11906" w:h="16838"/>
          <w:pgMar w:top="1440" w:right="1134" w:bottom="1440" w:left="1134" w:header="851" w:footer="992" w:gutter="0"/>
          <w:pgNumType w:start="1"/>
          <w:cols w:space="720" w:num="1"/>
          <w:titlePg/>
          <w:docGrid w:type="lines" w:linePitch="312" w:charSpace="0"/>
        </w:sectPr>
      </w:pPr>
    </w:p>
    <w:p>
      <w:pPr>
        <w:pStyle w:val="3"/>
        <w:jc w:val="center"/>
        <w:rPr>
          <w:rFonts w:ascii="仿宋" w:hAnsi="仿宋" w:eastAsia="仿宋" w:cs="仿宋"/>
          <w:b/>
          <w:bCs/>
          <w:color w:val="auto"/>
          <w:sz w:val="32"/>
          <w:szCs w:val="32"/>
          <w:highlight w:val="none"/>
        </w:rPr>
      </w:pPr>
      <w:bookmarkStart w:id="0" w:name="_Toc18327"/>
      <w:bookmarkStart w:id="1" w:name="_Toc29826"/>
      <w:r>
        <w:rPr>
          <w:rFonts w:hint="eastAsia" w:ascii="仿宋" w:hAnsi="仿宋" w:eastAsia="仿宋" w:cs="仿宋"/>
          <w:b/>
          <w:color w:val="auto"/>
          <w:kern w:val="2"/>
          <w:sz w:val="36"/>
          <w:szCs w:val="22"/>
          <w:highlight w:val="none"/>
        </w:rPr>
        <w:t>第一部分  协议书</w:t>
      </w:r>
      <w:bookmarkEnd w:id="0"/>
      <w:bookmarkEnd w:id="1"/>
    </w:p>
    <w:p>
      <w:pPr>
        <w:adjustRightInd w:val="0"/>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甲方（委托人）：广州市天河区住房建设和园林局                              </w:t>
      </w:r>
    </w:p>
    <w:p>
      <w:pPr>
        <w:adjustRightInd w:val="0"/>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乙方（咨询人）：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pPr>
        <w:pStyle w:val="25"/>
        <w:spacing w:line="360" w:lineRule="auto"/>
        <w:rPr>
          <w:rFonts w:ascii="仿宋" w:hAnsi="仿宋" w:eastAsia="仿宋" w:cs="仿宋"/>
          <w:color w:val="auto"/>
          <w:highlight w:val="none"/>
        </w:rPr>
      </w:pPr>
    </w:p>
    <w:p>
      <w:pPr>
        <w:pStyle w:val="27"/>
        <w:spacing w:line="360" w:lineRule="auto"/>
        <w:ind w:firstLine="480" w:firstLineChars="200"/>
        <w:jc w:val="left"/>
        <w:rPr>
          <w:rFonts w:ascii="仿宋" w:hAnsi="仿宋" w:eastAsia="仿宋" w:cs="仿宋"/>
          <w:color w:val="auto"/>
          <w:sz w:val="24"/>
          <w:szCs w:val="24"/>
          <w:highlight w:val="none"/>
        </w:rPr>
      </w:pPr>
      <w:bookmarkStart w:id="2" w:name="_Toc755"/>
      <w:r>
        <w:rPr>
          <w:rFonts w:hint="eastAsia" w:ascii="仿宋" w:hAnsi="仿宋" w:eastAsia="仿宋" w:cs="仿宋"/>
          <w:color w:val="auto"/>
          <w:sz w:val="24"/>
          <w:szCs w:val="24"/>
          <w:highlight w:val="none"/>
        </w:rPr>
        <w:t>根据《中华人民共和国民法典》及其他有关法律、法规的规定，遵循平等、自愿、公平和诚信的原则，经双方友好协商，现就甲方委托乙方（咨询人）为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工程提供建设工程造价咨询服务（概算审核）之事宜达成一致，订立本合同，以资共同遵守。</w:t>
      </w:r>
    </w:p>
    <w:p>
      <w:pPr>
        <w:pStyle w:val="4"/>
        <w:numPr>
          <w:ilvl w:val="0"/>
          <w:numId w:val="0"/>
        </w:numPr>
        <w:spacing w:line="360" w:lineRule="auto"/>
        <w:rPr>
          <w:rFonts w:ascii="仿宋" w:hAnsi="仿宋" w:eastAsia="仿宋" w:cs="仿宋"/>
          <w:b/>
          <w:color w:val="auto"/>
          <w:highlight w:val="none"/>
        </w:rPr>
      </w:pPr>
      <w:r>
        <w:rPr>
          <w:rFonts w:hint="eastAsia" w:ascii="仿宋" w:hAnsi="仿宋" w:eastAsia="仿宋" w:cs="仿宋"/>
          <w:b/>
          <w:color w:val="auto"/>
          <w:highlight w:val="none"/>
        </w:rPr>
        <w:t>一、工程概况</w:t>
      </w:r>
      <w:bookmarkEnd w:id="2"/>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highlight w:val="none"/>
        </w:rPr>
        <w:t>立项批文编号或广东省企业基本建设投资项目备案证备案项目编号：</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highlight w:val="none"/>
        </w:rPr>
        <w:t>工程名称：</w:t>
      </w:r>
      <w:r>
        <w:rPr>
          <w:rFonts w:hint="eastAsia" w:ascii="仿宋" w:hAnsi="仿宋" w:eastAsia="仿宋" w:cs="仿宋"/>
          <w:color w:val="auto"/>
          <w:sz w:val="24"/>
          <w:szCs w:val="24"/>
          <w:highlight w:val="none"/>
          <w:u w:val="single"/>
        </w:rPr>
        <w:t xml:space="preserve">                                                                    </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工程地点：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32"/>
          <w:szCs w:val="32"/>
          <w:highlight w:val="none"/>
          <w:u w:val="single"/>
        </w:rPr>
        <w:t xml:space="preserve">                    </w:t>
      </w:r>
    </w:p>
    <w:p>
      <w:pPr>
        <w:pStyle w:val="33"/>
        <w:spacing w:line="360" w:lineRule="auto"/>
        <w:ind w:firstLine="480" w:firstLineChars="200"/>
        <w:jc w:val="left"/>
        <w:rPr>
          <w:rFonts w:ascii="仿宋" w:hAnsi="仿宋" w:eastAsia="仿宋" w:cs="仿宋"/>
          <w:color w:val="auto"/>
          <w:sz w:val="24"/>
          <w:szCs w:val="24"/>
          <w:highlight w:val="none"/>
          <w:lang w:val="en-US" w:eastAsia="zh-CN" w:bidi="ar-SA"/>
        </w:rPr>
      </w:pPr>
      <w:r>
        <w:rPr>
          <w:rFonts w:hint="eastAsia" w:ascii="仿宋" w:hAnsi="仿宋" w:eastAsia="仿宋" w:cs="仿宋"/>
          <w:color w:val="auto"/>
          <w:sz w:val="24"/>
          <w:highlight w:val="none"/>
        </w:rPr>
        <w:t>工程规模：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投资金额：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p>
    <w:p>
      <w:pPr>
        <w:adjustRightInd w:val="0"/>
        <w:snapToGrid w:val="0"/>
        <w:spacing w:line="360" w:lineRule="auto"/>
        <w:ind w:firstLine="475" w:firstLineChars="198"/>
        <w:rPr>
          <w:rFonts w:ascii="仿宋" w:hAnsi="仿宋" w:eastAsia="仿宋" w:cs="仿宋"/>
          <w:color w:val="auto"/>
          <w:sz w:val="24"/>
          <w:highlight w:val="none"/>
        </w:rPr>
      </w:pPr>
      <w:r>
        <w:rPr>
          <w:rFonts w:hint="eastAsia" w:ascii="仿宋" w:hAnsi="仿宋" w:eastAsia="仿宋" w:cs="仿宋"/>
          <w:color w:val="auto"/>
          <w:sz w:val="24"/>
          <w:highlight w:val="none"/>
        </w:rPr>
        <w:t>资金来源：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32"/>
          <w:szCs w:val="32"/>
          <w:highlight w:val="none"/>
          <w:u w:val="single"/>
        </w:rPr>
        <w:t xml:space="preserve">            </w:t>
      </w:r>
    </w:p>
    <w:p>
      <w:pPr>
        <w:pStyle w:val="4"/>
        <w:numPr>
          <w:ilvl w:val="0"/>
          <w:numId w:val="2"/>
        </w:numPr>
        <w:spacing w:line="360" w:lineRule="auto"/>
        <w:rPr>
          <w:rFonts w:ascii="仿宋" w:hAnsi="仿宋" w:eastAsia="仿宋" w:cs="仿宋"/>
          <w:b/>
          <w:color w:val="auto"/>
          <w:highlight w:val="none"/>
        </w:rPr>
      </w:pPr>
      <w:bookmarkStart w:id="3" w:name="_Toc27463"/>
      <w:r>
        <w:rPr>
          <w:rFonts w:hint="eastAsia" w:ascii="仿宋" w:hAnsi="仿宋" w:eastAsia="仿宋" w:cs="仿宋"/>
          <w:b/>
          <w:color w:val="auto"/>
          <w:highlight w:val="none"/>
        </w:rPr>
        <w:t>双方职责</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（一）甲方</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1、根据概算评审工作的计划及要求，委托乙方进行概算评审，向乙方出具《概算评审委托书》，与乙方签订委托合同，办理咨询费支付手续；</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2、按要求将接收的工程项目初步设计及概算评审相关资料提供给乙方，参与配合现场踏勘、情况核实、对数和补充资料等工作事宜，对概算评审工作的质量及进度进行把控；</w:t>
      </w:r>
    </w:p>
    <w:p>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sz w:val="24"/>
          <w:szCs w:val="24"/>
          <w:highlight w:val="none"/>
        </w:rPr>
        <w:t>3、协调、处理审核过程中的投诉、争议问题。</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（二）乙方</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1、遵循客观、公正、独立原则，按照国家、省、市主管部门的有关规定开展审核工作；</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2、接受甲方的指导、协调、管理、监督，无合理理由不拒绝所委托的审核工作；</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3、进行现场踏勘、情况核实、取证，开展对数工作；</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4、及时向甲方报告审核工作中遇到的重大问题；</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5、在规定时限内依据初步设计图纸，完成概算审核，出具《概算评审结果报告》，并对审核报告的真实性、准确性、合法性负责；</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6、向工程项目建设单位返还审核资料。</w:t>
      </w:r>
    </w:p>
    <w:p>
      <w:pPr>
        <w:pStyle w:val="4"/>
        <w:numPr>
          <w:ilvl w:val="0"/>
          <w:numId w:val="2"/>
        </w:numPr>
        <w:spacing w:line="360" w:lineRule="auto"/>
        <w:rPr>
          <w:rFonts w:ascii="仿宋" w:hAnsi="仿宋" w:eastAsia="仿宋" w:cs="仿宋"/>
          <w:b/>
          <w:color w:val="auto"/>
          <w:highlight w:val="none"/>
        </w:rPr>
      </w:pPr>
      <w:r>
        <w:rPr>
          <w:rFonts w:hint="eastAsia" w:ascii="仿宋" w:hAnsi="仿宋" w:eastAsia="仿宋" w:cs="仿宋"/>
          <w:b/>
          <w:color w:val="auto"/>
          <w:highlight w:val="none"/>
        </w:rPr>
        <w:t>服务范围及工作内容</w:t>
      </w:r>
      <w:bookmarkEnd w:id="3"/>
    </w:p>
    <w:p>
      <w:pPr>
        <w:spacing w:line="360" w:lineRule="auto"/>
        <w:ind w:firstLine="645"/>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乙方的服务范围及工作内容：___________。</w:t>
      </w:r>
    </w:p>
    <w:p>
      <w:pPr>
        <w:adjustRightInd w:val="0"/>
        <w:snapToGrid w:val="0"/>
        <w:spacing w:line="360" w:lineRule="auto"/>
        <w:ind w:firstLine="475" w:firstLineChars="198"/>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□全过程造价咨询服务包括 ：□ 决策阶段、□ 设计阶段、□ 发承包阶段、□ 实施阶段、□ 竣工阶段。</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工程估算的□ 编制/□ 审核。</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工程概算的□编制/☑ 审核。</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施工图预算的□ 编制/□  审核。</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工程量清单、招标控制价的□编制/□ 审核。</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工程结算的□ 编制/□ 审核。</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其他造价咨询服务：</w:t>
      </w:r>
      <w:r>
        <w:rPr>
          <w:rFonts w:hint="eastAsia" w:ascii="仿宋" w:hAnsi="仿宋" w:eastAsia="仿宋" w:cs="仿宋"/>
          <w:color w:val="auto"/>
          <w:sz w:val="24"/>
          <w:szCs w:val="24"/>
          <w:highlight w:val="none"/>
          <w:u w:val="single"/>
        </w:rPr>
        <w:t>负责与工程项目建设单位开展对数等工作</w:t>
      </w:r>
      <w:r>
        <w:rPr>
          <w:rFonts w:hint="eastAsia" w:ascii="仿宋" w:hAnsi="仿宋" w:eastAsia="仿宋" w:cs="仿宋"/>
          <w:color w:val="auto"/>
          <w:sz w:val="24"/>
          <w:szCs w:val="24"/>
          <w:highlight w:val="none"/>
        </w:rPr>
        <w:t>。</w:t>
      </w:r>
    </w:p>
    <w:p>
      <w:pPr>
        <w:pStyle w:val="4"/>
        <w:numPr>
          <w:ilvl w:val="0"/>
          <w:numId w:val="2"/>
        </w:numPr>
        <w:spacing w:line="360" w:lineRule="auto"/>
        <w:rPr>
          <w:rFonts w:ascii="仿宋" w:hAnsi="仿宋" w:eastAsia="仿宋" w:cs="仿宋"/>
          <w:b/>
          <w:color w:val="auto"/>
          <w:highlight w:val="none"/>
        </w:rPr>
      </w:pPr>
      <w:bookmarkStart w:id="4" w:name="_Toc17479"/>
      <w:r>
        <w:rPr>
          <w:rFonts w:hint="eastAsia" w:ascii="仿宋" w:hAnsi="仿宋" w:eastAsia="仿宋" w:cs="仿宋"/>
          <w:b/>
          <w:color w:val="auto"/>
          <w:highlight w:val="none"/>
        </w:rPr>
        <w:t>服务期限</w:t>
      </w:r>
      <w:bookmarkEnd w:id="4"/>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□全过程造价咨询项目：</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本合同施工工期自</w:t>
      </w:r>
      <w:r>
        <w:rPr>
          <w:rFonts w:hint="eastAsia" w:ascii="仿宋" w:hAnsi="仿宋" w:eastAsia="仿宋" w:cs="仿宋"/>
          <w:color w:val="auto"/>
          <w:sz w:val="24"/>
          <w:szCs w:val="24"/>
          <w:highlight w:val="none"/>
          <w:u w:val="single"/>
        </w:rPr>
        <w:t>_____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u w:val="single"/>
        </w:rPr>
        <w:t>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日,共</w:t>
      </w:r>
      <w:r>
        <w:rPr>
          <w:rFonts w:hint="eastAsia" w:ascii="仿宋" w:hAnsi="仿宋" w:eastAsia="仿宋" w:cs="仿宋"/>
          <w:color w:val="auto"/>
          <w:sz w:val="24"/>
          <w:szCs w:val="24"/>
          <w:highlight w:val="none"/>
          <w:u w:val="single"/>
        </w:rPr>
        <w:t>____</w:t>
      </w:r>
      <w:r>
        <w:rPr>
          <w:rFonts w:hint="eastAsia" w:ascii="仿宋" w:hAnsi="仿宋" w:eastAsia="仿宋" w:cs="仿宋"/>
          <w:color w:val="auto"/>
          <w:sz w:val="24"/>
          <w:szCs w:val="24"/>
          <w:highlight w:val="none"/>
        </w:rPr>
        <w:t>天;本项目的全过程造价咨询服务期自</w:t>
      </w:r>
      <w:r>
        <w:rPr>
          <w:rFonts w:hint="eastAsia" w:ascii="仿宋" w:hAnsi="仿宋" w:eastAsia="仿宋" w:cs="仿宋"/>
          <w:color w:val="auto"/>
          <w:sz w:val="24"/>
          <w:szCs w:val="24"/>
          <w:highlight w:val="none"/>
          <w:u w:val="single"/>
        </w:rPr>
        <w:t>_____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u w:val="single"/>
        </w:rPr>
        <w:t>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日,共</w:t>
      </w:r>
      <w:r>
        <w:rPr>
          <w:rFonts w:hint="eastAsia" w:ascii="仿宋" w:hAnsi="仿宋" w:eastAsia="仿宋" w:cs="仿宋"/>
          <w:color w:val="auto"/>
          <w:sz w:val="24"/>
          <w:szCs w:val="24"/>
          <w:highlight w:val="none"/>
          <w:u w:val="single"/>
        </w:rPr>
        <w:t>____</w:t>
      </w:r>
      <w:r>
        <w:rPr>
          <w:rFonts w:hint="eastAsia" w:ascii="仿宋" w:hAnsi="仿宋" w:eastAsia="仿宋" w:cs="仿宋"/>
          <w:color w:val="auto"/>
          <w:sz w:val="24"/>
          <w:szCs w:val="24"/>
          <w:highlight w:val="none"/>
        </w:rPr>
        <w:t>天。</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工程估算的□ 编制/□审核。</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服务期自</w:t>
      </w:r>
      <w:r>
        <w:rPr>
          <w:rFonts w:hint="eastAsia" w:ascii="仿宋" w:hAnsi="仿宋" w:eastAsia="仿宋" w:cs="仿宋"/>
          <w:color w:val="auto"/>
          <w:sz w:val="24"/>
          <w:szCs w:val="24"/>
          <w:highlight w:val="none"/>
          <w:u w:val="single"/>
        </w:rPr>
        <w:t>_____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u w:val="single"/>
        </w:rPr>
        <w:t>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日,共</w:t>
      </w:r>
      <w:r>
        <w:rPr>
          <w:rFonts w:hint="eastAsia" w:ascii="仿宋" w:hAnsi="仿宋" w:eastAsia="仿宋" w:cs="仿宋"/>
          <w:color w:val="auto"/>
          <w:sz w:val="24"/>
          <w:szCs w:val="24"/>
          <w:highlight w:val="none"/>
          <w:u w:val="single"/>
        </w:rPr>
        <w:t>____</w:t>
      </w:r>
      <w:r>
        <w:rPr>
          <w:rFonts w:hint="eastAsia" w:ascii="仿宋" w:hAnsi="仿宋" w:eastAsia="仿宋" w:cs="仿宋"/>
          <w:color w:val="auto"/>
          <w:sz w:val="24"/>
          <w:szCs w:val="24"/>
          <w:highlight w:val="none"/>
        </w:rPr>
        <w:t>天。</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工程概算的□编制/☑ 审核。</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服务期自</w:t>
      </w:r>
      <w:r>
        <w:rPr>
          <w:rFonts w:hint="eastAsia" w:ascii="仿宋" w:hAnsi="仿宋" w:eastAsia="仿宋" w:cs="仿宋"/>
          <w:color w:val="auto"/>
          <w:sz w:val="24"/>
          <w:szCs w:val="24"/>
          <w:highlight w:val="none"/>
          <w:u w:val="single"/>
        </w:rPr>
        <w:t>_____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u w:val="single"/>
        </w:rPr>
        <w:t>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日,共</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天。</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□施工图预算的□ 编制/□审核。</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服务期自</w:t>
      </w:r>
      <w:r>
        <w:rPr>
          <w:rFonts w:hint="eastAsia" w:ascii="仿宋" w:hAnsi="仿宋" w:eastAsia="仿宋" w:cs="仿宋"/>
          <w:color w:val="auto"/>
          <w:sz w:val="24"/>
          <w:szCs w:val="24"/>
          <w:highlight w:val="none"/>
          <w:u w:val="single"/>
        </w:rPr>
        <w:t>_____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u w:val="single"/>
        </w:rPr>
        <w:t>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日,共</w:t>
      </w:r>
      <w:r>
        <w:rPr>
          <w:rFonts w:hint="eastAsia" w:ascii="仿宋" w:hAnsi="仿宋" w:eastAsia="仿宋" w:cs="仿宋"/>
          <w:color w:val="auto"/>
          <w:sz w:val="24"/>
          <w:szCs w:val="24"/>
          <w:highlight w:val="none"/>
          <w:u w:val="single"/>
        </w:rPr>
        <w:t>____</w:t>
      </w:r>
      <w:r>
        <w:rPr>
          <w:rFonts w:hint="eastAsia" w:ascii="仿宋" w:hAnsi="仿宋" w:eastAsia="仿宋" w:cs="仿宋"/>
          <w:color w:val="auto"/>
          <w:sz w:val="24"/>
          <w:szCs w:val="24"/>
          <w:highlight w:val="none"/>
        </w:rPr>
        <w:t>天。</w:t>
      </w:r>
    </w:p>
    <w:p>
      <w:pPr>
        <w:adjustRightInd w:val="0"/>
        <w:snapToGrid w:val="0"/>
        <w:spacing w:line="360" w:lineRule="auto"/>
        <w:ind w:firstLine="530" w:firstLineChars="22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工程量清单、招标控制价的□编制/□审核。</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服务期自</w:t>
      </w:r>
      <w:r>
        <w:rPr>
          <w:rFonts w:hint="eastAsia" w:ascii="仿宋" w:hAnsi="仿宋" w:eastAsia="仿宋" w:cs="仿宋"/>
          <w:color w:val="auto"/>
          <w:sz w:val="24"/>
          <w:szCs w:val="24"/>
          <w:highlight w:val="none"/>
          <w:u w:val="single"/>
        </w:rPr>
        <w:t>_____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u w:val="single"/>
        </w:rPr>
        <w:t>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日,共</w:t>
      </w:r>
      <w:r>
        <w:rPr>
          <w:rFonts w:hint="eastAsia" w:ascii="仿宋" w:hAnsi="仿宋" w:eastAsia="仿宋" w:cs="仿宋"/>
          <w:color w:val="auto"/>
          <w:sz w:val="24"/>
          <w:szCs w:val="24"/>
          <w:highlight w:val="none"/>
          <w:u w:val="single"/>
        </w:rPr>
        <w:t>____</w:t>
      </w:r>
      <w:r>
        <w:rPr>
          <w:rFonts w:hint="eastAsia" w:ascii="仿宋" w:hAnsi="仿宋" w:eastAsia="仿宋" w:cs="仿宋"/>
          <w:color w:val="auto"/>
          <w:sz w:val="24"/>
          <w:szCs w:val="24"/>
          <w:highlight w:val="none"/>
        </w:rPr>
        <w:t>天。</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工程结算的□编制/□审核。</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服务期自</w:t>
      </w:r>
      <w:r>
        <w:rPr>
          <w:rFonts w:hint="eastAsia" w:ascii="仿宋" w:hAnsi="仿宋" w:eastAsia="仿宋" w:cs="仿宋"/>
          <w:color w:val="auto"/>
          <w:sz w:val="24"/>
          <w:szCs w:val="24"/>
          <w:highlight w:val="none"/>
          <w:u w:val="single"/>
        </w:rPr>
        <w:t>_____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u w:val="single"/>
        </w:rPr>
        <w:t>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日,共</w:t>
      </w:r>
      <w:r>
        <w:rPr>
          <w:rFonts w:hint="eastAsia" w:ascii="仿宋" w:hAnsi="仿宋" w:eastAsia="仿宋" w:cs="仿宋"/>
          <w:color w:val="auto"/>
          <w:sz w:val="24"/>
          <w:szCs w:val="24"/>
          <w:highlight w:val="none"/>
          <w:u w:val="single"/>
        </w:rPr>
        <w:t>____</w:t>
      </w:r>
      <w:r>
        <w:rPr>
          <w:rFonts w:hint="eastAsia" w:ascii="仿宋" w:hAnsi="仿宋" w:eastAsia="仿宋" w:cs="仿宋"/>
          <w:color w:val="auto"/>
          <w:sz w:val="24"/>
          <w:szCs w:val="24"/>
          <w:highlight w:val="none"/>
        </w:rPr>
        <w:t>天。</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□其他造价咨询服务项目：</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服务期自</w:t>
      </w:r>
      <w:r>
        <w:rPr>
          <w:rFonts w:hint="eastAsia" w:ascii="仿宋" w:hAnsi="仿宋" w:eastAsia="仿宋" w:cs="仿宋"/>
          <w:color w:val="auto"/>
          <w:sz w:val="24"/>
          <w:szCs w:val="24"/>
          <w:highlight w:val="none"/>
          <w:u w:val="single"/>
        </w:rPr>
        <w:t>_____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u w:val="single"/>
        </w:rPr>
        <w:t>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日,共</w:t>
      </w:r>
      <w:r>
        <w:rPr>
          <w:rFonts w:hint="eastAsia" w:ascii="仿宋" w:hAnsi="仿宋" w:eastAsia="仿宋" w:cs="仿宋"/>
          <w:color w:val="auto"/>
          <w:sz w:val="24"/>
          <w:szCs w:val="24"/>
          <w:highlight w:val="none"/>
          <w:u w:val="single"/>
        </w:rPr>
        <w:t>____</w:t>
      </w:r>
      <w:r>
        <w:rPr>
          <w:rFonts w:hint="eastAsia" w:ascii="仿宋" w:hAnsi="仿宋" w:eastAsia="仿宋" w:cs="仿宋"/>
          <w:color w:val="auto"/>
          <w:sz w:val="24"/>
          <w:szCs w:val="24"/>
          <w:highlight w:val="none"/>
        </w:rPr>
        <w:t>天。</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除全过程造价咨询服务外，委托多项造价咨询服务的，服务期自委托人下属单位天河区建设工程技术中心发出的《概算评审委托书》次日起算，在以下时限内完成概算审核工作：</w:t>
      </w:r>
    </w:p>
    <w:p>
      <w:pPr>
        <w:pStyle w:val="36"/>
        <w:spacing w:line="360" w:lineRule="auto"/>
        <w:ind w:firstLine="480"/>
        <w:contextualSpacing/>
        <w:rPr>
          <w:rFonts w:hint="eastAsia" w:ascii="宋体" w:hAnsi="宋体" w:cs="宋体"/>
          <w:color w:val="auto"/>
          <w:kern w:val="0"/>
          <w:sz w:val="24"/>
          <w:highlight w:val="none"/>
        </w:rPr>
      </w:pPr>
      <w:r>
        <w:rPr>
          <w:rFonts w:hint="eastAsia" w:ascii="仿宋" w:hAnsi="仿宋" w:eastAsia="仿宋" w:cs="仿宋"/>
          <w:color w:val="auto"/>
          <w:sz w:val="24"/>
          <w:szCs w:val="24"/>
          <w:highlight w:val="none"/>
        </w:rPr>
        <w:t>概算审核时限:</w:t>
      </w:r>
      <w:r>
        <w:rPr>
          <w:rFonts w:hint="eastAsia" w:ascii="仿宋" w:hAnsi="仿宋" w:eastAsia="仿宋" w:cs="仿宋"/>
          <w:color w:val="auto"/>
          <w:kern w:val="0"/>
          <w:sz w:val="24"/>
          <w:szCs w:val="24"/>
          <w:highlight w:val="none"/>
        </w:rPr>
        <w:t>本项目概算审核总用时不超过20个工作日；特急情况的工作期限由</w:t>
      </w:r>
      <w:r>
        <w:rPr>
          <w:rFonts w:hint="eastAsia" w:ascii="仿宋" w:hAnsi="仿宋" w:eastAsia="仿宋" w:cs="仿宋"/>
          <w:color w:val="auto"/>
          <w:kern w:val="0"/>
          <w:sz w:val="24"/>
          <w:szCs w:val="24"/>
          <w:highlight w:val="none"/>
          <w:lang w:val="en-US" w:eastAsia="zh-CN"/>
        </w:rPr>
        <w:t>委托</w:t>
      </w:r>
      <w:r>
        <w:rPr>
          <w:rFonts w:hint="eastAsia" w:ascii="仿宋" w:hAnsi="仿宋" w:eastAsia="仿宋" w:cs="仿宋"/>
          <w:color w:val="auto"/>
          <w:kern w:val="0"/>
          <w:sz w:val="24"/>
          <w:szCs w:val="24"/>
          <w:highlight w:val="none"/>
        </w:rPr>
        <w:t>人根据实际情况确定；对于委托人提出的疑问，咨询人应在24小时内给予答复。</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dotted"/>
        </w:rPr>
        <w:t>咨询人自初审完成后应发审核初稿电子版给委托人，并按委托人要求与相关单位对数。</w:t>
      </w:r>
    </w:p>
    <w:p>
      <w:pPr>
        <w:pStyle w:val="16"/>
        <w:spacing w:before="0" w:after="0" w:line="360" w:lineRule="auto"/>
        <w:jc w:val="left"/>
        <w:rPr>
          <w:rFonts w:ascii="仿宋" w:hAnsi="仿宋" w:eastAsia="仿宋" w:cs="仿宋"/>
          <w:b w:val="0"/>
          <w:color w:val="auto"/>
          <w:highlight w:val="none"/>
        </w:rPr>
      </w:pPr>
      <w:bookmarkStart w:id="5" w:name="_Toc8130"/>
      <w:r>
        <w:rPr>
          <w:rFonts w:hint="eastAsia" w:ascii="仿宋" w:hAnsi="仿宋" w:eastAsia="仿宋" w:cs="仿宋"/>
          <w:bCs w:val="0"/>
          <w:color w:val="auto"/>
          <w:sz w:val="28"/>
          <w:szCs w:val="28"/>
          <w:highlight w:val="none"/>
        </w:rPr>
        <w:t>五、 质量标准</w:t>
      </w:r>
      <w:bookmarkEnd w:id="5"/>
    </w:p>
    <w:p>
      <w:pPr>
        <w:pStyle w:val="15"/>
        <w:spacing w:before="62" w:beforeLines="20" w:beforeAutospacing="0" w:after="0" w:afterAutospacing="0" w:line="360" w:lineRule="auto"/>
        <w:ind w:firstLine="480" w:firstLineChars="200"/>
        <w:rPr>
          <w:rFonts w:ascii="仿宋" w:hAnsi="仿宋" w:eastAsia="仿宋" w:cs="仿宋"/>
          <w:color w:val="auto"/>
          <w:highlight w:val="none"/>
        </w:rPr>
      </w:pPr>
      <w:bookmarkStart w:id="6" w:name="12"/>
      <w:bookmarkEnd w:id="6"/>
      <w:bookmarkStart w:id="7" w:name="_Toc24143"/>
      <w:bookmarkStart w:id="8" w:name="_Toc419045062"/>
      <w:bookmarkStart w:id="9" w:name="_Toc475975121"/>
      <w:bookmarkStart w:id="10" w:name="_Toc17550"/>
      <w:r>
        <w:rPr>
          <w:rFonts w:hint="eastAsia" w:ascii="仿宋" w:hAnsi="仿宋" w:eastAsia="仿宋" w:cs="仿宋"/>
          <w:color w:val="auto"/>
          <w:highlight w:val="none"/>
        </w:rPr>
        <w:t>工程造价咨询成果文件应符合：</w:t>
      </w:r>
      <w:r>
        <w:rPr>
          <w:rFonts w:hint="eastAsia" w:ascii="仿宋" w:hAnsi="仿宋" w:eastAsia="仿宋" w:cs="仿宋"/>
          <w:color w:val="auto"/>
          <w:highlight w:val="none"/>
          <w:u w:val="single"/>
        </w:rPr>
        <w:t>《中华人民共和国建筑法》</w:t>
      </w:r>
      <w:r>
        <w:rPr>
          <w:rFonts w:hint="eastAsia" w:ascii="仿宋" w:hAnsi="仿宋" w:eastAsia="仿宋" w:cs="仿宋"/>
          <w:color w:val="auto"/>
          <w:kern w:val="2"/>
          <w:highlight w:val="none"/>
          <w:u w:val="single"/>
        </w:rPr>
        <w:t>、</w:t>
      </w:r>
      <w:r>
        <w:rPr>
          <w:rFonts w:hint="eastAsia" w:ascii="仿宋" w:hAnsi="仿宋" w:eastAsia="仿宋" w:cs="仿宋"/>
          <w:color w:val="auto"/>
          <w:highlight w:val="none"/>
          <w:u w:val="single"/>
        </w:rPr>
        <w:t>《广东省建设工程造价管理规定》、《建筑工程施工发包与承包计价管理办法》（住房和城乡建设部令第16号）、《广州市建筑工程全过程造价技术规程》及国家现行相关法律、行政法规、部门规章、规范性文件、行业规定及广东省、广州市有关规定要求和相应的标准、规范、技术文件。</w:t>
      </w:r>
    </w:p>
    <w:p>
      <w:pPr>
        <w:pStyle w:val="15"/>
        <w:spacing w:before="62" w:beforeLines="20" w:beforeAutospacing="0" w:after="0" w:afterAutospacing="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双方确认，前述国家、行业、省市现行有效的相关标准、规范应为本合同生效时现行有效的版本。本合同生效后，若前述版本发生重大变化，或者有新的法律、法规、规章、规范性文件以及技术标准实施的，咨询人应就推荐性的规定或标准向委托人提出遵守新标准的建议，对强制性的规定或标准应当遵照执行。</w:t>
      </w:r>
    </w:p>
    <w:p>
      <w:pPr>
        <w:pStyle w:val="16"/>
        <w:spacing w:before="0" w:after="0" w:line="360" w:lineRule="auto"/>
        <w:jc w:val="left"/>
        <w:rPr>
          <w:rFonts w:ascii="仿宋" w:hAnsi="仿宋" w:eastAsia="仿宋" w:cs="仿宋"/>
          <w:bCs w:val="0"/>
          <w:color w:val="auto"/>
          <w:sz w:val="28"/>
          <w:szCs w:val="28"/>
          <w:highlight w:val="none"/>
        </w:rPr>
      </w:pPr>
      <w:r>
        <w:rPr>
          <w:rFonts w:hint="eastAsia" w:ascii="仿宋" w:hAnsi="仿宋" w:eastAsia="仿宋" w:cs="仿宋"/>
          <w:bCs w:val="0"/>
          <w:color w:val="auto"/>
          <w:sz w:val="28"/>
          <w:szCs w:val="28"/>
          <w:highlight w:val="none"/>
        </w:rPr>
        <w:t>六、酬金计取方式</w:t>
      </w:r>
      <w:bookmarkEnd w:id="7"/>
      <w:bookmarkEnd w:id="8"/>
      <w:bookmarkEnd w:id="9"/>
      <w:bookmarkEnd w:id="10"/>
    </w:p>
    <w:p>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1.正常工作酬金：</w:t>
      </w:r>
    </w:p>
    <w:p>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□包干价为¥</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本合同履行过程中固定不变。</w:t>
      </w:r>
    </w:p>
    <w:p>
      <w:pPr>
        <w:spacing w:line="360" w:lineRule="auto"/>
        <w:ind w:firstLine="480" w:firstLineChars="200"/>
        <w:rPr>
          <w:rFonts w:hint="eastAsia" w:ascii="仿宋" w:hAnsi="仿宋" w:eastAsia="仿宋" w:cs="仿宋"/>
          <w:color w:val="auto"/>
          <w:sz w:val="24"/>
          <w:szCs w:val="24"/>
          <w:highlight w:val="none"/>
          <w:lang w:eastAsia="zh-CN"/>
        </w:rPr>
      </w:pPr>
      <w:bookmarkStart w:id="11" w:name="_Toc12382"/>
      <w:bookmarkStart w:id="12" w:name="_Toc475975122"/>
      <w:bookmarkStart w:id="13" w:name="_Toc419045058"/>
      <w:bookmarkStart w:id="14" w:name="_Toc6509"/>
      <w:r>
        <w:rPr>
          <w:rFonts w:hint="eastAsia" w:ascii="仿宋" w:hAnsi="仿宋" w:eastAsia="仿宋" w:cs="仿宋"/>
          <w:color w:val="auto"/>
          <w:sz w:val="24"/>
          <w:szCs w:val="24"/>
          <w:highlight w:val="none"/>
        </w:rPr>
        <w:t xml:space="preserve">☑暂定价为中标价¥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正常服务酬金结算价的计取方式为：以初步设计修改完善后的总投资送审价（不含征拆费）为计费基数，参照《广东省建设工程造价咨询服务收费项目和收费标准表》（粤价函 【2011】742号文）的标准计取概算审核费*80%，并乘以咨询人所报</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折扣率X%计算。（酬金只保留小数点后二位，小数点后第三位及第三位数后做舍弃）</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☑其他：双方一致同意，按本条款约定的计算方法和费率，若正常服务酬金结算金额大于或等于正常工作酬金暂定价时，本合同正常工作酬金暂定价即为结算价（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）；正常服务酬金结算金额小于正常工作酬金暂定价时，按正常服务酬金结算价</w:t>
      </w:r>
      <w:r>
        <w:rPr>
          <w:rFonts w:hint="eastAsia" w:ascii="仿宋" w:hAnsi="仿宋" w:eastAsia="仿宋" w:cs="仿宋"/>
          <w:color w:val="auto"/>
          <w:sz w:val="24"/>
          <w:szCs w:val="24"/>
          <w:highlight w:val="none"/>
          <w:lang w:eastAsia="zh-CN"/>
        </w:rPr>
        <w:t>支付</w:t>
      </w:r>
      <w:r>
        <w:rPr>
          <w:rFonts w:hint="eastAsia" w:ascii="仿宋" w:hAnsi="仿宋" w:eastAsia="仿宋" w:cs="仿宋"/>
          <w:color w:val="auto"/>
          <w:sz w:val="24"/>
          <w:szCs w:val="24"/>
          <w:highlight w:val="none"/>
        </w:rPr>
        <w:t xml:space="preserve">。                   </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2.附加工作酬金：</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□除双方就附加工作酬金金额及计取方式另行协商一致并签订书面补充协议外，视为未产生附加工作酬金。</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□其他： </w:t>
      </w:r>
      <w:r>
        <w:rPr>
          <w:rFonts w:hint="eastAsia" w:ascii="仿宋" w:hAnsi="仿宋" w:eastAsia="仿宋" w:cs="仿宋"/>
          <w:color w:val="auto"/>
          <w:sz w:val="24"/>
          <w:szCs w:val="24"/>
          <w:highlight w:val="none"/>
          <w:u w:val="single"/>
        </w:rPr>
        <w:t xml:space="preserve">                      /                                                  </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3.合理化建议奖励：</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□除双方就合理化建议奖励金额及计取方式另行协商一致并签订书面补充协议外，视为未产生合理化建议奖励。</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□其他： </w:t>
      </w:r>
      <w:r>
        <w:rPr>
          <w:rFonts w:hint="eastAsia" w:ascii="仿宋" w:hAnsi="仿宋" w:eastAsia="仿宋" w:cs="仿宋"/>
          <w:color w:val="auto"/>
          <w:sz w:val="24"/>
          <w:szCs w:val="24"/>
          <w:highlight w:val="none"/>
          <w:u w:val="single"/>
        </w:rPr>
        <w:t xml:space="preserve">                      /                                                      </w:t>
      </w:r>
    </w:p>
    <w:p>
      <w:pPr>
        <w:pStyle w:val="16"/>
        <w:spacing w:before="0" w:after="0" w:line="360" w:lineRule="auto"/>
        <w:jc w:val="left"/>
        <w:rPr>
          <w:rFonts w:ascii="仿宋" w:hAnsi="仿宋" w:eastAsia="仿宋" w:cs="仿宋"/>
          <w:bCs w:val="0"/>
          <w:color w:val="auto"/>
          <w:sz w:val="28"/>
          <w:szCs w:val="28"/>
          <w:highlight w:val="none"/>
        </w:rPr>
      </w:pPr>
      <w:r>
        <w:rPr>
          <w:rFonts w:hint="eastAsia" w:ascii="仿宋" w:hAnsi="仿宋" w:eastAsia="仿宋" w:cs="仿宋"/>
          <w:bCs w:val="0"/>
          <w:color w:val="auto"/>
          <w:sz w:val="28"/>
          <w:szCs w:val="28"/>
          <w:highlight w:val="none"/>
        </w:rPr>
        <w:t>七、合同文件的构成</w:t>
      </w:r>
      <w:bookmarkEnd w:id="11"/>
      <w:bookmarkEnd w:id="12"/>
      <w:bookmarkEnd w:id="13"/>
      <w:bookmarkStart w:id="15" w:name="_Toc462328260"/>
    </w:p>
    <w:bookmarkEnd w:id="14"/>
    <w:p>
      <w:pPr>
        <w:pStyle w:val="27"/>
        <w:spacing w:line="360" w:lineRule="auto"/>
        <w:ind w:firstLine="360" w:firstLineChars="15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合同文件的构成及其优先解释顺序与本合同第二部分《通用条款》第1.3款赋予的规定一致。</w:t>
      </w:r>
      <w:bookmarkEnd w:id="15"/>
    </w:p>
    <w:p>
      <w:pPr>
        <w:pStyle w:val="16"/>
        <w:spacing w:before="0" w:after="0" w:line="360" w:lineRule="auto"/>
        <w:jc w:val="left"/>
        <w:rPr>
          <w:rStyle w:val="29"/>
          <w:rFonts w:ascii="仿宋" w:hAnsi="仿宋" w:eastAsia="仿宋" w:cs="仿宋"/>
          <w:b w:val="0"/>
          <w:bCs w:val="0"/>
          <w:color w:val="auto"/>
          <w:sz w:val="24"/>
          <w:szCs w:val="24"/>
          <w:highlight w:val="none"/>
        </w:rPr>
      </w:pPr>
      <w:bookmarkStart w:id="16" w:name="_Toc419045057"/>
      <w:bookmarkStart w:id="17" w:name="_Toc7815"/>
      <w:bookmarkStart w:id="18" w:name="_Toc475975123"/>
      <w:bookmarkStart w:id="19" w:name="_Toc17538"/>
      <w:r>
        <w:rPr>
          <w:rFonts w:hint="eastAsia" w:ascii="仿宋" w:hAnsi="仿宋" w:eastAsia="仿宋" w:cs="仿宋"/>
          <w:bCs w:val="0"/>
          <w:color w:val="auto"/>
          <w:sz w:val="28"/>
          <w:szCs w:val="28"/>
          <w:highlight w:val="none"/>
        </w:rPr>
        <w:t>八、</w:t>
      </w:r>
      <w:bookmarkStart w:id="20" w:name="8"/>
      <w:bookmarkEnd w:id="20"/>
      <w:r>
        <w:rPr>
          <w:rFonts w:hint="eastAsia" w:ascii="仿宋" w:hAnsi="仿宋" w:eastAsia="仿宋" w:cs="仿宋"/>
          <w:bCs w:val="0"/>
          <w:color w:val="auto"/>
          <w:sz w:val="28"/>
          <w:szCs w:val="28"/>
          <w:highlight w:val="none"/>
        </w:rPr>
        <w:t>词语</w:t>
      </w:r>
      <w:bookmarkEnd w:id="16"/>
      <w:r>
        <w:rPr>
          <w:rFonts w:hint="eastAsia" w:ascii="仿宋" w:hAnsi="仿宋" w:eastAsia="仿宋" w:cs="仿宋"/>
          <w:bCs w:val="0"/>
          <w:color w:val="auto"/>
          <w:sz w:val="28"/>
          <w:szCs w:val="28"/>
          <w:highlight w:val="none"/>
        </w:rPr>
        <w:t>定义</w:t>
      </w:r>
      <w:bookmarkEnd w:id="17"/>
      <w:bookmarkEnd w:id="18"/>
      <w:bookmarkEnd w:id="19"/>
    </w:p>
    <w:p>
      <w:pPr>
        <w:spacing w:line="360" w:lineRule="auto"/>
        <w:ind w:firstLine="480" w:firstLineChars="200"/>
        <w:rPr>
          <w:rFonts w:ascii="仿宋" w:hAnsi="仿宋" w:eastAsia="仿宋" w:cs="仿宋"/>
          <w:color w:val="auto"/>
          <w:sz w:val="24"/>
          <w:szCs w:val="24"/>
          <w:highlight w:val="none"/>
        </w:rPr>
      </w:pPr>
      <w:bookmarkStart w:id="21" w:name="_Toc7398"/>
      <w:bookmarkStart w:id="22" w:name="_Toc16048"/>
      <w:bookmarkStart w:id="23" w:name="_Toc419045063"/>
      <w:bookmarkStart w:id="24" w:name="_Toc475975124"/>
      <w:r>
        <w:rPr>
          <w:rFonts w:hint="eastAsia" w:ascii="仿宋" w:hAnsi="仿宋" w:eastAsia="仿宋" w:cs="仿宋"/>
          <w:color w:val="auto"/>
          <w:sz w:val="24"/>
          <w:szCs w:val="24"/>
          <w:highlight w:val="none"/>
        </w:rPr>
        <w:t>协议书中相关词语的含义与本合同第二部分《通用条款》第1.1款赋予的定义与解释相同。</w:t>
      </w:r>
    </w:p>
    <w:p>
      <w:pPr>
        <w:pStyle w:val="16"/>
        <w:spacing w:before="0" w:after="0" w:line="360" w:lineRule="auto"/>
        <w:jc w:val="left"/>
        <w:rPr>
          <w:rFonts w:ascii="仿宋" w:hAnsi="仿宋" w:eastAsia="仿宋" w:cs="仿宋"/>
          <w:bCs w:val="0"/>
          <w:color w:val="auto"/>
          <w:sz w:val="28"/>
          <w:szCs w:val="28"/>
          <w:highlight w:val="none"/>
        </w:rPr>
      </w:pPr>
      <w:r>
        <w:rPr>
          <w:rFonts w:hint="eastAsia" w:ascii="仿宋" w:hAnsi="仿宋" w:eastAsia="仿宋" w:cs="仿宋"/>
          <w:bCs w:val="0"/>
          <w:color w:val="auto"/>
          <w:sz w:val="28"/>
          <w:szCs w:val="28"/>
          <w:highlight w:val="none"/>
        </w:rPr>
        <w:t>九、合同订立</w:t>
      </w:r>
      <w:bookmarkEnd w:id="21"/>
      <w:bookmarkEnd w:id="22"/>
      <w:bookmarkEnd w:id="23"/>
      <w:bookmarkEnd w:id="24"/>
    </w:p>
    <w:p>
      <w:pPr>
        <w:pStyle w:val="27"/>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1.订立时间：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2.订立地点：广州市天河区。</w:t>
      </w:r>
    </w:p>
    <w:p>
      <w:pPr>
        <w:pStyle w:val="16"/>
        <w:spacing w:before="0" w:after="0" w:line="360" w:lineRule="auto"/>
        <w:jc w:val="left"/>
        <w:rPr>
          <w:rFonts w:ascii="仿宋" w:hAnsi="仿宋" w:eastAsia="仿宋" w:cs="仿宋"/>
          <w:bCs w:val="0"/>
          <w:color w:val="auto"/>
          <w:sz w:val="28"/>
          <w:szCs w:val="28"/>
          <w:highlight w:val="none"/>
        </w:rPr>
      </w:pPr>
      <w:bookmarkStart w:id="25" w:name="_Toc31233"/>
      <w:bookmarkStart w:id="26" w:name="_Toc475975125"/>
      <w:bookmarkStart w:id="27" w:name="_Toc24567"/>
      <w:bookmarkStart w:id="28" w:name="_Toc419045064"/>
      <w:r>
        <w:rPr>
          <w:rFonts w:hint="eastAsia" w:ascii="仿宋" w:hAnsi="仿宋" w:eastAsia="仿宋" w:cs="仿宋"/>
          <w:bCs w:val="0"/>
          <w:color w:val="auto"/>
          <w:sz w:val="28"/>
          <w:szCs w:val="28"/>
          <w:highlight w:val="none"/>
        </w:rPr>
        <w:t>十、合同生效</w:t>
      </w:r>
      <w:bookmarkEnd w:id="25"/>
      <w:bookmarkEnd w:id="26"/>
      <w:bookmarkEnd w:id="27"/>
      <w:bookmarkEnd w:id="28"/>
    </w:p>
    <w:p>
      <w:pPr>
        <w:pStyle w:val="16"/>
        <w:spacing w:before="0" w:after="0" w:line="360" w:lineRule="auto"/>
        <w:ind w:firstLine="480" w:firstLineChars="200"/>
        <w:jc w:val="left"/>
        <w:rPr>
          <w:rFonts w:ascii="仿宋" w:hAnsi="仿宋" w:eastAsia="仿宋" w:cs="仿宋"/>
          <w:b w:val="0"/>
          <w:bCs w:val="0"/>
          <w:color w:val="auto"/>
          <w:sz w:val="24"/>
          <w:szCs w:val="24"/>
          <w:highlight w:val="none"/>
        </w:rPr>
      </w:pPr>
      <w:bookmarkStart w:id="29" w:name="_Toc475975126"/>
      <w:bookmarkStart w:id="30" w:name="_Toc29133"/>
      <w:bookmarkStart w:id="31" w:name="_Toc419045065"/>
      <w:bookmarkStart w:id="32" w:name="_Toc5706"/>
      <w:r>
        <w:rPr>
          <w:rFonts w:hint="eastAsia" w:ascii="仿宋" w:hAnsi="仿宋" w:eastAsia="仿宋" w:cs="仿宋"/>
          <w:b w:val="0"/>
          <w:bCs w:val="0"/>
          <w:color w:val="auto"/>
          <w:sz w:val="24"/>
          <w:szCs w:val="24"/>
          <w:highlight w:val="none"/>
        </w:rPr>
        <w:t>本合同自双方法定代表人或委托代理人签名或加盖公章之日起生效，生效时间以在后一方签署的时间为据。如由委托代理人签署的，须提供授权委托书、主体身份证明材料、法定代表人身份证明书及法定代表人身份证复印件、委托代理人身份证明以及工作证明材料作为本合同的附件。</w:t>
      </w:r>
    </w:p>
    <w:p>
      <w:pPr>
        <w:pStyle w:val="16"/>
        <w:spacing w:before="0" w:after="0" w:line="360" w:lineRule="auto"/>
        <w:jc w:val="left"/>
        <w:rPr>
          <w:rFonts w:ascii="仿宋" w:hAnsi="仿宋" w:eastAsia="仿宋" w:cs="仿宋"/>
          <w:b w:val="0"/>
          <w:color w:val="auto"/>
          <w:sz w:val="24"/>
          <w:szCs w:val="24"/>
          <w:highlight w:val="none"/>
        </w:rPr>
      </w:pPr>
      <w:r>
        <w:rPr>
          <w:rFonts w:hint="eastAsia" w:ascii="仿宋" w:hAnsi="仿宋" w:eastAsia="仿宋" w:cs="仿宋"/>
          <w:bCs w:val="0"/>
          <w:color w:val="auto"/>
          <w:sz w:val="28"/>
          <w:szCs w:val="28"/>
          <w:highlight w:val="none"/>
        </w:rPr>
        <w:t>十一、合同份数</w:t>
      </w:r>
      <w:bookmarkEnd w:id="29"/>
      <w:bookmarkEnd w:id="30"/>
      <w:bookmarkEnd w:id="31"/>
      <w:bookmarkEnd w:id="32"/>
    </w:p>
    <w:p>
      <w:pPr>
        <w:pStyle w:val="27"/>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☑本合同一式</w:t>
      </w:r>
      <w:r>
        <w:rPr>
          <w:rFonts w:hint="eastAsia" w:ascii="仿宋" w:hAnsi="仿宋" w:eastAsia="仿宋" w:cs="仿宋"/>
          <w:color w:val="auto"/>
          <w:sz w:val="24"/>
          <w:szCs w:val="24"/>
          <w:highlight w:val="none"/>
          <w:u w:val="single"/>
        </w:rPr>
        <w:t xml:space="preserve">  陆  </w:t>
      </w:r>
      <w:r>
        <w:rPr>
          <w:rFonts w:hint="eastAsia" w:ascii="仿宋" w:hAnsi="仿宋" w:eastAsia="仿宋" w:cs="仿宋"/>
          <w:color w:val="auto"/>
          <w:sz w:val="24"/>
          <w:szCs w:val="24"/>
          <w:highlight w:val="none"/>
        </w:rPr>
        <w:t>份，具有同等法律效力，其中委托人执</w:t>
      </w:r>
      <w:r>
        <w:rPr>
          <w:rFonts w:hint="eastAsia" w:ascii="仿宋" w:hAnsi="仿宋" w:eastAsia="仿宋" w:cs="仿宋"/>
          <w:color w:val="auto"/>
          <w:sz w:val="24"/>
          <w:szCs w:val="24"/>
          <w:highlight w:val="none"/>
          <w:u w:val="single"/>
        </w:rPr>
        <w:t xml:space="preserve">  肆  </w:t>
      </w:r>
      <w:r>
        <w:rPr>
          <w:rFonts w:hint="eastAsia" w:ascii="仿宋" w:hAnsi="仿宋" w:eastAsia="仿宋" w:cs="仿宋"/>
          <w:color w:val="auto"/>
          <w:sz w:val="24"/>
          <w:szCs w:val="24"/>
          <w:highlight w:val="none"/>
        </w:rPr>
        <w:t>份，咨询人执</w:t>
      </w:r>
      <w:r>
        <w:rPr>
          <w:rFonts w:hint="eastAsia" w:ascii="仿宋" w:hAnsi="仿宋" w:eastAsia="仿宋" w:cs="仿宋"/>
          <w:color w:val="auto"/>
          <w:sz w:val="24"/>
          <w:szCs w:val="24"/>
          <w:highlight w:val="none"/>
          <w:u w:val="single"/>
        </w:rPr>
        <w:t xml:space="preserve">  贰   </w:t>
      </w:r>
      <w:r>
        <w:rPr>
          <w:rFonts w:hint="eastAsia" w:ascii="仿宋" w:hAnsi="仿宋" w:eastAsia="仿宋" w:cs="仿宋"/>
          <w:color w:val="auto"/>
          <w:sz w:val="24"/>
          <w:szCs w:val="24"/>
          <w:highlight w:val="none"/>
        </w:rPr>
        <w:t>份。</w:t>
      </w:r>
    </w:p>
    <w:p>
      <w:pPr>
        <w:pStyle w:val="25"/>
        <w:spacing w:line="360" w:lineRule="auto"/>
        <w:rPr>
          <w:rFonts w:ascii="仿宋" w:hAnsi="仿宋" w:eastAsia="仿宋" w:cs="仿宋"/>
          <w:color w:val="auto"/>
          <w:highlight w:val="none"/>
        </w:rPr>
      </w:pPr>
      <w:r>
        <w:rPr>
          <w:rFonts w:hint="eastAsia" w:ascii="仿宋" w:hAnsi="仿宋" w:eastAsia="仿宋" w:cs="仿宋"/>
          <w:color w:val="auto"/>
          <w:highlight w:val="none"/>
        </w:rPr>
        <w:t>（以下部分无《广州市建设工程造价咨询合同(概算审核）》第一部分《协议书》正文内容）</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27"/>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（本页无《广州市建设工程造价咨询合同(概算审核）》第一部分《协议书》正文内容，为签章页）</w:t>
      </w:r>
    </w:p>
    <w:tbl>
      <w:tblPr>
        <w:tblStyle w:val="19"/>
        <w:tblW w:w="9588" w:type="dxa"/>
        <w:tblInd w:w="0" w:type="dxa"/>
        <w:tblLayout w:type="fixed"/>
        <w:tblCellMar>
          <w:top w:w="0" w:type="dxa"/>
          <w:left w:w="108" w:type="dxa"/>
          <w:bottom w:w="0" w:type="dxa"/>
          <w:right w:w="108" w:type="dxa"/>
        </w:tblCellMar>
      </w:tblPr>
      <w:tblGrid>
        <w:gridCol w:w="4733"/>
        <w:gridCol w:w="4855"/>
      </w:tblGrid>
      <w:tr>
        <w:tblPrEx>
          <w:tblCellMar>
            <w:top w:w="0" w:type="dxa"/>
            <w:left w:w="108" w:type="dxa"/>
            <w:bottom w:w="0" w:type="dxa"/>
            <w:right w:w="108" w:type="dxa"/>
          </w:tblCellMar>
        </w:tblPrEx>
        <w:tc>
          <w:tcPr>
            <w:tcW w:w="4733" w:type="dxa"/>
            <w:tcBorders>
              <w:tl2br w:val="nil"/>
              <w:tr2bl w:val="nil"/>
            </w:tcBorders>
          </w:tcPr>
          <w:p>
            <w:pPr>
              <w:pStyle w:val="31"/>
              <w:spacing w:line="440" w:lineRule="exact"/>
              <w:rPr>
                <w:rFonts w:ascii="仿宋" w:hAnsi="仿宋" w:eastAsia="仿宋" w:cs="仿宋"/>
                <w:color w:val="auto"/>
                <w:kern w:val="0"/>
                <w:sz w:val="24"/>
                <w:highlight w:val="none"/>
              </w:rPr>
            </w:pPr>
            <w:bookmarkStart w:id="33" w:name="_Toc10875"/>
            <w:r>
              <w:rPr>
                <w:rFonts w:hint="eastAsia" w:ascii="仿宋" w:hAnsi="仿宋" w:eastAsia="仿宋" w:cs="仿宋"/>
                <w:color w:val="auto"/>
                <w:kern w:val="0"/>
                <w:sz w:val="24"/>
                <w:highlight w:val="none"/>
              </w:rPr>
              <w:t>甲方（盖章）：广州市天河区住房建设和园林局</w:t>
            </w:r>
          </w:p>
        </w:tc>
        <w:tc>
          <w:tcPr>
            <w:tcW w:w="4855" w:type="dxa"/>
            <w:tcBorders>
              <w:tl2br w:val="nil"/>
              <w:tr2bl w:val="nil"/>
            </w:tcBorders>
          </w:tcPr>
          <w:p>
            <w:pPr>
              <w:pStyle w:val="31"/>
              <w:spacing w:line="44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乙方（盖章）：</w:t>
            </w:r>
          </w:p>
          <w:p>
            <w:pPr>
              <w:pStyle w:val="31"/>
              <w:spacing w:line="440" w:lineRule="exact"/>
              <w:rPr>
                <w:rFonts w:ascii="仿宋" w:hAnsi="仿宋" w:eastAsia="仿宋" w:cs="仿宋"/>
                <w:color w:val="auto"/>
                <w:kern w:val="0"/>
                <w:sz w:val="24"/>
                <w:highlight w:val="none"/>
              </w:rPr>
            </w:pPr>
          </w:p>
        </w:tc>
      </w:tr>
      <w:tr>
        <w:tblPrEx>
          <w:tblCellMar>
            <w:top w:w="0" w:type="dxa"/>
            <w:left w:w="108" w:type="dxa"/>
            <w:bottom w:w="0" w:type="dxa"/>
            <w:right w:w="108" w:type="dxa"/>
          </w:tblCellMar>
        </w:tblPrEx>
        <w:tc>
          <w:tcPr>
            <w:tcW w:w="4733" w:type="dxa"/>
            <w:tcBorders>
              <w:tl2br w:val="nil"/>
              <w:tr2bl w:val="nil"/>
            </w:tcBorders>
          </w:tcPr>
          <w:p>
            <w:pPr>
              <w:pStyle w:val="31"/>
              <w:spacing w:line="44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地址：广州市天河区黄埔大道中144号海景中心东塔四楼</w:t>
            </w:r>
          </w:p>
        </w:tc>
        <w:tc>
          <w:tcPr>
            <w:tcW w:w="4855" w:type="dxa"/>
            <w:tcBorders>
              <w:tl2br w:val="nil"/>
              <w:tr2bl w:val="nil"/>
            </w:tcBorders>
          </w:tcPr>
          <w:p>
            <w:pPr>
              <w:pStyle w:val="31"/>
              <w:spacing w:line="44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p>
        </w:tc>
      </w:tr>
      <w:tr>
        <w:tblPrEx>
          <w:tblCellMar>
            <w:top w:w="0" w:type="dxa"/>
            <w:left w:w="108" w:type="dxa"/>
            <w:bottom w:w="0" w:type="dxa"/>
            <w:right w:w="108" w:type="dxa"/>
          </w:tblCellMar>
        </w:tblPrEx>
        <w:trPr>
          <w:trHeight w:val="987" w:hRule="atLeast"/>
        </w:trPr>
        <w:tc>
          <w:tcPr>
            <w:tcW w:w="4733" w:type="dxa"/>
            <w:tcBorders>
              <w:tl2br w:val="nil"/>
              <w:tr2bl w:val="nil"/>
            </w:tcBorders>
          </w:tcPr>
          <w:p>
            <w:pPr>
              <w:pStyle w:val="31"/>
              <w:spacing w:line="44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法定代表人（签名或签章）：</w:t>
            </w:r>
          </w:p>
        </w:tc>
        <w:tc>
          <w:tcPr>
            <w:tcW w:w="4855" w:type="dxa"/>
            <w:tcBorders>
              <w:tl2br w:val="nil"/>
              <w:tr2bl w:val="nil"/>
            </w:tcBorders>
          </w:tcPr>
          <w:p>
            <w:pPr>
              <w:pStyle w:val="31"/>
              <w:spacing w:line="44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法定代表人（签名或签章）：</w:t>
            </w:r>
          </w:p>
        </w:tc>
      </w:tr>
      <w:tr>
        <w:tblPrEx>
          <w:tblCellMar>
            <w:top w:w="0" w:type="dxa"/>
            <w:left w:w="108" w:type="dxa"/>
            <w:bottom w:w="0" w:type="dxa"/>
            <w:right w:w="108" w:type="dxa"/>
          </w:tblCellMar>
        </w:tblPrEx>
        <w:trPr>
          <w:trHeight w:val="1347" w:hRule="atLeast"/>
        </w:trPr>
        <w:tc>
          <w:tcPr>
            <w:tcW w:w="4733" w:type="dxa"/>
            <w:tcBorders>
              <w:tl2br w:val="nil"/>
              <w:tr2bl w:val="nil"/>
            </w:tcBorders>
          </w:tcPr>
          <w:p>
            <w:pPr>
              <w:pStyle w:val="31"/>
              <w:spacing w:line="44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联系人（签名）： </w:t>
            </w:r>
          </w:p>
        </w:tc>
        <w:tc>
          <w:tcPr>
            <w:tcW w:w="4855" w:type="dxa"/>
            <w:tcBorders>
              <w:tl2br w:val="nil"/>
              <w:tr2bl w:val="nil"/>
            </w:tcBorders>
          </w:tcPr>
          <w:p>
            <w:pPr>
              <w:tabs>
                <w:tab w:val="left" w:pos="4620"/>
              </w:tabs>
              <w:spacing w:line="440" w:lineRule="exact"/>
              <w:ind w:left="1200" w:hanging="1200" w:hangingChars="5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或委托代理人（签名）：</w:t>
            </w:r>
          </w:p>
        </w:tc>
      </w:tr>
      <w:tr>
        <w:tblPrEx>
          <w:tblCellMar>
            <w:top w:w="0" w:type="dxa"/>
            <w:left w:w="108" w:type="dxa"/>
            <w:bottom w:w="0" w:type="dxa"/>
            <w:right w:w="108" w:type="dxa"/>
          </w:tblCellMar>
        </w:tblPrEx>
        <w:tc>
          <w:tcPr>
            <w:tcW w:w="4733" w:type="dxa"/>
            <w:tcBorders>
              <w:tl2br w:val="nil"/>
              <w:tr2bl w:val="nil"/>
            </w:tcBorders>
          </w:tcPr>
          <w:p>
            <w:pPr>
              <w:pStyle w:val="31"/>
              <w:spacing w:line="44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电    话：</w:t>
            </w:r>
          </w:p>
        </w:tc>
        <w:tc>
          <w:tcPr>
            <w:tcW w:w="4855" w:type="dxa"/>
            <w:tcBorders>
              <w:tl2br w:val="nil"/>
              <w:tr2bl w:val="nil"/>
            </w:tcBorders>
          </w:tcPr>
          <w:p>
            <w:pPr>
              <w:pStyle w:val="31"/>
              <w:spacing w:line="44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电    话：</w:t>
            </w:r>
          </w:p>
        </w:tc>
      </w:tr>
      <w:tr>
        <w:tblPrEx>
          <w:tblCellMar>
            <w:top w:w="0" w:type="dxa"/>
            <w:left w:w="108" w:type="dxa"/>
            <w:bottom w:w="0" w:type="dxa"/>
            <w:right w:w="108" w:type="dxa"/>
          </w:tblCellMar>
        </w:tblPrEx>
        <w:tc>
          <w:tcPr>
            <w:tcW w:w="4733" w:type="dxa"/>
            <w:tcBorders>
              <w:tl2br w:val="nil"/>
              <w:tr2bl w:val="nil"/>
            </w:tcBorders>
          </w:tcPr>
          <w:p>
            <w:pPr>
              <w:pStyle w:val="31"/>
              <w:spacing w:line="44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传    真：</w:t>
            </w:r>
          </w:p>
        </w:tc>
        <w:tc>
          <w:tcPr>
            <w:tcW w:w="4855" w:type="dxa"/>
            <w:tcBorders>
              <w:tl2br w:val="nil"/>
              <w:tr2bl w:val="nil"/>
            </w:tcBorders>
          </w:tcPr>
          <w:p>
            <w:pPr>
              <w:pStyle w:val="31"/>
              <w:spacing w:line="440" w:lineRule="exact"/>
              <w:rPr>
                <w:rFonts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传    真：</w:t>
            </w:r>
          </w:p>
        </w:tc>
      </w:tr>
      <w:tr>
        <w:tblPrEx>
          <w:tblCellMar>
            <w:top w:w="0" w:type="dxa"/>
            <w:left w:w="108" w:type="dxa"/>
            <w:bottom w:w="0" w:type="dxa"/>
            <w:right w:w="108" w:type="dxa"/>
          </w:tblCellMar>
        </w:tblPrEx>
        <w:tc>
          <w:tcPr>
            <w:tcW w:w="4733" w:type="dxa"/>
            <w:tcBorders>
              <w:bottom w:val="nil"/>
              <w:tl2br w:val="nil"/>
              <w:tr2bl w:val="nil"/>
            </w:tcBorders>
          </w:tcPr>
          <w:p>
            <w:pPr>
              <w:pStyle w:val="31"/>
              <w:spacing w:line="44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w:t>
            </w:r>
          </w:p>
        </w:tc>
        <w:tc>
          <w:tcPr>
            <w:tcW w:w="4855" w:type="dxa"/>
            <w:tcBorders>
              <w:bottom w:val="nil"/>
              <w:tl2br w:val="nil"/>
              <w:tr2bl w:val="nil"/>
            </w:tcBorders>
          </w:tcPr>
          <w:p>
            <w:pPr>
              <w:spacing w:line="440" w:lineRule="exact"/>
              <w:rPr>
                <w:rFonts w:ascii="仿宋" w:hAnsi="仿宋" w:eastAsia="仿宋" w:cs="仿宋"/>
                <w:color w:val="auto"/>
                <w:kern w:val="0"/>
                <w:sz w:val="24"/>
                <w:szCs w:val="24"/>
                <w:highlight w:val="none"/>
              </w:rPr>
            </w:pPr>
            <w:r>
              <w:rPr>
                <w:rFonts w:hint="eastAsia" w:ascii="仿宋" w:hAnsi="仿宋" w:eastAsia="仿宋" w:cs="仿宋"/>
                <w:color w:val="auto"/>
                <w:kern w:val="0"/>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3" w:type="dxa"/>
            <w:tcBorders>
              <w:top w:val="nil"/>
              <w:left w:val="nil"/>
              <w:bottom w:val="nil"/>
              <w:right w:val="nil"/>
            </w:tcBorders>
          </w:tcPr>
          <w:p>
            <w:pPr>
              <w:pStyle w:val="31"/>
              <w:spacing w:line="44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银行账号：</w:t>
            </w:r>
          </w:p>
        </w:tc>
        <w:tc>
          <w:tcPr>
            <w:tcW w:w="4855" w:type="dxa"/>
            <w:tcBorders>
              <w:top w:val="nil"/>
              <w:left w:val="nil"/>
              <w:bottom w:val="nil"/>
              <w:right w:val="nil"/>
            </w:tcBorders>
          </w:tcPr>
          <w:p>
            <w:pPr>
              <w:spacing w:line="44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银行账号：</w:t>
            </w:r>
          </w:p>
        </w:tc>
      </w:tr>
      <w:tr>
        <w:tblPrEx>
          <w:tblCellMar>
            <w:top w:w="0" w:type="dxa"/>
            <w:left w:w="108" w:type="dxa"/>
            <w:bottom w:w="0" w:type="dxa"/>
            <w:right w:w="108" w:type="dxa"/>
          </w:tblCellMar>
        </w:tblPrEx>
        <w:tc>
          <w:tcPr>
            <w:tcW w:w="4733" w:type="dxa"/>
            <w:tcBorders>
              <w:top w:val="nil"/>
              <w:tl2br w:val="nil"/>
              <w:tr2bl w:val="nil"/>
            </w:tcBorders>
          </w:tcPr>
          <w:p>
            <w:pPr>
              <w:pStyle w:val="31"/>
              <w:spacing w:line="44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邮政编码：</w:t>
            </w:r>
          </w:p>
        </w:tc>
        <w:tc>
          <w:tcPr>
            <w:tcW w:w="4855" w:type="dxa"/>
            <w:tcBorders>
              <w:top w:val="nil"/>
              <w:tl2br w:val="nil"/>
              <w:tr2bl w:val="nil"/>
            </w:tcBorders>
          </w:tcPr>
          <w:p>
            <w:pPr>
              <w:spacing w:line="440" w:lineRule="exact"/>
              <w:rPr>
                <w:rFonts w:ascii="仿宋" w:hAnsi="仿宋" w:eastAsia="仿宋" w:cs="仿宋"/>
                <w:color w:val="auto"/>
                <w:kern w:val="0"/>
                <w:sz w:val="24"/>
                <w:szCs w:val="24"/>
                <w:highlight w:val="none"/>
              </w:rPr>
            </w:pPr>
            <w:r>
              <w:rPr>
                <w:rFonts w:hint="eastAsia" w:ascii="仿宋" w:hAnsi="仿宋" w:eastAsia="仿宋" w:cs="仿宋"/>
                <w:color w:val="auto"/>
                <w:kern w:val="0"/>
                <w:sz w:val="24"/>
                <w:highlight w:val="none"/>
              </w:rPr>
              <w:t>邮政编码：</w:t>
            </w:r>
          </w:p>
        </w:tc>
      </w:tr>
      <w:tr>
        <w:tblPrEx>
          <w:tblCellMar>
            <w:top w:w="0" w:type="dxa"/>
            <w:left w:w="108" w:type="dxa"/>
            <w:bottom w:w="0" w:type="dxa"/>
            <w:right w:w="108" w:type="dxa"/>
          </w:tblCellMar>
        </w:tblPrEx>
        <w:tc>
          <w:tcPr>
            <w:tcW w:w="4733" w:type="dxa"/>
            <w:tcBorders>
              <w:tl2br w:val="nil"/>
              <w:tr2bl w:val="nil"/>
            </w:tcBorders>
          </w:tcPr>
          <w:p>
            <w:pPr>
              <w:pStyle w:val="31"/>
              <w:spacing w:line="44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电子邮箱：</w:t>
            </w:r>
          </w:p>
        </w:tc>
        <w:tc>
          <w:tcPr>
            <w:tcW w:w="4855" w:type="dxa"/>
            <w:tcBorders>
              <w:tl2br w:val="nil"/>
              <w:tr2bl w:val="nil"/>
            </w:tcBorders>
          </w:tcPr>
          <w:p>
            <w:pPr>
              <w:spacing w:line="440" w:lineRule="exact"/>
              <w:rPr>
                <w:rFonts w:ascii="仿宋" w:hAnsi="仿宋" w:eastAsia="仿宋" w:cs="仿宋"/>
                <w:color w:val="auto"/>
                <w:kern w:val="0"/>
                <w:sz w:val="24"/>
                <w:szCs w:val="24"/>
                <w:highlight w:val="none"/>
              </w:rPr>
            </w:pPr>
            <w:r>
              <w:rPr>
                <w:rFonts w:hint="eastAsia" w:ascii="仿宋" w:hAnsi="仿宋" w:eastAsia="仿宋" w:cs="仿宋"/>
                <w:color w:val="auto"/>
                <w:kern w:val="0"/>
                <w:sz w:val="24"/>
                <w:highlight w:val="none"/>
              </w:rPr>
              <w:t>电子邮箱：</w:t>
            </w:r>
          </w:p>
        </w:tc>
      </w:tr>
      <w:tr>
        <w:tblPrEx>
          <w:tblCellMar>
            <w:top w:w="0" w:type="dxa"/>
            <w:left w:w="108" w:type="dxa"/>
            <w:bottom w:w="0" w:type="dxa"/>
            <w:right w:w="108" w:type="dxa"/>
          </w:tblCellMar>
        </w:tblPrEx>
        <w:tc>
          <w:tcPr>
            <w:tcW w:w="4733" w:type="dxa"/>
            <w:tcBorders>
              <w:tl2br w:val="nil"/>
              <w:tr2bl w:val="nil"/>
            </w:tcBorders>
          </w:tcPr>
          <w:p>
            <w:pPr>
              <w:pStyle w:val="31"/>
              <w:spacing w:line="440" w:lineRule="exact"/>
              <w:rPr>
                <w:rFonts w:ascii="仿宋" w:hAnsi="仿宋" w:eastAsia="仿宋" w:cs="仿宋"/>
                <w:color w:val="auto"/>
                <w:kern w:val="0"/>
                <w:sz w:val="24"/>
                <w:highlight w:val="none"/>
              </w:rPr>
            </w:pPr>
          </w:p>
        </w:tc>
        <w:tc>
          <w:tcPr>
            <w:tcW w:w="4855" w:type="dxa"/>
            <w:tcBorders>
              <w:tl2br w:val="nil"/>
              <w:tr2bl w:val="nil"/>
            </w:tcBorders>
          </w:tcPr>
          <w:p>
            <w:pPr>
              <w:pStyle w:val="31"/>
              <w:spacing w:line="440" w:lineRule="exact"/>
              <w:rPr>
                <w:rFonts w:ascii="仿宋" w:hAnsi="仿宋" w:eastAsia="仿宋" w:cs="仿宋"/>
                <w:color w:val="auto"/>
                <w:kern w:val="0"/>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733" w:type="dxa"/>
            <w:tcBorders>
              <w:top w:val="nil"/>
              <w:left w:val="nil"/>
              <w:bottom w:val="nil"/>
              <w:right w:val="nil"/>
            </w:tcBorders>
          </w:tcPr>
          <w:p>
            <w:pPr>
              <w:pStyle w:val="31"/>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合同订立时间：2023  年   月    日</w:t>
            </w:r>
          </w:p>
        </w:tc>
        <w:tc>
          <w:tcPr>
            <w:tcW w:w="4855" w:type="dxa"/>
            <w:tcBorders>
              <w:top w:val="nil"/>
              <w:left w:val="nil"/>
              <w:bottom w:val="nil"/>
              <w:right w:val="nil"/>
            </w:tcBorders>
          </w:tcPr>
          <w:p>
            <w:pPr>
              <w:pStyle w:val="31"/>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合同订立时间：2023  年   月    日</w:t>
            </w:r>
          </w:p>
        </w:tc>
      </w:tr>
    </w:tbl>
    <w:p>
      <w:pPr>
        <w:tabs>
          <w:tab w:val="left" w:pos="525"/>
          <w:tab w:val="left" w:pos="1155"/>
        </w:tabs>
        <w:spacing w:line="360" w:lineRule="auto"/>
        <w:rPr>
          <w:rFonts w:ascii="仿宋" w:hAnsi="仿宋" w:eastAsia="仿宋" w:cs="仿宋"/>
          <w:color w:val="auto"/>
          <w:sz w:val="24"/>
          <w:szCs w:val="24"/>
          <w:highlight w:val="none"/>
        </w:rPr>
      </w:pPr>
    </w:p>
    <w:p>
      <w:pP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br w:type="page"/>
      </w:r>
    </w:p>
    <w:p>
      <w:pPr>
        <w:pStyle w:val="3"/>
        <w:ind w:firstLine="3253" w:firstLineChars="900"/>
        <w:jc w:val="both"/>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第二部分  通用条款</w:t>
      </w:r>
      <w:bookmarkEnd w:id="33"/>
    </w:p>
    <w:p>
      <w:pPr>
        <w:rPr>
          <w:rFonts w:ascii="仿宋" w:hAnsi="仿宋" w:eastAsia="仿宋" w:cs="仿宋"/>
          <w:color w:val="auto"/>
          <w:highlight w:val="none"/>
        </w:rPr>
      </w:pPr>
    </w:p>
    <w:p>
      <w:pPr>
        <w:pStyle w:val="5"/>
        <w:numPr>
          <w:ilvl w:val="0"/>
          <w:numId w:val="0"/>
        </w:numPr>
        <w:spacing w:line="360" w:lineRule="auto"/>
        <w:ind w:firstLine="482" w:firstLineChars="200"/>
        <w:rPr>
          <w:rFonts w:ascii="仿宋" w:hAnsi="仿宋" w:eastAsia="仿宋" w:cs="仿宋"/>
          <w:color w:val="auto"/>
          <w:sz w:val="24"/>
          <w:szCs w:val="24"/>
          <w:highlight w:val="none"/>
        </w:rPr>
      </w:pPr>
      <w:bookmarkStart w:id="34" w:name="_Toc2125"/>
      <w:r>
        <w:rPr>
          <w:rFonts w:hint="eastAsia" w:ascii="仿宋" w:hAnsi="仿宋" w:eastAsia="仿宋" w:cs="仿宋"/>
          <w:color w:val="auto"/>
          <w:sz w:val="24"/>
          <w:szCs w:val="24"/>
          <w:highlight w:val="none"/>
        </w:rPr>
        <w:t>1. 词语定义、语言、解释顺序与适用法律</w:t>
      </w:r>
    </w:p>
    <w:p>
      <w:pPr>
        <w:pStyle w:val="5"/>
        <w:numPr>
          <w:ilvl w:val="0"/>
          <w:numId w:val="0"/>
        </w:numPr>
        <w:spacing w:line="360" w:lineRule="auto"/>
        <w:ind w:firstLine="482" w:firstLineChars="200"/>
        <w:rPr>
          <w:rFonts w:ascii="仿宋" w:hAnsi="仿宋" w:eastAsia="仿宋" w:cs="仿宋"/>
          <w:color w:val="auto"/>
          <w:sz w:val="24"/>
          <w:szCs w:val="24"/>
          <w:highlight w:val="none"/>
        </w:rPr>
      </w:pPr>
      <w:bookmarkStart w:id="35" w:name="_Toc8184"/>
      <w:r>
        <w:rPr>
          <w:rFonts w:hint="eastAsia" w:ascii="仿宋" w:hAnsi="仿宋" w:eastAsia="仿宋" w:cs="仿宋"/>
          <w:color w:val="auto"/>
          <w:sz w:val="24"/>
          <w:szCs w:val="24"/>
          <w:highlight w:val="none"/>
        </w:rPr>
        <w:t>1.1词语定义</w:t>
      </w:r>
      <w:bookmarkEnd w:id="35"/>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组成本合同的全部文件中的下列名词和用语应具有本款所赋予的含义：</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1.1.1“工程”是指按照本合同约定实施造价咨询与其他服务的建设工程。    </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1.1.2“工程造价”是指工程项目建设过程中预计或实际支出的全部费用。</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1.1.3“委托人”是指本合同中委托造价咨询与其他服务的一方，及其合法的继承人或受让人。</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1.1.4“咨询人”是指本合同中提供造价咨询与其他服务的一方，及其合法的继承人。</w:t>
      </w:r>
    </w:p>
    <w:p>
      <w:pPr>
        <w:pStyle w:val="27"/>
        <w:spacing w:line="360" w:lineRule="auto"/>
        <w:ind w:firstLine="480" w:firstLineChars="200"/>
        <w:jc w:val="left"/>
        <w:rPr>
          <w:rFonts w:ascii="仿宋" w:hAnsi="仿宋" w:eastAsia="仿宋" w:cs="仿宋"/>
          <w:color w:val="auto"/>
          <w:sz w:val="24"/>
          <w:szCs w:val="24"/>
          <w:highlight w:val="none"/>
        </w:rPr>
      </w:pP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1.1.5“第三人”是指除委托人、咨询人以外与本咨询业务有关的当事人。</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1.1.6“正常工作”是指本合同订立时通用条款和专用条款中约定的咨询人的工作。</w:t>
      </w:r>
    </w:p>
    <w:p>
      <w:pPr>
        <w:pStyle w:val="27"/>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1.1.7“附加工作”是指咨询人根据合同条件完成的正常工作以外的工作。包括合同期限延长、增加服务内容、增加服务范围、提高成果质量标准、要求赶工、非咨询人原因引起的重复或反复工作均为附加工作。</w:t>
      </w:r>
    </w:p>
    <w:p>
      <w:pPr>
        <w:pStyle w:val="27"/>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1.1.8“项目咨询团队”是指咨询人指派负责履行本合同的团队，其团队成员为本合同的项目咨询人员。</w:t>
      </w:r>
    </w:p>
    <w:p>
      <w:pPr>
        <w:pStyle w:val="27"/>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1.1.9“项目负责人”是指由咨询人的法定代表人书面授权，在授权范围内负责履行本合同、主持项目咨询团队工作的负责人。</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1.1.10“委托人代表”是指由委托人的法定代表人书面授权，在授权范围内行使委托人权利的人。</w:t>
      </w:r>
    </w:p>
    <w:p>
      <w:pPr>
        <w:pStyle w:val="27"/>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★1.1.11“酬金”是指咨询人履行本合同义务，委托人按照本合同约定给付咨询人的金额。包括正常工作酬金、附加工作酬金和合理化建议奖励金额及费用。</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1.1.12“正常工作酬金”是指在协议书中载明的，咨询人完成正常工作，委托人应给付咨询人的酬金。</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★1.1.13“附加工作酬金”是指咨询人完成附加工作，委托人应给付咨询人的酬金。</w:t>
      </w:r>
    </w:p>
    <w:p>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1.1.14“书面形式”是指合同书、信件和数据电文（包括电报、电传、传真、电子数据交换和电子邮件）等可以有形地表现所载内容的形式。</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1.1.15“不可抗力”是指委托人和咨询人在订立本合同时不可预见，在合同履行过程中不可避免并不能克服的自然灾害和社会性突发事件，如地震、海啸、瘟疫、水灾、骚乱、暴动、战争等。</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1.1.16“合理化建议奖励金额及费用”是指咨询人对咨询项目提出合理化建议或优化建议被采纳且为项目节约了投资的，委托人应付给咨询人一定比例的费用奖励。</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1.1.17“小时或天”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pPr>
        <w:pStyle w:val="14"/>
        <w:spacing w:before="60" w:line="360" w:lineRule="auto"/>
        <w:ind w:firstLine="482" w:firstLineChars="200"/>
        <w:jc w:val="left"/>
        <w:rPr>
          <w:rFonts w:ascii="仿宋" w:hAnsi="仿宋" w:eastAsia="仿宋" w:cs="仿宋"/>
          <w:b w:val="0"/>
          <w:color w:val="auto"/>
          <w:sz w:val="24"/>
          <w:szCs w:val="24"/>
          <w:highlight w:val="none"/>
        </w:rPr>
      </w:pPr>
      <w:bookmarkStart w:id="36" w:name="_Toc24586"/>
      <w:bookmarkStart w:id="37" w:name="_Toc419045069"/>
      <w:bookmarkStart w:id="38" w:name="_Toc11141"/>
      <w:bookmarkStart w:id="39" w:name="_Toc475975130"/>
      <w:r>
        <w:rPr>
          <w:rFonts w:hint="eastAsia" w:ascii="仿宋" w:hAnsi="仿宋" w:eastAsia="仿宋" w:cs="仿宋"/>
          <w:color w:val="auto"/>
          <w:kern w:val="0"/>
          <w:sz w:val="24"/>
          <w:szCs w:val="24"/>
          <w:highlight w:val="none"/>
        </w:rPr>
        <w:t>1.2语言</w:t>
      </w:r>
      <w:bookmarkEnd w:id="36"/>
      <w:bookmarkEnd w:id="37"/>
      <w:bookmarkEnd w:id="38"/>
      <w:bookmarkEnd w:id="39"/>
    </w:p>
    <w:p>
      <w:pPr>
        <w:pStyle w:val="27"/>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本合同使用中文书写、解释和说明。如专用条款约定使用两种及以上语言文字时，应以中文为准。</w:t>
      </w:r>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40" w:name="_Toc8036"/>
      <w:bookmarkStart w:id="41" w:name="_Toc20326"/>
      <w:bookmarkStart w:id="42" w:name="_Toc462045895"/>
      <w:bookmarkStart w:id="43" w:name="_Toc475975131"/>
      <w:r>
        <w:rPr>
          <w:rFonts w:hint="eastAsia" w:ascii="仿宋" w:hAnsi="仿宋" w:eastAsia="仿宋" w:cs="仿宋"/>
          <w:color w:val="auto"/>
          <w:kern w:val="0"/>
          <w:sz w:val="24"/>
          <w:szCs w:val="24"/>
          <w:highlight w:val="none"/>
        </w:rPr>
        <w:t>1.3合同文件的组成及解释顺序</w:t>
      </w:r>
      <w:bookmarkEnd w:id="40"/>
      <w:bookmarkEnd w:id="41"/>
      <w:bookmarkEnd w:id="42"/>
      <w:bookmarkEnd w:id="43"/>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组成本合同的下列文件彼此应能相互解释、互为说明。除专用条款另有约定外，本合同文件的解释顺序如下：</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1.履行本合同的相关补充协议（含工程洽商记录、会议纪要、工程变更、现场签证、索赔和合同价款调整报告等修正文件）；</w:t>
      </w:r>
    </w:p>
    <w:p>
      <w:pPr>
        <w:tabs>
          <w:tab w:val="left" w:pos="6140"/>
        </w:tabs>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2.协议书；</w:t>
      </w:r>
    </w:p>
    <w:p>
      <w:pPr>
        <w:tabs>
          <w:tab w:val="left" w:pos="6140"/>
        </w:tabs>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3.中标通知书（适用于招标工程）或委托书（适用于非招标工程）；</w:t>
      </w:r>
    </w:p>
    <w:p>
      <w:pPr>
        <w:tabs>
          <w:tab w:val="left" w:pos="6140"/>
        </w:tabs>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4.专用条款及附件；</w:t>
      </w:r>
    </w:p>
    <w:p>
      <w:pPr>
        <w:tabs>
          <w:tab w:val="left" w:pos="6140"/>
        </w:tabs>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5.通用条款；</w:t>
      </w:r>
    </w:p>
    <w:p>
      <w:pPr>
        <w:tabs>
          <w:tab w:val="left" w:pos="6140"/>
        </w:tabs>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6.投标函及投标函附录（适用于招标工程）或造价咨询服务建议书（适用于非招标工程）；</w:t>
      </w:r>
    </w:p>
    <w:p>
      <w:pPr>
        <w:tabs>
          <w:tab w:val="left" w:pos="6140"/>
        </w:tabs>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7.专用条款约定的其他文件。</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上述各项合同文件包括合同当事人就该项合同文件所作出的补充和修改，属于同一类内容的文件，应以最新签署的为准。</w:t>
      </w:r>
    </w:p>
    <w:p>
      <w:pPr>
        <w:spacing w:line="360" w:lineRule="auto"/>
        <w:ind w:firstLine="468"/>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在合同订立及履行过程中形成的与合同有关的文件均构成合同文件的组成部分。</w:t>
      </w:r>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44" w:name="_Toc5540"/>
      <w:bookmarkStart w:id="45" w:name="_Toc419045071"/>
      <w:bookmarkStart w:id="46" w:name="_Toc29834"/>
      <w:bookmarkStart w:id="47" w:name="_Toc475975132"/>
      <w:r>
        <w:rPr>
          <w:rFonts w:hint="eastAsia" w:ascii="仿宋" w:hAnsi="仿宋" w:eastAsia="仿宋" w:cs="仿宋"/>
          <w:color w:val="auto"/>
          <w:kern w:val="0"/>
          <w:sz w:val="24"/>
          <w:szCs w:val="24"/>
          <w:highlight w:val="none"/>
        </w:rPr>
        <w:t>1.4适用法律</w:t>
      </w:r>
      <w:bookmarkEnd w:id="44"/>
      <w:bookmarkEnd w:id="45"/>
      <w:bookmarkEnd w:id="46"/>
      <w:bookmarkEnd w:id="47"/>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本合同适用中华人民共和国法律、行政法规、部门规章以及工程所在地的地方性法规、单行条例、地方政府规章和行政规范性文件。</w:t>
      </w:r>
    </w:p>
    <w:p>
      <w:pPr>
        <w:spacing w:line="360" w:lineRule="auto"/>
        <w:ind w:firstLine="480" w:firstLineChars="200"/>
        <w:rPr>
          <w:rStyle w:val="29"/>
          <w:rFonts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合同当事人可以在专用条款中约定本合同适用的其他规范、规程、定额、技术标准等规范性文件。</w:t>
      </w:r>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48" w:name="_Toc15614"/>
      <w:bookmarkStart w:id="49" w:name="_Toc475975133"/>
      <w:r>
        <w:rPr>
          <w:rFonts w:hint="eastAsia" w:ascii="仿宋" w:hAnsi="仿宋" w:eastAsia="仿宋" w:cs="仿宋"/>
          <w:color w:val="auto"/>
          <w:kern w:val="0"/>
          <w:sz w:val="24"/>
          <w:szCs w:val="24"/>
          <w:highlight w:val="none"/>
        </w:rPr>
        <w:t>2.委托人的义务</w:t>
      </w:r>
      <w:bookmarkEnd w:id="48"/>
      <w:bookmarkEnd w:id="49"/>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50" w:name="_Toc419045072"/>
      <w:bookmarkStart w:id="51" w:name="_Toc475975134"/>
      <w:bookmarkStart w:id="52" w:name="_Toc27021"/>
      <w:r>
        <w:rPr>
          <w:rFonts w:hint="eastAsia" w:ascii="仿宋" w:hAnsi="仿宋" w:eastAsia="仿宋" w:cs="仿宋"/>
          <w:color w:val="auto"/>
          <w:kern w:val="0"/>
          <w:sz w:val="24"/>
          <w:szCs w:val="24"/>
          <w:highlight w:val="none"/>
        </w:rPr>
        <w:t>★2.1提供资料</w:t>
      </w:r>
      <w:bookmarkEnd w:id="50"/>
      <w:bookmarkEnd w:id="51"/>
      <w:bookmarkEnd w:id="52"/>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应当在专用条款约定的时间内，参照附录C的约定无偿向咨询人提供与本合同咨询业务有关的资料。在本合同履行过程中，委托人应及时向咨询人提供最新的与本合同咨询业务有关的资料。委托人应对所提供资料的真实性、准确性、合法性与完整性负责。</w:t>
      </w:r>
    </w:p>
    <w:p>
      <w:pPr>
        <w:pStyle w:val="14"/>
        <w:spacing w:before="60" w:line="360" w:lineRule="auto"/>
        <w:ind w:firstLine="480" w:firstLineChars="200"/>
        <w:jc w:val="left"/>
        <w:rPr>
          <w:rFonts w:ascii="仿宋" w:hAnsi="仿宋" w:eastAsia="仿宋" w:cs="仿宋"/>
          <w:b w:val="0"/>
          <w:color w:val="auto"/>
          <w:sz w:val="24"/>
          <w:szCs w:val="24"/>
          <w:highlight w:val="none"/>
        </w:rPr>
      </w:pPr>
      <w:bookmarkStart w:id="53" w:name="_Toc31031"/>
      <w:bookmarkStart w:id="54" w:name="_Toc475975135"/>
      <w:bookmarkStart w:id="55" w:name="_Toc419045073"/>
      <w:r>
        <w:rPr>
          <w:rFonts w:hint="eastAsia" w:ascii="仿宋" w:hAnsi="仿宋" w:eastAsia="仿宋" w:cs="仿宋"/>
          <w:b w:val="0"/>
          <w:color w:val="auto"/>
          <w:kern w:val="0"/>
          <w:sz w:val="24"/>
          <w:szCs w:val="24"/>
          <w:highlight w:val="none"/>
        </w:rPr>
        <w:t>★</w:t>
      </w:r>
      <w:r>
        <w:rPr>
          <w:rFonts w:hint="eastAsia" w:ascii="仿宋" w:hAnsi="仿宋" w:eastAsia="仿宋" w:cs="仿宋"/>
          <w:color w:val="auto"/>
          <w:kern w:val="0"/>
          <w:sz w:val="24"/>
          <w:szCs w:val="24"/>
          <w:highlight w:val="none"/>
        </w:rPr>
        <w:t>2.2提供工作条件</w:t>
      </w:r>
      <w:bookmarkEnd w:id="53"/>
      <w:bookmarkEnd w:id="54"/>
      <w:bookmarkEnd w:id="55"/>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委托人应为咨询人完成造价咨询提供必要的条件。</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2.2.1委托人需要咨询人派驻项目现场咨询人员的，除专用条款另有约定外，项目咨询人员有权无偿使用附录D中由委托人提供的房屋及设备。</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2.2.2委托人应负责与本工程造价咨询业务有关的所有外部关系的协调，为咨询人履行本合同提供必要的外部条件。</w:t>
      </w:r>
    </w:p>
    <w:p>
      <w:pPr>
        <w:pStyle w:val="14"/>
        <w:spacing w:before="60" w:line="360" w:lineRule="auto"/>
        <w:ind w:firstLine="482" w:firstLineChars="200"/>
        <w:jc w:val="left"/>
        <w:rPr>
          <w:rFonts w:ascii="仿宋" w:hAnsi="仿宋" w:eastAsia="仿宋" w:cs="仿宋"/>
          <w:b w:val="0"/>
          <w:color w:val="auto"/>
          <w:sz w:val="24"/>
          <w:szCs w:val="24"/>
          <w:highlight w:val="none"/>
        </w:rPr>
      </w:pPr>
      <w:bookmarkStart w:id="56" w:name="_Toc475975136"/>
      <w:bookmarkStart w:id="57" w:name="_Toc419045074"/>
      <w:bookmarkStart w:id="58" w:name="_Toc21157"/>
      <w:r>
        <w:rPr>
          <w:rFonts w:hint="eastAsia" w:ascii="仿宋" w:hAnsi="仿宋" w:eastAsia="仿宋" w:cs="仿宋"/>
          <w:color w:val="auto"/>
          <w:kern w:val="0"/>
          <w:sz w:val="24"/>
          <w:szCs w:val="24"/>
          <w:highlight w:val="none"/>
        </w:rPr>
        <w:t>2.3合理工作时限</w:t>
      </w:r>
      <w:bookmarkEnd w:id="56"/>
      <w:bookmarkEnd w:id="57"/>
      <w:bookmarkEnd w:id="58"/>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委托人应当为咨询人完成其咨询工作，设定合理的工作时限。</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合理工作时限参考中国建设工程造价管理协会发布的 “建设工程造价咨询工期标准”（CECA/GC 10-2014）确定。工作时限从委托人按2.1条规定提供完整的资料后开始计算。</w:t>
      </w:r>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59" w:name="_Toc5069"/>
      <w:bookmarkStart w:id="60" w:name="_Toc475975137"/>
      <w:bookmarkStart w:id="61" w:name="_Toc419045075"/>
      <w:r>
        <w:rPr>
          <w:rFonts w:hint="eastAsia" w:ascii="仿宋" w:hAnsi="仿宋" w:eastAsia="仿宋" w:cs="仿宋"/>
          <w:color w:val="auto"/>
          <w:kern w:val="0"/>
          <w:sz w:val="24"/>
          <w:szCs w:val="24"/>
          <w:highlight w:val="none"/>
        </w:rPr>
        <w:t>2.4委托人代表</w:t>
      </w:r>
      <w:bookmarkEnd w:id="59"/>
      <w:bookmarkEnd w:id="60"/>
      <w:bookmarkEnd w:id="61"/>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委托人应授权一名代表负责本合同的履行。委托人应在双方签订本合同7天内，将委托人代表的姓名和权限范围书面告知咨询人。委托人更换委托人代表时，应提前7天书面通知咨询人。</w:t>
      </w:r>
    </w:p>
    <w:p>
      <w:pPr>
        <w:pStyle w:val="14"/>
        <w:spacing w:before="60" w:line="360" w:lineRule="auto"/>
        <w:ind w:firstLine="482" w:firstLineChars="200"/>
        <w:jc w:val="left"/>
        <w:rPr>
          <w:rFonts w:ascii="仿宋" w:hAnsi="仿宋" w:eastAsia="仿宋" w:cs="仿宋"/>
          <w:b w:val="0"/>
          <w:color w:val="auto"/>
          <w:sz w:val="24"/>
          <w:szCs w:val="24"/>
          <w:highlight w:val="none"/>
        </w:rPr>
      </w:pPr>
      <w:bookmarkStart w:id="62" w:name="_Toc475975138"/>
      <w:bookmarkStart w:id="63" w:name="_Toc29677"/>
      <w:bookmarkStart w:id="64" w:name="_Toc419045076"/>
      <w:r>
        <w:rPr>
          <w:rFonts w:hint="eastAsia" w:ascii="仿宋" w:hAnsi="仿宋" w:eastAsia="仿宋" w:cs="仿宋"/>
          <w:color w:val="auto"/>
          <w:kern w:val="0"/>
          <w:sz w:val="24"/>
          <w:szCs w:val="24"/>
          <w:highlight w:val="none"/>
        </w:rPr>
        <w:t>2.5答复</w:t>
      </w:r>
      <w:bookmarkEnd w:id="62"/>
      <w:bookmarkEnd w:id="63"/>
      <w:bookmarkEnd w:id="64"/>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委托人应当在专用条款约定的时间内就咨询人以书面形式提交并要求做出答复的事宜给予书面答复。</w:t>
      </w:r>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65" w:name="_Toc1267"/>
      <w:bookmarkStart w:id="66" w:name="_Toc475975139"/>
      <w:bookmarkStart w:id="67" w:name="_Toc419045077"/>
      <w:r>
        <w:rPr>
          <w:rFonts w:hint="eastAsia" w:ascii="仿宋" w:hAnsi="仿宋" w:eastAsia="仿宋" w:cs="仿宋"/>
          <w:color w:val="auto"/>
          <w:kern w:val="0"/>
          <w:sz w:val="24"/>
          <w:szCs w:val="24"/>
          <w:highlight w:val="none"/>
        </w:rPr>
        <w:t>2.6支付</w:t>
      </w:r>
      <w:bookmarkEnd w:id="65"/>
      <w:bookmarkEnd w:id="66"/>
      <w:bookmarkEnd w:id="67"/>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委托人应当按照合同的约定，向咨询人支付酬金。</w:t>
      </w:r>
      <w:bookmarkStart w:id="68" w:name="_Toc419045078"/>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69" w:name="_Toc475975140"/>
      <w:bookmarkStart w:id="70" w:name="_Toc10533"/>
      <w:r>
        <w:rPr>
          <w:rFonts w:hint="eastAsia" w:ascii="仿宋" w:hAnsi="仿宋" w:eastAsia="仿宋" w:cs="仿宋"/>
          <w:color w:val="auto"/>
          <w:kern w:val="0"/>
          <w:sz w:val="24"/>
          <w:szCs w:val="24"/>
          <w:highlight w:val="none"/>
        </w:rPr>
        <w:t>3.咨询人的义务</w:t>
      </w:r>
      <w:bookmarkEnd w:id="68"/>
      <w:bookmarkEnd w:id="69"/>
      <w:bookmarkEnd w:id="70"/>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71" w:name="16"/>
      <w:bookmarkEnd w:id="71"/>
      <w:bookmarkStart w:id="72" w:name="_Toc13427"/>
      <w:bookmarkStart w:id="73" w:name="_Toc475975141"/>
      <w:bookmarkStart w:id="74" w:name="_Toc419045080"/>
      <w:r>
        <w:rPr>
          <w:rFonts w:hint="eastAsia" w:ascii="仿宋" w:hAnsi="仿宋" w:eastAsia="仿宋" w:cs="仿宋"/>
          <w:color w:val="auto"/>
          <w:kern w:val="0"/>
          <w:sz w:val="24"/>
          <w:szCs w:val="24"/>
          <w:highlight w:val="none"/>
        </w:rPr>
        <w:t>3.1 项目咨询团队及人员</w:t>
      </w:r>
      <w:bookmarkEnd w:id="72"/>
      <w:bookmarkEnd w:id="73"/>
      <w:bookmarkEnd w:id="74"/>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3.1.1项目咨询团队的主要人员应具有专用条款约定的资格条件，团队人员的数量应符合专用条款的约定。</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3.1.2项目负责人</w:t>
      </w:r>
    </w:p>
    <w:p>
      <w:pPr>
        <w:pStyle w:val="27"/>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咨询人应以书面形式授权一名项目负责人负责履行本合同、主持项目咨询团队工作。采用招标程序签署本合同的，项目负责人应当与投标文件载明的一致。</w:t>
      </w:r>
    </w:p>
    <w:p>
      <w:pPr>
        <w:pStyle w:val="27"/>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3.1.3在本合同履行过程中，咨询人员应保持相对稳定，以保证咨询工作正常进行。</w:t>
      </w:r>
    </w:p>
    <w:p>
      <w:pPr>
        <w:pStyle w:val="27"/>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咨询人可根据工程进展和工作需要等情形调整项目咨询团队人员。咨询人更换项目负责人时，应提前7天向委托人书面报告，经委托人同意后方可更换。除专用条款另有约定外，咨询人更换项目咨询团队其他咨询人员，应提前3天向委托人书面报告，经委托人同意后以相当资格与能力的人员替换。</w:t>
      </w:r>
    </w:p>
    <w:p>
      <w:pPr>
        <w:pStyle w:val="27"/>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3.1.4咨询人员有下列情形之一，委托人要求咨询人更换的，咨询人应当按照委托人要求立即更换：</w:t>
      </w:r>
    </w:p>
    <w:p>
      <w:pPr>
        <w:pStyle w:val="27"/>
        <w:spacing w:line="360" w:lineRule="auto"/>
        <w:ind w:firstLine="336"/>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（1）存在严重过失行为的；</w:t>
      </w:r>
    </w:p>
    <w:p>
      <w:pPr>
        <w:pStyle w:val="27"/>
        <w:spacing w:line="360" w:lineRule="auto"/>
        <w:ind w:firstLine="336"/>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（2）存在违法行为不能履行职责的；</w:t>
      </w:r>
    </w:p>
    <w:p>
      <w:pPr>
        <w:pStyle w:val="27"/>
        <w:spacing w:line="360" w:lineRule="auto"/>
        <w:ind w:firstLine="336"/>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（3）涉嫌犯罪的；</w:t>
      </w:r>
    </w:p>
    <w:p>
      <w:pPr>
        <w:pStyle w:val="27"/>
        <w:spacing w:line="360" w:lineRule="auto"/>
        <w:ind w:firstLine="336"/>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（4）不能胜任岗位职责的；</w:t>
      </w:r>
    </w:p>
    <w:p>
      <w:pPr>
        <w:pStyle w:val="27"/>
        <w:spacing w:line="360" w:lineRule="auto"/>
        <w:ind w:firstLine="336"/>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（5）严重违反职业道德的；</w:t>
      </w:r>
    </w:p>
    <w:p>
      <w:pPr>
        <w:pStyle w:val="27"/>
        <w:spacing w:line="360" w:lineRule="auto"/>
        <w:ind w:firstLine="336"/>
        <w:jc w:val="left"/>
        <w:rPr>
          <w:rStyle w:val="30"/>
          <w:rFonts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（6）专用条款约定的其他情形。</w:t>
      </w:r>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75" w:name="_Toc475975142"/>
      <w:bookmarkStart w:id="76" w:name="_Toc29130"/>
      <w:r>
        <w:rPr>
          <w:rFonts w:hint="eastAsia" w:ascii="仿宋" w:hAnsi="仿宋" w:eastAsia="仿宋" w:cs="仿宋"/>
          <w:color w:val="auto"/>
          <w:kern w:val="0"/>
          <w:sz w:val="24"/>
          <w:szCs w:val="24"/>
          <w:highlight w:val="none"/>
        </w:rPr>
        <w:t>3.2 咨询人的工作要求</w:t>
      </w:r>
      <w:bookmarkEnd w:id="75"/>
      <w:bookmarkEnd w:id="76"/>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3.2.1咨询人应当按照专用条款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3.2.2咨询人应当在专用条款约定的时间内，按照专用条款约定的份数、组成向委托人提交咨询成果文件。</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咨询人提供造价咨询服务以及出具工程造价咨询成果文件应符合国家、省、市相关标准。具体的执行标准、委托人要求的工程造价咨询成果文件质量标准高于以上标准的，可在专用条款中约定。</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3.2.3咨询人提交的工程造价咨询成果文件，除加盖咨询人单位公章外，还必须按要求加盖参加咨询工作人员的执业（从业）资格印章。</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3.2.4咨询人应在专用条款约定的时间内，对委托人以书面形式提出的建议或者异议给予书面答复。</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3.2.5咨询人从事工程造价咨询活动，应当遵循独立、客观、公正、诚实信用的原则，不得损害社会公共利益和他人的合法权益。</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3.2.6咨询人承诺按照法律规定及合同约定，完成合同范围内的建设工程造价咨询服务，不得分包、转包承接的造价咨询服务业务。</w:t>
      </w:r>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77" w:name="_Toc1841"/>
      <w:bookmarkStart w:id="78" w:name="_Toc475975143"/>
      <w:bookmarkStart w:id="79" w:name="_Toc419045081"/>
      <w:r>
        <w:rPr>
          <w:rFonts w:hint="eastAsia" w:ascii="仿宋" w:hAnsi="仿宋" w:eastAsia="仿宋" w:cs="仿宋"/>
          <w:color w:val="auto"/>
          <w:kern w:val="0"/>
          <w:sz w:val="24"/>
          <w:szCs w:val="24"/>
          <w:highlight w:val="none"/>
        </w:rPr>
        <w:t>3.3咨询人的工作依据</w:t>
      </w:r>
      <w:bookmarkEnd w:id="77"/>
      <w:bookmarkEnd w:id="78"/>
      <w:bookmarkEnd w:id="79"/>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咨询人应在专用条款内与委托人协商明确履行本合同约定的咨询服务需要适用的技术标准、规范、定额等工作依据，但不得违反国家及工程所在地的强制性标准、规范。</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咨询人应自行配备本条所述的技术标准、规范、定额等相关资料。必须由委托人提供的资料，应在附录C中载明。需要委托人协助才能获得的资料，委托人应予以协助。</w:t>
      </w:r>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80" w:name="_Toc475975144"/>
      <w:bookmarkStart w:id="81" w:name="_Toc23846"/>
      <w:bookmarkStart w:id="82" w:name="_Toc419045082"/>
      <w:r>
        <w:rPr>
          <w:rFonts w:hint="eastAsia" w:ascii="仿宋" w:hAnsi="仿宋" w:eastAsia="仿宋" w:cs="仿宋"/>
          <w:color w:val="auto"/>
          <w:kern w:val="0"/>
          <w:sz w:val="24"/>
          <w:szCs w:val="24"/>
          <w:highlight w:val="none"/>
        </w:rPr>
        <w:t>3.4使用委托人房屋及设备的返还</w:t>
      </w:r>
      <w:bookmarkEnd w:id="80"/>
      <w:bookmarkEnd w:id="81"/>
      <w:bookmarkEnd w:id="82"/>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项目咨询人员使用委托人提供的房屋及设备的，咨询人应妥善使用和保管，在本合同终止时将上述房屋及设备按专用条款约定的时间和方式返还委托人。</w:t>
      </w:r>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83" w:name="19"/>
      <w:bookmarkEnd w:id="83"/>
      <w:bookmarkStart w:id="84" w:name="_Toc419045083"/>
      <w:bookmarkStart w:id="85" w:name="_Toc23930"/>
      <w:bookmarkStart w:id="86" w:name="_Toc475975145"/>
      <w:r>
        <w:rPr>
          <w:rFonts w:hint="eastAsia" w:ascii="仿宋" w:hAnsi="仿宋" w:eastAsia="仿宋" w:cs="仿宋"/>
          <w:color w:val="auto"/>
          <w:kern w:val="0"/>
          <w:sz w:val="24"/>
          <w:szCs w:val="24"/>
          <w:highlight w:val="none"/>
        </w:rPr>
        <w:t>4.违约责任</w:t>
      </w:r>
      <w:bookmarkEnd w:id="84"/>
      <w:bookmarkEnd w:id="85"/>
      <w:bookmarkEnd w:id="86"/>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87" w:name="_Toc18386"/>
      <w:bookmarkStart w:id="88" w:name="_Toc475975146"/>
      <w:r>
        <w:rPr>
          <w:rFonts w:hint="eastAsia" w:ascii="仿宋" w:hAnsi="仿宋" w:eastAsia="仿宋" w:cs="仿宋"/>
          <w:color w:val="auto"/>
          <w:kern w:val="0"/>
          <w:sz w:val="24"/>
          <w:szCs w:val="24"/>
          <w:highlight w:val="none"/>
        </w:rPr>
        <w:t>★4.1委托人的违约责任</w:t>
      </w:r>
      <w:bookmarkEnd w:id="87"/>
      <w:bookmarkEnd w:id="88"/>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4.1.1委托人不履行本合同义务或者履行义务不符合本合同约定的，应承担违约责任。双方应在专用条款中约定违约金的计算及支付方法。</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4.1.2委托人违反本合同约定造成咨询人损失的，委托人应当赔偿。双方可在专用条款中约定赔偿金额的确定及支付方法。</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4.1.3如果委托人在规定的支付期限内未支付建设工程造价咨询酬金，委托人应支付违约金。</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4.1.4因委托人原因导致合同解除，委托人应根据咨询人实际完成的工作量支付酬金。</w:t>
      </w:r>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89" w:name="_Toc12540"/>
      <w:bookmarkStart w:id="90" w:name="_Toc419045084"/>
      <w:bookmarkStart w:id="91" w:name="_Toc475975147"/>
      <w:r>
        <w:rPr>
          <w:rFonts w:hint="eastAsia" w:ascii="仿宋" w:hAnsi="仿宋" w:eastAsia="仿宋" w:cs="仿宋"/>
          <w:color w:val="auto"/>
          <w:kern w:val="0"/>
          <w:sz w:val="24"/>
          <w:szCs w:val="24"/>
          <w:highlight w:val="none"/>
        </w:rPr>
        <w:t>★4.2咨询人的违约责任</w:t>
      </w:r>
      <w:bookmarkEnd w:id="89"/>
      <w:bookmarkEnd w:id="90"/>
      <w:bookmarkEnd w:id="91"/>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4.2.1咨询人不履行本合同义务或者履行义务不符合本合同约定的，应承担违约责任。双方可在专用条款中约定违约金的计算及支付方法。</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4.2.2因咨询人违反本合同约定给委托人造成损失的，咨询人应当赔偿。双方可在专用条款中约定赔偿金额的确定及支付方法。</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4.2.3如果咨询人不能按期提交成果文件的，咨询人应支付违约金。</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4.2.4因咨询人原因导致合同解除，咨询人应支付违约金。</w:t>
      </w:r>
      <w:bookmarkStart w:id="92" w:name="_Toc419045086"/>
      <w:bookmarkStart w:id="93" w:name="_Toc475975148"/>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94" w:name="_Toc32345"/>
      <w:r>
        <w:rPr>
          <w:rFonts w:hint="eastAsia" w:ascii="仿宋" w:hAnsi="仿宋" w:eastAsia="仿宋" w:cs="仿宋"/>
          <w:color w:val="auto"/>
          <w:kern w:val="0"/>
          <w:sz w:val="24"/>
          <w:szCs w:val="24"/>
          <w:highlight w:val="none"/>
        </w:rPr>
        <w:t>5.支付</w:t>
      </w:r>
      <w:bookmarkEnd w:id="92"/>
      <w:bookmarkEnd w:id="93"/>
      <w:bookmarkEnd w:id="94"/>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95" w:name="_Toc475975149"/>
      <w:bookmarkStart w:id="96" w:name="_Toc419045087"/>
      <w:bookmarkStart w:id="97" w:name="_Toc14178"/>
      <w:r>
        <w:rPr>
          <w:rFonts w:hint="eastAsia" w:ascii="仿宋" w:hAnsi="仿宋" w:eastAsia="仿宋" w:cs="仿宋"/>
          <w:color w:val="auto"/>
          <w:kern w:val="0"/>
          <w:sz w:val="24"/>
          <w:szCs w:val="24"/>
          <w:highlight w:val="none"/>
        </w:rPr>
        <w:t>5.1支付货币</w:t>
      </w:r>
      <w:bookmarkEnd w:id="95"/>
      <w:bookmarkEnd w:id="96"/>
      <w:bookmarkEnd w:id="97"/>
    </w:p>
    <w:p>
      <w:pPr>
        <w:spacing w:line="360" w:lineRule="auto"/>
        <w:rPr>
          <w:rStyle w:val="30"/>
          <w:rFonts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　　除专用条款另有约定外，酬金均以人民币支付。涉及外币支付的，所采用的货币种类和汇率等在专用条款中约定。</w:t>
      </w:r>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98" w:name="_Toc13787"/>
      <w:bookmarkStart w:id="99" w:name="_Toc475975150"/>
      <w:r>
        <w:rPr>
          <w:rFonts w:hint="eastAsia" w:ascii="仿宋" w:hAnsi="仿宋" w:eastAsia="仿宋" w:cs="仿宋"/>
          <w:color w:val="auto"/>
          <w:kern w:val="0"/>
          <w:sz w:val="24"/>
          <w:szCs w:val="24"/>
          <w:highlight w:val="none"/>
        </w:rPr>
        <w:t>5.2支付申请</w:t>
      </w:r>
      <w:bookmarkEnd w:id="98"/>
      <w:bookmarkEnd w:id="99"/>
    </w:p>
    <w:p>
      <w:pPr>
        <w:spacing w:line="360" w:lineRule="auto"/>
        <w:rPr>
          <w:rStyle w:val="30"/>
          <w:rFonts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　　咨询人应在本合同约定的每次应付款日期前，向委托人提交支付申请书，支付申请书的提交日期由双方在专用条款中约定。支付申请书应当说明当期应付款总额，并列出当期应支付的款项及其金额。</w:t>
      </w:r>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100" w:name="_Toc22244"/>
      <w:bookmarkStart w:id="101" w:name="_Toc475975151"/>
      <w:r>
        <w:rPr>
          <w:rFonts w:hint="eastAsia" w:ascii="仿宋" w:hAnsi="仿宋" w:eastAsia="仿宋" w:cs="仿宋"/>
          <w:color w:val="auto"/>
          <w:kern w:val="0"/>
          <w:sz w:val="24"/>
          <w:szCs w:val="24"/>
          <w:highlight w:val="none"/>
        </w:rPr>
        <w:t>5.3 支付酬金</w:t>
      </w:r>
      <w:bookmarkEnd w:id="100"/>
      <w:bookmarkEnd w:id="101"/>
    </w:p>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支付酬金包括正常工作酬金、附加工作酬金、合理化建议奖励金额及费用。</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5.3.1正常工作酬金的支付</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委托人应在合同生效后十五天内支付咨询服务预付款。</w:t>
      </w:r>
    </w:p>
    <w:p>
      <w:pPr>
        <w:spacing w:line="360" w:lineRule="auto"/>
        <w:ind w:firstLine="566" w:firstLineChars="236"/>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估算、概算、预算或结算编制项目，在提交成果文件并履行合同约定后十五天内结清服务酬金。</w:t>
      </w:r>
    </w:p>
    <w:p>
      <w:pPr>
        <w:spacing w:line="360" w:lineRule="auto"/>
        <w:ind w:firstLine="566" w:firstLineChars="236"/>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估算、概算、预算或结算审核项目，在定案并提交成果文件且履行合同约定后十五天内结清服务酬金。</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招标控制价编制或审核项目，在中标通知书发出后十五天内结清服务酬金。</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全过程造价咨询服务酬金</w:t>
      </w:r>
      <w:bookmarkStart w:id="102" w:name="_Toc468868606"/>
      <w:r>
        <w:rPr>
          <w:rFonts w:hint="eastAsia" w:ascii="仿宋" w:hAnsi="仿宋" w:eastAsia="仿宋" w:cs="仿宋"/>
          <w:color w:val="auto"/>
          <w:sz w:val="24"/>
          <w:szCs w:val="24"/>
          <w:highlight w:val="none"/>
        </w:rPr>
        <w:t>的支付方式按专用条款约定。</w:t>
      </w:r>
    </w:p>
    <w:bookmarkEnd w:id="102"/>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5.3.2 附加工作酬金的支付方式按专用条款约定。</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5.3.3合理化建议奖励金额及费用的支付方式按专用条款约定。</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5.3.4 双方约定的其他支付方式按专用条款约定。</w:t>
      </w:r>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103" w:name="_Toc4833"/>
      <w:bookmarkStart w:id="104" w:name="_Toc475975152"/>
      <w:r>
        <w:rPr>
          <w:rFonts w:hint="eastAsia" w:ascii="仿宋" w:hAnsi="仿宋" w:eastAsia="仿宋" w:cs="仿宋"/>
          <w:color w:val="auto"/>
          <w:kern w:val="0"/>
          <w:sz w:val="24"/>
          <w:szCs w:val="24"/>
          <w:highlight w:val="none"/>
        </w:rPr>
        <w:t>5.4有异议部分的支付</w:t>
      </w:r>
      <w:bookmarkEnd w:id="103"/>
      <w:bookmarkEnd w:id="104"/>
    </w:p>
    <w:p>
      <w:pPr>
        <w:spacing w:line="360" w:lineRule="auto"/>
        <w:rPr>
          <w:rStyle w:val="29"/>
          <w:rFonts w:ascii="仿宋" w:hAnsi="仿宋" w:eastAsia="仿宋" w:cs="仿宋"/>
          <w:b w:val="0"/>
          <w:color w:val="auto"/>
          <w:kern w:val="2"/>
          <w:sz w:val="24"/>
          <w:szCs w:val="24"/>
          <w:highlight w:val="none"/>
        </w:rPr>
      </w:pPr>
      <w:r>
        <w:rPr>
          <w:rFonts w:hint="eastAsia" w:ascii="仿宋" w:hAnsi="仿宋" w:eastAsia="仿宋" w:cs="仿宋"/>
          <w:color w:val="auto"/>
          <w:sz w:val="24"/>
          <w:szCs w:val="24"/>
          <w:highlight w:val="none"/>
        </w:rPr>
        <w:t>　　委托人对咨询人提交的支付申请书有异议时，应当在收到咨询人提交的支付申请书后7天内，以书面形式向咨询人发出异议通知。无异议部分的款项应按期支付，有异议部分的款项按第7条约定办理。</w:t>
      </w:r>
      <w:bookmarkStart w:id="105" w:name="_Toc475975153"/>
      <w:bookmarkStart w:id="106" w:name="_Toc419045088"/>
    </w:p>
    <w:p>
      <w:pPr>
        <w:spacing w:line="360" w:lineRule="auto"/>
        <w:ind w:firstLine="482" w:firstLineChars="200"/>
        <w:rPr>
          <w:rStyle w:val="29"/>
          <w:rFonts w:ascii="仿宋" w:hAnsi="仿宋" w:eastAsia="仿宋" w:cs="仿宋"/>
          <w:bCs w:val="0"/>
          <w:color w:val="auto"/>
          <w:sz w:val="24"/>
          <w:szCs w:val="24"/>
          <w:highlight w:val="none"/>
        </w:rPr>
      </w:pPr>
      <w:bookmarkStart w:id="107" w:name="_Toc25679"/>
      <w:r>
        <w:rPr>
          <w:rStyle w:val="29"/>
          <w:rFonts w:hint="eastAsia" w:ascii="仿宋" w:hAnsi="仿宋" w:eastAsia="仿宋" w:cs="仿宋"/>
          <w:bCs w:val="0"/>
          <w:color w:val="auto"/>
          <w:sz w:val="24"/>
          <w:szCs w:val="24"/>
          <w:highlight w:val="none"/>
        </w:rPr>
        <w:t>6.合同变更、解除与终止</w:t>
      </w:r>
      <w:bookmarkEnd w:id="105"/>
      <w:bookmarkEnd w:id="106"/>
    </w:p>
    <w:bookmarkEnd w:id="107"/>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108" w:name="_Toc419045089"/>
      <w:bookmarkStart w:id="109" w:name="_Toc475975154"/>
      <w:bookmarkStart w:id="110" w:name="_Toc30662"/>
      <w:r>
        <w:rPr>
          <w:rFonts w:hint="eastAsia" w:ascii="仿宋" w:hAnsi="仿宋" w:eastAsia="仿宋" w:cs="仿宋"/>
          <w:color w:val="auto"/>
          <w:kern w:val="0"/>
          <w:sz w:val="24"/>
          <w:szCs w:val="24"/>
          <w:highlight w:val="none"/>
        </w:rPr>
        <w:t>★6.1合同变更</w:t>
      </w:r>
      <w:bookmarkEnd w:id="108"/>
      <w:bookmarkEnd w:id="109"/>
      <w:bookmarkEnd w:id="110"/>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6.1.1 任何一方以书面形式提出变更请求时，双方经协商一致后可进行变更。</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6.1.2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款中约定。</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6.1.3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6.1.4 因工程规模、服务范围及工作内容的变化等导致咨询人的工作量增减时，服务酬金应作相应调整，调整方法由双方在专用条款中约定。</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6.1.5 对全过程投资控制项目，委托人要求咨询人延长驻场服务期的，视为附加工作。</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6.1.6因委托人原因造成咨询人工作返工或者重复工作、咨询人按委托人提供的图纸完成计量工作后，委托人修改图纸的，经委托人同意，视为附加工作。</w:t>
      </w:r>
    </w:p>
    <w:p>
      <w:pPr>
        <w:pStyle w:val="14"/>
        <w:spacing w:before="60" w:line="360" w:lineRule="auto"/>
        <w:ind w:firstLine="482" w:firstLineChars="200"/>
        <w:jc w:val="left"/>
        <w:rPr>
          <w:rFonts w:ascii="仿宋" w:hAnsi="仿宋" w:eastAsia="仿宋" w:cs="仿宋"/>
          <w:color w:val="auto"/>
          <w:kern w:val="0"/>
          <w:sz w:val="24"/>
          <w:szCs w:val="24"/>
          <w:highlight w:val="none"/>
        </w:rPr>
      </w:pPr>
      <w:bookmarkStart w:id="111" w:name="_Toc475975155"/>
      <w:bookmarkStart w:id="112" w:name="_Toc419045090"/>
      <w:bookmarkStart w:id="113" w:name="_Toc7758"/>
      <w:r>
        <w:rPr>
          <w:rFonts w:hint="eastAsia" w:ascii="仿宋" w:hAnsi="仿宋" w:eastAsia="仿宋" w:cs="仿宋"/>
          <w:color w:val="auto"/>
          <w:kern w:val="0"/>
          <w:sz w:val="24"/>
          <w:szCs w:val="24"/>
          <w:highlight w:val="none"/>
        </w:rPr>
        <w:t>★6.2合同解除</w:t>
      </w:r>
      <w:bookmarkEnd w:id="111"/>
      <w:bookmarkEnd w:id="112"/>
      <w:bookmarkEnd w:id="113"/>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6.2.1 委托人与咨询人协商一致并达成书面协议后，可以解除合同。</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6.2.2 有下列情形之一的，合同当事人一方或双方可以解除合同：</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（1）咨询人将本合同约定的工程造价咨询服务工作全部或部分分包、转包给他人，委托人可以解除合同；</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（2）咨询人提供的造价咨询服务不符合合同约定的要求，经委托人催告仍不能达到合同约定要求的，委托人可以解除合同；</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（3）因不可抗力致使合同无法履行；</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（4）因一方违约致使合同无法实际履行或实际履行已无必要。</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除上述情形外，双方可以根据委托的服务范围及工作内容，在专用条款中约定解除合同的其他条件。</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6.2.3合同解除后，委托人应按照合同约定向咨询人支付已完成部分的咨询服务酬金。</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因不可抗力导致的合同解除，其损失的分担按照合理分担的原则由合同当事人在专用条款中自行约定。除不可抗力外因非咨询人原因导致的合同解除，其损失由委托人承担。因咨询人自身原因导致的合同解除，按照违约责任处理。</w:t>
      </w:r>
    </w:p>
    <w:p>
      <w:pPr>
        <w:spacing w:line="360" w:lineRule="auto"/>
        <w:ind w:firstLine="480" w:firstLineChars="200"/>
        <w:rPr>
          <w:rFonts w:ascii="仿宋" w:hAnsi="仿宋" w:eastAsia="仿宋" w:cs="仿宋"/>
          <w:smallCaps/>
          <w:color w:val="auto"/>
          <w:sz w:val="24"/>
          <w:szCs w:val="24"/>
          <w:highlight w:val="none"/>
        </w:rPr>
      </w:pPr>
      <w:r>
        <w:rPr>
          <w:rFonts w:hint="eastAsia" w:ascii="仿宋" w:hAnsi="仿宋" w:eastAsia="仿宋" w:cs="仿宋"/>
          <w:color w:val="auto"/>
          <w:sz w:val="24"/>
          <w:szCs w:val="24"/>
          <w:highlight w:val="none"/>
        </w:rPr>
        <w:t>6.2.4本合同解除后，本合同约定的有关结算、争议解决方式的条款仍然有效。</w:t>
      </w:r>
    </w:p>
    <w:p>
      <w:pPr>
        <w:spacing w:line="360" w:lineRule="auto"/>
        <w:ind w:firstLine="482" w:firstLineChars="200"/>
        <w:rPr>
          <w:rStyle w:val="30"/>
          <w:rFonts w:ascii="仿宋" w:hAnsi="仿宋" w:eastAsia="仿宋" w:cs="仿宋"/>
          <w:bCs w:val="0"/>
          <w:smallCaps/>
          <w:color w:val="auto"/>
          <w:sz w:val="24"/>
          <w:szCs w:val="24"/>
          <w:highlight w:val="none"/>
        </w:rPr>
      </w:pPr>
      <w:bookmarkStart w:id="114" w:name="_Toc475975156"/>
      <w:bookmarkStart w:id="115" w:name="_Toc24410"/>
      <w:r>
        <w:rPr>
          <w:rStyle w:val="30"/>
          <w:rFonts w:hint="eastAsia" w:ascii="仿宋" w:hAnsi="仿宋" w:eastAsia="仿宋" w:cs="仿宋"/>
          <w:bCs w:val="0"/>
          <w:smallCaps/>
          <w:color w:val="auto"/>
          <w:sz w:val="24"/>
          <w:szCs w:val="24"/>
          <w:highlight w:val="none"/>
        </w:rPr>
        <w:t>6.3 合同终止</w:t>
      </w:r>
      <w:bookmarkEnd w:id="114"/>
      <w:bookmarkEnd w:id="115"/>
    </w:p>
    <w:p>
      <w:pPr>
        <w:spacing w:line="360" w:lineRule="auto"/>
        <w:ind w:left="479" w:leftChars="228"/>
        <w:rPr>
          <w:rFonts w:ascii="仿宋" w:hAnsi="仿宋" w:eastAsia="仿宋" w:cs="仿宋"/>
          <w:color w:val="auto"/>
          <w:highlight w:val="none"/>
        </w:rPr>
      </w:pPr>
      <w:r>
        <w:rPr>
          <w:rFonts w:hint="eastAsia" w:ascii="仿宋" w:hAnsi="仿宋" w:eastAsia="仿宋" w:cs="仿宋"/>
          <w:smallCaps/>
          <w:color w:val="auto"/>
          <w:sz w:val="24"/>
          <w:szCs w:val="24"/>
          <w:highlight w:val="none"/>
        </w:rPr>
        <w:t>除合同解除外，以下条</w:t>
      </w:r>
      <w:r>
        <w:rPr>
          <w:rFonts w:hint="eastAsia" w:ascii="仿宋" w:hAnsi="仿宋" w:eastAsia="仿宋" w:cs="仿宋"/>
          <w:color w:val="auto"/>
          <w:sz w:val="24"/>
          <w:szCs w:val="24"/>
          <w:highlight w:val="none"/>
        </w:rPr>
        <w:t>件全部满足时，本合同终止：</w:t>
      </w:r>
    </w:p>
    <w:p>
      <w:pPr>
        <w:spacing w:line="360" w:lineRule="auto"/>
        <w:ind w:left="479" w:leftChars="228"/>
        <w:rPr>
          <w:rFonts w:ascii="仿宋" w:hAnsi="仿宋" w:eastAsia="仿宋" w:cs="仿宋"/>
          <w:color w:val="auto"/>
          <w:highlight w:val="none"/>
        </w:rPr>
      </w:pPr>
      <w:r>
        <w:rPr>
          <w:rFonts w:hint="eastAsia" w:ascii="仿宋" w:hAnsi="仿宋" w:eastAsia="仿宋" w:cs="仿宋"/>
          <w:color w:val="auto"/>
          <w:sz w:val="24"/>
          <w:szCs w:val="24"/>
          <w:highlight w:val="none"/>
        </w:rPr>
        <w:t>（1）咨询人完成本合同约定的全部工作；</w:t>
      </w:r>
    </w:p>
    <w:p>
      <w:pPr>
        <w:spacing w:line="360" w:lineRule="auto"/>
        <w:ind w:left="479" w:leftChars="228"/>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（2）委托人与咨询人结清并支付酬金；</w:t>
      </w:r>
    </w:p>
    <w:p>
      <w:pPr>
        <w:spacing w:line="360" w:lineRule="auto"/>
        <w:ind w:left="479" w:leftChars="228"/>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（3）咨询人将委托人提供的资料交还。</w:t>
      </w:r>
    </w:p>
    <w:p>
      <w:pPr>
        <w:spacing w:line="360" w:lineRule="auto"/>
        <w:ind w:firstLine="482" w:firstLineChars="200"/>
        <w:rPr>
          <w:rStyle w:val="29"/>
          <w:rFonts w:ascii="仿宋" w:hAnsi="仿宋" w:eastAsia="仿宋" w:cs="仿宋"/>
          <w:bCs w:val="0"/>
          <w:color w:val="auto"/>
          <w:sz w:val="24"/>
          <w:szCs w:val="24"/>
          <w:highlight w:val="none"/>
        </w:rPr>
      </w:pPr>
      <w:bookmarkStart w:id="116" w:name="_Toc419045091"/>
      <w:bookmarkStart w:id="117" w:name="_Toc475975157"/>
      <w:bookmarkStart w:id="118" w:name="_Toc14334"/>
      <w:r>
        <w:rPr>
          <w:rStyle w:val="29"/>
          <w:rFonts w:hint="eastAsia" w:ascii="仿宋" w:hAnsi="仿宋" w:eastAsia="仿宋" w:cs="仿宋"/>
          <w:bCs w:val="0"/>
          <w:color w:val="auto"/>
          <w:sz w:val="24"/>
          <w:szCs w:val="24"/>
          <w:highlight w:val="none"/>
        </w:rPr>
        <w:t>7.争议解决</w:t>
      </w:r>
      <w:bookmarkEnd w:id="116"/>
      <w:bookmarkEnd w:id="117"/>
    </w:p>
    <w:bookmarkEnd w:id="118"/>
    <w:p>
      <w:pPr>
        <w:pStyle w:val="27"/>
        <w:spacing w:line="360" w:lineRule="auto"/>
        <w:ind w:firstLine="482" w:firstLineChars="200"/>
        <w:jc w:val="left"/>
        <w:rPr>
          <w:rFonts w:ascii="仿宋" w:hAnsi="仿宋" w:eastAsia="仿宋" w:cs="仿宋"/>
          <w:b/>
          <w:color w:val="auto"/>
          <w:sz w:val="24"/>
          <w:szCs w:val="24"/>
          <w:highlight w:val="none"/>
        </w:rPr>
      </w:pPr>
      <w:bookmarkStart w:id="119" w:name="_Toc28074"/>
      <w:bookmarkStart w:id="120" w:name="_Toc419045092"/>
      <w:bookmarkStart w:id="121" w:name="_Toc475975158"/>
      <w:r>
        <w:rPr>
          <w:rStyle w:val="30"/>
          <w:rFonts w:hint="eastAsia" w:ascii="仿宋" w:hAnsi="仿宋" w:eastAsia="仿宋" w:cs="仿宋"/>
          <w:bCs w:val="0"/>
          <w:smallCaps/>
          <w:color w:val="auto"/>
          <w:sz w:val="24"/>
          <w:szCs w:val="24"/>
          <w:highlight w:val="none"/>
        </w:rPr>
        <w:t>7.1协商</w:t>
      </w:r>
      <w:bookmarkEnd w:id="119"/>
      <w:bookmarkEnd w:id="120"/>
      <w:bookmarkEnd w:id="121"/>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双方应本着诚实信用的原则协商解决本合同履行过程中发生的争议。</w:t>
      </w:r>
      <w:bookmarkStart w:id="122" w:name="37"/>
      <w:bookmarkEnd w:id="122"/>
    </w:p>
    <w:p>
      <w:pPr>
        <w:pStyle w:val="27"/>
        <w:spacing w:line="360" w:lineRule="auto"/>
        <w:ind w:firstLine="482" w:firstLineChars="200"/>
        <w:jc w:val="left"/>
        <w:rPr>
          <w:rFonts w:ascii="仿宋" w:hAnsi="仿宋" w:eastAsia="仿宋" w:cs="仿宋"/>
          <w:b/>
          <w:color w:val="auto"/>
          <w:sz w:val="24"/>
          <w:szCs w:val="24"/>
          <w:highlight w:val="none"/>
        </w:rPr>
      </w:pPr>
      <w:bookmarkStart w:id="123" w:name="_Toc419045093"/>
      <w:bookmarkStart w:id="124" w:name="_Toc475975159"/>
      <w:bookmarkStart w:id="125" w:name="_Toc5390"/>
      <w:r>
        <w:rPr>
          <w:rStyle w:val="30"/>
          <w:rFonts w:hint="eastAsia" w:ascii="仿宋" w:hAnsi="仿宋" w:eastAsia="仿宋" w:cs="仿宋"/>
          <w:bCs w:val="0"/>
          <w:smallCaps/>
          <w:color w:val="auto"/>
          <w:sz w:val="24"/>
          <w:szCs w:val="24"/>
          <w:highlight w:val="none"/>
        </w:rPr>
        <w:t>7.2调解</w:t>
      </w:r>
      <w:bookmarkEnd w:id="123"/>
      <w:bookmarkEnd w:id="124"/>
      <w:bookmarkEnd w:id="125"/>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如果双方不能在14天内或双方商定的其他时间内解决本合同争议，可以将其提交给专用条款约定的或事后达成协议的调解人进行调解。</w:t>
      </w:r>
    </w:p>
    <w:p>
      <w:pPr>
        <w:spacing w:line="360" w:lineRule="auto"/>
        <w:ind w:firstLine="482" w:firstLineChars="200"/>
        <w:rPr>
          <w:rFonts w:ascii="仿宋" w:hAnsi="仿宋" w:eastAsia="仿宋" w:cs="仿宋"/>
          <w:color w:val="auto"/>
          <w:highlight w:val="none"/>
        </w:rPr>
      </w:pPr>
      <w:bookmarkStart w:id="126" w:name="38"/>
      <w:bookmarkEnd w:id="126"/>
      <w:bookmarkStart w:id="127" w:name="_Toc28698"/>
      <w:bookmarkStart w:id="128" w:name="_Toc475975160"/>
      <w:bookmarkStart w:id="129" w:name="_Toc419045094"/>
      <w:r>
        <w:rPr>
          <w:rStyle w:val="30"/>
          <w:rFonts w:hint="eastAsia" w:ascii="仿宋" w:hAnsi="仿宋" w:eastAsia="仿宋" w:cs="仿宋"/>
          <w:bCs w:val="0"/>
          <w:smallCaps/>
          <w:color w:val="auto"/>
          <w:sz w:val="24"/>
          <w:szCs w:val="24"/>
          <w:highlight w:val="none"/>
        </w:rPr>
        <w:t>7.3仲裁或诉讼</w:t>
      </w:r>
      <w:bookmarkEnd w:id="127"/>
      <w:bookmarkEnd w:id="128"/>
      <w:bookmarkEnd w:id="129"/>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双方均有权不经调解直接向专用条款约定的有管辖权的人民法院提起诉讼。</w:t>
      </w:r>
    </w:p>
    <w:p>
      <w:pPr>
        <w:spacing w:line="360" w:lineRule="auto"/>
        <w:ind w:firstLine="482" w:firstLineChars="200"/>
        <w:rPr>
          <w:rStyle w:val="29"/>
          <w:rFonts w:ascii="仿宋" w:hAnsi="仿宋" w:eastAsia="仿宋" w:cs="仿宋"/>
          <w:bCs w:val="0"/>
          <w:color w:val="auto"/>
          <w:sz w:val="24"/>
          <w:szCs w:val="24"/>
          <w:highlight w:val="none"/>
        </w:rPr>
      </w:pPr>
      <w:bookmarkStart w:id="130" w:name="_Toc419045095"/>
      <w:bookmarkStart w:id="131" w:name="_Toc475975161"/>
      <w:bookmarkStart w:id="132" w:name="_Toc11261"/>
      <w:r>
        <w:rPr>
          <w:rStyle w:val="29"/>
          <w:rFonts w:hint="eastAsia" w:ascii="仿宋" w:hAnsi="仿宋" w:eastAsia="仿宋" w:cs="仿宋"/>
          <w:bCs w:val="0"/>
          <w:color w:val="auto"/>
          <w:sz w:val="24"/>
          <w:szCs w:val="24"/>
          <w:highlight w:val="none"/>
        </w:rPr>
        <w:t>8.其他</w:t>
      </w:r>
      <w:bookmarkEnd w:id="130"/>
      <w:bookmarkEnd w:id="131"/>
    </w:p>
    <w:bookmarkEnd w:id="132"/>
    <w:p>
      <w:pPr>
        <w:pStyle w:val="14"/>
        <w:spacing w:before="60" w:line="360" w:lineRule="auto"/>
        <w:ind w:firstLine="482" w:firstLineChars="200"/>
        <w:jc w:val="left"/>
        <w:rPr>
          <w:rFonts w:ascii="仿宋" w:hAnsi="仿宋" w:eastAsia="仿宋" w:cs="仿宋"/>
          <w:bCs w:val="0"/>
          <w:color w:val="auto"/>
          <w:sz w:val="24"/>
          <w:szCs w:val="24"/>
          <w:highlight w:val="none"/>
        </w:rPr>
      </w:pPr>
      <w:bookmarkStart w:id="133" w:name="39"/>
      <w:bookmarkEnd w:id="133"/>
      <w:bookmarkStart w:id="134" w:name="_Toc3887"/>
      <w:bookmarkStart w:id="135" w:name="_Toc475975162"/>
      <w:bookmarkStart w:id="136" w:name="_Toc419045096"/>
      <w:r>
        <w:rPr>
          <w:rFonts w:hint="eastAsia" w:ascii="仿宋" w:hAnsi="仿宋" w:eastAsia="仿宋" w:cs="仿宋"/>
          <w:bCs w:val="0"/>
          <w:smallCaps/>
          <w:color w:val="auto"/>
          <w:sz w:val="24"/>
          <w:szCs w:val="24"/>
          <w:highlight w:val="none"/>
        </w:rPr>
        <w:t>8.1</w:t>
      </w:r>
      <w:r>
        <w:rPr>
          <w:rFonts w:hint="eastAsia" w:ascii="仿宋" w:hAnsi="仿宋" w:eastAsia="仿宋" w:cs="仿宋"/>
          <w:bCs w:val="0"/>
          <w:color w:val="auto"/>
          <w:sz w:val="24"/>
          <w:szCs w:val="24"/>
          <w:highlight w:val="none"/>
        </w:rPr>
        <w:t>考察及相关费用</w:t>
      </w:r>
      <w:bookmarkEnd w:id="134"/>
      <w:bookmarkEnd w:id="135"/>
      <w:bookmarkEnd w:id="136"/>
    </w:p>
    <w:p>
      <w:pPr>
        <w:spacing w:line="360" w:lineRule="auto"/>
        <w:ind w:firstLine="480" w:firstLineChars="200"/>
        <w:rPr>
          <w:rStyle w:val="30"/>
          <w:rFonts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除专用条款另有约定外，咨询人经委托人同意进行考察发生的费用由委托人审核后另行支付。差旅费及相关费用的承担由双方在专用条款中约定。</w:t>
      </w:r>
    </w:p>
    <w:p>
      <w:pPr>
        <w:pStyle w:val="14"/>
        <w:spacing w:before="60" w:line="360" w:lineRule="auto"/>
        <w:ind w:firstLine="482" w:firstLineChars="200"/>
        <w:jc w:val="left"/>
        <w:rPr>
          <w:rFonts w:ascii="仿宋" w:hAnsi="仿宋" w:eastAsia="仿宋" w:cs="仿宋"/>
          <w:b w:val="0"/>
          <w:color w:val="auto"/>
          <w:sz w:val="24"/>
          <w:szCs w:val="24"/>
          <w:highlight w:val="none"/>
        </w:rPr>
      </w:pPr>
      <w:bookmarkStart w:id="137" w:name="_Toc475975163"/>
      <w:bookmarkStart w:id="138" w:name="_Toc26424"/>
      <w:r>
        <w:rPr>
          <w:rFonts w:hint="eastAsia" w:ascii="仿宋" w:hAnsi="仿宋" w:eastAsia="仿宋" w:cs="仿宋"/>
          <w:bCs w:val="0"/>
          <w:color w:val="auto"/>
          <w:sz w:val="24"/>
          <w:szCs w:val="24"/>
          <w:highlight w:val="none"/>
        </w:rPr>
        <w:t>8.2奖励</w:t>
      </w:r>
      <w:bookmarkEnd w:id="137"/>
      <w:bookmarkEnd w:id="138"/>
    </w:p>
    <w:p>
      <w:pPr>
        <w:spacing w:line="360" w:lineRule="auto"/>
        <w:ind w:firstLine="480" w:firstLineChars="200"/>
        <w:rPr>
          <w:rStyle w:val="30"/>
          <w:rFonts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对于咨询人在服务过程中提出合理化建议，使委托人获得效益的，双方在专用条款中约定奖励金额的确定方法。奖励金额在合理化建议被采纳后，与最近一期的正常工作酬金同期支付。</w:t>
      </w:r>
    </w:p>
    <w:p>
      <w:pPr>
        <w:pStyle w:val="14"/>
        <w:spacing w:before="60" w:line="360" w:lineRule="auto"/>
        <w:ind w:firstLine="482" w:firstLineChars="200"/>
        <w:jc w:val="left"/>
        <w:rPr>
          <w:rFonts w:ascii="仿宋" w:hAnsi="仿宋" w:eastAsia="仿宋" w:cs="仿宋"/>
          <w:bCs w:val="0"/>
          <w:color w:val="auto"/>
          <w:sz w:val="24"/>
          <w:szCs w:val="24"/>
          <w:highlight w:val="none"/>
        </w:rPr>
      </w:pPr>
      <w:bookmarkStart w:id="139" w:name="_Toc475975164"/>
      <w:bookmarkStart w:id="140" w:name="_Toc18358"/>
      <w:r>
        <w:rPr>
          <w:rFonts w:hint="eastAsia" w:ascii="仿宋" w:hAnsi="仿宋" w:eastAsia="仿宋" w:cs="仿宋"/>
          <w:bCs w:val="0"/>
          <w:color w:val="auto"/>
          <w:sz w:val="24"/>
          <w:szCs w:val="24"/>
          <w:highlight w:val="none"/>
        </w:rPr>
        <w:t>8.3保密</w:t>
      </w:r>
      <w:bookmarkEnd w:id="139"/>
      <w:bookmarkEnd w:id="140"/>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在本合同履行期间或专用条款约定的期限内，双方不得泄露对方申明的保密资料，亦不得泄露与实施工程有关的第三人所提供的保密资料。保密事项在专用条款中约定。</w:t>
      </w:r>
    </w:p>
    <w:p>
      <w:pPr>
        <w:spacing w:line="360" w:lineRule="auto"/>
        <w:ind w:firstLine="482" w:firstLineChars="200"/>
        <w:rPr>
          <w:rFonts w:ascii="仿宋" w:hAnsi="仿宋" w:eastAsia="仿宋" w:cs="仿宋"/>
          <w:color w:val="auto"/>
          <w:sz w:val="24"/>
          <w:szCs w:val="24"/>
          <w:highlight w:val="none"/>
        </w:rPr>
      </w:pPr>
      <w:bookmarkStart w:id="141" w:name="_Toc419045097"/>
      <w:bookmarkStart w:id="142" w:name="_Toc475975165"/>
      <w:bookmarkStart w:id="143" w:name="_Toc25628"/>
      <w:r>
        <w:rPr>
          <w:rStyle w:val="30"/>
          <w:rFonts w:hint="eastAsia" w:ascii="仿宋" w:hAnsi="仿宋" w:eastAsia="仿宋" w:cs="仿宋"/>
          <w:color w:val="auto"/>
          <w:sz w:val="24"/>
          <w:szCs w:val="24"/>
          <w:highlight w:val="none"/>
        </w:rPr>
        <w:t>8.4</w:t>
      </w:r>
      <w:bookmarkEnd w:id="141"/>
      <w:r>
        <w:rPr>
          <w:rStyle w:val="30"/>
          <w:rFonts w:hint="eastAsia" w:ascii="仿宋" w:hAnsi="仿宋" w:eastAsia="仿宋" w:cs="仿宋"/>
          <w:color w:val="auto"/>
          <w:sz w:val="24"/>
          <w:szCs w:val="24"/>
          <w:highlight w:val="none"/>
        </w:rPr>
        <w:t>联络</w:t>
      </w:r>
      <w:bookmarkEnd w:id="142"/>
      <w:bookmarkEnd w:id="143"/>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8.4.1与合同有关的通知、指示、要求、决定等，均应采用书面形式，并应在专用条款约定的期限内送达接收人和送达地点。</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8.4.2委托人和咨询人应在专用条款中约定各自的送达接收人、送达地点、电子邮箱。任何一方指定的接收人或送达地点或电子邮箱发生变动的，应提前3天以书面形式通知对方。</w:t>
      </w:r>
    </w:p>
    <w:p>
      <w:pPr>
        <w:tabs>
          <w:tab w:val="left" w:pos="5085"/>
        </w:tabs>
        <w:spacing w:line="360" w:lineRule="auto"/>
        <w:ind w:firstLine="480" w:firstLineChars="200"/>
        <w:rPr>
          <w:rStyle w:val="30"/>
          <w:rFonts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8.4.3委托人和咨询人应当及时签收另一方送达至送达地点和指定接收人的往来函件。</w:t>
      </w:r>
    </w:p>
    <w:p>
      <w:pPr>
        <w:pStyle w:val="14"/>
        <w:spacing w:before="60" w:line="360" w:lineRule="auto"/>
        <w:ind w:firstLine="482" w:firstLineChars="200"/>
        <w:jc w:val="left"/>
        <w:rPr>
          <w:rFonts w:ascii="仿宋" w:hAnsi="仿宋" w:eastAsia="仿宋" w:cs="仿宋"/>
          <w:bCs w:val="0"/>
          <w:color w:val="auto"/>
          <w:sz w:val="24"/>
          <w:szCs w:val="24"/>
          <w:highlight w:val="none"/>
        </w:rPr>
      </w:pPr>
      <w:bookmarkStart w:id="144" w:name="_Toc475975166"/>
      <w:bookmarkStart w:id="145" w:name="_Toc11831"/>
      <w:r>
        <w:rPr>
          <w:rFonts w:hint="eastAsia" w:ascii="仿宋" w:hAnsi="仿宋" w:eastAsia="仿宋" w:cs="仿宋"/>
          <w:bCs w:val="0"/>
          <w:color w:val="auto"/>
          <w:sz w:val="24"/>
          <w:szCs w:val="24"/>
          <w:highlight w:val="none"/>
        </w:rPr>
        <w:t>8.5知识产权</w:t>
      </w:r>
      <w:bookmarkEnd w:id="144"/>
      <w:bookmarkEnd w:id="145"/>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合同涉及的知识产权的归属由双方在专用条款另行约定。</w:t>
      </w:r>
    </w:p>
    <w:p>
      <w:pPr>
        <w:rPr>
          <w:rFonts w:ascii="仿宋" w:hAnsi="仿宋" w:eastAsia="仿宋" w:cs="仿宋"/>
          <w:color w:val="auto"/>
          <w:sz w:val="24"/>
          <w:szCs w:val="24"/>
          <w:highlight w:val="none"/>
        </w:rPr>
      </w:pP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9"/>
        <w:ind w:left="0" w:left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附录A 服务范围及工作内容、酬金一览表</w:t>
      </w:r>
    </w:p>
    <w:bookmarkEnd w:id="34"/>
    <w:tbl>
      <w:tblPr>
        <w:tblStyle w:val="20"/>
        <w:tblW w:w="10273" w:type="dxa"/>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1331"/>
        <w:gridCol w:w="1504"/>
        <w:gridCol w:w="1374"/>
        <w:gridCol w:w="2072"/>
        <w:gridCol w:w="1668"/>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restart"/>
            <w:vAlign w:val="center"/>
          </w:tcPr>
          <w:p>
            <w:pPr>
              <w:pStyle w:val="15"/>
              <w:widowControl w:val="0"/>
              <w:spacing w:line="360" w:lineRule="auto"/>
              <w:jc w:val="center"/>
              <w:rPr>
                <w:rFonts w:ascii="仿宋" w:hAnsi="仿宋" w:eastAsia="仿宋" w:cs="仿宋"/>
                <w:b/>
                <w:bCs/>
                <w:color w:val="auto"/>
                <w:sz w:val="36"/>
                <w:szCs w:val="36"/>
                <w:highlight w:val="none"/>
              </w:rPr>
            </w:pPr>
            <w:bookmarkStart w:id="146" w:name="_Toc10034"/>
            <w:bookmarkStart w:id="147" w:name="_Toc10627432"/>
            <w:r>
              <w:rPr>
                <w:rFonts w:hint="eastAsia" w:ascii="仿宋" w:hAnsi="仿宋" w:eastAsia="仿宋" w:cs="仿宋"/>
                <w:color w:val="auto"/>
                <w:highlight w:val="none"/>
              </w:rPr>
              <w:t>服务阶段</w:t>
            </w:r>
          </w:p>
        </w:tc>
        <w:tc>
          <w:tcPr>
            <w:tcW w:w="2835" w:type="dxa"/>
            <w:gridSpan w:val="2"/>
          </w:tcPr>
          <w:p>
            <w:pPr>
              <w:rPr>
                <w:rFonts w:ascii="仿宋" w:hAnsi="仿宋" w:eastAsia="仿宋" w:cs="仿宋"/>
                <w:b/>
                <w:bCs/>
                <w:color w:val="auto"/>
                <w:sz w:val="36"/>
                <w:szCs w:val="36"/>
                <w:highlight w:val="none"/>
              </w:rPr>
            </w:pPr>
            <w:r>
              <w:rPr>
                <w:rFonts w:hint="eastAsia" w:ascii="仿宋" w:hAnsi="仿宋" w:eastAsia="仿宋" w:cs="仿宋"/>
                <w:color w:val="auto"/>
                <w:highlight w:val="none"/>
              </w:rPr>
              <w:t>服务范围及工作内容</w:t>
            </w:r>
          </w:p>
        </w:tc>
        <w:tc>
          <w:tcPr>
            <w:tcW w:w="5114" w:type="dxa"/>
            <w:gridSpan w:val="3"/>
          </w:tcPr>
          <w:p>
            <w:pPr>
              <w:jc w:val="center"/>
              <w:rPr>
                <w:rFonts w:ascii="仿宋" w:hAnsi="仿宋" w:eastAsia="仿宋" w:cs="仿宋"/>
                <w:b/>
                <w:bCs/>
                <w:color w:val="auto"/>
                <w:sz w:val="36"/>
                <w:szCs w:val="36"/>
                <w:highlight w:val="none"/>
              </w:rPr>
            </w:pPr>
            <w:r>
              <w:rPr>
                <w:rFonts w:hint="eastAsia" w:ascii="仿宋" w:hAnsi="仿宋" w:eastAsia="仿宋" w:cs="仿宋"/>
                <w:color w:val="auto"/>
                <w:highlight w:val="none"/>
              </w:rPr>
              <w:t>酬金</w:t>
            </w:r>
          </w:p>
        </w:tc>
        <w:tc>
          <w:tcPr>
            <w:tcW w:w="1010" w:type="dxa"/>
          </w:tcPr>
          <w:p>
            <w:pPr>
              <w:jc w:val="center"/>
              <w:rPr>
                <w:rFonts w:ascii="仿宋" w:hAnsi="仿宋" w:eastAsia="仿宋" w:cs="仿宋"/>
                <w:b/>
                <w:bCs/>
                <w:color w:val="auto"/>
                <w:sz w:val="36"/>
                <w:szCs w:val="36"/>
                <w:highlight w:val="none"/>
              </w:rPr>
            </w:pPr>
            <w:r>
              <w:rPr>
                <w:rFonts w:hint="eastAsia" w:ascii="仿宋" w:hAnsi="仿宋" w:eastAsia="仿宋" w:cs="仿宋"/>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pPr>
              <w:rPr>
                <w:rFonts w:ascii="仿宋" w:hAnsi="仿宋" w:eastAsia="仿宋" w:cs="仿宋"/>
                <w:b/>
                <w:bCs/>
                <w:color w:val="auto"/>
                <w:sz w:val="36"/>
                <w:szCs w:val="36"/>
                <w:highlight w:val="none"/>
              </w:rPr>
            </w:pPr>
          </w:p>
        </w:tc>
        <w:tc>
          <w:tcPr>
            <w:tcW w:w="1331" w:type="dxa"/>
            <w:vAlign w:val="center"/>
          </w:tcPr>
          <w:p>
            <w:pPr>
              <w:pStyle w:val="15"/>
              <w:widowControl w:val="0"/>
              <w:spacing w:line="360" w:lineRule="auto"/>
              <w:rPr>
                <w:rFonts w:ascii="仿宋" w:hAnsi="仿宋" w:eastAsia="仿宋" w:cs="仿宋"/>
                <w:color w:val="auto"/>
                <w:highlight w:val="none"/>
              </w:rPr>
            </w:pPr>
            <w:r>
              <w:rPr>
                <w:rFonts w:hint="eastAsia" w:ascii="仿宋" w:hAnsi="仿宋" w:eastAsia="仿宋" w:cs="仿宋"/>
                <w:color w:val="auto"/>
                <w:highlight w:val="none"/>
              </w:rPr>
              <w:t>服务范围</w:t>
            </w:r>
          </w:p>
        </w:tc>
        <w:tc>
          <w:tcPr>
            <w:tcW w:w="1504" w:type="dxa"/>
            <w:vAlign w:val="center"/>
          </w:tcPr>
          <w:p>
            <w:pPr>
              <w:pStyle w:val="15"/>
              <w:widowControl w:val="0"/>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工作内容</w:t>
            </w:r>
          </w:p>
        </w:tc>
        <w:tc>
          <w:tcPr>
            <w:tcW w:w="1374" w:type="dxa"/>
          </w:tcPr>
          <w:p>
            <w:pPr>
              <w:pStyle w:val="15"/>
              <w:widowControl w:val="0"/>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收费基数</w:t>
            </w:r>
          </w:p>
        </w:tc>
        <w:tc>
          <w:tcPr>
            <w:tcW w:w="2072" w:type="dxa"/>
          </w:tcPr>
          <w:p>
            <w:pPr>
              <w:pStyle w:val="15"/>
              <w:widowControl w:val="0"/>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收费标准（比例）</w:t>
            </w:r>
          </w:p>
        </w:tc>
        <w:tc>
          <w:tcPr>
            <w:tcW w:w="1668" w:type="dxa"/>
          </w:tcPr>
          <w:p>
            <w:pPr>
              <w:pStyle w:val="15"/>
              <w:widowControl w:val="0"/>
              <w:spacing w:line="360" w:lineRule="auto"/>
              <w:jc w:val="both"/>
              <w:rPr>
                <w:rFonts w:ascii="仿宋" w:hAnsi="仿宋" w:eastAsia="仿宋" w:cs="仿宋"/>
                <w:color w:val="auto"/>
                <w:highlight w:val="none"/>
              </w:rPr>
            </w:pPr>
            <w:r>
              <w:rPr>
                <w:rFonts w:hint="eastAsia" w:ascii="仿宋" w:hAnsi="仿宋" w:eastAsia="仿宋" w:cs="仿宋"/>
                <w:color w:val="auto"/>
                <w:highlight w:val="none"/>
              </w:rPr>
              <w:t>酬金数额（单位：万元）</w:t>
            </w:r>
          </w:p>
        </w:tc>
        <w:tc>
          <w:tcPr>
            <w:tcW w:w="1010" w:type="dxa"/>
          </w:tcPr>
          <w:p>
            <w:pPr>
              <w:pStyle w:val="15"/>
              <w:widowControl w:val="0"/>
              <w:spacing w:line="360" w:lineRule="auto"/>
              <w:jc w:val="cente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restart"/>
          </w:tcPr>
          <w:p>
            <w:pPr>
              <w:rPr>
                <w:rFonts w:ascii="仿宋" w:hAnsi="仿宋" w:eastAsia="仿宋" w:cs="仿宋"/>
                <w:b/>
                <w:bCs/>
                <w:color w:val="auto"/>
                <w:sz w:val="36"/>
                <w:szCs w:val="36"/>
                <w:highlight w:val="none"/>
              </w:rPr>
            </w:pPr>
            <w:r>
              <w:rPr>
                <w:rFonts w:hint="eastAsia" w:ascii="仿宋" w:hAnsi="仿宋" w:eastAsia="仿宋" w:cs="仿宋"/>
                <w:color w:val="auto"/>
                <w:highlight w:val="none"/>
              </w:rPr>
              <w:t>决策阶段</w:t>
            </w:r>
          </w:p>
        </w:tc>
        <w:tc>
          <w:tcPr>
            <w:tcW w:w="1331" w:type="dxa"/>
            <w:vAlign w:val="center"/>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投资估算</w:t>
            </w:r>
          </w:p>
        </w:tc>
        <w:tc>
          <w:tcPr>
            <w:tcW w:w="1504"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□编制□审核</w:t>
            </w: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pPr>
              <w:rPr>
                <w:rFonts w:ascii="仿宋" w:hAnsi="仿宋" w:eastAsia="仿宋" w:cs="仿宋"/>
                <w:b/>
                <w:bCs/>
                <w:color w:val="auto"/>
                <w:sz w:val="36"/>
                <w:szCs w:val="36"/>
                <w:highlight w:val="none"/>
              </w:rPr>
            </w:pPr>
          </w:p>
        </w:tc>
        <w:tc>
          <w:tcPr>
            <w:tcW w:w="1331" w:type="dxa"/>
            <w:vAlign w:val="center"/>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经济评价</w:t>
            </w:r>
          </w:p>
        </w:tc>
        <w:tc>
          <w:tcPr>
            <w:tcW w:w="1504"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□编制□审核</w:t>
            </w: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pPr>
              <w:rPr>
                <w:rFonts w:ascii="仿宋" w:hAnsi="仿宋" w:eastAsia="仿宋" w:cs="仿宋"/>
                <w:b/>
                <w:bCs/>
                <w:color w:val="auto"/>
                <w:sz w:val="36"/>
                <w:szCs w:val="36"/>
                <w:highlight w:val="none"/>
              </w:rPr>
            </w:pPr>
          </w:p>
        </w:tc>
        <w:tc>
          <w:tcPr>
            <w:tcW w:w="1331" w:type="dxa"/>
            <w:vAlign w:val="center"/>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其他：</w:t>
            </w:r>
          </w:p>
        </w:tc>
        <w:tc>
          <w:tcPr>
            <w:tcW w:w="1504" w:type="dxa"/>
          </w:tcPr>
          <w:p>
            <w:pPr>
              <w:spacing w:line="360" w:lineRule="auto"/>
              <w:rPr>
                <w:rFonts w:ascii="仿宋" w:hAnsi="仿宋" w:eastAsia="仿宋" w:cs="仿宋"/>
                <w:color w:val="auto"/>
                <w:highlight w:val="none"/>
              </w:rPr>
            </w:pP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restart"/>
          </w:tcPr>
          <w:p>
            <w:pPr>
              <w:rPr>
                <w:rFonts w:ascii="仿宋" w:hAnsi="仿宋" w:eastAsia="仿宋" w:cs="仿宋"/>
                <w:b/>
                <w:bCs/>
                <w:color w:val="auto"/>
                <w:sz w:val="36"/>
                <w:szCs w:val="36"/>
                <w:highlight w:val="none"/>
              </w:rPr>
            </w:pPr>
            <w:r>
              <w:rPr>
                <w:rFonts w:hint="eastAsia" w:ascii="仿宋" w:hAnsi="仿宋" w:eastAsia="仿宋" w:cs="仿宋"/>
                <w:color w:val="auto"/>
                <w:highlight w:val="none"/>
              </w:rPr>
              <w:t>设计阶段</w:t>
            </w: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设计概算</w:t>
            </w:r>
          </w:p>
        </w:tc>
        <w:tc>
          <w:tcPr>
            <w:tcW w:w="1504"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□编制☑审核</w:t>
            </w:r>
          </w:p>
        </w:tc>
        <w:tc>
          <w:tcPr>
            <w:tcW w:w="1374" w:type="dxa"/>
          </w:tcPr>
          <w:p>
            <w:pPr>
              <w:ind w:left="632" w:hanging="632" w:hangingChars="300"/>
              <w:rPr>
                <w:rFonts w:ascii="仿宋" w:hAnsi="仿宋" w:eastAsia="仿宋" w:cs="仿宋"/>
                <w:b/>
                <w:bCs/>
                <w:color w:val="auto"/>
                <w:highlight w:val="none"/>
              </w:rPr>
            </w:pPr>
            <w:r>
              <w:rPr>
                <w:rFonts w:hint="eastAsia" w:ascii="仿宋" w:hAnsi="仿宋" w:eastAsia="仿宋" w:cs="仿宋"/>
                <w:b/>
                <w:bCs/>
                <w:color w:val="auto"/>
                <w:highlight w:val="none"/>
              </w:rPr>
              <w:t>项目总投资万元</w:t>
            </w:r>
          </w:p>
        </w:tc>
        <w:tc>
          <w:tcPr>
            <w:tcW w:w="2072" w:type="dxa"/>
          </w:tcPr>
          <w:p>
            <w:pPr>
              <w:rPr>
                <w:rFonts w:ascii="仿宋" w:hAnsi="仿宋" w:eastAsia="仿宋" w:cs="仿宋"/>
                <w:b/>
                <w:bCs/>
                <w:color w:val="auto"/>
                <w:highlight w:val="none"/>
              </w:rPr>
            </w:pPr>
            <w:r>
              <w:rPr>
                <w:rFonts w:hint="eastAsia" w:ascii="仿宋" w:hAnsi="仿宋" w:eastAsia="仿宋" w:cs="仿宋"/>
                <w:b/>
                <w:bCs/>
                <w:color w:val="auto"/>
                <w:highlight w:val="none"/>
              </w:rPr>
              <w:t>参照《广东省建设工程造价咨询服务收费计算表（广东省物价局（粤价函）【2011】742文）》收费标准规定*80.00%，并乘以咨询人所报</w:t>
            </w:r>
            <w:r>
              <w:rPr>
                <w:rFonts w:hint="eastAsia" w:ascii="仿宋" w:hAnsi="仿宋" w:eastAsia="仿宋" w:cs="仿宋"/>
                <w:b/>
                <w:bCs/>
                <w:color w:val="auto"/>
                <w:highlight w:val="none"/>
                <w:lang w:val="en-US" w:eastAsia="zh-CN"/>
              </w:rPr>
              <w:t>投标</w:t>
            </w:r>
            <w:r>
              <w:rPr>
                <w:rFonts w:hint="eastAsia" w:ascii="仿宋" w:hAnsi="仿宋" w:eastAsia="仿宋" w:cs="仿宋"/>
                <w:b/>
                <w:bCs/>
                <w:color w:val="auto"/>
                <w:highlight w:val="none"/>
              </w:rPr>
              <w:t>折扣率X%计算</w:t>
            </w:r>
          </w:p>
        </w:tc>
        <w:tc>
          <w:tcPr>
            <w:tcW w:w="1668" w:type="dxa"/>
          </w:tcPr>
          <w:p>
            <w:pPr>
              <w:rPr>
                <w:rFonts w:ascii="仿宋" w:hAnsi="仿宋" w:eastAsia="仿宋" w:cs="仿宋"/>
                <w:b/>
                <w:bCs/>
                <w:color w:val="auto"/>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pPr>
              <w:rPr>
                <w:rFonts w:ascii="仿宋" w:hAnsi="仿宋" w:eastAsia="仿宋" w:cs="仿宋"/>
                <w:b/>
                <w:bCs/>
                <w:color w:val="auto"/>
                <w:sz w:val="36"/>
                <w:szCs w:val="36"/>
                <w:highlight w:val="none"/>
              </w:rPr>
            </w:pP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施工图预算</w:t>
            </w:r>
          </w:p>
        </w:tc>
        <w:tc>
          <w:tcPr>
            <w:tcW w:w="1504"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□编制□审核</w:t>
            </w: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pPr>
              <w:rPr>
                <w:rFonts w:ascii="仿宋" w:hAnsi="仿宋" w:eastAsia="仿宋" w:cs="仿宋"/>
                <w:b/>
                <w:bCs/>
                <w:color w:val="auto"/>
                <w:sz w:val="36"/>
                <w:szCs w:val="36"/>
                <w:highlight w:val="none"/>
              </w:rPr>
            </w:pP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其他：</w:t>
            </w:r>
          </w:p>
        </w:tc>
        <w:tc>
          <w:tcPr>
            <w:tcW w:w="1504" w:type="dxa"/>
          </w:tcPr>
          <w:p>
            <w:pPr>
              <w:spacing w:line="360" w:lineRule="auto"/>
              <w:rPr>
                <w:rFonts w:ascii="仿宋" w:hAnsi="仿宋" w:eastAsia="仿宋" w:cs="仿宋"/>
                <w:color w:val="auto"/>
                <w:highlight w:val="none"/>
              </w:rPr>
            </w:pP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restart"/>
          </w:tcPr>
          <w:p>
            <w:pPr>
              <w:rPr>
                <w:rFonts w:ascii="仿宋" w:hAnsi="仿宋" w:eastAsia="仿宋" w:cs="仿宋"/>
                <w:b/>
                <w:bCs/>
                <w:color w:val="auto"/>
                <w:sz w:val="36"/>
                <w:szCs w:val="36"/>
                <w:highlight w:val="none"/>
              </w:rPr>
            </w:pPr>
            <w:r>
              <w:rPr>
                <w:rFonts w:hint="eastAsia" w:ascii="仿宋" w:hAnsi="仿宋" w:eastAsia="仿宋" w:cs="仿宋"/>
                <w:color w:val="auto"/>
                <w:highlight w:val="none"/>
              </w:rPr>
              <w:t>发承包阶段</w:t>
            </w: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工程量清单</w:t>
            </w:r>
          </w:p>
        </w:tc>
        <w:tc>
          <w:tcPr>
            <w:tcW w:w="1504"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□编制□审核</w:t>
            </w: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pPr>
              <w:rPr>
                <w:rFonts w:ascii="仿宋" w:hAnsi="仿宋" w:eastAsia="仿宋" w:cs="仿宋"/>
                <w:b/>
                <w:bCs/>
                <w:color w:val="auto"/>
                <w:sz w:val="36"/>
                <w:szCs w:val="36"/>
                <w:highlight w:val="none"/>
              </w:rPr>
            </w:pP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最高投标限价</w:t>
            </w:r>
          </w:p>
        </w:tc>
        <w:tc>
          <w:tcPr>
            <w:tcW w:w="1504"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□编制□审核</w:t>
            </w: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pPr>
              <w:rPr>
                <w:rFonts w:ascii="仿宋" w:hAnsi="仿宋" w:eastAsia="仿宋" w:cs="仿宋"/>
                <w:b/>
                <w:bCs/>
                <w:color w:val="auto"/>
                <w:sz w:val="36"/>
                <w:szCs w:val="36"/>
                <w:highlight w:val="none"/>
              </w:rPr>
            </w:pP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投标报价分析</w:t>
            </w:r>
          </w:p>
        </w:tc>
        <w:tc>
          <w:tcPr>
            <w:tcW w:w="1504"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□编制□审核</w:t>
            </w: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pPr>
              <w:rPr>
                <w:rFonts w:ascii="仿宋" w:hAnsi="仿宋" w:eastAsia="仿宋" w:cs="仿宋"/>
                <w:b/>
                <w:bCs/>
                <w:color w:val="auto"/>
                <w:sz w:val="36"/>
                <w:szCs w:val="36"/>
                <w:highlight w:val="none"/>
              </w:rPr>
            </w:pP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清标报告</w:t>
            </w:r>
          </w:p>
        </w:tc>
        <w:tc>
          <w:tcPr>
            <w:tcW w:w="1504"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□编制□审核</w:t>
            </w: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pPr>
              <w:rPr>
                <w:rFonts w:ascii="仿宋" w:hAnsi="仿宋" w:eastAsia="仿宋" w:cs="仿宋"/>
                <w:b/>
                <w:bCs/>
                <w:color w:val="auto"/>
                <w:sz w:val="36"/>
                <w:szCs w:val="36"/>
                <w:highlight w:val="none"/>
              </w:rPr>
            </w:pP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其他：</w:t>
            </w:r>
          </w:p>
        </w:tc>
        <w:tc>
          <w:tcPr>
            <w:tcW w:w="1504" w:type="dxa"/>
          </w:tcPr>
          <w:p>
            <w:pPr>
              <w:spacing w:line="360" w:lineRule="auto"/>
              <w:rPr>
                <w:rFonts w:ascii="仿宋" w:hAnsi="仿宋" w:eastAsia="仿宋" w:cs="仿宋"/>
                <w:color w:val="auto"/>
                <w:highlight w:val="none"/>
              </w:rPr>
            </w:pP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restart"/>
          </w:tcPr>
          <w:p>
            <w:pPr>
              <w:rPr>
                <w:rFonts w:ascii="仿宋" w:hAnsi="仿宋" w:eastAsia="仿宋" w:cs="仿宋"/>
                <w:b/>
                <w:bCs/>
                <w:color w:val="auto"/>
                <w:sz w:val="36"/>
                <w:szCs w:val="36"/>
                <w:highlight w:val="none"/>
              </w:rPr>
            </w:pPr>
            <w:r>
              <w:rPr>
                <w:rFonts w:hint="eastAsia" w:ascii="仿宋" w:hAnsi="仿宋" w:eastAsia="仿宋" w:cs="仿宋"/>
                <w:color w:val="auto"/>
                <w:highlight w:val="none"/>
              </w:rPr>
              <w:t>实施阶段</w:t>
            </w: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资金使用计划</w:t>
            </w:r>
          </w:p>
        </w:tc>
        <w:tc>
          <w:tcPr>
            <w:tcW w:w="1504" w:type="dxa"/>
          </w:tcPr>
          <w:p>
            <w:pPr>
              <w:spacing w:line="360" w:lineRule="auto"/>
              <w:rPr>
                <w:rFonts w:ascii="仿宋" w:hAnsi="仿宋" w:eastAsia="仿宋" w:cs="仿宋"/>
                <w:color w:val="auto"/>
                <w:highlight w:val="none"/>
              </w:rPr>
            </w:pPr>
          </w:p>
          <w:p>
            <w:pPr>
              <w:spacing w:line="360" w:lineRule="auto"/>
              <w:rPr>
                <w:rFonts w:ascii="仿宋" w:hAnsi="仿宋" w:eastAsia="仿宋" w:cs="仿宋"/>
                <w:color w:val="auto"/>
                <w:highlight w:val="none"/>
              </w:rPr>
            </w:pPr>
            <w:r>
              <w:rPr>
                <w:rFonts w:hint="eastAsia" w:ascii="仿宋" w:hAnsi="仿宋" w:eastAsia="仿宋" w:cs="仿宋"/>
                <w:color w:val="auto"/>
                <w:highlight w:val="none"/>
              </w:rPr>
              <w:t>□编制</w:t>
            </w: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pPr>
              <w:rPr>
                <w:rFonts w:ascii="仿宋" w:hAnsi="仿宋" w:eastAsia="仿宋" w:cs="仿宋"/>
                <w:b/>
                <w:bCs/>
                <w:color w:val="auto"/>
                <w:sz w:val="36"/>
                <w:szCs w:val="36"/>
                <w:highlight w:val="none"/>
              </w:rPr>
            </w:pP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工程计量与工程款审核</w:t>
            </w:r>
          </w:p>
        </w:tc>
        <w:tc>
          <w:tcPr>
            <w:tcW w:w="1504"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□编制□审核</w:t>
            </w: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pPr>
              <w:rPr>
                <w:rFonts w:ascii="仿宋" w:hAnsi="仿宋" w:eastAsia="仿宋" w:cs="仿宋"/>
                <w:b/>
                <w:bCs/>
                <w:color w:val="auto"/>
                <w:sz w:val="36"/>
                <w:szCs w:val="36"/>
                <w:highlight w:val="none"/>
              </w:rPr>
            </w:pP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合同价款调整</w:t>
            </w:r>
          </w:p>
        </w:tc>
        <w:tc>
          <w:tcPr>
            <w:tcW w:w="1504"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□编制□审核</w:t>
            </w: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pPr>
              <w:rPr>
                <w:rFonts w:ascii="仿宋" w:hAnsi="仿宋" w:eastAsia="仿宋" w:cs="仿宋"/>
                <w:b/>
                <w:bCs/>
                <w:color w:val="auto"/>
                <w:sz w:val="36"/>
                <w:szCs w:val="36"/>
                <w:highlight w:val="none"/>
              </w:rPr>
            </w:pP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工程变更、索赔、签证</w:t>
            </w:r>
          </w:p>
        </w:tc>
        <w:tc>
          <w:tcPr>
            <w:tcW w:w="1504"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□审核</w:t>
            </w: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314" w:type="dxa"/>
            <w:vMerge w:val="continue"/>
          </w:tcPr>
          <w:p>
            <w:pPr>
              <w:rPr>
                <w:rFonts w:ascii="仿宋" w:hAnsi="仿宋" w:eastAsia="仿宋" w:cs="仿宋"/>
                <w:b/>
                <w:bCs/>
                <w:color w:val="auto"/>
                <w:sz w:val="36"/>
                <w:szCs w:val="36"/>
                <w:highlight w:val="none"/>
              </w:rPr>
            </w:pP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工程实施阶段造价控制</w:t>
            </w:r>
          </w:p>
        </w:tc>
        <w:tc>
          <w:tcPr>
            <w:tcW w:w="1504" w:type="dxa"/>
          </w:tcPr>
          <w:p>
            <w:pPr>
              <w:spacing w:line="360" w:lineRule="auto"/>
              <w:rPr>
                <w:rFonts w:ascii="仿宋" w:hAnsi="仿宋" w:eastAsia="仿宋" w:cs="仿宋"/>
                <w:color w:val="auto"/>
                <w:highlight w:val="none"/>
              </w:rPr>
            </w:pP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314" w:type="dxa"/>
            <w:vMerge w:val="continue"/>
          </w:tcPr>
          <w:p>
            <w:pPr>
              <w:rPr>
                <w:rFonts w:ascii="仿宋" w:hAnsi="仿宋" w:eastAsia="仿宋" w:cs="仿宋"/>
                <w:b/>
                <w:bCs/>
                <w:color w:val="auto"/>
                <w:sz w:val="36"/>
                <w:szCs w:val="36"/>
                <w:highlight w:val="none"/>
              </w:rPr>
            </w:pP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其他：</w:t>
            </w:r>
          </w:p>
        </w:tc>
        <w:tc>
          <w:tcPr>
            <w:tcW w:w="1504" w:type="dxa"/>
          </w:tcPr>
          <w:p>
            <w:pPr>
              <w:spacing w:line="360" w:lineRule="auto"/>
              <w:rPr>
                <w:rFonts w:ascii="仿宋" w:hAnsi="仿宋" w:eastAsia="仿宋" w:cs="仿宋"/>
                <w:color w:val="auto"/>
                <w:highlight w:val="none"/>
              </w:rPr>
            </w:pP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314" w:type="dxa"/>
            <w:vMerge w:val="restart"/>
          </w:tcPr>
          <w:p>
            <w:pPr>
              <w:rPr>
                <w:rFonts w:ascii="仿宋" w:hAnsi="仿宋" w:eastAsia="仿宋" w:cs="仿宋"/>
                <w:b/>
                <w:bCs/>
                <w:color w:val="auto"/>
                <w:sz w:val="36"/>
                <w:szCs w:val="36"/>
                <w:highlight w:val="none"/>
              </w:rPr>
            </w:pPr>
            <w:r>
              <w:rPr>
                <w:rFonts w:hint="eastAsia" w:ascii="仿宋" w:hAnsi="仿宋" w:eastAsia="仿宋" w:cs="仿宋"/>
                <w:color w:val="auto"/>
                <w:highlight w:val="none"/>
              </w:rPr>
              <w:t>竣工阶段</w:t>
            </w: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竣工结算</w:t>
            </w:r>
          </w:p>
        </w:tc>
        <w:tc>
          <w:tcPr>
            <w:tcW w:w="1504"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□编制□审核</w:t>
            </w: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pPr>
              <w:rPr>
                <w:rFonts w:ascii="仿宋" w:hAnsi="仿宋" w:eastAsia="仿宋" w:cs="仿宋"/>
                <w:b/>
                <w:bCs/>
                <w:color w:val="auto"/>
                <w:sz w:val="36"/>
                <w:szCs w:val="36"/>
                <w:highlight w:val="none"/>
              </w:rPr>
            </w:pP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竣工决算</w:t>
            </w:r>
          </w:p>
        </w:tc>
        <w:tc>
          <w:tcPr>
            <w:tcW w:w="1504"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□编制□审核</w:t>
            </w: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rPr>
                <w:rFonts w:ascii="仿宋" w:hAnsi="仿宋" w:eastAsia="仿宋" w:cs="仿宋"/>
                <w:b/>
                <w:bCs/>
                <w:color w:val="auto"/>
                <w:sz w:val="36"/>
                <w:szCs w:val="36"/>
                <w:highlight w:val="none"/>
              </w:rPr>
            </w:pP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其他：</w:t>
            </w:r>
          </w:p>
        </w:tc>
        <w:tc>
          <w:tcPr>
            <w:tcW w:w="1504" w:type="dxa"/>
          </w:tcPr>
          <w:p>
            <w:pPr>
              <w:spacing w:line="360" w:lineRule="auto"/>
              <w:rPr>
                <w:rFonts w:ascii="仿宋" w:hAnsi="仿宋" w:eastAsia="仿宋" w:cs="仿宋"/>
                <w:color w:val="auto"/>
                <w:highlight w:val="none"/>
              </w:rPr>
            </w:pP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restart"/>
          </w:tcPr>
          <w:p>
            <w:pPr>
              <w:rPr>
                <w:rFonts w:ascii="仿宋" w:hAnsi="仿宋" w:eastAsia="仿宋" w:cs="仿宋"/>
                <w:b/>
                <w:bCs/>
                <w:color w:val="auto"/>
                <w:sz w:val="36"/>
                <w:szCs w:val="36"/>
                <w:highlight w:val="none"/>
              </w:rPr>
            </w:pPr>
            <w:r>
              <w:rPr>
                <w:rFonts w:hint="eastAsia" w:ascii="仿宋" w:hAnsi="仿宋" w:eastAsia="仿宋" w:cs="仿宋"/>
                <w:color w:val="auto"/>
                <w:highlight w:val="none"/>
              </w:rPr>
              <w:t>其他服务</w:t>
            </w: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工程造价鉴定</w:t>
            </w:r>
          </w:p>
        </w:tc>
        <w:tc>
          <w:tcPr>
            <w:tcW w:w="1504" w:type="dxa"/>
          </w:tcPr>
          <w:p>
            <w:pPr>
              <w:spacing w:line="360" w:lineRule="auto"/>
              <w:rPr>
                <w:rFonts w:ascii="仿宋" w:hAnsi="仿宋" w:eastAsia="仿宋" w:cs="仿宋"/>
                <w:color w:val="auto"/>
                <w:highlight w:val="none"/>
              </w:rPr>
            </w:pP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tcPr>
          <w:p>
            <w:pPr>
              <w:rPr>
                <w:rFonts w:ascii="仿宋" w:hAnsi="仿宋" w:eastAsia="仿宋" w:cs="仿宋"/>
                <w:b/>
                <w:bCs/>
                <w:color w:val="auto"/>
                <w:sz w:val="36"/>
                <w:szCs w:val="36"/>
                <w:highlight w:val="none"/>
              </w:rPr>
            </w:pPr>
          </w:p>
        </w:tc>
        <w:tc>
          <w:tcPr>
            <w:tcW w:w="1331"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其他：</w:t>
            </w:r>
          </w:p>
        </w:tc>
        <w:tc>
          <w:tcPr>
            <w:tcW w:w="1504" w:type="dxa"/>
          </w:tcPr>
          <w:p>
            <w:pPr>
              <w:spacing w:line="360" w:lineRule="auto"/>
              <w:rPr>
                <w:rFonts w:ascii="仿宋" w:hAnsi="仿宋" w:eastAsia="仿宋" w:cs="仿宋"/>
                <w:color w:val="auto"/>
                <w:highlight w:val="none"/>
              </w:rPr>
            </w:pPr>
          </w:p>
        </w:tc>
        <w:tc>
          <w:tcPr>
            <w:tcW w:w="1374" w:type="dxa"/>
          </w:tcPr>
          <w:p>
            <w:pPr>
              <w:rPr>
                <w:rFonts w:ascii="仿宋" w:hAnsi="仿宋" w:eastAsia="仿宋" w:cs="仿宋"/>
                <w:b/>
                <w:bCs/>
                <w:color w:val="auto"/>
                <w:sz w:val="36"/>
                <w:szCs w:val="36"/>
                <w:highlight w:val="none"/>
              </w:rPr>
            </w:pPr>
          </w:p>
        </w:tc>
        <w:tc>
          <w:tcPr>
            <w:tcW w:w="2072" w:type="dxa"/>
          </w:tcPr>
          <w:p>
            <w:pPr>
              <w:rPr>
                <w:rFonts w:ascii="仿宋" w:hAnsi="仿宋" w:eastAsia="仿宋" w:cs="仿宋"/>
                <w:b/>
                <w:bCs/>
                <w:color w:val="auto"/>
                <w:sz w:val="36"/>
                <w:szCs w:val="36"/>
                <w:highlight w:val="none"/>
              </w:rPr>
            </w:pPr>
          </w:p>
        </w:tc>
        <w:tc>
          <w:tcPr>
            <w:tcW w:w="1668" w:type="dxa"/>
          </w:tcPr>
          <w:p>
            <w:pPr>
              <w:rPr>
                <w:rFonts w:ascii="仿宋" w:hAnsi="仿宋" w:eastAsia="仿宋" w:cs="仿宋"/>
                <w:b/>
                <w:bCs/>
                <w:color w:val="auto"/>
                <w:sz w:val="36"/>
                <w:szCs w:val="36"/>
                <w:highlight w:val="none"/>
              </w:rPr>
            </w:pPr>
          </w:p>
        </w:tc>
        <w:tc>
          <w:tcPr>
            <w:tcW w:w="1010" w:type="dxa"/>
          </w:tcPr>
          <w:p>
            <w:pPr>
              <w:rPr>
                <w:rFonts w:ascii="仿宋" w:hAnsi="仿宋" w:eastAsia="仿宋" w:cs="仿宋"/>
                <w:b/>
                <w:bCs/>
                <w:color w:val="auto"/>
                <w:sz w:val="36"/>
                <w:szCs w:val="36"/>
                <w:highlight w:val="none"/>
              </w:rPr>
            </w:pPr>
          </w:p>
        </w:tc>
      </w:tr>
    </w:tbl>
    <w:p>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注：1.附录A中服务范围及工作内容未涉及的可在“其他”项中列明。</w:t>
      </w:r>
    </w:p>
    <w:p>
      <w:pPr>
        <w:numPr>
          <w:ilvl w:val="0"/>
          <w:numId w:val="3"/>
        </w:num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实行全过程造价咨询的工程，服务范围及工作内容按上表，酬金及计取方式为：______________________________。</w:t>
      </w:r>
    </w:p>
    <w:p>
      <w:pPr>
        <w:spacing w:line="360" w:lineRule="auto"/>
        <w:jc w:val="left"/>
        <w:rPr>
          <w:rFonts w:ascii="仿宋" w:hAnsi="仿宋" w:eastAsia="仿宋" w:cs="仿宋"/>
          <w:b/>
          <w:bCs/>
          <w:color w:val="auto"/>
          <w:sz w:val="36"/>
          <w:szCs w:val="36"/>
          <w:highlight w:val="none"/>
        </w:rPr>
      </w:pPr>
    </w:p>
    <w:p>
      <w:pPr>
        <w:spacing w:line="360" w:lineRule="auto"/>
        <w:jc w:val="left"/>
        <w:rPr>
          <w:rFonts w:ascii="仿宋" w:hAnsi="仿宋" w:eastAsia="仿宋" w:cs="仿宋"/>
          <w:b/>
          <w:bCs/>
          <w:color w:val="auto"/>
          <w:sz w:val="36"/>
          <w:szCs w:val="36"/>
          <w:highlight w:val="none"/>
        </w:rPr>
      </w:pPr>
    </w:p>
    <w:p>
      <w:pPr>
        <w:spacing w:line="360" w:lineRule="auto"/>
        <w:jc w:val="left"/>
        <w:rPr>
          <w:rFonts w:ascii="仿宋" w:hAnsi="仿宋" w:eastAsia="仿宋" w:cs="仿宋"/>
          <w:b/>
          <w:bCs/>
          <w:color w:val="auto"/>
          <w:sz w:val="36"/>
          <w:szCs w:val="36"/>
          <w:highlight w:val="none"/>
        </w:rPr>
      </w:pPr>
    </w:p>
    <w:p>
      <w:pPr>
        <w:spacing w:line="360" w:lineRule="auto"/>
        <w:jc w:val="left"/>
        <w:rPr>
          <w:rFonts w:ascii="仿宋" w:hAnsi="仿宋" w:eastAsia="仿宋" w:cs="仿宋"/>
          <w:b/>
          <w:bCs/>
          <w:color w:val="auto"/>
          <w:sz w:val="36"/>
          <w:szCs w:val="36"/>
          <w:highlight w:val="none"/>
        </w:rPr>
      </w:pPr>
    </w:p>
    <w:p>
      <w:pPr>
        <w:spacing w:line="360" w:lineRule="auto"/>
        <w:jc w:val="left"/>
        <w:rPr>
          <w:rFonts w:ascii="仿宋" w:hAnsi="仿宋" w:eastAsia="仿宋" w:cs="仿宋"/>
          <w:b/>
          <w:bCs/>
          <w:color w:val="auto"/>
          <w:sz w:val="36"/>
          <w:szCs w:val="36"/>
          <w:highlight w:val="none"/>
        </w:rPr>
      </w:pPr>
    </w:p>
    <w:p>
      <w:pPr>
        <w:spacing w:line="360" w:lineRule="auto"/>
        <w:jc w:val="left"/>
        <w:rPr>
          <w:rFonts w:ascii="仿宋" w:hAnsi="仿宋" w:eastAsia="仿宋" w:cs="仿宋"/>
          <w:b/>
          <w:bCs/>
          <w:color w:val="auto"/>
          <w:sz w:val="36"/>
          <w:szCs w:val="36"/>
          <w:highlight w:val="none"/>
        </w:rPr>
      </w:pPr>
    </w:p>
    <w:p>
      <w:pPr>
        <w:rPr>
          <w:rFonts w:ascii="仿宋" w:hAnsi="仿宋" w:eastAsia="仿宋" w:cs="仿宋"/>
          <w:color w:val="auto"/>
          <w:sz w:val="24"/>
          <w:szCs w:val="24"/>
          <w:highlight w:val="none"/>
        </w:rPr>
      </w:pPr>
      <w:bookmarkStart w:id="148" w:name="_Toc18381"/>
      <w:bookmarkStart w:id="149" w:name="_Toc475975202"/>
      <w:bookmarkStart w:id="150" w:name="_Toc419045127"/>
      <w:r>
        <w:rPr>
          <w:rFonts w:hint="eastAsia" w:ascii="仿宋" w:hAnsi="仿宋" w:eastAsia="仿宋" w:cs="仿宋"/>
          <w:color w:val="auto"/>
          <w:sz w:val="24"/>
          <w:szCs w:val="24"/>
          <w:highlight w:val="none"/>
        </w:rPr>
        <w:br w:type="page"/>
      </w:r>
    </w:p>
    <w:p>
      <w:pPr>
        <w:pStyle w:val="9"/>
        <w:ind w:left="0" w:left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附录B 咨询人提交成果文件一览表</w:t>
      </w:r>
      <w:bookmarkEnd w:id="148"/>
      <w:bookmarkEnd w:id="149"/>
      <w:bookmarkEnd w:id="150"/>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6"/>
        <w:gridCol w:w="1565"/>
        <w:gridCol w:w="1565"/>
        <w:gridCol w:w="1578"/>
        <w:gridCol w:w="1566"/>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Align w:val="center"/>
          </w:tcPr>
          <w:p>
            <w:pPr>
              <w:spacing w:line="360" w:lineRule="auto"/>
              <w:jc w:val="center"/>
              <w:rPr>
                <w:rFonts w:ascii="仿宋" w:hAnsi="仿宋" w:eastAsia="仿宋" w:cs="仿宋"/>
                <w:bCs/>
                <w:color w:val="auto"/>
                <w:highlight w:val="none"/>
              </w:rPr>
            </w:pPr>
            <w:r>
              <w:rPr>
                <w:rFonts w:hint="eastAsia" w:ascii="仿宋" w:hAnsi="仿宋" w:eastAsia="仿宋" w:cs="仿宋"/>
                <w:bCs/>
                <w:color w:val="auto"/>
                <w:highlight w:val="none"/>
              </w:rPr>
              <w:t>服务阶段</w:t>
            </w:r>
          </w:p>
        </w:tc>
        <w:tc>
          <w:tcPr>
            <w:tcW w:w="1565" w:type="dxa"/>
            <w:vAlign w:val="center"/>
          </w:tcPr>
          <w:p>
            <w:pPr>
              <w:spacing w:line="360" w:lineRule="auto"/>
              <w:jc w:val="center"/>
              <w:rPr>
                <w:rFonts w:ascii="仿宋" w:hAnsi="仿宋" w:eastAsia="仿宋" w:cs="仿宋"/>
                <w:bCs/>
                <w:color w:val="auto"/>
                <w:highlight w:val="none"/>
              </w:rPr>
            </w:pPr>
            <w:r>
              <w:rPr>
                <w:rFonts w:hint="eastAsia" w:ascii="仿宋" w:hAnsi="仿宋" w:eastAsia="仿宋" w:cs="仿宋"/>
                <w:bCs/>
                <w:color w:val="auto"/>
                <w:highlight w:val="none"/>
              </w:rPr>
              <w:t>成果文件名称</w:t>
            </w:r>
          </w:p>
        </w:tc>
        <w:tc>
          <w:tcPr>
            <w:tcW w:w="1565" w:type="dxa"/>
            <w:vAlign w:val="center"/>
          </w:tcPr>
          <w:p>
            <w:pPr>
              <w:spacing w:line="360" w:lineRule="auto"/>
              <w:jc w:val="center"/>
              <w:rPr>
                <w:rFonts w:ascii="仿宋" w:hAnsi="仿宋" w:eastAsia="仿宋" w:cs="仿宋"/>
                <w:bCs/>
                <w:color w:val="auto"/>
                <w:highlight w:val="none"/>
              </w:rPr>
            </w:pPr>
            <w:r>
              <w:rPr>
                <w:rFonts w:hint="eastAsia" w:ascii="仿宋" w:hAnsi="仿宋" w:eastAsia="仿宋" w:cs="仿宋"/>
                <w:bCs/>
                <w:color w:val="auto"/>
                <w:highlight w:val="none"/>
              </w:rPr>
              <w:t>成果文件组成</w:t>
            </w:r>
          </w:p>
        </w:tc>
        <w:tc>
          <w:tcPr>
            <w:tcW w:w="1578" w:type="dxa"/>
            <w:vAlign w:val="center"/>
          </w:tcPr>
          <w:p>
            <w:pPr>
              <w:spacing w:line="360" w:lineRule="auto"/>
              <w:jc w:val="center"/>
              <w:rPr>
                <w:rFonts w:ascii="仿宋" w:hAnsi="仿宋" w:eastAsia="仿宋" w:cs="仿宋"/>
                <w:bCs/>
                <w:color w:val="auto"/>
                <w:highlight w:val="none"/>
              </w:rPr>
            </w:pPr>
            <w:r>
              <w:rPr>
                <w:rFonts w:hint="eastAsia" w:ascii="仿宋" w:hAnsi="仿宋" w:eastAsia="仿宋" w:cs="仿宋"/>
                <w:bCs/>
                <w:color w:val="auto"/>
                <w:highlight w:val="none"/>
              </w:rPr>
              <w:t>提交时间</w:t>
            </w:r>
          </w:p>
        </w:tc>
        <w:tc>
          <w:tcPr>
            <w:tcW w:w="1566" w:type="dxa"/>
            <w:vAlign w:val="center"/>
          </w:tcPr>
          <w:p>
            <w:pPr>
              <w:spacing w:line="360" w:lineRule="auto"/>
              <w:jc w:val="center"/>
              <w:rPr>
                <w:rFonts w:ascii="仿宋" w:hAnsi="仿宋" w:eastAsia="仿宋" w:cs="仿宋"/>
                <w:bCs/>
                <w:color w:val="auto"/>
                <w:highlight w:val="none"/>
              </w:rPr>
            </w:pPr>
            <w:r>
              <w:rPr>
                <w:rFonts w:hint="eastAsia" w:ascii="仿宋" w:hAnsi="仿宋" w:eastAsia="仿宋" w:cs="仿宋"/>
                <w:bCs/>
                <w:color w:val="auto"/>
                <w:highlight w:val="none"/>
              </w:rPr>
              <w:t>份数</w:t>
            </w:r>
          </w:p>
        </w:tc>
        <w:tc>
          <w:tcPr>
            <w:tcW w:w="2014" w:type="dxa"/>
            <w:vAlign w:val="center"/>
          </w:tcPr>
          <w:p>
            <w:pPr>
              <w:spacing w:line="360" w:lineRule="auto"/>
              <w:jc w:val="center"/>
              <w:rPr>
                <w:rFonts w:ascii="仿宋" w:hAnsi="仿宋" w:eastAsia="仿宋" w:cs="仿宋"/>
                <w:bCs/>
                <w:color w:val="auto"/>
                <w:highlight w:val="none"/>
              </w:rPr>
            </w:pPr>
            <w:r>
              <w:rPr>
                <w:rFonts w:hint="eastAsia" w:ascii="仿宋" w:hAnsi="仿宋" w:eastAsia="仿宋" w:cs="仿宋"/>
                <w:bCs/>
                <w:color w:val="auto"/>
                <w:highlight w:val="none"/>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restart"/>
            <w:vAlign w:val="center"/>
          </w:tcPr>
          <w:p>
            <w:pPr>
              <w:pStyle w:val="15"/>
              <w:widowControl w:val="0"/>
              <w:spacing w:line="360" w:lineRule="auto"/>
              <w:jc w:val="center"/>
              <w:rPr>
                <w:rFonts w:ascii="仿宋" w:hAnsi="仿宋" w:eastAsia="仿宋" w:cs="仿宋"/>
                <w:bCs/>
                <w:color w:val="auto"/>
                <w:highlight w:val="none"/>
              </w:rPr>
            </w:pPr>
            <w:r>
              <w:rPr>
                <w:rFonts w:hint="eastAsia" w:ascii="仿宋" w:hAnsi="仿宋" w:eastAsia="仿宋" w:cs="仿宋"/>
                <w:bCs/>
                <w:color w:val="auto"/>
                <w:highlight w:val="none"/>
              </w:rPr>
              <w:t>决策阶段</w:t>
            </w:r>
          </w:p>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78" w:type="dxa"/>
          </w:tcPr>
          <w:p>
            <w:pPr>
              <w:spacing w:line="360" w:lineRule="auto"/>
              <w:jc w:val="left"/>
              <w:rPr>
                <w:rFonts w:ascii="仿宋" w:hAnsi="仿宋" w:eastAsia="仿宋" w:cs="仿宋"/>
                <w:b/>
                <w:bCs/>
                <w:color w:val="auto"/>
                <w:sz w:val="36"/>
                <w:szCs w:val="36"/>
                <w:highlight w:val="none"/>
              </w:rPr>
            </w:pPr>
          </w:p>
        </w:tc>
        <w:tc>
          <w:tcPr>
            <w:tcW w:w="1566" w:type="dxa"/>
          </w:tcPr>
          <w:p>
            <w:pPr>
              <w:spacing w:line="360" w:lineRule="auto"/>
              <w:jc w:val="left"/>
              <w:rPr>
                <w:rFonts w:ascii="仿宋" w:hAnsi="仿宋" w:eastAsia="仿宋" w:cs="仿宋"/>
                <w:b/>
                <w:bCs/>
                <w:color w:val="auto"/>
                <w:sz w:val="36"/>
                <w:szCs w:val="36"/>
                <w:highlight w:val="none"/>
              </w:rPr>
            </w:pPr>
          </w:p>
        </w:tc>
        <w:tc>
          <w:tcPr>
            <w:tcW w:w="2014" w:type="dxa"/>
          </w:tcPr>
          <w:p>
            <w:pPr>
              <w:spacing w:line="360" w:lineRule="auto"/>
              <w:jc w:val="left"/>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continue"/>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78" w:type="dxa"/>
          </w:tcPr>
          <w:p>
            <w:pPr>
              <w:spacing w:line="360" w:lineRule="auto"/>
              <w:jc w:val="left"/>
              <w:rPr>
                <w:rFonts w:ascii="仿宋" w:hAnsi="仿宋" w:eastAsia="仿宋" w:cs="仿宋"/>
                <w:b/>
                <w:bCs/>
                <w:color w:val="auto"/>
                <w:sz w:val="36"/>
                <w:szCs w:val="36"/>
                <w:highlight w:val="none"/>
              </w:rPr>
            </w:pPr>
          </w:p>
        </w:tc>
        <w:tc>
          <w:tcPr>
            <w:tcW w:w="1566" w:type="dxa"/>
          </w:tcPr>
          <w:p>
            <w:pPr>
              <w:spacing w:line="360" w:lineRule="auto"/>
              <w:jc w:val="left"/>
              <w:rPr>
                <w:rFonts w:ascii="仿宋" w:hAnsi="仿宋" w:eastAsia="仿宋" w:cs="仿宋"/>
                <w:b/>
                <w:bCs/>
                <w:color w:val="auto"/>
                <w:sz w:val="36"/>
                <w:szCs w:val="36"/>
                <w:highlight w:val="none"/>
              </w:rPr>
            </w:pPr>
          </w:p>
        </w:tc>
        <w:tc>
          <w:tcPr>
            <w:tcW w:w="2014" w:type="dxa"/>
          </w:tcPr>
          <w:p>
            <w:pPr>
              <w:spacing w:line="360" w:lineRule="auto"/>
              <w:jc w:val="left"/>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continue"/>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78" w:type="dxa"/>
          </w:tcPr>
          <w:p>
            <w:pPr>
              <w:spacing w:line="360" w:lineRule="auto"/>
              <w:jc w:val="left"/>
              <w:rPr>
                <w:rFonts w:ascii="仿宋" w:hAnsi="仿宋" w:eastAsia="仿宋" w:cs="仿宋"/>
                <w:b/>
                <w:bCs/>
                <w:color w:val="auto"/>
                <w:sz w:val="36"/>
                <w:szCs w:val="36"/>
                <w:highlight w:val="none"/>
              </w:rPr>
            </w:pPr>
          </w:p>
        </w:tc>
        <w:tc>
          <w:tcPr>
            <w:tcW w:w="1566" w:type="dxa"/>
          </w:tcPr>
          <w:p>
            <w:pPr>
              <w:spacing w:line="360" w:lineRule="auto"/>
              <w:jc w:val="left"/>
              <w:rPr>
                <w:rFonts w:ascii="仿宋" w:hAnsi="仿宋" w:eastAsia="仿宋" w:cs="仿宋"/>
                <w:b/>
                <w:bCs/>
                <w:color w:val="auto"/>
                <w:sz w:val="36"/>
                <w:szCs w:val="36"/>
                <w:highlight w:val="none"/>
              </w:rPr>
            </w:pPr>
          </w:p>
        </w:tc>
        <w:tc>
          <w:tcPr>
            <w:tcW w:w="2014" w:type="dxa"/>
          </w:tcPr>
          <w:p>
            <w:pPr>
              <w:spacing w:line="360" w:lineRule="auto"/>
              <w:jc w:val="left"/>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restart"/>
            <w:vAlign w:val="center"/>
          </w:tcPr>
          <w:p>
            <w:pPr>
              <w:pStyle w:val="15"/>
              <w:widowControl w:val="0"/>
              <w:spacing w:line="360" w:lineRule="auto"/>
              <w:jc w:val="center"/>
              <w:rPr>
                <w:rFonts w:ascii="仿宋" w:hAnsi="仿宋" w:eastAsia="仿宋" w:cs="仿宋"/>
                <w:bCs/>
                <w:color w:val="auto"/>
                <w:highlight w:val="none"/>
              </w:rPr>
            </w:pPr>
            <w:r>
              <w:rPr>
                <w:rFonts w:hint="eastAsia" w:ascii="仿宋" w:hAnsi="仿宋" w:eastAsia="仿宋" w:cs="仿宋"/>
                <w:bCs/>
                <w:color w:val="auto"/>
                <w:highlight w:val="none"/>
              </w:rPr>
              <w:t>设计阶段</w:t>
            </w:r>
          </w:p>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概算审核</w:t>
            </w:r>
          </w:p>
        </w:tc>
        <w:tc>
          <w:tcPr>
            <w:tcW w:w="1565" w:type="dxa"/>
          </w:tcPr>
          <w:p>
            <w:pPr>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概算审核报告</w:t>
            </w:r>
          </w:p>
        </w:tc>
        <w:tc>
          <w:tcPr>
            <w:tcW w:w="1578" w:type="dxa"/>
          </w:tcPr>
          <w:p>
            <w:pPr>
              <w:spacing w:line="360" w:lineRule="auto"/>
              <w:jc w:val="left"/>
              <w:rPr>
                <w:rFonts w:ascii="仿宋" w:hAnsi="仿宋" w:eastAsia="仿宋" w:cs="仿宋"/>
                <w:b/>
                <w:bCs/>
                <w:color w:val="auto"/>
                <w:highlight w:val="none"/>
              </w:rPr>
            </w:pPr>
          </w:p>
        </w:tc>
        <w:tc>
          <w:tcPr>
            <w:tcW w:w="1566" w:type="dxa"/>
          </w:tcPr>
          <w:p>
            <w:pPr>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7</w:t>
            </w:r>
          </w:p>
        </w:tc>
        <w:tc>
          <w:tcPr>
            <w:tcW w:w="2014" w:type="dxa"/>
          </w:tcPr>
          <w:p>
            <w:pPr>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《建设工程造价咨询成果文件质量标准》（CECA/GC7-2012）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continue"/>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78" w:type="dxa"/>
          </w:tcPr>
          <w:p>
            <w:pPr>
              <w:spacing w:line="360" w:lineRule="auto"/>
              <w:jc w:val="left"/>
              <w:rPr>
                <w:rFonts w:ascii="仿宋" w:hAnsi="仿宋" w:eastAsia="仿宋" w:cs="仿宋"/>
                <w:b/>
                <w:bCs/>
                <w:color w:val="auto"/>
                <w:sz w:val="36"/>
                <w:szCs w:val="36"/>
                <w:highlight w:val="none"/>
              </w:rPr>
            </w:pPr>
          </w:p>
        </w:tc>
        <w:tc>
          <w:tcPr>
            <w:tcW w:w="1566" w:type="dxa"/>
          </w:tcPr>
          <w:p>
            <w:pPr>
              <w:spacing w:line="360" w:lineRule="auto"/>
              <w:jc w:val="left"/>
              <w:rPr>
                <w:rFonts w:ascii="仿宋" w:hAnsi="仿宋" w:eastAsia="仿宋" w:cs="仿宋"/>
                <w:b/>
                <w:bCs/>
                <w:color w:val="auto"/>
                <w:sz w:val="36"/>
                <w:szCs w:val="36"/>
                <w:highlight w:val="none"/>
              </w:rPr>
            </w:pPr>
          </w:p>
        </w:tc>
        <w:tc>
          <w:tcPr>
            <w:tcW w:w="2014" w:type="dxa"/>
          </w:tcPr>
          <w:p>
            <w:pPr>
              <w:spacing w:line="360" w:lineRule="auto"/>
              <w:jc w:val="left"/>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continue"/>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78" w:type="dxa"/>
          </w:tcPr>
          <w:p>
            <w:pPr>
              <w:spacing w:line="360" w:lineRule="auto"/>
              <w:jc w:val="left"/>
              <w:rPr>
                <w:rFonts w:ascii="仿宋" w:hAnsi="仿宋" w:eastAsia="仿宋" w:cs="仿宋"/>
                <w:b/>
                <w:bCs/>
                <w:color w:val="auto"/>
                <w:sz w:val="36"/>
                <w:szCs w:val="36"/>
                <w:highlight w:val="none"/>
              </w:rPr>
            </w:pPr>
          </w:p>
        </w:tc>
        <w:tc>
          <w:tcPr>
            <w:tcW w:w="1566" w:type="dxa"/>
          </w:tcPr>
          <w:p>
            <w:pPr>
              <w:spacing w:line="360" w:lineRule="auto"/>
              <w:jc w:val="left"/>
              <w:rPr>
                <w:rFonts w:ascii="仿宋" w:hAnsi="仿宋" w:eastAsia="仿宋" w:cs="仿宋"/>
                <w:b/>
                <w:bCs/>
                <w:color w:val="auto"/>
                <w:sz w:val="36"/>
                <w:szCs w:val="36"/>
                <w:highlight w:val="none"/>
              </w:rPr>
            </w:pPr>
          </w:p>
        </w:tc>
        <w:tc>
          <w:tcPr>
            <w:tcW w:w="2014" w:type="dxa"/>
          </w:tcPr>
          <w:p>
            <w:pPr>
              <w:spacing w:line="360" w:lineRule="auto"/>
              <w:jc w:val="left"/>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restart"/>
            <w:vAlign w:val="center"/>
          </w:tcPr>
          <w:p>
            <w:pPr>
              <w:pStyle w:val="15"/>
              <w:widowControl w:val="0"/>
              <w:spacing w:line="360" w:lineRule="auto"/>
              <w:jc w:val="center"/>
              <w:rPr>
                <w:rFonts w:ascii="仿宋" w:hAnsi="仿宋" w:eastAsia="仿宋" w:cs="仿宋"/>
                <w:bCs/>
                <w:color w:val="auto"/>
                <w:highlight w:val="none"/>
              </w:rPr>
            </w:pPr>
            <w:r>
              <w:rPr>
                <w:rFonts w:hint="eastAsia" w:ascii="仿宋" w:hAnsi="仿宋" w:eastAsia="仿宋" w:cs="仿宋"/>
                <w:bCs/>
                <w:color w:val="auto"/>
                <w:highlight w:val="none"/>
              </w:rPr>
              <w:t>发承包阶段</w:t>
            </w:r>
          </w:p>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78" w:type="dxa"/>
          </w:tcPr>
          <w:p>
            <w:pPr>
              <w:spacing w:line="360" w:lineRule="auto"/>
              <w:jc w:val="left"/>
              <w:rPr>
                <w:rFonts w:ascii="仿宋" w:hAnsi="仿宋" w:eastAsia="仿宋" w:cs="仿宋"/>
                <w:b/>
                <w:bCs/>
                <w:color w:val="auto"/>
                <w:sz w:val="36"/>
                <w:szCs w:val="36"/>
                <w:highlight w:val="none"/>
              </w:rPr>
            </w:pPr>
          </w:p>
        </w:tc>
        <w:tc>
          <w:tcPr>
            <w:tcW w:w="1566" w:type="dxa"/>
          </w:tcPr>
          <w:p>
            <w:pPr>
              <w:spacing w:line="360" w:lineRule="auto"/>
              <w:jc w:val="left"/>
              <w:rPr>
                <w:rFonts w:ascii="仿宋" w:hAnsi="仿宋" w:eastAsia="仿宋" w:cs="仿宋"/>
                <w:b/>
                <w:bCs/>
                <w:color w:val="auto"/>
                <w:sz w:val="36"/>
                <w:szCs w:val="36"/>
                <w:highlight w:val="none"/>
              </w:rPr>
            </w:pPr>
          </w:p>
        </w:tc>
        <w:tc>
          <w:tcPr>
            <w:tcW w:w="2014" w:type="dxa"/>
          </w:tcPr>
          <w:p>
            <w:pPr>
              <w:spacing w:line="360" w:lineRule="auto"/>
              <w:jc w:val="left"/>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continue"/>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78" w:type="dxa"/>
          </w:tcPr>
          <w:p>
            <w:pPr>
              <w:spacing w:line="360" w:lineRule="auto"/>
              <w:jc w:val="left"/>
              <w:rPr>
                <w:rFonts w:ascii="仿宋" w:hAnsi="仿宋" w:eastAsia="仿宋" w:cs="仿宋"/>
                <w:b/>
                <w:bCs/>
                <w:color w:val="auto"/>
                <w:sz w:val="36"/>
                <w:szCs w:val="36"/>
                <w:highlight w:val="none"/>
              </w:rPr>
            </w:pPr>
          </w:p>
        </w:tc>
        <w:tc>
          <w:tcPr>
            <w:tcW w:w="1566" w:type="dxa"/>
          </w:tcPr>
          <w:p>
            <w:pPr>
              <w:spacing w:line="360" w:lineRule="auto"/>
              <w:jc w:val="left"/>
              <w:rPr>
                <w:rFonts w:ascii="仿宋" w:hAnsi="仿宋" w:eastAsia="仿宋" w:cs="仿宋"/>
                <w:b/>
                <w:bCs/>
                <w:color w:val="auto"/>
                <w:sz w:val="36"/>
                <w:szCs w:val="36"/>
                <w:highlight w:val="none"/>
              </w:rPr>
            </w:pPr>
          </w:p>
        </w:tc>
        <w:tc>
          <w:tcPr>
            <w:tcW w:w="2014" w:type="dxa"/>
          </w:tcPr>
          <w:p>
            <w:pPr>
              <w:spacing w:line="360" w:lineRule="auto"/>
              <w:jc w:val="left"/>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566" w:type="dxa"/>
            <w:vMerge w:val="restart"/>
            <w:vAlign w:val="center"/>
          </w:tcPr>
          <w:p>
            <w:pPr>
              <w:pStyle w:val="15"/>
              <w:widowControl w:val="0"/>
              <w:spacing w:line="360" w:lineRule="auto"/>
              <w:jc w:val="center"/>
              <w:rPr>
                <w:rFonts w:ascii="仿宋" w:hAnsi="仿宋" w:eastAsia="仿宋" w:cs="仿宋"/>
                <w:bCs/>
                <w:color w:val="auto"/>
                <w:highlight w:val="none"/>
              </w:rPr>
            </w:pPr>
            <w:r>
              <w:rPr>
                <w:rFonts w:hint="eastAsia" w:ascii="仿宋" w:hAnsi="仿宋" w:eastAsia="仿宋" w:cs="仿宋"/>
                <w:bCs/>
                <w:color w:val="auto"/>
                <w:highlight w:val="none"/>
              </w:rPr>
              <w:t>实施阶段</w:t>
            </w:r>
          </w:p>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78" w:type="dxa"/>
          </w:tcPr>
          <w:p>
            <w:pPr>
              <w:spacing w:line="360" w:lineRule="auto"/>
              <w:jc w:val="left"/>
              <w:rPr>
                <w:rFonts w:ascii="仿宋" w:hAnsi="仿宋" w:eastAsia="仿宋" w:cs="仿宋"/>
                <w:b/>
                <w:bCs/>
                <w:color w:val="auto"/>
                <w:sz w:val="36"/>
                <w:szCs w:val="36"/>
                <w:highlight w:val="none"/>
              </w:rPr>
            </w:pPr>
          </w:p>
        </w:tc>
        <w:tc>
          <w:tcPr>
            <w:tcW w:w="1566" w:type="dxa"/>
          </w:tcPr>
          <w:p>
            <w:pPr>
              <w:spacing w:line="360" w:lineRule="auto"/>
              <w:jc w:val="left"/>
              <w:rPr>
                <w:rFonts w:ascii="仿宋" w:hAnsi="仿宋" w:eastAsia="仿宋" w:cs="仿宋"/>
                <w:b/>
                <w:bCs/>
                <w:color w:val="auto"/>
                <w:sz w:val="36"/>
                <w:szCs w:val="36"/>
                <w:highlight w:val="none"/>
              </w:rPr>
            </w:pPr>
          </w:p>
        </w:tc>
        <w:tc>
          <w:tcPr>
            <w:tcW w:w="2014" w:type="dxa"/>
          </w:tcPr>
          <w:p>
            <w:pPr>
              <w:spacing w:line="360" w:lineRule="auto"/>
              <w:jc w:val="left"/>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continue"/>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78" w:type="dxa"/>
          </w:tcPr>
          <w:p>
            <w:pPr>
              <w:spacing w:line="360" w:lineRule="auto"/>
              <w:jc w:val="left"/>
              <w:rPr>
                <w:rFonts w:ascii="仿宋" w:hAnsi="仿宋" w:eastAsia="仿宋" w:cs="仿宋"/>
                <w:b/>
                <w:bCs/>
                <w:color w:val="auto"/>
                <w:sz w:val="36"/>
                <w:szCs w:val="36"/>
                <w:highlight w:val="none"/>
              </w:rPr>
            </w:pPr>
          </w:p>
        </w:tc>
        <w:tc>
          <w:tcPr>
            <w:tcW w:w="1566" w:type="dxa"/>
          </w:tcPr>
          <w:p>
            <w:pPr>
              <w:spacing w:line="360" w:lineRule="auto"/>
              <w:jc w:val="left"/>
              <w:rPr>
                <w:rFonts w:ascii="仿宋" w:hAnsi="仿宋" w:eastAsia="仿宋" w:cs="仿宋"/>
                <w:b/>
                <w:bCs/>
                <w:color w:val="auto"/>
                <w:sz w:val="36"/>
                <w:szCs w:val="36"/>
                <w:highlight w:val="none"/>
              </w:rPr>
            </w:pPr>
          </w:p>
        </w:tc>
        <w:tc>
          <w:tcPr>
            <w:tcW w:w="2014" w:type="dxa"/>
          </w:tcPr>
          <w:p>
            <w:pPr>
              <w:spacing w:line="360" w:lineRule="auto"/>
              <w:jc w:val="left"/>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restart"/>
            <w:vAlign w:val="center"/>
          </w:tcPr>
          <w:p>
            <w:pPr>
              <w:pStyle w:val="15"/>
              <w:spacing w:line="360" w:lineRule="auto"/>
              <w:jc w:val="center"/>
              <w:rPr>
                <w:rFonts w:ascii="仿宋" w:hAnsi="仿宋" w:eastAsia="仿宋" w:cs="仿宋"/>
                <w:b/>
                <w:bCs/>
                <w:color w:val="auto"/>
                <w:sz w:val="36"/>
                <w:szCs w:val="36"/>
                <w:highlight w:val="none"/>
              </w:rPr>
            </w:pPr>
            <w:r>
              <w:rPr>
                <w:rFonts w:hint="eastAsia" w:ascii="仿宋" w:hAnsi="仿宋" w:eastAsia="仿宋" w:cs="仿宋"/>
                <w:bCs/>
                <w:color w:val="auto"/>
                <w:highlight w:val="none"/>
              </w:rPr>
              <w:t>竣工阶段</w:t>
            </w:r>
          </w:p>
        </w:tc>
        <w:tc>
          <w:tcPr>
            <w:tcW w:w="1565" w:type="dxa"/>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78" w:type="dxa"/>
          </w:tcPr>
          <w:p>
            <w:pPr>
              <w:spacing w:line="360" w:lineRule="auto"/>
              <w:jc w:val="left"/>
              <w:rPr>
                <w:rFonts w:ascii="仿宋" w:hAnsi="仿宋" w:eastAsia="仿宋" w:cs="仿宋"/>
                <w:b/>
                <w:bCs/>
                <w:color w:val="auto"/>
                <w:sz w:val="36"/>
                <w:szCs w:val="36"/>
                <w:highlight w:val="none"/>
              </w:rPr>
            </w:pPr>
          </w:p>
        </w:tc>
        <w:tc>
          <w:tcPr>
            <w:tcW w:w="1566" w:type="dxa"/>
          </w:tcPr>
          <w:p>
            <w:pPr>
              <w:spacing w:line="360" w:lineRule="auto"/>
              <w:jc w:val="left"/>
              <w:rPr>
                <w:rFonts w:ascii="仿宋" w:hAnsi="仿宋" w:eastAsia="仿宋" w:cs="仿宋"/>
                <w:b/>
                <w:bCs/>
                <w:color w:val="auto"/>
                <w:sz w:val="36"/>
                <w:szCs w:val="36"/>
                <w:highlight w:val="none"/>
              </w:rPr>
            </w:pPr>
          </w:p>
        </w:tc>
        <w:tc>
          <w:tcPr>
            <w:tcW w:w="2014" w:type="dxa"/>
          </w:tcPr>
          <w:p>
            <w:pPr>
              <w:spacing w:line="360" w:lineRule="auto"/>
              <w:jc w:val="left"/>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Merge w:val="continue"/>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78" w:type="dxa"/>
          </w:tcPr>
          <w:p>
            <w:pPr>
              <w:spacing w:line="360" w:lineRule="auto"/>
              <w:jc w:val="left"/>
              <w:rPr>
                <w:rFonts w:ascii="仿宋" w:hAnsi="仿宋" w:eastAsia="仿宋" w:cs="仿宋"/>
                <w:b/>
                <w:bCs/>
                <w:color w:val="auto"/>
                <w:sz w:val="36"/>
                <w:szCs w:val="36"/>
                <w:highlight w:val="none"/>
              </w:rPr>
            </w:pPr>
          </w:p>
        </w:tc>
        <w:tc>
          <w:tcPr>
            <w:tcW w:w="1566" w:type="dxa"/>
          </w:tcPr>
          <w:p>
            <w:pPr>
              <w:spacing w:line="360" w:lineRule="auto"/>
              <w:jc w:val="left"/>
              <w:rPr>
                <w:rFonts w:ascii="仿宋" w:hAnsi="仿宋" w:eastAsia="仿宋" w:cs="仿宋"/>
                <w:b/>
                <w:bCs/>
                <w:color w:val="auto"/>
                <w:sz w:val="36"/>
                <w:szCs w:val="36"/>
                <w:highlight w:val="none"/>
              </w:rPr>
            </w:pPr>
          </w:p>
        </w:tc>
        <w:tc>
          <w:tcPr>
            <w:tcW w:w="2014" w:type="dxa"/>
          </w:tcPr>
          <w:p>
            <w:pPr>
              <w:spacing w:line="360" w:lineRule="auto"/>
              <w:jc w:val="left"/>
              <w:rPr>
                <w:rFonts w:ascii="仿宋" w:hAnsi="仿宋" w:eastAsia="仿宋" w:cs="仿宋"/>
                <w:b/>
                <w:bCs/>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Align w:val="center"/>
          </w:tcPr>
          <w:p>
            <w:pPr>
              <w:spacing w:line="360" w:lineRule="auto"/>
              <w:jc w:val="center"/>
              <w:rPr>
                <w:rFonts w:ascii="仿宋" w:hAnsi="仿宋" w:eastAsia="仿宋" w:cs="仿宋"/>
                <w:bCs/>
                <w:color w:val="auto"/>
                <w:highlight w:val="none"/>
              </w:rPr>
            </w:pPr>
            <w:r>
              <w:rPr>
                <w:rFonts w:hint="eastAsia" w:ascii="仿宋" w:hAnsi="仿宋" w:eastAsia="仿宋" w:cs="仿宋"/>
                <w:bCs/>
                <w:color w:val="auto"/>
                <w:highlight w:val="none"/>
              </w:rPr>
              <w:t>其他服务</w:t>
            </w:r>
          </w:p>
        </w:tc>
        <w:tc>
          <w:tcPr>
            <w:tcW w:w="1565" w:type="dxa"/>
          </w:tcPr>
          <w:p>
            <w:pPr>
              <w:spacing w:line="360" w:lineRule="auto"/>
              <w:jc w:val="left"/>
              <w:rPr>
                <w:rFonts w:ascii="仿宋" w:hAnsi="仿宋" w:eastAsia="仿宋" w:cs="仿宋"/>
                <w:b/>
                <w:bCs/>
                <w:color w:val="auto"/>
                <w:sz w:val="36"/>
                <w:szCs w:val="36"/>
                <w:highlight w:val="none"/>
              </w:rPr>
            </w:pPr>
          </w:p>
        </w:tc>
        <w:tc>
          <w:tcPr>
            <w:tcW w:w="1565" w:type="dxa"/>
          </w:tcPr>
          <w:p>
            <w:pPr>
              <w:spacing w:line="360" w:lineRule="auto"/>
              <w:jc w:val="left"/>
              <w:rPr>
                <w:rFonts w:ascii="仿宋" w:hAnsi="仿宋" w:eastAsia="仿宋" w:cs="仿宋"/>
                <w:b/>
                <w:bCs/>
                <w:color w:val="auto"/>
                <w:sz w:val="36"/>
                <w:szCs w:val="36"/>
                <w:highlight w:val="none"/>
              </w:rPr>
            </w:pPr>
          </w:p>
        </w:tc>
        <w:tc>
          <w:tcPr>
            <w:tcW w:w="1578" w:type="dxa"/>
          </w:tcPr>
          <w:p>
            <w:pPr>
              <w:spacing w:line="360" w:lineRule="auto"/>
              <w:jc w:val="left"/>
              <w:rPr>
                <w:rFonts w:ascii="仿宋" w:hAnsi="仿宋" w:eastAsia="仿宋" w:cs="仿宋"/>
                <w:b/>
                <w:bCs/>
                <w:color w:val="auto"/>
                <w:sz w:val="36"/>
                <w:szCs w:val="36"/>
                <w:highlight w:val="none"/>
              </w:rPr>
            </w:pPr>
          </w:p>
        </w:tc>
        <w:tc>
          <w:tcPr>
            <w:tcW w:w="1566" w:type="dxa"/>
          </w:tcPr>
          <w:p>
            <w:pPr>
              <w:spacing w:line="360" w:lineRule="auto"/>
              <w:jc w:val="left"/>
              <w:rPr>
                <w:rFonts w:ascii="仿宋" w:hAnsi="仿宋" w:eastAsia="仿宋" w:cs="仿宋"/>
                <w:b/>
                <w:bCs/>
                <w:color w:val="auto"/>
                <w:sz w:val="36"/>
                <w:szCs w:val="36"/>
                <w:highlight w:val="none"/>
              </w:rPr>
            </w:pPr>
          </w:p>
        </w:tc>
        <w:tc>
          <w:tcPr>
            <w:tcW w:w="2014" w:type="dxa"/>
          </w:tcPr>
          <w:p>
            <w:pPr>
              <w:spacing w:line="360" w:lineRule="auto"/>
              <w:jc w:val="left"/>
              <w:rPr>
                <w:rFonts w:ascii="仿宋" w:hAnsi="仿宋" w:eastAsia="仿宋" w:cs="仿宋"/>
                <w:b/>
                <w:bCs/>
                <w:color w:val="auto"/>
                <w:sz w:val="36"/>
                <w:szCs w:val="36"/>
                <w:highlight w:val="none"/>
              </w:rPr>
            </w:pPr>
          </w:p>
        </w:tc>
      </w:tr>
    </w:tbl>
    <w:p>
      <w:pPr>
        <w:pStyle w:val="9"/>
        <w:ind w:left="0" w:leftChars="0"/>
        <w:jc w:val="center"/>
        <w:rPr>
          <w:rFonts w:ascii="仿宋" w:hAnsi="仿宋" w:eastAsia="仿宋" w:cs="仿宋"/>
          <w:color w:val="auto"/>
          <w:sz w:val="24"/>
          <w:szCs w:val="24"/>
          <w:highlight w:val="none"/>
        </w:rPr>
      </w:pPr>
      <w:bookmarkStart w:id="151" w:name="_Toc475975203"/>
      <w:bookmarkStart w:id="152" w:name="_Toc419045128"/>
      <w:bookmarkStart w:id="153" w:name="_Toc15314"/>
      <w:r>
        <w:rPr>
          <w:rFonts w:hint="eastAsia" w:ascii="仿宋" w:hAnsi="仿宋" w:eastAsia="仿宋" w:cs="仿宋"/>
          <w:color w:val="auto"/>
          <w:sz w:val="24"/>
          <w:szCs w:val="24"/>
          <w:highlight w:val="none"/>
        </w:rPr>
        <w:t>附录C　委托人提供资料一览表</w:t>
      </w:r>
      <w:bookmarkEnd w:id="151"/>
      <w:bookmarkEnd w:id="152"/>
      <w:r>
        <w:rPr>
          <w:rFonts w:hint="eastAsia" w:ascii="仿宋" w:hAnsi="仿宋" w:eastAsia="仿宋" w:cs="仿宋"/>
          <w:color w:val="auto"/>
          <w:sz w:val="24"/>
          <w:szCs w:val="24"/>
          <w:highlight w:val="none"/>
        </w:rPr>
        <w:t>（参照）</w:t>
      </w:r>
      <w:bookmarkEnd w:id="153"/>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工程概算编制（审核）需委托人提供的资料</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837"/>
        <w:gridCol w:w="1338"/>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559" w:type="dxa"/>
            <w:vAlign w:val="center"/>
          </w:tcPr>
          <w:p>
            <w:pPr>
              <w:pStyle w:val="15"/>
              <w:widowControl w:val="0"/>
              <w:jc w:val="center"/>
              <w:rPr>
                <w:rFonts w:ascii="仿宋" w:hAnsi="仿宋" w:eastAsia="仿宋" w:cs="仿宋"/>
                <w:b/>
                <w:color w:val="auto"/>
                <w:highlight w:val="none"/>
              </w:rPr>
            </w:pPr>
            <w:r>
              <w:rPr>
                <w:rFonts w:hint="eastAsia" w:ascii="仿宋" w:hAnsi="仿宋" w:eastAsia="仿宋" w:cs="仿宋"/>
                <w:b/>
                <w:color w:val="auto"/>
                <w:highlight w:val="none"/>
              </w:rPr>
              <w:t>名称</w:t>
            </w:r>
          </w:p>
        </w:tc>
        <w:tc>
          <w:tcPr>
            <w:tcW w:w="837" w:type="dxa"/>
            <w:vAlign w:val="center"/>
          </w:tcPr>
          <w:p>
            <w:pPr>
              <w:pStyle w:val="15"/>
              <w:widowControl w:val="0"/>
              <w:jc w:val="center"/>
              <w:rPr>
                <w:rFonts w:ascii="仿宋" w:hAnsi="仿宋" w:eastAsia="仿宋" w:cs="仿宋"/>
                <w:b/>
                <w:color w:val="auto"/>
                <w:highlight w:val="none"/>
              </w:rPr>
            </w:pPr>
            <w:r>
              <w:rPr>
                <w:rFonts w:hint="eastAsia" w:ascii="仿宋" w:hAnsi="仿宋" w:eastAsia="仿宋" w:cs="仿宋"/>
                <w:b/>
                <w:color w:val="auto"/>
                <w:highlight w:val="none"/>
              </w:rPr>
              <w:t>份数</w:t>
            </w:r>
          </w:p>
        </w:tc>
        <w:tc>
          <w:tcPr>
            <w:tcW w:w="1338" w:type="dxa"/>
            <w:vAlign w:val="center"/>
          </w:tcPr>
          <w:p>
            <w:pPr>
              <w:pStyle w:val="15"/>
              <w:widowControl w:val="0"/>
              <w:jc w:val="center"/>
              <w:rPr>
                <w:rFonts w:ascii="仿宋" w:hAnsi="仿宋" w:eastAsia="仿宋" w:cs="仿宋"/>
                <w:b/>
                <w:color w:val="auto"/>
                <w:highlight w:val="none"/>
              </w:rPr>
            </w:pPr>
            <w:r>
              <w:rPr>
                <w:rFonts w:hint="eastAsia" w:ascii="仿宋" w:hAnsi="仿宋" w:eastAsia="仿宋" w:cs="仿宋"/>
                <w:b/>
                <w:color w:val="auto"/>
                <w:highlight w:val="none"/>
              </w:rPr>
              <w:t>提供时间</w:t>
            </w:r>
          </w:p>
        </w:tc>
        <w:tc>
          <w:tcPr>
            <w:tcW w:w="2207" w:type="dxa"/>
            <w:vAlign w:val="center"/>
          </w:tcPr>
          <w:p>
            <w:pPr>
              <w:pStyle w:val="15"/>
              <w:widowControl w:val="0"/>
              <w:jc w:val="center"/>
              <w:rPr>
                <w:rFonts w:ascii="仿宋" w:hAnsi="仿宋" w:eastAsia="仿宋" w:cs="仿宋"/>
                <w:b/>
                <w:color w:val="auto"/>
                <w:highlight w:val="none"/>
              </w:rPr>
            </w:pPr>
            <w:r>
              <w:rPr>
                <w:rFonts w:hint="eastAsia" w:ascii="仿宋" w:hAnsi="仿宋" w:eastAsia="仿宋" w:cs="仿宋"/>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559" w:type="dxa"/>
          </w:tcPr>
          <w:p>
            <w:pPr>
              <w:numPr>
                <w:ilvl w:val="1"/>
                <w:numId w:val="4"/>
              </w:numPr>
              <w:tabs>
                <w:tab w:val="left" w:pos="448"/>
              </w:tabs>
              <w:spacing w:before="100" w:beforeAutospacing="1" w:after="156" w:afterLines="50"/>
              <w:ind w:left="165" w:firstLine="375"/>
              <w:jc w:val="left"/>
              <w:rPr>
                <w:rFonts w:ascii="仿宋" w:hAnsi="仿宋" w:eastAsia="仿宋" w:cs="仿宋"/>
                <w:color w:val="auto"/>
                <w:highlight w:val="none"/>
              </w:rPr>
            </w:pPr>
            <w:r>
              <w:rPr>
                <w:rFonts w:hint="eastAsia" w:ascii="仿宋" w:hAnsi="仿宋" w:eastAsia="仿宋" w:cs="仿宋"/>
                <w:color w:val="auto"/>
                <w:highlight w:val="none"/>
              </w:rPr>
              <w:t>工程初步设计图纸、主要材料设备清单等设计文件；</w:t>
            </w:r>
          </w:p>
        </w:tc>
        <w:tc>
          <w:tcPr>
            <w:tcW w:w="837" w:type="dxa"/>
            <w:vAlign w:val="center"/>
          </w:tcPr>
          <w:p>
            <w:pPr>
              <w:rPr>
                <w:rFonts w:ascii="仿宋" w:hAnsi="仿宋" w:eastAsia="仿宋" w:cs="仿宋"/>
                <w:color w:val="auto"/>
                <w:highlight w:val="none"/>
              </w:rPr>
            </w:pPr>
            <w:r>
              <w:rPr>
                <w:rFonts w:hint="eastAsia" w:ascii="仿宋" w:hAnsi="仿宋" w:eastAsia="仿宋" w:cs="仿宋"/>
                <w:color w:val="auto"/>
                <w:highlight w:val="none"/>
              </w:rPr>
              <w:t>1</w:t>
            </w:r>
          </w:p>
        </w:tc>
        <w:tc>
          <w:tcPr>
            <w:tcW w:w="1338" w:type="dxa"/>
            <w:vAlign w:val="center"/>
          </w:tcPr>
          <w:p>
            <w:pPr>
              <w:rPr>
                <w:rFonts w:ascii="仿宋" w:hAnsi="仿宋" w:eastAsia="仿宋" w:cs="仿宋"/>
                <w:color w:val="auto"/>
                <w:highlight w:val="none"/>
              </w:rPr>
            </w:pPr>
            <w:r>
              <w:rPr>
                <w:rFonts w:hint="eastAsia" w:ascii="仿宋" w:hAnsi="仿宋" w:eastAsia="仿宋" w:cs="仿宋"/>
                <w:color w:val="auto"/>
                <w:highlight w:val="none"/>
              </w:rPr>
              <w:t>按实际需要提供</w:t>
            </w:r>
          </w:p>
        </w:tc>
        <w:tc>
          <w:tcPr>
            <w:tcW w:w="2207" w:type="dxa"/>
            <w:vAlign w:val="center"/>
          </w:tcPr>
          <w:p>
            <w:pPr>
              <w:rPr>
                <w:rFonts w:ascii="仿宋" w:hAnsi="仿宋" w:eastAsia="仿宋" w:cs="仿宋"/>
                <w:color w:val="auto"/>
                <w:highlight w:val="none"/>
              </w:rPr>
            </w:pPr>
            <w:r>
              <w:rPr>
                <w:rFonts w:hint="eastAsia" w:ascii="仿宋" w:hAnsi="仿宋" w:eastAsia="仿宋" w:cs="仿宋"/>
                <w:color w:val="auto"/>
                <w:highlight w:val="none"/>
              </w:rPr>
              <w:t>含电子文档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tcPr>
          <w:p>
            <w:pPr>
              <w:numPr>
                <w:ilvl w:val="1"/>
                <w:numId w:val="4"/>
              </w:numPr>
              <w:tabs>
                <w:tab w:val="left" w:pos="448"/>
              </w:tabs>
              <w:spacing w:before="100" w:beforeAutospacing="1" w:after="156" w:afterLines="50"/>
              <w:ind w:left="165" w:firstLine="375"/>
              <w:jc w:val="left"/>
              <w:rPr>
                <w:rFonts w:ascii="仿宋" w:hAnsi="仿宋" w:eastAsia="仿宋" w:cs="仿宋"/>
                <w:color w:val="auto"/>
                <w:highlight w:val="none"/>
              </w:rPr>
            </w:pPr>
            <w:r>
              <w:rPr>
                <w:rFonts w:hint="eastAsia" w:ascii="仿宋" w:hAnsi="仿宋" w:eastAsia="仿宋" w:cs="仿宋"/>
                <w:color w:val="auto"/>
                <w:highlight w:val="none"/>
              </w:rPr>
              <w:t>设计单位编制的工程概算书（审核时）；</w:t>
            </w:r>
          </w:p>
        </w:tc>
        <w:tc>
          <w:tcPr>
            <w:tcW w:w="837" w:type="dxa"/>
            <w:vAlign w:val="center"/>
          </w:tcPr>
          <w:p>
            <w:pPr>
              <w:rPr>
                <w:rFonts w:ascii="仿宋" w:hAnsi="仿宋" w:eastAsia="仿宋" w:cs="仿宋"/>
                <w:color w:val="auto"/>
                <w:highlight w:val="none"/>
              </w:rPr>
            </w:pPr>
            <w:r>
              <w:rPr>
                <w:rFonts w:hint="eastAsia" w:ascii="仿宋" w:hAnsi="仿宋" w:eastAsia="仿宋" w:cs="仿宋"/>
                <w:color w:val="auto"/>
                <w:highlight w:val="none"/>
              </w:rPr>
              <w:t>1</w:t>
            </w:r>
          </w:p>
        </w:tc>
        <w:tc>
          <w:tcPr>
            <w:tcW w:w="1338" w:type="dxa"/>
            <w:vAlign w:val="center"/>
          </w:tcPr>
          <w:p>
            <w:pPr>
              <w:rPr>
                <w:rFonts w:ascii="仿宋" w:hAnsi="仿宋" w:eastAsia="仿宋" w:cs="仿宋"/>
                <w:color w:val="auto"/>
                <w:highlight w:val="none"/>
              </w:rPr>
            </w:pPr>
            <w:r>
              <w:rPr>
                <w:rFonts w:hint="eastAsia" w:ascii="仿宋" w:hAnsi="仿宋" w:eastAsia="仿宋" w:cs="仿宋"/>
                <w:color w:val="auto"/>
                <w:highlight w:val="none"/>
              </w:rPr>
              <w:t>按实际需要提供</w:t>
            </w:r>
          </w:p>
        </w:tc>
        <w:tc>
          <w:tcPr>
            <w:tcW w:w="2207" w:type="dxa"/>
            <w:vAlign w:val="center"/>
          </w:tcPr>
          <w:p>
            <w:pPr>
              <w:rPr>
                <w:rFonts w:ascii="仿宋" w:hAnsi="仿宋" w:eastAsia="仿宋" w:cs="仿宋"/>
                <w:color w:val="auto"/>
                <w:highlight w:val="none"/>
              </w:rPr>
            </w:pPr>
            <w:r>
              <w:rPr>
                <w:rFonts w:hint="eastAsia" w:ascii="仿宋" w:hAnsi="仿宋" w:eastAsia="仿宋" w:cs="仿宋"/>
                <w:color w:val="auto"/>
                <w:highlight w:val="none"/>
              </w:rPr>
              <w:t>含电子文档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tcPr>
          <w:p>
            <w:pPr>
              <w:numPr>
                <w:ilvl w:val="1"/>
                <w:numId w:val="4"/>
              </w:numPr>
              <w:tabs>
                <w:tab w:val="left" w:pos="448"/>
              </w:tabs>
              <w:spacing w:before="100" w:beforeAutospacing="1" w:after="156" w:afterLines="50"/>
              <w:ind w:left="165" w:firstLine="375"/>
              <w:jc w:val="left"/>
              <w:rPr>
                <w:rFonts w:ascii="仿宋" w:hAnsi="仿宋" w:eastAsia="仿宋" w:cs="仿宋"/>
                <w:color w:val="auto"/>
                <w:highlight w:val="none"/>
              </w:rPr>
            </w:pPr>
            <w:r>
              <w:rPr>
                <w:rFonts w:hint="eastAsia" w:ascii="仿宋" w:hAnsi="仿宋" w:eastAsia="仿宋" w:cs="仿宋"/>
                <w:color w:val="auto"/>
                <w:highlight w:val="none"/>
              </w:rPr>
              <w:t>已经审批的可行性研究报告(附有工程投资估算书)；</w:t>
            </w:r>
          </w:p>
        </w:tc>
        <w:tc>
          <w:tcPr>
            <w:tcW w:w="837" w:type="dxa"/>
            <w:vAlign w:val="center"/>
          </w:tcPr>
          <w:p>
            <w:pPr>
              <w:rPr>
                <w:rFonts w:ascii="仿宋" w:hAnsi="仿宋" w:eastAsia="仿宋" w:cs="仿宋"/>
                <w:color w:val="auto"/>
                <w:highlight w:val="none"/>
              </w:rPr>
            </w:pPr>
            <w:r>
              <w:rPr>
                <w:rFonts w:hint="eastAsia" w:ascii="仿宋" w:hAnsi="仿宋" w:eastAsia="仿宋" w:cs="仿宋"/>
                <w:color w:val="auto"/>
                <w:highlight w:val="none"/>
              </w:rPr>
              <w:t>1</w:t>
            </w:r>
          </w:p>
        </w:tc>
        <w:tc>
          <w:tcPr>
            <w:tcW w:w="1338" w:type="dxa"/>
            <w:vAlign w:val="center"/>
          </w:tcPr>
          <w:p>
            <w:pPr>
              <w:rPr>
                <w:rFonts w:ascii="仿宋" w:hAnsi="仿宋" w:eastAsia="仿宋" w:cs="仿宋"/>
                <w:color w:val="auto"/>
                <w:highlight w:val="none"/>
              </w:rPr>
            </w:pPr>
            <w:r>
              <w:rPr>
                <w:rFonts w:hint="eastAsia" w:ascii="仿宋" w:hAnsi="仿宋" w:eastAsia="仿宋" w:cs="仿宋"/>
                <w:color w:val="auto"/>
                <w:highlight w:val="none"/>
              </w:rPr>
              <w:t>按实际需要提供</w:t>
            </w:r>
          </w:p>
        </w:tc>
        <w:tc>
          <w:tcPr>
            <w:tcW w:w="2207" w:type="dxa"/>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tcPr>
          <w:p>
            <w:pPr>
              <w:numPr>
                <w:ilvl w:val="1"/>
                <w:numId w:val="4"/>
              </w:numPr>
              <w:tabs>
                <w:tab w:val="left" w:pos="448"/>
              </w:tabs>
              <w:spacing w:before="100" w:beforeAutospacing="1" w:after="156" w:afterLines="50"/>
              <w:ind w:left="165" w:firstLine="375"/>
              <w:jc w:val="left"/>
              <w:rPr>
                <w:rFonts w:ascii="仿宋" w:hAnsi="仿宋" w:eastAsia="仿宋" w:cs="仿宋"/>
                <w:color w:val="auto"/>
                <w:highlight w:val="none"/>
              </w:rPr>
            </w:pPr>
            <w:r>
              <w:rPr>
                <w:rFonts w:hint="eastAsia" w:ascii="仿宋" w:hAnsi="仿宋" w:eastAsia="仿宋" w:cs="仿宋"/>
                <w:color w:val="auto"/>
                <w:highlight w:val="none"/>
              </w:rPr>
              <w:t>工程地质勘察报告等其它有关技术资料及现场记录；</w:t>
            </w:r>
          </w:p>
        </w:tc>
        <w:tc>
          <w:tcPr>
            <w:tcW w:w="837" w:type="dxa"/>
            <w:vAlign w:val="center"/>
          </w:tcPr>
          <w:p>
            <w:pPr>
              <w:rPr>
                <w:rFonts w:ascii="仿宋" w:hAnsi="仿宋" w:eastAsia="仿宋" w:cs="仿宋"/>
                <w:color w:val="auto"/>
                <w:highlight w:val="none"/>
              </w:rPr>
            </w:pPr>
            <w:r>
              <w:rPr>
                <w:rFonts w:hint="eastAsia" w:ascii="仿宋" w:hAnsi="仿宋" w:eastAsia="仿宋" w:cs="仿宋"/>
                <w:color w:val="auto"/>
                <w:highlight w:val="none"/>
              </w:rPr>
              <w:t>1</w:t>
            </w:r>
          </w:p>
        </w:tc>
        <w:tc>
          <w:tcPr>
            <w:tcW w:w="1338" w:type="dxa"/>
            <w:vAlign w:val="center"/>
          </w:tcPr>
          <w:p>
            <w:pPr>
              <w:rPr>
                <w:rFonts w:ascii="仿宋" w:hAnsi="仿宋" w:eastAsia="仿宋" w:cs="仿宋"/>
                <w:color w:val="auto"/>
                <w:highlight w:val="none"/>
              </w:rPr>
            </w:pPr>
            <w:r>
              <w:rPr>
                <w:rFonts w:hint="eastAsia" w:ascii="仿宋" w:hAnsi="仿宋" w:eastAsia="仿宋" w:cs="仿宋"/>
                <w:color w:val="auto"/>
                <w:highlight w:val="none"/>
              </w:rPr>
              <w:t>按实际需要提供</w:t>
            </w:r>
          </w:p>
        </w:tc>
        <w:tc>
          <w:tcPr>
            <w:tcW w:w="2207" w:type="dxa"/>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tcPr>
          <w:p>
            <w:pPr>
              <w:numPr>
                <w:ilvl w:val="1"/>
                <w:numId w:val="4"/>
              </w:numPr>
              <w:tabs>
                <w:tab w:val="left" w:pos="448"/>
              </w:tabs>
              <w:spacing w:before="100" w:beforeAutospacing="1" w:after="156" w:afterLines="50"/>
              <w:ind w:left="165" w:firstLine="375"/>
              <w:jc w:val="left"/>
              <w:rPr>
                <w:rFonts w:ascii="仿宋" w:hAnsi="仿宋" w:eastAsia="仿宋" w:cs="仿宋"/>
                <w:color w:val="auto"/>
                <w:highlight w:val="none"/>
              </w:rPr>
            </w:pPr>
            <w:r>
              <w:rPr>
                <w:rFonts w:hint="eastAsia" w:ascii="仿宋" w:hAnsi="仿宋" w:eastAsia="仿宋" w:cs="仿宋"/>
                <w:color w:val="auto"/>
                <w:highlight w:val="none"/>
              </w:rPr>
              <w:t>其他相关资料</w:t>
            </w:r>
          </w:p>
        </w:tc>
        <w:tc>
          <w:tcPr>
            <w:tcW w:w="837" w:type="dxa"/>
            <w:vAlign w:val="center"/>
          </w:tcPr>
          <w:p>
            <w:pPr>
              <w:rPr>
                <w:rFonts w:ascii="仿宋" w:hAnsi="仿宋" w:eastAsia="仿宋" w:cs="仿宋"/>
                <w:color w:val="auto"/>
                <w:highlight w:val="none"/>
              </w:rPr>
            </w:pPr>
            <w:r>
              <w:rPr>
                <w:rFonts w:hint="eastAsia" w:ascii="仿宋" w:hAnsi="仿宋" w:eastAsia="仿宋" w:cs="仿宋"/>
                <w:color w:val="auto"/>
                <w:highlight w:val="none"/>
              </w:rPr>
              <w:t>1</w:t>
            </w:r>
          </w:p>
        </w:tc>
        <w:tc>
          <w:tcPr>
            <w:tcW w:w="1338" w:type="dxa"/>
            <w:vAlign w:val="center"/>
          </w:tcPr>
          <w:p>
            <w:pPr>
              <w:rPr>
                <w:rFonts w:ascii="仿宋" w:hAnsi="仿宋" w:eastAsia="仿宋" w:cs="仿宋"/>
                <w:color w:val="auto"/>
                <w:highlight w:val="none"/>
              </w:rPr>
            </w:pPr>
            <w:r>
              <w:rPr>
                <w:rFonts w:hint="eastAsia" w:ascii="仿宋" w:hAnsi="仿宋" w:eastAsia="仿宋" w:cs="仿宋"/>
                <w:color w:val="auto"/>
                <w:highlight w:val="none"/>
              </w:rPr>
              <w:t>按实际需要提供</w:t>
            </w:r>
          </w:p>
        </w:tc>
        <w:tc>
          <w:tcPr>
            <w:tcW w:w="2207" w:type="dxa"/>
            <w:vAlign w:val="center"/>
          </w:tcPr>
          <w:p>
            <w:pPr>
              <w:rPr>
                <w:rFonts w:ascii="仿宋" w:hAnsi="仿宋" w:eastAsia="仿宋" w:cs="仿宋"/>
                <w:color w:val="auto"/>
                <w:highlight w:val="none"/>
              </w:rPr>
            </w:pPr>
          </w:p>
        </w:tc>
      </w:tr>
    </w:tbl>
    <w:p>
      <w:pPr>
        <w:rPr>
          <w:rFonts w:ascii="仿宋" w:hAnsi="仿宋" w:eastAsia="仿宋" w:cs="仿宋"/>
          <w:color w:val="auto"/>
          <w:highlight w:val="none"/>
        </w:rPr>
      </w:pP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工程预算、招标控制价编制（审核）需委托人提供的资料</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837"/>
        <w:gridCol w:w="1338"/>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559" w:type="dxa"/>
            <w:vAlign w:val="center"/>
          </w:tcPr>
          <w:p>
            <w:pPr>
              <w:pStyle w:val="15"/>
              <w:widowControl w:val="0"/>
              <w:jc w:val="center"/>
              <w:rPr>
                <w:rFonts w:ascii="仿宋" w:hAnsi="仿宋" w:eastAsia="仿宋" w:cs="仿宋"/>
                <w:b/>
                <w:color w:val="auto"/>
                <w:highlight w:val="none"/>
              </w:rPr>
            </w:pPr>
            <w:r>
              <w:rPr>
                <w:rFonts w:hint="eastAsia" w:ascii="仿宋" w:hAnsi="仿宋" w:eastAsia="仿宋" w:cs="仿宋"/>
                <w:b/>
                <w:color w:val="auto"/>
                <w:highlight w:val="none"/>
              </w:rPr>
              <w:t>名称</w:t>
            </w:r>
          </w:p>
        </w:tc>
        <w:tc>
          <w:tcPr>
            <w:tcW w:w="837" w:type="dxa"/>
            <w:vAlign w:val="center"/>
          </w:tcPr>
          <w:p>
            <w:pPr>
              <w:pStyle w:val="15"/>
              <w:widowControl w:val="0"/>
              <w:jc w:val="center"/>
              <w:rPr>
                <w:rFonts w:ascii="仿宋" w:hAnsi="仿宋" w:eastAsia="仿宋" w:cs="仿宋"/>
                <w:b/>
                <w:color w:val="auto"/>
                <w:highlight w:val="none"/>
              </w:rPr>
            </w:pPr>
            <w:r>
              <w:rPr>
                <w:rFonts w:hint="eastAsia" w:ascii="仿宋" w:hAnsi="仿宋" w:eastAsia="仿宋" w:cs="仿宋"/>
                <w:b/>
                <w:color w:val="auto"/>
                <w:highlight w:val="none"/>
              </w:rPr>
              <w:t>份数</w:t>
            </w:r>
          </w:p>
        </w:tc>
        <w:tc>
          <w:tcPr>
            <w:tcW w:w="1338" w:type="dxa"/>
            <w:vAlign w:val="center"/>
          </w:tcPr>
          <w:p>
            <w:pPr>
              <w:pStyle w:val="15"/>
              <w:widowControl w:val="0"/>
              <w:jc w:val="center"/>
              <w:rPr>
                <w:rFonts w:ascii="仿宋" w:hAnsi="仿宋" w:eastAsia="仿宋" w:cs="仿宋"/>
                <w:b/>
                <w:color w:val="auto"/>
                <w:highlight w:val="none"/>
              </w:rPr>
            </w:pPr>
            <w:r>
              <w:rPr>
                <w:rFonts w:hint="eastAsia" w:ascii="仿宋" w:hAnsi="仿宋" w:eastAsia="仿宋" w:cs="仿宋"/>
                <w:b/>
                <w:color w:val="auto"/>
                <w:highlight w:val="none"/>
              </w:rPr>
              <w:t>提供时间</w:t>
            </w:r>
          </w:p>
        </w:tc>
        <w:tc>
          <w:tcPr>
            <w:tcW w:w="2207" w:type="dxa"/>
            <w:vAlign w:val="center"/>
          </w:tcPr>
          <w:p>
            <w:pPr>
              <w:pStyle w:val="15"/>
              <w:widowControl w:val="0"/>
              <w:jc w:val="center"/>
              <w:rPr>
                <w:rFonts w:ascii="仿宋" w:hAnsi="仿宋" w:eastAsia="仿宋" w:cs="仿宋"/>
                <w:b/>
                <w:color w:val="auto"/>
                <w:highlight w:val="none"/>
              </w:rPr>
            </w:pPr>
            <w:r>
              <w:rPr>
                <w:rFonts w:hint="eastAsia" w:ascii="仿宋" w:hAnsi="仿宋" w:eastAsia="仿宋" w:cs="仿宋"/>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tcPr>
          <w:p>
            <w:pPr>
              <w:numPr>
                <w:ilvl w:val="1"/>
                <w:numId w:val="5"/>
              </w:numPr>
              <w:tabs>
                <w:tab w:val="left" w:pos="165"/>
              </w:tabs>
              <w:spacing w:before="100" w:beforeAutospacing="1" w:after="156" w:afterLines="50"/>
              <w:ind w:left="165" w:firstLine="375"/>
              <w:rPr>
                <w:rFonts w:ascii="仿宋" w:hAnsi="仿宋" w:eastAsia="仿宋" w:cs="仿宋"/>
                <w:color w:val="auto"/>
                <w:highlight w:val="none"/>
              </w:rPr>
            </w:pPr>
            <w:r>
              <w:rPr>
                <w:rFonts w:hint="eastAsia" w:ascii="仿宋" w:hAnsi="仿宋" w:eastAsia="仿宋" w:cs="仿宋"/>
                <w:color w:val="auto"/>
                <w:highlight w:val="none"/>
              </w:rPr>
              <w:t>工程设计施工图纸、主要材料设备清单等设计文件；</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2207" w:type="dxa"/>
            <w:vAlign w:val="center"/>
          </w:tcPr>
          <w:p>
            <w:pPr>
              <w:rPr>
                <w:rFonts w:ascii="仿宋" w:hAnsi="仿宋" w:eastAsia="仿宋" w:cs="仿宋"/>
                <w:color w:val="auto"/>
                <w:highlight w:val="none"/>
              </w:rPr>
            </w:pPr>
            <w:r>
              <w:rPr>
                <w:rFonts w:hint="eastAsia" w:ascii="仿宋" w:hAnsi="仿宋" w:eastAsia="仿宋" w:cs="仿宋"/>
                <w:color w:val="auto"/>
                <w:highlight w:val="none"/>
              </w:rPr>
              <w:t>含电子文档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tcPr>
          <w:p>
            <w:pPr>
              <w:numPr>
                <w:ilvl w:val="1"/>
                <w:numId w:val="5"/>
              </w:numPr>
              <w:tabs>
                <w:tab w:val="left" w:pos="165"/>
              </w:tabs>
              <w:spacing w:before="100" w:beforeAutospacing="1" w:after="156" w:afterLines="50"/>
              <w:ind w:left="165" w:firstLine="375"/>
              <w:rPr>
                <w:rFonts w:ascii="仿宋" w:hAnsi="仿宋" w:eastAsia="仿宋" w:cs="仿宋"/>
                <w:color w:val="auto"/>
                <w:highlight w:val="none"/>
              </w:rPr>
            </w:pPr>
            <w:r>
              <w:rPr>
                <w:rFonts w:hint="eastAsia" w:ascii="仿宋" w:hAnsi="仿宋" w:eastAsia="仿宋" w:cs="仿宋"/>
                <w:color w:val="auto"/>
                <w:highlight w:val="none"/>
              </w:rPr>
              <w:t>建设单位编制的工程预算书；（审核时）</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2207" w:type="dxa"/>
            <w:vAlign w:val="center"/>
          </w:tcPr>
          <w:p>
            <w:pPr>
              <w:rPr>
                <w:rFonts w:ascii="仿宋" w:hAnsi="仿宋" w:eastAsia="仿宋" w:cs="仿宋"/>
                <w:color w:val="auto"/>
                <w:highlight w:val="none"/>
              </w:rPr>
            </w:pPr>
            <w:r>
              <w:rPr>
                <w:rFonts w:hint="eastAsia" w:ascii="仿宋" w:hAnsi="仿宋" w:eastAsia="仿宋" w:cs="仿宋"/>
                <w:color w:val="auto"/>
                <w:highlight w:val="none"/>
              </w:rPr>
              <w:t>含电子文档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tcPr>
          <w:p>
            <w:pPr>
              <w:numPr>
                <w:ilvl w:val="1"/>
                <w:numId w:val="5"/>
              </w:numPr>
              <w:tabs>
                <w:tab w:val="left" w:pos="165"/>
              </w:tabs>
              <w:spacing w:before="100" w:beforeAutospacing="1" w:after="156" w:afterLines="50"/>
              <w:ind w:left="165" w:firstLine="375"/>
              <w:rPr>
                <w:rFonts w:ascii="仿宋" w:hAnsi="仿宋" w:eastAsia="仿宋" w:cs="仿宋"/>
                <w:color w:val="auto"/>
                <w:highlight w:val="none"/>
              </w:rPr>
            </w:pPr>
            <w:r>
              <w:rPr>
                <w:rFonts w:hint="eastAsia" w:ascii="仿宋" w:hAnsi="仿宋" w:eastAsia="仿宋" w:cs="仿宋"/>
                <w:color w:val="auto"/>
                <w:highlight w:val="none"/>
              </w:rPr>
              <w:t>已审批的工程概算书；</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2207" w:type="dxa"/>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tcPr>
          <w:p>
            <w:pPr>
              <w:numPr>
                <w:ilvl w:val="1"/>
                <w:numId w:val="5"/>
              </w:numPr>
              <w:tabs>
                <w:tab w:val="left" w:pos="165"/>
              </w:tabs>
              <w:spacing w:before="100" w:beforeAutospacing="1" w:after="156" w:afterLines="50"/>
              <w:ind w:left="165" w:firstLine="375"/>
              <w:rPr>
                <w:rFonts w:ascii="仿宋" w:hAnsi="仿宋" w:eastAsia="仿宋" w:cs="仿宋"/>
                <w:color w:val="auto"/>
                <w:highlight w:val="none"/>
              </w:rPr>
            </w:pPr>
            <w:r>
              <w:rPr>
                <w:rFonts w:hint="eastAsia" w:ascii="仿宋" w:hAnsi="仿宋" w:eastAsia="仿宋" w:cs="仿宋"/>
                <w:color w:val="auto"/>
                <w:highlight w:val="none"/>
              </w:rPr>
              <w:t>工程地质勘察报告等其它有关技术资料及现场记录；</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2207" w:type="dxa"/>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9" w:type="dxa"/>
          </w:tcPr>
          <w:p>
            <w:pPr>
              <w:numPr>
                <w:ilvl w:val="1"/>
                <w:numId w:val="5"/>
              </w:numPr>
              <w:tabs>
                <w:tab w:val="left" w:pos="165"/>
              </w:tabs>
              <w:spacing w:before="100" w:beforeAutospacing="1" w:after="156" w:afterLines="50"/>
              <w:ind w:left="165" w:firstLine="375"/>
              <w:rPr>
                <w:rFonts w:ascii="仿宋" w:hAnsi="仿宋" w:eastAsia="仿宋" w:cs="仿宋"/>
                <w:color w:val="auto"/>
                <w:highlight w:val="none"/>
              </w:rPr>
            </w:pPr>
            <w:r>
              <w:rPr>
                <w:rFonts w:hint="eastAsia" w:ascii="仿宋" w:hAnsi="仿宋" w:eastAsia="仿宋" w:cs="仿宋"/>
                <w:color w:val="auto"/>
                <w:highlight w:val="none"/>
              </w:rPr>
              <w:t>其他相关资料</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2207" w:type="dxa"/>
            <w:vAlign w:val="center"/>
          </w:tcPr>
          <w:p>
            <w:pPr>
              <w:rPr>
                <w:rFonts w:ascii="仿宋" w:hAnsi="仿宋" w:eastAsia="仿宋" w:cs="仿宋"/>
                <w:color w:val="auto"/>
                <w:highlight w:val="none"/>
              </w:rPr>
            </w:pPr>
          </w:p>
        </w:tc>
      </w:tr>
    </w:tbl>
    <w:p>
      <w:pPr>
        <w:ind w:firstLine="420" w:firstLineChars="200"/>
        <w:rPr>
          <w:rFonts w:ascii="仿宋" w:hAnsi="仿宋" w:eastAsia="仿宋" w:cs="仿宋"/>
          <w:color w:val="auto"/>
          <w:highlight w:val="none"/>
        </w:rPr>
      </w:pP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结算审核需委托人提供的资料</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5"/>
        <w:gridCol w:w="837"/>
        <w:gridCol w:w="1338"/>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015" w:type="dxa"/>
            <w:vAlign w:val="center"/>
          </w:tcPr>
          <w:p>
            <w:pPr>
              <w:pStyle w:val="15"/>
              <w:widowControl w:val="0"/>
              <w:jc w:val="center"/>
              <w:rPr>
                <w:rFonts w:ascii="仿宋" w:hAnsi="仿宋" w:eastAsia="仿宋" w:cs="仿宋"/>
                <w:b/>
                <w:color w:val="auto"/>
                <w:highlight w:val="none"/>
              </w:rPr>
            </w:pPr>
            <w:r>
              <w:rPr>
                <w:rFonts w:hint="eastAsia" w:ascii="仿宋" w:hAnsi="仿宋" w:eastAsia="仿宋" w:cs="仿宋"/>
                <w:b/>
                <w:color w:val="auto"/>
                <w:highlight w:val="none"/>
              </w:rPr>
              <w:t>名称</w:t>
            </w:r>
          </w:p>
        </w:tc>
        <w:tc>
          <w:tcPr>
            <w:tcW w:w="837" w:type="dxa"/>
            <w:vAlign w:val="center"/>
          </w:tcPr>
          <w:p>
            <w:pPr>
              <w:pStyle w:val="15"/>
              <w:widowControl w:val="0"/>
              <w:jc w:val="center"/>
              <w:rPr>
                <w:rFonts w:ascii="仿宋" w:hAnsi="仿宋" w:eastAsia="仿宋" w:cs="仿宋"/>
                <w:b/>
                <w:color w:val="auto"/>
                <w:highlight w:val="none"/>
              </w:rPr>
            </w:pPr>
            <w:r>
              <w:rPr>
                <w:rFonts w:hint="eastAsia" w:ascii="仿宋" w:hAnsi="仿宋" w:eastAsia="仿宋" w:cs="仿宋"/>
                <w:b/>
                <w:color w:val="auto"/>
                <w:highlight w:val="none"/>
              </w:rPr>
              <w:t>份数</w:t>
            </w:r>
          </w:p>
        </w:tc>
        <w:tc>
          <w:tcPr>
            <w:tcW w:w="1338" w:type="dxa"/>
            <w:vAlign w:val="center"/>
          </w:tcPr>
          <w:p>
            <w:pPr>
              <w:pStyle w:val="15"/>
              <w:widowControl w:val="0"/>
              <w:jc w:val="center"/>
              <w:rPr>
                <w:rFonts w:ascii="仿宋" w:hAnsi="仿宋" w:eastAsia="仿宋" w:cs="仿宋"/>
                <w:b/>
                <w:color w:val="auto"/>
                <w:highlight w:val="none"/>
              </w:rPr>
            </w:pPr>
            <w:r>
              <w:rPr>
                <w:rFonts w:hint="eastAsia" w:ascii="仿宋" w:hAnsi="仿宋" w:eastAsia="仿宋" w:cs="仿宋"/>
                <w:b/>
                <w:color w:val="auto"/>
                <w:highlight w:val="none"/>
              </w:rPr>
              <w:t>提供时间</w:t>
            </w:r>
          </w:p>
        </w:tc>
        <w:tc>
          <w:tcPr>
            <w:tcW w:w="1781" w:type="dxa"/>
            <w:vAlign w:val="center"/>
          </w:tcPr>
          <w:p>
            <w:pPr>
              <w:pStyle w:val="15"/>
              <w:widowControl w:val="0"/>
              <w:jc w:val="center"/>
              <w:rPr>
                <w:rFonts w:ascii="仿宋" w:hAnsi="仿宋" w:eastAsia="仿宋" w:cs="仿宋"/>
                <w:b/>
                <w:color w:val="auto"/>
                <w:highlight w:val="none"/>
              </w:rPr>
            </w:pPr>
            <w:r>
              <w:rPr>
                <w:rFonts w:hint="eastAsia" w:ascii="仿宋" w:hAnsi="仿宋" w:eastAsia="仿宋" w:cs="仿宋"/>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vAlign w:val="center"/>
          </w:tcPr>
          <w:p>
            <w:pPr>
              <w:numPr>
                <w:ilvl w:val="1"/>
                <w:numId w:val="6"/>
              </w:numPr>
              <w:tabs>
                <w:tab w:val="left" w:pos="38"/>
                <w:tab w:val="clear" w:pos="960"/>
              </w:tabs>
              <w:spacing w:before="100" w:beforeAutospacing="1" w:after="156" w:afterLines="50"/>
              <w:ind w:left="38" w:firstLine="283"/>
              <w:rPr>
                <w:rFonts w:ascii="仿宋" w:hAnsi="仿宋" w:eastAsia="仿宋" w:cs="仿宋"/>
                <w:color w:val="auto"/>
                <w:highlight w:val="none"/>
              </w:rPr>
            </w:pPr>
            <w:r>
              <w:rPr>
                <w:rFonts w:hint="eastAsia" w:ascii="仿宋" w:hAnsi="仿宋" w:eastAsia="仿宋" w:cs="仿宋"/>
                <w:color w:val="auto"/>
                <w:highlight w:val="none"/>
              </w:rPr>
              <w:t>建设工程开工报告；</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1781" w:type="dxa"/>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4015" w:type="dxa"/>
            <w:vAlign w:val="center"/>
          </w:tcPr>
          <w:p>
            <w:pPr>
              <w:numPr>
                <w:ilvl w:val="1"/>
                <w:numId w:val="6"/>
              </w:numPr>
              <w:tabs>
                <w:tab w:val="left" w:pos="38"/>
                <w:tab w:val="clear" w:pos="960"/>
              </w:tabs>
              <w:spacing w:before="100" w:beforeAutospacing="1" w:after="156" w:afterLines="50"/>
              <w:ind w:left="38" w:firstLine="283"/>
              <w:rPr>
                <w:rFonts w:ascii="仿宋" w:hAnsi="仿宋" w:eastAsia="仿宋" w:cs="仿宋"/>
                <w:color w:val="auto"/>
                <w:highlight w:val="none"/>
              </w:rPr>
            </w:pPr>
            <w:r>
              <w:rPr>
                <w:rFonts w:hint="eastAsia" w:ascii="仿宋" w:hAnsi="仿宋" w:eastAsia="仿宋" w:cs="仿宋"/>
                <w:color w:val="auto"/>
                <w:highlight w:val="none"/>
              </w:rPr>
              <w:t>招投标文件（包括招标书、答疑文件、投标书、评标报告、 中标通知书、暂估价表等）；</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1781" w:type="dxa"/>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vAlign w:val="center"/>
          </w:tcPr>
          <w:p>
            <w:pPr>
              <w:numPr>
                <w:ilvl w:val="1"/>
                <w:numId w:val="6"/>
              </w:numPr>
              <w:tabs>
                <w:tab w:val="left" w:pos="38"/>
                <w:tab w:val="clear" w:pos="960"/>
              </w:tabs>
              <w:spacing w:before="100" w:beforeAutospacing="1" w:after="156" w:afterLines="50"/>
              <w:ind w:left="38" w:firstLine="283"/>
              <w:rPr>
                <w:rFonts w:ascii="仿宋" w:hAnsi="仿宋" w:eastAsia="仿宋" w:cs="仿宋"/>
                <w:color w:val="auto"/>
                <w:highlight w:val="none"/>
              </w:rPr>
            </w:pPr>
            <w:r>
              <w:rPr>
                <w:rFonts w:hint="eastAsia" w:ascii="仿宋" w:hAnsi="仿宋" w:eastAsia="仿宋" w:cs="仿宋"/>
                <w:color w:val="auto"/>
                <w:highlight w:val="none"/>
              </w:rPr>
              <w:t>工程施工合同（包括补充合同、施工协议等）；</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1781" w:type="dxa"/>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vAlign w:val="center"/>
          </w:tcPr>
          <w:p>
            <w:pPr>
              <w:numPr>
                <w:ilvl w:val="1"/>
                <w:numId w:val="6"/>
              </w:numPr>
              <w:tabs>
                <w:tab w:val="left" w:pos="38"/>
                <w:tab w:val="clear" w:pos="960"/>
              </w:tabs>
              <w:spacing w:before="100" w:beforeAutospacing="1" w:after="156" w:afterLines="50"/>
              <w:ind w:left="38" w:firstLine="283"/>
              <w:rPr>
                <w:rFonts w:ascii="仿宋" w:hAnsi="仿宋" w:eastAsia="仿宋" w:cs="仿宋"/>
                <w:color w:val="auto"/>
                <w:highlight w:val="none"/>
              </w:rPr>
            </w:pPr>
            <w:r>
              <w:rPr>
                <w:rFonts w:hint="eastAsia" w:ascii="仿宋" w:hAnsi="仿宋" w:eastAsia="仿宋" w:cs="仿宋"/>
                <w:color w:val="auto"/>
                <w:highlight w:val="none"/>
              </w:rPr>
              <w:t>工程竣工图纸；</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1781" w:type="dxa"/>
            <w:vAlign w:val="center"/>
          </w:tcPr>
          <w:p>
            <w:pPr>
              <w:rPr>
                <w:rFonts w:ascii="仿宋" w:hAnsi="仿宋" w:eastAsia="仿宋" w:cs="仿宋"/>
                <w:color w:val="auto"/>
                <w:highlight w:val="none"/>
              </w:rPr>
            </w:pPr>
            <w:r>
              <w:rPr>
                <w:rFonts w:hint="eastAsia" w:ascii="仿宋" w:hAnsi="仿宋" w:eastAsia="仿宋" w:cs="仿宋"/>
                <w:color w:val="auto"/>
                <w:highlight w:val="none"/>
              </w:rPr>
              <w:t>含电子文档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vAlign w:val="center"/>
          </w:tcPr>
          <w:p>
            <w:pPr>
              <w:numPr>
                <w:ilvl w:val="1"/>
                <w:numId w:val="6"/>
              </w:numPr>
              <w:tabs>
                <w:tab w:val="left" w:pos="38"/>
                <w:tab w:val="clear" w:pos="960"/>
              </w:tabs>
              <w:spacing w:before="100" w:beforeAutospacing="1" w:after="156" w:afterLines="50"/>
              <w:ind w:left="38" w:firstLine="283"/>
              <w:rPr>
                <w:rFonts w:ascii="仿宋" w:hAnsi="仿宋" w:eastAsia="仿宋" w:cs="仿宋"/>
                <w:color w:val="auto"/>
                <w:highlight w:val="none"/>
              </w:rPr>
            </w:pPr>
            <w:r>
              <w:rPr>
                <w:rFonts w:hint="eastAsia" w:ascii="仿宋" w:hAnsi="仿宋" w:eastAsia="仿宋" w:cs="仿宋"/>
                <w:color w:val="auto"/>
                <w:highlight w:val="none"/>
              </w:rPr>
              <w:t>工程结算书；</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1781" w:type="dxa"/>
            <w:vAlign w:val="center"/>
          </w:tcPr>
          <w:p>
            <w:pPr>
              <w:rPr>
                <w:rFonts w:ascii="仿宋" w:hAnsi="仿宋" w:eastAsia="仿宋" w:cs="仿宋"/>
                <w:color w:val="auto"/>
                <w:highlight w:val="none"/>
              </w:rPr>
            </w:pPr>
            <w:r>
              <w:rPr>
                <w:rFonts w:hint="eastAsia" w:ascii="仿宋" w:hAnsi="仿宋" w:eastAsia="仿宋" w:cs="仿宋"/>
                <w:color w:val="auto"/>
                <w:highlight w:val="none"/>
              </w:rPr>
              <w:t>含电子文档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vAlign w:val="center"/>
          </w:tcPr>
          <w:p>
            <w:pPr>
              <w:numPr>
                <w:ilvl w:val="1"/>
                <w:numId w:val="6"/>
              </w:numPr>
              <w:tabs>
                <w:tab w:val="left" w:pos="38"/>
                <w:tab w:val="clear" w:pos="960"/>
              </w:tabs>
              <w:spacing w:before="100" w:beforeAutospacing="1" w:after="156" w:afterLines="50"/>
              <w:ind w:left="38" w:firstLine="283"/>
              <w:rPr>
                <w:rFonts w:ascii="仿宋" w:hAnsi="仿宋" w:eastAsia="仿宋" w:cs="仿宋"/>
                <w:color w:val="auto"/>
                <w:highlight w:val="none"/>
              </w:rPr>
            </w:pPr>
            <w:r>
              <w:rPr>
                <w:rFonts w:hint="eastAsia" w:ascii="仿宋" w:hAnsi="仿宋" w:eastAsia="仿宋" w:cs="仿宋"/>
                <w:color w:val="auto"/>
                <w:highlight w:val="none"/>
              </w:rPr>
              <w:t>工程量计算书、钢筋抽料表；</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1781" w:type="dxa"/>
            <w:vAlign w:val="center"/>
          </w:tcPr>
          <w:p>
            <w:pPr>
              <w:rPr>
                <w:rFonts w:ascii="仿宋" w:hAnsi="仿宋" w:eastAsia="仿宋" w:cs="仿宋"/>
                <w:color w:val="auto"/>
                <w:highlight w:val="none"/>
              </w:rPr>
            </w:pPr>
            <w:r>
              <w:rPr>
                <w:rFonts w:hint="eastAsia" w:ascii="仿宋" w:hAnsi="仿宋" w:eastAsia="仿宋" w:cs="仿宋"/>
                <w:color w:val="auto"/>
                <w:highlight w:val="none"/>
              </w:rPr>
              <w:t>含电子文档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vAlign w:val="center"/>
          </w:tcPr>
          <w:p>
            <w:pPr>
              <w:numPr>
                <w:ilvl w:val="1"/>
                <w:numId w:val="6"/>
              </w:numPr>
              <w:tabs>
                <w:tab w:val="left" w:pos="38"/>
                <w:tab w:val="clear" w:pos="960"/>
              </w:tabs>
              <w:spacing w:before="100" w:beforeAutospacing="1" w:after="156" w:afterLines="50"/>
              <w:ind w:left="38" w:firstLine="283"/>
              <w:rPr>
                <w:rFonts w:ascii="仿宋" w:hAnsi="仿宋" w:eastAsia="仿宋" w:cs="仿宋"/>
                <w:color w:val="auto"/>
                <w:highlight w:val="none"/>
              </w:rPr>
            </w:pPr>
            <w:r>
              <w:rPr>
                <w:rFonts w:hint="eastAsia" w:ascii="仿宋" w:hAnsi="仿宋" w:eastAsia="仿宋" w:cs="仿宋"/>
                <w:color w:val="auto"/>
                <w:highlight w:val="none"/>
              </w:rPr>
              <w:t>图纸会审记录；</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1781" w:type="dxa"/>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vAlign w:val="center"/>
          </w:tcPr>
          <w:p>
            <w:pPr>
              <w:numPr>
                <w:ilvl w:val="1"/>
                <w:numId w:val="6"/>
              </w:numPr>
              <w:tabs>
                <w:tab w:val="left" w:pos="38"/>
                <w:tab w:val="clear" w:pos="960"/>
              </w:tabs>
              <w:spacing w:before="100" w:beforeAutospacing="1" w:after="156" w:afterLines="50"/>
              <w:ind w:left="38" w:firstLine="283"/>
              <w:rPr>
                <w:rFonts w:ascii="仿宋" w:hAnsi="仿宋" w:eastAsia="仿宋" w:cs="仿宋"/>
                <w:color w:val="auto"/>
                <w:highlight w:val="none"/>
              </w:rPr>
            </w:pPr>
            <w:r>
              <w:rPr>
                <w:rFonts w:hint="eastAsia" w:ascii="仿宋" w:hAnsi="仿宋" w:eastAsia="仿宋" w:cs="仿宋"/>
                <w:color w:val="auto"/>
                <w:highlight w:val="none"/>
              </w:rPr>
              <w:t>设备采购合同（清单）及设备安装合同；</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1781" w:type="dxa"/>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vAlign w:val="center"/>
          </w:tcPr>
          <w:p>
            <w:pPr>
              <w:numPr>
                <w:ilvl w:val="1"/>
                <w:numId w:val="6"/>
              </w:numPr>
              <w:tabs>
                <w:tab w:val="left" w:pos="38"/>
                <w:tab w:val="clear" w:pos="960"/>
              </w:tabs>
              <w:spacing w:before="100" w:beforeAutospacing="1" w:after="156" w:afterLines="50"/>
              <w:ind w:left="38" w:firstLine="283"/>
              <w:rPr>
                <w:rFonts w:ascii="仿宋" w:hAnsi="仿宋" w:eastAsia="仿宋" w:cs="仿宋"/>
                <w:color w:val="auto"/>
                <w:highlight w:val="none"/>
              </w:rPr>
            </w:pPr>
            <w:r>
              <w:rPr>
                <w:rFonts w:hint="eastAsia" w:ascii="仿宋" w:hAnsi="仿宋" w:eastAsia="仿宋" w:cs="仿宋"/>
                <w:color w:val="auto"/>
                <w:highlight w:val="none"/>
              </w:rPr>
              <w:t>甲方供货合同及清单（如有）；</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1781" w:type="dxa"/>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vAlign w:val="center"/>
          </w:tcPr>
          <w:p>
            <w:pPr>
              <w:numPr>
                <w:ilvl w:val="1"/>
                <w:numId w:val="6"/>
              </w:numPr>
              <w:tabs>
                <w:tab w:val="left" w:pos="38"/>
                <w:tab w:val="clear" w:pos="960"/>
              </w:tabs>
              <w:spacing w:before="100" w:beforeAutospacing="1" w:after="156" w:afterLines="50"/>
              <w:ind w:left="38" w:firstLine="283"/>
              <w:rPr>
                <w:rFonts w:ascii="仿宋" w:hAnsi="仿宋" w:eastAsia="仿宋" w:cs="仿宋"/>
                <w:color w:val="auto"/>
                <w:highlight w:val="none"/>
              </w:rPr>
            </w:pPr>
            <w:r>
              <w:rPr>
                <w:rFonts w:hint="eastAsia" w:ascii="仿宋" w:hAnsi="仿宋" w:eastAsia="仿宋" w:cs="仿宋"/>
                <w:color w:val="auto"/>
                <w:highlight w:val="none"/>
              </w:rPr>
              <w:t>施工组织设计；</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1781" w:type="dxa"/>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vAlign w:val="center"/>
          </w:tcPr>
          <w:p>
            <w:pPr>
              <w:numPr>
                <w:ilvl w:val="1"/>
                <w:numId w:val="6"/>
              </w:numPr>
              <w:tabs>
                <w:tab w:val="left" w:pos="38"/>
                <w:tab w:val="clear" w:pos="960"/>
              </w:tabs>
              <w:spacing w:before="100" w:beforeAutospacing="1" w:after="156" w:afterLines="50"/>
              <w:ind w:left="38" w:firstLine="283"/>
              <w:rPr>
                <w:rFonts w:ascii="仿宋" w:hAnsi="仿宋" w:eastAsia="仿宋" w:cs="仿宋"/>
                <w:color w:val="auto"/>
                <w:highlight w:val="none"/>
              </w:rPr>
            </w:pPr>
            <w:r>
              <w:rPr>
                <w:rFonts w:hint="eastAsia" w:ascii="仿宋" w:hAnsi="仿宋" w:eastAsia="仿宋" w:cs="仿宋"/>
                <w:color w:val="auto"/>
                <w:highlight w:val="none"/>
              </w:rPr>
              <w:t>隐蔽工程记录；</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1781" w:type="dxa"/>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vAlign w:val="center"/>
          </w:tcPr>
          <w:p>
            <w:pPr>
              <w:numPr>
                <w:ilvl w:val="1"/>
                <w:numId w:val="6"/>
              </w:numPr>
              <w:tabs>
                <w:tab w:val="left" w:pos="38"/>
                <w:tab w:val="clear" w:pos="960"/>
              </w:tabs>
              <w:spacing w:before="100" w:beforeAutospacing="1" w:after="156" w:afterLines="50"/>
              <w:ind w:left="38" w:firstLine="283"/>
              <w:rPr>
                <w:rFonts w:ascii="仿宋" w:hAnsi="仿宋" w:eastAsia="仿宋" w:cs="仿宋"/>
                <w:color w:val="auto"/>
                <w:highlight w:val="none"/>
              </w:rPr>
            </w:pPr>
            <w:r>
              <w:rPr>
                <w:rFonts w:hint="eastAsia" w:ascii="仿宋" w:hAnsi="仿宋" w:eastAsia="仿宋" w:cs="仿宋"/>
                <w:color w:val="auto"/>
                <w:highlight w:val="none"/>
              </w:rPr>
              <w:t>设计变更通知书；</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1781" w:type="dxa"/>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vAlign w:val="center"/>
          </w:tcPr>
          <w:p>
            <w:pPr>
              <w:numPr>
                <w:ilvl w:val="1"/>
                <w:numId w:val="6"/>
              </w:numPr>
              <w:tabs>
                <w:tab w:val="left" w:pos="38"/>
                <w:tab w:val="clear" w:pos="960"/>
              </w:tabs>
              <w:spacing w:before="100" w:beforeAutospacing="1" w:after="156" w:afterLines="50"/>
              <w:ind w:left="38" w:firstLine="283"/>
              <w:rPr>
                <w:rFonts w:ascii="仿宋" w:hAnsi="仿宋" w:eastAsia="仿宋" w:cs="仿宋"/>
                <w:color w:val="auto"/>
                <w:highlight w:val="none"/>
              </w:rPr>
            </w:pPr>
            <w:r>
              <w:rPr>
                <w:rFonts w:hint="eastAsia" w:ascii="仿宋" w:hAnsi="仿宋" w:eastAsia="仿宋" w:cs="仿宋"/>
                <w:color w:val="auto"/>
                <w:highlight w:val="none"/>
              </w:rPr>
              <w:t>工程洽商记录；</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1781" w:type="dxa"/>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vAlign w:val="center"/>
          </w:tcPr>
          <w:p>
            <w:pPr>
              <w:numPr>
                <w:ilvl w:val="1"/>
                <w:numId w:val="6"/>
              </w:numPr>
              <w:tabs>
                <w:tab w:val="left" w:pos="38"/>
                <w:tab w:val="clear" w:pos="960"/>
              </w:tabs>
              <w:spacing w:before="100" w:beforeAutospacing="1" w:after="156" w:afterLines="50"/>
              <w:ind w:left="38" w:firstLine="283"/>
              <w:rPr>
                <w:rFonts w:ascii="仿宋" w:hAnsi="仿宋" w:eastAsia="仿宋" w:cs="仿宋"/>
                <w:color w:val="auto"/>
                <w:highlight w:val="none"/>
              </w:rPr>
            </w:pPr>
            <w:r>
              <w:rPr>
                <w:rFonts w:hint="eastAsia" w:ascii="仿宋" w:hAnsi="仿宋" w:eastAsia="仿宋" w:cs="仿宋"/>
                <w:color w:val="auto"/>
                <w:highlight w:val="none"/>
              </w:rPr>
              <w:t>工程质量验收报告；</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1781" w:type="dxa"/>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vAlign w:val="center"/>
          </w:tcPr>
          <w:p>
            <w:pPr>
              <w:numPr>
                <w:ilvl w:val="1"/>
                <w:numId w:val="6"/>
              </w:numPr>
              <w:tabs>
                <w:tab w:val="left" w:pos="38"/>
                <w:tab w:val="clear" w:pos="960"/>
              </w:tabs>
              <w:spacing w:before="100" w:beforeAutospacing="1" w:after="156" w:afterLines="50"/>
              <w:ind w:left="38" w:firstLine="283"/>
              <w:rPr>
                <w:rFonts w:ascii="仿宋" w:hAnsi="仿宋" w:eastAsia="仿宋" w:cs="仿宋"/>
                <w:color w:val="auto"/>
                <w:highlight w:val="none"/>
              </w:rPr>
            </w:pPr>
            <w:r>
              <w:rPr>
                <w:rFonts w:hint="eastAsia" w:ascii="仿宋" w:hAnsi="仿宋" w:eastAsia="仿宋" w:cs="仿宋"/>
                <w:color w:val="auto"/>
                <w:highlight w:val="none"/>
              </w:rPr>
              <w:t>索赔资料及确认单；</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1781" w:type="dxa"/>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vAlign w:val="center"/>
          </w:tcPr>
          <w:p>
            <w:pPr>
              <w:numPr>
                <w:ilvl w:val="1"/>
                <w:numId w:val="6"/>
              </w:numPr>
              <w:tabs>
                <w:tab w:val="left" w:pos="38"/>
                <w:tab w:val="clear" w:pos="960"/>
              </w:tabs>
              <w:spacing w:before="100" w:beforeAutospacing="1" w:after="156" w:afterLines="50"/>
              <w:ind w:left="38" w:firstLine="283"/>
              <w:rPr>
                <w:rFonts w:ascii="仿宋" w:hAnsi="仿宋" w:eastAsia="仿宋" w:cs="仿宋"/>
                <w:color w:val="auto"/>
                <w:highlight w:val="none"/>
              </w:rPr>
            </w:pPr>
            <w:r>
              <w:rPr>
                <w:rFonts w:hint="eastAsia" w:ascii="仿宋" w:hAnsi="仿宋" w:eastAsia="仿宋" w:cs="仿宋"/>
                <w:color w:val="auto"/>
                <w:highlight w:val="none"/>
              </w:rPr>
              <w:t>其他资料。</w:t>
            </w:r>
          </w:p>
        </w:tc>
        <w:tc>
          <w:tcPr>
            <w:tcW w:w="837" w:type="dxa"/>
            <w:vAlign w:val="center"/>
          </w:tcPr>
          <w:p>
            <w:pPr>
              <w:rPr>
                <w:rFonts w:ascii="仿宋" w:hAnsi="仿宋" w:eastAsia="仿宋" w:cs="仿宋"/>
                <w:color w:val="auto"/>
                <w:highlight w:val="none"/>
              </w:rPr>
            </w:pPr>
          </w:p>
        </w:tc>
        <w:tc>
          <w:tcPr>
            <w:tcW w:w="1338" w:type="dxa"/>
            <w:vAlign w:val="center"/>
          </w:tcPr>
          <w:p>
            <w:pPr>
              <w:rPr>
                <w:rFonts w:ascii="仿宋" w:hAnsi="仿宋" w:eastAsia="仿宋" w:cs="仿宋"/>
                <w:color w:val="auto"/>
                <w:highlight w:val="none"/>
              </w:rPr>
            </w:pPr>
          </w:p>
        </w:tc>
        <w:tc>
          <w:tcPr>
            <w:tcW w:w="1781" w:type="dxa"/>
            <w:vAlign w:val="center"/>
          </w:tcPr>
          <w:p>
            <w:pPr>
              <w:rPr>
                <w:rFonts w:ascii="仿宋" w:hAnsi="仿宋" w:eastAsia="仿宋" w:cs="仿宋"/>
                <w:color w:val="auto"/>
                <w:highlight w:val="none"/>
              </w:rPr>
            </w:pPr>
          </w:p>
        </w:tc>
      </w:tr>
    </w:tbl>
    <w:p>
      <w:pPr>
        <w:rPr>
          <w:rFonts w:ascii="仿宋" w:hAnsi="仿宋" w:eastAsia="仿宋" w:cs="仿宋"/>
          <w:color w:val="auto"/>
          <w:sz w:val="24"/>
          <w:szCs w:val="24"/>
          <w:highlight w:val="none"/>
        </w:rPr>
      </w:pPr>
      <w:bookmarkStart w:id="154" w:name="_Toc12549"/>
      <w:r>
        <w:rPr>
          <w:rFonts w:hint="eastAsia" w:ascii="仿宋" w:hAnsi="仿宋" w:eastAsia="仿宋" w:cs="仿宋"/>
          <w:color w:val="auto"/>
          <w:sz w:val="24"/>
          <w:szCs w:val="24"/>
          <w:highlight w:val="none"/>
        </w:rPr>
        <w:br w:type="page"/>
      </w:r>
    </w:p>
    <w:p>
      <w:pPr>
        <w:pStyle w:val="3"/>
        <w:spacing w:before="0" w:after="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附录D 委托人提供房屋及设备一览表</w:t>
      </w:r>
      <w:bookmarkEnd w:id="154"/>
    </w:p>
    <w:tbl>
      <w:tblPr>
        <w:tblStyle w:val="19"/>
        <w:tblpPr w:leftFromText="180" w:rightFromText="180" w:vertAnchor="text" w:horzAnchor="page" w:tblpX="1692" w:tblpY="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969"/>
        <w:gridCol w:w="2587"/>
        <w:gridCol w:w="2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tcPr>
          <w:p>
            <w:pPr>
              <w:pStyle w:val="15"/>
              <w:widowControl w:val="0"/>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名称</w:t>
            </w:r>
          </w:p>
        </w:tc>
        <w:tc>
          <w:tcPr>
            <w:tcW w:w="969" w:type="dxa"/>
          </w:tcPr>
          <w:p>
            <w:pPr>
              <w:pStyle w:val="15"/>
              <w:widowControl w:val="0"/>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数量</w:t>
            </w:r>
          </w:p>
        </w:tc>
        <w:tc>
          <w:tcPr>
            <w:tcW w:w="2587" w:type="dxa"/>
          </w:tcPr>
          <w:p>
            <w:pPr>
              <w:pStyle w:val="15"/>
              <w:widowControl w:val="0"/>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面积、型号及规格</w:t>
            </w:r>
          </w:p>
        </w:tc>
        <w:tc>
          <w:tcPr>
            <w:tcW w:w="2007" w:type="dxa"/>
          </w:tcPr>
          <w:p>
            <w:pPr>
              <w:pStyle w:val="15"/>
              <w:widowControl w:val="0"/>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tcPr>
          <w:p>
            <w:pPr>
              <w:pStyle w:val="15"/>
              <w:widowControl w:val="0"/>
              <w:spacing w:line="360" w:lineRule="auto"/>
              <w:jc w:val="both"/>
              <w:rPr>
                <w:rFonts w:ascii="仿宋" w:hAnsi="仿宋" w:eastAsia="仿宋" w:cs="仿宋"/>
                <w:color w:val="auto"/>
                <w:highlight w:val="none"/>
              </w:rPr>
            </w:pPr>
          </w:p>
        </w:tc>
        <w:tc>
          <w:tcPr>
            <w:tcW w:w="969" w:type="dxa"/>
          </w:tcPr>
          <w:p>
            <w:pPr>
              <w:spacing w:line="360" w:lineRule="auto"/>
              <w:rPr>
                <w:rFonts w:ascii="仿宋" w:hAnsi="仿宋" w:eastAsia="仿宋" w:cs="仿宋"/>
                <w:color w:val="auto"/>
                <w:highlight w:val="none"/>
              </w:rPr>
            </w:pPr>
          </w:p>
        </w:tc>
        <w:tc>
          <w:tcPr>
            <w:tcW w:w="2587" w:type="dxa"/>
          </w:tcPr>
          <w:p>
            <w:pPr>
              <w:spacing w:line="360" w:lineRule="auto"/>
              <w:rPr>
                <w:rFonts w:ascii="仿宋" w:hAnsi="仿宋" w:eastAsia="仿宋" w:cs="仿宋"/>
                <w:color w:val="auto"/>
                <w:highlight w:val="none"/>
              </w:rPr>
            </w:pPr>
          </w:p>
        </w:tc>
        <w:tc>
          <w:tcPr>
            <w:tcW w:w="200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tcPr>
          <w:p>
            <w:pPr>
              <w:pStyle w:val="15"/>
              <w:widowControl w:val="0"/>
              <w:spacing w:line="360" w:lineRule="auto"/>
              <w:jc w:val="both"/>
              <w:rPr>
                <w:rFonts w:ascii="仿宋" w:hAnsi="仿宋" w:eastAsia="仿宋" w:cs="仿宋"/>
                <w:color w:val="auto"/>
                <w:highlight w:val="none"/>
              </w:rPr>
            </w:pPr>
          </w:p>
        </w:tc>
        <w:tc>
          <w:tcPr>
            <w:tcW w:w="969"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58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00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tcPr>
          <w:p>
            <w:pPr>
              <w:pStyle w:val="15"/>
              <w:widowControl w:val="0"/>
              <w:spacing w:line="360" w:lineRule="auto"/>
              <w:jc w:val="both"/>
              <w:rPr>
                <w:rFonts w:ascii="仿宋" w:hAnsi="仿宋" w:eastAsia="仿宋" w:cs="仿宋"/>
                <w:color w:val="auto"/>
                <w:highlight w:val="none"/>
              </w:rPr>
            </w:pPr>
          </w:p>
        </w:tc>
        <w:tc>
          <w:tcPr>
            <w:tcW w:w="969"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58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00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tcPr>
          <w:p>
            <w:pPr>
              <w:pStyle w:val="15"/>
              <w:widowControl w:val="0"/>
              <w:spacing w:line="360" w:lineRule="auto"/>
              <w:jc w:val="both"/>
              <w:rPr>
                <w:rFonts w:ascii="仿宋" w:hAnsi="仿宋" w:eastAsia="仿宋" w:cs="仿宋"/>
                <w:color w:val="auto"/>
                <w:highlight w:val="none"/>
              </w:rPr>
            </w:pPr>
          </w:p>
        </w:tc>
        <w:tc>
          <w:tcPr>
            <w:tcW w:w="969"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58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00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pPr>
              <w:pStyle w:val="15"/>
              <w:widowControl w:val="0"/>
              <w:spacing w:line="360" w:lineRule="auto"/>
              <w:jc w:val="both"/>
              <w:rPr>
                <w:rFonts w:ascii="仿宋" w:hAnsi="仿宋" w:eastAsia="仿宋" w:cs="仿宋"/>
                <w:color w:val="auto"/>
                <w:highlight w:val="none"/>
              </w:rPr>
            </w:pPr>
          </w:p>
        </w:tc>
        <w:tc>
          <w:tcPr>
            <w:tcW w:w="950"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58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00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pPr>
              <w:pStyle w:val="15"/>
              <w:widowControl w:val="0"/>
              <w:spacing w:line="360" w:lineRule="auto"/>
              <w:jc w:val="both"/>
              <w:rPr>
                <w:rFonts w:ascii="仿宋" w:hAnsi="仿宋" w:eastAsia="仿宋" w:cs="仿宋"/>
                <w:color w:val="auto"/>
                <w:highlight w:val="none"/>
              </w:rPr>
            </w:pPr>
          </w:p>
        </w:tc>
        <w:tc>
          <w:tcPr>
            <w:tcW w:w="950"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58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00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pPr>
              <w:pStyle w:val="15"/>
              <w:widowControl w:val="0"/>
              <w:spacing w:line="360" w:lineRule="auto"/>
              <w:jc w:val="both"/>
              <w:rPr>
                <w:rFonts w:ascii="仿宋" w:hAnsi="仿宋" w:eastAsia="仿宋" w:cs="仿宋"/>
                <w:color w:val="auto"/>
                <w:highlight w:val="none"/>
              </w:rPr>
            </w:pPr>
          </w:p>
        </w:tc>
        <w:tc>
          <w:tcPr>
            <w:tcW w:w="950"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58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00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Pr>
          <w:p>
            <w:pPr>
              <w:pStyle w:val="15"/>
              <w:widowControl w:val="0"/>
              <w:spacing w:line="360" w:lineRule="auto"/>
              <w:jc w:val="both"/>
              <w:rPr>
                <w:rFonts w:ascii="仿宋" w:hAnsi="仿宋" w:eastAsia="仿宋" w:cs="仿宋"/>
                <w:color w:val="auto"/>
                <w:highlight w:val="none"/>
              </w:rPr>
            </w:pPr>
          </w:p>
        </w:tc>
        <w:tc>
          <w:tcPr>
            <w:tcW w:w="950"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58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00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r>
    </w:tbl>
    <w:p>
      <w:pPr>
        <w:spacing w:line="360" w:lineRule="auto"/>
        <w:jc w:val="left"/>
        <w:rPr>
          <w:rFonts w:ascii="仿宋" w:hAnsi="仿宋" w:eastAsia="仿宋" w:cs="仿宋"/>
          <w:b/>
          <w:bCs/>
          <w:color w:val="auto"/>
          <w:sz w:val="36"/>
          <w:szCs w:val="36"/>
          <w:highlight w:val="none"/>
        </w:rPr>
      </w:pPr>
    </w:p>
    <w:p>
      <w:pPr>
        <w:spacing w:line="360" w:lineRule="auto"/>
        <w:jc w:val="left"/>
        <w:rPr>
          <w:rFonts w:ascii="仿宋" w:hAnsi="仿宋" w:eastAsia="仿宋" w:cs="仿宋"/>
          <w:b/>
          <w:bCs/>
          <w:color w:val="auto"/>
          <w:sz w:val="36"/>
          <w:szCs w:val="36"/>
          <w:highlight w:val="none"/>
        </w:rPr>
      </w:pPr>
    </w:p>
    <w:p>
      <w:pPr>
        <w:spacing w:line="360" w:lineRule="auto"/>
        <w:jc w:val="left"/>
        <w:rPr>
          <w:rFonts w:ascii="仿宋" w:hAnsi="仿宋" w:eastAsia="仿宋" w:cs="仿宋"/>
          <w:b/>
          <w:bCs/>
          <w:color w:val="auto"/>
          <w:sz w:val="36"/>
          <w:szCs w:val="36"/>
          <w:highlight w:val="none"/>
        </w:rPr>
      </w:pPr>
    </w:p>
    <w:p>
      <w:pPr>
        <w:spacing w:line="360" w:lineRule="auto"/>
        <w:jc w:val="left"/>
        <w:rPr>
          <w:rFonts w:ascii="仿宋" w:hAnsi="仿宋" w:eastAsia="仿宋" w:cs="仿宋"/>
          <w:b/>
          <w:bCs/>
          <w:color w:val="auto"/>
          <w:sz w:val="36"/>
          <w:szCs w:val="36"/>
          <w:highlight w:val="none"/>
        </w:rPr>
      </w:pPr>
    </w:p>
    <w:p>
      <w:pPr>
        <w:spacing w:line="360" w:lineRule="auto"/>
        <w:jc w:val="left"/>
        <w:rPr>
          <w:rFonts w:ascii="仿宋" w:hAnsi="仿宋" w:eastAsia="仿宋" w:cs="仿宋"/>
          <w:b/>
          <w:bCs/>
          <w:color w:val="auto"/>
          <w:sz w:val="36"/>
          <w:szCs w:val="36"/>
          <w:highlight w:val="none"/>
        </w:rPr>
      </w:pPr>
    </w:p>
    <w:p>
      <w:pPr>
        <w:spacing w:line="360" w:lineRule="auto"/>
        <w:jc w:val="left"/>
        <w:rPr>
          <w:rFonts w:ascii="仿宋" w:hAnsi="仿宋" w:eastAsia="仿宋" w:cs="仿宋"/>
          <w:b/>
          <w:bCs/>
          <w:color w:val="auto"/>
          <w:sz w:val="36"/>
          <w:szCs w:val="36"/>
          <w:highlight w:val="none"/>
        </w:rPr>
      </w:pPr>
    </w:p>
    <w:p>
      <w:pPr>
        <w:spacing w:line="360" w:lineRule="auto"/>
        <w:jc w:val="left"/>
        <w:rPr>
          <w:rFonts w:ascii="仿宋" w:hAnsi="仿宋" w:eastAsia="仿宋" w:cs="仿宋"/>
          <w:b/>
          <w:bCs/>
          <w:color w:val="auto"/>
          <w:sz w:val="36"/>
          <w:szCs w:val="36"/>
          <w:highlight w:val="none"/>
        </w:rPr>
      </w:pPr>
    </w:p>
    <w:p>
      <w:pPr>
        <w:spacing w:line="360" w:lineRule="auto"/>
        <w:jc w:val="left"/>
        <w:rPr>
          <w:rFonts w:ascii="仿宋" w:hAnsi="仿宋" w:eastAsia="仿宋" w:cs="仿宋"/>
          <w:b/>
          <w:bCs/>
          <w:color w:val="auto"/>
          <w:sz w:val="36"/>
          <w:szCs w:val="36"/>
          <w:highlight w:val="none"/>
        </w:rPr>
      </w:pPr>
    </w:p>
    <w:p>
      <w:pPr>
        <w:spacing w:line="360" w:lineRule="auto"/>
        <w:jc w:val="left"/>
        <w:rPr>
          <w:rFonts w:ascii="仿宋" w:hAnsi="仿宋" w:eastAsia="仿宋" w:cs="仿宋"/>
          <w:b/>
          <w:bCs/>
          <w:color w:val="auto"/>
          <w:sz w:val="36"/>
          <w:szCs w:val="36"/>
          <w:highlight w:val="none"/>
        </w:rPr>
      </w:pPr>
    </w:p>
    <w:p>
      <w:pPr>
        <w:spacing w:line="360" w:lineRule="auto"/>
        <w:jc w:val="left"/>
        <w:rPr>
          <w:rFonts w:ascii="仿宋" w:hAnsi="仿宋" w:eastAsia="仿宋" w:cs="仿宋"/>
          <w:b/>
          <w:bCs/>
          <w:color w:val="auto"/>
          <w:sz w:val="36"/>
          <w:szCs w:val="36"/>
          <w:highlight w:val="none"/>
        </w:rPr>
      </w:pPr>
    </w:p>
    <w:p>
      <w:pPr>
        <w:spacing w:line="360" w:lineRule="auto"/>
        <w:jc w:val="left"/>
        <w:rPr>
          <w:rFonts w:ascii="仿宋" w:hAnsi="仿宋" w:eastAsia="仿宋" w:cs="仿宋"/>
          <w:b/>
          <w:bCs/>
          <w:color w:val="auto"/>
          <w:sz w:val="36"/>
          <w:szCs w:val="36"/>
          <w:highlight w:val="none"/>
        </w:rPr>
      </w:pPr>
    </w:p>
    <w:p>
      <w:pP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br w:type="page"/>
      </w:r>
    </w:p>
    <w:p>
      <w:pPr>
        <w:pStyle w:val="3"/>
        <w:tabs>
          <w:tab w:val="left" w:pos="420"/>
        </w:tabs>
        <w:jc w:val="center"/>
        <w:rPr>
          <w:rFonts w:ascii="仿宋" w:hAnsi="仿宋" w:eastAsia="仿宋" w:cs="仿宋"/>
          <w:b/>
          <w:bCs/>
          <w:color w:val="auto"/>
          <w:sz w:val="32"/>
          <w:szCs w:val="32"/>
          <w:highlight w:val="none"/>
        </w:rPr>
      </w:pPr>
      <w:r>
        <w:rPr>
          <w:rFonts w:hint="eastAsia" w:ascii="仿宋" w:hAnsi="仿宋" w:eastAsia="仿宋" w:cs="仿宋"/>
          <w:b/>
          <w:bCs/>
          <w:color w:val="auto"/>
          <w:sz w:val="36"/>
          <w:szCs w:val="36"/>
          <w:highlight w:val="none"/>
        </w:rPr>
        <w:t>第三部分  专用条款</w:t>
      </w:r>
      <w:bookmarkEnd w:id="146"/>
      <w:bookmarkEnd w:id="147"/>
    </w:p>
    <w:p>
      <w:pPr>
        <w:pStyle w:val="16"/>
        <w:spacing w:before="0" w:after="0" w:line="360" w:lineRule="auto"/>
        <w:ind w:firstLine="482" w:firstLineChars="200"/>
        <w:jc w:val="left"/>
        <w:rPr>
          <w:rFonts w:ascii="仿宋" w:hAnsi="仿宋" w:eastAsia="仿宋" w:cs="仿宋"/>
          <w:bCs w:val="0"/>
          <w:color w:val="auto"/>
          <w:sz w:val="24"/>
          <w:szCs w:val="24"/>
          <w:highlight w:val="none"/>
        </w:rPr>
      </w:pPr>
      <w:bookmarkStart w:id="155" w:name="_Toc10627433"/>
      <w:bookmarkStart w:id="156" w:name="_Toc22216"/>
      <w:r>
        <w:rPr>
          <w:rFonts w:hint="eastAsia" w:ascii="仿宋" w:hAnsi="仿宋" w:eastAsia="仿宋" w:cs="仿宋"/>
          <w:color w:val="auto"/>
          <w:sz w:val="24"/>
          <w:szCs w:val="24"/>
          <w:highlight w:val="none"/>
        </w:rPr>
        <w:t>1. 词语定义、语言、解释顺序与适用法律</w:t>
      </w:r>
      <w:bookmarkEnd w:id="155"/>
      <w:bookmarkEnd w:id="156"/>
    </w:p>
    <w:p>
      <w:pPr>
        <w:pStyle w:val="16"/>
        <w:spacing w:before="0" w:after="0" w:line="360" w:lineRule="auto"/>
        <w:ind w:firstLine="482" w:firstLineChars="200"/>
        <w:jc w:val="left"/>
        <w:rPr>
          <w:rFonts w:ascii="仿宋" w:hAnsi="仿宋" w:eastAsia="仿宋" w:cs="仿宋"/>
          <w:bCs w:val="0"/>
          <w:color w:val="auto"/>
          <w:sz w:val="24"/>
          <w:szCs w:val="24"/>
          <w:highlight w:val="none"/>
        </w:rPr>
      </w:pPr>
      <w:bookmarkStart w:id="157" w:name="_Toc22303"/>
      <w:bookmarkStart w:id="158" w:name="_Toc10627434"/>
      <w:r>
        <w:rPr>
          <w:rFonts w:hint="eastAsia" w:ascii="仿宋" w:hAnsi="仿宋" w:eastAsia="仿宋" w:cs="仿宋"/>
          <w:color w:val="auto"/>
          <w:sz w:val="24"/>
          <w:szCs w:val="24"/>
          <w:highlight w:val="none"/>
        </w:rPr>
        <w:t>1.2语言</w:t>
      </w:r>
      <w:bookmarkEnd w:id="157"/>
      <w:bookmarkEnd w:id="158"/>
    </w:p>
    <w:p>
      <w:pPr>
        <w:spacing w:line="360" w:lineRule="auto"/>
        <w:ind w:firstLine="468"/>
        <w:rPr>
          <w:rStyle w:val="30"/>
          <w:rFonts w:ascii="仿宋" w:hAnsi="仿宋" w:eastAsia="仿宋" w:cs="仿宋"/>
          <w:b w:val="0"/>
          <w:color w:val="auto"/>
          <w:sz w:val="24"/>
          <w:szCs w:val="24"/>
          <w:highlight w:val="none"/>
        </w:rPr>
      </w:pPr>
      <w:bookmarkStart w:id="159" w:name="_Toc419045102"/>
      <w:bookmarkStart w:id="160" w:name="_Toc475975170"/>
      <w:bookmarkStart w:id="161" w:name="_Toc19652"/>
      <w:r>
        <w:rPr>
          <w:rFonts w:hint="eastAsia" w:ascii="仿宋" w:hAnsi="仿宋" w:eastAsia="仿宋" w:cs="仿宋"/>
          <w:color w:val="auto"/>
          <w:sz w:val="24"/>
          <w:szCs w:val="24"/>
          <w:highlight w:val="none"/>
        </w:rPr>
        <w:t>本合同文件除使用中文外，还可用</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68"/>
        <w:rPr>
          <w:rStyle w:val="30"/>
          <w:rFonts w:ascii="仿宋" w:hAnsi="仿宋" w:eastAsia="仿宋" w:cs="仿宋"/>
          <w:bCs w:val="0"/>
          <w:color w:val="auto"/>
          <w:sz w:val="24"/>
          <w:szCs w:val="24"/>
          <w:highlight w:val="none"/>
        </w:rPr>
      </w:pPr>
      <w:r>
        <w:rPr>
          <w:rStyle w:val="30"/>
          <w:rFonts w:hint="eastAsia" w:ascii="仿宋" w:hAnsi="仿宋" w:eastAsia="仿宋" w:cs="仿宋"/>
          <w:bCs w:val="0"/>
          <w:color w:val="auto"/>
          <w:sz w:val="24"/>
          <w:szCs w:val="24"/>
          <w:highlight w:val="none"/>
        </w:rPr>
        <w:t>1.4适用法律</w:t>
      </w:r>
      <w:bookmarkEnd w:id="159"/>
      <w:bookmarkEnd w:id="160"/>
    </w:p>
    <w:bookmarkEnd w:id="161"/>
    <w:p>
      <w:pPr>
        <w:spacing w:line="360" w:lineRule="auto"/>
        <w:ind w:firstLine="480" w:firstLineChars="200"/>
        <w:rPr>
          <w:rFonts w:ascii="仿宋" w:hAnsi="仿宋" w:eastAsia="仿宋" w:cs="仿宋"/>
          <w:color w:val="auto"/>
          <w:sz w:val="32"/>
          <w:szCs w:val="32"/>
          <w:highlight w:val="none"/>
        </w:rPr>
      </w:pPr>
      <w:r>
        <w:rPr>
          <w:rFonts w:hint="eastAsia" w:ascii="仿宋" w:hAnsi="仿宋" w:eastAsia="仿宋" w:cs="仿宋"/>
          <w:color w:val="auto"/>
          <w:sz w:val="24"/>
          <w:szCs w:val="24"/>
          <w:highlight w:val="none"/>
        </w:rPr>
        <w:t>_本合同适用的其他规范性文件包括:</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32"/>
          <w:szCs w:val="32"/>
          <w:highlight w:val="none"/>
        </w:rPr>
        <w:t>。</w:t>
      </w:r>
    </w:p>
    <w:p>
      <w:pPr>
        <w:pStyle w:val="16"/>
        <w:spacing w:before="0" w:after="0" w:line="360" w:lineRule="auto"/>
        <w:ind w:firstLine="482" w:firstLineChars="200"/>
        <w:jc w:val="left"/>
        <w:rPr>
          <w:rFonts w:ascii="仿宋" w:hAnsi="仿宋" w:eastAsia="仿宋" w:cs="仿宋"/>
          <w:bCs w:val="0"/>
          <w:color w:val="auto"/>
          <w:sz w:val="24"/>
          <w:szCs w:val="24"/>
          <w:highlight w:val="none"/>
        </w:rPr>
      </w:pPr>
      <w:bookmarkStart w:id="162" w:name="_Toc475975171"/>
      <w:bookmarkStart w:id="163" w:name="_Toc419045103"/>
      <w:bookmarkStart w:id="164" w:name="_Toc23566"/>
      <w:r>
        <w:rPr>
          <w:rFonts w:hint="eastAsia" w:ascii="仿宋" w:hAnsi="仿宋" w:eastAsia="仿宋" w:cs="仿宋"/>
          <w:bCs w:val="0"/>
          <w:color w:val="auto"/>
          <w:sz w:val="24"/>
          <w:szCs w:val="24"/>
          <w:highlight w:val="none"/>
        </w:rPr>
        <w:t>2.委托人的义务</w:t>
      </w:r>
      <w:bookmarkEnd w:id="162"/>
      <w:bookmarkEnd w:id="163"/>
      <w:bookmarkEnd w:id="164"/>
    </w:p>
    <w:p>
      <w:pPr>
        <w:spacing w:line="360" w:lineRule="auto"/>
        <w:ind w:firstLine="468"/>
        <w:rPr>
          <w:rStyle w:val="30"/>
          <w:rFonts w:ascii="仿宋" w:hAnsi="仿宋" w:eastAsia="仿宋" w:cs="仿宋"/>
          <w:bCs w:val="0"/>
          <w:color w:val="auto"/>
          <w:sz w:val="24"/>
          <w:szCs w:val="24"/>
          <w:highlight w:val="none"/>
        </w:rPr>
      </w:pPr>
      <w:bookmarkStart w:id="165" w:name="_Toc419045104"/>
      <w:bookmarkStart w:id="166" w:name="_Toc475975172"/>
      <w:bookmarkStart w:id="167" w:name="_Toc8432"/>
      <w:r>
        <w:rPr>
          <w:rStyle w:val="30"/>
          <w:rFonts w:hint="eastAsia" w:ascii="仿宋" w:hAnsi="仿宋" w:eastAsia="仿宋" w:cs="仿宋"/>
          <w:bCs w:val="0"/>
          <w:color w:val="auto"/>
          <w:sz w:val="24"/>
          <w:szCs w:val="24"/>
          <w:highlight w:val="none"/>
        </w:rPr>
        <w:t>2.1本合同第二部分《通用条款》第2.1款中附录C委托人提供资料一览表（参照）不适用，代之以下列目录提供资料</w:t>
      </w:r>
      <w:bookmarkEnd w:id="165"/>
      <w:bookmarkEnd w:id="166"/>
    </w:p>
    <w:bookmarkEnd w:id="167"/>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（1）委托人应自本合同生效之日起3个工作日向咨询人提供完成工程概算审核所需材料，具体如下：</w:t>
      </w:r>
    </w:p>
    <w:tbl>
      <w:tblPr>
        <w:tblStyle w:val="19"/>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6"/>
        <w:gridCol w:w="4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476" w:type="dxa"/>
            <w:vAlign w:val="center"/>
          </w:tcPr>
          <w:p>
            <w:pPr>
              <w:pStyle w:val="15"/>
              <w:widowControl w:val="0"/>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名称</w:t>
            </w:r>
          </w:p>
        </w:tc>
        <w:tc>
          <w:tcPr>
            <w:tcW w:w="4007" w:type="dxa"/>
            <w:vAlign w:val="center"/>
          </w:tcPr>
          <w:p>
            <w:pPr>
              <w:pStyle w:val="15"/>
              <w:widowControl w:val="0"/>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提交形式及份数要求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6" w:type="dxa"/>
          </w:tcPr>
          <w:p>
            <w:pPr>
              <w:tabs>
                <w:tab w:val="left" w:pos="448"/>
              </w:tabs>
              <w:spacing w:before="100" w:beforeAutospacing="1" w:after="156" w:afterLines="50" w:line="360" w:lineRule="auto"/>
              <w:jc w:val="left"/>
              <w:rPr>
                <w:rFonts w:ascii="仿宋" w:hAnsi="仿宋" w:eastAsia="仿宋" w:cs="仿宋"/>
                <w:color w:val="auto"/>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工程初步设计图纸、主要材料设备清单等设计文件；</w:t>
            </w:r>
          </w:p>
        </w:tc>
        <w:tc>
          <w:tcPr>
            <w:tcW w:w="4007" w:type="dxa"/>
            <w:vAlign w:val="center"/>
          </w:tcPr>
          <w:p>
            <w:pPr>
              <w:spacing w:line="360" w:lineRule="auto"/>
              <w:rPr>
                <w:rFonts w:ascii="仿宋" w:hAnsi="仿宋" w:eastAsia="仿宋" w:cs="仿宋"/>
                <w:color w:val="auto"/>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纸质版【1】份</w:t>
            </w: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附电子文档【1】份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6" w:type="dxa"/>
          </w:tcPr>
          <w:p>
            <w:pPr>
              <w:tabs>
                <w:tab w:val="left" w:pos="448"/>
              </w:tabs>
              <w:spacing w:before="100" w:beforeAutospacing="1" w:after="156" w:afterLines="50" w:line="360" w:lineRule="auto"/>
              <w:jc w:val="left"/>
              <w:rPr>
                <w:rFonts w:ascii="仿宋" w:hAnsi="仿宋" w:eastAsia="仿宋" w:cs="仿宋"/>
                <w:color w:val="auto"/>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工程概算编制书</w:t>
            </w:r>
          </w:p>
        </w:tc>
        <w:tc>
          <w:tcPr>
            <w:tcW w:w="4007" w:type="dxa"/>
            <w:vAlign w:val="center"/>
          </w:tcPr>
          <w:p>
            <w:pPr>
              <w:spacing w:line="360" w:lineRule="auto"/>
              <w:rPr>
                <w:rFonts w:ascii="仿宋" w:hAnsi="仿宋" w:eastAsia="仿宋" w:cs="仿宋"/>
                <w:color w:val="auto"/>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纸质版【1】份</w:t>
            </w: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附电子文档【1】份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6" w:type="dxa"/>
          </w:tcPr>
          <w:p>
            <w:pPr>
              <w:tabs>
                <w:tab w:val="left" w:pos="448"/>
              </w:tabs>
              <w:spacing w:before="100" w:beforeAutospacing="1" w:after="156" w:afterLines="50" w:line="360" w:lineRule="auto"/>
              <w:jc w:val="left"/>
              <w:rPr>
                <w:rFonts w:ascii="仿宋" w:hAnsi="仿宋" w:eastAsia="仿宋" w:cs="仿宋"/>
                <w:color w:val="auto"/>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已经审批的可行性研究报告或项目建议书(附有工程投资估算书)；</w:t>
            </w:r>
          </w:p>
        </w:tc>
        <w:tc>
          <w:tcPr>
            <w:tcW w:w="4007" w:type="dxa"/>
            <w:vAlign w:val="center"/>
          </w:tcPr>
          <w:p>
            <w:pPr>
              <w:spacing w:line="360" w:lineRule="auto"/>
              <w:rPr>
                <w:rFonts w:ascii="仿宋" w:hAnsi="仿宋" w:eastAsia="仿宋" w:cs="仿宋"/>
                <w:color w:val="auto"/>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纸质版【1】份</w:t>
            </w: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附电子文档【1】份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6" w:type="dxa"/>
          </w:tcPr>
          <w:p>
            <w:pPr>
              <w:tabs>
                <w:tab w:val="left" w:pos="448"/>
              </w:tabs>
              <w:spacing w:before="100" w:beforeAutospacing="1" w:after="156" w:afterLines="50" w:line="360" w:lineRule="auto"/>
              <w:jc w:val="left"/>
              <w:rPr>
                <w:rFonts w:ascii="仿宋" w:hAnsi="仿宋" w:eastAsia="仿宋" w:cs="仿宋"/>
                <w:color w:val="auto"/>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工程地质勘察报告等其它有关技术资料及现场记录；</w:t>
            </w:r>
          </w:p>
        </w:tc>
        <w:tc>
          <w:tcPr>
            <w:tcW w:w="4007" w:type="dxa"/>
            <w:vAlign w:val="center"/>
          </w:tcPr>
          <w:p>
            <w:pPr>
              <w:spacing w:line="360" w:lineRule="auto"/>
              <w:rPr>
                <w:rFonts w:ascii="仿宋" w:hAnsi="仿宋" w:eastAsia="仿宋" w:cs="仿宋"/>
                <w:color w:val="auto"/>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纸质版【1】份</w:t>
            </w: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附电子文档【1】份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6" w:type="dxa"/>
          </w:tcPr>
          <w:p>
            <w:pPr>
              <w:tabs>
                <w:tab w:val="left" w:pos="448"/>
              </w:tabs>
              <w:spacing w:before="100" w:beforeAutospacing="1" w:after="156" w:afterLines="50"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前期已签订的涉及工程建设其他费的相关服务合同；</w:t>
            </w:r>
          </w:p>
        </w:tc>
        <w:tc>
          <w:tcPr>
            <w:tcW w:w="4007" w:type="dxa"/>
            <w:vAlign w:val="center"/>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纸质版【1】份</w:t>
            </w: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附电子文档【1】份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6" w:type="dxa"/>
          </w:tcPr>
          <w:p>
            <w:pPr>
              <w:tabs>
                <w:tab w:val="left" w:pos="448"/>
              </w:tabs>
              <w:spacing w:before="100" w:beforeAutospacing="1" w:after="156" w:afterLines="50" w:line="360" w:lineRule="auto"/>
              <w:jc w:val="left"/>
              <w:rPr>
                <w:rFonts w:ascii="仿宋" w:hAnsi="仿宋" w:eastAsia="仿宋" w:cs="仿宋"/>
                <w:color w:val="auto"/>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其他相关资料：</w:t>
            </w:r>
          </w:p>
        </w:tc>
        <w:tc>
          <w:tcPr>
            <w:tcW w:w="4007" w:type="dxa"/>
            <w:vAlign w:val="center"/>
          </w:tcPr>
          <w:p>
            <w:pPr>
              <w:spacing w:line="360" w:lineRule="auto"/>
              <w:rPr>
                <w:rFonts w:ascii="仿宋" w:hAnsi="仿宋" w:eastAsia="仿宋" w:cs="仿宋"/>
                <w:color w:val="auto"/>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纸质版【1】份</w:t>
            </w:r>
            <w:r>
              <w:rPr>
                <w:rFonts w:hint="eastAsia" w:ascii="仿宋" w:hAnsi="仿宋" w:eastAsia="仿宋" w:cs="仿宋"/>
                <w:color w:val="auto"/>
                <w:sz w:val="24"/>
                <w:szCs w:val="24"/>
                <w:highlight w:val="none"/>
              </w:rPr>
              <w:t>□</w:t>
            </w:r>
            <w:r>
              <w:rPr>
                <w:rFonts w:hint="eastAsia" w:ascii="仿宋" w:hAnsi="仿宋" w:eastAsia="仿宋" w:cs="仿宋"/>
                <w:color w:val="auto"/>
                <w:highlight w:val="none"/>
              </w:rPr>
              <w:t>附电子文档【1】份</w:t>
            </w:r>
          </w:p>
        </w:tc>
      </w:tr>
    </w:tbl>
    <w:p>
      <w:pPr>
        <w:spacing w:line="360" w:lineRule="auto"/>
        <w:ind w:firstLine="482" w:firstLineChars="200"/>
        <w:rPr>
          <w:rStyle w:val="30"/>
          <w:rFonts w:ascii="仿宋" w:hAnsi="仿宋" w:eastAsia="仿宋" w:cs="仿宋"/>
          <w:bCs w:val="0"/>
          <w:color w:val="auto"/>
          <w:sz w:val="24"/>
          <w:szCs w:val="24"/>
          <w:highlight w:val="none"/>
        </w:rPr>
      </w:pPr>
      <w:bookmarkStart w:id="168" w:name="_Toc419045105"/>
      <w:bookmarkStart w:id="169" w:name="_Toc475975173"/>
      <w:bookmarkStart w:id="170" w:name="_Toc28597"/>
      <w:r>
        <w:rPr>
          <w:rStyle w:val="30"/>
          <w:rFonts w:hint="eastAsia" w:ascii="仿宋" w:hAnsi="仿宋" w:eastAsia="仿宋" w:cs="仿宋"/>
          <w:bCs w:val="0"/>
          <w:color w:val="auto"/>
          <w:sz w:val="24"/>
          <w:szCs w:val="24"/>
          <w:highlight w:val="none"/>
        </w:rPr>
        <w:t>2.2本合同第二部分《通用条款》第2.2.1款中附录D委托人提供房屋及设备一览表不适用，代之以下列目录提供工作条件</w:t>
      </w:r>
      <w:bookmarkEnd w:id="168"/>
      <w:bookmarkEnd w:id="169"/>
    </w:p>
    <w:bookmarkEnd w:id="170"/>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2.2.1提供房屋及设备：</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☑本合同第二部分《通用条款》第2.2.1款不适用，委托人无需向咨询人提供房屋及设备。</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□委托人按照《委托人提供房屋及设备一览表》向咨询人提供房屋及设备，由咨询人□无偿使用□有偿使用（使用费计取标准：</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0" w:firstLineChars="20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委托人提供房屋及设备一览表</w:t>
      </w:r>
    </w:p>
    <w:tbl>
      <w:tblPr>
        <w:tblStyle w:val="19"/>
        <w:tblpPr w:leftFromText="180" w:rightFromText="180" w:vertAnchor="text" w:horzAnchor="page" w:tblpX="1832" w:tblpY="34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9"/>
        <w:gridCol w:w="969"/>
        <w:gridCol w:w="2587"/>
        <w:gridCol w:w="2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tcPr>
          <w:p>
            <w:pPr>
              <w:pStyle w:val="15"/>
              <w:widowControl w:val="0"/>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名称</w:t>
            </w:r>
          </w:p>
        </w:tc>
        <w:tc>
          <w:tcPr>
            <w:tcW w:w="969" w:type="dxa"/>
          </w:tcPr>
          <w:p>
            <w:pPr>
              <w:pStyle w:val="15"/>
              <w:widowControl w:val="0"/>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数量</w:t>
            </w:r>
          </w:p>
        </w:tc>
        <w:tc>
          <w:tcPr>
            <w:tcW w:w="2587" w:type="dxa"/>
          </w:tcPr>
          <w:p>
            <w:pPr>
              <w:pStyle w:val="15"/>
              <w:widowControl w:val="0"/>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面积、型号及规格</w:t>
            </w:r>
          </w:p>
        </w:tc>
        <w:tc>
          <w:tcPr>
            <w:tcW w:w="2007" w:type="dxa"/>
          </w:tcPr>
          <w:p>
            <w:pPr>
              <w:pStyle w:val="15"/>
              <w:widowControl w:val="0"/>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tcPr>
          <w:p>
            <w:pPr>
              <w:pStyle w:val="15"/>
              <w:widowControl w:val="0"/>
              <w:spacing w:line="360" w:lineRule="auto"/>
              <w:jc w:val="both"/>
              <w:rPr>
                <w:rFonts w:ascii="仿宋" w:hAnsi="仿宋" w:eastAsia="仿宋" w:cs="仿宋"/>
                <w:color w:val="auto"/>
                <w:highlight w:val="none"/>
              </w:rPr>
            </w:pPr>
          </w:p>
        </w:tc>
        <w:tc>
          <w:tcPr>
            <w:tcW w:w="969" w:type="dxa"/>
          </w:tcPr>
          <w:p>
            <w:pPr>
              <w:spacing w:line="360" w:lineRule="auto"/>
              <w:rPr>
                <w:rFonts w:ascii="仿宋" w:hAnsi="仿宋" w:eastAsia="仿宋" w:cs="仿宋"/>
                <w:color w:val="auto"/>
                <w:highlight w:val="none"/>
              </w:rPr>
            </w:pPr>
          </w:p>
        </w:tc>
        <w:tc>
          <w:tcPr>
            <w:tcW w:w="2587" w:type="dxa"/>
          </w:tcPr>
          <w:p>
            <w:pPr>
              <w:spacing w:line="360" w:lineRule="auto"/>
              <w:rPr>
                <w:rFonts w:ascii="仿宋" w:hAnsi="仿宋" w:eastAsia="仿宋" w:cs="仿宋"/>
                <w:color w:val="auto"/>
                <w:highlight w:val="none"/>
              </w:rPr>
            </w:pPr>
          </w:p>
        </w:tc>
        <w:tc>
          <w:tcPr>
            <w:tcW w:w="200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tcPr>
          <w:p>
            <w:pPr>
              <w:pStyle w:val="15"/>
              <w:widowControl w:val="0"/>
              <w:spacing w:line="360" w:lineRule="auto"/>
              <w:jc w:val="both"/>
              <w:rPr>
                <w:rFonts w:ascii="仿宋" w:hAnsi="仿宋" w:eastAsia="仿宋" w:cs="仿宋"/>
                <w:color w:val="auto"/>
                <w:highlight w:val="none"/>
              </w:rPr>
            </w:pPr>
          </w:p>
        </w:tc>
        <w:tc>
          <w:tcPr>
            <w:tcW w:w="969"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58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00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tcPr>
          <w:p>
            <w:pPr>
              <w:pStyle w:val="15"/>
              <w:widowControl w:val="0"/>
              <w:spacing w:line="360" w:lineRule="auto"/>
              <w:jc w:val="both"/>
              <w:rPr>
                <w:rFonts w:ascii="仿宋" w:hAnsi="仿宋" w:eastAsia="仿宋" w:cs="仿宋"/>
                <w:color w:val="auto"/>
                <w:highlight w:val="none"/>
              </w:rPr>
            </w:pPr>
          </w:p>
        </w:tc>
        <w:tc>
          <w:tcPr>
            <w:tcW w:w="969"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58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c>
          <w:tcPr>
            <w:tcW w:w="2007" w:type="dxa"/>
          </w:tcPr>
          <w:p>
            <w:pPr>
              <w:spacing w:line="360" w:lineRule="auto"/>
              <w:rPr>
                <w:rFonts w:ascii="仿宋" w:hAnsi="仿宋" w:eastAsia="仿宋" w:cs="仿宋"/>
                <w:color w:val="auto"/>
                <w:highlight w:val="none"/>
              </w:rPr>
            </w:pPr>
            <w:r>
              <w:rPr>
                <w:rFonts w:hint="eastAsia" w:ascii="仿宋" w:hAnsi="仿宋" w:eastAsia="仿宋" w:cs="仿宋"/>
                <w:color w:val="auto"/>
                <w:highlight w:val="none"/>
              </w:rPr>
              <w:t>　</w:t>
            </w:r>
          </w:p>
        </w:tc>
      </w:tr>
    </w:tbl>
    <w:p>
      <w:pPr>
        <w:spacing w:line="360" w:lineRule="auto"/>
        <w:rPr>
          <w:rFonts w:ascii="仿宋" w:hAnsi="仿宋" w:eastAsia="仿宋" w:cs="仿宋"/>
          <w:color w:val="auto"/>
          <w:sz w:val="24"/>
          <w:szCs w:val="24"/>
          <w:highlight w:val="none"/>
        </w:rPr>
      </w:pPr>
    </w:p>
    <w:p>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p>
    <w:p>
      <w:pPr>
        <w:spacing w:line="360" w:lineRule="auto"/>
        <w:ind w:firstLine="482" w:firstLineChars="200"/>
        <w:rPr>
          <w:rFonts w:ascii="仿宋" w:hAnsi="仿宋" w:eastAsia="仿宋" w:cs="仿宋"/>
          <w:b/>
          <w:bCs/>
          <w:color w:val="auto"/>
          <w:sz w:val="24"/>
          <w:szCs w:val="24"/>
          <w:highlight w:val="none"/>
        </w:rPr>
      </w:pPr>
    </w:p>
    <w:p>
      <w:pPr>
        <w:spacing w:line="360" w:lineRule="auto"/>
        <w:ind w:firstLine="482" w:firstLineChars="200"/>
        <w:rPr>
          <w:rFonts w:ascii="仿宋" w:hAnsi="仿宋" w:eastAsia="仿宋" w:cs="仿宋"/>
          <w:b/>
          <w:bCs/>
          <w:color w:val="auto"/>
          <w:sz w:val="24"/>
          <w:szCs w:val="24"/>
          <w:highlight w:val="none"/>
        </w:rPr>
      </w:pPr>
    </w:p>
    <w:p>
      <w:pPr>
        <w:spacing w:line="360" w:lineRule="auto"/>
        <w:ind w:firstLine="482" w:firstLineChars="200"/>
        <w:rPr>
          <w:rFonts w:ascii="仿宋" w:hAnsi="仿宋" w:eastAsia="仿宋" w:cs="仿宋"/>
          <w:b/>
          <w:bCs/>
          <w:color w:val="auto"/>
          <w:sz w:val="24"/>
          <w:szCs w:val="24"/>
          <w:highlight w:val="none"/>
        </w:rPr>
      </w:pPr>
    </w:p>
    <w:p>
      <w:pPr>
        <w:spacing w:line="360" w:lineRule="auto"/>
        <w:ind w:firstLine="482" w:firstLineChars="200"/>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2.3咨询期限</w:t>
      </w:r>
      <w:r>
        <w:rPr>
          <w:rFonts w:hint="eastAsia" w:ascii="仿宋" w:hAnsi="仿宋" w:eastAsia="仿宋" w:cs="仿宋"/>
          <w:color w:val="auto"/>
          <w:sz w:val="24"/>
          <w:szCs w:val="24"/>
          <w:highlight w:val="none"/>
        </w:rPr>
        <w:t>：按本合同第一部分《协议书》第四条约定的服务期限执行。</w:t>
      </w:r>
    </w:p>
    <w:p>
      <w:pPr>
        <w:spacing w:line="360" w:lineRule="auto"/>
        <w:ind w:firstLine="482" w:firstLineChars="200"/>
        <w:rPr>
          <w:rFonts w:ascii="仿宋" w:hAnsi="仿宋" w:eastAsia="仿宋" w:cs="仿宋"/>
          <w:b/>
          <w:color w:val="auto"/>
          <w:sz w:val="24"/>
          <w:szCs w:val="24"/>
          <w:highlight w:val="none"/>
        </w:rPr>
      </w:pPr>
      <w:bookmarkStart w:id="171" w:name="_Toc2582"/>
      <w:bookmarkStart w:id="172" w:name="_Toc419045106"/>
      <w:bookmarkStart w:id="173" w:name="_Toc475975174"/>
      <w:r>
        <w:rPr>
          <w:rStyle w:val="30"/>
          <w:rFonts w:hint="eastAsia" w:ascii="仿宋" w:hAnsi="仿宋" w:eastAsia="仿宋" w:cs="仿宋"/>
          <w:bCs w:val="0"/>
          <w:color w:val="auto"/>
          <w:sz w:val="24"/>
          <w:szCs w:val="24"/>
          <w:highlight w:val="none"/>
        </w:rPr>
        <w:t>2.4委托人代表</w:t>
      </w:r>
      <w:bookmarkEnd w:id="171"/>
      <w:bookmarkEnd w:id="172"/>
      <w:bookmarkEnd w:id="173"/>
    </w:p>
    <w:p>
      <w:pPr>
        <w:spacing w:line="360" w:lineRule="auto"/>
        <w:ind w:firstLine="480" w:firstLineChars="200"/>
        <w:rPr>
          <w:rFonts w:ascii="仿宋" w:hAnsi="仿宋" w:eastAsia="仿宋" w:cs="仿宋"/>
          <w:color w:val="auto"/>
          <w:sz w:val="32"/>
          <w:szCs w:val="32"/>
          <w:highlight w:val="none"/>
          <w:u w:val="single"/>
        </w:rPr>
      </w:pPr>
      <w:r>
        <w:rPr>
          <w:rFonts w:hint="eastAsia" w:ascii="仿宋" w:hAnsi="仿宋" w:eastAsia="仿宋" w:cs="仿宋"/>
          <w:color w:val="auto"/>
          <w:sz w:val="24"/>
          <w:szCs w:val="24"/>
          <w:highlight w:val="none"/>
        </w:rPr>
        <w:t>甲方代表为：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），其权限范围</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u w:val="single"/>
        </w:rPr>
        <w:t>组织开展造价咨询工作，跟踪概算审核审核进度，督促咨询单位按时按质按量完成概算审核工作，组织协调审核乙方提交的概算审核争议问题。</w:t>
      </w:r>
    </w:p>
    <w:p>
      <w:pPr>
        <w:pStyle w:val="14"/>
        <w:spacing w:before="60" w:line="360" w:lineRule="auto"/>
        <w:ind w:firstLine="482" w:firstLineChars="200"/>
        <w:jc w:val="left"/>
        <w:rPr>
          <w:rFonts w:ascii="仿宋" w:hAnsi="仿宋" w:eastAsia="仿宋" w:cs="仿宋"/>
          <w:bCs w:val="0"/>
          <w:color w:val="auto"/>
          <w:sz w:val="24"/>
          <w:szCs w:val="24"/>
          <w:highlight w:val="none"/>
        </w:rPr>
      </w:pPr>
      <w:bookmarkStart w:id="174" w:name="_Toc475975175"/>
      <w:bookmarkStart w:id="175" w:name="_Toc18967"/>
      <w:r>
        <w:rPr>
          <w:rFonts w:hint="eastAsia" w:ascii="仿宋" w:hAnsi="仿宋" w:eastAsia="仿宋" w:cs="仿宋"/>
          <w:bCs w:val="0"/>
          <w:color w:val="auto"/>
          <w:sz w:val="24"/>
          <w:szCs w:val="24"/>
          <w:highlight w:val="none"/>
        </w:rPr>
        <w:t>2.5答复</w:t>
      </w:r>
      <w:bookmarkEnd w:id="174"/>
      <w:bookmarkEnd w:id="175"/>
    </w:p>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委托人同意对咨询人书面提交并要求做出决定的事宜给予书面答复。</w:t>
      </w:r>
    </w:p>
    <w:p>
      <w:pPr>
        <w:pStyle w:val="16"/>
        <w:spacing w:before="0" w:after="0" w:line="360" w:lineRule="auto"/>
        <w:ind w:firstLine="482" w:firstLineChars="200"/>
        <w:jc w:val="left"/>
        <w:rPr>
          <w:rFonts w:ascii="仿宋" w:hAnsi="仿宋" w:eastAsia="仿宋" w:cs="仿宋"/>
          <w:bCs w:val="0"/>
          <w:color w:val="auto"/>
          <w:sz w:val="24"/>
          <w:szCs w:val="24"/>
          <w:highlight w:val="none"/>
        </w:rPr>
      </w:pPr>
      <w:bookmarkStart w:id="176" w:name="_Toc13081"/>
      <w:bookmarkStart w:id="177" w:name="_Toc475975176"/>
      <w:bookmarkStart w:id="178" w:name="_Toc419045107"/>
      <w:r>
        <w:rPr>
          <w:rFonts w:hint="eastAsia" w:ascii="仿宋" w:hAnsi="仿宋" w:eastAsia="仿宋" w:cs="仿宋"/>
          <w:bCs w:val="0"/>
          <w:color w:val="auto"/>
          <w:sz w:val="24"/>
          <w:szCs w:val="24"/>
          <w:highlight w:val="none"/>
        </w:rPr>
        <w:t>3.咨询人的义务</w:t>
      </w:r>
      <w:bookmarkEnd w:id="176"/>
      <w:bookmarkEnd w:id="177"/>
      <w:bookmarkEnd w:id="178"/>
    </w:p>
    <w:p>
      <w:pPr>
        <w:pStyle w:val="14"/>
        <w:spacing w:before="60" w:line="360" w:lineRule="auto"/>
        <w:ind w:firstLine="482" w:firstLineChars="200"/>
        <w:jc w:val="left"/>
        <w:rPr>
          <w:rFonts w:ascii="仿宋" w:hAnsi="仿宋" w:eastAsia="仿宋" w:cs="仿宋"/>
          <w:bCs w:val="0"/>
          <w:color w:val="auto"/>
          <w:sz w:val="24"/>
          <w:szCs w:val="24"/>
          <w:highlight w:val="none"/>
        </w:rPr>
      </w:pPr>
      <w:bookmarkStart w:id="179" w:name="_Toc475975177"/>
      <w:bookmarkStart w:id="180" w:name="_Toc14766"/>
      <w:bookmarkStart w:id="181" w:name="_Toc419045109"/>
      <w:r>
        <w:rPr>
          <w:rFonts w:hint="eastAsia" w:ascii="仿宋" w:hAnsi="仿宋" w:eastAsia="仿宋" w:cs="仿宋"/>
          <w:bCs w:val="0"/>
          <w:color w:val="auto"/>
          <w:sz w:val="24"/>
          <w:szCs w:val="24"/>
          <w:highlight w:val="none"/>
        </w:rPr>
        <w:t>3.1项目咨询团队及人员</w:t>
      </w:r>
      <w:bookmarkEnd w:id="179"/>
      <w:bookmarkEnd w:id="180"/>
      <w:bookmarkEnd w:id="181"/>
    </w:p>
    <w:p>
      <w:pPr>
        <w:spacing w:line="360" w:lineRule="auto"/>
        <w:ind w:firstLine="480" w:firstLineChars="200"/>
        <w:rPr>
          <w:rFonts w:ascii="仿宋" w:hAnsi="仿宋" w:eastAsia="仿宋" w:cs="仿宋"/>
          <w:color w:val="auto"/>
          <w:sz w:val="32"/>
          <w:szCs w:val="32"/>
          <w:highlight w:val="none"/>
        </w:rPr>
      </w:pPr>
      <w:r>
        <w:rPr>
          <w:rFonts w:hint="eastAsia" w:ascii="仿宋" w:hAnsi="仿宋" w:eastAsia="仿宋" w:cs="仿宋"/>
          <w:color w:val="auto"/>
          <w:sz w:val="24"/>
          <w:szCs w:val="24"/>
          <w:highlight w:val="none"/>
        </w:rPr>
        <w:t>3.1.1项目咨询团队的主 要人员应持有中华人民共和国造价工程师注册执业证书和执业印章，团队人员的数量为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w:t>
      </w:r>
      <w:r>
        <w:rPr>
          <w:rFonts w:hint="eastAsia" w:ascii="仿宋" w:hAnsi="仿宋" w:eastAsia="仿宋" w:cs="仿宋"/>
          <w:color w:val="auto"/>
          <w:sz w:val="32"/>
          <w:szCs w:val="32"/>
          <w:highlight w:val="none"/>
        </w:rPr>
        <w:t>。</w:t>
      </w:r>
    </w:p>
    <w:p>
      <w:pPr>
        <w:spacing w:line="360" w:lineRule="auto"/>
        <w:ind w:firstLine="480" w:firstLineChars="200"/>
        <w:rPr>
          <w:rFonts w:ascii="仿宋" w:hAnsi="仿宋" w:eastAsia="仿宋" w:cs="仿宋"/>
          <w:color w:val="auto"/>
          <w:sz w:val="32"/>
          <w:szCs w:val="32"/>
          <w:highlight w:val="none"/>
        </w:rPr>
      </w:pPr>
      <w:r>
        <w:rPr>
          <w:rFonts w:hint="eastAsia" w:ascii="仿宋" w:hAnsi="仿宋" w:eastAsia="仿宋" w:cs="仿宋"/>
          <w:color w:val="auto"/>
          <w:sz w:val="24"/>
          <w:szCs w:val="24"/>
          <w:highlight w:val="none"/>
        </w:rPr>
        <w:t>3.1.2项目负责人为：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），项目负责人为履行本合同的权限为：</w:t>
      </w:r>
      <w:r>
        <w:rPr>
          <w:rFonts w:hint="eastAsia" w:ascii="仿宋" w:hAnsi="仿宋" w:eastAsia="仿宋" w:cs="仿宋"/>
          <w:color w:val="auto"/>
          <w:sz w:val="24"/>
          <w:szCs w:val="24"/>
          <w:highlight w:val="none"/>
          <w:u w:val="single"/>
        </w:rPr>
        <w:t>统筹、协调项目造价咨询工作，协调解决造价技术相关问题</w:t>
      </w:r>
      <w:r>
        <w:rPr>
          <w:rFonts w:hint="eastAsia" w:ascii="仿宋" w:hAnsi="仿宋" w:eastAsia="仿宋" w:cs="仿宋"/>
          <w:color w:val="auto"/>
          <w:sz w:val="32"/>
          <w:szCs w:val="32"/>
          <w:highlight w:val="none"/>
        </w:rPr>
        <w:t>。</w:t>
      </w:r>
    </w:p>
    <w:p>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sz w:val="24"/>
          <w:szCs w:val="24"/>
          <w:highlight w:val="none"/>
        </w:rPr>
        <w:t>3.1.3项目负责人职责：组织项目咨询团队按要求开展造价咨询工作，参加项目会议，对工程造价咨询成果文件复核并签字。</w:t>
      </w:r>
    </w:p>
    <w:p>
      <w:pPr>
        <w:rPr>
          <w:rFonts w:ascii="仿宋" w:hAnsi="仿宋" w:eastAsia="仿宋" w:cs="仿宋"/>
          <w:color w:val="auto"/>
          <w:highlight w:val="none"/>
        </w:rPr>
      </w:pPr>
      <w:r>
        <w:rPr>
          <w:rFonts w:hint="eastAsia" w:ascii="仿宋" w:hAnsi="仿宋" w:eastAsia="仿宋" w:cs="仿宋"/>
          <w:color w:val="auto"/>
          <w:highlight w:val="none"/>
        </w:rPr>
        <w:br w:type="page"/>
      </w:r>
    </w:p>
    <w:p>
      <w:pPr>
        <w:pStyle w:val="25"/>
        <w:spacing w:line="360" w:lineRule="auto"/>
        <w:jc w:val="center"/>
        <w:rPr>
          <w:rFonts w:ascii="仿宋" w:hAnsi="仿宋" w:eastAsia="仿宋" w:cs="仿宋"/>
          <w:color w:val="auto"/>
          <w:kern w:val="2"/>
          <w:highlight w:val="none"/>
        </w:rPr>
      </w:pPr>
      <w:r>
        <w:rPr>
          <w:rFonts w:hint="eastAsia" w:ascii="仿宋" w:hAnsi="仿宋" w:eastAsia="仿宋" w:cs="仿宋"/>
          <w:color w:val="auto"/>
          <w:kern w:val="2"/>
          <w:highlight w:val="none"/>
        </w:rPr>
        <w:t>拟投入人员一览表</w:t>
      </w:r>
    </w:p>
    <w:tbl>
      <w:tblPr>
        <w:tblStyle w:val="19"/>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1211"/>
        <w:gridCol w:w="2075"/>
        <w:gridCol w:w="3850"/>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803"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专业分工</w:t>
            </w:r>
          </w:p>
        </w:tc>
        <w:tc>
          <w:tcPr>
            <w:tcW w:w="616"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056"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1959"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职称/注册执业资格</w:t>
            </w:r>
          </w:p>
        </w:tc>
        <w:tc>
          <w:tcPr>
            <w:tcW w:w="563"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03"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c>
          <w:tcPr>
            <w:tcW w:w="616"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c>
          <w:tcPr>
            <w:tcW w:w="1056"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c>
          <w:tcPr>
            <w:tcW w:w="1959"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c>
          <w:tcPr>
            <w:tcW w:w="563"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03"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c>
          <w:tcPr>
            <w:tcW w:w="616"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c>
          <w:tcPr>
            <w:tcW w:w="1056"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c>
          <w:tcPr>
            <w:tcW w:w="1959"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c>
          <w:tcPr>
            <w:tcW w:w="563"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03"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c>
          <w:tcPr>
            <w:tcW w:w="616"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c>
          <w:tcPr>
            <w:tcW w:w="1056"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c>
          <w:tcPr>
            <w:tcW w:w="1959"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c>
          <w:tcPr>
            <w:tcW w:w="563"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03"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c>
          <w:tcPr>
            <w:tcW w:w="616"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c>
          <w:tcPr>
            <w:tcW w:w="1056"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c>
          <w:tcPr>
            <w:tcW w:w="1959"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c>
          <w:tcPr>
            <w:tcW w:w="563" w:type="pct"/>
            <w:tcBorders>
              <w:bottom w:val="single" w:color="auto" w:sz="4" w:space="0"/>
            </w:tcBorders>
            <w:vAlign w:val="center"/>
          </w:tcPr>
          <w:p>
            <w:pPr>
              <w:spacing w:line="360" w:lineRule="auto"/>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03" w:type="pct"/>
            <w:vAlign w:val="center"/>
          </w:tcPr>
          <w:p>
            <w:pPr>
              <w:spacing w:line="360" w:lineRule="auto"/>
              <w:jc w:val="center"/>
              <w:rPr>
                <w:rFonts w:ascii="仿宋" w:hAnsi="仿宋" w:eastAsia="仿宋" w:cs="仿宋"/>
                <w:color w:val="auto"/>
                <w:sz w:val="24"/>
                <w:szCs w:val="24"/>
                <w:highlight w:val="none"/>
              </w:rPr>
            </w:pPr>
          </w:p>
        </w:tc>
        <w:tc>
          <w:tcPr>
            <w:tcW w:w="616" w:type="pct"/>
            <w:vAlign w:val="center"/>
          </w:tcPr>
          <w:p>
            <w:pPr>
              <w:spacing w:line="360" w:lineRule="auto"/>
              <w:jc w:val="center"/>
              <w:rPr>
                <w:rFonts w:ascii="仿宋" w:hAnsi="仿宋" w:eastAsia="仿宋" w:cs="仿宋"/>
                <w:color w:val="auto"/>
                <w:sz w:val="24"/>
                <w:szCs w:val="24"/>
                <w:highlight w:val="none"/>
              </w:rPr>
            </w:pPr>
          </w:p>
        </w:tc>
        <w:tc>
          <w:tcPr>
            <w:tcW w:w="1056" w:type="pct"/>
            <w:vAlign w:val="center"/>
          </w:tcPr>
          <w:p>
            <w:pPr>
              <w:spacing w:line="360" w:lineRule="auto"/>
              <w:jc w:val="center"/>
              <w:rPr>
                <w:rFonts w:ascii="仿宋" w:hAnsi="仿宋" w:eastAsia="仿宋" w:cs="仿宋"/>
                <w:color w:val="auto"/>
                <w:sz w:val="24"/>
                <w:szCs w:val="24"/>
                <w:highlight w:val="none"/>
              </w:rPr>
            </w:pPr>
          </w:p>
        </w:tc>
        <w:tc>
          <w:tcPr>
            <w:tcW w:w="1959" w:type="pct"/>
            <w:vAlign w:val="center"/>
          </w:tcPr>
          <w:p>
            <w:pPr>
              <w:spacing w:line="360" w:lineRule="auto"/>
              <w:jc w:val="center"/>
              <w:rPr>
                <w:rFonts w:ascii="仿宋" w:hAnsi="仿宋" w:eastAsia="仿宋" w:cs="仿宋"/>
                <w:color w:val="auto"/>
                <w:sz w:val="24"/>
                <w:szCs w:val="24"/>
                <w:highlight w:val="none"/>
              </w:rPr>
            </w:pPr>
          </w:p>
        </w:tc>
        <w:tc>
          <w:tcPr>
            <w:tcW w:w="563" w:type="pct"/>
            <w:vAlign w:val="center"/>
          </w:tcPr>
          <w:p>
            <w:pPr>
              <w:spacing w:line="360" w:lineRule="auto"/>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03" w:type="pct"/>
            <w:vAlign w:val="center"/>
          </w:tcPr>
          <w:p>
            <w:pPr>
              <w:spacing w:line="360" w:lineRule="auto"/>
              <w:jc w:val="center"/>
              <w:rPr>
                <w:rFonts w:ascii="仿宋" w:hAnsi="仿宋" w:eastAsia="仿宋" w:cs="仿宋"/>
                <w:color w:val="auto"/>
                <w:sz w:val="24"/>
                <w:szCs w:val="24"/>
                <w:highlight w:val="none"/>
              </w:rPr>
            </w:pPr>
          </w:p>
        </w:tc>
        <w:tc>
          <w:tcPr>
            <w:tcW w:w="616" w:type="pct"/>
            <w:vAlign w:val="center"/>
          </w:tcPr>
          <w:p>
            <w:pPr>
              <w:spacing w:line="360" w:lineRule="auto"/>
              <w:jc w:val="center"/>
              <w:rPr>
                <w:rFonts w:ascii="仿宋" w:hAnsi="仿宋" w:eastAsia="仿宋" w:cs="仿宋"/>
                <w:color w:val="auto"/>
                <w:sz w:val="24"/>
                <w:szCs w:val="24"/>
                <w:highlight w:val="none"/>
              </w:rPr>
            </w:pPr>
          </w:p>
        </w:tc>
        <w:tc>
          <w:tcPr>
            <w:tcW w:w="1056" w:type="pct"/>
            <w:vAlign w:val="center"/>
          </w:tcPr>
          <w:p>
            <w:pPr>
              <w:spacing w:line="360" w:lineRule="auto"/>
              <w:jc w:val="center"/>
              <w:rPr>
                <w:rFonts w:ascii="仿宋" w:hAnsi="仿宋" w:eastAsia="仿宋" w:cs="仿宋"/>
                <w:color w:val="auto"/>
                <w:sz w:val="24"/>
                <w:szCs w:val="24"/>
                <w:highlight w:val="none"/>
              </w:rPr>
            </w:pPr>
          </w:p>
        </w:tc>
        <w:tc>
          <w:tcPr>
            <w:tcW w:w="1959" w:type="pct"/>
            <w:vAlign w:val="center"/>
          </w:tcPr>
          <w:p>
            <w:pPr>
              <w:spacing w:line="360" w:lineRule="auto"/>
              <w:jc w:val="center"/>
              <w:rPr>
                <w:rFonts w:ascii="仿宋" w:hAnsi="仿宋" w:eastAsia="仿宋" w:cs="仿宋"/>
                <w:color w:val="auto"/>
                <w:sz w:val="24"/>
                <w:szCs w:val="24"/>
                <w:highlight w:val="none"/>
              </w:rPr>
            </w:pPr>
          </w:p>
        </w:tc>
        <w:tc>
          <w:tcPr>
            <w:tcW w:w="563" w:type="pct"/>
            <w:vAlign w:val="center"/>
          </w:tcPr>
          <w:p>
            <w:pPr>
              <w:spacing w:line="360" w:lineRule="auto"/>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03" w:type="pct"/>
            <w:vAlign w:val="center"/>
          </w:tcPr>
          <w:p>
            <w:pPr>
              <w:spacing w:line="360" w:lineRule="auto"/>
              <w:jc w:val="center"/>
              <w:rPr>
                <w:rFonts w:ascii="仿宋" w:hAnsi="仿宋" w:eastAsia="仿宋" w:cs="仿宋"/>
                <w:color w:val="auto"/>
                <w:sz w:val="24"/>
                <w:szCs w:val="24"/>
                <w:highlight w:val="none"/>
              </w:rPr>
            </w:pPr>
          </w:p>
        </w:tc>
        <w:tc>
          <w:tcPr>
            <w:tcW w:w="616" w:type="pct"/>
            <w:vAlign w:val="center"/>
          </w:tcPr>
          <w:p>
            <w:pPr>
              <w:spacing w:line="360" w:lineRule="auto"/>
              <w:jc w:val="center"/>
              <w:rPr>
                <w:rFonts w:ascii="仿宋" w:hAnsi="仿宋" w:eastAsia="仿宋" w:cs="仿宋"/>
                <w:color w:val="auto"/>
                <w:sz w:val="24"/>
                <w:szCs w:val="24"/>
                <w:highlight w:val="none"/>
              </w:rPr>
            </w:pPr>
          </w:p>
        </w:tc>
        <w:tc>
          <w:tcPr>
            <w:tcW w:w="1056" w:type="pct"/>
            <w:vAlign w:val="center"/>
          </w:tcPr>
          <w:p>
            <w:pPr>
              <w:spacing w:line="360" w:lineRule="auto"/>
              <w:jc w:val="center"/>
              <w:rPr>
                <w:rFonts w:ascii="仿宋" w:hAnsi="仿宋" w:eastAsia="仿宋" w:cs="仿宋"/>
                <w:color w:val="auto"/>
                <w:sz w:val="24"/>
                <w:szCs w:val="24"/>
                <w:highlight w:val="none"/>
              </w:rPr>
            </w:pPr>
          </w:p>
        </w:tc>
        <w:tc>
          <w:tcPr>
            <w:tcW w:w="1959" w:type="pct"/>
            <w:vAlign w:val="center"/>
          </w:tcPr>
          <w:p>
            <w:pPr>
              <w:spacing w:line="360" w:lineRule="auto"/>
              <w:jc w:val="center"/>
              <w:rPr>
                <w:rFonts w:ascii="仿宋" w:hAnsi="仿宋" w:eastAsia="仿宋" w:cs="仿宋"/>
                <w:color w:val="auto"/>
                <w:sz w:val="24"/>
                <w:szCs w:val="24"/>
                <w:highlight w:val="none"/>
              </w:rPr>
            </w:pPr>
          </w:p>
        </w:tc>
        <w:tc>
          <w:tcPr>
            <w:tcW w:w="563" w:type="pct"/>
            <w:vAlign w:val="center"/>
          </w:tcPr>
          <w:p>
            <w:pPr>
              <w:spacing w:line="360" w:lineRule="auto"/>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03" w:type="pct"/>
            <w:vAlign w:val="center"/>
          </w:tcPr>
          <w:p>
            <w:pPr>
              <w:spacing w:line="360" w:lineRule="auto"/>
              <w:jc w:val="center"/>
              <w:rPr>
                <w:rFonts w:ascii="仿宋" w:hAnsi="仿宋" w:eastAsia="仿宋" w:cs="仿宋"/>
                <w:color w:val="auto"/>
                <w:sz w:val="24"/>
                <w:szCs w:val="24"/>
                <w:highlight w:val="none"/>
              </w:rPr>
            </w:pPr>
          </w:p>
        </w:tc>
        <w:tc>
          <w:tcPr>
            <w:tcW w:w="616" w:type="pct"/>
            <w:vAlign w:val="center"/>
          </w:tcPr>
          <w:p>
            <w:pPr>
              <w:spacing w:line="360" w:lineRule="auto"/>
              <w:jc w:val="center"/>
              <w:rPr>
                <w:rFonts w:ascii="仿宋" w:hAnsi="仿宋" w:eastAsia="仿宋" w:cs="仿宋"/>
                <w:color w:val="auto"/>
                <w:sz w:val="24"/>
                <w:szCs w:val="24"/>
                <w:highlight w:val="none"/>
              </w:rPr>
            </w:pPr>
          </w:p>
        </w:tc>
        <w:tc>
          <w:tcPr>
            <w:tcW w:w="1056" w:type="pct"/>
            <w:vAlign w:val="center"/>
          </w:tcPr>
          <w:p>
            <w:pPr>
              <w:spacing w:line="360" w:lineRule="auto"/>
              <w:jc w:val="center"/>
              <w:rPr>
                <w:rFonts w:ascii="仿宋" w:hAnsi="仿宋" w:eastAsia="仿宋" w:cs="仿宋"/>
                <w:color w:val="auto"/>
                <w:sz w:val="24"/>
                <w:szCs w:val="24"/>
                <w:highlight w:val="none"/>
              </w:rPr>
            </w:pPr>
          </w:p>
        </w:tc>
        <w:tc>
          <w:tcPr>
            <w:tcW w:w="1959" w:type="pct"/>
            <w:vAlign w:val="center"/>
          </w:tcPr>
          <w:p>
            <w:pPr>
              <w:spacing w:line="360" w:lineRule="auto"/>
              <w:jc w:val="center"/>
              <w:rPr>
                <w:rFonts w:ascii="仿宋" w:hAnsi="仿宋" w:eastAsia="仿宋" w:cs="仿宋"/>
                <w:color w:val="auto"/>
                <w:sz w:val="24"/>
                <w:szCs w:val="24"/>
                <w:highlight w:val="none"/>
              </w:rPr>
            </w:pPr>
          </w:p>
        </w:tc>
        <w:tc>
          <w:tcPr>
            <w:tcW w:w="563" w:type="pct"/>
            <w:vAlign w:val="center"/>
          </w:tcPr>
          <w:p>
            <w:pPr>
              <w:spacing w:line="360" w:lineRule="auto"/>
              <w:jc w:val="center"/>
              <w:rPr>
                <w:rFonts w:ascii="仿宋" w:hAnsi="仿宋" w:eastAsia="仿宋" w:cs="仿宋"/>
                <w:color w:val="auto"/>
                <w:sz w:val="24"/>
                <w:szCs w:val="24"/>
                <w:highlight w:val="none"/>
              </w:rPr>
            </w:pPr>
          </w:p>
        </w:tc>
      </w:tr>
    </w:tbl>
    <w:p>
      <w:pPr>
        <w:pStyle w:val="25"/>
        <w:spacing w:line="360" w:lineRule="auto"/>
        <w:jc w:val="both"/>
        <w:rPr>
          <w:rFonts w:ascii="仿宋" w:hAnsi="仿宋" w:eastAsia="仿宋" w:cs="仿宋"/>
          <w:color w:val="auto"/>
          <w:highlight w:val="none"/>
        </w:rPr>
      </w:pPr>
    </w:p>
    <w:p>
      <w:pPr>
        <w:pStyle w:val="27"/>
        <w:spacing w:line="360" w:lineRule="auto"/>
        <w:ind w:firstLine="480" w:firstLineChars="200"/>
        <w:jc w:val="left"/>
        <w:rPr>
          <w:rFonts w:ascii="仿宋" w:hAnsi="仿宋" w:eastAsia="仿宋" w:cs="仿宋"/>
          <w:color w:val="auto"/>
          <w:sz w:val="32"/>
          <w:szCs w:val="32"/>
          <w:highlight w:val="none"/>
        </w:rPr>
      </w:pPr>
      <w:r>
        <w:rPr>
          <w:rFonts w:hint="eastAsia" w:ascii="仿宋" w:hAnsi="仿宋" w:eastAsia="仿宋" w:cs="仿宋"/>
          <w:color w:val="auto"/>
          <w:sz w:val="24"/>
          <w:szCs w:val="24"/>
          <w:highlight w:val="none"/>
        </w:rPr>
        <w:t>3.1.3咨询人更换项目咨询团队其他咨询人员的约定：适用本合同第二部分《通用条款》第3.1.3款的约定</w:t>
      </w:r>
      <w:r>
        <w:rPr>
          <w:rFonts w:hint="eastAsia" w:ascii="仿宋" w:hAnsi="仿宋" w:eastAsia="仿宋" w:cs="仿宋"/>
          <w:color w:val="auto"/>
          <w:sz w:val="32"/>
          <w:szCs w:val="32"/>
          <w:highlight w:val="none"/>
        </w:rPr>
        <w:t>。</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3.1.4委托人要求更换咨询人员的情形还包括：</w:t>
      </w:r>
    </w:p>
    <w:p>
      <w:pPr>
        <w:pStyle w:val="2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（6）其他情形：</w:t>
      </w:r>
    </w:p>
    <w:p>
      <w:pPr>
        <w:pStyle w:val="27"/>
        <w:spacing w:line="360" w:lineRule="auto"/>
        <w:ind w:left="479" w:leftChars="228" w:firstLine="240" w:firstLineChars="100"/>
        <w:jc w:val="left"/>
        <w:rPr>
          <w:rFonts w:ascii="仿宋" w:hAnsi="仿宋" w:eastAsia="仿宋" w:cs="仿宋"/>
          <w:color w:val="auto"/>
          <w:kern w:val="28"/>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kern w:val="28"/>
          <w:sz w:val="24"/>
          <w:szCs w:val="24"/>
          <w:highlight w:val="none"/>
        </w:rPr>
        <w:t>违反本合同约定的保密义务的。</w:t>
      </w:r>
    </w:p>
    <w:p>
      <w:pPr>
        <w:pStyle w:val="27"/>
        <w:spacing w:line="360" w:lineRule="auto"/>
        <w:ind w:left="479" w:leftChars="228" w:firstLine="240" w:firstLineChars="100"/>
        <w:jc w:val="left"/>
        <w:rPr>
          <w:rFonts w:ascii="仿宋" w:hAnsi="仿宋" w:eastAsia="仿宋" w:cs="仿宋"/>
          <w:color w:val="auto"/>
          <w:kern w:val="28"/>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kern w:val="28"/>
          <w:sz w:val="24"/>
          <w:szCs w:val="24"/>
          <w:highlight w:val="none"/>
        </w:rPr>
        <w:t>违反本合同约定的廉洁义务的。</w:t>
      </w:r>
    </w:p>
    <w:p>
      <w:pPr>
        <w:pStyle w:val="27"/>
        <w:spacing w:line="360" w:lineRule="auto"/>
        <w:ind w:firstLine="720" w:firstLineChars="300"/>
        <w:jc w:val="left"/>
        <w:rPr>
          <w:rFonts w:ascii="仿宋" w:hAnsi="仿宋" w:eastAsia="仿宋" w:cs="仿宋"/>
          <w:color w:val="auto"/>
          <w:kern w:val="28"/>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kern w:val="28"/>
          <w:sz w:val="24"/>
          <w:szCs w:val="24"/>
          <w:highlight w:val="none"/>
        </w:rPr>
        <w:t>与第三人恶意串通，损害委托人利益的。</w:t>
      </w:r>
    </w:p>
    <w:p>
      <w:pPr>
        <w:pStyle w:val="27"/>
        <w:spacing w:line="360" w:lineRule="auto"/>
        <w:ind w:firstLine="720" w:firstLineChars="300"/>
        <w:jc w:val="left"/>
        <w:rPr>
          <w:rFonts w:ascii="仿宋" w:hAnsi="仿宋" w:eastAsia="仿宋" w:cs="仿宋"/>
          <w:color w:val="auto"/>
          <w:kern w:val="28"/>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kern w:val="28"/>
          <w:sz w:val="24"/>
          <w:szCs w:val="24"/>
          <w:highlight w:val="none"/>
        </w:rPr>
        <w:t>委托人认为咨询团队安排的咨询人未能按时保质量提交成果的。</w:t>
      </w:r>
    </w:p>
    <w:p>
      <w:pPr>
        <w:pStyle w:val="27"/>
        <w:spacing w:line="360" w:lineRule="auto"/>
        <w:ind w:firstLine="480" w:firstLineChars="200"/>
        <w:jc w:val="left"/>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3.1.5咨询人未按本合同3.1.3条约定擅自更换咨询团队人员，或者未按3.1.4条约定更换咨询人员的，委托人有权要求咨询人继续履行合同，咨询人须按照本合同总金额30%的标准向委托人支付违约金，并且赔偿委托人因此产生的全部损失，委托人也有权单方解除本合同，要求咨询人返还已收取的全部合同费用，要求咨询人按照本合同总金额30%的标准向委托人支付违约金，以及赔偿委托人的全部损失。</w:t>
      </w:r>
    </w:p>
    <w:p>
      <w:pPr>
        <w:pStyle w:val="14"/>
        <w:spacing w:before="60" w:line="360" w:lineRule="auto"/>
        <w:ind w:firstLine="482" w:firstLineChars="200"/>
        <w:jc w:val="left"/>
        <w:rPr>
          <w:rFonts w:ascii="仿宋" w:hAnsi="仿宋" w:eastAsia="仿宋" w:cs="仿宋"/>
          <w:bCs w:val="0"/>
          <w:color w:val="auto"/>
          <w:sz w:val="24"/>
          <w:szCs w:val="24"/>
          <w:highlight w:val="none"/>
        </w:rPr>
      </w:pPr>
      <w:bookmarkStart w:id="182" w:name="_Toc27411"/>
      <w:bookmarkStart w:id="183" w:name="_Toc419045110"/>
      <w:bookmarkStart w:id="184" w:name="_Toc475975178"/>
      <w:r>
        <w:rPr>
          <w:rFonts w:hint="eastAsia" w:ascii="仿宋" w:hAnsi="仿宋" w:eastAsia="仿宋" w:cs="仿宋"/>
          <w:bCs w:val="0"/>
          <w:color w:val="auto"/>
          <w:sz w:val="24"/>
          <w:szCs w:val="24"/>
          <w:highlight w:val="none"/>
        </w:rPr>
        <w:t>3.2咨询人的工作要求</w:t>
      </w:r>
      <w:bookmarkEnd w:id="182"/>
      <w:bookmarkEnd w:id="183"/>
      <w:bookmarkEnd w:id="184"/>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kern w:val="28"/>
          <w:sz w:val="24"/>
          <w:szCs w:val="24"/>
          <w:highlight w:val="none"/>
        </w:rPr>
        <w:t>3.2.1咨询人向委托人提供有关资料的时间</w:t>
      </w:r>
      <w:r>
        <w:rPr>
          <w:rFonts w:hint="eastAsia" w:ascii="仿宋" w:hAnsi="仿宋" w:eastAsia="仿宋" w:cs="仿宋"/>
          <w:color w:val="auto"/>
          <w:sz w:val="24"/>
          <w:szCs w:val="24"/>
          <w:highlight w:val="none"/>
        </w:rPr>
        <w:t>：自本合同生效之日起3个日历天内。咨询人向委托人提供的资料包括：</w:t>
      </w:r>
    </w:p>
    <w:p>
      <w:pPr>
        <w:numPr>
          <w:ilvl w:val="0"/>
          <w:numId w:val="7"/>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咨询人的工程造价咨询资质证书；</w:t>
      </w:r>
    </w:p>
    <w:p>
      <w:pPr>
        <w:numPr>
          <w:ilvl w:val="0"/>
          <w:numId w:val="7"/>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承担本合同业务的团队人员名单及执业（从业）资格证书；</w:t>
      </w:r>
    </w:p>
    <w:p>
      <w:pPr>
        <w:numPr>
          <w:ilvl w:val="0"/>
          <w:numId w:val="7"/>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咨询工作大纲；</w:t>
      </w:r>
    </w:p>
    <w:p>
      <w:pPr>
        <w:numPr>
          <w:ilvl w:val="0"/>
          <w:numId w:val="7"/>
        </w:num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sz w:val="24"/>
          <w:szCs w:val="24"/>
          <w:highlight w:val="none"/>
          <w:u w:val="single"/>
        </w:rPr>
        <w:t xml:space="preserve">其他：             </w:t>
      </w:r>
    </w:p>
    <w:p>
      <w:pPr>
        <w:spacing w:line="360" w:lineRule="auto"/>
        <w:ind w:firstLine="480" w:firstLineChars="200"/>
        <w:rPr>
          <w:rFonts w:ascii="仿宋" w:hAnsi="仿宋" w:eastAsia="仿宋" w:cs="仿宋"/>
          <w:color w:val="auto"/>
          <w:sz w:val="32"/>
          <w:szCs w:val="32"/>
          <w:highlight w:val="none"/>
        </w:rPr>
      </w:pPr>
      <w:r>
        <w:rPr>
          <w:rFonts w:hint="eastAsia" w:ascii="仿宋" w:hAnsi="仿宋" w:eastAsia="仿宋" w:cs="仿宋"/>
          <w:color w:val="auto"/>
          <w:sz w:val="24"/>
          <w:szCs w:val="24"/>
          <w:highlight w:val="none"/>
        </w:rPr>
        <w:t>3.2.2咨询人向委托人提供咨询成果文件的名称、组成、时间、份数</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（1）咨询成果文件的名称及组成：</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☑《工程概算审核报告》；</w:t>
      </w:r>
    </w:p>
    <w:p>
      <w:pPr>
        <w:pStyle w:val="18"/>
        <w:spacing w:line="360" w:lineRule="auto"/>
        <w:ind w:left="0" w:leftChars="0"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□《工程预算审核报告》；</w:t>
      </w:r>
    </w:p>
    <w:p>
      <w:pPr>
        <w:pStyle w:val="18"/>
        <w:spacing w:line="360" w:lineRule="auto"/>
        <w:ind w:left="0" w:leftChars="0" w:firstLine="480"/>
        <w:rPr>
          <w:rFonts w:ascii="仿宋" w:hAnsi="仿宋" w:eastAsia="仿宋" w:cs="仿宋"/>
          <w:color w:val="auto"/>
          <w:highlight w:val="none"/>
        </w:rPr>
      </w:pPr>
      <w:r>
        <w:rPr>
          <w:rFonts w:hint="eastAsia" w:ascii="仿宋" w:hAnsi="仿宋" w:eastAsia="仿宋" w:cs="仿宋"/>
          <w:color w:val="auto"/>
          <w:sz w:val="24"/>
          <w:szCs w:val="24"/>
          <w:highlight w:val="none"/>
        </w:rPr>
        <w:t>□《节约造价合理化建议报告》；</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（2）提供时间：</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□自本合同生效之日起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个工作日内。</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日前。</w:t>
      </w:r>
    </w:p>
    <w:p>
      <w:pPr>
        <w:pStyle w:val="27"/>
        <w:spacing w:line="360" w:lineRule="auto"/>
        <w:ind w:firstLine="480" w:firstLineChars="200"/>
        <w:jc w:val="left"/>
        <w:rPr>
          <w:rFonts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 xml:space="preserve">□概算审核报告提交：咨询人应自委托人正式受理的次个日历天起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个日历天内提交咨询成果文件完成初审；自初审完成之日起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个日历天内完成对数确认并出具工程概算审核报告；</w:t>
      </w:r>
    </w:p>
    <w:p>
      <w:pPr>
        <w:pStyle w:val="18"/>
        <w:spacing w:line="360" w:lineRule="auto"/>
        <w:ind w:left="0" w:leftChars="0"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u w:val="single"/>
        </w:rPr>
        <w:t xml:space="preserve">                                                                            </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（3）提供份数：☑纸质版一式七份，☑附电子文档一份（</w:t>
      </w: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刻盘形式；☑其他：</w:t>
      </w:r>
      <w:r>
        <w:rPr>
          <w:rFonts w:hint="eastAsia" w:ascii="仿宋" w:hAnsi="仿宋" w:eastAsia="仿宋" w:cs="仿宋"/>
          <w:color w:val="auto"/>
          <w:sz w:val="24"/>
          <w:szCs w:val="24"/>
          <w:highlight w:val="none"/>
          <w:u w:val="single"/>
        </w:rPr>
        <w:t xml:space="preserve">盖章扫描件及可编辑电子件 </w:t>
      </w:r>
      <w:r>
        <w:rPr>
          <w:rFonts w:hint="eastAsia" w:ascii="仿宋" w:hAnsi="仿宋" w:eastAsia="仿宋" w:cs="仿宋"/>
          <w:color w:val="auto"/>
          <w:sz w:val="24"/>
          <w:szCs w:val="24"/>
          <w:highlight w:val="none"/>
        </w:rPr>
        <w:t>）</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□《广东省建设工程造价管理规定（2021修订）》第二十八条规定的质量标准。</w:t>
      </w:r>
    </w:p>
    <w:p>
      <w:pPr>
        <w:pStyle w:val="15"/>
        <w:spacing w:before="62" w:beforeLines="20" w:beforeAutospacing="0" w:after="0" w:afterAutospacing="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□其他：</w:t>
      </w:r>
      <w:r>
        <w:rPr>
          <w:rFonts w:hint="eastAsia" w:ascii="仿宋" w:hAnsi="仿宋" w:eastAsia="仿宋" w:cs="仿宋"/>
          <w:color w:val="auto"/>
          <w:highlight w:val="none"/>
          <w:u w:val="single"/>
        </w:rPr>
        <w:t xml:space="preserve">   /    </w:t>
      </w:r>
      <w:r>
        <w:rPr>
          <w:rFonts w:hint="eastAsia" w:ascii="仿宋" w:hAnsi="仿宋" w:eastAsia="仿宋" w:cs="仿宋"/>
          <w:color w:val="auto"/>
          <w:highlight w:val="none"/>
        </w:rPr>
        <w:t>。</w:t>
      </w:r>
    </w:p>
    <w:p>
      <w:pPr>
        <w:pStyle w:val="15"/>
        <w:spacing w:before="62" w:beforeLines="20" w:beforeAutospacing="0" w:after="0" w:afterAutospacing="0" w:line="360" w:lineRule="auto"/>
        <w:ind w:firstLine="480" w:firstLineChars="200"/>
        <w:rPr>
          <w:rFonts w:ascii="仿宋" w:hAnsi="仿宋" w:eastAsia="仿宋" w:cs="仿宋"/>
          <w:color w:val="auto"/>
          <w:highlight w:val="none"/>
        </w:rPr>
      </w:pPr>
      <w:r>
        <w:rPr>
          <w:rFonts w:hint="eastAsia" w:ascii="仿宋" w:hAnsi="仿宋" w:eastAsia="仿宋" w:cs="仿宋"/>
          <w:color w:val="auto"/>
          <w:kern w:val="2"/>
          <w:highlight w:val="none"/>
        </w:rPr>
        <w:t>3.2.3咨询人提交的工程造价咨询成果文件，除加盖咨询人单位公章、工程造价咨询企业执业印章外，还必须按要求加盖参加咨询工作人员的执业（从业）资格印章。</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3.2.4咨询人应在收到委托人以书面形式提出的建议或者异议之日起3日内给予书面答复。</w:t>
      </w:r>
    </w:p>
    <w:p>
      <w:pPr>
        <w:spacing w:line="360" w:lineRule="auto"/>
        <w:ind w:firstLine="482" w:firstLineChars="200"/>
        <w:rPr>
          <w:rFonts w:ascii="仿宋" w:hAnsi="仿宋" w:eastAsia="仿宋" w:cs="仿宋"/>
          <w:color w:val="auto"/>
          <w:sz w:val="24"/>
          <w:highlight w:val="none"/>
        </w:rPr>
      </w:pPr>
      <w:bookmarkStart w:id="185" w:name="_Toc475975179"/>
      <w:bookmarkStart w:id="186" w:name="_Toc10666"/>
      <w:bookmarkStart w:id="187" w:name="_Toc419045111"/>
      <w:r>
        <w:rPr>
          <w:rFonts w:hint="eastAsia" w:ascii="仿宋" w:hAnsi="仿宋" w:eastAsia="仿宋" w:cs="仿宋"/>
          <w:b/>
          <w:bCs/>
          <w:color w:val="auto"/>
          <w:sz w:val="24"/>
          <w:szCs w:val="24"/>
          <w:highlight w:val="none"/>
        </w:rPr>
        <w:t>双方一致同意，</w:t>
      </w:r>
      <w:r>
        <w:rPr>
          <w:rFonts w:hint="eastAsia" w:ascii="仿宋" w:hAnsi="仿宋" w:eastAsia="仿宋" w:cs="仿宋"/>
          <w:b/>
          <w:bCs/>
          <w:color w:val="auto"/>
          <w:sz w:val="24"/>
          <w:highlight w:val="none"/>
        </w:rPr>
        <w:t>增加以下内容作为第3.2.7款至第3.2.13款：</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3.2.7咨询人应确保其是依法设立并合法存续的法人，并具有合法资格为委托人提供本合同项下造价咨询服务，拥有完全的权利或授权签署和履行本合同，且签署和履行本合同未侵害任何第三方的合法权益。</w:t>
      </w:r>
    </w:p>
    <w:p>
      <w:pPr>
        <w:pStyle w:val="15"/>
        <w:spacing w:before="62" w:beforeLines="20" w:beforeAutospacing="0" w:after="0" w:afterAutospacing="0" w:line="360" w:lineRule="auto"/>
        <w:ind w:firstLine="480"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3.2.8咨询人收到委托人依照本合同第三部分《专用条款》第2.1款提交的</w:t>
      </w:r>
      <w:r>
        <w:rPr>
          <w:rFonts w:hint="eastAsia" w:ascii="仿宋" w:hAnsi="仿宋" w:eastAsia="仿宋" w:cs="仿宋"/>
          <w:color w:val="auto"/>
          <w:highlight w:val="none"/>
        </w:rPr>
        <w:t>与咨询业务有关资料</w:t>
      </w:r>
      <w:r>
        <w:rPr>
          <w:rFonts w:hint="eastAsia" w:ascii="仿宋" w:hAnsi="仿宋" w:eastAsia="仿宋" w:cs="仿宋"/>
          <w:color w:val="auto"/>
          <w:kern w:val="2"/>
          <w:szCs w:val="21"/>
          <w:highlight w:val="none"/>
        </w:rPr>
        <w:t>后，如认为委托人提供的</w:t>
      </w:r>
      <w:r>
        <w:rPr>
          <w:rFonts w:hint="eastAsia" w:ascii="仿宋" w:hAnsi="仿宋" w:eastAsia="仿宋" w:cs="仿宋"/>
          <w:color w:val="auto"/>
          <w:highlight w:val="none"/>
        </w:rPr>
        <w:t>资</w:t>
      </w:r>
      <w:r>
        <w:rPr>
          <w:rFonts w:hint="eastAsia" w:ascii="仿宋" w:hAnsi="仿宋" w:eastAsia="仿宋" w:cs="仿宋"/>
          <w:color w:val="auto"/>
          <w:kern w:val="2"/>
          <w:szCs w:val="21"/>
          <w:highlight w:val="none"/>
        </w:rPr>
        <w:t>料不完整、不明确的，应自收到</w:t>
      </w:r>
      <w:r>
        <w:rPr>
          <w:rFonts w:hint="eastAsia" w:ascii="仿宋" w:hAnsi="仿宋" w:eastAsia="仿宋" w:cs="仿宋"/>
          <w:color w:val="auto"/>
          <w:highlight w:val="none"/>
        </w:rPr>
        <w:t>资</w:t>
      </w:r>
      <w:r>
        <w:rPr>
          <w:rFonts w:hint="eastAsia" w:ascii="仿宋" w:hAnsi="仿宋" w:eastAsia="仿宋" w:cs="仿宋"/>
          <w:color w:val="auto"/>
          <w:kern w:val="2"/>
          <w:szCs w:val="21"/>
          <w:highlight w:val="none"/>
        </w:rPr>
        <w:t>料之日起【3】个日历天内通过书面形式要求委托人补充或作出说明。若咨询人逾期向委托人提出补充、说明要求的，视为委托人提交的资料完整、明确。如咨询人在提供造价咨询服务过程中发现委托人提供的资料不完整且有可能影响审核结果时，应及时向委托人书面通报。</w:t>
      </w:r>
    </w:p>
    <w:p>
      <w:pPr>
        <w:pStyle w:val="15"/>
        <w:spacing w:before="62" w:beforeLines="20" w:beforeAutospacing="0" w:after="0" w:afterAutospacing="0" w:line="360" w:lineRule="auto"/>
        <w:ind w:firstLine="480"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3.2.9咨询人对其提交的咨询成果文件的合法性、真实性、准确性负责。 如委托人对咨询成果文件的部分或全部内容存在疑问的，咨询人应及时释疑。</w:t>
      </w:r>
    </w:p>
    <w:p>
      <w:pPr>
        <w:pStyle w:val="15"/>
        <w:spacing w:before="62" w:beforeLines="20" w:beforeAutospacing="0" w:after="0" w:afterAutospacing="0" w:line="360" w:lineRule="auto"/>
        <w:ind w:firstLine="480"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3.2.10咨询人应在造价咨询工作中，结合本项目使用功能特点对设计图纸提出合理化建议，使工程项目经济更合理，节约工程造价，出具相应建议报告。</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3.2.11咨询人须负责与工程项目建设单位开展对数等工作；配合概算阶段的概算备案，同时出具相应的书面报告。</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3.2.12咨询人应保证项目咨询团队拟投入人员的稳定性。如因乙方原因确须变更乙方项目咨询团队拟投入人员的，乙方应提前7日书面告知甲方。经甲方书面同意后，乙方方可变更服务人员，且变更人员的业务能力、资质水平不得低于被更换人员。</w:t>
      </w:r>
    </w:p>
    <w:p>
      <w:pPr>
        <w:pStyle w:val="8"/>
        <w:spacing w:line="360" w:lineRule="auto"/>
        <w:ind w:firstLine="480" w:firstLineChars="200"/>
        <w:jc w:val="both"/>
        <w:rPr>
          <w:rFonts w:ascii="仿宋" w:hAnsi="仿宋" w:eastAsia="仿宋" w:cs="仿宋"/>
          <w:color w:val="auto"/>
          <w:sz w:val="24"/>
          <w:highlight w:val="none"/>
        </w:rPr>
      </w:pPr>
      <w:r>
        <w:rPr>
          <w:rFonts w:hint="eastAsia" w:ascii="仿宋" w:hAnsi="仿宋" w:eastAsia="仿宋" w:cs="仿宋"/>
          <w:color w:val="auto"/>
          <w:sz w:val="24"/>
          <w:highlight w:val="none"/>
        </w:rPr>
        <w:t>3.2.13未经委托人事先书面同意，咨询人不得</w:t>
      </w:r>
      <w:r>
        <w:rPr>
          <w:rFonts w:hint="eastAsia" w:ascii="仿宋" w:hAnsi="仿宋" w:eastAsia="仿宋" w:cs="仿宋"/>
          <w:color w:val="auto"/>
          <w:sz w:val="24"/>
          <w:szCs w:val="24"/>
          <w:highlight w:val="none"/>
        </w:rPr>
        <w:t>擅自分包、转包本合同项下造价咨询服务业务</w:t>
      </w:r>
      <w:r>
        <w:rPr>
          <w:rFonts w:hint="eastAsia" w:ascii="仿宋" w:hAnsi="仿宋" w:eastAsia="仿宋" w:cs="仿宋"/>
          <w:color w:val="auto"/>
          <w:sz w:val="24"/>
          <w:highlight w:val="none"/>
        </w:rPr>
        <w:t>给第三人。</w:t>
      </w:r>
    </w:p>
    <w:p>
      <w:pPr>
        <w:pStyle w:val="14"/>
        <w:spacing w:before="60" w:line="360" w:lineRule="auto"/>
        <w:ind w:firstLine="482" w:firstLineChars="200"/>
        <w:jc w:val="left"/>
        <w:rPr>
          <w:rFonts w:ascii="仿宋" w:hAnsi="仿宋" w:eastAsia="仿宋" w:cs="仿宋"/>
          <w:b w:val="0"/>
          <w:color w:val="auto"/>
          <w:sz w:val="24"/>
          <w:szCs w:val="24"/>
          <w:highlight w:val="none"/>
        </w:rPr>
      </w:pPr>
      <w:r>
        <w:rPr>
          <w:rFonts w:hint="eastAsia" w:ascii="仿宋" w:hAnsi="仿宋" w:eastAsia="仿宋" w:cs="仿宋"/>
          <w:bCs w:val="0"/>
          <w:color w:val="auto"/>
          <w:sz w:val="24"/>
          <w:szCs w:val="24"/>
          <w:highlight w:val="none"/>
        </w:rPr>
        <w:t>3.3咨询人的工作依据</w:t>
      </w:r>
      <w:bookmarkEnd w:id="185"/>
      <w:bookmarkEnd w:id="186"/>
      <w:bookmarkEnd w:id="187"/>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经双方协商，本合同约定的造价咨询服务适用的技术标准、规范、定额等工作依据为：</w:t>
      </w:r>
    </w:p>
    <w:p>
      <w:pPr>
        <w:pStyle w:val="15"/>
        <w:spacing w:before="62" w:beforeLines="20" w:beforeAutospacing="0" w:after="0" w:afterAutospacing="0" w:line="360" w:lineRule="auto"/>
        <w:ind w:firstLine="480" w:firstLineChars="200"/>
        <w:rPr>
          <w:rFonts w:ascii="仿宋" w:hAnsi="仿宋" w:eastAsia="仿宋" w:cs="仿宋"/>
          <w:color w:val="auto"/>
          <w:kern w:val="2"/>
          <w:szCs w:val="21"/>
          <w:highlight w:val="none"/>
        </w:rPr>
      </w:pPr>
      <w:bookmarkStart w:id="188" w:name="_Toc20222"/>
      <w:bookmarkStart w:id="189" w:name="_Toc419045112"/>
      <w:bookmarkStart w:id="190" w:name="_Toc475975180"/>
      <w:r>
        <w:rPr>
          <w:rFonts w:hint="eastAsia" w:ascii="仿宋" w:hAnsi="仿宋" w:eastAsia="仿宋" w:cs="仿宋"/>
          <w:color w:val="auto"/>
          <w:highlight w:val="none"/>
        </w:rPr>
        <w:t>☑</w:t>
      </w:r>
      <w:r>
        <w:rPr>
          <w:rFonts w:hint="eastAsia" w:ascii="仿宋" w:hAnsi="仿宋" w:eastAsia="仿宋" w:cs="仿宋"/>
          <w:color w:val="auto"/>
          <w:kern w:val="2"/>
          <w:szCs w:val="21"/>
          <w:highlight w:val="none"/>
        </w:rPr>
        <w:t>《中华人民共和国民法典》；</w:t>
      </w:r>
    </w:p>
    <w:p>
      <w:pPr>
        <w:pStyle w:val="15"/>
        <w:spacing w:before="62" w:beforeLines="20" w:beforeAutospacing="0" w:after="0" w:afterAutospacing="0" w:line="360" w:lineRule="auto"/>
        <w:ind w:firstLine="480" w:firstLineChars="200"/>
        <w:rPr>
          <w:rFonts w:ascii="仿宋" w:hAnsi="仿宋" w:eastAsia="仿宋" w:cs="仿宋"/>
          <w:color w:val="auto"/>
          <w:kern w:val="2"/>
          <w:szCs w:val="21"/>
          <w:highlight w:val="none"/>
        </w:rPr>
      </w:pPr>
      <w:r>
        <w:rPr>
          <w:rFonts w:hint="eastAsia" w:ascii="仿宋" w:hAnsi="仿宋" w:eastAsia="仿宋" w:cs="仿宋"/>
          <w:color w:val="auto"/>
          <w:highlight w:val="none"/>
        </w:rPr>
        <w:t>☑</w:t>
      </w:r>
      <w:r>
        <w:rPr>
          <w:rFonts w:hint="eastAsia" w:ascii="仿宋" w:hAnsi="仿宋" w:eastAsia="仿宋" w:cs="仿宋"/>
          <w:color w:val="auto"/>
          <w:kern w:val="2"/>
          <w:szCs w:val="21"/>
          <w:highlight w:val="none"/>
        </w:rPr>
        <w:t>《中华人民共和国建筑法》；</w:t>
      </w:r>
    </w:p>
    <w:p>
      <w:pPr>
        <w:pStyle w:val="15"/>
        <w:spacing w:before="62" w:beforeLines="20" w:beforeAutospacing="0" w:after="0" w:afterAutospacing="0" w:line="360" w:lineRule="auto"/>
        <w:ind w:firstLine="480" w:firstLineChars="200"/>
        <w:rPr>
          <w:rFonts w:ascii="仿宋" w:hAnsi="仿宋" w:eastAsia="仿宋" w:cs="仿宋"/>
          <w:color w:val="auto"/>
          <w:kern w:val="2"/>
          <w:szCs w:val="21"/>
          <w:highlight w:val="none"/>
        </w:rPr>
      </w:pPr>
      <w:r>
        <w:rPr>
          <w:rFonts w:hint="eastAsia" w:ascii="仿宋" w:hAnsi="仿宋" w:eastAsia="仿宋" w:cs="仿宋"/>
          <w:color w:val="auto"/>
          <w:highlight w:val="none"/>
        </w:rPr>
        <w:t>☑</w:t>
      </w:r>
      <w:r>
        <w:rPr>
          <w:rFonts w:hint="eastAsia" w:ascii="仿宋" w:hAnsi="仿宋" w:eastAsia="仿宋" w:cs="仿宋"/>
          <w:color w:val="auto"/>
          <w:kern w:val="2"/>
          <w:szCs w:val="21"/>
          <w:highlight w:val="none"/>
        </w:rPr>
        <w:t>《中华人民共和国招标投标法》；</w:t>
      </w:r>
    </w:p>
    <w:p>
      <w:pPr>
        <w:pStyle w:val="15"/>
        <w:spacing w:before="62" w:beforeLines="20" w:beforeAutospacing="0" w:afterAutospacing="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kern w:val="2"/>
          <w:szCs w:val="21"/>
          <w:highlight w:val="none"/>
        </w:rPr>
        <w:t>《中华人民共和国招标投标法实施条例》；</w:t>
      </w:r>
    </w:p>
    <w:p>
      <w:pPr>
        <w:pStyle w:val="15"/>
        <w:spacing w:before="62" w:beforeLines="20" w:beforeAutospacing="0" w:after="0" w:afterAutospacing="0" w:line="360" w:lineRule="auto"/>
        <w:ind w:firstLine="480" w:firstLineChars="200"/>
        <w:rPr>
          <w:rFonts w:ascii="仿宋" w:hAnsi="仿宋" w:eastAsia="仿宋" w:cs="仿宋"/>
          <w:color w:val="auto"/>
          <w:kern w:val="2"/>
          <w:szCs w:val="21"/>
          <w:highlight w:val="none"/>
        </w:rPr>
      </w:pPr>
      <w:r>
        <w:rPr>
          <w:rFonts w:hint="eastAsia" w:ascii="仿宋" w:hAnsi="仿宋" w:eastAsia="仿宋" w:cs="仿宋"/>
          <w:color w:val="auto"/>
          <w:highlight w:val="none"/>
        </w:rPr>
        <w:t>☑</w:t>
      </w:r>
      <w:r>
        <w:rPr>
          <w:rFonts w:hint="eastAsia" w:ascii="仿宋" w:hAnsi="仿宋" w:eastAsia="仿宋" w:cs="仿宋"/>
          <w:color w:val="auto"/>
          <w:kern w:val="2"/>
          <w:szCs w:val="21"/>
          <w:highlight w:val="none"/>
        </w:rPr>
        <w:t>《建筑工程施工发包与承包计价管理办法》；</w:t>
      </w:r>
    </w:p>
    <w:p>
      <w:pPr>
        <w:pStyle w:val="15"/>
        <w:spacing w:before="62" w:beforeLines="20" w:beforeAutospacing="0" w:after="0" w:afterAutospacing="0" w:line="360" w:lineRule="auto"/>
        <w:ind w:firstLine="480" w:firstLineChars="200"/>
        <w:rPr>
          <w:rFonts w:ascii="仿宋" w:hAnsi="仿宋" w:eastAsia="仿宋" w:cs="仿宋"/>
          <w:color w:val="auto"/>
          <w:kern w:val="2"/>
          <w:szCs w:val="21"/>
          <w:highlight w:val="none"/>
        </w:rPr>
      </w:pPr>
      <w:r>
        <w:rPr>
          <w:rFonts w:hint="eastAsia" w:ascii="仿宋" w:hAnsi="仿宋" w:eastAsia="仿宋" w:cs="仿宋"/>
          <w:color w:val="auto"/>
          <w:highlight w:val="none"/>
        </w:rPr>
        <w:t>☑</w:t>
      </w:r>
      <w:r>
        <w:rPr>
          <w:rFonts w:hint="eastAsia" w:ascii="仿宋" w:hAnsi="仿宋" w:eastAsia="仿宋" w:cs="仿宋"/>
          <w:color w:val="auto"/>
          <w:kern w:val="2"/>
          <w:szCs w:val="21"/>
          <w:highlight w:val="none"/>
        </w:rPr>
        <w:t>《建筑工程施工发包与承包违法行为认定查处管理办法》；</w:t>
      </w:r>
    </w:p>
    <w:p>
      <w:pPr>
        <w:pStyle w:val="15"/>
        <w:spacing w:before="62" w:beforeLines="20" w:beforeAutospacing="0" w:after="0" w:afterAutospacing="0" w:line="360" w:lineRule="auto"/>
        <w:ind w:firstLine="480" w:firstLineChars="200"/>
        <w:rPr>
          <w:rFonts w:ascii="仿宋" w:hAnsi="仿宋" w:eastAsia="仿宋" w:cs="仿宋"/>
          <w:color w:val="auto"/>
          <w:kern w:val="2"/>
          <w:szCs w:val="21"/>
          <w:highlight w:val="none"/>
        </w:rPr>
      </w:pPr>
      <w:r>
        <w:rPr>
          <w:rFonts w:hint="eastAsia" w:ascii="仿宋" w:hAnsi="仿宋" w:eastAsia="仿宋" w:cs="仿宋"/>
          <w:color w:val="auto"/>
          <w:highlight w:val="none"/>
        </w:rPr>
        <w:t>☑</w:t>
      </w:r>
      <w:r>
        <w:rPr>
          <w:rFonts w:hint="eastAsia" w:ascii="仿宋" w:hAnsi="仿宋" w:eastAsia="仿宋" w:cs="仿宋"/>
          <w:color w:val="auto"/>
          <w:kern w:val="2"/>
          <w:szCs w:val="21"/>
          <w:highlight w:val="none"/>
        </w:rPr>
        <w:t>《广东省建设工程造价管理规定》；</w:t>
      </w:r>
    </w:p>
    <w:p>
      <w:pPr>
        <w:pStyle w:val="15"/>
        <w:spacing w:before="62" w:beforeLines="20" w:beforeAutospacing="0" w:after="0" w:afterAutospacing="0" w:line="360" w:lineRule="auto"/>
        <w:ind w:firstLine="480" w:firstLineChars="200"/>
        <w:rPr>
          <w:rFonts w:ascii="仿宋" w:hAnsi="仿宋" w:eastAsia="仿宋" w:cs="仿宋"/>
          <w:color w:val="auto"/>
          <w:kern w:val="2"/>
          <w:szCs w:val="21"/>
          <w:highlight w:val="none"/>
        </w:rPr>
      </w:pPr>
      <w:r>
        <w:rPr>
          <w:rFonts w:hint="eastAsia" w:ascii="仿宋" w:hAnsi="仿宋" w:eastAsia="仿宋" w:cs="仿宋"/>
          <w:color w:val="auto"/>
          <w:highlight w:val="none"/>
        </w:rPr>
        <w:t>☑</w:t>
      </w:r>
      <w:r>
        <w:rPr>
          <w:rFonts w:hint="eastAsia" w:ascii="仿宋" w:hAnsi="仿宋" w:eastAsia="仿宋" w:cs="仿宋"/>
          <w:color w:val="auto"/>
          <w:kern w:val="2"/>
          <w:szCs w:val="21"/>
          <w:highlight w:val="none"/>
        </w:rPr>
        <w:t>广东省、广州市建设工程造价管理的有关文件规定。</w:t>
      </w:r>
    </w:p>
    <w:p>
      <w:pPr>
        <w:pStyle w:val="15"/>
        <w:spacing w:before="62" w:beforeLines="20" w:beforeAutospacing="0" w:after="0" w:afterAutospacing="0" w:line="360" w:lineRule="auto"/>
        <w:ind w:firstLine="480" w:firstLineChars="200"/>
        <w:rPr>
          <w:rFonts w:ascii="仿宋" w:hAnsi="仿宋" w:eastAsia="仿宋" w:cs="仿宋"/>
          <w:color w:val="auto"/>
          <w:kern w:val="2"/>
          <w:szCs w:val="21"/>
          <w:highlight w:val="none"/>
        </w:rPr>
      </w:pPr>
      <w:r>
        <w:rPr>
          <w:rFonts w:hint="eastAsia" w:ascii="仿宋" w:hAnsi="仿宋" w:eastAsia="仿宋" w:cs="仿宋"/>
          <w:color w:val="auto"/>
          <w:highlight w:val="none"/>
        </w:rPr>
        <w:t>☑</w:t>
      </w:r>
      <w:r>
        <w:rPr>
          <w:rFonts w:hint="eastAsia" w:ascii="仿宋" w:hAnsi="仿宋" w:eastAsia="仿宋" w:cs="仿宋"/>
          <w:color w:val="auto"/>
          <w:kern w:val="2"/>
          <w:szCs w:val="21"/>
          <w:highlight w:val="none"/>
        </w:rPr>
        <w:t>国家及省、市建设工程计价办法。</w:t>
      </w:r>
    </w:p>
    <w:p>
      <w:pPr>
        <w:pStyle w:val="15"/>
        <w:spacing w:before="62" w:beforeLines="20" w:beforeAutospacing="0" w:after="0" w:afterAutospacing="0" w:line="360" w:lineRule="auto"/>
        <w:ind w:firstLine="480" w:firstLineChars="200"/>
        <w:rPr>
          <w:rFonts w:ascii="仿宋" w:hAnsi="仿宋" w:eastAsia="仿宋" w:cs="仿宋"/>
          <w:color w:val="auto"/>
          <w:kern w:val="2"/>
          <w:szCs w:val="21"/>
          <w:highlight w:val="none"/>
          <w:u w:val="single"/>
        </w:rPr>
      </w:pPr>
      <w:r>
        <w:rPr>
          <w:rFonts w:hint="eastAsia" w:ascii="仿宋" w:hAnsi="仿宋" w:eastAsia="仿宋" w:cs="仿宋"/>
          <w:color w:val="auto"/>
          <w:highlight w:val="none"/>
        </w:rPr>
        <w:t>□</w:t>
      </w:r>
      <w:r>
        <w:rPr>
          <w:rFonts w:hint="eastAsia" w:ascii="仿宋" w:hAnsi="仿宋" w:eastAsia="仿宋" w:cs="仿宋"/>
          <w:color w:val="auto"/>
          <w:kern w:val="2"/>
          <w:szCs w:val="21"/>
          <w:highlight w:val="none"/>
        </w:rPr>
        <w:t>其他：</w:t>
      </w:r>
      <w:r>
        <w:rPr>
          <w:rFonts w:hint="eastAsia" w:ascii="仿宋" w:hAnsi="仿宋" w:eastAsia="仿宋" w:cs="仿宋"/>
          <w:color w:val="auto"/>
          <w:kern w:val="2"/>
          <w:szCs w:val="21"/>
          <w:highlight w:val="none"/>
          <w:u w:val="single"/>
        </w:rPr>
        <w:t xml:space="preserve">                                        </w:t>
      </w:r>
    </w:p>
    <w:p>
      <w:pPr>
        <w:pStyle w:val="15"/>
        <w:spacing w:before="62" w:beforeLines="20" w:beforeAutospacing="0" w:after="0" w:afterAutospacing="0" w:line="360" w:lineRule="auto"/>
        <w:ind w:firstLine="480" w:firstLineChars="200"/>
        <w:rPr>
          <w:rFonts w:ascii="仿宋" w:hAnsi="仿宋" w:eastAsia="仿宋" w:cs="仿宋"/>
          <w:color w:val="auto"/>
          <w:kern w:val="2"/>
          <w:szCs w:val="21"/>
          <w:highlight w:val="none"/>
        </w:rPr>
      </w:pPr>
      <w:r>
        <w:rPr>
          <w:rFonts w:hint="eastAsia" w:ascii="仿宋" w:hAnsi="仿宋" w:eastAsia="仿宋" w:cs="仿宋"/>
          <w:color w:val="auto"/>
          <w:kern w:val="2"/>
          <w:szCs w:val="21"/>
          <w:highlight w:val="none"/>
        </w:rPr>
        <w:t>双方确认，咨询人完成本工程造价咨询工作所应遵守的</w:t>
      </w:r>
      <w:r>
        <w:rPr>
          <w:rFonts w:hint="eastAsia" w:ascii="仿宋" w:hAnsi="仿宋" w:eastAsia="仿宋" w:cs="仿宋"/>
          <w:color w:val="auto"/>
          <w:highlight w:val="none"/>
        </w:rPr>
        <w:t>工作依据</w:t>
      </w:r>
      <w:r>
        <w:rPr>
          <w:rFonts w:hint="eastAsia" w:ascii="仿宋" w:hAnsi="仿宋" w:eastAsia="仿宋" w:cs="仿宋"/>
          <w:color w:val="auto"/>
          <w:kern w:val="2"/>
          <w:szCs w:val="21"/>
          <w:highlight w:val="none"/>
        </w:rPr>
        <w:t>，应为本合同生效时现行有效的版本。本合同生效后，若前述版本发生重大变化，或者有新的法律、法规、规章、规范性文件以及技术标准实施的，咨询人应就推荐性的规定或标准向委托人提出遵守新标准的建议，对强制性的规定或标准应当遵照执行。</w:t>
      </w:r>
    </w:p>
    <w:p>
      <w:pPr>
        <w:pStyle w:val="14"/>
        <w:spacing w:before="60" w:line="360" w:lineRule="auto"/>
        <w:ind w:firstLine="482" w:firstLineChars="200"/>
        <w:jc w:val="left"/>
        <w:rPr>
          <w:rFonts w:ascii="仿宋" w:hAnsi="仿宋" w:eastAsia="仿宋" w:cs="仿宋"/>
          <w:b w:val="0"/>
          <w:color w:val="auto"/>
          <w:highlight w:val="none"/>
        </w:rPr>
      </w:pPr>
      <w:r>
        <w:rPr>
          <w:rFonts w:hint="eastAsia" w:ascii="仿宋" w:hAnsi="仿宋" w:eastAsia="仿宋" w:cs="仿宋"/>
          <w:bCs w:val="0"/>
          <w:color w:val="auto"/>
          <w:sz w:val="24"/>
          <w:szCs w:val="24"/>
          <w:highlight w:val="none"/>
        </w:rPr>
        <w:t>3.4使用委托人房屋及设备的返还</w:t>
      </w:r>
      <w:bookmarkEnd w:id="188"/>
      <w:bookmarkEnd w:id="189"/>
      <w:bookmarkEnd w:id="190"/>
    </w:p>
    <w:p>
      <w:pPr>
        <w:spacing w:line="360" w:lineRule="auto"/>
        <w:ind w:firstLine="480" w:firstLineChars="200"/>
        <w:rPr>
          <w:rFonts w:ascii="仿宋" w:hAnsi="仿宋" w:eastAsia="仿宋" w:cs="仿宋"/>
          <w:color w:val="auto"/>
          <w:sz w:val="32"/>
          <w:szCs w:val="32"/>
          <w:highlight w:val="none"/>
        </w:rPr>
      </w:pPr>
      <w:r>
        <w:rPr>
          <w:rFonts w:hint="eastAsia" w:ascii="仿宋" w:hAnsi="仿宋" w:eastAsia="仿宋" w:cs="仿宋"/>
          <w:color w:val="auto"/>
          <w:sz w:val="24"/>
          <w:szCs w:val="24"/>
          <w:highlight w:val="none"/>
        </w:rPr>
        <w:t>☑本合同第二部分《通用条款》第3.4款不适用，委托人无需向咨询人提供房屋及设备</w:t>
      </w:r>
      <w:r>
        <w:rPr>
          <w:rFonts w:hint="eastAsia" w:ascii="仿宋" w:hAnsi="仿宋" w:eastAsia="仿宋" w:cs="仿宋"/>
          <w:color w:val="auto"/>
          <w:sz w:val="32"/>
          <w:szCs w:val="32"/>
          <w:highlight w:val="none"/>
        </w:rPr>
        <w:t>。</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□咨询人应在本合同终止后【 】天内移交委托人提供的房屋及设备，移交的方式为</w:t>
      </w:r>
    </w:p>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pStyle w:val="16"/>
        <w:spacing w:before="0" w:after="0" w:line="360" w:lineRule="auto"/>
        <w:ind w:firstLine="482" w:firstLineChars="200"/>
        <w:jc w:val="left"/>
        <w:rPr>
          <w:rFonts w:ascii="仿宋" w:hAnsi="仿宋" w:eastAsia="仿宋" w:cs="仿宋"/>
          <w:bCs w:val="0"/>
          <w:color w:val="auto"/>
          <w:sz w:val="24"/>
          <w:szCs w:val="24"/>
          <w:highlight w:val="none"/>
        </w:rPr>
      </w:pPr>
      <w:bookmarkStart w:id="191" w:name="_Toc475975181"/>
      <w:bookmarkStart w:id="192" w:name="_Toc419045113"/>
      <w:bookmarkStart w:id="193" w:name="_Toc28520"/>
      <w:r>
        <w:rPr>
          <w:rFonts w:hint="eastAsia" w:ascii="仿宋" w:hAnsi="仿宋" w:eastAsia="仿宋" w:cs="仿宋"/>
          <w:bCs w:val="0"/>
          <w:color w:val="auto"/>
          <w:sz w:val="24"/>
          <w:szCs w:val="24"/>
          <w:highlight w:val="none"/>
        </w:rPr>
        <w:t>4. 违约责任</w:t>
      </w:r>
      <w:bookmarkEnd w:id="191"/>
      <w:bookmarkEnd w:id="192"/>
      <w:bookmarkEnd w:id="193"/>
    </w:p>
    <w:p>
      <w:pPr>
        <w:pStyle w:val="14"/>
        <w:spacing w:before="60" w:line="360" w:lineRule="auto"/>
        <w:ind w:firstLine="355" w:firstLineChars="148"/>
        <w:jc w:val="left"/>
        <w:rPr>
          <w:rFonts w:ascii="仿宋" w:hAnsi="仿宋" w:eastAsia="仿宋" w:cs="仿宋"/>
          <w:b w:val="0"/>
          <w:color w:val="auto"/>
          <w:sz w:val="24"/>
          <w:szCs w:val="24"/>
          <w:highlight w:val="none"/>
        </w:rPr>
      </w:pPr>
      <w:bookmarkStart w:id="194" w:name="_Toc475975182"/>
      <w:bookmarkStart w:id="195" w:name="_Toc492"/>
      <w:r>
        <w:rPr>
          <w:rFonts w:hint="eastAsia" w:ascii="仿宋" w:hAnsi="仿宋" w:eastAsia="仿宋" w:cs="仿宋"/>
          <w:b w:val="0"/>
          <w:color w:val="auto"/>
          <w:kern w:val="0"/>
          <w:sz w:val="24"/>
          <w:szCs w:val="24"/>
          <w:highlight w:val="none"/>
        </w:rPr>
        <w:t>★</w:t>
      </w:r>
      <w:r>
        <w:rPr>
          <w:rStyle w:val="30"/>
          <w:rFonts w:hint="eastAsia" w:ascii="仿宋" w:hAnsi="仿宋" w:eastAsia="仿宋" w:cs="仿宋"/>
          <w:b/>
          <w:bCs/>
          <w:color w:val="auto"/>
          <w:sz w:val="24"/>
          <w:szCs w:val="24"/>
          <w:highlight w:val="none"/>
        </w:rPr>
        <w:t>4.1委托人的违约责任</w:t>
      </w:r>
      <w:bookmarkEnd w:id="194"/>
      <w:bookmarkEnd w:id="195"/>
    </w:p>
    <w:p>
      <w:pPr>
        <w:pStyle w:val="14"/>
        <w:spacing w:before="60" w:line="360" w:lineRule="auto"/>
        <w:ind w:firstLine="236" w:firstLineChars="98"/>
        <w:jc w:val="left"/>
        <w:rPr>
          <w:rFonts w:ascii="仿宋" w:hAnsi="仿宋" w:eastAsia="仿宋" w:cs="仿宋"/>
          <w:b w:val="0"/>
          <w:bCs w:val="0"/>
          <w:color w:val="auto"/>
          <w:kern w:val="2"/>
          <w:sz w:val="24"/>
          <w:szCs w:val="24"/>
          <w:highlight w:val="none"/>
        </w:rPr>
      </w:pPr>
      <w:bookmarkStart w:id="196" w:name="_Toc16456"/>
      <w:bookmarkStart w:id="197" w:name="_Toc475975183"/>
      <w:bookmarkStart w:id="198" w:name="_Toc419045114"/>
      <w:r>
        <w:rPr>
          <w:rFonts w:hint="eastAsia" w:ascii="仿宋" w:hAnsi="仿宋" w:eastAsia="仿宋" w:cs="仿宋"/>
          <w:color w:val="auto"/>
          <w:kern w:val="2"/>
          <w:sz w:val="24"/>
          <w:szCs w:val="24"/>
          <w:highlight w:val="none"/>
        </w:rPr>
        <w:t>双方一致同意，本合同第二部分《通用条款》第4.1款不适用，代之以：</w:t>
      </w:r>
    </w:p>
    <w:p>
      <w:pPr>
        <w:pStyle w:val="15"/>
        <w:spacing w:before="62" w:beforeLines="20" w:beforeAutospacing="0" w:after="0" w:afterAutospacing="0" w:line="360" w:lineRule="auto"/>
        <w:ind w:firstLine="480" w:firstLineChars="200"/>
        <w:rPr>
          <w:rFonts w:ascii="仿宋" w:hAnsi="仿宋" w:eastAsia="仿宋" w:cs="仿宋"/>
          <w:color w:val="auto"/>
          <w:kern w:val="2"/>
          <w:highlight w:val="none"/>
        </w:rPr>
      </w:pPr>
      <w:r>
        <w:rPr>
          <w:rFonts w:hint="eastAsia" w:ascii="仿宋" w:hAnsi="仿宋" w:eastAsia="仿宋" w:cs="仿宋"/>
          <w:color w:val="auto"/>
          <w:kern w:val="2"/>
          <w:highlight w:val="none"/>
        </w:rPr>
        <w:t>4.1.1除财政拨款延迟、咨询人自身原因或不可抗力原因外，如委托人（甲方）逾期办理财政支付手续向咨询人支付酬金的，每逾期一日，委托人（甲方）应以应付未付款项总额为基数，按全国银行间同业拆借中心公布的同期贷款市场报价利率（LPR）标准向咨询人支付逾期付款滞纳金。</w:t>
      </w:r>
    </w:p>
    <w:p>
      <w:pPr>
        <w:pStyle w:val="14"/>
        <w:spacing w:before="60" w:line="360" w:lineRule="auto"/>
        <w:ind w:firstLine="480" w:firstLineChars="200"/>
        <w:jc w:val="left"/>
        <w:rPr>
          <w:rFonts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4.1.2因委托人原因导致本合同解除，如咨询人尚未开展造价咨询服务工作的，委托人无需支付任何费用。如咨询人已经开展造价咨询服务工作的，委托人按咨询人实际完成的工作量支付服务酬金。</w:t>
      </w:r>
    </w:p>
    <w:p>
      <w:pPr>
        <w:pStyle w:val="14"/>
        <w:spacing w:before="60" w:line="360" w:lineRule="auto"/>
        <w:jc w:val="left"/>
        <w:rPr>
          <w:rFonts w:ascii="仿宋" w:hAnsi="仿宋" w:eastAsia="仿宋" w:cs="仿宋"/>
          <w:b w:val="0"/>
          <w:color w:val="auto"/>
          <w:sz w:val="24"/>
          <w:szCs w:val="24"/>
          <w:highlight w:val="none"/>
        </w:rPr>
      </w:pPr>
      <w:r>
        <w:rPr>
          <w:rFonts w:hint="eastAsia" w:ascii="仿宋" w:hAnsi="仿宋" w:eastAsia="仿宋" w:cs="仿宋"/>
          <w:b w:val="0"/>
          <w:color w:val="auto"/>
          <w:kern w:val="0"/>
          <w:sz w:val="24"/>
          <w:szCs w:val="24"/>
          <w:highlight w:val="none"/>
        </w:rPr>
        <w:t>★</w:t>
      </w:r>
      <w:r>
        <w:rPr>
          <w:rFonts w:hint="eastAsia" w:ascii="仿宋" w:hAnsi="仿宋" w:eastAsia="仿宋" w:cs="仿宋"/>
          <w:bCs w:val="0"/>
          <w:color w:val="auto"/>
          <w:sz w:val="24"/>
          <w:szCs w:val="24"/>
          <w:highlight w:val="none"/>
        </w:rPr>
        <w:t>4.2咨询人的违约责任</w:t>
      </w:r>
      <w:bookmarkEnd w:id="196"/>
      <w:bookmarkEnd w:id="197"/>
    </w:p>
    <w:bookmarkEnd w:id="198"/>
    <w:p>
      <w:pPr>
        <w:pStyle w:val="14"/>
        <w:spacing w:before="60" w:line="360" w:lineRule="auto"/>
        <w:ind w:firstLine="236" w:firstLineChars="98"/>
        <w:jc w:val="left"/>
        <w:rPr>
          <w:rFonts w:ascii="仿宋" w:hAnsi="仿宋" w:eastAsia="仿宋" w:cs="仿宋"/>
          <w:color w:val="auto"/>
          <w:kern w:val="2"/>
          <w:sz w:val="24"/>
          <w:szCs w:val="24"/>
          <w:highlight w:val="none"/>
        </w:rPr>
      </w:pPr>
      <w:bookmarkStart w:id="199" w:name="_Toc28652"/>
      <w:bookmarkStart w:id="200" w:name="_Toc419045115"/>
      <w:bookmarkStart w:id="201" w:name="_Toc475975184"/>
      <w:r>
        <w:rPr>
          <w:rFonts w:hint="eastAsia" w:ascii="仿宋" w:hAnsi="仿宋" w:eastAsia="仿宋" w:cs="仿宋"/>
          <w:color w:val="auto"/>
          <w:kern w:val="2"/>
          <w:sz w:val="24"/>
          <w:szCs w:val="24"/>
          <w:highlight w:val="none"/>
        </w:rPr>
        <w:t>双方一致同意，本合同第二部分《通用条款》第4.2款不适用，代之以：</w:t>
      </w:r>
    </w:p>
    <w:p>
      <w:pPr>
        <w:pStyle w:val="15"/>
        <w:spacing w:before="62" w:beforeLines="20" w:beforeAutospacing="0" w:after="0" w:afterAutospacing="0" w:line="360" w:lineRule="auto"/>
        <w:ind w:firstLine="480" w:firstLineChars="200"/>
        <w:rPr>
          <w:rFonts w:ascii="仿宋" w:hAnsi="仿宋" w:eastAsia="仿宋" w:cs="仿宋"/>
          <w:color w:val="auto"/>
          <w:kern w:val="2"/>
          <w:highlight w:val="none"/>
        </w:rPr>
      </w:pPr>
      <w:r>
        <w:rPr>
          <w:rFonts w:hint="eastAsia" w:ascii="仿宋" w:hAnsi="仿宋" w:eastAsia="仿宋" w:cs="仿宋"/>
          <w:color w:val="auto"/>
          <w:kern w:val="2"/>
          <w:highlight w:val="none"/>
        </w:rPr>
        <w:t>4.2.1本合同一经签订，咨询人应全面履行本合同约定，不得擅自变更、终止本合同，否则，委托人有权要求咨询人返还已收取的全部合同费用，咨询人应当按照本合同总金额30%的标准向委托人支付违约金，以及赔偿委托人的全部损失。除本条另有约定外，咨询人违反本合同或其附属、补充条款约定给委托人造成损失的，应当承担违约责任，咨询人应按□本合同酬金总金额</w:t>
      </w:r>
      <w:r>
        <w:rPr>
          <w:rFonts w:hint="eastAsia" w:ascii="仿宋" w:hAnsi="仿宋" w:eastAsia="仿宋" w:cs="仿宋"/>
          <w:color w:val="auto"/>
          <w:highlight w:val="none"/>
        </w:rPr>
        <w:t>☑正常服务酬金（□包干价☑暂定价）</w:t>
      </w:r>
      <w:r>
        <w:rPr>
          <w:rFonts w:hint="eastAsia" w:ascii="仿宋" w:hAnsi="仿宋" w:eastAsia="仿宋" w:cs="仿宋"/>
          <w:color w:val="auto"/>
          <w:kern w:val="2"/>
          <w:highlight w:val="none"/>
        </w:rPr>
        <w:t>□其他：</w:t>
      </w:r>
      <w:r>
        <w:rPr>
          <w:rFonts w:hint="eastAsia" w:ascii="仿宋" w:hAnsi="仿宋" w:eastAsia="仿宋" w:cs="仿宋"/>
          <w:color w:val="auto"/>
          <w:kern w:val="2"/>
          <w:highlight w:val="none"/>
          <w:u w:val="single"/>
        </w:rPr>
        <w:t xml:space="preserve">    /      </w:t>
      </w:r>
      <w:r>
        <w:rPr>
          <w:rFonts w:hint="eastAsia" w:ascii="仿宋" w:hAnsi="仿宋" w:eastAsia="仿宋" w:cs="仿宋"/>
          <w:color w:val="auto"/>
          <w:kern w:val="2"/>
          <w:highlight w:val="none"/>
        </w:rPr>
        <w:t>的</w:t>
      </w:r>
      <w:r>
        <w:rPr>
          <w:rFonts w:hint="eastAsia" w:ascii="仿宋" w:hAnsi="仿宋" w:eastAsia="仿宋" w:cs="仿宋"/>
          <w:color w:val="auto"/>
          <w:kern w:val="2"/>
          <w:highlight w:val="none"/>
          <w:u w:val="single"/>
        </w:rPr>
        <w:t xml:space="preserve">  20  </w:t>
      </w:r>
      <w:r>
        <w:rPr>
          <w:rFonts w:hint="eastAsia" w:ascii="仿宋" w:hAnsi="仿宋" w:eastAsia="仿宋" w:cs="仿宋"/>
          <w:color w:val="auto"/>
          <w:kern w:val="2"/>
          <w:highlight w:val="none"/>
        </w:rPr>
        <w:t>%向委托人支付违约金，且委托人</w:t>
      </w:r>
      <w:bookmarkStart w:id="202" w:name="_Hlk143718587"/>
      <w:r>
        <w:rPr>
          <w:rFonts w:hint="eastAsia" w:ascii="仿宋" w:hAnsi="仿宋" w:eastAsia="仿宋" w:cs="仿宋"/>
          <w:color w:val="auto"/>
          <w:kern w:val="2"/>
          <w:highlight w:val="none"/>
        </w:rPr>
        <w:t>有权单方解除本合同，要求咨询人返还已收取的全部合同费用，以及赔偿委托人的全部损失</w:t>
      </w:r>
      <w:bookmarkEnd w:id="202"/>
      <w:r>
        <w:rPr>
          <w:rFonts w:hint="eastAsia" w:ascii="仿宋" w:hAnsi="仿宋" w:eastAsia="仿宋" w:cs="仿宋"/>
          <w:color w:val="auto"/>
          <w:kern w:val="2"/>
          <w:highlight w:val="none"/>
        </w:rPr>
        <w:t>。</w:t>
      </w:r>
    </w:p>
    <w:p>
      <w:pPr>
        <w:spacing w:line="360" w:lineRule="auto"/>
        <w:ind w:firstLine="439" w:firstLineChars="183"/>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4.2.2如咨询人未在本合同约定的咨询期限内完成咨询工作并交付咨询成果文件的，每逾期一日，咨询人应当按照</w:t>
      </w:r>
      <w:r>
        <w:rPr>
          <w:rFonts w:hint="eastAsia" w:ascii="仿宋" w:hAnsi="仿宋" w:eastAsia="仿宋" w:cs="仿宋"/>
          <w:color w:val="auto"/>
          <w:highlight w:val="none"/>
        </w:rPr>
        <w:t>□</w:t>
      </w:r>
      <w:r>
        <w:rPr>
          <w:rFonts w:hint="eastAsia" w:ascii="仿宋" w:hAnsi="仿宋" w:eastAsia="仿宋" w:cs="仿宋"/>
          <w:color w:val="auto"/>
          <w:sz w:val="24"/>
          <w:szCs w:val="24"/>
          <w:highlight w:val="none"/>
        </w:rPr>
        <w:t>本合同酬金总金额☑正常服务酬金（□包干价☑暂定价）□其他：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的</w:t>
      </w:r>
      <w:r>
        <w:rPr>
          <w:rFonts w:hint="eastAsia" w:ascii="仿宋" w:hAnsi="仿宋" w:eastAsia="仿宋" w:cs="仿宋"/>
          <w:color w:val="auto"/>
          <w:sz w:val="24"/>
          <w:szCs w:val="24"/>
          <w:highlight w:val="none"/>
        </w:rPr>
        <w:t>2‰向委托人支付逾期交付违约金直至交付当日。逾期达到15日及以上的，委托人有权单方面解除本合同，要求咨询人返还已收取的全部合同费用，赔偿委托人的全部损失，以及要求咨询人应按□本合同酬金总金额☑正常服务酬金（□包干价☑暂定价）□其他：</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xml:space="preserve">  20  </w:t>
      </w:r>
      <w:r>
        <w:rPr>
          <w:rFonts w:hint="eastAsia" w:ascii="仿宋" w:hAnsi="仿宋" w:eastAsia="仿宋" w:cs="仿宋"/>
          <w:color w:val="auto"/>
          <w:sz w:val="24"/>
          <w:szCs w:val="24"/>
          <w:highlight w:val="none"/>
        </w:rPr>
        <w:t>%向委托人支付违约金。</w:t>
      </w:r>
    </w:p>
    <w:p>
      <w:pPr>
        <w:spacing w:line="360" w:lineRule="auto"/>
        <w:ind w:firstLine="439" w:firstLineChars="183"/>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4.2.3如咨询人提交的咨询成果文件不符合本合同要求的，委托人有权拒收并要求咨询人重新交付；由此导致咨询人逾期提交咨询成果文件的，咨询人应按照本合同第三部分《专用条款》第4.2.2款承担违约责任。</w:t>
      </w:r>
    </w:p>
    <w:p>
      <w:pPr>
        <w:pStyle w:val="25"/>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kern w:val="2"/>
          <w:highlight w:val="none"/>
        </w:rPr>
        <w:t>4.2.4如咨询人在造价咨询工作中，经委托人检查发现咨询人的造价咨询工作存在问题的，可发出口头整改要求，咨询人未能采取有效措施完成整改的，委托人有权书面要求咨询人限期完成整改。经委托人书面要求限期整改的，每发生一次，咨询人应按1000元/次的标准向委托人支付违约金。</w:t>
      </w:r>
    </w:p>
    <w:p>
      <w:pPr>
        <w:spacing w:line="360" w:lineRule="auto"/>
        <w:ind w:firstLine="439" w:firstLineChars="183"/>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4.2.5咨询人对其提供的咨询成果文件的合法性、真实性、准确性负责。如因咨询人提供的造价咨询服务或其编制的咨询成果文件侵犯他人合法权益而引起纠纷的，由咨询人自行处理并承担全部法律责任；由此给委托人造成损失的，咨询人应承担全面赔偿责任，咨询人承担的赔偿费用（包括但不限于委托人被第三方起诉而支出的律师费、委托人被法院判决承担的诉讼费、向第三方支付的赔偿金以及委托人要求咨询人向委托人赔偿损失所产生的律师费、诉讼费、担保费、保全费、评估费等）委托人有权从需支付给咨询人的服务酬金中扣除，且委托人有权单方解除本合同，要求咨询人返还已收取的全部费用，且咨询人应当按照本合同总金额30％的标准向委托人支付违约金，以及赔偿委托人的全部损失。</w:t>
      </w:r>
    </w:p>
    <w:p>
      <w:pPr>
        <w:pStyle w:val="18"/>
        <w:spacing w:line="360" w:lineRule="auto"/>
        <w:ind w:left="0" w:leftChars="0" w:firstLine="480"/>
        <w:rPr>
          <w:rFonts w:ascii="仿宋" w:hAnsi="仿宋" w:eastAsia="仿宋" w:cs="仿宋"/>
          <w:color w:val="auto"/>
          <w:highlight w:val="none"/>
        </w:rPr>
      </w:pPr>
      <w:r>
        <w:rPr>
          <w:rFonts w:hint="eastAsia" w:ascii="仿宋" w:hAnsi="仿宋" w:eastAsia="仿宋" w:cs="仿宋"/>
          <w:color w:val="auto"/>
          <w:sz w:val="24"/>
          <w:szCs w:val="24"/>
          <w:highlight w:val="none"/>
        </w:rPr>
        <w:t>4.2.6咨询人对其提供的咨询成果文件应符合审计部门等相关部门的审查规定，咨询人应配合委托人与相关部门进行对数。如因咨询人提供的造价咨询服务或其编制的咨询成果文件违反审计部门等相关部门的审查规定，由此引起委托人被相关部门追究责任，给委托人造成损失的，咨询人应承担全面赔偿责任，委托人有权单方解除本合同，要求咨询人返还已收取的全部费用，且咨询人应当按照本合同总金额30％的标准向委托人支付违约金，以及赔偿委托人的全部损失。</w:t>
      </w:r>
    </w:p>
    <w:p>
      <w:pPr>
        <w:spacing w:line="360" w:lineRule="auto"/>
        <w:ind w:firstLine="439" w:firstLineChars="183"/>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4.2.7如咨询人擅自分包、转包本合同项下造价咨询服务业务的，委托人有权单方面解除本合同，咨询人应按□本合同酬金总金额☑正常服务酬金（□包干价☑暂定价）□其他：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的20%向委托人（甲方）支付违约金，且委托人有权要求咨询人返还已收取的全部费用，以及赔偿委托人的全部损失。</w:t>
      </w:r>
    </w:p>
    <w:p>
      <w:pPr>
        <w:spacing w:line="360" w:lineRule="auto"/>
        <w:ind w:firstLine="439" w:firstLineChars="183"/>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4.2.8如咨询人提供的造价咨询服务不符合本合同约定的要求，经委托人催告后咨询人拒不整改或经整改后仍不能达到要求的，委托人有权单方面解除本合同，要求咨询人返还已收取的全部费用，赔偿委托人的全部损失，且咨询人应按□本合同酬金总金额☑正常服务酬金（□包干价☑暂定价）□其他：</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的20%向委托人（甲方）支付违约金。</w:t>
      </w:r>
    </w:p>
    <w:p>
      <w:pPr>
        <w:spacing w:line="360" w:lineRule="auto"/>
        <w:ind w:firstLine="439" w:firstLineChars="183"/>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4.2.9 如咨询人违反保密义务的，委托人有权单方面解除本合同，要求咨询人返还已收取的全部费用，赔偿委托人的全部损失，且咨询人应按□本合同酬金总金额☑正常服务酬金（□包干价☑暂定价）□其他：</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的20%向委托人（甲方）支付违约金。</w:t>
      </w:r>
    </w:p>
    <w:p>
      <w:pPr>
        <w:spacing w:line="360" w:lineRule="auto"/>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4.2.10如咨询人(包括咨询人关联企业)或其工作人员违反廉洁义务的，委托人有权单方面解除本合同，要求咨询人返还已收取的全部费用，赔偿委托人的全部损失，且咨询人应按□本合同酬金总金额☑正常服务酬金（□包干价☑暂定价）□其他：</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的20 %向委托人（甲方）支付违约金。</w:t>
      </w:r>
    </w:p>
    <w:p>
      <w:pPr>
        <w:spacing w:line="360" w:lineRule="auto"/>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4.2.11上述各项，委托人行使单方解除权的，自解除合同的书面通知到达咨询人时，本合同解除。如咨询人支付的违约金不足以弥补委托人经济损失的，咨询人须全额补足赔偿委托人因此遭受的全部经济损失。委托人的经济损失包括但不限于委托人遭受的直接经济损失，委托人为追究咨询人违约责任，或为维护自身合法权益而支付的诉讼费、律师费、诉讼担保费、保全费、执行费、公证费、鉴定费、交通费、差旅费等。</w:t>
      </w:r>
    </w:p>
    <w:p>
      <w:pPr>
        <w:pStyle w:val="16"/>
        <w:spacing w:before="0" w:after="0" w:line="360" w:lineRule="auto"/>
        <w:ind w:firstLine="482" w:firstLineChars="200"/>
        <w:jc w:val="left"/>
        <w:rPr>
          <w:rFonts w:ascii="仿宋" w:hAnsi="仿宋" w:eastAsia="仿宋" w:cs="仿宋"/>
          <w:b w:val="0"/>
          <w:color w:val="auto"/>
          <w:sz w:val="24"/>
          <w:szCs w:val="24"/>
          <w:highlight w:val="none"/>
        </w:rPr>
      </w:pPr>
      <w:r>
        <w:rPr>
          <w:rFonts w:hint="eastAsia" w:ascii="仿宋" w:hAnsi="仿宋" w:eastAsia="仿宋" w:cs="仿宋"/>
          <w:bCs w:val="0"/>
          <w:color w:val="auto"/>
          <w:sz w:val="24"/>
          <w:szCs w:val="24"/>
          <w:highlight w:val="none"/>
        </w:rPr>
        <w:t>5. 支付</w:t>
      </w:r>
      <w:bookmarkEnd w:id="199"/>
      <w:bookmarkEnd w:id="200"/>
      <w:bookmarkEnd w:id="201"/>
    </w:p>
    <w:p>
      <w:pPr>
        <w:spacing w:line="360" w:lineRule="auto"/>
        <w:ind w:firstLine="482" w:firstLineChars="200"/>
        <w:rPr>
          <w:rStyle w:val="30"/>
          <w:rFonts w:ascii="仿宋" w:hAnsi="仿宋" w:eastAsia="仿宋" w:cs="仿宋"/>
          <w:bCs w:val="0"/>
          <w:color w:val="auto"/>
          <w:sz w:val="24"/>
          <w:szCs w:val="24"/>
          <w:highlight w:val="none"/>
        </w:rPr>
      </w:pPr>
      <w:bookmarkStart w:id="203" w:name="_Toc419045116"/>
      <w:bookmarkStart w:id="204" w:name="_Toc475975185"/>
      <w:bookmarkStart w:id="205" w:name="_Toc31626"/>
      <w:r>
        <w:rPr>
          <w:rStyle w:val="30"/>
          <w:rFonts w:hint="eastAsia" w:ascii="仿宋" w:hAnsi="仿宋" w:eastAsia="仿宋" w:cs="仿宋"/>
          <w:bCs w:val="0"/>
          <w:color w:val="auto"/>
          <w:sz w:val="24"/>
          <w:szCs w:val="24"/>
          <w:highlight w:val="none"/>
        </w:rPr>
        <w:t>5.1支付货币</w:t>
      </w:r>
      <w:bookmarkEnd w:id="203"/>
      <w:bookmarkEnd w:id="204"/>
    </w:p>
    <w:bookmarkEnd w:id="205"/>
    <w:p>
      <w:pPr>
        <w:spacing w:line="360" w:lineRule="auto"/>
        <w:ind w:firstLine="480" w:firstLineChars="200"/>
        <w:rPr>
          <w:rFonts w:ascii="仿宋" w:hAnsi="仿宋" w:eastAsia="仿宋" w:cs="仿宋"/>
          <w:color w:val="auto"/>
          <w:sz w:val="24"/>
          <w:szCs w:val="24"/>
          <w:highlight w:val="none"/>
        </w:rPr>
      </w:pPr>
      <w:bookmarkStart w:id="206" w:name="_Toc475975186"/>
      <w:bookmarkStart w:id="207" w:name="_Toc419045117"/>
      <w:bookmarkStart w:id="208" w:name="_Toc14590"/>
      <w:r>
        <w:rPr>
          <w:rFonts w:hint="eastAsia" w:ascii="仿宋" w:hAnsi="仿宋" w:eastAsia="仿宋" w:cs="仿宋"/>
          <w:color w:val="auto"/>
          <w:sz w:val="24"/>
          <w:szCs w:val="24"/>
          <w:highlight w:val="none"/>
        </w:rPr>
        <w:t>币种为：</w:t>
      </w:r>
      <w:r>
        <w:rPr>
          <w:rFonts w:hint="eastAsia" w:ascii="仿宋" w:hAnsi="仿宋" w:eastAsia="仿宋" w:cs="仿宋"/>
          <w:color w:val="auto"/>
          <w:sz w:val="24"/>
          <w:szCs w:val="24"/>
          <w:highlight w:val="none"/>
          <w:u w:val="single"/>
        </w:rPr>
        <w:t xml:space="preserve">   人民币    </w:t>
      </w:r>
      <w:r>
        <w:rPr>
          <w:rFonts w:hint="eastAsia" w:ascii="仿宋" w:hAnsi="仿宋" w:eastAsia="仿宋" w:cs="仿宋"/>
          <w:color w:val="auto"/>
          <w:sz w:val="24"/>
          <w:szCs w:val="24"/>
          <w:highlight w:val="none"/>
        </w:rPr>
        <w:t>，汇率为：</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，其他约定：</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2" w:firstLineChars="200"/>
        <w:rPr>
          <w:rStyle w:val="30"/>
          <w:rFonts w:ascii="仿宋" w:hAnsi="仿宋" w:eastAsia="仿宋" w:cs="仿宋"/>
          <w:bCs w:val="0"/>
          <w:color w:val="auto"/>
          <w:sz w:val="24"/>
          <w:szCs w:val="24"/>
          <w:highlight w:val="none"/>
        </w:rPr>
      </w:pPr>
      <w:r>
        <w:rPr>
          <w:rStyle w:val="30"/>
          <w:rFonts w:hint="eastAsia" w:ascii="仿宋" w:hAnsi="仿宋" w:eastAsia="仿宋" w:cs="仿宋"/>
          <w:bCs w:val="0"/>
          <w:color w:val="auto"/>
          <w:sz w:val="24"/>
          <w:szCs w:val="24"/>
          <w:highlight w:val="none"/>
        </w:rPr>
        <w:t>5.2 支付申请</w:t>
      </w:r>
      <w:bookmarkEnd w:id="206"/>
      <w:bookmarkEnd w:id="207"/>
    </w:p>
    <w:bookmarkEnd w:id="208"/>
    <w:p>
      <w:pPr>
        <w:pStyle w:val="14"/>
        <w:spacing w:before="60" w:line="360" w:lineRule="auto"/>
        <w:ind w:firstLine="477" w:firstLineChars="198"/>
        <w:jc w:val="left"/>
        <w:rPr>
          <w:rFonts w:ascii="仿宋" w:hAnsi="仿宋" w:eastAsia="仿宋" w:cs="仿宋"/>
          <w:b w:val="0"/>
          <w:bCs w:val="0"/>
          <w:color w:val="auto"/>
          <w:kern w:val="2"/>
          <w:sz w:val="24"/>
          <w:szCs w:val="24"/>
          <w:highlight w:val="none"/>
        </w:rPr>
      </w:pPr>
      <w:bookmarkStart w:id="209" w:name="_Toc475975187"/>
      <w:bookmarkStart w:id="210" w:name="_Toc419045118"/>
      <w:r>
        <w:rPr>
          <w:rFonts w:hint="eastAsia" w:ascii="仿宋" w:hAnsi="仿宋" w:eastAsia="仿宋" w:cs="仿宋"/>
          <w:color w:val="auto"/>
          <w:kern w:val="2"/>
          <w:sz w:val="24"/>
          <w:szCs w:val="24"/>
          <w:highlight w:val="none"/>
        </w:rPr>
        <w:t>双方一致同意，本合同第二部分《通用条款》第5.2款不适用，代之以：</w:t>
      </w:r>
    </w:p>
    <w:p>
      <w:pPr>
        <w:widowControl/>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5.2咨询人应在委托人（甲方）每期办理财政支付手续15个工作日前提供与当期应付款项等额的合法有效的增值税普通发票及支付申请书给委托人（甲方），以便委托人（甲方）办理财政支付手续。支付申请书应当说明当期应付款总额，并列出当期应支付的款项及其金额。</w:t>
      </w:r>
    </w:p>
    <w:p>
      <w:pPr>
        <w:widowControl/>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委托人（甲方）指定开具发票的基本信息如下：</w:t>
      </w:r>
    </w:p>
    <w:p>
      <w:pPr>
        <w:widowControl/>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r>
        <w:rPr>
          <w:rFonts w:hint="eastAsia" w:ascii="仿宋" w:hAnsi="仿宋" w:eastAsia="仿宋" w:cs="仿宋"/>
          <w:color w:val="auto"/>
          <w:sz w:val="24"/>
          <w:highlight w:val="none"/>
          <w:u w:val="single"/>
        </w:rPr>
        <w:t xml:space="preserve"> 广州市天河区住房建设和园林局                               </w:t>
      </w:r>
      <w:r>
        <w:rPr>
          <w:rFonts w:hint="eastAsia" w:ascii="仿宋" w:hAnsi="仿宋" w:eastAsia="仿宋" w:cs="仿宋"/>
          <w:color w:val="auto"/>
          <w:sz w:val="24"/>
          <w:szCs w:val="24"/>
          <w:highlight w:val="none"/>
        </w:rPr>
        <w:t xml:space="preserve">                                    </w:t>
      </w:r>
    </w:p>
    <w:p>
      <w:pPr>
        <w:widowControl/>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纳税人识别号：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szCs w:val="24"/>
          <w:highlight w:val="none"/>
        </w:rPr>
        <w:t xml:space="preserve">                                </w:t>
      </w:r>
    </w:p>
    <w:p>
      <w:pPr>
        <w:widowControl/>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地址、电话：</w:t>
      </w:r>
      <w:r>
        <w:rPr>
          <w:rFonts w:hint="eastAsia" w:ascii="仿宋" w:hAnsi="仿宋" w:eastAsia="仿宋" w:cs="仿宋"/>
          <w:color w:val="auto"/>
          <w:sz w:val="24"/>
          <w:highlight w:val="none"/>
          <w:u w:val="single"/>
        </w:rPr>
        <w:t xml:space="preserve"> 广州市天河区黄埔大道中144号海景中心东塔四楼                         </w:t>
      </w:r>
      <w:r>
        <w:rPr>
          <w:rFonts w:hint="eastAsia" w:ascii="仿宋" w:hAnsi="仿宋" w:eastAsia="仿宋" w:cs="仿宋"/>
          <w:color w:val="auto"/>
          <w:sz w:val="24"/>
          <w:szCs w:val="24"/>
          <w:highlight w:val="none"/>
        </w:rPr>
        <w:t xml:space="preserve">                                 </w:t>
      </w:r>
    </w:p>
    <w:p>
      <w:pPr>
        <w:widowControl/>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开户行及账号：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szCs w:val="24"/>
          <w:highlight w:val="none"/>
        </w:rPr>
        <w:t xml:space="preserve">                                </w:t>
      </w:r>
    </w:p>
    <w:p>
      <w:pPr>
        <w:widowControl/>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szCs w:val="24"/>
          <w:highlight w:val="none"/>
        </w:rPr>
        <w:t>货物或应税劳务、服务名称：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szCs w:val="24"/>
          <w:highlight w:val="none"/>
        </w:rPr>
        <w:t xml:space="preserve">                    </w:t>
      </w:r>
    </w:p>
    <w:p>
      <w:pPr>
        <w:spacing w:line="360" w:lineRule="auto"/>
        <w:ind w:firstLine="480" w:firstLineChars="200"/>
        <w:rPr>
          <w:rStyle w:val="30"/>
          <w:rFonts w:ascii="仿宋" w:hAnsi="仿宋" w:eastAsia="仿宋" w:cs="仿宋"/>
          <w:b w:val="0"/>
          <w:color w:val="auto"/>
          <w:sz w:val="24"/>
          <w:szCs w:val="24"/>
          <w:highlight w:val="none"/>
        </w:rPr>
      </w:pPr>
      <w:r>
        <w:rPr>
          <w:rStyle w:val="30"/>
          <w:rFonts w:hint="eastAsia" w:ascii="仿宋" w:hAnsi="仿宋" w:eastAsia="仿宋" w:cs="仿宋"/>
          <w:b w:val="0"/>
          <w:color w:val="auto"/>
          <w:sz w:val="24"/>
          <w:szCs w:val="24"/>
          <w:highlight w:val="none"/>
        </w:rPr>
        <w:t>5.3支付酬金</w:t>
      </w:r>
      <w:bookmarkEnd w:id="209"/>
      <w:bookmarkEnd w:id="210"/>
    </w:p>
    <w:p>
      <w:pPr>
        <w:spacing w:line="360" w:lineRule="auto"/>
        <w:ind w:firstLine="482" w:firstLineChars="200"/>
        <w:rPr>
          <w:rStyle w:val="30"/>
          <w:rFonts w:ascii="仿宋" w:hAnsi="仿宋" w:eastAsia="仿宋" w:cs="仿宋"/>
          <w:bCs w:val="0"/>
          <w:color w:val="auto"/>
          <w:sz w:val="24"/>
          <w:szCs w:val="24"/>
          <w:highlight w:val="none"/>
        </w:rPr>
      </w:pPr>
      <w:bookmarkStart w:id="211" w:name="_Toc4072"/>
      <w:r>
        <w:rPr>
          <w:rStyle w:val="30"/>
          <w:rFonts w:hint="eastAsia" w:ascii="仿宋" w:hAnsi="仿宋" w:eastAsia="仿宋" w:cs="仿宋"/>
          <w:bCs w:val="0"/>
          <w:color w:val="auto"/>
          <w:sz w:val="24"/>
          <w:szCs w:val="24"/>
          <w:highlight w:val="none"/>
        </w:rPr>
        <w:t>5.3 支付</w:t>
      </w:r>
    </w:p>
    <w:bookmarkEnd w:id="211"/>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5.3.1正常工作酬金的支付：</w:t>
      </w:r>
    </w:p>
    <w:p>
      <w:pPr>
        <w:pStyle w:val="14"/>
        <w:spacing w:before="60" w:line="360" w:lineRule="auto"/>
        <w:ind w:firstLine="477" w:firstLineChars="198"/>
        <w:jc w:val="left"/>
        <w:rPr>
          <w:rFonts w:ascii="仿宋" w:hAnsi="仿宋" w:eastAsia="仿宋" w:cs="仿宋"/>
          <w:b w:val="0"/>
          <w:bCs w:val="0"/>
          <w:color w:val="auto"/>
          <w:kern w:val="2"/>
          <w:sz w:val="24"/>
          <w:szCs w:val="24"/>
          <w:highlight w:val="none"/>
        </w:rPr>
      </w:pPr>
      <w:bookmarkStart w:id="212" w:name="_Toc468868643"/>
      <w:bookmarkStart w:id="213" w:name="_Toc462328328"/>
      <w:bookmarkStart w:id="214" w:name="_Toc468807953"/>
      <w:bookmarkStart w:id="215" w:name="_Toc468869900"/>
      <w:bookmarkStart w:id="216" w:name="_Toc419045119"/>
      <w:r>
        <w:rPr>
          <w:rFonts w:hint="eastAsia" w:ascii="仿宋" w:hAnsi="仿宋" w:eastAsia="仿宋" w:cs="仿宋"/>
          <w:color w:val="auto"/>
          <w:sz w:val="24"/>
          <w:szCs w:val="24"/>
          <w:highlight w:val="none"/>
        </w:rPr>
        <w:t>☑</w:t>
      </w:r>
      <w:r>
        <w:rPr>
          <w:rFonts w:hint="eastAsia" w:ascii="仿宋" w:hAnsi="仿宋" w:eastAsia="仿宋" w:cs="仿宋"/>
          <w:b w:val="0"/>
          <w:bCs w:val="0"/>
          <w:color w:val="auto"/>
          <w:kern w:val="2"/>
          <w:sz w:val="24"/>
          <w:szCs w:val="24"/>
          <w:highlight w:val="none"/>
        </w:rPr>
        <w:t>本合同第二部分《通用条款》第5.3.1款不适用，代之以下列（1）、（2）执行。</w:t>
      </w:r>
    </w:p>
    <w:p>
      <w:pPr>
        <w:pStyle w:val="14"/>
        <w:spacing w:before="60" w:line="360" w:lineRule="auto"/>
        <w:ind w:firstLine="475" w:firstLineChars="198"/>
        <w:jc w:val="left"/>
        <w:rPr>
          <w:rFonts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（1）预付款支付约定按以下勾选执行：</w:t>
      </w:r>
    </w:p>
    <w:p>
      <w:pPr>
        <w:pStyle w:val="14"/>
        <w:spacing w:before="60" w:line="360" w:lineRule="auto"/>
        <w:ind w:firstLine="477" w:firstLineChars="198"/>
        <w:jc w:val="left"/>
        <w:rPr>
          <w:rFonts w:ascii="仿宋" w:hAnsi="仿宋" w:eastAsia="仿宋" w:cs="仿宋"/>
          <w:b w:val="0"/>
          <w:bCs w:val="0"/>
          <w:color w:val="auto"/>
          <w:kern w:val="2"/>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val="0"/>
          <w:bCs w:val="0"/>
          <w:color w:val="auto"/>
          <w:kern w:val="2"/>
          <w:sz w:val="24"/>
          <w:szCs w:val="24"/>
          <w:highlight w:val="none"/>
        </w:rPr>
        <w:t>不支付预付款。</w:t>
      </w:r>
    </w:p>
    <w:p>
      <w:pPr>
        <w:pStyle w:val="14"/>
        <w:spacing w:before="60" w:line="360" w:lineRule="auto"/>
        <w:ind w:firstLine="477" w:firstLineChars="198"/>
        <w:jc w:val="left"/>
        <w:rPr>
          <w:rFonts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val="0"/>
          <w:bCs w:val="0"/>
          <w:color w:val="auto"/>
          <w:kern w:val="2"/>
          <w:sz w:val="24"/>
          <w:szCs w:val="24"/>
          <w:highlight w:val="none"/>
        </w:rPr>
        <w:t>有支付预付款：自本合同生效且收到咨询人提交的与本期应付费用等额的增值税发票之日起10个工作日内，委托人（甲方）办理支付手续，向咨询人支付合同暂定金额的30%作为预付款，即￥</w:t>
      </w:r>
      <w:r>
        <w:rPr>
          <w:rFonts w:hint="eastAsia" w:ascii="仿宋" w:hAnsi="仿宋" w:eastAsia="仿宋" w:cs="仿宋"/>
          <w:b w:val="0"/>
          <w:bCs w:val="0"/>
          <w:color w:val="auto"/>
          <w:kern w:val="2"/>
          <w:sz w:val="24"/>
          <w:szCs w:val="24"/>
          <w:highlight w:val="none"/>
          <w:u w:val="single"/>
        </w:rPr>
        <w:t xml:space="preserve">        </w:t>
      </w:r>
      <w:r>
        <w:rPr>
          <w:rFonts w:hint="eastAsia" w:ascii="仿宋" w:hAnsi="仿宋" w:eastAsia="仿宋" w:cs="仿宋"/>
          <w:b w:val="0"/>
          <w:bCs w:val="0"/>
          <w:color w:val="auto"/>
          <w:kern w:val="2"/>
          <w:sz w:val="24"/>
          <w:szCs w:val="24"/>
          <w:highlight w:val="none"/>
        </w:rPr>
        <w:t>（人民币大写：         ），本合同履行过程中，无论各种原因导致本合同终止或解除的，咨询人需自本合同终止或解除之日起（10）日内无条件全额退还已收取的该预付款</w:t>
      </w:r>
      <w:r>
        <w:rPr>
          <w:rFonts w:hint="eastAsia" w:ascii="仿宋" w:hAnsi="仿宋" w:eastAsia="仿宋" w:cs="仿宋"/>
          <w:b w:val="0"/>
          <w:bCs w:val="0"/>
          <w:color w:val="auto"/>
          <w:sz w:val="24"/>
          <w:szCs w:val="24"/>
          <w:highlight w:val="none"/>
        </w:rPr>
        <w:t>；</w:t>
      </w:r>
    </w:p>
    <w:p>
      <w:pPr>
        <w:pStyle w:val="14"/>
        <w:spacing w:before="60" w:line="360" w:lineRule="auto"/>
        <w:ind w:firstLine="475" w:firstLineChars="198"/>
        <w:jc w:val="left"/>
        <w:rPr>
          <w:rFonts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（2）进度款支付约定按以下勾选执行：</w:t>
      </w:r>
    </w:p>
    <w:p>
      <w:pPr>
        <w:pStyle w:val="14"/>
        <w:spacing w:before="60" w:line="360" w:lineRule="auto"/>
        <w:ind w:firstLine="477" w:firstLineChars="198"/>
        <w:jc w:val="left"/>
        <w:rPr>
          <w:rFonts w:ascii="仿宋" w:hAnsi="仿宋" w:eastAsia="仿宋" w:cs="仿宋"/>
          <w:b w:val="0"/>
          <w:bCs w:val="0"/>
          <w:color w:val="auto"/>
          <w:kern w:val="2"/>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val="0"/>
          <w:bCs w:val="0"/>
          <w:color w:val="auto"/>
          <w:kern w:val="2"/>
          <w:sz w:val="24"/>
          <w:szCs w:val="24"/>
          <w:highlight w:val="none"/>
        </w:rPr>
        <w:t>不支付进度款。</w:t>
      </w:r>
    </w:p>
    <w:p>
      <w:pPr>
        <w:pStyle w:val="14"/>
        <w:spacing w:before="60" w:line="360" w:lineRule="auto"/>
        <w:ind w:firstLine="477" w:firstLineChars="198"/>
        <w:jc w:val="left"/>
        <w:rPr>
          <w:rFonts w:ascii="仿宋" w:hAnsi="仿宋" w:eastAsia="仿宋" w:cs="仿宋"/>
          <w:b w:val="0"/>
          <w:bCs w:val="0"/>
          <w:color w:val="auto"/>
          <w:kern w:val="2"/>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val="0"/>
          <w:bCs w:val="0"/>
          <w:color w:val="auto"/>
          <w:kern w:val="2"/>
          <w:sz w:val="24"/>
          <w:szCs w:val="24"/>
          <w:highlight w:val="none"/>
        </w:rPr>
        <w:t>有支付进度款：概算审核完成并取得概算批复之日起十五日内，咨询人以书面形式向委托人（甲方）提交正常服务酬金进度款报告,进度款金额按本合同正常服务酬金暂定价的30%计算，委托人（甲方）办理财政支付手续，通过银行转账或支票方式向咨询人支付。</w:t>
      </w:r>
    </w:p>
    <w:p>
      <w:pPr>
        <w:pStyle w:val="14"/>
        <w:spacing w:before="60" w:line="360" w:lineRule="auto"/>
        <w:ind w:firstLine="480" w:firstLineChars="200"/>
        <w:jc w:val="left"/>
        <w:rPr>
          <w:rFonts w:ascii="仿宋" w:hAnsi="仿宋" w:eastAsia="仿宋" w:cs="仿宋"/>
          <w:color w:val="auto"/>
          <w:highlight w:val="none"/>
        </w:rPr>
      </w:pPr>
      <w:r>
        <w:rPr>
          <w:rFonts w:hint="eastAsia" w:ascii="仿宋" w:hAnsi="仿宋" w:eastAsia="仿宋" w:cs="仿宋"/>
          <w:b w:val="0"/>
          <w:bCs w:val="0"/>
          <w:color w:val="auto"/>
          <w:kern w:val="2"/>
          <w:sz w:val="24"/>
          <w:szCs w:val="24"/>
          <w:highlight w:val="none"/>
        </w:rPr>
        <w:t>（3）咨询人依约提交咨询成果文件并履行本合同项下全部义务内容之日起十五个工作日内，咨询人以书面形式向委托人（甲方）提交正常服务酬金请款报告，委托人（甲方）办理财政支付手续，通过银行转账或支票方式向咨询人支付正常工作酬金全款：</w:t>
      </w:r>
    </w:p>
    <w:p>
      <w:pPr>
        <w:pStyle w:val="14"/>
        <w:spacing w:before="60" w:line="360" w:lineRule="auto"/>
        <w:ind w:firstLine="477" w:firstLineChars="198"/>
        <w:jc w:val="left"/>
        <w:rPr>
          <w:rFonts w:ascii="仿宋" w:hAnsi="仿宋" w:eastAsia="仿宋" w:cs="仿宋"/>
          <w:b w:val="0"/>
          <w:bCs w:val="0"/>
          <w:color w:val="auto"/>
          <w:kern w:val="2"/>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val="0"/>
          <w:bCs w:val="0"/>
          <w:color w:val="auto"/>
          <w:kern w:val="2"/>
          <w:sz w:val="24"/>
          <w:szCs w:val="24"/>
          <w:highlight w:val="none"/>
        </w:rPr>
        <w:t>自本工程概算审核完成并经双方签收审核报告（或甲方委托的天河区建设工程技术中心出具概算评审结果报告）之日起15个工作日内，咨询人以书面形式向委托人（甲方）提交正常服务酬金请款申请及正规发票，委托人（甲方）办理财政支付手续，通过银行转账或支票方式向咨询人一次性支付正常工作酬金。</w:t>
      </w:r>
    </w:p>
    <w:p>
      <w:pPr>
        <w:pStyle w:val="14"/>
        <w:spacing w:before="60" w:line="360" w:lineRule="auto"/>
        <w:ind w:firstLine="477" w:firstLineChars="198"/>
        <w:jc w:val="left"/>
        <w:rPr>
          <w:rFonts w:ascii="仿宋" w:hAnsi="仿宋" w:eastAsia="仿宋" w:cs="仿宋"/>
          <w:b w:val="0"/>
          <w:bCs w:val="0"/>
          <w:color w:val="auto"/>
          <w:kern w:val="2"/>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val="0"/>
          <w:bCs w:val="0"/>
          <w:color w:val="auto"/>
          <w:kern w:val="2"/>
          <w:sz w:val="24"/>
          <w:szCs w:val="24"/>
          <w:highlight w:val="none"/>
        </w:rPr>
        <w:t>清标完成并取得清标报告之日起15个工作日内，咨询人以书面形式向委托人（甲方）提交正常服务酬金请款报告，委托人（甲方）办理财政支付手续，通过银行转账或支票方式向咨询人一次性支付正常工作酬金尾款。</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u w:val="single"/>
        </w:rPr>
        <w:t xml:space="preserve">                                                                                </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5.3.2附加工作酬金的支付方式：</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☑除双方就附加工作酬金金额及计取方式另行协商一致并签订书面补充协议外，视为未产生附加工作酬金，委托人（甲方）无须支付。</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u w:val="single"/>
        </w:rPr>
        <w:t xml:space="preserve">                                                                     </w:t>
      </w:r>
    </w:p>
    <w:bookmarkEnd w:id="212"/>
    <w:bookmarkEnd w:id="213"/>
    <w:bookmarkEnd w:id="214"/>
    <w:bookmarkEnd w:id="215"/>
    <w:p>
      <w:pPr>
        <w:spacing w:line="360" w:lineRule="auto"/>
        <w:ind w:firstLine="480" w:firstLineChars="200"/>
        <w:rPr>
          <w:rFonts w:ascii="仿宋" w:hAnsi="仿宋" w:eastAsia="仿宋" w:cs="仿宋"/>
          <w:color w:val="auto"/>
          <w:sz w:val="24"/>
          <w:szCs w:val="24"/>
          <w:highlight w:val="none"/>
        </w:rPr>
      </w:pPr>
      <w:bookmarkStart w:id="217" w:name="_Toc468869901"/>
      <w:bookmarkStart w:id="218" w:name="_Toc468807954"/>
      <w:bookmarkStart w:id="219" w:name="_Toc462328329"/>
      <w:bookmarkStart w:id="220" w:name="_Toc468868644"/>
      <w:r>
        <w:rPr>
          <w:rFonts w:hint="eastAsia" w:ascii="仿宋" w:hAnsi="仿宋" w:eastAsia="仿宋" w:cs="仿宋"/>
          <w:color w:val="auto"/>
          <w:sz w:val="24"/>
          <w:szCs w:val="24"/>
          <w:highlight w:val="none"/>
        </w:rPr>
        <w:t>5.3.3 合理化建议奖励金额及费用的支付方式：</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□除双方就合理化建议奖励金额及计取方式另行协商一致并签订书面补充协议外，视为未产生合理化建议奖励，委托人（甲方）无须支付。</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u w:val="single"/>
        </w:rPr>
        <w:t xml:space="preserve">                                                                    </w:t>
      </w:r>
    </w:p>
    <w:bookmarkEnd w:id="217"/>
    <w:bookmarkEnd w:id="218"/>
    <w:bookmarkEnd w:id="219"/>
    <w:bookmarkEnd w:id="220"/>
    <w:p>
      <w:pPr>
        <w:spacing w:line="360" w:lineRule="auto"/>
        <w:ind w:firstLine="480" w:firstLineChars="200"/>
        <w:rPr>
          <w:rFonts w:ascii="仿宋" w:hAnsi="仿宋" w:eastAsia="仿宋" w:cs="仿宋"/>
          <w:color w:val="auto"/>
          <w:sz w:val="32"/>
          <w:szCs w:val="32"/>
          <w:highlight w:val="none"/>
        </w:rPr>
      </w:pPr>
      <w:r>
        <w:rPr>
          <w:rFonts w:hint="eastAsia" w:ascii="仿宋" w:hAnsi="仿宋" w:eastAsia="仿宋" w:cs="仿宋"/>
          <w:color w:val="auto"/>
          <w:sz w:val="24"/>
          <w:szCs w:val="24"/>
          <w:highlight w:val="none"/>
        </w:rPr>
        <w:t>5.3.4 双方约定的其他支付方式：</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2" w:firstLineChars="200"/>
        <w:rPr>
          <w:rFonts w:ascii="仿宋" w:hAnsi="仿宋" w:eastAsia="仿宋" w:cs="仿宋"/>
          <w:b/>
          <w:bCs/>
          <w:color w:val="auto"/>
          <w:sz w:val="24"/>
          <w:highlight w:val="none"/>
        </w:rPr>
      </w:pPr>
      <w:bookmarkStart w:id="221" w:name="_Toc3273"/>
      <w:bookmarkStart w:id="222" w:name="_Toc475975188"/>
      <w:r>
        <w:rPr>
          <w:rFonts w:hint="eastAsia" w:ascii="仿宋" w:hAnsi="仿宋" w:eastAsia="仿宋" w:cs="仿宋"/>
          <w:b/>
          <w:bCs/>
          <w:color w:val="auto"/>
          <w:sz w:val="24"/>
          <w:szCs w:val="24"/>
          <w:highlight w:val="none"/>
        </w:rPr>
        <w:t>双方一致同意，</w:t>
      </w:r>
      <w:r>
        <w:rPr>
          <w:rFonts w:hint="eastAsia" w:ascii="仿宋" w:hAnsi="仿宋" w:eastAsia="仿宋" w:cs="仿宋"/>
          <w:b/>
          <w:bCs/>
          <w:color w:val="auto"/>
          <w:sz w:val="24"/>
          <w:highlight w:val="none"/>
        </w:rPr>
        <w:t>增加以下内容作为第5.3.5款至第5.3.6款：</w:t>
      </w:r>
    </w:p>
    <w:p>
      <w:pPr>
        <w:widowControl/>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5.3.5咨询人确认以下银行账户为其指定的唯一的收款账户。如咨询人需更改银行账户信息的，须在委托人（甲方）办理财政支付手续3日前以书面的方式通知</w:t>
      </w:r>
      <w:r>
        <w:rPr>
          <w:rFonts w:hint="eastAsia" w:ascii="仿宋" w:hAnsi="仿宋" w:eastAsia="仿宋" w:cs="仿宋"/>
          <w:color w:val="auto"/>
          <w:sz w:val="24"/>
          <w:szCs w:val="24"/>
          <w:highlight w:val="none"/>
        </w:rPr>
        <w:t>委托人（甲方）</w:t>
      </w:r>
      <w:r>
        <w:rPr>
          <w:rFonts w:hint="eastAsia" w:ascii="仿宋" w:hAnsi="仿宋" w:eastAsia="仿宋" w:cs="仿宋"/>
          <w:color w:val="auto"/>
          <w:sz w:val="24"/>
          <w:highlight w:val="none"/>
        </w:rPr>
        <w:t>，否则</w:t>
      </w:r>
      <w:r>
        <w:rPr>
          <w:rFonts w:hint="eastAsia" w:ascii="仿宋" w:hAnsi="仿宋" w:eastAsia="仿宋" w:cs="仿宋"/>
          <w:color w:val="auto"/>
          <w:sz w:val="24"/>
          <w:szCs w:val="24"/>
          <w:highlight w:val="none"/>
        </w:rPr>
        <w:t>委托人（甲方）</w:t>
      </w:r>
      <w:r>
        <w:rPr>
          <w:rFonts w:hint="eastAsia" w:ascii="仿宋" w:hAnsi="仿宋" w:eastAsia="仿宋" w:cs="仿宋"/>
          <w:color w:val="auto"/>
          <w:sz w:val="24"/>
          <w:highlight w:val="none"/>
        </w:rPr>
        <w:t>向以下账户支付款项到账后，视为已履行付款义务，咨询人自行承担怠于通知的不利后果。</w:t>
      </w:r>
    </w:p>
    <w:p>
      <w:pPr>
        <w:widowControl/>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咨询人指定的唯一收款银行账户信息如下： </w:t>
      </w:r>
    </w:p>
    <w:p>
      <w:pPr>
        <w:widowControl/>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开户名称：</w:t>
      </w:r>
      <w:r>
        <w:rPr>
          <w:rFonts w:hint="eastAsia" w:ascii="仿宋" w:hAnsi="仿宋" w:eastAsia="仿宋" w:cs="仿宋"/>
          <w:color w:val="auto"/>
          <w:sz w:val="24"/>
          <w:highlight w:val="none"/>
          <w:u w:val="single"/>
        </w:rPr>
        <w:t xml:space="preserve">                           </w:t>
      </w:r>
    </w:p>
    <w:p>
      <w:pPr>
        <w:widowControl/>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银行账号：</w:t>
      </w:r>
      <w:r>
        <w:rPr>
          <w:rFonts w:hint="eastAsia" w:ascii="仿宋" w:hAnsi="仿宋" w:eastAsia="仿宋" w:cs="仿宋"/>
          <w:color w:val="auto"/>
          <w:sz w:val="24"/>
          <w:highlight w:val="none"/>
          <w:u w:val="single"/>
        </w:rPr>
        <w:t xml:space="preserve">                           </w:t>
      </w:r>
    </w:p>
    <w:p>
      <w:pPr>
        <w:widowControl/>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p>
    <w:p>
      <w:pPr>
        <w:widowControl/>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highlight w:val="none"/>
        </w:rPr>
        <w:t>5.3.6鉴于委托人（甲方）使用的是财政资金，委托人（甲方）在本合同约定的付款时间内办理财政支付手续的（不含政府财政支付部门审核的时间），视为委托人（甲方）已按约支付。由于财政拨款不到位（含项目建设单位二次分配或调剂预算不到位）、咨询人未及时提供合法有效的发票或</w:t>
      </w:r>
      <w:r>
        <w:rPr>
          <w:rFonts w:hint="eastAsia" w:ascii="仿宋" w:hAnsi="仿宋" w:eastAsia="仿宋" w:cs="仿宋"/>
          <w:color w:val="auto"/>
          <w:sz w:val="24"/>
          <w:szCs w:val="24"/>
          <w:highlight w:val="none"/>
        </w:rPr>
        <w:t>支付申请书</w:t>
      </w:r>
      <w:r>
        <w:rPr>
          <w:rFonts w:hint="eastAsia" w:ascii="仿宋" w:hAnsi="仿宋" w:eastAsia="仿宋" w:cs="仿宋"/>
          <w:color w:val="auto"/>
          <w:sz w:val="24"/>
          <w:highlight w:val="none"/>
        </w:rPr>
        <w:t>或不可抗力原因导致咨询人收款延误的，</w:t>
      </w:r>
      <w:r>
        <w:rPr>
          <w:rFonts w:hint="eastAsia" w:ascii="仿宋" w:hAnsi="仿宋" w:eastAsia="仿宋" w:cs="仿宋"/>
          <w:color w:val="auto"/>
          <w:sz w:val="24"/>
          <w:szCs w:val="24"/>
          <w:highlight w:val="none"/>
        </w:rPr>
        <w:t>委托人（甲方）</w:t>
      </w:r>
      <w:r>
        <w:rPr>
          <w:rFonts w:hint="eastAsia" w:ascii="仿宋" w:hAnsi="仿宋" w:eastAsia="仿宋" w:cs="仿宋"/>
          <w:color w:val="auto"/>
          <w:sz w:val="24"/>
          <w:highlight w:val="none"/>
        </w:rPr>
        <w:t>不承担迟延付款的责任，并且此情况不能成为咨询人中止或拒绝履行本合同项下义务的理由。</w:t>
      </w:r>
    </w:p>
    <w:p>
      <w:pPr>
        <w:pStyle w:val="16"/>
        <w:spacing w:before="0" w:after="0" w:line="360" w:lineRule="auto"/>
        <w:ind w:firstLine="482" w:firstLineChars="200"/>
        <w:jc w:val="left"/>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6. 合同变更、解除与终止</w:t>
      </w:r>
      <w:bookmarkEnd w:id="216"/>
      <w:bookmarkEnd w:id="221"/>
      <w:bookmarkEnd w:id="222"/>
    </w:p>
    <w:p>
      <w:pPr>
        <w:spacing w:line="360" w:lineRule="auto"/>
        <w:ind w:firstLine="482" w:firstLineChars="200"/>
        <w:rPr>
          <w:rFonts w:ascii="仿宋" w:hAnsi="仿宋" w:eastAsia="仿宋" w:cs="仿宋"/>
          <w:color w:val="auto"/>
          <w:highlight w:val="none"/>
        </w:rPr>
      </w:pPr>
      <w:bookmarkStart w:id="223" w:name="_Toc17141"/>
      <w:bookmarkStart w:id="224" w:name="_Toc419045120"/>
      <w:bookmarkStart w:id="225" w:name="_Toc475975189"/>
      <w:r>
        <w:rPr>
          <w:rStyle w:val="30"/>
          <w:rFonts w:hint="eastAsia" w:ascii="仿宋" w:hAnsi="仿宋" w:eastAsia="仿宋" w:cs="仿宋"/>
          <w:bCs w:val="0"/>
          <w:color w:val="auto"/>
          <w:sz w:val="24"/>
          <w:szCs w:val="24"/>
          <w:highlight w:val="none"/>
        </w:rPr>
        <w:t>6.1合同变更</w:t>
      </w:r>
      <w:bookmarkEnd w:id="223"/>
      <w:bookmarkEnd w:id="224"/>
      <w:bookmarkEnd w:id="225"/>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6.1.2 除不可抗力外，因非咨询人原因导致本合同履行期限延长、内容增加时，附加工作酬金按下列方法确定：</w:t>
      </w:r>
    </w:p>
    <w:p>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sz w:val="24"/>
          <w:szCs w:val="24"/>
          <w:highlight w:val="none"/>
        </w:rPr>
        <w:t>☑由双方另行协商一致并签订书面补充协议予以确定。</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u w:val="single"/>
        </w:rPr>
        <w:t xml:space="preserve">                                      </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6.1.4因工程规模、服务范围及内容的变化等导致咨询人的工作量增减时，服务酬金的调整方法：</w:t>
      </w:r>
    </w:p>
    <w:p>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sz w:val="24"/>
          <w:szCs w:val="24"/>
          <w:highlight w:val="none"/>
        </w:rPr>
        <w:t>☑由双方另行协商一致并签订书面补充协议予以确定。</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u w:val="single"/>
        </w:rPr>
        <w:t xml:space="preserve">                                      </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6.1.5 延长驻场服务期时，驻场人员、时间及服务酬金的调整方法：</w:t>
      </w:r>
    </w:p>
    <w:p>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sz w:val="24"/>
          <w:szCs w:val="24"/>
          <w:highlight w:val="none"/>
        </w:rPr>
        <w:t>☑由双方另行协商一致并签订书面补充协议予以确定。</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u w:val="single"/>
        </w:rPr>
        <w:t xml:space="preserve">                                      </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6.1.6发生工作返工和重复工作时，工作安排及服务酬金的调整方法：</w:t>
      </w:r>
    </w:p>
    <w:p>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sz w:val="24"/>
          <w:szCs w:val="24"/>
          <w:highlight w:val="none"/>
        </w:rPr>
        <w:t>☑由双方另行协商一致并签订书面补充协议予以确定。</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u w:val="single"/>
        </w:rPr>
        <w:t xml:space="preserve">                                      </w:t>
      </w:r>
    </w:p>
    <w:p>
      <w:pPr>
        <w:pStyle w:val="14"/>
        <w:spacing w:before="60" w:line="360" w:lineRule="auto"/>
        <w:ind w:firstLine="482" w:firstLineChars="200"/>
        <w:jc w:val="left"/>
        <w:rPr>
          <w:rFonts w:ascii="仿宋" w:hAnsi="仿宋" w:eastAsia="仿宋" w:cs="仿宋"/>
          <w:bCs w:val="0"/>
          <w:color w:val="auto"/>
          <w:sz w:val="24"/>
          <w:szCs w:val="24"/>
          <w:highlight w:val="none"/>
        </w:rPr>
      </w:pPr>
      <w:bookmarkStart w:id="226" w:name="_Toc17654"/>
      <w:bookmarkStart w:id="227" w:name="_Toc475975190"/>
      <w:r>
        <w:rPr>
          <w:rFonts w:hint="eastAsia" w:ascii="仿宋" w:hAnsi="仿宋" w:eastAsia="仿宋" w:cs="仿宋"/>
          <w:bCs w:val="0"/>
          <w:color w:val="auto"/>
          <w:sz w:val="24"/>
          <w:szCs w:val="24"/>
          <w:highlight w:val="none"/>
        </w:rPr>
        <w:t>6.2合同解除</w:t>
      </w:r>
      <w:bookmarkEnd w:id="226"/>
      <w:bookmarkEnd w:id="227"/>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6.2.2双方约定解除合同的条件还包括：</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（1）本合同的继续履行将损害国家利益或社会公共利益的，双方可协商解除本合同。</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（2）因法律、法规、规章、行政规范性文件或国家、地方政策发生重大变化的，双方可协商解除本合同。</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6.2.4因不可抗力导致的合同解除，双方约定损失的分担如下：</w:t>
      </w:r>
    </w:p>
    <w:p>
      <w:pPr>
        <w:spacing w:line="360" w:lineRule="auto"/>
        <w:ind w:firstLine="480"/>
        <w:rPr>
          <w:rFonts w:ascii="仿宋" w:hAnsi="仿宋" w:eastAsia="仿宋" w:cs="仿宋"/>
          <w:color w:val="auto"/>
          <w:sz w:val="24"/>
          <w:szCs w:val="24"/>
          <w:highlight w:val="none"/>
        </w:rPr>
      </w:pPr>
      <w:bookmarkStart w:id="228" w:name="_Toc4242"/>
      <w:bookmarkStart w:id="229" w:name="_Toc419045121"/>
      <w:bookmarkStart w:id="230" w:name="_Toc475975191"/>
      <w:r>
        <w:rPr>
          <w:rFonts w:hint="eastAsia" w:ascii="仿宋" w:hAnsi="仿宋" w:eastAsia="仿宋" w:cs="仿宋"/>
          <w:color w:val="auto"/>
          <w:sz w:val="24"/>
          <w:szCs w:val="24"/>
          <w:highlight w:val="none"/>
        </w:rPr>
        <w:t>（1）因“不可抗力”而未能全部或部分履行本合同时，发生不可抗力一方应自不可抗力发生之时起24小时内将事故书面通知另一方，并应在7日内向另一方出具当地有关政府机构出具的官方证明文件以证明不可抗力的存在。在此情况下，发生不可抗力的一方仍然有责任采取必要的措施履行合同。如任何一方怠于通知导致另一方遭受的损失扩大的，怠于通知方应承担另一方因此所遭受的一切损失。</w:t>
      </w:r>
    </w:p>
    <w:p>
      <w:pPr>
        <w:spacing w:line="360" w:lineRule="auto"/>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双方应通过友好协商尽快解决本合同的执行问题。如任何一方确因不可抗力导致无法全部或部分履行本合同的，在寻求另外一方的书面谅解确认或取得不可抗力证明后，允许延期履行、修订合同或不再履行，并根据具体情况，免除全部或部分违约责任。</w:t>
      </w:r>
    </w:p>
    <w:p>
      <w:pPr>
        <w:pStyle w:val="16"/>
        <w:spacing w:before="0" w:after="0" w:line="360" w:lineRule="auto"/>
        <w:ind w:firstLine="482" w:firstLineChars="200"/>
        <w:jc w:val="left"/>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7. 争议解决</w:t>
      </w:r>
      <w:bookmarkEnd w:id="228"/>
      <w:bookmarkEnd w:id="229"/>
      <w:bookmarkEnd w:id="230"/>
    </w:p>
    <w:p>
      <w:pPr>
        <w:spacing w:line="360" w:lineRule="auto"/>
        <w:ind w:firstLine="482" w:firstLineChars="200"/>
        <w:rPr>
          <w:rFonts w:ascii="仿宋" w:hAnsi="仿宋" w:eastAsia="仿宋" w:cs="仿宋"/>
          <w:color w:val="auto"/>
          <w:highlight w:val="none"/>
        </w:rPr>
      </w:pPr>
      <w:bookmarkStart w:id="231" w:name="_Toc475975192"/>
      <w:bookmarkStart w:id="232" w:name="_Toc15189"/>
      <w:bookmarkStart w:id="233" w:name="_Toc419045122"/>
      <w:r>
        <w:rPr>
          <w:rStyle w:val="30"/>
          <w:rFonts w:hint="eastAsia" w:ascii="仿宋" w:hAnsi="仿宋" w:eastAsia="仿宋" w:cs="仿宋"/>
          <w:bCs w:val="0"/>
          <w:color w:val="auto"/>
          <w:sz w:val="24"/>
          <w:szCs w:val="24"/>
          <w:highlight w:val="none"/>
        </w:rPr>
        <w:t>7.1调解</w:t>
      </w:r>
      <w:bookmarkEnd w:id="231"/>
      <w:bookmarkEnd w:id="232"/>
      <w:bookmarkEnd w:id="233"/>
    </w:p>
    <w:p>
      <w:pPr>
        <w:spacing w:line="360" w:lineRule="auto"/>
        <w:ind w:firstLine="480" w:firstLineChars="200"/>
        <w:rPr>
          <w:rStyle w:val="30"/>
          <w:rFonts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如果双方不能在7日内解决本合同争议，可以提交工程所在地建设行政主管部门进行调解。</w:t>
      </w:r>
    </w:p>
    <w:p>
      <w:pPr>
        <w:pStyle w:val="14"/>
        <w:spacing w:before="60" w:line="360" w:lineRule="auto"/>
        <w:ind w:firstLine="482" w:firstLineChars="200"/>
        <w:jc w:val="left"/>
        <w:rPr>
          <w:rFonts w:ascii="仿宋" w:hAnsi="仿宋" w:eastAsia="仿宋" w:cs="仿宋"/>
          <w:b w:val="0"/>
          <w:color w:val="auto"/>
          <w:sz w:val="24"/>
          <w:szCs w:val="24"/>
          <w:highlight w:val="none"/>
        </w:rPr>
      </w:pPr>
      <w:bookmarkStart w:id="234" w:name="_Toc19192"/>
      <w:bookmarkStart w:id="235" w:name="_Toc475975193"/>
      <w:r>
        <w:rPr>
          <w:rFonts w:hint="eastAsia" w:ascii="仿宋" w:hAnsi="仿宋" w:eastAsia="仿宋" w:cs="仿宋"/>
          <w:bCs w:val="0"/>
          <w:color w:val="auto"/>
          <w:sz w:val="24"/>
          <w:szCs w:val="24"/>
          <w:highlight w:val="none"/>
        </w:rPr>
        <w:t>7.2仲裁或诉讼</w:t>
      </w:r>
      <w:bookmarkEnd w:id="234"/>
      <w:bookmarkEnd w:id="235"/>
    </w:p>
    <w:p>
      <w:pPr>
        <w:spacing w:line="360" w:lineRule="auto"/>
        <w:ind w:firstLine="480"/>
        <w:rPr>
          <w:rFonts w:ascii="仿宋" w:hAnsi="仿宋" w:eastAsia="仿宋" w:cs="仿宋"/>
          <w:color w:val="auto"/>
          <w:highlight w:val="none"/>
        </w:rPr>
      </w:pPr>
      <w:r>
        <w:rPr>
          <w:rFonts w:hint="eastAsia" w:ascii="仿宋" w:hAnsi="仿宋" w:eastAsia="仿宋" w:cs="仿宋"/>
          <w:color w:val="auto"/>
          <w:sz w:val="24"/>
          <w:szCs w:val="24"/>
          <w:highlight w:val="none"/>
        </w:rPr>
        <w:t>合同争议的最终解决方式为下列第（2）种方式：</w:t>
      </w:r>
    </w:p>
    <w:p>
      <w:pPr>
        <w:spacing w:line="360" w:lineRule="auto"/>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（1）提请中国广州仲裁委员会。</w:t>
      </w:r>
    </w:p>
    <w:p>
      <w:pPr>
        <w:spacing w:line="360" w:lineRule="auto"/>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（2）向广州市天河区人民法院提起诉讼。因咨询人违约，委托人为维权所产生的全部费用（包括但不限于诉讼费、律师费、调查取证费、担保费、保全费、评估费）均由咨询人承担。</w:t>
      </w:r>
    </w:p>
    <w:p>
      <w:pPr>
        <w:spacing w:line="360" w:lineRule="auto"/>
        <w:ind w:firstLine="480"/>
        <w:rPr>
          <w:rFonts w:ascii="仿宋" w:hAnsi="仿宋" w:eastAsia="仿宋" w:cs="仿宋"/>
          <w:color w:val="auto"/>
          <w:sz w:val="24"/>
          <w:szCs w:val="24"/>
          <w:highlight w:val="none"/>
        </w:rPr>
      </w:pPr>
    </w:p>
    <w:p>
      <w:pPr>
        <w:spacing w:line="360" w:lineRule="auto"/>
        <w:ind w:firstLine="482" w:firstLineChars="200"/>
        <w:rPr>
          <w:rFonts w:ascii="仿宋" w:hAnsi="仿宋" w:eastAsia="仿宋" w:cs="仿宋"/>
          <w:color w:val="auto"/>
          <w:sz w:val="24"/>
          <w:highlight w:val="none"/>
        </w:rPr>
      </w:pPr>
      <w:r>
        <w:rPr>
          <w:rFonts w:hint="eastAsia" w:ascii="仿宋" w:hAnsi="仿宋" w:eastAsia="仿宋" w:cs="仿宋"/>
          <w:b/>
          <w:bCs/>
          <w:color w:val="auto"/>
          <w:sz w:val="24"/>
          <w:szCs w:val="24"/>
          <w:highlight w:val="none"/>
        </w:rPr>
        <w:t>双方一致同意，</w:t>
      </w:r>
      <w:r>
        <w:rPr>
          <w:rFonts w:hint="eastAsia" w:ascii="仿宋" w:hAnsi="仿宋" w:eastAsia="仿宋" w:cs="仿宋"/>
          <w:b/>
          <w:bCs/>
          <w:color w:val="auto"/>
          <w:sz w:val="24"/>
          <w:highlight w:val="none"/>
        </w:rPr>
        <w:t>增加以下内容作为第7.4款至第7.5款：</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7.4在仲裁/诉讼期间，除有争议部分的事项外，合同其他部分仍应继续履行。</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highlight w:val="none"/>
        </w:rPr>
        <w:t>7.5本合同的订立、执行和解释及争议的解决均应适用中华人民共和国法律。</w:t>
      </w:r>
    </w:p>
    <w:p>
      <w:pPr>
        <w:spacing w:line="360" w:lineRule="auto"/>
        <w:ind w:firstLine="482" w:firstLineChars="200"/>
        <w:rPr>
          <w:rStyle w:val="30"/>
          <w:rFonts w:ascii="仿宋" w:hAnsi="仿宋" w:eastAsia="仿宋" w:cs="仿宋"/>
          <w:bCs w:val="0"/>
          <w:color w:val="auto"/>
          <w:sz w:val="24"/>
          <w:szCs w:val="24"/>
          <w:highlight w:val="none"/>
        </w:rPr>
      </w:pPr>
      <w:bookmarkStart w:id="236" w:name="_Toc569"/>
      <w:bookmarkStart w:id="237" w:name="_Toc419045123"/>
      <w:bookmarkStart w:id="238" w:name="_Toc475975194"/>
      <w:r>
        <w:rPr>
          <w:rStyle w:val="29"/>
          <w:rFonts w:hint="eastAsia" w:ascii="仿宋" w:hAnsi="仿宋" w:eastAsia="仿宋" w:cs="仿宋"/>
          <w:bCs w:val="0"/>
          <w:color w:val="auto"/>
          <w:sz w:val="24"/>
          <w:szCs w:val="24"/>
          <w:highlight w:val="none"/>
        </w:rPr>
        <w:t>8. 其他</w:t>
      </w:r>
      <w:bookmarkEnd w:id="236"/>
      <w:bookmarkEnd w:id="237"/>
      <w:bookmarkEnd w:id="238"/>
    </w:p>
    <w:p>
      <w:pPr>
        <w:pStyle w:val="14"/>
        <w:spacing w:before="60" w:line="360" w:lineRule="auto"/>
        <w:ind w:firstLine="482" w:firstLineChars="200"/>
        <w:jc w:val="left"/>
        <w:rPr>
          <w:rFonts w:ascii="仿宋" w:hAnsi="仿宋" w:eastAsia="仿宋" w:cs="仿宋"/>
          <w:bCs w:val="0"/>
          <w:color w:val="auto"/>
          <w:sz w:val="24"/>
          <w:szCs w:val="24"/>
          <w:highlight w:val="none"/>
        </w:rPr>
      </w:pPr>
      <w:bookmarkStart w:id="239" w:name="_Toc10281"/>
      <w:bookmarkStart w:id="240" w:name="_Toc475975195"/>
      <w:r>
        <w:rPr>
          <w:rFonts w:hint="eastAsia" w:ascii="仿宋" w:hAnsi="仿宋" w:eastAsia="仿宋" w:cs="仿宋"/>
          <w:bCs w:val="0"/>
          <w:color w:val="auto"/>
          <w:sz w:val="24"/>
          <w:szCs w:val="24"/>
          <w:highlight w:val="none"/>
        </w:rPr>
        <w:t>8.1考察及相关费用</w:t>
      </w:r>
      <w:bookmarkEnd w:id="239"/>
      <w:bookmarkEnd w:id="240"/>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咨询人经委托人同意进行考察发生的费用由</w:t>
      </w:r>
      <w:r>
        <w:rPr>
          <w:rFonts w:hint="eastAsia" w:ascii="仿宋" w:hAnsi="仿宋" w:eastAsia="仿宋" w:cs="仿宋"/>
          <w:color w:val="auto"/>
          <w:sz w:val="24"/>
          <w:szCs w:val="24"/>
          <w:highlight w:val="none"/>
          <w:u w:val="single"/>
        </w:rPr>
        <w:t>___咨询人____</w:t>
      </w:r>
      <w:r>
        <w:rPr>
          <w:rFonts w:hint="eastAsia" w:ascii="仿宋" w:hAnsi="仿宋" w:eastAsia="仿宋" w:cs="仿宋"/>
          <w:color w:val="auto"/>
          <w:sz w:val="24"/>
          <w:szCs w:val="24"/>
          <w:highlight w:val="none"/>
        </w:rPr>
        <w:t>支付，已包含在正常服务酬金中。</w:t>
      </w:r>
    </w:p>
    <w:p>
      <w:pPr>
        <w:spacing w:line="360" w:lineRule="auto"/>
        <w:ind w:left="420" w:left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差旅费及相关费用的支付：</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☑由双方另行协商一致并签订书面补充协议予以确定。</w:t>
      </w:r>
    </w:p>
    <w:p>
      <w:pPr>
        <w:spacing w:line="360" w:lineRule="auto"/>
        <w:ind w:firstLine="480" w:firstLineChars="200"/>
        <w:rPr>
          <w:rStyle w:val="30"/>
          <w:rFonts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 xml:space="preserve"> □其他：</w:t>
      </w:r>
      <w:r>
        <w:rPr>
          <w:rFonts w:hint="eastAsia" w:ascii="仿宋" w:hAnsi="仿宋" w:eastAsia="仿宋" w:cs="仿宋"/>
          <w:color w:val="auto"/>
          <w:sz w:val="24"/>
          <w:szCs w:val="24"/>
          <w:highlight w:val="none"/>
          <w:u w:val="single"/>
        </w:rPr>
        <w:t xml:space="preserve">                                      </w:t>
      </w:r>
    </w:p>
    <w:p>
      <w:pPr>
        <w:pStyle w:val="14"/>
        <w:spacing w:before="60" w:line="360" w:lineRule="auto"/>
        <w:ind w:firstLine="482" w:firstLineChars="200"/>
        <w:jc w:val="left"/>
        <w:rPr>
          <w:rFonts w:ascii="仿宋" w:hAnsi="仿宋" w:eastAsia="仿宋" w:cs="仿宋"/>
          <w:b w:val="0"/>
          <w:color w:val="auto"/>
          <w:sz w:val="24"/>
          <w:szCs w:val="24"/>
          <w:highlight w:val="none"/>
        </w:rPr>
      </w:pPr>
      <w:bookmarkStart w:id="241" w:name="_Toc6320"/>
      <w:bookmarkStart w:id="242" w:name="_Toc475975196"/>
      <w:r>
        <w:rPr>
          <w:rFonts w:hint="eastAsia" w:ascii="仿宋" w:hAnsi="仿宋" w:eastAsia="仿宋" w:cs="仿宋"/>
          <w:bCs w:val="0"/>
          <w:color w:val="auto"/>
          <w:sz w:val="24"/>
          <w:szCs w:val="24"/>
          <w:highlight w:val="none"/>
        </w:rPr>
        <w:t>8.2奖励</w:t>
      </w:r>
      <w:bookmarkEnd w:id="241"/>
      <w:bookmarkEnd w:id="242"/>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合理化建议的奖励金额按下列方法确定：</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☑由双方另行协商一致并签订书面补充协议予以确定。</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u w:val="single"/>
        </w:rPr>
        <w:t xml:space="preserve">                                      </w:t>
      </w:r>
    </w:p>
    <w:p>
      <w:pPr>
        <w:pStyle w:val="14"/>
        <w:spacing w:before="60" w:line="360" w:lineRule="auto"/>
        <w:ind w:firstLine="482" w:firstLineChars="200"/>
        <w:jc w:val="left"/>
        <w:rPr>
          <w:rFonts w:ascii="仿宋" w:hAnsi="仿宋" w:eastAsia="仿宋" w:cs="仿宋"/>
          <w:bCs w:val="0"/>
          <w:color w:val="auto"/>
          <w:sz w:val="24"/>
          <w:szCs w:val="24"/>
          <w:highlight w:val="none"/>
        </w:rPr>
      </w:pPr>
      <w:bookmarkStart w:id="243" w:name="_Toc475975197"/>
      <w:bookmarkStart w:id="244" w:name="_Toc4035"/>
      <w:r>
        <w:rPr>
          <w:rFonts w:hint="eastAsia" w:ascii="仿宋" w:hAnsi="仿宋" w:eastAsia="仿宋" w:cs="仿宋"/>
          <w:bCs w:val="0"/>
          <w:color w:val="auto"/>
          <w:sz w:val="24"/>
          <w:szCs w:val="24"/>
          <w:highlight w:val="none"/>
        </w:rPr>
        <w:t>8.3保密</w:t>
      </w:r>
      <w:bookmarkEnd w:id="243"/>
      <w:bookmarkEnd w:id="244"/>
    </w:p>
    <w:p>
      <w:pPr>
        <w:tabs>
          <w:tab w:val="left" w:pos="0"/>
        </w:tabs>
        <w:spacing w:line="360" w:lineRule="auto"/>
        <w:ind w:left="-19" w:leftChars="-59" w:hanging="105" w:hangingChars="4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双方一致同意，本合同第二部分《通用条款》第8.3款不适用，代之以：</w:t>
      </w:r>
    </w:p>
    <w:p>
      <w:pPr>
        <w:tabs>
          <w:tab w:val="left" w:pos="0"/>
        </w:tabs>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8.3.1双方对其在本合同订立和履行过程中所知悉的、对方的商业秘密、工作秘密、技术信息、经营信息等包括本合同的签订和履行均有保密义务。本合同履行完成或在履行的过程中，未经委托人事先书面同意，咨询人不得向任何第三方披露、透露、泄露包括本条约定保密信息在内的有关本合同项下的任何信息。如发生以上情况，咨询人应当按照本合同总金额30％的标准向委托人支付违约金，以及赔偿委托人的全部损失。若本合同未履行完毕的，委托人有权单方面解除本合同，要求咨询人返还已收取的全部费用，且咨询人应当按照本合同总金额30％的标准向委托人支付违约金，以及赔偿委托人的全部损失。</w:t>
      </w:r>
    </w:p>
    <w:p>
      <w:pPr>
        <w:tabs>
          <w:tab w:val="left" w:pos="0"/>
        </w:tabs>
        <w:spacing w:line="360" w:lineRule="auto"/>
        <w:ind w:left="115" w:leftChars="55" w:firstLine="372" w:firstLineChars="15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8.3.2除履行本合同义务内容所需外，未经委托人事先书面同意，咨询人不得擅自使用、复制对方的商标、标志、商业信息、技术及其他资料。</w:t>
      </w:r>
    </w:p>
    <w:p>
      <w:pPr>
        <w:tabs>
          <w:tab w:val="left" w:pos="0"/>
        </w:tabs>
        <w:spacing w:line="360" w:lineRule="auto"/>
        <w:ind w:left="115" w:leftChars="55" w:firstLine="372" w:firstLineChars="15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8.3.3本保密条款长期有效，无论出现本合同变更、终止或解除等情形，均不影响本条款的效力。</w:t>
      </w:r>
    </w:p>
    <w:p>
      <w:pPr>
        <w:spacing w:line="360" w:lineRule="auto"/>
        <w:ind w:firstLine="482" w:firstLineChars="200"/>
        <w:rPr>
          <w:rFonts w:ascii="仿宋" w:hAnsi="仿宋" w:eastAsia="仿宋" w:cs="仿宋"/>
          <w:b/>
          <w:color w:val="auto"/>
          <w:kern w:val="28"/>
          <w:sz w:val="24"/>
          <w:szCs w:val="24"/>
          <w:highlight w:val="none"/>
        </w:rPr>
      </w:pPr>
      <w:bookmarkStart w:id="245" w:name="_Toc16771"/>
      <w:bookmarkStart w:id="246" w:name="_Toc475975198"/>
      <w:r>
        <w:rPr>
          <w:rStyle w:val="30"/>
          <w:rFonts w:hint="eastAsia" w:ascii="仿宋" w:hAnsi="仿宋" w:eastAsia="仿宋" w:cs="仿宋"/>
          <w:bCs w:val="0"/>
          <w:color w:val="auto"/>
          <w:sz w:val="24"/>
          <w:szCs w:val="24"/>
          <w:highlight w:val="none"/>
        </w:rPr>
        <w:t>8.4联络</w:t>
      </w:r>
      <w:bookmarkEnd w:id="245"/>
      <w:bookmarkEnd w:id="246"/>
    </w:p>
    <w:p>
      <w:pPr>
        <w:spacing w:line="360" w:lineRule="auto"/>
        <w:ind w:firstLine="480" w:firstLineChars="200"/>
        <w:rPr>
          <w:rFonts w:ascii="仿宋" w:hAnsi="仿宋" w:eastAsia="仿宋" w:cs="仿宋"/>
          <w:color w:val="auto"/>
          <w:sz w:val="24"/>
          <w:szCs w:val="24"/>
          <w:highlight w:val="none"/>
        </w:rPr>
      </w:pPr>
      <w:bookmarkStart w:id="247" w:name="_Toc475975199"/>
      <w:bookmarkStart w:id="248" w:name="_Toc419045124"/>
      <w:bookmarkStart w:id="249" w:name="_Toc21641"/>
      <w:r>
        <w:rPr>
          <w:rFonts w:hint="eastAsia" w:ascii="仿宋" w:hAnsi="仿宋" w:eastAsia="仿宋" w:cs="仿宋"/>
          <w:color w:val="auto"/>
          <w:sz w:val="24"/>
          <w:szCs w:val="24"/>
          <w:highlight w:val="none"/>
        </w:rPr>
        <w:t>8.4.1任何一方与合同有关的通知、指示、要求、决定等，均应在3日内送达对方指定的接收人和送达地点。</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8.4.2甲方指定的送达接收人：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），送达地点：</w:t>
      </w:r>
      <w:r>
        <w:rPr>
          <w:rFonts w:hint="eastAsia" w:ascii="仿宋" w:hAnsi="仿宋" w:eastAsia="仿宋" w:cs="仿宋"/>
          <w:color w:val="auto"/>
          <w:sz w:val="24"/>
          <w:szCs w:val="24"/>
          <w:highlight w:val="none"/>
          <w:u w:val="single"/>
        </w:rPr>
        <w:t xml:space="preserve">广州市天河区黄埔大道中144号海景中心东塔四楼  </w:t>
      </w:r>
      <w:r>
        <w:rPr>
          <w:rFonts w:hint="eastAsia" w:ascii="仿宋" w:hAnsi="仿宋" w:eastAsia="仿宋" w:cs="仿宋"/>
          <w:color w:val="auto"/>
          <w:sz w:val="24"/>
          <w:szCs w:val="24"/>
          <w:highlight w:val="none"/>
        </w:rPr>
        <w:t>，电子邮箱：</w:t>
      </w:r>
      <w:r>
        <w:rPr>
          <w:rFonts w:hint="eastAsia" w:ascii="仿宋" w:hAnsi="仿宋" w:eastAsia="仿宋" w:cs="仿宋"/>
          <w:color w:val="auto"/>
          <w:sz w:val="24"/>
          <w:szCs w:val="24"/>
          <w:highlight w:val="none"/>
          <w:u w:val="single"/>
        </w:rPr>
        <w:t>thjszx_2021@126.com</w:t>
      </w:r>
      <w:r>
        <w:rPr>
          <w:rFonts w:hint="eastAsia" w:ascii="仿宋" w:hAnsi="仿宋" w:eastAsia="仿宋" w:cs="仿宋"/>
          <w:color w:val="auto"/>
          <w:sz w:val="24"/>
          <w:szCs w:val="24"/>
          <w:highlight w:val="none"/>
        </w:rPr>
        <w:t>。</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乙方指定的送达接收人：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），送达地点：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,电子邮箱：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双方一致同意，双方确认本条款所记载的送达地点为其送达地址，如一方地址、送达接收人、联系方式、电子邮箱有变更的，应在变更后三日内书面通知对方，否则，双方的文件、资料等一经发至前述地址，即视为送达。</w:t>
      </w:r>
    </w:p>
    <w:p>
      <w:pPr>
        <w:spacing w:line="360" w:lineRule="auto"/>
        <w:ind w:firstLine="482" w:firstLineChars="200"/>
        <w:rPr>
          <w:rStyle w:val="30"/>
          <w:rFonts w:ascii="仿宋" w:hAnsi="仿宋" w:eastAsia="仿宋" w:cs="仿宋"/>
          <w:b w:val="0"/>
          <w:color w:val="auto"/>
          <w:sz w:val="24"/>
          <w:szCs w:val="24"/>
          <w:highlight w:val="none"/>
        </w:rPr>
      </w:pPr>
      <w:r>
        <w:rPr>
          <w:rStyle w:val="30"/>
          <w:rFonts w:hint="eastAsia" w:ascii="仿宋" w:hAnsi="仿宋" w:eastAsia="仿宋" w:cs="仿宋"/>
          <w:bCs w:val="0"/>
          <w:color w:val="auto"/>
          <w:sz w:val="24"/>
          <w:szCs w:val="24"/>
          <w:highlight w:val="none"/>
        </w:rPr>
        <w:t>8.5知识产权</w:t>
      </w:r>
      <w:bookmarkEnd w:id="247"/>
      <w:bookmarkEnd w:id="248"/>
    </w:p>
    <w:bookmarkEnd w:id="249"/>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委托人提供给咨询人的图纸、委托人为实施工程自行编制或委托编制的技术规范以及反映委托人要求的或其他类似性质文件的著作权属于委托人。</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咨询人为履行本合同约定而编制的咨询成果文件，其著作权属于☑委托人□咨询人□委托人和咨询人共同享有。</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双方将履行本合同形成的咨询成果文件用于企业宣传、申报奖项以及接受上级主管部门的检查须遵守以下约定</w:t>
      </w:r>
      <w:bookmarkStart w:id="250" w:name="_Toc419045125"/>
      <w:r>
        <w:rPr>
          <w:rFonts w:hint="eastAsia" w:ascii="仿宋" w:hAnsi="仿宋" w:eastAsia="仿宋" w:cs="仿宋"/>
          <w:color w:val="auto"/>
          <w:sz w:val="24"/>
          <w:szCs w:val="24"/>
          <w:highlight w:val="none"/>
        </w:rPr>
        <w:t>：如咨询人需将履行本合同形成的咨询成果文件用于企业宣传、申报奖项或接受上级主管部门的检查的，应事先征得委托人的书面同意，否则，咨询人应当按照本合同总金额30％的标准向委托人支付违约金，以及赔偿委托人的全部损失。</w:t>
      </w:r>
      <w:bookmarkEnd w:id="250"/>
    </w:p>
    <w:p>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w:t>
      </w:r>
      <w:bookmarkStart w:id="251" w:name="_Toc10627457"/>
      <w:bookmarkStart w:id="252" w:name="_Toc6941"/>
      <w:r>
        <w:rPr>
          <w:rFonts w:hint="eastAsia" w:ascii="仿宋" w:hAnsi="仿宋" w:eastAsia="仿宋" w:cs="仿宋"/>
          <w:b/>
          <w:color w:val="auto"/>
          <w:sz w:val="24"/>
          <w:szCs w:val="24"/>
          <w:highlight w:val="none"/>
        </w:rPr>
        <w:t>9. 补充条款</w:t>
      </w:r>
      <w:bookmarkEnd w:id="251"/>
      <w:bookmarkEnd w:id="252"/>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9.1 本合同未尽事宜，双方另行协商并签订书面补充协议予以确定，补充协议作为本合同的有机组成部分，与本合同具有同等法律效力。如补充协议就同一事项或内容与本合同约定有冲突的，除双方另有约定外，按形成时间在后的补充协议约定执行。</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9.2在执行本合同的过程中，所有经双方签署确认的文件（包括但不限于会议纪要、补充协议、往来信函、传真等）即成为本合同的有机组成部分，与本合同具有同等法律效力，其生效日期为双方法定代表人或委托代理人签名或加盖公章确认的日期。前述文件与本合同内容应认为是互为补充和解释，但如就同一事项（内容）约定存在矛盾之外，除双方另有约定外，以形成时间在后的文件为准。</w:t>
      </w:r>
    </w:p>
    <w:p>
      <w:pPr>
        <w:pStyle w:val="18"/>
        <w:spacing w:line="360" w:lineRule="auto"/>
        <w:ind w:left="0" w:leftChars="0" w:firstLine="480"/>
        <w:rPr>
          <w:rFonts w:ascii="仿宋" w:hAnsi="仿宋" w:eastAsia="仿宋" w:cs="仿宋"/>
          <w:color w:val="auto"/>
          <w:highlight w:val="none"/>
        </w:rPr>
      </w:pPr>
      <w:r>
        <w:rPr>
          <w:rFonts w:hint="eastAsia" w:ascii="仿宋" w:hAnsi="仿宋" w:eastAsia="仿宋" w:cs="仿宋"/>
          <w:color w:val="auto"/>
          <w:sz w:val="24"/>
          <w:szCs w:val="24"/>
          <w:highlight w:val="none"/>
        </w:rPr>
        <w:t>9.3《廉政合同》作为本合同附件，是本合同不可或缺的重要组成部分，与本合同具有同等法律效力。</w:t>
      </w:r>
    </w:p>
    <w:p>
      <w:pPr>
        <w:widowControl/>
        <w:spacing w:line="360" w:lineRule="auto"/>
        <w:jc w:val="left"/>
        <w:rPr>
          <w:rFonts w:ascii="仿宋" w:hAnsi="仿宋" w:eastAsia="仿宋" w:cs="仿宋"/>
          <w:color w:val="auto"/>
          <w:sz w:val="32"/>
          <w:szCs w:val="32"/>
          <w:highlight w:val="none"/>
        </w:rPr>
        <w:sectPr>
          <w:footerReference r:id="rId7" w:type="first"/>
          <w:footerReference r:id="rId6" w:type="default"/>
          <w:pgSz w:w="11906" w:h="16838"/>
          <w:pgMar w:top="1440" w:right="1134" w:bottom="1440" w:left="1134" w:header="851" w:footer="992" w:gutter="0"/>
          <w:pgNumType w:start="1"/>
          <w:cols w:space="720" w:num="1"/>
          <w:titlePg/>
          <w:docGrid w:type="lines" w:linePitch="312" w:charSpace="0"/>
        </w:sectPr>
      </w:pPr>
      <w:r>
        <w:rPr>
          <w:rFonts w:hint="eastAsia" w:ascii="仿宋" w:hAnsi="仿宋" w:eastAsia="仿宋" w:cs="仿宋"/>
          <w:color w:val="auto"/>
          <w:sz w:val="24"/>
          <w:szCs w:val="24"/>
          <w:highlight w:val="none"/>
        </w:rPr>
        <w:t>（以下部分无第三部分《专用条款》正文内容）</w:t>
      </w:r>
    </w:p>
    <w:p>
      <w:pPr>
        <w:spacing w:line="360" w:lineRule="auto"/>
        <w:jc w:val="left"/>
        <w:rPr>
          <w:rFonts w:ascii="仿宋" w:hAnsi="仿宋" w:eastAsia="仿宋" w:cs="仿宋"/>
          <w:color w:val="auto"/>
          <w:sz w:val="24"/>
          <w:highlight w:val="none"/>
          <w:u w:val="single"/>
        </w:rPr>
      </w:pPr>
      <w:r>
        <w:rPr>
          <w:rFonts w:hint="eastAsia" w:ascii="仿宋" w:hAnsi="仿宋" w:eastAsia="仿宋" w:cs="仿宋"/>
          <w:b/>
          <w:color w:val="auto"/>
          <w:sz w:val="32"/>
          <w:szCs w:val="32"/>
          <w:highlight w:val="none"/>
        </w:rPr>
        <w:t>附件：</w:t>
      </w:r>
    </w:p>
    <w:p>
      <w:pPr>
        <w:spacing w:line="360" w:lineRule="auto"/>
        <w:ind w:firstLine="723" w:firstLineChars="200"/>
        <w:jc w:val="center"/>
        <w:rPr>
          <w:rFonts w:ascii="仿宋" w:hAnsi="仿宋" w:eastAsia="仿宋" w:cs="仿宋"/>
          <w:b/>
          <w:color w:val="auto"/>
          <w:sz w:val="32"/>
          <w:szCs w:val="32"/>
          <w:highlight w:val="none"/>
        </w:rPr>
      </w:pPr>
      <w:r>
        <w:rPr>
          <w:rFonts w:hint="eastAsia" w:ascii="仿宋" w:hAnsi="仿宋" w:eastAsia="仿宋" w:cs="仿宋"/>
          <w:b/>
          <w:bCs/>
          <w:color w:val="auto"/>
          <w:kern w:val="0"/>
          <w:sz w:val="36"/>
          <w:szCs w:val="36"/>
          <w:highlight w:val="none"/>
        </w:rPr>
        <w:t>廉 政 合 同</w:t>
      </w:r>
    </w:p>
    <w:p>
      <w:pPr>
        <w:spacing w:line="360" w:lineRule="auto"/>
        <w:rPr>
          <w:rFonts w:ascii="仿宋" w:hAnsi="仿宋" w:eastAsia="仿宋" w:cs="仿宋"/>
          <w:color w:val="auto"/>
          <w:sz w:val="24"/>
          <w:highlight w:val="none"/>
        </w:rPr>
      </w:pPr>
    </w:p>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甲方（委托人）：广州市天河区住房建设和园林局                                  </w:t>
      </w:r>
    </w:p>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乙方（咨询人）：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根据国家、省工程建设和廉政建设的有关规定，为做好工程项目的廉政建设，保证工程质量与施工安全，提高建设资金的有效使用和投资效益，委托人与咨询人就加强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工程的廉政建设相关事宜达成一致，订立本合同，以资共同遵守。</w:t>
      </w:r>
    </w:p>
    <w:p>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  双方权利和义务</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  严格遵守国家有关法律法规的规定。</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  严格执行一切合同文件，自觉按合同办事。</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  双方的业务活动坚持公平、公开、公正和诚信的原则（法律认定的商业秘密和合同文件另有规定除外），不得损害国家和集体利益，不得违反工程建设管理规章制度。</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  建立健全廉政制度，开展廉政教育，设立廉政告示牌，公布举报电话，监督并认真查处违法违纪行为。</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  发现对方在业务活动中有违反廉政建设规定的行为，应及时给予提醒和纠正。</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  发现对方严重违反合同的行为，有向其上级部门举报、建议给予处理并要求告知处理结果的权利。</w:t>
      </w:r>
    </w:p>
    <w:p>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  委托人义务</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  委托人及其工作人员不得索要或接受咨询人的礼金、有价证券和贵重物品</w:t>
      </w:r>
      <w:bookmarkStart w:id="253" w:name="_GoBack"/>
      <w:bookmarkEnd w:id="253"/>
      <w:r>
        <w:rPr>
          <w:rFonts w:hint="eastAsia" w:ascii="仿宋" w:hAnsi="仿宋" w:eastAsia="仿宋" w:cs="仿宋"/>
          <w:color w:val="auto"/>
          <w:sz w:val="24"/>
          <w:szCs w:val="24"/>
          <w:highlight w:val="none"/>
        </w:rPr>
        <w:t>，不得在咨询人报销任何应由委托人或工作人员个人支付的费用等。</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  委托人及其工作人员不得参加咨询人安排的宴请（工作餐除外）和娱乐活动；不得接受咨询人提供的通讯工具、交通工具和高档办公用品等。</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  委托人及其工作人员不得要求或者接受咨询人为其住房装修、婚丧嫁娶活动、配偶子女的工作安排以及出国出境、旅游等提供方便等。</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2.4  委托人及其工作人员及其配偶、子女不得从事与委托人有关的工程材料设备供应、工程分包、劳务等经济活动。</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2.5  委托人及其工作人员不得以任何理由向咨询人推荐分包单位或推销材料，不得要求咨询人购买合同约定外的材料和设备。</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2.6  委托人及其工作人员要秉公办事，不准营私舞弊，不准利用职权从事各种个人有偿中介活动和安排个人施工队伍。</w:t>
      </w:r>
    </w:p>
    <w:p>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  咨询人义务</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  咨询人不得以任何理由向委托人及其工作人员（含监理人/工程师、造价人/工程师等）行贿或馈赠礼金、回扣、红包、购物卡、有价证券、贵重礼品和好处费、感谢费等。</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  咨询人不得以任何名义为委托人及其工作人员（含监理人/工程师、造价人/工程师等）报销应由委托人或工作人员个人支付的任何费用。</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3.3  咨询人不得以任何理由安排委托人及其工作人员（含监理人/工程师、造价人/工程师等）提供高消费宴请（工作餐除外）及娱乐活动。</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  咨询人不得为委托人或其工作人员（含监理人/工程师、造价人/工程师等）购置或提供通讯工具、交通工具或高档办公用品等。</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3.5不准接受或暗示为委托人及委托人工作人员（含监理人/工程师、造价人/工程师等）装修住房、婚丧嫁娶、配偶子女的工作安排以及境内外旅游等提供方便；</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3.6不准以谋取非正当利益为目的，擅自与委托人工作人员（含监理人/工程师、造价人/工程师等）就本合同业务问题进行私下商谈或者达成利益默契；</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3.7如发现委托人或委托人工作人员（含监理人/工程师、造价人/工程师等）有违反廉洁规定的，应及时向委托人举报。</w:t>
      </w:r>
    </w:p>
    <w:p>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  违约责任</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4.1  委托人及其工作人员违反本合同第1条和第2条规定，应依据有关规定给予廉政建设规定的处分；涉嫌犯罪的，移交司法机关追究刑事责任。</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  咨询人及其工作人员违反本合同第1条和第3条规定，应依据有关规定给予廉政建设规定的处分；给委托人造成经济损失的，应予赔偿；情节严重的，由委托人将相关材料移送行业主管部门，由行业主管部门根据情况给予咨询人一至三年内不得进入工程建设市场的处罚。涉嫌犯罪的，移交司法机关追究刑事责任。除此之外，咨询人还应按照《广州市建设工程造价咨询合同》（合同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）的约定承担违约责任。</w:t>
      </w:r>
    </w:p>
    <w:p>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  双方约定</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本合同由双方或其上级部门负责监督执行，并由双方或其上级部门相互约请对本合同执行情况进行检查。</w:t>
      </w:r>
    </w:p>
    <w:p>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  合同生效</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本合同有效期：从合同签订之日起，长期有效。</w:t>
      </w:r>
    </w:p>
    <w:p>
      <w:pPr>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  合同法律效力</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本合同作为《广州市建设工程造价咨询合同》（合同编号：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）的附件，与该合同具有同等的法律效力。</w:t>
      </w:r>
    </w:p>
    <w:p>
      <w:pPr>
        <w:pStyle w:val="17"/>
        <w:spacing w:line="360" w:lineRule="auto"/>
        <w:ind w:firstLine="480" w:firstLineChars="200"/>
        <w:jc w:val="both"/>
        <w:rPr>
          <w:rFonts w:ascii="仿宋" w:hAnsi="仿宋" w:eastAsia="仿宋" w:cs="仿宋"/>
          <w:color w:val="auto"/>
          <w:sz w:val="24"/>
          <w:highlight w:val="none"/>
        </w:rPr>
      </w:pPr>
    </w:p>
    <w:p>
      <w:pPr>
        <w:pStyle w:val="17"/>
        <w:spacing w:line="360" w:lineRule="auto"/>
        <w:ind w:firstLine="480" w:firstLineChars="200"/>
        <w:jc w:val="both"/>
        <w:rPr>
          <w:rFonts w:ascii="仿宋" w:hAnsi="仿宋" w:eastAsia="仿宋" w:cs="仿宋"/>
          <w:color w:val="auto"/>
          <w:sz w:val="24"/>
          <w:highlight w:val="none"/>
        </w:rPr>
      </w:pPr>
    </w:p>
    <w:p>
      <w:pPr>
        <w:pStyle w:val="17"/>
        <w:spacing w:line="360" w:lineRule="auto"/>
        <w:ind w:firstLine="0" w:firstLineChars="0"/>
        <w:jc w:val="both"/>
        <w:rPr>
          <w:rFonts w:ascii="仿宋" w:hAnsi="仿宋" w:eastAsia="仿宋" w:cs="仿宋"/>
          <w:color w:val="auto"/>
          <w:sz w:val="24"/>
          <w:highlight w:val="none"/>
        </w:rPr>
      </w:pPr>
      <w:r>
        <w:rPr>
          <w:rFonts w:hint="eastAsia" w:ascii="仿宋" w:hAnsi="仿宋" w:eastAsia="仿宋" w:cs="仿宋"/>
          <w:color w:val="auto"/>
          <w:sz w:val="24"/>
          <w:highlight w:val="none"/>
        </w:rPr>
        <w:t>（以下无《廉政合同》正文内容，为签章页）</w:t>
      </w:r>
    </w:p>
    <w:p>
      <w:pPr>
        <w:pStyle w:val="17"/>
        <w:spacing w:line="360" w:lineRule="auto"/>
        <w:ind w:firstLine="0" w:firstLineChars="0"/>
        <w:jc w:val="both"/>
        <w:rPr>
          <w:rFonts w:ascii="仿宋" w:hAnsi="仿宋" w:eastAsia="仿宋" w:cs="仿宋"/>
          <w:color w:val="auto"/>
          <w:sz w:val="24"/>
          <w:highlight w:val="none"/>
        </w:rPr>
      </w:pPr>
    </w:p>
    <w:p>
      <w:pPr>
        <w:pStyle w:val="17"/>
        <w:spacing w:line="360" w:lineRule="auto"/>
        <w:ind w:firstLine="0" w:firstLineChars="0"/>
        <w:jc w:val="both"/>
        <w:rPr>
          <w:rFonts w:ascii="仿宋" w:hAnsi="仿宋" w:eastAsia="仿宋" w:cs="仿宋"/>
          <w:color w:val="auto"/>
          <w:sz w:val="24"/>
          <w:highlight w:val="none"/>
        </w:rPr>
      </w:pPr>
    </w:p>
    <w:tbl>
      <w:tblPr>
        <w:tblStyle w:val="19"/>
        <w:tblW w:w="8522" w:type="dxa"/>
        <w:tblInd w:w="0" w:type="dxa"/>
        <w:tblLayout w:type="fixed"/>
        <w:tblCellMar>
          <w:top w:w="0" w:type="dxa"/>
          <w:left w:w="108" w:type="dxa"/>
          <w:bottom w:w="0" w:type="dxa"/>
          <w:right w:w="108" w:type="dxa"/>
        </w:tblCellMar>
      </w:tblPr>
      <w:tblGrid>
        <w:gridCol w:w="4412"/>
        <w:gridCol w:w="4110"/>
      </w:tblGrid>
      <w:tr>
        <w:tblPrEx>
          <w:tblCellMar>
            <w:top w:w="0" w:type="dxa"/>
            <w:left w:w="108" w:type="dxa"/>
            <w:bottom w:w="0" w:type="dxa"/>
            <w:right w:w="108" w:type="dxa"/>
          </w:tblCellMar>
        </w:tblPrEx>
        <w:tc>
          <w:tcPr>
            <w:tcW w:w="4412" w:type="dxa"/>
            <w:tcBorders>
              <w:tl2br w:val="nil"/>
              <w:tr2bl w:val="nil"/>
            </w:tcBorders>
          </w:tcPr>
          <w:p>
            <w:pPr>
              <w:pStyle w:val="31"/>
              <w:spacing w:line="440" w:lineRule="exact"/>
              <w:rPr>
                <w:rFonts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甲方：（盖章）广州市天河区住房建设和园林局</w:t>
            </w:r>
          </w:p>
        </w:tc>
        <w:tc>
          <w:tcPr>
            <w:tcW w:w="4110" w:type="dxa"/>
            <w:tcBorders>
              <w:tl2br w:val="nil"/>
              <w:tr2bl w:val="nil"/>
            </w:tcBorders>
          </w:tcPr>
          <w:p>
            <w:pPr>
              <w:pStyle w:val="31"/>
              <w:spacing w:line="440" w:lineRule="exact"/>
              <w:rPr>
                <w:rFonts w:ascii="仿宋" w:hAnsi="仿宋" w:eastAsia="仿宋" w:cs="仿宋"/>
                <w:color w:val="auto"/>
                <w:kern w:val="0"/>
                <w:sz w:val="24"/>
                <w:szCs w:val="21"/>
                <w:highlight w:val="none"/>
              </w:rPr>
            </w:pPr>
            <w:r>
              <w:rPr>
                <w:rFonts w:hint="eastAsia" w:ascii="仿宋" w:hAnsi="仿宋" w:eastAsia="仿宋" w:cs="仿宋"/>
                <w:color w:val="auto"/>
                <w:sz w:val="24"/>
                <w:szCs w:val="21"/>
                <w:highlight w:val="none"/>
              </w:rPr>
              <w:t>乙方：</w:t>
            </w:r>
            <w:r>
              <w:rPr>
                <w:rFonts w:hint="eastAsia" w:ascii="仿宋" w:hAnsi="仿宋" w:eastAsia="仿宋" w:cs="仿宋"/>
                <w:color w:val="auto"/>
                <w:kern w:val="0"/>
                <w:sz w:val="24"/>
                <w:szCs w:val="21"/>
                <w:highlight w:val="none"/>
              </w:rPr>
              <w:t>（盖章）</w:t>
            </w:r>
          </w:p>
        </w:tc>
      </w:tr>
      <w:tr>
        <w:tblPrEx>
          <w:tblCellMar>
            <w:top w:w="0" w:type="dxa"/>
            <w:left w:w="108" w:type="dxa"/>
            <w:bottom w:w="0" w:type="dxa"/>
            <w:right w:w="108" w:type="dxa"/>
          </w:tblCellMar>
        </w:tblPrEx>
        <w:tc>
          <w:tcPr>
            <w:tcW w:w="4412" w:type="dxa"/>
            <w:tcBorders>
              <w:tl2br w:val="nil"/>
              <w:tr2bl w:val="nil"/>
            </w:tcBorders>
          </w:tcPr>
          <w:p>
            <w:pPr>
              <w:pStyle w:val="31"/>
              <w:spacing w:line="440" w:lineRule="exact"/>
              <w:rPr>
                <w:rFonts w:ascii="仿宋" w:hAnsi="仿宋" w:eastAsia="仿宋" w:cs="仿宋"/>
                <w:color w:val="auto"/>
                <w:kern w:val="0"/>
                <w:sz w:val="24"/>
                <w:szCs w:val="21"/>
                <w:highlight w:val="none"/>
              </w:rPr>
            </w:pPr>
          </w:p>
        </w:tc>
        <w:tc>
          <w:tcPr>
            <w:tcW w:w="4110" w:type="dxa"/>
            <w:tcBorders>
              <w:tl2br w:val="nil"/>
              <w:tr2bl w:val="nil"/>
            </w:tcBorders>
          </w:tcPr>
          <w:p>
            <w:pPr>
              <w:pStyle w:val="31"/>
              <w:spacing w:line="440" w:lineRule="exact"/>
              <w:rPr>
                <w:rFonts w:ascii="仿宋" w:hAnsi="仿宋" w:eastAsia="仿宋" w:cs="仿宋"/>
                <w:color w:val="auto"/>
                <w:kern w:val="0"/>
                <w:sz w:val="24"/>
                <w:szCs w:val="21"/>
                <w:highlight w:val="none"/>
              </w:rPr>
            </w:pPr>
          </w:p>
        </w:tc>
      </w:tr>
      <w:tr>
        <w:tblPrEx>
          <w:tblCellMar>
            <w:top w:w="0" w:type="dxa"/>
            <w:left w:w="108" w:type="dxa"/>
            <w:bottom w:w="0" w:type="dxa"/>
            <w:right w:w="108" w:type="dxa"/>
          </w:tblCellMar>
        </w:tblPrEx>
        <w:tc>
          <w:tcPr>
            <w:tcW w:w="4412" w:type="dxa"/>
            <w:tcBorders>
              <w:tl2br w:val="nil"/>
              <w:tr2bl w:val="nil"/>
            </w:tcBorders>
          </w:tcPr>
          <w:p>
            <w:pPr>
              <w:pStyle w:val="31"/>
              <w:spacing w:line="440" w:lineRule="exact"/>
              <w:rPr>
                <w:rFonts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地址：广州市天河区黄埔大道中144号海景中心东塔四楼</w:t>
            </w:r>
          </w:p>
        </w:tc>
        <w:tc>
          <w:tcPr>
            <w:tcW w:w="4110" w:type="dxa"/>
            <w:tcBorders>
              <w:tl2br w:val="nil"/>
              <w:tr2bl w:val="nil"/>
            </w:tcBorders>
          </w:tcPr>
          <w:p>
            <w:pPr>
              <w:pStyle w:val="31"/>
              <w:spacing w:line="440" w:lineRule="exact"/>
              <w:ind w:left="720" w:hanging="720" w:hangingChars="300"/>
              <w:rPr>
                <w:rFonts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地址：</w:t>
            </w:r>
          </w:p>
        </w:tc>
      </w:tr>
      <w:tr>
        <w:tblPrEx>
          <w:tblCellMar>
            <w:top w:w="0" w:type="dxa"/>
            <w:left w:w="108" w:type="dxa"/>
            <w:bottom w:w="0" w:type="dxa"/>
            <w:right w:w="108" w:type="dxa"/>
          </w:tblCellMar>
        </w:tblPrEx>
        <w:trPr>
          <w:trHeight w:val="799" w:hRule="atLeast"/>
        </w:trPr>
        <w:tc>
          <w:tcPr>
            <w:tcW w:w="4412" w:type="dxa"/>
            <w:tcBorders>
              <w:tl2br w:val="nil"/>
              <w:tr2bl w:val="nil"/>
            </w:tcBorders>
          </w:tcPr>
          <w:p>
            <w:pPr>
              <w:pStyle w:val="31"/>
              <w:spacing w:line="440" w:lineRule="exact"/>
              <w:rPr>
                <w:rFonts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法定代表人（签名或签章）：</w:t>
            </w:r>
          </w:p>
        </w:tc>
        <w:tc>
          <w:tcPr>
            <w:tcW w:w="4110" w:type="dxa"/>
            <w:tcBorders>
              <w:tl2br w:val="nil"/>
              <w:tr2bl w:val="nil"/>
            </w:tcBorders>
          </w:tcPr>
          <w:p>
            <w:pPr>
              <w:pStyle w:val="31"/>
              <w:spacing w:line="440" w:lineRule="exact"/>
              <w:rPr>
                <w:rFonts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法定代表人（签名或签章）：</w:t>
            </w:r>
          </w:p>
        </w:tc>
      </w:tr>
      <w:tr>
        <w:tblPrEx>
          <w:tblCellMar>
            <w:top w:w="0" w:type="dxa"/>
            <w:left w:w="108" w:type="dxa"/>
            <w:bottom w:w="0" w:type="dxa"/>
            <w:right w:w="108" w:type="dxa"/>
          </w:tblCellMar>
        </w:tblPrEx>
        <w:tc>
          <w:tcPr>
            <w:tcW w:w="4412" w:type="dxa"/>
            <w:tcBorders>
              <w:tl2br w:val="nil"/>
              <w:tr2bl w:val="nil"/>
            </w:tcBorders>
          </w:tcPr>
          <w:p>
            <w:pPr>
              <w:pStyle w:val="31"/>
              <w:spacing w:line="440" w:lineRule="exact"/>
              <w:rPr>
                <w:rFonts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 xml:space="preserve">  </w:t>
            </w:r>
          </w:p>
        </w:tc>
        <w:tc>
          <w:tcPr>
            <w:tcW w:w="4110" w:type="dxa"/>
            <w:tcBorders>
              <w:tl2br w:val="nil"/>
              <w:tr2bl w:val="nil"/>
            </w:tcBorders>
          </w:tcPr>
          <w:p>
            <w:pPr>
              <w:pStyle w:val="31"/>
              <w:spacing w:line="440" w:lineRule="exact"/>
              <w:rPr>
                <w:rFonts w:ascii="仿宋" w:hAnsi="仿宋" w:eastAsia="仿宋" w:cs="仿宋"/>
                <w:color w:val="auto"/>
                <w:kern w:val="0"/>
                <w:sz w:val="24"/>
                <w:szCs w:val="21"/>
                <w:highlight w:val="none"/>
              </w:rPr>
            </w:pPr>
          </w:p>
        </w:tc>
      </w:tr>
      <w:tr>
        <w:tblPrEx>
          <w:tblCellMar>
            <w:top w:w="0" w:type="dxa"/>
            <w:left w:w="108" w:type="dxa"/>
            <w:bottom w:w="0" w:type="dxa"/>
            <w:right w:w="108" w:type="dxa"/>
          </w:tblCellMar>
        </w:tblPrEx>
        <w:trPr>
          <w:trHeight w:val="1112" w:hRule="atLeast"/>
        </w:trPr>
        <w:tc>
          <w:tcPr>
            <w:tcW w:w="4412" w:type="dxa"/>
            <w:tcBorders>
              <w:tl2br w:val="nil"/>
              <w:tr2bl w:val="nil"/>
            </w:tcBorders>
          </w:tcPr>
          <w:p>
            <w:pPr>
              <w:pStyle w:val="31"/>
              <w:spacing w:line="440" w:lineRule="exact"/>
              <w:rPr>
                <w:rFonts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 xml:space="preserve">联系人（签名）： </w:t>
            </w:r>
          </w:p>
        </w:tc>
        <w:tc>
          <w:tcPr>
            <w:tcW w:w="4110" w:type="dxa"/>
            <w:tcBorders>
              <w:tl2br w:val="nil"/>
              <w:tr2bl w:val="nil"/>
            </w:tcBorders>
          </w:tcPr>
          <w:p>
            <w:pPr>
              <w:tabs>
                <w:tab w:val="left" w:pos="4620"/>
              </w:tabs>
              <w:spacing w:line="440" w:lineRule="exact"/>
              <w:ind w:left="1200" w:hanging="1200" w:hangingChars="5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或委托代理人（签名）：</w:t>
            </w:r>
          </w:p>
        </w:tc>
      </w:tr>
      <w:tr>
        <w:tblPrEx>
          <w:tblCellMar>
            <w:top w:w="0" w:type="dxa"/>
            <w:left w:w="108" w:type="dxa"/>
            <w:bottom w:w="0" w:type="dxa"/>
            <w:right w:w="108" w:type="dxa"/>
          </w:tblCellMar>
        </w:tblPrEx>
        <w:tc>
          <w:tcPr>
            <w:tcW w:w="4412" w:type="dxa"/>
            <w:tcBorders>
              <w:tl2br w:val="nil"/>
              <w:tr2bl w:val="nil"/>
            </w:tcBorders>
          </w:tcPr>
          <w:p>
            <w:pPr>
              <w:pStyle w:val="31"/>
              <w:spacing w:line="440" w:lineRule="exact"/>
              <w:rPr>
                <w:rFonts w:ascii="仿宋" w:hAnsi="仿宋" w:eastAsia="仿宋" w:cs="仿宋"/>
                <w:color w:val="auto"/>
                <w:kern w:val="0"/>
                <w:sz w:val="24"/>
                <w:szCs w:val="21"/>
                <w:highlight w:val="none"/>
              </w:rPr>
            </w:pPr>
          </w:p>
        </w:tc>
        <w:tc>
          <w:tcPr>
            <w:tcW w:w="4110" w:type="dxa"/>
            <w:tcBorders>
              <w:tl2br w:val="nil"/>
              <w:tr2bl w:val="nil"/>
            </w:tcBorders>
          </w:tcPr>
          <w:p>
            <w:pPr>
              <w:pStyle w:val="31"/>
              <w:spacing w:line="440" w:lineRule="exact"/>
              <w:rPr>
                <w:rFonts w:ascii="仿宋" w:hAnsi="仿宋" w:eastAsia="仿宋" w:cs="仿宋"/>
                <w:color w:val="auto"/>
                <w:kern w:val="0"/>
                <w:sz w:val="24"/>
                <w:szCs w:val="21"/>
                <w:highlight w:val="none"/>
              </w:rPr>
            </w:pPr>
          </w:p>
        </w:tc>
      </w:tr>
      <w:tr>
        <w:tblPrEx>
          <w:tblCellMar>
            <w:top w:w="0" w:type="dxa"/>
            <w:left w:w="108" w:type="dxa"/>
            <w:bottom w:w="0" w:type="dxa"/>
            <w:right w:w="108" w:type="dxa"/>
          </w:tblCellMar>
        </w:tblPrEx>
        <w:trPr>
          <w:trHeight w:val="546" w:hRule="atLeast"/>
        </w:trPr>
        <w:tc>
          <w:tcPr>
            <w:tcW w:w="4412" w:type="dxa"/>
            <w:tcBorders>
              <w:tl2br w:val="nil"/>
              <w:tr2bl w:val="nil"/>
            </w:tcBorders>
          </w:tcPr>
          <w:p>
            <w:pPr>
              <w:pStyle w:val="31"/>
              <w:spacing w:line="440" w:lineRule="exact"/>
              <w:rPr>
                <w:rFonts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 xml:space="preserve">合同订立时间：2023 年 </w:t>
            </w:r>
            <w:r>
              <w:rPr>
                <w:rFonts w:hint="eastAsia" w:ascii="仿宋" w:hAnsi="仿宋" w:eastAsia="仿宋" w:cs="仿宋"/>
                <w:color w:val="auto"/>
                <w:kern w:val="0"/>
                <w:sz w:val="24"/>
                <w:szCs w:val="21"/>
                <w:highlight w:val="none"/>
                <w:u w:val="single"/>
              </w:rPr>
              <w:t xml:space="preserve">  </w:t>
            </w:r>
            <w:r>
              <w:rPr>
                <w:rFonts w:hint="eastAsia" w:ascii="仿宋" w:hAnsi="仿宋" w:eastAsia="仿宋" w:cs="仿宋"/>
                <w:color w:val="auto"/>
                <w:kern w:val="0"/>
                <w:sz w:val="24"/>
                <w:szCs w:val="21"/>
                <w:highlight w:val="none"/>
              </w:rPr>
              <w:t>月</w:t>
            </w:r>
            <w:r>
              <w:rPr>
                <w:rFonts w:hint="eastAsia" w:ascii="仿宋" w:hAnsi="仿宋" w:eastAsia="仿宋" w:cs="仿宋"/>
                <w:color w:val="auto"/>
                <w:kern w:val="0"/>
                <w:sz w:val="24"/>
                <w:szCs w:val="21"/>
                <w:highlight w:val="none"/>
                <w:u w:val="single"/>
              </w:rPr>
              <w:t xml:space="preserve">   </w:t>
            </w:r>
            <w:r>
              <w:rPr>
                <w:rFonts w:hint="eastAsia" w:ascii="仿宋" w:hAnsi="仿宋" w:eastAsia="仿宋" w:cs="仿宋"/>
                <w:color w:val="auto"/>
                <w:kern w:val="0"/>
                <w:sz w:val="24"/>
                <w:szCs w:val="21"/>
                <w:highlight w:val="none"/>
              </w:rPr>
              <w:t xml:space="preserve"> 日</w:t>
            </w:r>
          </w:p>
        </w:tc>
        <w:tc>
          <w:tcPr>
            <w:tcW w:w="4110" w:type="dxa"/>
            <w:tcBorders>
              <w:tl2br w:val="nil"/>
              <w:tr2bl w:val="nil"/>
            </w:tcBorders>
          </w:tcPr>
          <w:p>
            <w:pPr>
              <w:pStyle w:val="31"/>
              <w:spacing w:line="440" w:lineRule="exact"/>
              <w:rPr>
                <w:rFonts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 xml:space="preserve">合同订立时间：2023 年 </w:t>
            </w:r>
            <w:r>
              <w:rPr>
                <w:rFonts w:hint="eastAsia" w:ascii="仿宋" w:hAnsi="仿宋" w:eastAsia="仿宋" w:cs="仿宋"/>
                <w:color w:val="auto"/>
                <w:kern w:val="0"/>
                <w:sz w:val="24"/>
                <w:szCs w:val="21"/>
                <w:highlight w:val="none"/>
                <w:u w:val="single"/>
              </w:rPr>
              <w:t xml:space="preserve">  </w:t>
            </w:r>
            <w:r>
              <w:rPr>
                <w:rFonts w:hint="eastAsia" w:ascii="仿宋" w:hAnsi="仿宋" w:eastAsia="仿宋" w:cs="仿宋"/>
                <w:color w:val="auto"/>
                <w:kern w:val="0"/>
                <w:sz w:val="24"/>
                <w:szCs w:val="21"/>
                <w:highlight w:val="none"/>
              </w:rPr>
              <w:t>月</w:t>
            </w:r>
            <w:r>
              <w:rPr>
                <w:rFonts w:hint="eastAsia" w:ascii="仿宋" w:hAnsi="仿宋" w:eastAsia="仿宋" w:cs="仿宋"/>
                <w:color w:val="auto"/>
                <w:kern w:val="0"/>
                <w:sz w:val="24"/>
                <w:szCs w:val="21"/>
                <w:highlight w:val="none"/>
                <w:u w:val="single"/>
              </w:rPr>
              <w:t xml:space="preserve">   </w:t>
            </w:r>
            <w:r>
              <w:rPr>
                <w:rFonts w:hint="eastAsia" w:ascii="仿宋" w:hAnsi="仿宋" w:eastAsia="仿宋" w:cs="仿宋"/>
                <w:color w:val="auto"/>
                <w:kern w:val="0"/>
                <w:sz w:val="24"/>
                <w:szCs w:val="21"/>
                <w:highlight w:val="none"/>
              </w:rPr>
              <w:t xml:space="preserve"> 日</w:t>
            </w:r>
          </w:p>
        </w:tc>
      </w:tr>
      <w:tr>
        <w:tblPrEx>
          <w:tblCellMar>
            <w:top w:w="0" w:type="dxa"/>
            <w:left w:w="108" w:type="dxa"/>
            <w:bottom w:w="0" w:type="dxa"/>
            <w:right w:w="108" w:type="dxa"/>
          </w:tblCellMar>
        </w:tblPrEx>
        <w:trPr>
          <w:trHeight w:val="546" w:hRule="atLeast"/>
        </w:trPr>
        <w:tc>
          <w:tcPr>
            <w:tcW w:w="4412" w:type="dxa"/>
            <w:tcBorders>
              <w:tl2br w:val="nil"/>
              <w:tr2bl w:val="nil"/>
            </w:tcBorders>
          </w:tcPr>
          <w:p>
            <w:pPr>
              <w:pStyle w:val="31"/>
              <w:spacing w:line="440" w:lineRule="exact"/>
              <w:rPr>
                <w:rFonts w:ascii="仿宋" w:hAnsi="仿宋" w:eastAsia="仿宋" w:cs="仿宋"/>
                <w:color w:val="auto"/>
                <w:kern w:val="0"/>
                <w:sz w:val="24"/>
                <w:szCs w:val="21"/>
                <w:highlight w:val="none"/>
              </w:rPr>
            </w:pPr>
          </w:p>
        </w:tc>
        <w:tc>
          <w:tcPr>
            <w:tcW w:w="4110" w:type="dxa"/>
            <w:tcBorders>
              <w:tl2br w:val="nil"/>
              <w:tr2bl w:val="nil"/>
            </w:tcBorders>
          </w:tcPr>
          <w:p>
            <w:pPr>
              <w:spacing w:before="120" w:beforeLines="50" w:after="120" w:afterLines="50" w:line="360" w:lineRule="auto"/>
              <w:rPr>
                <w:rFonts w:ascii="仿宋" w:hAnsi="仿宋" w:eastAsia="仿宋" w:cs="仿宋"/>
                <w:color w:val="auto"/>
                <w:kern w:val="0"/>
                <w:sz w:val="24"/>
                <w:highlight w:val="none"/>
              </w:rPr>
            </w:pPr>
          </w:p>
        </w:tc>
      </w:tr>
    </w:tbl>
    <w:p>
      <w:pPr>
        <w:rPr>
          <w:rFonts w:ascii="仿宋" w:hAnsi="仿宋" w:eastAsia="仿宋" w:cs="仿宋"/>
          <w:color w:val="auto"/>
          <w:kern w:val="0"/>
          <w:sz w:val="24"/>
          <w:highlight w:val="none"/>
        </w:rPr>
      </w:pPr>
    </w:p>
    <w:p>
      <w:pPr>
        <w:spacing w:line="560" w:lineRule="exact"/>
        <w:rPr>
          <w:rFonts w:ascii="仿宋" w:hAnsi="仿宋" w:eastAsia="仿宋" w:cs="仿宋"/>
          <w:color w:val="auto"/>
          <w:sz w:val="26"/>
          <w:szCs w:val="26"/>
          <w:highlight w:val="none"/>
        </w:rPr>
      </w:pPr>
    </w:p>
    <w:sectPr>
      <w:footerReference r:id="rId8" w:type="default"/>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Fonts w:cs="Times New Roman"/>
      </w:rPr>
    </w:pPr>
    <w:r>
      <w:fldChar w:fldCharType="begin"/>
    </w:r>
    <w:r>
      <w:rPr>
        <w:rStyle w:val="22"/>
      </w:rPr>
      <w:instrText xml:space="preserve">PAGE  </w:instrText>
    </w:r>
    <w:r>
      <w:fldChar w:fldCharType="separate"/>
    </w:r>
    <w:r>
      <w:rPr>
        <w:rStyle w:val="22"/>
      </w:rPr>
      <w:t>6</w:t>
    </w:r>
    <w:r>
      <w:fldChar w:fldCharType="end"/>
    </w:r>
  </w:p>
  <w:p>
    <w:pPr>
      <w:pStyle w:val="11"/>
      <w:jc w:val="center"/>
      <w:rPr>
        <w:rFonts w:cs="Times New Roman"/>
      </w:rPr>
    </w:pPr>
  </w:p>
  <w:p>
    <w:pPr>
      <w:pStyle w:val="11"/>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cs="Times New Roman"/>
      </w:rPr>
    </w:pPr>
    <w:r>
      <w:fldChar w:fldCharType="begin"/>
    </w:r>
    <w:r>
      <w:instrText xml:space="preserve"> PAGE   \* MERGEFORMAT </w:instrText>
    </w:r>
    <w:r>
      <w:fldChar w:fldCharType="separate"/>
    </w:r>
    <w:r>
      <w:rPr>
        <w:lang w:val="zh-CN"/>
      </w:rPr>
      <w:t>1</w:t>
    </w:r>
    <w:r>
      <w:fldChar w:fldCharType="end"/>
    </w:r>
  </w:p>
  <w:p>
    <w:pPr>
      <w:pStyle w:val="11"/>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Fonts w:cs="Times New Roman"/>
      </w:rPr>
    </w:pPr>
    <w:r>
      <w:fldChar w:fldCharType="begin"/>
    </w:r>
    <w:r>
      <w:rPr>
        <w:rStyle w:val="22"/>
      </w:rPr>
      <w:instrText xml:space="preserve">PAGE  </w:instrText>
    </w:r>
    <w:r>
      <w:fldChar w:fldCharType="separate"/>
    </w:r>
    <w:r>
      <w:rPr>
        <w:rStyle w:val="22"/>
      </w:rPr>
      <w:t>23</w:t>
    </w:r>
    <w:r>
      <w:fldChar w:fldCharType="end"/>
    </w:r>
  </w:p>
  <w:p>
    <w:pPr>
      <w:pStyle w:val="11"/>
      <w:jc w:val="center"/>
      <w:rPr>
        <w:rFonts w:cs="Times New Roman"/>
      </w:rPr>
    </w:pPr>
  </w:p>
  <w:p>
    <w:pPr>
      <w:pStyle w:val="11"/>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t>1</w:t>
    </w:r>
  </w:p>
  <w:p>
    <w:pPr>
      <w:pStyle w:val="11"/>
      <w:rPr>
        <w:rFonts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Fonts w:cs="Times New Roman"/>
      </w:rPr>
    </w:pPr>
    <w:r>
      <w:fldChar w:fldCharType="begin"/>
    </w:r>
    <w:r>
      <w:rPr>
        <w:rStyle w:val="22"/>
      </w:rPr>
      <w:instrText xml:space="preserve">PAGE  </w:instrText>
    </w:r>
    <w:r>
      <w:fldChar w:fldCharType="separate"/>
    </w:r>
    <w:r>
      <w:rPr>
        <w:rStyle w:val="22"/>
      </w:rPr>
      <w:t>23</w:t>
    </w:r>
    <w:r>
      <w:fldChar w:fldCharType="end"/>
    </w:r>
  </w:p>
  <w:p>
    <w:pPr>
      <w:pStyle w:val="11"/>
      <w:jc w:val="center"/>
      <w:rPr>
        <w:rFonts w:cs="Times New Roman"/>
      </w:rPr>
    </w:pPr>
  </w:p>
  <w:p>
    <w:pPr>
      <w:pStyle w:val="11"/>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F1F2AD"/>
    <w:multiLevelType w:val="singleLevel"/>
    <w:tmpl w:val="E1F1F2AD"/>
    <w:lvl w:ilvl="0" w:tentative="0">
      <w:start w:val="2"/>
      <w:numFmt w:val="chineseCounting"/>
      <w:suff w:val="nothing"/>
      <w:lvlText w:val="%1、"/>
      <w:lvlJc w:val="left"/>
      <w:rPr>
        <w:rFonts w:hint="eastAsia"/>
      </w:rPr>
    </w:lvl>
  </w:abstractNum>
  <w:abstractNum w:abstractNumId="1">
    <w:nsid w:val="EAFF3DF4"/>
    <w:multiLevelType w:val="singleLevel"/>
    <w:tmpl w:val="EAFF3DF4"/>
    <w:lvl w:ilvl="0" w:tentative="0">
      <w:start w:val="2"/>
      <w:numFmt w:val="decimal"/>
      <w:lvlText w:val="%1."/>
      <w:lvlJc w:val="left"/>
      <w:pPr>
        <w:tabs>
          <w:tab w:val="left" w:pos="312"/>
        </w:tabs>
      </w:pPr>
    </w:lvl>
  </w:abstractNum>
  <w:abstractNum w:abstractNumId="2">
    <w:nsid w:val="FF81406A"/>
    <w:multiLevelType w:val="singleLevel"/>
    <w:tmpl w:val="FF81406A"/>
    <w:lvl w:ilvl="0" w:tentative="0">
      <w:start w:val="1"/>
      <w:numFmt w:val="decimal"/>
      <w:suff w:val="nothing"/>
      <w:lvlText w:val="（%1）"/>
      <w:lvlJc w:val="left"/>
    </w:lvl>
  </w:abstractNum>
  <w:abstractNum w:abstractNumId="3">
    <w:nsid w:val="15A21564"/>
    <w:multiLevelType w:val="multilevel"/>
    <w:tmpl w:val="15A21564"/>
    <w:lvl w:ilvl="0" w:tentative="0">
      <w:start w:val="1"/>
      <w:numFmt w:val="decimal"/>
      <w:lvlText w:val="（%1）"/>
      <w:lvlJc w:val="left"/>
      <w:pPr>
        <w:tabs>
          <w:tab w:val="left" w:pos="860"/>
        </w:tabs>
        <w:ind w:left="860" w:hanging="720"/>
      </w:pPr>
      <w:rPr>
        <w:rFonts w:hint="default" w:cs="Times New Roman"/>
      </w:rPr>
    </w:lvl>
    <w:lvl w:ilvl="1" w:tentative="0">
      <w:start w:val="1"/>
      <w:numFmt w:val="decimal"/>
      <w:lvlText w:val="（%2）"/>
      <w:lvlJc w:val="center"/>
      <w:pPr>
        <w:tabs>
          <w:tab w:val="left" w:pos="420"/>
        </w:tabs>
        <w:ind w:left="420" w:hanging="420"/>
      </w:pPr>
      <w:rPr>
        <w:rFonts w:hint="eastAsia" w:cs="Times New Roman"/>
      </w:rPr>
    </w:lvl>
    <w:lvl w:ilvl="2" w:tentative="0">
      <w:start w:val="1"/>
      <w:numFmt w:val="decimal"/>
      <w:lvlText w:val="（%3）"/>
      <w:lvlJc w:val="left"/>
      <w:pPr>
        <w:tabs>
          <w:tab w:val="left" w:pos="1700"/>
        </w:tabs>
        <w:ind w:left="1700" w:hanging="720"/>
      </w:pPr>
      <w:rPr>
        <w:rFonts w:hint="default" w:cs="Times New Roman"/>
      </w:rPr>
    </w:lvl>
    <w:lvl w:ilvl="3" w:tentative="0">
      <w:start w:val="1"/>
      <w:numFmt w:val="decimal"/>
      <w:lvlText w:val="%4."/>
      <w:lvlJc w:val="left"/>
      <w:pPr>
        <w:tabs>
          <w:tab w:val="left" w:pos="1820"/>
        </w:tabs>
        <w:ind w:left="1820" w:hanging="420"/>
      </w:pPr>
      <w:rPr>
        <w:rFonts w:cs="Times New Roman"/>
      </w:rPr>
    </w:lvl>
    <w:lvl w:ilvl="4" w:tentative="0">
      <w:start w:val="1"/>
      <w:numFmt w:val="lowerLetter"/>
      <w:lvlText w:val="%5)"/>
      <w:lvlJc w:val="left"/>
      <w:pPr>
        <w:tabs>
          <w:tab w:val="left" w:pos="2240"/>
        </w:tabs>
        <w:ind w:left="2240" w:hanging="420"/>
      </w:pPr>
      <w:rPr>
        <w:rFonts w:cs="Times New Roman"/>
      </w:rPr>
    </w:lvl>
    <w:lvl w:ilvl="5" w:tentative="0">
      <w:start w:val="1"/>
      <w:numFmt w:val="lowerRoman"/>
      <w:lvlText w:val="%6."/>
      <w:lvlJc w:val="right"/>
      <w:pPr>
        <w:tabs>
          <w:tab w:val="left" w:pos="2660"/>
        </w:tabs>
        <w:ind w:left="2660" w:hanging="420"/>
      </w:pPr>
      <w:rPr>
        <w:rFonts w:cs="Times New Roman"/>
      </w:rPr>
    </w:lvl>
    <w:lvl w:ilvl="6" w:tentative="0">
      <w:start w:val="1"/>
      <w:numFmt w:val="decimal"/>
      <w:lvlText w:val="%7."/>
      <w:lvlJc w:val="left"/>
      <w:pPr>
        <w:tabs>
          <w:tab w:val="left" w:pos="3080"/>
        </w:tabs>
        <w:ind w:left="3080" w:hanging="420"/>
      </w:pPr>
      <w:rPr>
        <w:rFonts w:cs="Times New Roman"/>
      </w:rPr>
    </w:lvl>
    <w:lvl w:ilvl="7" w:tentative="0">
      <w:start w:val="1"/>
      <w:numFmt w:val="lowerLetter"/>
      <w:lvlText w:val="%8)"/>
      <w:lvlJc w:val="left"/>
      <w:pPr>
        <w:tabs>
          <w:tab w:val="left" w:pos="3500"/>
        </w:tabs>
        <w:ind w:left="3500" w:hanging="420"/>
      </w:pPr>
      <w:rPr>
        <w:rFonts w:cs="Times New Roman"/>
      </w:rPr>
    </w:lvl>
    <w:lvl w:ilvl="8" w:tentative="0">
      <w:start w:val="1"/>
      <w:numFmt w:val="lowerRoman"/>
      <w:lvlText w:val="%9."/>
      <w:lvlJc w:val="right"/>
      <w:pPr>
        <w:tabs>
          <w:tab w:val="left" w:pos="3920"/>
        </w:tabs>
        <w:ind w:left="3920" w:hanging="420"/>
      </w:pPr>
      <w:rPr>
        <w:rFonts w:cs="Times New Roman"/>
      </w:rPr>
    </w:lvl>
  </w:abstractNum>
  <w:abstractNum w:abstractNumId="4">
    <w:nsid w:val="3D9122D1"/>
    <w:multiLevelType w:val="multilevel"/>
    <w:tmpl w:val="3D9122D1"/>
    <w:lvl w:ilvl="0" w:tentative="0">
      <w:start w:val="1"/>
      <w:numFmt w:val="decimal"/>
      <w:lvlText w:val="（%1）"/>
      <w:lvlJc w:val="left"/>
      <w:pPr>
        <w:tabs>
          <w:tab w:val="left" w:pos="860"/>
        </w:tabs>
        <w:ind w:left="860" w:hanging="720"/>
      </w:pPr>
      <w:rPr>
        <w:rFonts w:hint="default" w:cs="Times New Roman"/>
      </w:rPr>
    </w:lvl>
    <w:lvl w:ilvl="1" w:tentative="0">
      <w:start w:val="1"/>
      <w:numFmt w:val="decimal"/>
      <w:lvlText w:val="（%2）"/>
      <w:lvlJc w:val="center"/>
      <w:pPr>
        <w:tabs>
          <w:tab w:val="left" w:pos="960"/>
        </w:tabs>
        <w:ind w:left="960" w:hanging="420"/>
      </w:pPr>
      <w:rPr>
        <w:rFonts w:hint="eastAsia" w:cs="Times New Roman"/>
      </w:rPr>
    </w:lvl>
    <w:lvl w:ilvl="2" w:tentative="0">
      <w:start w:val="1"/>
      <w:numFmt w:val="decimal"/>
      <w:lvlText w:val="（%3）"/>
      <w:lvlJc w:val="left"/>
      <w:pPr>
        <w:tabs>
          <w:tab w:val="left" w:pos="1700"/>
        </w:tabs>
        <w:ind w:left="1700" w:hanging="720"/>
      </w:pPr>
      <w:rPr>
        <w:rFonts w:hint="default" w:cs="Times New Roman"/>
      </w:rPr>
    </w:lvl>
    <w:lvl w:ilvl="3" w:tentative="0">
      <w:start w:val="1"/>
      <w:numFmt w:val="decimal"/>
      <w:lvlText w:val="%4."/>
      <w:lvlJc w:val="left"/>
      <w:pPr>
        <w:tabs>
          <w:tab w:val="left" w:pos="1820"/>
        </w:tabs>
        <w:ind w:left="1820" w:hanging="420"/>
      </w:pPr>
      <w:rPr>
        <w:rFonts w:cs="Times New Roman"/>
      </w:rPr>
    </w:lvl>
    <w:lvl w:ilvl="4" w:tentative="0">
      <w:start w:val="1"/>
      <w:numFmt w:val="lowerLetter"/>
      <w:lvlText w:val="%5)"/>
      <w:lvlJc w:val="left"/>
      <w:pPr>
        <w:tabs>
          <w:tab w:val="left" w:pos="2240"/>
        </w:tabs>
        <w:ind w:left="2240" w:hanging="420"/>
      </w:pPr>
      <w:rPr>
        <w:rFonts w:cs="Times New Roman"/>
      </w:rPr>
    </w:lvl>
    <w:lvl w:ilvl="5" w:tentative="0">
      <w:start w:val="1"/>
      <w:numFmt w:val="lowerRoman"/>
      <w:lvlText w:val="%6."/>
      <w:lvlJc w:val="right"/>
      <w:pPr>
        <w:tabs>
          <w:tab w:val="left" w:pos="2660"/>
        </w:tabs>
        <w:ind w:left="2660" w:hanging="420"/>
      </w:pPr>
      <w:rPr>
        <w:rFonts w:cs="Times New Roman"/>
      </w:rPr>
    </w:lvl>
    <w:lvl w:ilvl="6" w:tentative="0">
      <w:start w:val="1"/>
      <w:numFmt w:val="decimal"/>
      <w:lvlText w:val="%7."/>
      <w:lvlJc w:val="left"/>
      <w:pPr>
        <w:tabs>
          <w:tab w:val="left" w:pos="3080"/>
        </w:tabs>
        <w:ind w:left="3080" w:hanging="420"/>
      </w:pPr>
      <w:rPr>
        <w:rFonts w:cs="Times New Roman"/>
      </w:rPr>
    </w:lvl>
    <w:lvl w:ilvl="7" w:tentative="0">
      <w:start w:val="1"/>
      <w:numFmt w:val="lowerLetter"/>
      <w:lvlText w:val="%8)"/>
      <w:lvlJc w:val="left"/>
      <w:pPr>
        <w:tabs>
          <w:tab w:val="left" w:pos="3500"/>
        </w:tabs>
        <w:ind w:left="3500" w:hanging="420"/>
      </w:pPr>
      <w:rPr>
        <w:rFonts w:cs="Times New Roman"/>
      </w:rPr>
    </w:lvl>
    <w:lvl w:ilvl="8" w:tentative="0">
      <w:start w:val="1"/>
      <w:numFmt w:val="lowerRoman"/>
      <w:lvlText w:val="%9."/>
      <w:lvlJc w:val="right"/>
      <w:pPr>
        <w:tabs>
          <w:tab w:val="left" w:pos="3920"/>
        </w:tabs>
        <w:ind w:left="3920" w:hanging="420"/>
      </w:pPr>
      <w:rPr>
        <w:rFonts w:cs="Times New Roman"/>
      </w:rPr>
    </w:lvl>
  </w:abstractNum>
  <w:abstractNum w:abstractNumId="5">
    <w:nsid w:val="40862515"/>
    <w:multiLevelType w:val="multilevel"/>
    <w:tmpl w:val="40862515"/>
    <w:lvl w:ilvl="0" w:tentative="0">
      <w:start w:val="1"/>
      <w:numFmt w:val="decimal"/>
      <w:lvlText w:val="（%1）"/>
      <w:lvlJc w:val="left"/>
      <w:pPr>
        <w:tabs>
          <w:tab w:val="left" w:pos="860"/>
        </w:tabs>
        <w:ind w:left="860" w:hanging="720"/>
      </w:pPr>
      <w:rPr>
        <w:rFonts w:hint="default" w:cs="Times New Roman"/>
      </w:rPr>
    </w:lvl>
    <w:lvl w:ilvl="1" w:tentative="0">
      <w:start w:val="1"/>
      <w:numFmt w:val="decimal"/>
      <w:lvlText w:val="（%2）"/>
      <w:lvlJc w:val="center"/>
      <w:pPr>
        <w:tabs>
          <w:tab w:val="left" w:pos="420"/>
        </w:tabs>
        <w:ind w:left="420" w:hanging="420"/>
      </w:pPr>
      <w:rPr>
        <w:rFonts w:hint="eastAsia" w:cs="Times New Roman"/>
      </w:rPr>
    </w:lvl>
    <w:lvl w:ilvl="2" w:tentative="0">
      <w:start w:val="1"/>
      <w:numFmt w:val="decimal"/>
      <w:lvlText w:val="（%3）"/>
      <w:lvlJc w:val="left"/>
      <w:pPr>
        <w:tabs>
          <w:tab w:val="left" w:pos="1700"/>
        </w:tabs>
        <w:ind w:left="1700" w:hanging="720"/>
      </w:pPr>
      <w:rPr>
        <w:rFonts w:hint="default" w:cs="Times New Roman"/>
      </w:rPr>
    </w:lvl>
    <w:lvl w:ilvl="3" w:tentative="0">
      <w:start w:val="1"/>
      <w:numFmt w:val="decimal"/>
      <w:lvlText w:val="%4."/>
      <w:lvlJc w:val="left"/>
      <w:pPr>
        <w:tabs>
          <w:tab w:val="left" w:pos="1820"/>
        </w:tabs>
        <w:ind w:left="1820" w:hanging="420"/>
      </w:pPr>
      <w:rPr>
        <w:rFonts w:cs="Times New Roman"/>
      </w:rPr>
    </w:lvl>
    <w:lvl w:ilvl="4" w:tentative="0">
      <w:start w:val="1"/>
      <w:numFmt w:val="lowerLetter"/>
      <w:lvlText w:val="%5)"/>
      <w:lvlJc w:val="left"/>
      <w:pPr>
        <w:tabs>
          <w:tab w:val="left" w:pos="2240"/>
        </w:tabs>
        <w:ind w:left="2240" w:hanging="420"/>
      </w:pPr>
      <w:rPr>
        <w:rFonts w:cs="Times New Roman"/>
      </w:rPr>
    </w:lvl>
    <w:lvl w:ilvl="5" w:tentative="0">
      <w:start w:val="1"/>
      <w:numFmt w:val="lowerRoman"/>
      <w:lvlText w:val="%6."/>
      <w:lvlJc w:val="right"/>
      <w:pPr>
        <w:tabs>
          <w:tab w:val="left" w:pos="2660"/>
        </w:tabs>
        <w:ind w:left="2660" w:hanging="420"/>
      </w:pPr>
      <w:rPr>
        <w:rFonts w:cs="Times New Roman"/>
      </w:rPr>
    </w:lvl>
    <w:lvl w:ilvl="6" w:tentative="0">
      <w:start w:val="1"/>
      <w:numFmt w:val="decimal"/>
      <w:lvlText w:val="%7."/>
      <w:lvlJc w:val="left"/>
      <w:pPr>
        <w:tabs>
          <w:tab w:val="left" w:pos="3080"/>
        </w:tabs>
        <w:ind w:left="3080" w:hanging="420"/>
      </w:pPr>
      <w:rPr>
        <w:rFonts w:cs="Times New Roman"/>
      </w:rPr>
    </w:lvl>
    <w:lvl w:ilvl="7" w:tentative="0">
      <w:start w:val="1"/>
      <w:numFmt w:val="lowerLetter"/>
      <w:lvlText w:val="%8)"/>
      <w:lvlJc w:val="left"/>
      <w:pPr>
        <w:tabs>
          <w:tab w:val="left" w:pos="3500"/>
        </w:tabs>
        <w:ind w:left="3500" w:hanging="420"/>
      </w:pPr>
      <w:rPr>
        <w:rFonts w:cs="Times New Roman"/>
      </w:rPr>
    </w:lvl>
    <w:lvl w:ilvl="8" w:tentative="0">
      <w:start w:val="1"/>
      <w:numFmt w:val="lowerRoman"/>
      <w:lvlText w:val="%9."/>
      <w:lvlJc w:val="right"/>
      <w:pPr>
        <w:tabs>
          <w:tab w:val="left" w:pos="3920"/>
        </w:tabs>
        <w:ind w:left="3920" w:hanging="420"/>
      </w:pPr>
      <w:rPr>
        <w:rFonts w:cs="Times New Roman"/>
      </w:rPr>
    </w:lvl>
  </w:abstractNum>
  <w:abstractNum w:abstractNumId="6">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pStyle w:val="5"/>
      <w:lvlText w:val="%1.%2.%3"/>
      <w:lvlJc w:val="left"/>
      <w:pPr>
        <w:tabs>
          <w:tab w:val="left" w:pos="1287"/>
        </w:tabs>
        <w:ind w:left="1287"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6"/>
  </w:num>
  <w:num w:numId="2">
    <w:abstractNumId w:val="0"/>
  </w:num>
  <w:num w:numId="3">
    <w:abstractNumId w:val="1"/>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iZjY1ZjA0NTU2OTZkMTgxOTZlZTJiNDg1YjQ2MDUifQ=="/>
  </w:docVars>
  <w:rsids>
    <w:rsidRoot w:val="7BC64749"/>
    <w:rsid w:val="000A2B29"/>
    <w:rsid w:val="000D2E73"/>
    <w:rsid w:val="00133F41"/>
    <w:rsid w:val="00213B16"/>
    <w:rsid w:val="0023197D"/>
    <w:rsid w:val="003A59BB"/>
    <w:rsid w:val="003E7E9F"/>
    <w:rsid w:val="003F0D31"/>
    <w:rsid w:val="00461A2D"/>
    <w:rsid w:val="00483267"/>
    <w:rsid w:val="00587FAC"/>
    <w:rsid w:val="005E0370"/>
    <w:rsid w:val="00603641"/>
    <w:rsid w:val="006360D1"/>
    <w:rsid w:val="006805AD"/>
    <w:rsid w:val="006D28E5"/>
    <w:rsid w:val="00726C71"/>
    <w:rsid w:val="00730F58"/>
    <w:rsid w:val="00746AE7"/>
    <w:rsid w:val="008642D2"/>
    <w:rsid w:val="008A737B"/>
    <w:rsid w:val="008D33EB"/>
    <w:rsid w:val="0091168D"/>
    <w:rsid w:val="00982908"/>
    <w:rsid w:val="00A11985"/>
    <w:rsid w:val="00A13120"/>
    <w:rsid w:val="00A91665"/>
    <w:rsid w:val="00AB4603"/>
    <w:rsid w:val="00B62FFA"/>
    <w:rsid w:val="00B74F2F"/>
    <w:rsid w:val="00B836AB"/>
    <w:rsid w:val="00BB06C3"/>
    <w:rsid w:val="00C357B0"/>
    <w:rsid w:val="00C51E19"/>
    <w:rsid w:val="00C610D6"/>
    <w:rsid w:val="00C81394"/>
    <w:rsid w:val="00CC287C"/>
    <w:rsid w:val="00CE68F0"/>
    <w:rsid w:val="00D22894"/>
    <w:rsid w:val="00D73907"/>
    <w:rsid w:val="00D770DB"/>
    <w:rsid w:val="00DF70AD"/>
    <w:rsid w:val="00E739B1"/>
    <w:rsid w:val="00EB4662"/>
    <w:rsid w:val="00ED799C"/>
    <w:rsid w:val="00F000EC"/>
    <w:rsid w:val="00F776A3"/>
    <w:rsid w:val="00FB3E87"/>
    <w:rsid w:val="00FC64D6"/>
    <w:rsid w:val="00FD7F61"/>
    <w:rsid w:val="01113DFC"/>
    <w:rsid w:val="012B4CB3"/>
    <w:rsid w:val="01E02241"/>
    <w:rsid w:val="01F856CB"/>
    <w:rsid w:val="026A68EF"/>
    <w:rsid w:val="02836000"/>
    <w:rsid w:val="02E842FB"/>
    <w:rsid w:val="03A53061"/>
    <w:rsid w:val="03DA7D9C"/>
    <w:rsid w:val="03E662B8"/>
    <w:rsid w:val="040E7C7D"/>
    <w:rsid w:val="044C30DB"/>
    <w:rsid w:val="04931074"/>
    <w:rsid w:val="04F54549"/>
    <w:rsid w:val="05240C70"/>
    <w:rsid w:val="059F7688"/>
    <w:rsid w:val="05E37DFA"/>
    <w:rsid w:val="06056E0E"/>
    <w:rsid w:val="060774EA"/>
    <w:rsid w:val="060B68AE"/>
    <w:rsid w:val="06652584"/>
    <w:rsid w:val="069626C0"/>
    <w:rsid w:val="06C344A9"/>
    <w:rsid w:val="07317DAC"/>
    <w:rsid w:val="07327CEF"/>
    <w:rsid w:val="07672E32"/>
    <w:rsid w:val="07822821"/>
    <w:rsid w:val="07D91564"/>
    <w:rsid w:val="07F84F6D"/>
    <w:rsid w:val="083F21AC"/>
    <w:rsid w:val="086263B7"/>
    <w:rsid w:val="097E5022"/>
    <w:rsid w:val="099A7CF6"/>
    <w:rsid w:val="09D738D5"/>
    <w:rsid w:val="0A6C54AB"/>
    <w:rsid w:val="0A6E0F98"/>
    <w:rsid w:val="0A9A1761"/>
    <w:rsid w:val="0B1B037F"/>
    <w:rsid w:val="0B2E6161"/>
    <w:rsid w:val="0B5C443F"/>
    <w:rsid w:val="0B5F56D3"/>
    <w:rsid w:val="0B7F35F5"/>
    <w:rsid w:val="0BA1435B"/>
    <w:rsid w:val="0BA7684E"/>
    <w:rsid w:val="0BBC2E75"/>
    <w:rsid w:val="0BDE4480"/>
    <w:rsid w:val="0C321AB7"/>
    <w:rsid w:val="0C3748C6"/>
    <w:rsid w:val="0C821E35"/>
    <w:rsid w:val="0D6E1A82"/>
    <w:rsid w:val="0DD4258A"/>
    <w:rsid w:val="0E273544"/>
    <w:rsid w:val="0E464D10"/>
    <w:rsid w:val="0E4C55E0"/>
    <w:rsid w:val="0EB50614"/>
    <w:rsid w:val="0ED85BBB"/>
    <w:rsid w:val="0EF21A7F"/>
    <w:rsid w:val="0F235DA6"/>
    <w:rsid w:val="0F4A5F26"/>
    <w:rsid w:val="0F686A6A"/>
    <w:rsid w:val="0F7963EB"/>
    <w:rsid w:val="0F991C1D"/>
    <w:rsid w:val="10047223"/>
    <w:rsid w:val="100B65C3"/>
    <w:rsid w:val="101E2C72"/>
    <w:rsid w:val="103B7874"/>
    <w:rsid w:val="117B0DC9"/>
    <w:rsid w:val="11A402E3"/>
    <w:rsid w:val="11A5087B"/>
    <w:rsid w:val="11D52D64"/>
    <w:rsid w:val="11E32559"/>
    <w:rsid w:val="123A4CD0"/>
    <w:rsid w:val="128B3251"/>
    <w:rsid w:val="12A50824"/>
    <w:rsid w:val="12A53A4D"/>
    <w:rsid w:val="12C55AE3"/>
    <w:rsid w:val="13595D8E"/>
    <w:rsid w:val="136A2598"/>
    <w:rsid w:val="13EF12DA"/>
    <w:rsid w:val="140757B8"/>
    <w:rsid w:val="14083A58"/>
    <w:rsid w:val="141C7D0F"/>
    <w:rsid w:val="14433D5E"/>
    <w:rsid w:val="14590608"/>
    <w:rsid w:val="145B4370"/>
    <w:rsid w:val="14622C2D"/>
    <w:rsid w:val="14864365"/>
    <w:rsid w:val="156D5F4F"/>
    <w:rsid w:val="159070DF"/>
    <w:rsid w:val="1606277F"/>
    <w:rsid w:val="16483A8C"/>
    <w:rsid w:val="16541E4F"/>
    <w:rsid w:val="16CD0165"/>
    <w:rsid w:val="16FA5F9B"/>
    <w:rsid w:val="17346822"/>
    <w:rsid w:val="173A6D03"/>
    <w:rsid w:val="17650255"/>
    <w:rsid w:val="17651B1F"/>
    <w:rsid w:val="185416D7"/>
    <w:rsid w:val="18886EAC"/>
    <w:rsid w:val="18932E60"/>
    <w:rsid w:val="18A04E31"/>
    <w:rsid w:val="18A71A5F"/>
    <w:rsid w:val="18B56464"/>
    <w:rsid w:val="18C31452"/>
    <w:rsid w:val="19012FBA"/>
    <w:rsid w:val="19505AA5"/>
    <w:rsid w:val="195F7967"/>
    <w:rsid w:val="197548F3"/>
    <w:rsid w:val="199A7FE8"/>
    <w:rsid w:val="19A338CF"/>
    <w:rsid w:val="19B36B33"/>
    <w:rsid w:val="1A1D21A7"/>
    <w:rsid w:val="1A4D0769"/>
    <w:rsid w:val="1A6C1BBA"/>
    <w:rsid w:val="1A772F89"/>
    <w:rsid w:val="1AA841F2"/>
    <w:rsid w:val="1ACF5060"/>
    <w:rsid w:val="1AE547A3"/>
    <w:rsid w:val="1B202F3A"/>
    <w:rsid w:val="1B3E7AE6"/>
    <w:rsid w:val="1B4C6DED"/>
    <w:rsid w:val="1B5F63C4"/>
    <w:rsid w:val="1B9D2D51"/>
    <w:rsid w:val="1BBD1953"/>
    <w:rsid w:val="1BF00CC3"/>
    <w:rsid w:val="1C135627"/>
    <w:rsid w:val="1C843F04"/>
    <w:rsid w:val="1CE86826"/>
    <w:rsid w:val="1CFE432D"/>
    <w:rsid w:val="1D3D0A7B"/>
    <w:rsid w:val="1D4B5C7F"/>
    <w:rsid w:val="1D517D39"/>
    <w:rsid w:val="1D582E7C"/>
    <w:rsid w:val="1E4664CC"/>
    <w:rsid w:val="1E550D40"/>
    <w:rsid w:val="1E7C4C98"/>
    <w:rsid w:val="1E9A03AC"/>
    <w:rsid w:val="1E9C1504"/>
    <w:rsid w:val="1ED52400"/>
    <w:rsid w:val="1EDF0BAD"/>
    <w:rsid w:val="1F170346"/>
    <w:rsid w:val="1F1B5E97"/>
    <w:rsid w:val="1F5552AB"/>
    <w:rsid w:val="1FAB61D9"/>
    <w:rsid w:val="201B2445"/>
    <w:rsid w:val="21284E8D"/>
    <w:rsid w:val="221E443F"/>
    <w:rsid w:val="224E71E2"/>
    <w:rsid w:val="224F60D9"/>
    <w:rsid w:val="227E3AA4"/>
    <w:rsid w:val="22D65ECE"/>
    <w:rsid w:val="22EB7F0A"/>
    <w:rsid w:val="2337559D"/>
    <w:rsid w:val="23B37723"/>
    <w:rsid w:val="23B61074"/>
    <w:rsid w:val="24561BC9"/>
    <w:rsid w:val="246F4B05"/>
    <w:rsid w:val="2487432D"/>
    <w:rsid w:val="24D30A54"/>
    <w:rsid w:val="250730EE"/>
    <w:rsid w:val="25603438"/>
    <w:rsid w:val="25875AFA"/>
    <w:rsid w:val="25906020"/>
    <w:rsid w:val="25A77F4A"/>
    <w:rsid w:val="25BA2EF7"/>
    <w:rsid w:val="2612270E"/>
    <w:rsid w:val="2681754F"/>
    <w:rsid w:val="26AC7261"/>
    <w:rsid w:val="28183E61"/>
    <w:rsid w:val="281B28D5"/>
    <w:rsid w:val="28A15E61"/>
    <w:rsid w:val="28A56BAE"/>
    <w:rsid w:val="28CC298C"/>
    <w:rsid w:val="29B657F1"/>
    <w:rsid w:val="29DF4E41"/>
    <w:rsid w:val="2A3D0B4D"/>
    <w:rsid w:val="2A6F4280"/>
    <w:rsid w:val="2A796838"/>
    <w:rsid w:val="2AD636A4"/>
    <w:rsid w:val="2AFE060C"/>
    <w:rsid w:val="2B097D25"/>
    <w:rsid w:val="2B1971F4"/>
    <w:rsid w:val="2C42032C"/>
    <w:rsid w:val="2CC5698D"/>
    <w:rsid w:val="2CC63DB3"/>
    <w:rsid w:val="2CF24B0D"/>
    <w:rsid w:val="2D641E53"/>
    <w:rsid w:val="2E02695B"/>
    <w:rsid w:val="2E20461D"/>
    <w:rsid w:val="2E5161D8"/>
    <w:rsid w:val="2ED211A8"/>
    <w:rsid w:val="2EFC30B5"/>
    <w:rsid w:val="2FDE35CE"/>
    <w:rsid w:val="306A6ED8"/>
    <w:rsid w:val="30DB713D"/>
    <w:rsid w:val="30DC354D"/>
    <w:rsid w:val="30E63F6D"/>
    <w:rsid w:val="30F97EE6"/>
    <w:rsid w:val="31490093"/>
    <w:rsid w:val="318F26FC"/>
    <w:rsid w:val="31C82475"/>
    <w:rsid w:val="3335402A"/>
    <w:rsid w:val="33835F12"/>
    <w:rsid w:val="33A45521"/>
    <w:rsid w:val="342A021E"/>
    <w:rsid w:val="34567C35"/>
    <w:rsid w:val="34810689"/>
    <w:rsid w:val="35340BBD"/>
    <w:rsid w:val="35F23C67"/>
    <w:rsid w:val="36146DD1"/>
    <w:rsid w:val="364211AB"/>
    <w:rsid w:val="367F4D3A"/>
    <w:rsid w:val="369617F4"/>
    <w:rsid w:val="36DD5186"/>
    <w:rsid w:val="36F76BEF"/>
    <w:rsid w:val="37431CEA"/>
    <w:rsid w:val="37495343"/>
    <w:rsid w:val="37697BFE"/>
    <w:rsid w:val="376F32F4"/>
    <w:rsid w:val="37D674C1"/>
    <w:rsid w:val="37D93679"/>
    <w:rsid w:val="37F26D43"/>
    <w:rsid w:val="38321FE3"/>
    <w:rsid w:val="38682718"/>
    <w:rsid w:val="390C02DA"/>
    <w:rsid w:val="39101AD9"/>
    <w:rsid w:val="39931E29"/>
    <w:rsid w:val="3A8A5D2E"/>
    <w:rsid w:val="3ABE76FF"/>
    <w:rsid w:val="3AEE2345"/>
    <w:rsid w:val="3B384257"/>
    <w:rsid w:val="3B4268ED"/>
    <w:rsid w:val="3BEB6587"/>
    <w:rsid w:val="3C4F6D14"/>
    <w:rsid w:val="3DF47FE2"/>
    <w:rsid w:val="3DF668D6"/>
    <w:rsid w:val="3E081535"/>
    <w:rsid w:val="3E7A1E90"/>
    <w:rsid w:val="3F470313"/>
    <w:rsid w:val="3F5339F7"/>
    <w:rsid w:val="40EF1D9D"/>
    <w:rsid w:val="40F203B9"/>
    <w:rsid w:val="415558EA"/>
    <w:rsid w:val="41854671"/>
    <w:rsid w:val="418A0B0E"/>
    <w:rsid w:val="41ED2582"/>
    <w:rsid w:val="41FE4772"/>
    <w:rsid w:val="42020675"/>
    <w:rsid w:val="42353773"/>
    <w:rsid w:val="424F7941"/>
    <w:rsid w:val="42CE6C72"/>
    <w:rsid w:val="42EA0B70"/>
    <w:rsid w:val="433A4466"/>
    <w:rsid w:val="434C24B2"/>
    <w:rsid w:val="43AF2A39"/>
    <w:rsid w:val="43CD1396"/>
    <w:rsid w:val="43FB2C37"/>
    <w:rsid w:val="4414148E"/>
    <w:rsid w:val="449520CB"/>
    <w:rsid w:val="44D31777"/>
    <w:rsid w:val="451E0440"/>
    <w:rsid w:val="456B1629"/>
    <w:rsid w:val="45D80375"/>
    <w:rsid w:val="461C034A"/>
    <w:rsid w:val="466457D7"/>
    <w:rsid w:val="467334FD"/>
    <w:rsid w:val="46A06FE4"/>
    <w:rsid w:val="46D109F4"/>
    <w:rsid w:val="47AD28C0"/>
    <w:rsid w:val="47F96E72"/>
    <w:rsid w:val="482346BA"/>
    <w:rsid w:val="48444833"/>
    <w:rsid w:val="489E1C09"/>
    <w:rsid w:val="48BF7FB8"/>
    <w:rsid w:val="4A3B54FF"/>
    <w:rsid w:val="4A623FE2"/>
    <w:rsid w:val="4AF61B05"/>
    <w:rsid w:val="4B924189"/>
    <w:rsid w:val="4BD5459F"/>
    <w:rsid w:val="4BDA5B1A"/>
    <w:rsid w:val="4BE61BFA"/>
    <w:rsid w:val="4BEF6C4A"/>
    <w:rsid w:val="4C340816"/>
    <w:rsid w:val="4C9F6130"/>
    <w:rsid w:val="4CD6689C"/>
    <w:rsid w:val="4CEC7075"/>
    <w:rsid w:val="4CEF7E4D"/>
    <w:rsid w:val="4D00227E"/>
    <w:rsid w:val="4D8F62DC"/>
    <w:rsid w:val="4DB030CD"/>
    <w:rsid w:val="4DDB1FE5"/>
    <w:rsid w:val="4E214095"/>
    <w:rsid w:val="4E3B0143"/>
    <w:rsid w:val="4EA12869"/>
    <w:rsid w:val="4F8D4A5F"/>
    <w:rsid w:val="4FA82B31"/>
    <w:rsid w:val="4FD73961"/>
    <w:rsid w:val="4FDD6193"/>
    <w:rsid w:val="5023629C"/>
    <w:rsid w:val="50560D4B"/>
    <w:rsid w:val="505C47F2"/>
    <w:rsid w:val="506336FA"/>
    <w:rsid w:val="506643DA"/>
    <w:rsid w:val="508F18E3"/>
    <w:rsid w:val="51206F51"/>
    <w:rsid w:val="51282E91"/>
    <w:rsid w:val="518C7B13"/>
    <w:rsid w:val="51C9322B"/>
    <w:rsid w:val="522D39BA"/>
    <w:rsid w:val="52307D92"/>
    <w:rsid w:val="52564C3D"/>
    <w:rsid w:val="533315D0"/>
    <w:rsid w:val="5338152E"/>
    <w:rsid w:val="53454DE4"/>
    <w:rsid w:val="534E4DF4"/>
    <w:rsid w:val="536814F8"/>
    <w:rsid w:val="537109DC"/>
    <w:rsid w:val="538F3C48"/>
    <w:rsid w:val="539353B2"/>
    <w:rsid w:val="54244390"/>
    <w:rsid w:val="543C7004"/>
    <w:rsid w:val="544C4F08"/>
    <w:rsid w:val="54A47630"/>
    <w:rsid w:val="54AE40ED"/>
    <w:rsid w:val="54B235F1"/>
    <w:rsid w:val="54EA563D"/>
    <w:rsid w:val="55690D0D"/>
    <w:rsid w:val="557F72D2"/>
    <w:rsid w:val="55CC37C5"/>
    <w:rsid w:val="566A6E35"/>
    <w:rsid w:val="56BD520E"/>
    <w:rsid w:val="57042435"/>
    <w:rsid w:val="5724179A"/>
    <w:rsid w:val="578A2B3A"/>
    <w:rsid w:val="579E47C9"/>
    <w:rsid w:val="57AD6E5A"/>
    <w:rsid w:val="58CE5AB7"/>
    <w:rsid w:val="590427C9"/>
    <w:rsid w:val="59D76E70"/>
    <w:rsid w:val="59EE13E9"/>
    <w:rsid w:val="5A20384C"/>
    <w:rsid w:val="5A780B39"/>
    <w:rsid w:val="5A8146C7"/>
    <w:rsid w:val="5A9900AB"/>
    <w:rsid w:val="5ABB01DD"/>
    <w:rsid w:val="5AC073D8"/>
    <w:rsid w:val="5B062BFB"/>
    <w:rsid w:val="5B0C411D"/>
    <w:rsid w:val="5B612FFA"/>
    <w:rsid w:val="5B8027F4"/>
    <w:rsid w:val="5B8C0019"/>
    <w:rsid w:val="5B962AC8"/>
    <w:rsid w:val="5BC57281"/>
    <w:rsid w:val="5BFC120D"/>
    <w:rsid w:val="5C237623"/>
    <w:rsid w:val="5C5E35F9"/>
    <w:rsid w:val="5C963273"/>
    <w:rsid w:val="5CED3EB9"/>
    <w:rsid w:val="5CFF3C7A"/>
    <w:rsid w:val="5D4A7F9B"/>
    <w:rsid w:val="5D4D07EF"/>
    <w:rsid w:val="5D7A5993"/>
    <w:rsid w:val="5DA8420C"/>
    <w:rsid w:val="5DC56628"/>
    <w:rsid w:val="5DCF4A33"/>
    <w:rsid w:val="5E0E5217"/>
    <w:rsid w:val="5E361042"/>
    <w:rsid w:val="5E7C57FA"/>
    <w:rsid w:val="5E923F72"/>
    <w:rsid w:val="5E992225"/>
    <w:rsid w:val="5ED41D7B"/>
    <w:rsid w:val="5EE72B8A"/>
    <w:rsid w:val="5EFB1B2D"/>
    <w:rsid w:val="607E303D"/>
    <w:rsid w:val="608E0FDC"/>
    <w:rsid w:val="60E9197D"/>
    <w:rsid w:val="61005095"/>
    <w:rsid w:val="620E0B88"/>
    <w:rsid w:val="622C59E4"/>
    <w:rsid w:val="627A76F5"/>
    <w:rsid w:val="62D17261"/>
    <w:rsid w:val="639E66BD"/>
    <w:rsid w:val="63B01641"/>
    <w:rsid w:val="63F01F7E"/>
    <w:rsid w:val="642F1EB0"/>
    <w:rsid w:val="646808C1"/>
    <w:rsid w:val="648740E0"/>
    <w:rsid w:val="64A11955"/>
    <w:rsid w:val="64DB1E1B"/>
    <w:rsid w:val="650A2B04"/>
    <w:rsid w:val="65271F32"/>
    <w:rsid w:val="653050A1"/>
    <w:rsid w:val="654301F2"/>
    <w:rsid w:val="6549125C"/>
    <w:rsid w:val="656C2F32"/>
    <w:rsid w:val="65987573"/>
    <w:rsid w:val="65FB11A6"/>
    <w:rsid w:val="65FB79D3"/>
    <w:rsid w:val="662C367A"/>
    <w:rsid w:val="667B259F"/>
    <w:rsid w:val="66942F04"/>
    <w:rsid w:val="66C845E1"/>
    <w:rsid w:val="66E74B45"/>
    <w:rsid w:val="673D196D"/>
    <w:rsid w:val="680B0C1D"/>
    <w:rsid w:val="68301322"/>
    <w:rsid w:val="68915902"/>
    <w:rsid w:val="68C07818"/>
    <w:rsid w:val="68CC2A90"/>
    <w:rsid w:val="68D95BC3"/>
    <w:rsid w:val="68F077D5"/>
    <w:rsid w:val="69B6568D"/>
    <w:rsid w:val="6A5A7228"/>
    <w:rsid w:val="6A7B7F2F"/>
    <w:rsid w:val="6A841200"/>
    <w:rsid w:val="6AB87F51"/>
    <w:rsid w:val="6B2B246D"/>
    <w:rsid w:val="6C20186E"/>
    <w:rsid w:val="6C3F65A7"/>
    <w:rsid w:val="6C7A503E"/>
    <w:rsid w:val="6CD32922"/>
    <w:rsid w:val="6D07471D"/>
    <w:rsid w:val="6D34026D"/>
    <w:rsid w:val="6D88378A"/>
    <w:rsid w:val="6DE472EB"/>
    <w:rsid w:val="6DF37162"/>
    <w:rsid w:val="6E3C545B"/>
    <w:rsid w:val="6E5B5D49"/>
    <w:rsid w:val="6EE113A4"/>
    <w:rsid w:val="6EFC1C2C"/>
    <w:rsid w:val="6FC36CFC"/>
    <w:rsid w:val="701400D0"/>
    <w:rsid w:val="7053007F"/>
    <w:rsid w:val="70687AF1"/>
    <w:rsid w:val="70B41D75"/>
    <w:rsid w:val="714402C1"/>
    <w:rsid w:val="71615C45"/>
    <w:rsid w:val="72487C9F"/>
    <w:rsid w:val="72720E84"/>
    <w:rsid w:val="727A7B45"/>
    <w:rsid w:val="72910E8F"/>
    <w:rsid w:val="729A1F96"/>
    <w:rsid w:val="72CB230D"/>
    <w:rsid w:val="73093ECE"/>
    <w:rsid w:val="732B1218"/>
    <w:rsid w:val="73410D12"/>
    <w:rsid w:val="736340B7"/>
    <w:rsid w:val="73662157"/>
    <w:rsid w:val="73994D45"/>
    <w:rsid w:val="73AA26AC"/>
    <w:rsid w:val="7426138F"/>
    <w:rsid w:val="745A24B3"/>
    <w:rsid w:val="746513EC"/>
    <w:rsid w:val="747F58E7"/>
    <w:rsid w:val="74B45058"/>
    <w:rsid w:val="74E65054"/>
    <w:rsid w:val="759A5F7F"/>
    <w:rsid w:val="7619724D"/>
    <w:rsid w:val="76582DFD"/>
    <w:rsid w:val="76664E57"/>
    <w:rsid w:val="766F142E"/>
    <w:rsid w:val="767C66EB"/>
    <w:rsid w:val="76F50D6F"/>
    <w:rsid w:val="76F61765"/>
    <w:rsid w:val="77116EAE"/>
    <w:rsid w:val="7747473A"/>
    <w:rsid w:val="77867F17"/>
    <w:rsid w:val="779455FA"/>
    <w:rsid w:val="77A441B8"/>
    <w:rsid w:val="780E5F3D"/>
    <w:rsid w:val="78A86013"/>
    <w:rsid w:val="78AE7C12"/>
    <w:rsid w:val="794C6970"/>
    <w:rsid w:val="79B11D94"/>
    <w:rsid w:val="79B15330"/>
    <w:rsid w:val="79D21F42"/>
    <w:rsid w:val="7A011F08"/>
    <w:rsid w:val="7A2A3D65"/>
    <w:rsid w:val="7A9035F4"/>
    <w:rsid w:val="7ABA39B2"/>
    <w:rsid w:val="7B7F61CD"/>
    <w:rsid w:val="7BC64749"/>
    <w:rsid w:val="7C0332CF"/>
    <w:rsid w:val="7C46035A"/>
    <w:rsid w:val="7C546D1E"/>
    <w:rsid w:val="7D457ABC"/>
    <w:rsid w:val="7D500E2D"/>
    <w:rsid w:val="7D5326D0"/>
    <w:rsid w:val="7D9D4F7C"/>
    <w:rsid w:val="7DE42909"/>
    <w:rsid w:val="7E5E56B5"/>
    <w:rsid w:val="7EC804C1"/>
    <w:rsid w:val="7EED4470"/>
    <w:rsid w:val="7F4B047C"/>
    <w:rsid w:val="7F714AEA"/>
    <w:rsid w:val="7FD45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paragraph" w:styleId="3">
    <w:name w:val="heading 1"/>
    <w:basedOn w:val="1"/>
    <w:next w:val="1"/>
    <w:qFormat/>
    <w:uiPriority w:val="99"/>
    <w:pPr>
      <w:keepNext/>
      <w:keepLines/>
      <w:widowControl/>
      <w:spacing w:before="340" w:after="330"/>
      <w:jc w:val="left"/>
      <w:outlineLvl w:val="0"/>
    </w:pPr>
    <w:rPr>
      <w:rFonts w:ascii="宋体" w:cs="宋体"/>
      <w:kern w:val="0"/>
      <w:sz w:val="28"/>
      <w:szCs w:val="28"/>
    </w:rPr>
  </w:style>
  <w:style w:type="paragraph" w:styleId="4">
    <w:name w:val="heading 2"/>
    <w:basedOn w:val="1"/>
    <w:next w:val="1"/>
    <w:qFormat/>
    <w:uiPriority w:val="99"/>
    <w:pPr>
      <w:numPr>
        <w:ilvl w:val="1"/>
        <w:numId w:val="1"/>
      </w:numPr>
      <w:spacing w:before="260"/>
      <w:jc w:val="left"/>
      <w:outlineLvl w:val="1"/>
    </w:pPr>
    <w:rPr>
      <w:rFonts w:ascii="宋体" w:hAnsi="Arial" w:cs="宋体"/>
      <w:kern w:val="0"/>
      <w:sz w:val="28"/>
      <w:szCs w:val="28"/>
    </w:rPr>
  </w:style>
  <w:style w:type="paragraph" w:styleId="5">
    <w:name w:val="heading 3"/>
    <w:basedOn w:val="1"/>
    <w:next w:val="1"/>
    <w:qFormat/>
    <w:uiPriority w:val="99"/>
    <w:pPr>
      <w:keepNext/>
      <w:keepLines/>
      <w:widowControl/>
      <w:numPr>
        <w:ilvl w:val="2"/>
        <w:numId w:val="1"/>
      </w:numPr>
      <w:spacing w:before="260" w:after="260" w:line="416" w:lineRule="auto"/>
      <w:jc w:val="left"/>
      <w:outlineLvl w:val="2"/>
    </w:pPr>
    <w:rPr>
      <w:rFonts w:cs="Times New Roman"/>
      <w:b/>
      <w:bCs/>
      <w:kern w:val="0"/>
      <w:sz w:val="32"/>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宋体"/>
      <w:b/>
      <w:sz w:val="28"/>
      <w:szCs w:val="20"/>
    </w:rPr>
  </w:style>
  <w:style w:type="paragraph" w:styleId="6">
    <w:name w:val="annotation text"/>
    <w:basedOn w:val="1"/>
    <w:next w:val="7"/>
    <w:qFormat/>
    <w:uiPriority w:val="0"/>
    <w:pPr>
      <w:jc w:val="left"/>
    </w:pPr>
  </w:style>
  <w:style w:type="paragraph" w:styleId="7">
    <w:name w:val="Balloon Text"/>
    <w:basedOn w:val="1"/>
    <w:unhideWhenUsed/>
    <w:qFormat/>
    <w:uiPriority w:val="99"/>
    <w:rPr>
      <w:rFonts w:ascii="Calibri" w:hAnsi="Calibri" w:cs="Times New Roman"/>
      <w:sz w:val="18"/>
      <w:szCs w:val="18"/>
    </w:rPr>
  </w:style>
  <w:style w:type="paragraph" w:styleId="8">
    <w:name w:val="Body Text"/>
    <w:basedOn w:val="1"/>
    <w:next w:val="9"/>
    <w:qFormat/>
    <w:uiPriority w:val="0"/>
    <w:pPr>
      <w:jc w:val="center"/>
    </w:pPr>
    <w:rPr>
      <w:sz w:val="7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widowControl/>
      <w:spacing w:after="100" w:line="276" w:lineRule="auto"/>
      <w:ind w:left="440"/>
      <w:jc w:val="left"/>
    </w:pPr>
    <w:rPr>
      <w:kern w:val="0"/>
      <w:sz w:val="22"/>
      <w:szCs w:val="22"/>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9639"/>
      </w:tabs>
      <w:spacing w:line="360" w:lineRule="auto"/>
      <w:ind w:left="424" w:leftChars="202" w:right="170" w:rightChars="81"/>
      <w:jc w:val="center"/>
    </w:pPr>
    <w:rPr>
      <w:rFonts w:ascii="仿宋" w:hAnsi="仿宋" w:eastAsia="仿宋" w:cs="仿宋"/>
      <w:spacing w:val="80"/>
      <w:sz w:val="24"/>
      <w:szCs w:val="24"/>
    </w:rPr>
  </w:style>
  <w:style w:type="paragraph" w:styleId="14">
    <w:name w:val="Subtitle"/>
    <w:basedOn w:val="1"/>
    <w:next w:val="1"/>
    <w:link w:val="30"/>
    <w:qFormat/>
    <w:uiPriority w:val="99"/>
    <w:pPr>
      <w:widowControl/>
      <w:spacing w:before="240" w:after="60" w:line="312" w:lineRule="auto"/>
      <w:jc w:val="center"/>
      <w:outlineLvl w:val="1"/>
    </w:pPr>
    <w:rPr>
      <w:rFonts w:ascii="Calibri Light" w:hAnsi="Calibri Light" w:cs="Calibri Light"/>
      <w:b/>
      <w:bCs/>
      <w:kern w:val="28"/>
      <w:sz w:val="32"/>
      <w:szCs w:val="32"/>
    </w:rPr>
  </w:style>
  <w:style w:type="paragraph" w:styleId="15">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29"/>
    <w:qFormat/>
    <w:uiPriority w:val="99"/>
    <w:pPr>
      <w:widowControl/>
      <w:spacing w:before="60" w:after="60"/>
      <w:jc w:val="center"/>
      <w:outlineLvl w:val="0"/>
    </w:pPr>
    <w:rPr>
      <w:rFonts w:ascii="Cambria" w:hAnsi="Cambria" w:cs="Cambria"/>
      <w:b/>
      <w:bCs/>
      <w:kern w:val="0"/>
      <w:sz w:val="32"/>
      <w:szCs w:val="32"/>
    </w:rPr>
  </w:style>
  <w:style w:type="paragraph" w:styleId="17">
    <w:name w:val="Body Text First Indent"/>
    <w:basedOn w:val="8"/>
    <w:unhideWhenUsed/>
    <w:qFormat/>
    <w:uiPriority w:val="0"/>
    <w:pPr>
      <w:ind w:firstLine="420" w:firstLineChars="100"/>
    </w:pPr>
    <w:rPr>
      <w:kern w:val="0"/>
      <w:sz w:val="20"/>
    </w:rPr>
  </w:style>
  <w:style w:type="paragraph" w:styleId="18">
    <w:name w:val="Body Text First Indent 2"/>
    <w:basedOn w:val="9"/>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99"/>
  </w:style>
  <w:style w:type="character" w:styleId="23">
    <w:name w:val="Emphasis"/>
    <w:basedOn w:val="21"/>
    <w:qFormat/>
    <w:uiPriority w:val="0"/>
    <w:rPr>
      <w:i/>
    </w:rPr>
  </w:style>
  <w:style w:type="character" w:styleId="24">
    <w:name w:val="annotation reference"/>
    <w:basedOn w:val="21"/>
    <w:qFormat/>
    <w:uiPriority w:val="0"/>
    <w:rPr>
      <w:sz w:val="21"/>
      <w:szCs w:val="21"/>
    </w:rPr>
  </w:style>
  <w:style w:type="paragraph" w:customStyle="1" w:styleId="25">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
    <w:name w:val="_Style 4"/>
    <w:basedOn w:val="3"/>
    <w:next w:val="1"/>
    <w:qFormat/>
    <w:uiPriority w:val="99"/>
    <w:pPr>
      <w:widowControl w:val="0"/>
      <w:spacing w:line="576" w:lineRule="auto"/>
      <w:jc w:val="both"/>
      <w:outlineLvl w:val="9"/>
    </w:pPr>
    <w:rPr>
      <w:rFonts w:ascii="Calibri" w:hAnsi="Calibri" w:cs="Calibri"/>
      <w:b/>
      <w:bCs/>
      <w:kern w:val="44"/>
      <w:sz w:val="44"/>
      <w:szCs w:val="44"/>
    </w:rPr>
  </w:style>
  <w:style w:type="paragraph" w:customStyle="1" w:styleId="27">
    <w:name w:val="p0"/>
    <w:basedOn w:val="1"/>
    <w:qFormat/>
    <w:uiPriority w:val="99"/>
    <w:pPr>
      <w:widowControl/>
    </w:pPr>
    <w:rPr>
      <w:rFonts w:cs="Times New Roman"/>
      <w:kern w:val="0"/>
    </w:rPr>
  </w:style>
  <w:style w:type="character" w:customStyle="1" w:styleId="28">
    <w:name w:val="15"/>
    <w:qFormat/>
    <w:uiPriority w:val="99"/>
    <w:rPr>
      <w:rFonts w:ascii="Times New Roman" w:hAnsi="Times New Roman" w:cs="Times New Roman"/>
      <w:color w:val="auto"/>
      <w:u w:val="none"/>
    </w:rPr>
  </w:style>
  <w:style w:type="character" w:customStyle="1" w:styleId="29">
    <w:name w:val="标题 字符"/>
    <w:link w:val="16"/>
    <w:qFormat/>
    <w:locked/>
    <w:uiPriority w:val="99"/>
    <w:rPr>
      <w:rFonts w:ascii="Cambria" w:hAnsi="Cambria" w:cs="Cambria"/>
      <w:b/>
      <w:bCs/>
      <w:kern w:val="0"/>
      <w:sz w:val="32"/>
      <w:szCs w:val="32"/>
    </w:rPr>
  </w:style>
  <w:style w:type="character" w:customStyle="1" w:styleId="30">
    <w:name w:val="副标题 字符"/>
    <w:link w:val="14"/>
    <w:qFormat/>
    <w:locked/>
    <w:uiPriority w:val="99"/>
    <w:rPr>
      <w:rFonts w:ascii="Calibri Light" w:hAnsi="Calibri Light" w:cs="Calibri Light"/>
      <w:b/>
      <w:bCs/>
      <w:kern w:val="28"/>
      <w:sz w:val="32"/>
      <w:szCs w:val="32"/>
    </w:rPr>
  </w:style>
  <w:style w:type="paragraph" w:customStyle="1" w:styleId="3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修订1"/>
    <w:hidden/>
    <w:semiHidden/>
    <w:qFormat/>
    <w:uiPriority w:val="99"/>
    <w:rPr>
      <w:rFonts w:ascii="Times New Roman" w:hAnsi="Times New Roman" w:eastAsia="宋体" w:cs="Calibri"/>
      <w:kern w:val="2"/>
      <w:sz w:val="21"/>
      <w:szCs w:val="21"/>
      <w:lang w:val="en-US" w:eastAsia="zh-CN" w:bidi="ar-SA"/>
    </w:rPr>
  </w:style>
  <w:style w:type="paragraph" w:customStyle="1" w:styleId="33">
    <w:name w:val="Body text|1"/>
    <w:basedOn w:val="1"/>
    <w:qFormat/>
    <w:uiPriority w:val="0"/>
    <w:pPr>
      <w:spacing w:line="389" w:lineRule="auto"/>
      <w:ind w:firstLine="400"/>
    </w:pPr>
    <w:rPr>
      <w:rFonts w:ascii="宋体" w:hAnsi="宋体" w:cs="宋体"/>
      <w:sz w:val="30"/>
      <w:szCs w:val="30"/>
      <w:lang w:val="zh-TW" w:eastAsia="zh-TW" w:bidi="zh-TW"/>
    </w:rPr>
  </w:style>
  <w:style w:type="character" w:customStyle="1" w:styleId="34">
    <w:name w:val="副标题 Char"/>
    <w:qFormat/>
    <w:locked/>
    <w:uiPriority w:val="99"/>
    <w:rPr>
      <w:rFonts w:ascii="Calibri Light" w:hAnsi="Calibri Light" w:cs="Calibri Light"/>
      <w:b/>
      <w:bCs/>
      <w:kern w:val="28"/>
      <w:sz w:val="32"/>
      <w:szCs w:val="32"/>
    </w:rPr>
  </w:style>
  <w:style w:type="paragraph" w:customStyle="1" w:styleId="35">
    <w:name w:val="修订2"/>
    <w:hidden/>
    <w:unhideWhenUsed/>
    <w:qFormat/>
    <w:uiPriority w:val="99"/>
    <w:rPr>
      <w:rFonts w:ascii="Times New Roman" w:hAnsi="Times New Roman" w:eastAsia="宋体" w:cs="Calibri"/>
      <w:kern w:val="2"/>
      <w:sz w:val="21"/>
      <w:szCs w:val="21"/>
      <w:lang w:val="en-US" w:eastAsia="zh-CN" w:bidi="ar-SA"/>
    </w:rPr>
  </w:style>
  <w:style w:type="paragraph" w:styleId="36">
    <w:name w:val="List Paragraph"/>
    <w:basedOn w:val="1"/>
    <w:qFormat/>
    <w:uiPriority w:val="0"/>
    <w:pPr>
      <w:ind w:firstLine="420" w:firstLineChars="200"/>
    </w:pPr>
  </w:style>
  <w:style w:type="paragraph" w:customStyle="1" w:styleId="37">
    <w:name w:val="Revision"/>
    <w:hidden/>
    <w:unhideWhenUsed/>
    <w:qFormat/>
    <w:uiPriority w:val="99"/>
    <w:rPr>
      <w:rFonts w:ascii="Times New Roman" w:hAnsi="Times New Roman"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19917</Words>
  <Characters>20934</Characters>
  <Lines>41</Lines>
  <Paragraphs>49</Paragraphs>
  <TotalTime>1</TotalTime>
  <ScaleCrop>false</ScaleCrop>
  <LinksUpToDate>false</LinksUpToDate>
  <CharactersWithSpaces>23783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2022-07-21T06:24:00Z</dcterms:created>
  <dc:creator>001☆</dc:creator>
  <cp:lastModifiedBy>cp</cp:lastModifiedBy>
  <cp:lastPrinted>2022-09-06T11:05:00Z</cp:lastPrinted>
  <dcterms:modified xsi:type="dcterms:W3CDTF">2023-11-09T10:42:18Z</dcterms:modified>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12A1E45B49784A2882867B213C757168_13</vt:lpwstr>
  </property>
</Properties>
</file>