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sz w:val="20"/>
          <w:szCs w:val="20"/>
        </w:rPr>
      </w:pPr>
      <w:bookmarkStart w:id="0" w:name="_Toc247527820"/>
      <w:bookmarkStart w:id="1" w:name="_Toc144974851"/>
      <w:bookmarkStart w:id="2" w:name="_Toc152045782"/>
      <w:bookmarkStart w:id="3" w:name="_Toc152042571"/>
      <w:bookmarkStart w:id="4" w:name="_Toc247514233"/>
      <w:bookmarkStart w:id="5" w:name="_Toc300835205"/>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6"/>
          <w:szCs w:val="36"/>
          <w:u w:val="single"/>
          <w:lang w:eastAsia="zh-CN"/>
        </w:rPr>
      </w:pPr>
      <w:r>
        <w:rPr>
          <w:rFonts w:hint="eastAsia" w:ascii="黑体" w:eastAsia="黑体"/>
          <w:sz w:val="36"/>
          <w:szCs w:val="36"/>
          <w:u w:val="single"/>
          <w:lang w:eastAsia="zh-CN"/>
        </w:rPr>
        <w:t>广州白云国际机场综合服务大楼企业文化展厅项目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sz w:val="36"/>
          <w:szCs w:val="36"/>
        </w:rPr>
      </w:pPr>
      <w:r>
        <w:rPr>
          <w:rFonts w:hint="eastAsia" w:ascii="黑体" w:eastAsia="黑体"/>
          <w:sz w:val="36"/>
          <w:szCs w:val="36"/>
        </w:rPr>
        <w:t>设计施工总承包招标</w:t>
      </w:r>
    </w:p>
    <w:p>
      <w:pPr>
        <w:rPr>
          <w:sz w:val="28"/>
          <w:szCs w:val="28"/>
        </w:rPr>
      </w:pPr>
    </w:p>
    <w:p>
      <w:pPr>
        <w:rPr>
          <w:sz w:val="28"/>
          <w:szCs w:val="28"/>
        </w:rPr>
      </w:pPr>
    </w:p>
    <w:p>
      <w:pPr>
        <w:jc w:val="center"/>
        <w:rPr>
          <w:rFonts w:ascii="黑体" w:eastAsia="黑体"/>
          <w:sz w:val="44"/>
          <w:szCs w:val="44"/>
        </w:rPr>
      </w:pPr>
      <w:r>
        <w:rPr>
          <w:rFonts w:hint="eastAsia" w:ascii="黑体" w:eastAsia="黑体"/>
          <w:sz w:val="44"/>
          <w:szCs w:val="44"/>
        </w:rPr>
        <w:t>招标文件</w:t>
      </w:r>
    </w:p>
    <w:p>
      <w:pPr>
        <w:spacing w:line="400" w:lineRule="exact"/>
      </w:pPr>
    </w:p>
    <w:p>
      <w:pPr>
        <w:spacing w:line="400" w:lineRule="exact"/>
      </w:pPr>
    </w:p>
    <w:p>
      <w:pPr>
        <w:spacing w:line="400" w:lineRule="exact"/>
      </w:pPr>
    </w:p>
    <w:p>
      <w:pPr>
        <w:spacing w:line="400" w:lineRule="exact"/>
      </w:pPr>
    </w:p>
    <w:p>
      <w:pPr>
        <w:spacing w:line="400" w:lineRule="exact"/>
      </w:pPr>
      <w:r>
        <w:t xml:space="preserve"> </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jc w:val="center"/>
        <w:rPr>
          <w:rFonts w:hint="eastAsia" w:ascii="黑体" w:eastAsia="黑体"/>
          <w:sz w:val="28"/>
          <w:szCs w:val="28"/>
          <w:u w:val="single"/>
        </w:rPr>
      </w:pPr>
      <w:r>
        <w:rPr>
          <w:rFonts w:hint="eastAsia" w:ascii="黑体" w:eastAsia="黑体"/>
          <w:sz w:val="28"/>
          <w:szCs w:val="28"/>
        </w:rPr>
        <w:t>招标人：</w:t>
      </w:r>
      <w:r>
        <w:rPr>
          <w:rFonts w:hint="eastAsia" w:ascii="黑体" w:eastAsia="黑体"/>
          <w:sz w:val="28"/>
          <w:szCs w:val="28"/>
          <w:u w:val="single"/>
        </w:rPr>
        <w:t xml:space="preserve"> 广州白云国际机场股份有限公司 </w:t>
      </w:r>
    </w:p>
    <w:p>
      <w:pPr>
        <w:jc w:val="center"/>
        <w:rPr>
          <w:rFonts w:hint="default" w:ascii="黑体" w:eastAsia="黑体"/>
          <w:sz w:val="28"/>
          <w:szCs w:val="28"/>
          <w:u w:val="single"/>
          <w:lang w:val="en-US" w:eastAsia="zh-CN"/>
        </w:rPr>
      </w:pPr>
      <w:r>
        <w:rPr>
          <w:rFonts w:hint="eastAsia" w:ascii="黑体" w:eastAsia="黑体"/>
          <w:sz w:val="28"/>
          <w:szCs w:val="28"/>
          <w:u w:val="none"/>
          <w:lang w:val="en-US" w:eastAsia="zh-CN"/>
        </w:rPr>
        <w:t>招标代理：</w:t>
      </w:r>
      <w:r>
        <w:rPr>
          <w:rFonts w:hint="eastAsia" w:ascii="黑体" w:eastAsia="黑体"/>
          <w:sz w:val="28"/>
          <w:szCs w:val="28"/>
          <w:u w:val="single"/>
          <w:lang w:val="en-US" w:eastAsia="zh-CN"/>
        </w:rPr>
        <w:t>中捷通信有限公司</w:t>
      </w:r>
    </w:p>
    <w:p>
      <w:pPr>
        <w:jc w:val="center"/>
        <w:rPr>
          <w:rFonts w:ascii="黑体" w:eastAsia="黑体"/>
          <w:sz w:val="28"/>
          <w:szCs w:val="28"/>
        </w:rPr>
      </w:pPr>
      <w:r>
        <w:rPr>
          <w:rFonts w:hint="eastAsia" w:ascii="黑体" w:eastAsia="黑体"/>
          <w:sz w:val="28"/>
          <w:szCs w:val="28"/>
          <w:u w:val="single"/>
          <w:lang w:val="en-US" w:eastAsia="zh-CN"/>
        </w:rPr>
        <w:t>2023</w:t>
      </w: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11 </w:t>
      </w:r>
      <w:r>
        <w:rPr>
          <w:rFonts w:hint="eastAsia" w:ascii="黑体" w:eastAsia="黑体"/>
          <w:sz w:val="28"/>
          <w:szCs w:val="28"/>
        </w:rPr>
        <w:t>月</w:t>
      </w:r>
    </w:p>
    <w:p>
      <w:pPr>
        <w:spacing w:line="240" w:lineRule="auto"/>
        <w:jc w:val="center"/>
        <w:rPr>
          <w:rStyle w:val="29"/>
          <w:rFonts w:hint="eastAsia"/>
        </w:rPr>
        <w:sectPr>
          <w:footerReference r:id="rId3" w:type="default"/>
          <w:pgSz w:w="11906" w:h="16838"/>
          <w:pgMar w:top="1418" w:right="1417" w:bottom="1418" w:left="1417" w:header="851" w:footer="992" w:gutter="0"/>
          <w:pgNumType w:fmt="upperRoman" w:start="1"/>
          <w:cols w:space="720" w:num="1"/>
          <w:docGrid w:type="lines" w:linePitch="312" w:charSpace="0"/>
        </w:sectPr>
      </w:pPr>
      <w:bookmarkStart w:id="6" w:name="_Toc247527532"/>
      <w:bookmarkStart w:id="7" w:name="_Toc152042286"/>
      <w:bookmarkStart w:id="8" w:name="_Toc300834926"/>
      <w:bookmarkStart w:id="9" w:name="_Toc144974478"/>
    </w:p>
    <w:p>
      <w:pPr>
        <w:spacing w:line="400" w:lineRule="exact"/>
        <w:jc w:val="center"/>
      </w:pPr>
      <w:r>
        <w:rPr>
          <w:rStyle w:val="29"/>
          <w:rFonts w:hint="eastAsia"/>
        </w:rPr>
        <w:t>目     录</w:t>
      </w:r>
      <w:bookmarkEnd w:id="6"/>
      <w:bookmarkEnd w:id="7"/>
      <w:bookmarkEnd w:id="8"/>
      <w:bookmarkEnd w:id="9"/>
    </w:p>
    <w:p>
      <w:pPr>
        <w:pStyle w:val="14"/>
        <w:tabs>
          <w:tab w:val="right" w:leader="dot" w:pos="9628"/>
        </w:tabs>
        <w:rPr>
          <w:b w:val="0"/>
          <w:bCs w:val="0"/>
          <w:caps w:val="0"/>
          <w:sz w:val="28"/>
          <w:szCs w:val="28"/>
        </w:rPr>
      </w:pPr>
      <w:bookmarkStart w:id="10" w:name="_Toc247527533"/>
      <w:bookmarkStart w:id="11" w:name="_Toc247513932"/>
      <w:bookmarkStart w:id="12" w:name="_Toc152045511"/>
      <w:bookmarkStart w:id="13" w:name="_Toc144974479"/>
      <w:bookmarkStart w:id="14" w:name="_Toc152042287"/>
      <w:r>
        <w:rPr>
          <w:caps w:val="0"/>
          <w:sz w:val="28"/>
          <w:szCs w:val="28"/>
        </w:rPr>
        <w:fldChar w:fldCharType="begin"/>
      </w:r>
      <w:r>
        <w:rPr>
          <w:caps w:val="0"/>
          <w:sz w:val="28"/>
          <w:szCs w:val="28"/>
        </w:rPr>
        <w:instrText xml:space="preserve"> TOC \o "1-3" \h \z \u </w:instrText>
      </w:r>
      <w:r>
        <w:rPr>
          <w:caps w:val="0"/>
          <w:sz w:val="28"/>
          <w:szCs w:val="28"/>
        </w:rPr>
        <w:fldChar w:fldCharType="separate"/>
      </w:r>
    </w:p>
    <w:p>
      <w:pPr>
        <w:pStyle w:val="14"/>
        <w:tabs>
          <w:tab w:val="right" w:leader="dot" w:pos="9628"/>
        </w:tabs>
        <w:rPr>
          <w:b w:val="0"/>
          <w:bCs w:val="0"/>
          <w:caps w:val="0"/>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"_Toc300834927"</w:instrText>
      </w:r>
      <w:r>
        <w:rPr>
          <w:rStyle w:val="24"/>
          <w:sz w:val="28"/>
          <w:szCs w:val="28"/>
        </w:rPr>
        <w:instrText xml:space="preserve"> </w:instrText>
      </w:r>
      <w:r>
        <w:rPr>
          <w:sz w:val="28"/>
          <w:szCs w:val="28"/>
        </w:rPr>
        <w:fldChar w:fldCharType="separate"/>
      </w:r>
      <w:r>
        <w:rPr>
          <w:rStyle w:val="24"/>
          <w:rFonts w:hint="eastAsia"/>
          <w:sz w:val="28"/>
          <w:szCs w:val="28"/>
        </w:rPr>
        <w:t>第一卷</w:t>
      </w:r>
      <w:r>
        <w:rPr>
          <w:sz w:val="28"/>
          <w:szCs w:val="28"/>
        </w:rPr>
        <w:tab/>
      </w:r>
      <w:r>
        <w:rPr>
          <w:sz w:val="28"/>
          <w:szCs w:val="28"/>
        </w:rPr>
        <w:fldChar w:fldCharType="begin"/>
      </w:r>
      <w:r>
        <w:rPr>
          <w:sz w:val="28"/>
          <w:szCs w:val="28"/>
        </w:rPr>
        <w:instrText xml:space="preserve"> PAGEREF _Toc300834927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4"/>
        <w:tabs>
          <w:tab w:val="right" w:leader="dot" w:pos="9628"/>
        </w:tabs>
        <w:rPr>
          <w:b w:val="0"/>
          <w:bCs w:val="0"/>
          <w:caps w:val="0"/>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"_Toc300834928"</w:instrText>
      </w:r>
      <w:r>
        <w:rPr>
          <w:rStyle w:val="24"/>
          <w:sz w:val="28"/>
          <w:szCs w:val="28"/>
        </w:rPr>
        <w:instrText xml:space="preserve"> </w:instrText>
      </w:r>
      <w:r>
        <w:rPr>
          <w:sz w:val="28"/>
          <w:szCs w:val="28"/>
        </w:rPr>
        <w:fldChar w:fldCharType="separate"/>
      </w:r>
      <w:r>
        <w:rPr>
          <w:rStyle w:val="24"/>
          <w:rFonts w:hint="eastAsia"/>
          <w:sz w:val="28"/>
          <w:szCs w:val="28"/>
        </w:rPr>
        <w:t>第一章</w:t>
      </w:r>
      <w:r>
        <w:rPr>
          <w:rStyle w:val="24"/>
          <w:sz w:val="28"/>
          <w:szCs w:val="28"/>
        </w:rPr>
        <w:t xml:space="preserve"> </w:t>
      </w:r>
      <w:r>
        <w:rPr>
          <w:rStyle w:val="24"/>
          <w:rFonts w:hint="eastAsia"/>
          <w:sz w:val="28"/>
          <w:szCs w:val="28"/>
        </w:rPr>
        <w:t>招标公告</w:t>
      </w:r>
      <w:r>
        <w:rPr>
          <w:sz w:val="28"/>
          <w:szCs w:val="28"/>
        </w:rPr>
        <w:tab/>
      </w:r>
      <w:r>
        <w:rPr>
          <w:sz w:val="28"/>
          <w:szCs w:val="28"/>
        </w:rPr>
        <w:fldChar w:fldCharType="begin"/>
      </w:r>
      <w:r>
        <w:rPr>
          <w:sz w:val="28"/>
          <w:szCs w:val="28"/>
        </w:rPr>
        <w:instrText xml:space="preserve"> PAGEREF _Toc300834928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9628"/>
        </w:tabs>
        <w:rPr>
          <w:iCs/>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"_Toc300834947"</w:instrText>
      </w:r>
      <w:r>
        <w:rPr>
          <w:rStyle w:val="24"/>
          <w:sz w:val="28"/>
          <w:szCs w:val="28"/>
        </w:rPr>
        <w:instrText xml:space="preserve"> </w:instrText>
      </w:r>
      <w:r>
        <w:rPr>
          <w:sz w:val="28"/>
          <w:szCs w:val="28"/>
        </w:rPr>
        <w:fldChar w:fldCharType="separate"/>
      </w:r>
      <w:r>
        <w:rPr>
          <w:rStyle w:val="24"/>
          <w:rFonts w:hint="eastAsia"/>
          <w:sz w:val="28"/>
          <w:szCs w:val="28"/>
        </w:rPr>
        <w:t>第二章</w:t>
      </w:r>
      <w:r>
        <w:rPr>
          <w:rStyle w:val="24"/>
          <w:sz w:val="28"/>
          <w:szCs w:val="28"/>
        </w:rPr>
        <w:t xml:space="preserve"> </w:t>
      </w:r>
      <w:r>
        <w:rPr>
          <w:rStyle w:val="24"/>
          <w:rFonts w:hint="eastAsia"/>
          <w:sz w:val="28"/>
          <w:szCs w:val="28"/>
        </w:rPr>
        <w:t>投标人须知</w:t>
      </w:r>
      <w:r>
        <w:rPr>
          <w:sz w:val="28"/>
          <w:szCs w:val="28"/>
        </w:rPr>
        <w:tab/>
      </w:r>
      <w:r>
        <w:rPr>
          <w:sz w:val="28"/>
          <w:szCs w:val="28"/>
        </w:rPr>
        <w:fldChar w:fldCharType="begin"/>
      </w:r>
      <w:r>
        <w:rPr>
          <w:sz w:val="28"/>
          <w:szCs w:val="28"/>
        </w:rPr>
        <w:instrText xml:space="preserve"> PAGEREF _Toc300834947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9628"/>
        </w:tabs>
        <w:rPr>
          <w:iCs/>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"_Toc300835008"</w:instrText>
      </w:r>
      <w:r>
        <w:rPr>
          <w:rStyle w:val="24"/>
          <w:sz w:val="28"/>
          <w:szCs w:val="28"/>
        </w:rPr>
        <w:instrText xml:space="preserve"> </w:instrText>
      </w:r>
      <w:r>
        <w:rPr>
          <w:sz w:val="28"/>
          <w:szCs w:val="28"/>
        </w:rPr>
        <w:fldChar w:fldCharType="separate"/>
      </w:r>
      <w:r>
        <w:rPr>
          <w:rStyle w:val="24"/>
          <w:rFonts w:hint="eastAsia"/>
          <w:sz w:val="28"/>
          <w:szCs w:val="28"/>
        </w:rPr>
        <w:t>第三章</w:t>
      </w:r>
      <w:r>
        <w:rPr>
          <w:rStyle w:val="24"/>
          <w:sz w:val="28"/>
          <w:szCs w:val="28"/>
        </w:rPr>
        <w:t xml:space="preserve"> </w:t>
      </w:r>
      <w:r>
        <w:rPr>
          <w:rStyle w:val="24"/>
          <w:rFonts w:hint="eastAsia"/>
          <w:sz w:val="28"/>
          <w:szCs w:val="28"/>
        </w:rPr>
        <w:t>评标办法（综合评估法）</w:t>
      </w:r>
      <w:r>
        <w:rPr>
          <w:sz w:val="28"/>
          <w:szCs w:val="28"/>
        </w:rPr>
        <w:tab/>
      </w:r>
      <w:r>
        <w:rPr>
          <w:sz w:val="28"/>
          <w:szCs w:val="28"/>
        </w:rPr>
        <w:fldChar w:fldCharType="begin"/>
      </w:r>
      <w:r>
        <w:rPr>
          <w:sz w:val="28"/>
          <w:szCs w:val="28"/>
        </w:rPr>
        <w:instrText xml:space="preserve"> PAGEREF _Toc300835008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14"/>
        <w:tabs>
          <w:tab w:val="right" w:leader="dot" w:pos="9628"/>
        </w:tabs>
        <w:rPr>
          <w:iCs/>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"_Toc300835030"</w:instrText>
      </w:r>
      <w:r>
        <w:rPr>
          <w:rStyle w:val="24"/>
          <w:sz w:val="28"/>
          <w:szCs w:val="28"/>
        </w:rPr>
        <w:instrText xml:space="preserve"> </w:instrText>
      </w:r>
      <w:r>
        <w:rPr>
          <w:sz w:val="28"/>
          <w:szCs w:val="28"/>
        </w:rPr>
        <w:fldChar w:fldCharType="separate"/>
      </w:r>
      <w:r>
        <w:rPr>
          <w:rStyle w:val="24"/>
          <w:rFonts w:hint="eastAsia"/>
          <w:sz w:val="28"/>
          <w:szCs w:val="28"/>
        </w:rPr>
        <w:t>第四章</w:t>
      </w:r>
      <w:r>
        <w:rPr>
          <w:rStyle w:val="24"/>
          <w:sz w:val="28"/>
          <w:szCs w:val="28"/>
        </w:rPr>
        <w:t xml:space="preserve"> </w:t>
      </w:r>
      <w:r>
        <w:rPr>
          <w:rStyle w:val="24"/>
          <w:rFonts w:hint="eastAsia"/>
          <w:sz w:val="28"/>
          <w:szCs w:val="28"/>
        </w:rPr>
        <w:t>合同条款及格式</w:t>
      </w:r>
      <w:r>
        <w:rPr>
          <w:sz w:val="28"/>
          <w:szCs w:val="28"/>
        </w:rPr>
        <w:tab/>
      </w:r>
      <w:r>
        <w:rPr>
          <w:sz w:val="28"/>
          <w:szCs w:val="28"/>
        </w:rPr>
        <w:fldChar w:fldCharType="begin"/>
      </w:r>
      <w:r>
        <w:rPr>
          <w:sz w:val="28"/>
          <w:szCs w:val="28"/>
        </w:rPr>
        <w:instrText xml:space="preserve"> PAGEREF _Toc300835030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14"/>
        <w:tabs>
          <w:tab w:val="right" w:leader="dot" w:pos="9628"/>
        </w:tabs>
        <w:rPr>
          <w:b w:val="0"/>
          <w:bCs w:val="0"/>
          <w:caps w:val="0"/>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"_Toc300835204"</w:instrText>
      </w:r>
      <w:r>
        <w:rPr>
          <w:rStyle w:val="24"/>
          <w:sz w:val="28"/>
          <w:szCs w:val="28"/>
        </w:rPr>
        <w:instrText xml:space="preserve"> </w:instrText>
      </w:r>
      <w:r>
        <w:rPr>
          <w:sz w:val="28"/>
          <w:szCs w:val="28"/>
        </w:rPr>
        <w:fldChar w:fldCharType="separate"/>
      </w:r>
      <w:r>
        <w:rPr>
          <w:rStyle w:val="24"/>
          <w:rFonts w:hint="eastAsia"/>
          <w:sz w:val="28"/>
          <w:szCs w:val="28"/>
        </w:rPr>
        <w:t>第二卷</w:t>
      </w:r>
      <w:r>
        <w:rPr>
          <w:sz w:val="28"/>
          <w:szCs w:val="28"/>
        </w:rPr>
        <w:tab/>
      </w:r>
      <w:r>
        <w:rPr>
          <w:sz w:val="28"/>
          <w:szCs w:val="28"/>
        </w:rPr>
        <w:fldChar w:fldCharType="begin"/>
      </w:r>
      <w:r>
        <w:rPr>
          <w:sz w:val="28"/>
          <w:szCs w:val="28"/>
        </w:rPr>
        <w:instrText xml:space="preserve"> PAGEREF _Toc300835204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14"/>
        <w:tabs>
          <w:tab w:val="right" w:leader="dot" w:pos="9628"/>
        </w:tabs>
        <w:rPr>
          <w:rFonts w:hint="default" w:eastAsia="宋体"/>
          <w:b w:val="0"/>
          <w:bCs w:val="0"/>
          <w:caps w:val="0"/>
          <w:sz w:val="28"/>
          <w:szCs w:val="28"/>
          <w:lang w:val="en-US" w:eastAsia="zh-CN"/>
        </w:rPr>
      </w:pPr>
      <w:r>
        <w:rPr>
          <w:sz w:val="28"/>
          <w:szCs w:val="28"/>
        </w:rPr>
        <w:fldChar w:fldCharType="begin"/>
      </w:r>
      <w:r>
        <w:rPr>
          <w:rStyle w:val="24"/>
          <w:sz w:val="28"/>
          <w:szCs w:val="28"/>
        </w:rPr>
        <w:instrText xml:space="preserve"> </w:instrText>
      </w:r>
      <w:r>
        <w:rPr>
          <w:sz w:val="28"/>
          <w:szCs w:val="28"/>
        </w:rPr>
        <w:instrText xml:space="preserve">HYPERLINK \l "_Toc300835205"</w:instrText>
      </w:r>
      <w:r>
        <w:rPr>
          <w:rStyle w:val="24"/>
          <w:sz w:val="28"/>
          <w:szCs w:val="28"/>
        </w:rPr>
        <w:instrText xml:space="preserve"> </w:instrText>
      </w:r>
      <w:r>
        <w:rPr>
          <w:sz w:val="28"/>
          <w:szCs w:val="28"/>
        </w:rPr>
        <w:fldChar w:fldCharType="separate"/>
      </w:r>
      <w:r>
        <w:rPr>
          <w:rStyle w:val="24"/>
          <w:rFonts w:hint="eastAsia"/>
          <w:sz w:val="28"/>
          <w:szCs w:val="28"/>
        </w:rPr>
        <w:t>第五章</w:t>
      </w:r>
      <w:r>
        <w:rPr>
          <w:rStyle w:val="24"/>
          <w:sz w:val="28"/>
          <w:szCs w:val="28"/>
        </w:rPr>
        <w:t xml:space="preserve">  </w:t>
      </w:r>
      <w:r>
        <w:rPr>
          <w:rStyle w:val="24"/>
          <w:rFonts w:hint="eastAsia"/>
          <w:sz w:val="28"/>
          <w:szCs w:val="28"/>
        </w:rPr>
        <w:t>发包人要求</w:t>
      </w:r>
      <w:r>
        <w:rPr>
          <w:sz w:val="28"/>
          <w:szCs w:val="28"/>
        </w:rPr>
        <w:tab/>
      </w:r>
      <w:r>
        <w:rPr>
          <w:sz w:val="28"/>
          <w:szCs w:val="28"/>
        </w:rPr>
        <w:fldChar w:fldCharType="begin"/>
      </w:r>
      <w:r>
        <w:rPr>
          <w:sz w:val="28"/>
          <w:szCs w:val="28"/>
        </w:rPr>
        <w:instrText xml:space="preserve"> PAGEREF _Toc300835205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09</w:t>
      </w:r>
    </w:p>
    <w:p>
      <w:pPr>
        <w:pStyle w:val="14"/>
        <w:tabs>
          <w:tab w:val="right" w:leader="dot" w:pos="9628"/>
        </w:tabs>
        <w:rPr>
          <w:b w:val="0"/>
          <w:bCs w:val="0"/>
          <w:caps w:val="0"/>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"_Toc300835206"</w:instrText>
      </w:r>
      <w:r>
        <w:rPr>
          <w:rStyle w:val="24"/>
          <w:sz w:val="28"/>
          <w:szCs w:val="28"/>
        </w:rPr>
        <w:instrText xml:space="preserve"> </w:instrText>
      </w:r>
      <w:r>
        <w:rPr>
          <w:sz w:val="28"/>
          <w:szCs w:val="28"/>
        </w:rPr>
        <w:fldChar w:fldCharType="separate"/>
      </w:r>
      <w:r>
        <w:rPr>
          <w:rStyle w:val="24"/>
          <w:rFonts w:hint="eastAsia"/>
          <w:sz w:val="28"/>
          <w:szCs w:val="28"/>
        </w:rPr>
        <w:t>第六章</w:t>
      </w:r>
      <w:r>
        <w:rPr>
          <w:rStyle w:val="24"/>
          <w:sz w:val="28"/>
          <w:szCs w:val="28"/>
        </w:rPr>
        <w:t xml:space="preserve">  </w:t>
      </w:r>
      <w:r>
        <w:rPr>
          <w:rStyle w:val="24"/>
          <w:rFonts w:hint="eastAsia"/>
          <w:sz w:val="28"/>
          <w:szCs w:val="28"/>
        </w:rPr>
        <w:t>发包人提供的资料</w:t>
      </w:r>
      <w:r>
        <w:rPr>
          <w:sz w:val="28"/>
          <w:szCs w:val="28"/>
        </w:rPr>
        <w:tab/>
      </w:r>
      <w:r>
        <w:rPr>
          <w:sz w:val="28"/>
          <w:szCs w:val="28"/>
        </w:rPr>
        <w:fldChar w:fldCharType="begin"/>
      </w:r>
      <w:r>
        <w:rPr>
          <w:sz w:val="28"/>
          <w:szCs w:val="28"/>
        </w:rPr>
        <w:instrText xml:space="preserve"> PAGEREF _Toc300835206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14"/>
        <w:tabs>
          <w:tab w:val="right" w:leader="dot" w:pos="9628"/>
        </w:tabs>
        <w:rPr>
          <w:b w:val="0"/>
          <w:bCs w:val="0"/>
          <w:caps w:val="0"/>
          <w:sz w:val="28"/>
          <w:szCs w:val="28"/>
        </w:rPr>
      </w:pPr>
      <w:r>
        <w:rPr>
          <w:sz w:val="28"/>
          <w:szCs w:val="28"/>
        </w:rPr>
        <w:fldChar w:fldCharType="begin"/>
      </w:r>
      <w:r>
        <w:rPr>
          <w:rStyle w:val="24"/>
          <w:sz w:val="28"/>
          <w:szCs w:val="28"/>
        </w:rPr>
        <w:instrText xml:space="preserve"> </w:instrText>
      </w:r>
      <w:r>
        <w:rPr>
          <w:sz w:val="28"/>
          <w:szCs w:val="28"/>
        </w:rPr>
        <w:instrText xml:space="preserve">HYPERLINK \l "_Toc300835207"</w:instrText>
      </w:r>
      <w:r>
        <w:rPr>
          <w:rStyle w:val="24"/>
          <w:sz w:val="28"/>
          <w:szCs w:val="28"/>
        </w:rPr>
        <w:instrText xml:space="preserve"> </w:instrText>
      </w:r>
      <w:r>
        <w:rPr>
          <w:sz w:val="28"/>
          <w:szCs w:val="28"/>
        </w:rPr>
        <w:fldChar w:fldCharType="separate"/>
      </w:r>
      <w:r>
        <w:rPr>
          <w:rStyle w:val="24"/>
          <w:rFonts w:hint="eastAsia"/>
          <w:sz w:val="28"/>
          <w:szCs w:val="28"/>
        </w:rPr>
        <w:t>第三卷</w:t>
      </w:r>
      <w:r>
        <w:rPr>
          <w:sz w:val="28"/>
          <w:szCs w:val="28"/>
        </w:rPr>
        <w:tab/>
      </w:r>
      <w:r>
        <w:rPr>
          <w:sz w:val="28"/>
          <w:szCs w:val="28"/>
        </w:rPr>
        <w:fldChar w:fldCharType="begin"/>
      </w:r>
      <w:r>
        <w:rPr>
          <w:sz w:val="28"/>
          <w:szCs w:val="28"/>
        </w:rPr>
        <w:instrText xml:space="preserve"> PAGEREF _Toc300835207 \h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4"/>
        <w:tabs>
          <w:tab w:val="right" w:leader="dot" w:pos="9628"/>
        </w:tabs>
        <w:rPr>
          <w:sz w:val="28"/>
          <w:szCs w:val="28"/>
        </w:rPr>
        <w:sectPr>
          <w:footerReference r:id="rId4" w:type="default"/>
          <w:pgSz w:w="11906" w:h="16838"/>
          <w:pgMar w:top="1417" w:right="1417" w:bottom="1418" w:left="1417" w:header="851" w:footer="992" w:gutter="0"/>
          <w:pgNumType w:fmt="upperRoman" w:start="1"/>
          <w:cols w:space="720" w:num="1"/>
          <w:docGrid w:type="lines" w:linePitch="312" w:charSpace="0"/>
        </w:sectPr>
      </w:pPr>
      <w:r>
        <w:rPr>
          <w:sz w:val="28"/>
          <w:szCs w:val="28"/>
        </w:rPr>
        <w:fldChar w:fldCharType="begin"/>
      </w:r>
      <w:r>
        <w:rPr>
          <w:rStyle w:val="24"/>
          <w:sz w:val="28"/>
          <w:szCs w:val="28"/>
        </w:rPr>
        <w:instrText xml:space="preserve"> </w:instrText>
      </w:r>
      <w:r>
        <w:rPr>
          <w:sz w:val="28"/>
          <w:szCs w:val="28"/>
        </w:rPr>
        <w:instrText xml:space="preserve">HYPERLINK \l "_Toc300835208"</w:instrText>
      </w:r>
      <w:r>
        <w:rPr>
          <w:rStyle w:val="24"/>
          <w:sz w:val="28"/>
          <w:szCs w:val="28"/>
        </w:rPr>
        <w:instrText xml:space="preserve"> </w:instrText>
      </w:r>
      <w:r>
        <w:rPr>
          <w:sz w:val="28"/>
          <w:szCs w:val="28"/>
        </w:rPr>
        <w:fldChar w:fldCharType="separate"/>
      </w:r>
      <w:r>
        <w:rPr>
          <w:rStyle w:val="24"/>
          <w:rFonts w:hint="eastAsia"/>
          <w:sz w:val="28"/>
          <w:szCs w:val="28"/>
        </w:rPr>
        <w:t>第七章</w:t>
      </w:r>
      <w:r>
        <w:rPr>
          <w:rStyle w:val="24"/>
          <w:sz w:val="28"/>
          <w:szCs w:val="28"/>
        </w:rPr>
        <w:t xml:space="preserve">  </w:t>
      </w:r>
      <w:r>
        <w:rPr>
          <w:rStyle w:val="24"/>
          <w:rFonts w:hint="eastAsia"/>
          <w:sz w:val="28"/>
          <w:szCs w:val="28"/>
        </w:rPr>
        <w:t>投标文件格式</w:t>
      </w:r>
      <w:r>
        <w:rPr>
          <w:sz w:val="28"/>
          <w:szCs w:val="28"/>
        </w:rPr>
        <w:tab/>
      </w:r>
      <w:r>
        <w:rPr>
          <w:sz w:val="28"/>
          <w:szCs w:val="28"/>
        </w:rPr>
        <w:fldChar w:fldCharType="begin"/>
      </w:r>
      <w:r>
        <w:rPr>
          <w:sz w:val="28"/>
          <w:szCs w:val="28"/>
        </w:rPr>
        <w:instrText xml:space="preserve"> PAGEREF _Toc300835208 \h </w:instrText>
      </w:r>
      <w:r>
        <w:rPr>
          <w:sz w:val="28"/>
          <w:szCs w:val="28"/>
        </w:rPr>
        <w:fldChar w:fldCharType="separate"/>
      </w:r>
      <w:r>
        <w:rPr>
          <w:sz w:val="28"/>
          <w:szCs w:val="28"/>
        </w:rPr>
        <w:t>44</w:t>
      </w:r>
      <w:r>
        <w:rPr>
          <w:sz w:val="28"/>
          <w:szCs w:val="28"/>
        </w:rPr>
        <w:fldChar w:fldCharType="end"/>
      </w:r>
      <w:r>
        <w:rPr>
          <w:sz w:val="28"/>
          <w:szCs w:val="28"/>
        </w:rPr>
        <w:fldChar w:fldCharType="end"/>
      </w:r>
      <w:r>
        <w:rPr>
          <w:sz w:val="28"/>
          <w:szCs w:val="28"/>
        </w:rPr>
        <w:fldChar w:fldCharType="end"/>
      </w:r>
    </w:p>
    <w:p>
      <w:pPr>
        <w:bidi w:val="0"/>
        <w:rPr>
          <w:rFonts w:hint="eastAsia"/>
        </w:rPr>
      </w:pPr>
    </w:p>
    <w:p>
      <w:pPr>
        <w:pStyle w:val="2"/>
        <w:jc w:val="center"/>
        <w:rPr>
          <w:rFonts w:hint="eastAsia"/>
        </w:rPr>
      </w:pPr>
      <w:bookmarkStart w:id="15" w:name="_Toc300834927"/>
      <w:r>
        <w:rPr>
          <w:rFonts w:hint="eastAsia"/>
        </w:rPr>
        <w:t>第一卷</w:t>
      </w:r>
      <w:bookmarkEnd w:id="10"/>
      <w:bookmarkEnd w:id="11"/>
      <w:bookmarkEnd w:id="15"/>
    </w:p>
    <w:p>
      <w:pPr>
        <w:bidi w:val="0"/>
      </w:pPr>
      <w:r>
        <w:br w:type="page"/>
      </w:r>
    </w:p>
    <w:p>
      <w:pPr>
        <w:pStyle w:val="2"/>
        <w:jc w:val="center"/>
      </w:pPr>
      <w:bookmarkStart w:id="16" w:name="_Toc247527534"/>
      <w:bookmarkStart w:id="17" w:name="_Toc300834928"/>
      <w:bookmarkStart w:id="18" w:name="_Toc247513933"/>
      <w:r>
        <w:rPr>
          <w:rFonts w:hint="eastAsia"/>
        </w:rPr>
        <w:t>第一章 招标公告</w:t>
      </w:r>
      <w:bookmarkEnd w:id="12"/>
      <w:bookmarkEnd w:id="13"/>
      <w:bookmarkEnd w:id="14"/>
      <w:bookmarkEnd w:id="16"/>
      <w:bookmarkEnd w:id="17"/>
      <w:bookmarkEnd w:id="18"/>
    </w:p>
    <w:p>
      <w:pPr>
        <w:tabs>
          <w:tab w:val="center" w:pos="4153"/>
        </w:tabs>
        <w:spacing w:line="440" w:lineRule="exact"/>
        <w:rPr>
          <w:rFonts w:eastAsia="黑体"/>
          <w:sz w:val="17"/>
          <w:szCs w:val="17"/>
        </w:rPr>
      </w:pPr>
    </w:p>
    <w:p>
      <w:pPr>
        <w:spacing w:line="400" w:lineRule="exact"/>
        <w:jc w:val="center"/>
        <w:rPr>
          <w:rFonts w:hint="default" w:eastAsia="宋体"/>
          <w:sz w:val="40"/>
          <w:szCs w:val="48"/>
          <w:lang w:val="en-US" w:eastAsia="zh-CN"/>
        </w:rPr>
      </w:pPr>
      <w:r>
        <w:rPr>
          <w:rFonts w:hint="eastAsia"/>
          <w:sz w:val="40"/>
          <w:szCs w:val="48"/>
          <w:lang w:val="en-US" w:eastAsia="zh-CN"/>
        </w:rPr>
        <w:t>（另册）</w:t>
      </w:r>
    </w:p>
    <w:p>
      <w:pPr>
        <w:bidi w:val="0"/>
      </w:pPr>
    </w:p>
    <w:p>
      <w:pPr>
        <w:pStyle w:val="2"/>
        <w:jc w:val="center"/>
      </w:pPr>
      <w:bookmarkStart w:id="19" w:name="_Toc144974495"/>
      <w:bookmarkStart w:id="20" w:name="_Toc300834947"/>
      <w:bookmarkStart w:id="21" w:name="_Toc247527551"/>
      <w:bookmarkStart w:id="22" w:name="_Toc152045527"/>
      <w:bookmarkStart w:id="23" w:name="_Toc247513950"/>
      <w:bookmarkStart w:id="24" w:name="_Toc152042303"/>
      <w:r>
        <w:rPr>
          <w:rFonts w:hint="eastAsia"/>
        </w:rPr>
        <w:br w:type="page"/>
      </w:r>
      <w:bookmarkStart w:id="549" w:name="_GoBack"/>
      <w:bookmarkEnd w:id="549"/>
      <w:r>
        <w:rPr>
          <w:rFonts w:hint="eastAsia"/>
        </w:rPr>
        <w:t>第二章 投标人须知</w:t>
      </w:r>
      <w:bookmarkEnd w:id="19"/>
      <w:bookmarkEnd w:id="20"/>
      <w:bookmarkEnd w:id="21"/>
      <w:bookmarkEnd w:id="22"/>
      <w:bookmarkEnd w:id="23"/>
      <w:bookmarkEnd w:id="24"/>
    </w:p>
    <w:p>
      <w:pPr>
        <w:pStyle w:val="3"/>
        <w:jc w:val="center"/>
      </w:pPr>
      <w:bookmarkStart w:id="25" w:name="_Toc152042304"/>
      <w:bookmarkStart w:id="26" w:name="_Toc152045528"/>
      <w:bookmarkStart w:id="27" w:name="_Toc300834948"/>
      <w:bookmarkStart w:id="28" w:name="_Toc247527552"/>
      <w:bookmarkStart w:id="29" w:name="_Toc247513951"/>
      <w:bookmarkStart w:id="30" w:name="_Toc144974496"/>
      <w:r>
        <w:rPr>
          <w:rFonts w:hint="eastAsia"/>
        </w:rPr>
        <w:t>投标人须知前附表</w:t>
      </w:r>
      <w:bookmarkEnd w:id="25"/>
      <w:bookmarkEnd w:id="26"/>
      <w:bookmarkEnd w:id="27"/>
      <w:bookmarkEnd w:id="28"/>
      <w:bookmarkEnd w:id="29"/>
      <w:bookmarkEnd w:id="3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2638"/>
        <w:gridCol w:w="6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  款  名  称</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招标人</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color w:val="auto"/>
                <w:szCs w:val="21"/>
                <w:highlight w:val="none"/>
              </w:rPr>
            </w:pPr>
            <w:r>
              <w:rPr>
                <w:rFonts w:hint="eastAsia"/>
                <w:color w:val="auto"/>
                <w:szCs w:val="21"/>
                <w:highlight w:val="none"/>
              </w:rPr>
              <w:t>名称：广州白云国际机场股份有限公司</w:t>
            </w:r>
          </w:p>
          <w:p>
            <w:pPr>
              <w:spacing w:line="440" w:lineRule="exact"/>
              <w:rPr>
                <w:rFonts w:hint="eastAsia" w:eastAsia="宋体"/>
                <w:color w:val="auto"/>
                <w:szCs w:val="21"/>
                <w:highlight w:val="none"/>
                <w:lang w:val="en-US" w:eastAsia="zh-CN"/>
              </w:rPr>
            </w:pPr>
            <w:r>
              <w:rPr>
                <w:rFonts w:hint="eastAsia"/>
                <w:color w:val="auto"/>
                <w:szCs w:val="21"/>
                <w:highlight w:val="none"/>
              </w:rPr>
              <w:t>地址：广</w:t>
            </w:r>
            <w:r>
              <w:rPr>
                <w:rFonts w:hint="eastAsia" w:eastAsia="宋体"/>
                <w:color w:val="auto"/>
                <w:szCs w:val="21"/>
                <w:highlight w:val="none"/>
                <w:lang w:val="en-US" w:eastAsia="zh-CN"/>
              </w:rPr>
              <w:t>州市白云区空港南三路</w:t>
            </w:r>
          </w:p>
          <w:p>
            <w:pPr>
              <w:spacing w:line="440" w:lineRule="exact"/>
              <w:rPr>
                <w:rFonts w:hint="default" w:eastAsia="宋体"/>
                <w:color w:val="auto"/>
                <w:szCs w:val="21"/>
                <w:highlight w:val="none"/>
                <w:lang w:val="en-US" w:eastAsia="zh-CN"/>
              </w:rPr>
            </w:pPr>
            <w:r>
              <w:rPr>
                <w:rFonts w:hint="eastAsia" w:eastAsia="宋体"/>
                <w:color w:val="auto"/>
                <w:szCs w:val="21"/>
                <w:highlight w:val="none"/>
                <w:lang w:val="en-US" w:eastAsia="zh-CN"/>
              </w:rPr>
              <w:t>联 系 人： 许工</w:t>
            </w:r>
          </w:p>
          <w:p>
            <w:pPr>
              <w:spacing w:line="440" w:lineRule="exact"/>
              <w:rPr>
                <w:rFonts w:hint="default" w:eastAsia="宋体"/>
                <w:szCs w:val="21"/>
                <w:lang w:val="en-US" w:eastAsia="zh-CN"/>
              </w:rPr>
            </w:pPr>
            <w:r>
              <w:rPr>
                <w:rFonts w:hint="eastAsia" w:eastAsia="宋体"/>
                <w:color w:val="auto"/>
                <w:szCs w:val="21"/>
                <w:highlight w:val="none"/>
                <w:lang w:val="en-US" w:eastAsia="zh-CN"/>
              </w:rPr>
              <w:t>电话：020-36050123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招标代理机构</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eastAsia="宋体"/>
                <w:color w:val="auto"/>
                <w:szCs w:val="21"/>
                <w:highlight w:val="none"/>
                <w:lang w:val="en-US" w:eastAsia="zh-CN"/>
              </w:rPr>
            </w:pPr>
            <w:r>
              <w:rPr>
                <w:rFonts w:hint="eastAsia"/>
                <w:color w:val="auto"/>
                <w:szCs w:val="21"/>
                <w:highlight w:val="none"/>
              </w:rPr>
              <w:t>名称：</w:t>
            </w:r>
            <w:r>
              <w:rPr>
                <w:rFonts w:hint="eastAsia"/>
                <w:color w:val="auto"/>
                <w:szCs w:val="21"/>
                <w:highlight w:val="none"/>
                <w:lang w:val="en-US" w:eastAsia="zh-CN"/>
              </w:rPr>
              <w:t>中捷通信有限公司</w:t>
            </w:r>
          </w:p>
          <w:p>
            <w:pPr>
              <w:spacing w:line="440" w:lineRule="exact"/>
              <w:rPr>
                <w:rFonts w:hint="default" w:eastAsia="宋体"/>
                <w:color w:val="auto"/>
                <w:szCs w:val="21"/>
                <w:highlight w:val="none"/>
                <w:lang w:val="en-US" w:eastAsia="zh-CN"/>
              </w:rPr>
            </w:pPr>
            <w:r>
              <w:rPr>
                <w:rFonts w:hint="eastAsia"/>
                <w:color w:val="auto"/>
                <w:szCs w:val="21"/>
                <w:highlight w:val="none"/>
              </w:rPr>
              <w:t>地址：</w:t>
            </w:r>
            <w:r>
              <w:rPr>
                <w:rFonts w:hint="eastAsia"/>
                <w:color w:val="auto"/>
                <w:szCs w:val="21"/>
                <w:highlight w:val="none"/>
                <w:lang w:val="en-US" w:eastAsia="zh-CN"/>
              </w:rPr>
              <w:t xml:space="preserve"> 广州市越秀区较场西路21号</w:t>
            </w:r>
          </w:p>
          <w:p>
            <w:pPr>
              <w:spacing w:line="440" w:lineRule="exact"/>
              <w:rPr>
                <w:rFonts w:hint="default" w:eastAsia="宋体"/>
                <w:color w:val="auto"/>
                <w:szCs w:val="21"/>
                <w:highlight w:val="none"/>
                <w:lang w:val="en-US" w:eastAsia="zh-CN"/>
              </w:rPr>
            </w:pPr>
            <w:r>
              <w:rPr>
                <w:rFonts w:hint="eastAsia"/>
                <w:color w:val="auto"/>
                <w:szCs w:val="21"/>
                <w:highlight w:val="none"/>
              </w:rPr>
              <w:t>联系人：</w:t>
            </w:r>
            <w:r>
              <w:rPr>
                <w:rFonts w:hint="eastAsia"/>
                <w:color w:val="auto"/>
                <w:szCs w:val="21"/>
                <w:highlight w:val="none"/>
                <w:lang w:val="en-US" w:eastAsia="zh-CN"/>
              </w:rPr>
              <w:t>林宝瑜、刘涛、谢知、黄军林</w:t>
            </w:r>
          </w:p>
          <w:p>
            <w:pPr>
              <w:spacing w:line="440" w:lineRule="exact"/>
              <w:rPr>
                <w:szCs w:val="21"/>
              </w:rPr>
            </w:pPr>
            <w:r>
              <w:rPr>
                <w:rFonts w:hint="eastAsia"/>
                <w:color w:val="auto"/>
                <w:szCs w:val="21"/>
                <w:highlight w:val="none"/>
              </w:rPr>
              <w:t>电话</w:t>
            </w:r>
            <w:r>
              <w:rPr>
                <w:rFonts w:hint="eastAsia"/>
                <w:color w:val="auto"/>
                <w:szCs w:val="21"/>
                <w:highlight w:val="none"/>
                <w:lang w:eastAsia="zh-CN"/>
              </w:rPr>
              <w:t>：</w:t>
            </w:r>
            <w:r>
              <w:rPr>
                <w:rFonts w:hint="eastAsia"/>
                <w:color w:val="auto"/>
                <w:szCs w:val="21"/>
                <w:highlight w:val="none"/>
              </w:rPr>
              <w:t>13060908261、</w:t>
            </w:r>
            <w:r>
              <w:rPr>
                <w:rFonts w:hint="eastAsia"/>
                <w:color w:val="auto"/>
                <w:szCs w:val="21"/>
                <w:highlight w:val="none"/>
                <w:lang w:val="en-US" w:eastAsia="zh-CN"/>
              </w:rPr>
              <w:t>18819120641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1.1.4</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项目名称</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color w:val="auto"/>
                <w:szCs w:val="21"/>
                <w:highlight w:val="none"/>
                <w:lang w:eastAsia="zh-CN"/>
              </w:rPr>
              <w:t>广州白云国际机场综合服务大楼企业文化展厅项目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1.1.5</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建设地点</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1.2.1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资金来源</w:t>
            </w:r>
            <w:r>
              <w:rPr>
                <w:rFonts w:hint="eastAsia"/>
                <w:szCs w:val="21"/>
              </w:rPr>
              <w:t>及比例</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eastAsia="宋体"/>
                <w:szCs w:val="21"/>
                <w:lang w:val="en-US" w:eastAsia="zh-CN"/>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1.2.</w:t>
            </w:r>
            <w:r>
              <w:rPr>
                <w:rFonts w:hint="eastAsia"/>
                <w:szCs w:val="21"/>
              </w:rPr>
              <w:t>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rFonts w:hint="eastAsia"/>
                <w:szCs w:val="21"/>
              </w:rPr>
              <w:t>资金</w:t>
            </w:r>
            <w:r>
              <w:rPr>
                <w:szCs w:val="21"/>
              </w:rPr>
              <w:t>落实情况</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szCs w:val="21"/>
                <w:lang w:eastAsia="zh-CN"/>
              </w:rPr>
            </w:pPr>
            <w:r>
              <w:rPr>
                <w:rFonts w:hint="eastAsia" w:ascii="Times New Roman" w:hAnsi="Times New Roman" w:eastAsia="宋体" w:cs="Times New Roman"/>
                <w:color w:val="auto"/>
                <w:szCs w:val="21"/>
                <w:highlight w:val="none"/>
                <w:lang w:val="en-US" w:eastAsia="zh-CN"/>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w:t>
            </w:r>
            <w:r>
              <w:rPr>
                <w:rFonts w:hint="eastAsia"/>
                <w:szCs w:val="21"/>
              </w:rPr>
              <w:t>3</w:t>
            </w:r>
            <w:r>
              <w:rPr>
                <w:szCs w:val="21"/>
              </w:rPr>
              <w:t>.1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招标范围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highlight w:val="none"/>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1.3.2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计划工期</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szCs w:val="21"/>
                <w:highlight w:val="none"/>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1.3.3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质量</w:t>
            </w:r>
            <w:r>
              <w:rPr>
                <w:rFonts w:hint="eastAsia"/>
                <w:szCs w:val="21"/>
              </w:rPr>
              <w:t>标准</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szCs w:val="21"/>
              </w:rPr>
            </w:pPr>
            <w:r>
              <w:rPr>
                <w:rFonts w:hint="eastAsia"/>
                <w:szCs w:val="21"/>
              </w:rPr>
              <w:t>设计</w:t>
            </w:r>
            <w:r>
              <w:rPr>
                <w:szCs w:val="21"/>
              </w:rPr>
              <w:t>要求</w:t>
            </w:r>
            <w:r>
              <w:rPr>
                <w:rFonts w:hint="eastAsia"/>
                <w:szCs w:val="21"/>
              </w:rPr>
              <w:t>的质量标准：符合《建设工程质量管理条例</w:t>
            </w:r>
            <w:r>
              <w:rPr>
                <w:rFonts w:hint="eastAsia"/>
                <w:szCs w:val="21"/>
                <w:lang w:eastAsia="zh-CN"/>
              </w:rPr>
              <w:t>》《</w:t>
            </w:r>
            <w:r>
              <w:rPr>
                <w:rFonts w:hint="eastAsia"/>
                <w:szCs w:val="21"/>
              </w:rPr>
              <w:t>建设工程勘察设计管理条例</w:t>
            </w:r>
            <w:r>
              <w:rPr>
                <w:rFonts w:hint="eastAsia"/>
                <w:szCs w:val="21"/>
                <w:lang w:eastAsia="zh-CN"/>
              </w:rPr>
              <w:t>》《</w:t>
            </w:r>
            <w:r>
              <w:rPr>
                <w:rFonts w:hint="eastAsia"/>
                <w:szCs w:val="21"/>
              </w:rPr>
              <w:t>建筑工程设计文件编制深度规定（2016年版）》等国家及地方有关工程勘察设计管理法规和规章，达到行业相关规范技术标准等要求。符合建设工程设计的技术规范及本项目设计任务书的要求。</w:t>
            </w:r>
          </w:p>
          <w:p>
            <w:pPr>
              <w:spacing w:line="440" w:lineRule="exact"/>
              <w:rPr>
                <w:rFonts w:hint="eastAsia"/>
                <w:szCs w:val="21"/>
              </w:rPr>
            </w:pPr>
            <w:r>
              <w:rPr>
                <w:rFonts w:hint="eastAsia"/>
                <w:szCs w:val="21"/>
              </w:rPr>
              <w:t>施工要求的质量标准：</w:t>
            </w:r>
            <w:r>
              <w:rPr>
                <w:rFonts w:hint="eastAsia"/>
                <w:color w:val="auto"/>
                <w:szCs w:val="21"/>
                <w:highlight w:val="none"/>
              </w:rPr>
              <w:t>执行国家、地方或行业现行的工程建设质量验收标准及规范，须达到合格标准，满足招标人对工程质量的要求。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1.4.1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投标人资质条件、能力和信誉</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1.4.2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是否接受联合体投标</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sz w:val="21"/>
                <w:szCs w:val="21"/>
              </w:rPr>
            </w:pPr>
            <w:r>
              <w:rPr>
                <w:rFonts w:ascii="Times New Roman"/>
                <w:sz w:val="32"/>
                <w:szCs w:val="32"/>
              </w:rPr>
              <w:t>□</w:t>
            </w:r>
            <w:r>
              <w:rPr>
                <w:rFonts w:hint="eastAsia" w:ascii="Times New Roman"/>
                <w:sz w:val="21"/>
                <w:szCs w:val="21"/>
              </w:rPr>
              <w:t>不接受</w:t>
            </w:r>
          </w:p>
          <w:p>
            <w:pPr>
              <w:spacing w:line="440" w:lineRule="exact"/>
              <w:rPr>
                <w:szCs w:val="21"/>
              </w:rPr>
            </w:pPr>
            <w:r>
              <w:rPr>
                <w:rFonts w:hint="eastAsia"/>
                <w:sz w:val="32"/>
                <w:szCs w:val="32"/>
                <w:lang w:eastAsia="zh-CN"/>
              </w:rPr>
              <w:t>☑</w:t>
            </w:r>
            <w:r>
              <w:rPr>
                <w:rFonts w:hint="eastAsia"/>
                <w:szCs w:val="21"/>
              </w:rPr>
              <w:t>接受，应满足下列要求：</w:t>
            </w: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1.5</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费用承担和设计成果补偿</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sz w:val="32"/>
                <w:szCs w:val="32"/>
                <w:lang w:eastAsia="zh-CN"/>
              </w:rPr>
              <w:t>☑</w:t>
            </w:r>
            <w:r>
              <w:rPr>
                <w:rFonts w:hint="eastAsia"/>
                <w:szCs w:val="21"/>
              </w:rPr>
              <w:t>不补偿</w:t>
            </w:r>
          </w:p>
          <w:p>
            <w:pPr>
              <w:spacing w:line="440" w:lineRule="exact"/>
              <w:rPr>
                <w:sz w:val="32"/>
                <w:szCs w:val="32"/>
              </w:rPr>
            </w:pPr>
            <w:r>
              <w:rPr>
                <w:sz w:val="32"/>
                <w:szCs w:val="32"/>
              </w:rPr>
              <w:t>□</w:t>
            </w:r>
            <w:r>
              <w:rPr>
                <w:rFonts w:hint="eastAsia"/>
                <w:szCs w:val="21"/>
              </w:rPr>
              <w:t>补偿，补偿标准：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w:t>
            </w:r>
            <w:r>
              <w:rPr>
                <w:rFonts w:hint="eastAsia"/>
                <w:szCs w:val="21"/>
              </w:rPr>
              <w:t>9</w:t>
            </w:r>
            <w:r>
              <w:rPr>
                <w:szCs w:val="21"/>
              </w:rPr>
              <w:t>.1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踏勘</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highlight w:val="none"/>
              </w:rPr>
            </w:pPr>
            <w:r>
              <w:rPr>
                <w:rFonts w:hint="eastAsia"/>
                <w:sz w:val="32"/>
                <w:szCs w:val="32"/>
                <w:highlight w:val="none"/>
                <w:lang w:eastAsia="zh-CN"/>
              </w:rPr>
              <w:t>☑</w:t>
            </w:r>
            <w:r>
              <w:rPr>
                <w:rFonts w:hint="eastAsia"/>
                <w:szCs w:val="21"/>
                <w:highlight w:val="none"/>
              </w:rPr>
              <w:t>不组织：</w:t>
            </w:r>
            <w:r>
              <w:rPr>
                <w:rFonts w:hint="eastAsia"/>
                <w:szCs w:val="21"/>
                <w:highlight w:val="none"/>
                <w:lang w:val="en-US" w:eastAsia="zh-CN"/>
              </w:rPr>
              <w:t>本项目不组织集中踏勘，投标人可自行前往。</w:t>
            </w:r>
            <w:r>
              <w:rPr>
                <w:rFonts w:hint="eastAsia" w:ascii="Times New Roman" w:hAnsi="Times New Roman" w:eastAsia="宋体" w:cs="Times New Roman"/>
                <w:szCs w:val="21"/>
                <w:highlight w:val="none"/>
                <w:lang w:val="en-US" w:eastAsia="zh-CN"/>
              </w:rPr>
              <w:t>项目地点详见招标公告</w:t>
            </w:r>
            <w:r>
              <w:rPr>
                <w:rFonts w:hint="eastAsia" w:cs="Times New Roman"/>
                <w:szCs w:val="21"/>
                <w:highlight w:val="none"/>
                <w:lang w:val="en-US" w:eastAsia="zh-CN"/>
              </w:rPr>
              <w:t>，时间：2023年11月22日10:00-15:00，联系人：</w:t>
            </w:r>
            <w:r>
              <w:rPr>
                <w:rFonts w:hint="eastAsia"/>
                <w:highlight w:val="none"/>
                <w:lang w:val="en-US" w:eastAsia="zh-CN"/>
              </w:rPr>
              <w:t>王工</w:t>
            </w:r>
            <w:r>
              <w:rPr>
                <w:rFonts w:hint="eastAsia" w:cs="Times New Roman"/>
                <w:szCs w:val="21"/>
                <w:highlight w:val="none"/>
                <w:lang w:val="en-US" w:eastAsia="zh-CN"/>
              </w:rPr>
              <w:t xml:space="preserve"> 联系电话：</w:t>
            </w:r>
            <w:r>
              <w:rPr>
                <w:rFonts w:hint="eastAsia"/>
                <w:highlight w:val="none"/>
                <w:lang w:val="en-US" w:eastAsia="zh-CN"/>
              </w:rPr>
              <w:t>13763353005</w:t>
            </w:r>
          </w:p>
          <w:p>
            <w:pPr>
              <w:spacing w:line="440" w:lineRule="exact"/>
              <w:rPr>
                <w:rFonts w:hint="eastAsia" w:ascii="Times New Roman" w:hAnsi="Times New Roman" w:eastAsia="宋体" w:cs="Times New Roman"/>
                <w:szCs w:val="21"/>
                <w:highlight w:val="none"/>
                <w:lang w:eastAsia="zh-CN"/>
              </w:rPr>
            </w:pPr>
            <w:r>
              <w:rPr>
                <w:rFonts w:hint="eastAsia"/>
                <w:color w:val="auto"/>
                <w:sz w:val="32"/>
                <w:szCs w:val="32"/>
                <w:highlight w:val="none"/>
                <w:lang w:eastAsia="zh-CN"/>
              </w:rPr>
              <w:t>□</w:t>
            </w:r>
            <w:r>
              <w:rPr>
                <w:rFonts w:hint="eastAsia"/>
                <w:color w:val="auto"/>
                <w:szCs w:val="21"/>
                <w:highlight w:val="none"/>
              </w:rPr>
              <w:t>组织</w:t>
            </w:r>
            <w:r>
              <w:rPr>
                <w:rFonts w:hint="eastAsia"/>
                <w:color w:val="auto"/>
                <w:szCs w:val="21"/>
                <w:highlight w:val="none"/>
                <w:lang w:eastAsia="zh-CN"/>
              </w:rPr>
              <w:t>，</w:t>
            </w:r>
            <w:r>
              <w:rPr>
                <w:rFonts w:ascii="Times New Roman" w:hAnsi="Times New Roman" w:eastAsia="宋体" w:cs="Times New Roman"/>
                <w:szCs w:val="21"/>
                <w:highlight w:val="none"/>
              </w:rPr>
              <w:t>招标人</w:t>
            </w:r>
            <w:r>
              <w:rPr>
                <w:rFonts w:hint="eastAsia" w:ascii="Times New Roman" w:hAnsi="Times New Roman" w:eastAsia="宋体" w:cs="Times New Roman"/>
                <w:szCs w:val="21"/>
                <w:highlight w:val="none"/>
              </w:rPr>
              <w:t>集中统一组织踏勘</w:t>
            </w:r>
            <w:r>
              <w:rPr>
                <w:rFonts w:hint="eastAsia" w:ascii="Times New Roman" w:hAnsi="Times New Roman" w:eastAsia="宋体" w:cs="Times New Roman"/>
                <w:szCs w:val="21"/>
                <w:highlight w:val="none"/>
                <w:lang w:eastAsia="zh-CN"/>
              </w:rPr>
              <w:t>。</w:t>
            </w:r>
          </w:p>
          <w:p>
            <w:pPr>
              <w:spacing w:line="440" w:lineRule="exact"/>
              <w:rPr>
                <w:rFonts w:hint="default"/>
                <w:highlight w:val="none"/>
                <w:lang w:val="en-US" w:eastAsia="zh-CN"/>
              </w:rPr>
            </w:pPr>
            <w:r>
              <w:rPr>
                <w:rFonts w:hint="default"/>
                <w:highlight w:val="none"/>
                <w:lang w:val="en-US" w:eastAsia="zh-CN"/>
              </w:rPr>
              <w:t>现场踏勘后形成有关文件将作为招标文件组成部分，具有同等法律效力。因未参加现场踏勘导致对项目实际情况不了解而影响投标文件编制或导致的其他后果，由投标供应商自行承担。采购单位在踏勘现场中口头介绍的情况，除采购单位事后形成书面记录、并以澄清或修改公告的形式发布、构成招标文件的组成部分以外，其他内容仅供投标供应商在编制投标文件时参考，采购单位不对投标供应商据此做出的判断和决策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1.10.1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投标预备会</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sz w:val="21"/>
                <w:szCs w:val="21"/>
              </w:rPr>
            </w:pPr>
            <w:r>
              <w:rPr>
                <w:rFonts w:hint="eastAsia" w:ascii="Times New Roman"/>
                <w:sz w:val="32"/>
                <w:szCs w:val="32"/>
                <w:lang w:eastAsia="zh-CN"/>
              </w:rPr>
              <w:t>☑</w:t>
            </w:r>
            <w:r>
              <w:rPr>
                <w:rFonts w:hint="eastAsia" w:ascii="Times New Roman"/>
                <w:sz w:val="21"/>
                <w:szCs w:val="21"/>
              </w:rPr>
              <w:t>不</w:t>
            </w:r>
            <w:r>
              <w:rPr>
                <w:rFonts w:ascii="Times New Roman"/>
                <w:sz w:val="21"/>
                <w:szCs w:val="21"/>
              </w:rPr>
              <w:t>召开</w:t>
            </w:r>
          </w:p>
          <w:p>
            <w:pPr>
              <w:spacing w:line="440" w:lineRule="exact"/>
              <w:rPr>
                <w:szCs w:val="21"/>
              </w:rPr>
            </w:pPr>
            <w:r>
              <w:rPr>
                <w:sz w:val="32"/>
                <w:szCs w:val="32"/>
              </w:rPr>
              <w:t>□</w:t>
            </w:r>
            <w:r>
              <w:rPr>
                <w:szCs w:val="21"/>
              </w:rPr>
              <w:t>召开</w:t>
            </w:r>
            <w:r>
              <w:rPr>
                <w:rFonts w:hint="eastAsia"/>
                <w:szCs w:val="21"/>
              </w:rPr>
              <w:t>，</w:t>
            </w:r>
            <w:r>
              <w:rPr>
                <w:szCs w:val="21"/>
              </w:rPr>
              <w:t>召开时间：</w:t>
            </w:r>
          </w:p>
          <w:p>
            <w:pPr>
              <w:spacing w:line="440" w:lineRule="exact"/>
              <w:ind w:firstLine="840" w:firstLineChars="400"/>
              <w:rPr>
                <w:szCs w:val="21"/>
              </w:rPr>
            </w:pPr>
            <w:r>
              <w:rPr>
                <w:szCs w:val="21"/>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1.10.2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投标人提出问题的截止时间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color w:val="auto"/>
                <w:szCs w:val="21"/>
                <w:highlight w:val="none"/>
              </w:rPr>
            </w:pPr>
            <w:r>
              <w:rPr>
                <w:rFonts w:hint="eastAsia"/>
                <w:color w:val="auto"/>
                <w:szCs w:val="21"/>
                <w:highlight w:val="none"/>
              </w:rPr>
              <w:t>1.方式：网上答疑。投标人若对招标文件（包括招标图纸、清单、最高投标限价、合同等）有疑问的，可在规定的时间内通过广州公共资源交易中心网站进入提问区域将问题提交给招标人或招标代理人，提交问题时一律不得署名。</w:t>
            </w:r>
          </w:p>
          <w:p>
            <w:pPr>
              <w:spacing w:line="440" w:lineRule="exact"/>
              <w:rPr>
                <w:rFonts w:hint="eastAsia"/>
                <w:color w:val="auto"/>
                <w:szCs w:val="21"/>
                <w:highlight w:val="none"/>
              </w:rPr>
            </w:pPr>
            <w:r>
              <w:rPr>
                <w:rFonts w:hint="eastAsia"/>
                <w:color w:val="auto"/>
                <w:szCs w:val="21"/>
                <w:highlight w:val="none"/>
              </w:rPr>
              <w:t>2.投标人提出问题期限：在递交投标文件截止日期前18日。</w:t>
            </w:r>
          </w:p>
          <w:p>
            <w:pPr>
              <w:spacing w:line="440" w:lineRule="exact"/>
              <w:rPr>
                <w:szCs w:val="21"/>
              </w:rPr>
            </w:pPr>
            <w:r>
              <w:rPr>
                <w:rFonts w:hint="eastAsia"/>
                <w:color w:val="auto"/>
                <w:szCs w:val="21"/>
                <w:highlight w:val="none"/>
                <w:lang w:val="en-US" w:eastAsia="zh-CN"/>
              </w:rPr>
              <w:t>3.</w:t>
            </w:r>
            <w:r>
              <w:rPr>
                <w:rFonts w:hint="eastAsia"/>
                <w:color w:val="auto"/>
                <w:szCs w:val="21"/>
                <w:highlight w:val="non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1.10.3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招标人书面澄清的时间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宋体"/>
                <w:color w:val="000000"/>
                <w:szCs w:val="21"/>
              </w:rPr>
              <w:t>递交投标文件截止日期前15日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1.11.1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招标人规定由分包人承担的工作</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szCs w:val="21"/>
                <w:lang w:val="en-US" w:eastAsia="zh-CN"/>
              </w:rPr>
            </w:pPr>
            <w:r>
              <w:rPr>
                <w:rFonts w:hint="eastAsia"/>
                <w:szCs w:val="21"/>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1.1</w:t>
            </w:r>
            <w:r>
              <w:rPr>
                <w:rFonts w:hint="eastAsia"/>
                <w:szCs w:val="21"/>
              </w:rPr>
              <w:t>1.2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highlight w:val="none"/>
              </w:rPr>
            </w:pPr>
            <w:r>
              <w:rPr>
                <w:rFonts w:hint="eastAsia"/>
                <w:szCs w:val="21"/>
                <w:highlight w:val="none"/>
              </w:rPr>
              <w:t>投标人拟</w:t>
            </w:r>
            <w:r>
              <w:rPr>
                <w:szCs w:val="21"/>
                <w:highlight w:val="none"/>
              </w:rPr>
              <w:t>分包</w:t>
            </w:r>
            <w:r>
              <w:rPr>
                <w:rFonts w:hint="eastAsia"/>
                <w:szCs w:val="21"/>
                <w:highlight w:val="none"/>
              </w:rPr>
              <w:t>的工作</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sz w:val="21"/>
                <w:szCs w:val="21"/>
                <w:highlight w:val="none"/>
              </w:rPr>
            </w:pPr>
            <w:r>
              <w:rPr>
                <w:rFonts w:hint="eastAsia" w:ascii="Times New Roman"/>
                <w:sz w:val="32"/>
                <w:szCs w:val="32"/>
                <w:highlight w:val="none"/>
                <w:lang w:eastAsia="zh-CN"/>
              </w:rPr>
              <w:t>□</w:t>
            </w:r>
            <w:r>
              <w:rPr>
                <w:rFonts w:hint="eastAsia" w:ascii="Times New Roman"/>
                <w:sz w:val="21"/>
                <w:szCs w:val="21"/>
                <w:highlight w:val="none"/>
              </w:rPr>
              <w:t>不允许</w:t>
            </w:r>
          </w:p>
          <w:p>
            <w:pPr>
              <w:spacing w:line="440" w:lineRule="exact"/>
              <w:rPr>
                <w:szCs w:val="21"/>
                <w:highlight w:val="none"/>
              </w:rPr>
            </w:pPr>
            <w:r>
              <w:rPr>
                <w:rFonts w:hint="eastAsia"/>
                <w:sz w:val="32"/>
                <w:szCs w:val="32"/>
                <w:highlight w:val="none"/>
                <w:lang w:eastAsia="zh-CN"/>
              </w:rPr>
              <w:t>☑</w:t>
            </w:r>
            <w:r>
              <w:rPr>
                <w:rFonts w:hint="eastAsia"/>
                <w:szCs w:val="21"/>
                <w:highlight w:val="none"/>
              </w:rPr>
              <w:t>允许，</w:t>
            </w:r>
            <w:r>
              <w:rPr>
                <w:szCs w:val="21"/>
                <w:highlight w:val="none"/>
              </w:rPr>
              <w:t>分包内容</w:t>
            </w:r>
            <w:r>
              <w:rPr>
                <w:rFonts w:hint="eastAsia"/>
                <w:szCs w:val="21"/>
                <w:highlight w:val="none"/>
              </w:rPr>
              <w:t>要求</w:t>
            </w:r>
            <w:r>
              <w:rPr>
                <w:szCs w:val="21"/>
                <w:highlight w:val="none"/>
              </w:rPr>
              <w:t>：</w:t>
            </w:r>
            <w:r>
              <w:rPr>
                <w:rFonts w:hint="eastAsia"/>
                <w:szCs w:val="21"/>
                <w:highlight w:val="none"/>
              </w:rPr>
              <w:t>经招标人同意，中标人可以把中标项目的部分非主体、非关键性工作分包给具有相应资质和能力的专业单位实施，但不得再次分包。</w:t>
            </w:r>
          </w:p>
          <w:p>
            <w:pPr>
              <w:spacing w:line="440" w:lineRule="exact"/>
              <w:ind w:firstLine="840" w:firstLineChars="400"/>
              <w:rPr>
                <w:rFonts w:hint="eastAsia" w:eastAsia="宋体"/>
                <w:szCs w:val="21"/>
                <w:highlight w:val="none"/>
                <w:lang w:val="en-US" w:eastAsia="zh-CN"/>
              </w:rPr>
            </w:pPr>
            <w:r>
              <w:rPr>
                <w:szCs w:val="21"/>
                <w:highlight w:val="none"/>
              </w:rPr>
              <w:t>分包金额</w:t>
            </w:r>
            <w:r>
              <w:rPr>
                <w:rFonts w:hint="eastAsia"/>
                <w:szCs w:val="21"/>
                <w:highlight w:val="none"/>
              </w:rPr>
              <w:t>要求</w:t>
            </w:r>
            <w:r>
              <w:rPr>
                <w:szCs w:val="21"/>
                <w:highlight w:val="none"/>
              </w:rPr>
              <w:t>：</w:t>
            </w:r>
            <w:r>
              <w:rPr>
                <w:rFonts w:hint="eastAsia"/>
                <w:szCs w:val="21"/>
                <w:highlight w:val="none"/>
                <w:lang w:val="en-US" w:eastAsia="zh-CN"/>
              </w:rPr>
              <w:t>/</w:t>
            </w:r>
          </w:p>
          <w:p>
            <w:pPr>
              <w:spacing w:line="440" w:lineRule="exact"/>
              <w:ind w:firstLine="840" w:firstLineChars="400"/>
              <w:rPr>
                <w:rFonts w:hint="eastAsia"/>
                <w:szCs w:val="21"/>
                <w:highlight w:val="none"/>
              </w:rPr>
            </w:pPr>
            <w:r>
              <w:rPr>
                <w:rFonts w:hint="eastAsia"/>
                <w:szCs w:val="21"/>
                <w:highlight w:val="none"/>
              </w:rPr>
              <w:t>对分包人的资质要求：</w:t>
            </w:r>
            <w:r>
              <w:rPr>
                <w:rFonts w:hint="eastAsia"/>
                <w:color w:val="auto"/>
                <w:szCs w:val="21"/>
                <w:highlight w:val="none"/>
              </w:rPr>
              <w:t>允许对于非主体、非关键性工程，承包人不具备相应资质的，需经招标人审核批准后分包给具有相应资质和能力的专业单位实施，但不得再次分包。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olor w:val="auto"/>
                <w:szCs w:val="21"/>
              </w:rPr>
              <w:t>1.12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olor w:val="auto"/>
                <w:szCs w:val="21"/>
              </w:rPr>
              <w:t>偏离</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color w:val="auto"/>
                <w:sz w:val="21"/>
                <w:szCs w:val="21"/>
              </w:rPr>
            </w:pPr>
            <w:r>
              <w:rPr>
                <w:rFonts w:hint="eastAsia" w:ascii="Times New Roman"/>
                <w:color w:val="auto"/>
                <w:sz w:val="32"/>
                <w:szCs w:val="32"/>
                <w:lang w:eastAsia="zh-CN"/>
              </w:rPr>
              <w:t>□</w:t>
            </w:r>
            <w:r>
              <w:rPr>
                <w:rFonts w:hint="eastAsia" w:ascii="Times New Roman"/>
                <w:color w:val="auto"/>
                <w:sz w:val="21"/>
                <w:szCs w:val="21"/>
              </w:rPr>
              <w:t>不允许</w:t>
            </w:r>
          </w:p>
          <w:p>
            <w:pPr>
              <w:pStyle w:val="8"/>
              <w:topLinePunct/>
              <w:spacing w:line="400" w:lineRule="exact"/>
              <w:rPr>
                <w:rFonts w:hint="default" w:ascii="Times New Roman" w:eastAsia="宋体"/>
                <w:color w:val="auto"/>
                <w:sz w:val="21"/>
                <w:szCs w:val="21"/>
                <w:lang w:val="en-US" w:eastAsia="zh-CN"/>
              </w:rPr>
            </w:pPr>
            <w:r>
              <w:rPr>
                <w:rFonts w:hint="eastAsia" w:ascii="Times New Roman"/>
                <w:color w:val="auto"/>
                <w:sz w:val="32"/>
                <w:szCs w:val="32"/>
                <w:lang w:eastAsia="zh-CN"/>
              </w:rPr>
              <w:t>☑</w:t>
            </w:r>
            <w:r>
              <w:rPr>
                <w:rFonts w:hint="eastAsia" w:ascii="Times New Roman"/>
                <w:color w:val="auto"/>
                <w:sz w:val="21"/>
                <w:szCs w:val="21"/>
              </w:rPr>
              <w:t>允许，允许偏离的内容、偏离范围和幅度：</w:t>
            </w:r>
            <w:r>
              <w:rPr>
                <w:rFonts w:hint="eastAsia" w:ascii="Times New Roman"/>
                <w:color w:val="auto"/>
                <w:sz w:val="21"/>
                <w:szCs w:val="21"/>
                <w:lang w:val="en-US" w:eastAsia="zh-CN"/>
              </w:rPr>
              <w:t>除</w:t>
            </w:r>
            <w:r>
              <w:rPr>
                <w:rFonts w:hint="eastAsia" w:ascii="微软雅黑" w:hAnsi="微软雅黑" w:eastAsia="微软雅黑" w:cs="微软雅黑"/>
                <w:color w:val="auto"/>
                <w:sz w:val="21"/>
                <w:szCs w:val="21"/>
                <w:lang w:val="en-US" w:eastAsia="zh-CN"/>
              </w:rPr>
              <w:t>★</w:t>
            </w:r>
            <w:r>
              <w:rPr>
                <w:rFonts w:hint="eastAsia" w:ascii="Times New Roman"/>
                <w:color w:val="auto"/>
                <w:sz w:val="21"/>
                <w:szCs w:val="21"/>
                <w:lang w:val="en-US" w:eastAsia="zh-CN"/>
              </w:rPr>
              <w:t>号条款外允许偏离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构成招标文件的其他</w:t>
            </w:r>
            <w:r>
              <w:rPr>
                <w:rFonts w:hint="eastAsia"/>
                <w:szCs w:val="21"/>
              </w:rPr>
              <w:t>资</w:t>
            </w:r>
            <w:r>
              <w:rPr>
                <w:szCs w:val="21"/>
              </w:rPr>
              <w:t>料</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宋体"/>
                <w:color w:val="000000"/>
                <w:szCs w:val="21"/>
                <w:highlight w:val="none"/>
              </w:rPr>
              <w:t>答疑纪要、澄清文件</w:t>
            </w:r>
            <w:r>
              <w:rPr>
                <w:rFonts w:hint="eastAsia"/>
                <w:color w:val="auto"/>
                <w:szCs w:val="21"/>
                <w:highlight w:val="none"/>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2.2.1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投标人要求澄清招标文件的截止时间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color w:val="auto"/>
                <w:szCs w:val="21"/>
                <w:highlight w:val="none"/>
              </w:rPr>
              <w:t>同投标人提出问题的截止时间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2.2.2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投标截止时间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Times New Roman" w:hAnsi="Times New Roman" w:eastAsia="宋体" w:cs="Times New Roman"/>
                <w:color w:val="auto"/>
                <w:szCs w:val="21"/>
                <w:highlight w:val="non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2.2.3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投标人确认收到招标文件澄清的时间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szCs w:val="21"/>
                <w:lang w:eastAsia="zh-CN"/>
              </w:rPr>
            </w:pPr>
            <w:r>
              <w:rPr>
                <w:rFonts w:hint="eastAsia"/>
                <w:color w:val="auto"/>
                <w:szCs w:val="21"/>
                <w:highlight w:val="none"/>
              </w:rPr>
              <w:t>答疑纪要或澄清将在交易平台网站通过项目答疑专区网上公开发布，发出即视作收到，以交易平台网站发布时间作为送达时间。无需投标人确认。投标人应自行关注，招标人不再一一通知</w:t>
            </w:r>
            <w:r>
              <w:rPr>
                <w:rFonts w:hint="eastAsia"/>
                <w:color w:val="auto"/>
                <w:szCs w:val="21"/>
                <w:highlight w:val="none"/>
                <w:lang w:eastAsia="zh-CN"/>
              </w:rPr>
              <w:t>。招标文件的修改内容作为招标文件的组成部分，具有约束作用。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2.3.2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投标人确认收到招标文件修改的时间</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color w:val="auto"/>
                <w:szCs w:val="21"/>
                <w:highlight w:val="none"/>
              </w:rPr>
              <w:t>招标文件修改（或补充公告）一经在交易平台网站发布，视作已发放给所有投标人，以交易平台网站发布时间作为送达时间。无需投标人确认。投标人应自行关注，招标人不再一一通知。</w:t>
            </w:r>
            <w:r>
              <w:rPr>
                <w:rFonts w:hint="eastAsia" w:ascii="宋体" w:hAnsi="宋体" w:cs="宋体"/>
                <w:color w:val="auto"/>
                <w:szCs w:val="21"/>
                <w:u w:val="single"/>
              </w:rPr>
              <w:t>招标文件的修改内容作为招标文件的组成部分，具有约束作用。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3.1</w:t>
            </w:r>
            <w:r>
              <w:rPr>
                <w:rFonts w:hint="eastAsia"/>
                <w:szCs w:val="21"/>
              </w:rPr>
              <w:t>.1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构成投标文件的其他</w:t>
            </w:r>
            <w:r>
              <w:rPr>
                <w:rFonts w:hint="eastAsia"/>
                <w:szCs w:val="21"/>
                <w:highlight w:val="none"/>
              </w:rPr>
              <w:t>资</w:t>
            </w:r>
            <w:r>
              <w:rPr>
                <w:szCs w:val="21"/>
                <w:highlight w:val="none"/>
              </w:rPr>
              <w:t>料</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highlight w:val="none"/>
              </w:rPr>
            </w:pPr>
            <w:r>
              <w:rPr>
                <w:rFonts w:hint="eastAsia" w:eastAsia="宋体"/>
                <w:color w:val="auto"/>
                <w:szCs w:val="21"/>
                <w:highlight w:val="none"/>
                <w:lang w:eastAsia="zh-CN"/>
              </w:rPr>
              <w:t>见第七章《投标文件格式》要求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rFonts w:hint="eastAsia"/>
              </w:rPr>
              <w:t>3.2.4</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最高投标限价或其计算方法</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40" w:lineRule="exact"/>
              <w:rPr>
                <w:rFonts w:hint="eastAsia" w:ascii="宋体"/>
                <w:color w:val="000000"/>
                <w:szCs w:val="21"/>
                <w:highlight w:val="none"/>
              </w:rPr>
            </w:pPr>
            <w:r>
              <w:rPr>
                <w:rFonts w:hint="eastAsia" w:ascii="宋体" w:hAnsi="Times New Roman" w:eastAsia="宋体" w:cs="Times New Roman"/>
                <w:color w:val="000000"/>
                <w:kern w:val="2"/>
                <w:sz w:val="21"/>
                <w:szCs w:val="21"/>
                <w:lang w:val="en-US" w:eastAsia="zh-CN" w:bidi="ar-SA"/>
              </w:rPr>
              <w:t>1、</w:t>
            </w:r>
            <w:r>
              <w:rPr>
                <w:rFonts w:hint="eastAsia"/>
                <w:szCs w:val="21"/>
                <w:highlight w:val="none"/>
              </w:rPr>
              <w:t>最高投标限价</w:t>
            </w:r>
            <w:r>
              <w:rPr>
                <w:rFonts w:hint="eastAsia"/>
                <w:szCs w:val="21"/>
                <w:highlight w:val="none"/>
                <w:lang w:eastAsia="zh-CN"/>
              </w:rPr>
              <w:t>（</w:t>
            </w:r>
            <w:r>
              <w:rPr>
                <w:rFonts w:hint="eastAsia"/>
                <w:szCs w:val="21"/>
                <w:highlight w:val="none"/>
                <w:lang w:val="en-US" w:eastAsia="zh-CN"/>
              </w:rPr>
              <w:t>即</w:t>
            </w:r>
            <w:r>
              <w:rPr>
                <w:rFonts w:hint="eastAsia" w:ascii="宋体"/>
                <w:color w:val="000000"/>
                <w:szCs w:val="21"/>
                <w:highlight w:val="none"/>
              </w:rPr>
              <w:t>招标控制价</w:t>
            </w:r>
            <w:r>
              <w:rPr>
                <w:rFonts w:hint="eastAsia"/>
                <w:szCs w:val="21"/>
                <w:highlight w:val="none"/>
                <w:lang w:eastAsia="zh-CN"/>
              </w:rPr>
              <w:t>）</w:t>
            </w:r>
            <w:r>
              <w:rPr>
                <w:rFonts w:hint="eastAsia" w:ascii="宋体"/>
                <w:color w:val="000000"/>
                <w:szCs w:val="21"/>
                <w:highlight w:val="none"/>
              </w:rPr>
              <w:t>：人民币</w:t>
            </w:r>
            <w:r>
              <w:rPr>
                <w:rFonts w:hint="eastAsia" w:ascii="宋体"/>
                <w:color w:val="000000"/>
                <w:szCs w:val="21"/>
                <w:highlight w:val="none"/>
                <w:lang w:val="en-US" w:eastAsia="zh-CN"/>
              </w:rPr>
              <w:t>600.00</w:t>
            </w:r>
            <w:r>
              <w:rPr>
                <w:rFonts w:hint="eastAsia" w:ascii="宋体"/>
                <w:color w:val="000000"/>
                <w:szCs w:val="21"/>
                <w:highlight w:val="none"/>
              </w:rPr>
              <w:t>万元</w:t>
            </w:r>
            <w:r>
              <w:rPr>
                <w:rFonts w:hint="eastAsia" w:ascii="宋体"/>
                <w:color w:val="000000"/>
                <w:szCs w:val="21"/>
                <w:highlight w:val="none"/>
                <w:lang w:eastAsia="zh-CN"/>
              </w:rPr>
              <w:t>（</w:t>
            </w:r>
            <w:r>
              <w:rPr>
                <w:rFonts w:hint="eastAsia" w:ascii="宋体"/>
                <w:color w:val="000000"/>
                <w:szCs w:val="21"/>
                <w:highlight w:val="none"/>
              </w:rPr>
              <w:t>其中工程费最高投标限价为人民币</w:t>
            </w:r>
            <w:r>
              <w:rPr>
                <w:rFonts w:hint="eastAsia" w:ascii="宋体"/>
                <w:color w:val="000000"/>
                <w:szCs w:val="21"/>
                <w:highlight w:val="none"/>
                <w:lang w:val="en-US" w:eastAsia="zh-CN"/>
              </w:rPr>
              <w:t>575</w:t>
            </w:r>
            <w:r>
              <w:rPr>
                <w:rFonts w:hint="eastAsia" w:ascii="宋体"/>
                <w:color w:val="000000"/>
                <w:szCs w:val="21"/>
                <w:highlight w:val="none"/>
              </w:rPr>
              <w:t>万元，设计费最高投标限价为人民币</w:t>
            </w:r>
            <w:r>
              <w:rPr>
                <w:rFonts w:hint="eastAsia" w:ascii="宋体"/>
                <w:color w:val="000000"/>
                <w:szCs w:val="21"/>
                <w:highlight w:val="none"/>
                <w:lang w:val="en-US" w:eastAsia="zh-CN"/>
              </w:rPr>
              <w:t>25</w:t>
            </w:r>
            <w:r>
              <w:rPr>
                <w:rFonts w:hint="eastAsia" w:ascii="宋体"/>
                <w:color w:val="000000"/>
                <w:szCs w:val="21"/>
                <w:highlight w:val="none"/>
              </w:rPr>
              <w:t>万元</w:t>
            </w:r>
            <w:r>
              <w:rPr>
                <w:rFonts w:hint="eastAsia" w:ascii="宋体"/>
                <w:color w:val="000000"/>
                <w:szCs w:val="21"/>
                <w:highlight w:val="none"/>
                <w:lang w:eastAsia="zh-CN"/>
              </w:rPr>
              <w:t>）。</w:t>
            </w:r>
          </w:p>
          <w:p>
            <w:pPr>
              <w:numPr>
                <w:ilvl w:val="0"/>
                <w:numId w:val="0"/>
              </w:numPr>
              <w:spacing w:line="440" w:lineRule="exact"/>
              <w:rPr>
                <w:rFonts w:hint="eastAsia" w:ascii="宋体" w:hAnsi="宋体" w:cs="宋体"/>
                <w:color w:val="000000" w:themeColor="text1"/>
                <w:szCs w:val="21"/>
                <w:highlight w:val="none"/>
                <w14:textFill>
                  <w14:solidFill>
                    <w14:schemeClr w14:val="tx1"/>
                  </w14:solidFill>
                </w14:textFill>
              </w:rPr>
            </w:pPr>
            <w:r>
              <w:rPr>
                <w:rFonts w:ascii="Times New Roman" w:hAnsi="Times New Roman" w:eastAsia="宋体" w:cs="Times New Roman"/>
                <w:kern w:val="2"/>
                <w:sz w:val="21"/>
                <w:szCs w:val="21"/>
                <w:highlight w:val="none"/>
                <w:lang w:val="en-US" w:eastAsia="zh-CN" w:bidi="ar-SA"/>
              </w:rPr>
              <w:t>2、</w:t>
            </w:r>
            <w:r>
              <w:rPr>
                <w:rFonts w:hint="eastAsia" w:ascii="Times New Roman" w:hAnsi="Times New Roman" w:eastAsia="宋体" w:cs="Times New Roman"/>
                <w:kern w:val="2"/>
                <w:sz w:val="21"/>
                <w:szCs w:val="21"/>
                <w:highlight w:val="none"/>
                <w:lang w:val="en-US" w:eastAsia="zh-CN" w:bidi="ar-SA"/>
              </w:rPr>
              <w:t>投标报价由设计费投标报价和施工费投标报价组成。本项目设计报价采用数值报价</w:t>
            </w:r>
            <w:r>
              <w:rPr>
                <w:rFonts w:hint="eastAsia"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施工投标报价采用下浮率报价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投标人未按要求报价（设计费报价</w:t>
            </w:r>
            <w:r>
              <w:rPr>
                <w:rFonts w:hint="eastAsia" w:ascii="宋体" w:hAnsi="宋体" w:cs="宋体"/>
                <w:color w:val="000000" w:themeColor="text1"/>
                <w:szCs w:val="21"/>
                <w:highlight w:val="none"/>
                <w:lang w:val="en-US" w:eastAsia="zh-CN"/>
                <w14:textFill>
                  <w14:solidFill>
                    <w14:schemeClr w14:val="tx1"/>
                  </w14:solidFill>
                </w14:textFill>
              </w:rPr>
              <w:t>超出对应部分最高投标限价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施工</w:t>
            </w:r>
            <w:r>
              <w:rPr>
                <w:rFonts w:hint="eastAsia" w:ascii="宋体" w:hAnsi="宋体" w:cs="宋体"/>
                <w:color w:val="000000" w:themeColor="text1"/>
                <w:szCs w:val="21"/>
                <w:highlight w:val="none"/>
                <w:lang w:val="en-US" w:eastAsia="zh-CN"/>
                <w14:textFill>
                  <w14:solidFill>
                    <w14:schemeClr w14:val="tx1"/>
                  </w14:solidFill>
                </w14:textFill>
              </w:rPr>
              <w:t>费所报下浮率为负数）</w:t>
            </w:r>
            <w:r>
              <w:rPr>
                <w:rFonts w:hint="eastAsia" w:ascii="宋体" w:hAnsi="宋体" w:cs="宋体"/>
                <w:color w:val="000000" w:themeColor="text1"/>
                <w:szCs w:val="21"/>
                <w:highlight w:val="none"/>
                <w14:textFill>
                  <w14:solidFill>
                    <w14:schemeClr w14:val="tx1"/>
                  </w14:solidFill>
                </w14:textFill>
              </w:rPr>
              <w:t>的为无效标。</w:t>
            </w:r>
          </w:p>
          <w:p>
            <w:pPr>
              <w:numPr>
                <w:ilvl w:val="0"/>
                <w:numId w:val="0"/>
              </w:numPr>
              <w:spacing w:line="4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下浮率报价以百分比计，数值报价以元计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投标人对每一分项（如设计、施工）只能报一个报价</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rPr>
            </w:pPr>
            <w:r>
              <w:rPr>
                <w:rFonts w:hint="eastAsia"/>
              </w:rPr>
              <w:t>3.2.5</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highlight w:val="none"/>
              </w:rPr>
              <w:t>投标报价的其他要求</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）设计费：投标报价不得高于设计费最高投标限价，由投标人根据招标文件要求以及企业自身情况填报投标报价</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）施工费：施工费下浮率报价不得</w:t>
            </w:r>
            <w:r>
              <w:rPr>
                <w:rFonts w:hint="eastAsia" w:ascii="宋体" w:hAnsi="宋体" w:cs="宋体"/>
                <w:color w:val="auto"/>
                <w:szCs w:val="21"/>
                <w:highlight w:val="none"/>
                <w:lang w:val="en-US" w:eastAsia="zh-CN"/>
              </w:rPr>
              <w:t>为负数</w:t>
            </w:r>
            <w:r>
              <w:rPr>
                <w:rFonts w:hint="eastAsia" w:ascii="宋体" w:hAnsi="宋体" w:cs="宋体"/>
                <w:color w:val="auto"/>
                <w:szCs w:val="21"/>
                <w:highlight w:val="none"/>
              </w:rPr>
              <w:t>，由投标人根据招标文件要求以及企业自身情况填报投标下浮率；结算按照投标下浮率及合同约定计算。</w:t>
            </w:r>
            <w:r>
              <w:rPr>
                <w:rFonts w:hint="eastAsia" w:ascii="宋体" w:hAnsi="宋体" w:eastAsia="宋体" w:cs="宋体"/>
                <w:color w:val="auto"/>
                <w:szCs w:val="21"/>
                <w:highlight w:val="none"/>
              </w:rPr>
              <w:t>对低于警戒价（本工程成本警戒价，按工程费最高投标限价</w:t>
            </w:r>
            <w:r>
              <w:rPr>
                <w:rFonts w:hint="eastAsia" w:ascii="宋体" w:hAnsi="宋体" w:cs="宋体"/>
                <w:color w:val="auto"/>
                <w:szCs w:val="21"/>
                <w:highlight w:val="none"/>
                <w:lang w:val="en-US" w:eastAsia="zh-CN"/>
              </w:rPr>
              <w:t>下浮10%</w:t>
            </w:r>
            <w:r>
              <w:rPr>
                <w:rFonts w:hint="eastAsia" w:ascii="宋体" w:hAnsi="宋体" w:eastAsia="宋体" w:cs="宋体"/>
                <w:color w:val="auto"/>
                <w:szCs w:val="21"/>
                <w:highlight w:val="none"/>
              </w:rPr>
              <w:t>设置）的投标报价，投标人必须提供详细的施工组织设计、单价、措施性费用、单价分析表、主要材料价格表、投标人成本分析供评标委员会评审，由评标委员会判定其是否低于企业自身成本</w:t>
            </w:r>
            <w:r>
              <w:rPr>
                <w:rFonts w:hint="eastAsia" w:ascii="宋体" w:hAnsi="宋体" w:eastAsia="宋体" w:cs="宋体"/>
                <w:color w:val="auto"/>
                <w:szCs w:val="21"/>
                <w:highlight w:val="none"/>
                <w:lang w:eastAsia="zh-CN"/>
              </w:rPr>
              <w:t>。</w:t>
            </w:r>
          </w:p>
          <w:p>
            <w:pPr>
              <w:widowControl/>
              <w:numPr>
                <w:ilvl w:val="-1"/>
                <w:numId w:val="0"/>
              </w:numPr>
              <w:shd w:val="clear" w:color="auto" w:fill="FFFFFF"/>
              <w:tabs>
                <w:tab w:val="left" w:pos="105"/>
              </w:tabs>
              <w:adjustRightInd w:val="0"/>
              <w:snapToGrid w:val="0"/>
              <w:spacing w:line="360" w:lineRule="auto"/>
              <w:jc w:val="left"/>
              <w:rPr>
                <w:szCs w:val="21"/>
              </w:rPr>
            </w:pPr>
            <w:r>
              <w:rPr>
                <w:rFonts w:hint="eastAsia" w:cs="宋体"/>
                <w:color w:val="auto"/>
                <w:sz w:val="21"/>
                <w:szCs w:val="21"/>
                <w:highlight w:val="none"/>
                <w:lang w:val="en-US" w:eastAsia="zh-CN"/>
              </w:rPr>
              <w:t>（3）</w:t>
            </w:r>
            <w:r>
              <w:rPr>
                <w:rFonts w:hint="eastAsia" w:cs="宋体"/>
                <w:color w:val="auto"/>
                <w:sz w:val="21"/>
                <w:szCs w:val="21"/>
                <w:highlight w:val="none"/>
                <w:lang w:val="en-US"/>
              </w:rPr>
              <w:t>招标人有权根据实际情况对建设内容进行调整。招标人减少的项目无论有无替代，招标人都不予补偿。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3.3</w:t>
            </w:r>
            <w:r>
              <w:rPr>
                <w:rFonts w:hint="eastAsia"/>
                <w:szCs w:val="21"/>
              </w:rPr>
              <w:t>.1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投标有效期</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ascii="宋体" w:hAnsi="宋体" w:cs="宋体"/>
                <w:color w:val="000000"/>
                <w:szCs w:val="21"/>
                <w:u w:val="single"/>
              </w:rPr>
              <w:t>120日历天（从递交投标文件截止之日计起），如出现异议</w:t>
            </w:r>
            <w:r>
              <w:rPr>
                <w:rFonts w:hint="eastAsia" w:ascii="宋体" w:hAnsi="宋体" w:cs="宋体"/>
                <w:color w:val="000000"/>
                <w:sz w:val="24"/>
                <w:szCs w:val="21"/>
                <w:u w:val="single"/>
              </w:rPr>
              <w:t>或</w:t>
            </w:r>
            <w:r>
              <w:rPr>
                <w:rFonts w:hint="eastAsia" w:ascii="宋体" w:hAnsi="宋体" w:cs="宋体"/>
                <w:color w:val="000000"/>
                <w:szCs w:val="21"/>
                <w:u w:val="single"/>
              </w:rPr>
              <w:t>投诉，则投标有效期自动延长至异议或投诉处理结束，确定中标人并发放中标通知书为止。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3.4.1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投标保证金</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szCs w:val="21"/>
              </w:rPr>
              <w:t>投标保证金的</w:t>
            </w:r>
            <w:r>
              <w:rPr>
                <w:szCs w:val="21"/>
              </w:rPr>
              <w:t>形式：</w:t>
            </w:r>
          </w:p>
          <w:p>
            <w:pPr>
              <w:spacing w:line="440" w:lineRule="exact"/>
              <w:rPr>
                <w:rFonts w:hint="eastAsia"/>
                <w:color w:val="auto"/>
                <w:szCs w:val="21"/>
                <w:highlight w:val="none"/>
              </w:rPr>
            </w:pPr>
            <w:r>
              <w:rPr>
                <w:rFonts w:hint="eastAsia"/>
                <w:color w:val="auto"/>
                <w:szCs w:val="21"/>
                <w:highlight w:val="none"/>
              </w:rPr>
              <w:t>（1）如采用现金、支票或者汇票形式提交的，由广州公共资源交易中心代收，投标保证金须从投标人基本账户递交；</w:t>
            </w:r>
          </w:p>
          <w:p>
            <w:pPr>
              <w:spacing w:line="440" w:lineRule="exact"/>
              <w:rPr>
                <w:rFonts w:hint="eastAsia"/>
                <w:color w:val="auto"/>
                <w:szCs w:val="21"/>
                <w:highlight w:val="none"/>
              </w:rPr>
            </w:pPr>
            <w:r>
              <w:rPr>
                <w:rFonts w:hint="eastAsia"/>
                <w:color w:val="auto"/>
                <w:szCs w:val="21"/>
                <w:highlight w:val="none"/>
              </w:rPr>
              <w:t>上述投标保证金的缴纳方式以广州公共资源交易中心网上公布为准，投标人必须提前办理缴纳投标保证金的事宜，且在缴纳保证金之前必须先咨询广州公共资源交易中心详细缴纳方法，否则需自行承担开标前保证金无法成功缴纳的风险。（具体操作步骤参见广州公共资源交易中心最新的投标保证金缴纳操作流程）</w:t>
            </w:r>
          </w:p>
          <w:p>
            <w:pPr>
              <w:spacing w:line="440" w:lineRule="exact"/>
              <w:rPr>
                <w:rFonts w:hint="eastAsia"/>
                <w:color w:val="auto"/>
                <w:szCs w:val="21"/>
                <w:highlight w:val="none"/>
              </w:rPr>
            </w:pPr>
            <w:r>
              <w:rPr>
                <w:rFonts w:hint="eastAsia"/>
                <w:color w:val="auto"/>
                <w:szCs w:val="21"/>
                <w:highlight w:val="none"/>
              </w:rPr>
              <w:t>（2）如采用投标保函或投标保证保险的形式提交的，在开标前不强制要求提交纸质原件，由中标候选人在中标候选人公示前提交并在网上公示，但投标人应在投标文件中提交投标保函或投标保证保险复印件并加盖投标人印章。</w:t>
            </w:r>
          </w:p>
          <w:p>
            <w:pPr>
              <w:spacing w:line="440" w:lineRule="exact"/>
              <w:rPr>
                <w:rFonts w:hint="eastAsia"/>
                <w:color w:val="auto"/>
                <w:szCs w:val="21"/>
                <w:highlight w:val="none"/>
              </w:rPr>
            </w:pPr>
            <w:r>
              <w:rPr>
                <w:rFonts w:hint="eastAsia"/>
                <w:color w:val="auto"/>
                <w:szCs w:val="21"/>
                <w:highlight w:val="none"/>
              </w:rPr>
              <w:t>（3）如采用电子保函形式递交投标保证金，按广州公共资源交易中心发布的《广州公共资源交易中心关于开通电子保函服务功能的通知》操作。详见：http://www.gzggzy.cn/jtgg/699986.jhtml。到账情况以开标时广州公共资源交易中心数据库查询信息为准。</w:t>
            </w:r>
          </w:p>
          <w:p>
            <w:pPr>
              <w:spacing w:line="360" w:lineRule="auto"/>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rPr>
              <w:t>若为联合体投标的，由联合体主办方负责递交即可。</w:t>
            </w:r>
          </w:p>
          <w:p>
            <w:pPr>
              <w:spacing w:line="440" w:lineRule="exact"/>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）投标保证金有效期：与投标有效期一致。</w:t>
            </w:r>
          </w:p>
          <w:p>
            <w:pPr>
              <w:spacing w:line="360" w:lineRule="auto"/>
              <w:jc w:val="left"/>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）缴纳时间：在投标截止时间之前。</w:t>
            </w:r>
          </w:p>
          <w:p>
            <w:pPr>
              <w:spacing w:line="440" w:lineRule="exact"/>
              <w:rPr>
                <w:rFonts w:hint="eastAsia" w:ascii="宋体"/>
                <w:color w:val="000000"/>
                <w:szCs w:val="21"/>
              </w:rPr>
            </w:pPr>
            <w:r>
              <w:rPr>
                <w:rFonts w:hint="eastAsia"/>
                <w:szCs w:val="21"/>
              </w:rPr>
              <w:t>投标保证金的</w:t>
            </w:r>
            <w:r>
              <w:rPr>
                <w:szCs w:val="21"/>
              </w:rPr>
              <w:t>金额：</w:t>
            </w:r>
            <w:r>
              <w:rPr>
                <w:rFonts w:hint="eastAsia" w:ascii="宋体"/>
                <w:color w:val="000000"/>
                <w:szCs w:val="21"/>
              </w:rPr>
              <w:t>人民币5万元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3.5.</w:t>
            </w:r>
            <w:r>
              <w:rPr>
                <w:rFonts w:hint="eastAsia"/>
                <w:szCs w:val="21"/>
              </w:rPr>
              <w:t>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近年财务状况</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szCs w:val="21"/>
              </w:rPr>
            </w:pPr>
            <w:r>
              <w:rPr>
                <w:szCs w:val="21"/>
                <w:u w:val="single"/>
              </w:rPr>
              <w:t xml:space="preserve"> </w:t>
            </w:r>
            <w:r>
              <w:rPr>
                <w:rFonts w:hint="eastAsia"/>
                <w:szCs w:val="21"/>
                <w:u w:val="single"/>
                <w:lang w:val="en-US" w:eastAsia="zh-CN"/>
              </w:rPr>
              <w:t>2020</w:t>
            </w:r>
            <w:r>
              <w:rPr>
                <w:rFonts w:hint="eastAsia"/>
                <w:szCs w:val="21"/>
                <w:u w:val="single"/>
              </w:rPr>
              <w:t xml:space="preserve"> </w:t>
            </w:r>
            <w:r>
              <w:rPr>
                <w:szCs w:val="21"/>
              </w:rPr>
              <w:t>年</w:t>
            </w:r>
            <w:r>
              <w:rPr>
                <w:szCs w:val="21"/>
                <w:u w:val="single"/>
              </w:rPr>
              <w:t xml:space="preserve"> </w:t>
            </w:r>
            <w:r>
              <w:rPr>
                <w:rFonts w:hint="eastAsia"/>
                <w:szCs w:val="21"/>
                <w:u w:val="single"/>
                <w:lang w:val="en-US" w:eastAsia="zh-CN"/>
              </w:rPr>
              <w:t>1</w:t>
            </w:r>
            <w:r>
              <w:rPr>
                <w:szCs w:val="21"/>
                <w:u w:val="single"/>
              </w:rPr>
              <w:t xml:space="preserve"> </w:t>
            </w:r>
            <w:r>
              <w:rPr>
                <w:rFonts w:hint="eastAsia"/>
                <w:szCs w:val="21"/>
              </w:rPr>
              <w:t>月</w:t>
            </w:r>
            <w:r>
              <w:rPr>
                <w:szCs w:val="21"/>
                <w:u w:val="single"/>
              </w:rPr>
              <w:t xml:space="preserve"> </w:t>
            </w:r>
            <w:r>
              <w:rPr>
                <w:rFonts w:hint="eastAsia"/>
                <w:szCs w:val="21"/>
                <w:u w:val="single"/>
                <w:lang w:val="en-US" w:eastAsia="zh-CN"/>
              </w:rPr>
              <w:t>1</w:t>
            </w:r>
            <w:r>
              <w:rPr>
                <w:rFonts w:hint="eastAsia"/>
                <w:szCs w:val="21"/>
                <w:u w:val="single"/>
              </w:rPr>
              <w:t xml:space="preserve"> </w:t>
            </w:r>
            <w:r>
              <w:rPr>
                <w:rFonts w:hint="eastAsia"/>
                <w:szCs w:val="21"/>
              </w:rPr>
              <w:t>日至</w:t>
            </w:r>
            <w:r>
              <w:rPr>
                <w:szCs w:val="21"/>
                <w:u w:val="single"/>
              </w:rPr>
              <w:t xml:space="preserve"> </w:t>
            </w:r>
            <w:r>
              <w:rPr>
                <w:rFonts w:hint="eastAsia"/>
                <w:szCs w:val="21"/>
                <w:u w:val="single"/>
                <w:lang w:val="en-US" w:eastAsia="zh-CN"/>
              </w:rPr>
              <w:t>2022</w:t>
            </w:r>
            <w:r>
              <w:rPr>
                <w:szCs w:val="21"/>
                <w:u w:val="single"/>
              </w:rPr>
              <w:t xml:space="preserve"> </w:t>
            </w:r>
            <w:r>
              <w:rPr>
                <w:szCs w:val="21"/>
              </w:rPr>
              <w:t>年</w:t>
            </w:r>
            <w:r>
              <w:rPr>
                <w:szCs w:val="21"/>
                <w:u w:val="single"/>
              </w:rPr>
              <w:t xml:space="preserve"> </w:t>
            </w:r>
            <w:r>
              <w:rPr>
                <w:rFonts w:hint="eastAsia"/>
                <w:szCs w:val="21"/>
                <w:u w:val="single"/>
                <w:lang w:val="en-US" w:eastAsia="zh-CN"/>
              </w:rPr>
              <w:t>12</w:t>
            </w:r>
            <w:r>
              <w:rPr>
                <w:szCs w:val="21"/>
                <w:u w:val="single"/>
              </w:rPr>
              <w:t xml:space="preserve"> </w:t>
            </w:r>
            <w:r>
              <w:rPr>
                <w:rFonts w:hint="eastAsia"/>
                <w:szCs w:val="21"/>
              </w:rPr>
              <w:t>月</w:t>
            </w:r>
            <w:r>
              <w:rPr>
                <w:szCs w:val="21"/>
                <w:u w:val="single"/>
              </w:rPr>
              <w:t xml:space="preserve"> </w:t>
            </w:r>
            <w:r>
              <w:rPr>
                <w:rFonts w:hint="eastAsia"/>
                <w:szCs w:val="21"/>
                <w:u w:val="single"/>
                <w:lang w:val="en-US" w:eastAsia="zh-CN"/>
              </w:rPr>
              <w:t>31</w:t>
            </w:r>
            <w:r>
              <w:rPr>
                <w:szCs w:val="21"/>
                <w:u w:val="single"/>
              </w:rPr>
              <w:t xml:space="preserve"> </w:t>
            </w:r>
            <w:r>
              <w:rPr>
                <w:rFonts w:hint="eastAsia"/>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3.5.</w:t>
            </w:r>
            <w:r>
              <w:rPr>
                <w:rFonts w:hint="eastAsia"/>
                <w:szCs w:val="21"/>
              </w:rPr>
              <w:t>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近年完成的类似项目</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szCs w:val="21"/>
                <w:lang w:eastAsia="zh-CN"/>
              </w:rPr>
            </w:pPr>
            <w:r>
              <w:rPr>
                <w:szCs w:val="21"/>
                <w:u w:val="single"/>
              </w:rPr>
              <w:t xml:space="preserve"> </w:t>
            </w:r>
            <w:r>
              <w:rPr>
                <w:rFonts w:hint="eastAsia"/>
                <w:szCs w:val="21"/>
                <w:u w:val="single"/>
                <w:lang w:val="en-US" w:eastAsia="zh-CN"/>
              </w:rPr>
              <w:t>2020</w:t>
            </w:r>
            <w:r>
              <w:rPr>
                <w:rFonts w:hint="eastAsia"/>
                <w:szCs w:val="21"/>
                <w:u w:val="single"/>
              </w:rPr>
              <w:t xml:space="preserve"> </w:t>
            </w:r>
            <w:r>
              <w:rPr>
                <w:szCs w:val="21"/>
              </w:rPr>
              <w:t>年</w:t>
            </w:r>
            <w:r>
              <w:rPr>
                <w:szCs w:val="21"/>
                <w:u w:val="single"/>
              </w:rPr>
              <w:t xml:space="preserve"> </w:t>
            </w:r>
            <w:r>
              <w:rPr>
                <w:rFonts w:hint="eastAsia"/>
                <w:szCs w:val="21"/>
                <w:u w:val="single"/>
                <w:lang w:val="en-US" w:eastAsia="zh-CN"/>
              </w:rPr>
              <w:t>1</w:t>
            </w:r>
            <w:r>
              <w:rPr>
                <w:szCs w:val="21"/>
                <w:u w:val="single"/>
              </w:rPr>
              <w:t xml:space="preserve"> </w:t>
            </w:r>
            <w:r>
              <w:rPr>
                <w:rFonts w:hint="eastAsia"/>
                <w:szCs w:val="21"/>
              </w:rPr>
              <w:t>月</w:t>
            </w:r>
            <w:r>
              <w:rPr>
                <w:szCs w:val="21"/>
                <w:u w:val="single"/>
              </w:rPr>
              <w:t xml:space="preserve"> </w:t>
            </w:r>
            <w:r>
              <w:rPr>
                <w:rFonts w:hint="eastAsia"/>
                <w:szCs w:val="21"/>
                <w:u w:val="single"/>
                <w:lang w:val="en-US" w:eastAsia="zh-CN"/>
              </w:rPr>
              <w:t>1</w:t>
            </w:r>
            <w:r>
              <w:rPr>
                <w:rFonts w:hint="eastAsia"/>
                <w:szCs w:val="21"/>
                <w:u w:val="single"/>
              </w:rPr>
              <w:t xml:space="preserve"> </w:t>
            </w:r>
            <w:r>
              <w:rPr>
                <w:rFonts w:hint="eastAsia"/>
                <w:szCs w:val="21"/>
              </w:rPr>
              <w:t>日至</w:t>
            </w:r>
            <w:r>
              <w:rPr>
                <w:rFonts w:hint="eastAsia"/>
                <w:szCs w:val="21"/>
                <w:u w:val="single"/>
                <w:lang w:val="en-US" w:eastAsia="zh-CN"/>
              </w:rPr>
              <w:t>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3.5.</w:t>
            </w:r>
            <w:r>
              <w:rPr>
                <w:rFonts w:hint="eastAsia"/>
                <w:szCs w:val="21"/>
              </w:rPr>
              <w:t>5</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近年发生的</w:t>
            </w:r>
            <w:r>
              <w:rPr>
                <w:rFonts w:hint="eastAsia"/>
                <w:szCs w:val="21"/>
              </w:rPr>
              <w:t>重大</w:t>
            </w:r>
            <w:r>
              <w:rPr>
                <w:szCs w:val="21"/>
              </w:rPr>
              <w:t>诉讼及仲裁情况</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u w:val="single"/>
              </w:rPr>
              <w:t xml:space="preserve"> </w:t>
            </w:r>
            <w:r>
              <w:rPr>
                <w:rFonts w:hint="eastAsia"/>
                <w:szCs w:val="21"/>
                <w:u w:val="single"/>
                <w:lang w:val="en-US" w:eastAsia="zh-CN"/>
              </w:rPr>
              <w:t>2020</w:t>
            </w:r>
            <w:r>
              <w:rPr>
                <w:rFonts w:hint="eastAsia"/>
                <w:szCs w:val="21"/>
                <w:u w:val="single"/>
              </w:rPr>
              <w:t xml:space="preserve"> </w:t>
            </w:r>
            <w:r>
              <w:rPr>
                <w:szCs w:val="21"/>
              </w:rPr>
              <w:t>年</w:t>
            </w:r>
            <w:r>
              <w:rPr>
                <w:szCs w:val="21"/>
                <w:u w:val="single"/>
              </w:rPr>
              <w:t xml:space="preserve"> </w:t>
            </w:r>
            <w:r>
              <w:rPr>
                <w:rFonts w:hint="eastAsia"/>
                <w:szCs w:val="21"/>
                <w:u w:val="single"/>
                <w:lang w:val="en-US" w:eastAsia="zh-CN"/>
              </w:rPr>
              <w:t>1</w:t>
            </w:r>
            <w:r>
              <w:rPr>
                <w:szCs w:val="21"/>
                <w:u w:val="single"/>
              </w:rPr>
              <w:t xml:space="preserve"> </w:t>
            </w:r>
            <w:r>
              <w:rPr>
                <w:rFonts w:hint="eastAsia"/>
                <w:szCs w:val="21"/>
              </w:rPr>
              <w:t>月</w:t>
            </w:r>
            <w:r>
              <w:rPr>
                <w:szCs w:val="21"/>
                <w:u w:val="single"/>
              </w:rPr>
              <w:t xml:space="preserve"> </w:t>
            </w:r>
            <w:r>
              <w:rPr>
                <w:rFonts w:hint="eastAsia"/>
                <w:szCs w:val="21"/>
                <w:u w:val="single"/>
                <w:lang w:val="en-US" w:eastAsia="zh-CN"/>
              </w:rPr>
              <w:t>1</w:t>
            </w:r>
            <w:r>
              <w:rPr>
                <w:rFonts w:hint="eastAsia"/>
                <w:szCs w:val="21"/>
                <w:u w:val="single"/>
              </w:rPr>
              <w:t xml:space="preserve"> </w:t>
            </w:r>
            <w:r>
              <w:rPr>
                <w:rFonts w:hint="eastAsia"/>
                <w:szCs w:val="21"/>
              </w:rPr>
              <w:t>日至</w:t>
            </w:r>
            <w:r>
              <w:rPr>
                <w:rFonts w:hint="eastAsia"/>
                <w:szCs w:val="21"/>
                <w:u w:val="single"/>
                <w:lang w:val="en-US" w:eastAsia="zh-CN"/>
              </w:rPr>
              <w:t>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3.6</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是否允许</w:t>
            </w:r>
            <w:r>
              <w:rPr>
                <w:rFonts w:hint="eastAsia"/>
                <w:szCs w:val="21"/>
              </w:rPr>
              <w:t>递交备</w:t>
            </w:r>
            <w:r>
              <w:rPr>
                <w:szCs w:val="21"/>
              </w:rPr>
              <w:t>选投标方案</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sz w:val="21"/>
                <w:szCs w:val="21"/>
              </w:rPr>
            </w:pPr>
            <w:r>
              <w:rPr>
                <w:rFonts w:hint="eastAsia" w:ascii="Times New Roman"/>
                <w:sz w:val="32"/>
                <w:szCs w:val="32"/>
                <w:lang w:eastAsia="zh-CN"/>
              </w:rPr>
              <w:t>☑</w:t>
            </w:r>
            <w:r>
              <w:rPr>
                <w:rFonts w:hint="eastAsia" w:ascii="Times New Roman"/>
                <w:sz w:val="21"/>
                <w:szCs w:val="21"/>
              </w:rPr>
              <w:t>不允许</w:t>
            </w:r>
          </w:p>
          <w:p>
            <w:pPr>
              <w:spacing w:line="440" w:lineRule="exact"/>
              <w:rPr>
                <w:szCs w:val="21"/>
              </w:rPr>
            </w:pPr>
            <w:r>
              <w:rPr>
                <w:sz w:val="32"/>
                <w:szCs w:val="32"/>
              </w:rPr>
              <w:t>□</w:t>
            </w:r>
            <w:r>
              <w:rPr>
                <w:rFonts w:hint="eastAsia"/>
                <w:szCs w:val="21"/>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3.7.3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签字或盖章要求</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color w:val="000000"/>
                <w:sz w:val="21"/>
                <w:szCs w:val="21"/>
                <w:u w:val="single"/>
              </w:rPr>
              <w:t>投标人采用单位数字证书，按招标文件要求在相应位置加盖电子印章。投标文件中需个人签字或盖章的，应线下完成后扫描上传。按照广州公共资源交易中心网站最新发布的《房屋建筑和市政基础设施工程全流程电子化项目专章》进行操作；联合体投标的，除《联合体投标协议书》、投标人声明必须联合体各方分别按要求进行签字或盖章外，法定代表人证明书及授权委托证明书由联合体主办方出具，“投标单位”一栏可只填写联合体主办方名称及签字或盖章即可。其他资料若需要签字或盖章的均可由联合体主办方签字或盖章；投标文件封面及其他内容及落款中的“投标人”应填写联合体各方的单位全称【格式表示为：</w:t>
            </w:r>
            <w:r>
              <w:rPr>
                <w:rFonts w:hint="eastAsia"/>
                <w:color w:val="000000"/>
                <w:sz w:val="21"/>
                <w:szCs w:val="21"/>
                <w:u w:val="single"/>
                <w:lang w:eastAsia="zh-CN"/>
              </w:rPr>
              <w:t>（</w:t>
            </w:r>
            <w:r>
              <w:rPr>
                <w:rFonts w:hint="eastAsia"/>
                <w:color w:val="000000"/>
                <w:sz w:val="21"/>
                <w:szCs w:val="21"/>
                <w:u w:val="single"/>
              </w:rPr>
              <w:t>主</w:t>
            </w:r>
            <w:r>
              <w:rPr>
                <w:rFonts w:hint="eastAsia"/>
                <w:color w:val="000000"/>
                <w:sz w:val="21"/>
                <w:szCs w:val="21"/>
                <w:u w:val="single"/>
                <w:lang w:eastAsia="zh-CN"/>
              </w:rPr>
              <w:t>）</w:t>
            </w:r>
            <w:r>
              <w:rPr>
                <w:rFonts w:hint="eastAsia"/>
                <w:color w:val="000000"/>
                <w:sz w:val="21"/>
                <w:szCs w:val="21"/>
                <w:u w:val="single"/>
              </w:rPr>
              <w:t>XXXX公司</w:t>
            </w:r>
            <w:r>
              <w:rPr>
                <w:rFonts w:hint="eastAsia"/>
                <w:color w:val="000000"/>
                <w:sz w:val="21"/>
                <w:szCs w:val="21"/>
                <w:u w:val="single"/>
                <w:lang w:eastAsia="zh-CN"/>
              </w:rPr>
              <w:t>（</w:t>
            </w:r>
            <w:r>
              <w:rPr>
                <w:rFonts w:hint="eastAsia"/>
                <w:color w:val="000000"/>
                <w:sz w:val="21"/>
                <w:szCs w:val="21"/>
                <w:u w:val="single"/>
              </w:rPr>
              <w:t>成</w:t>
            </w:r>
            <w:r>
              <w:rPr>
                <w:rFonts w:hint="eastAsia"/>
                <w:color w:val="000000"/>
                <w:sz w:val="21"/>
                <w:szCs w:val="21"/>
                <w:u w:val="single"/>
                <w:lang w:eastAsia="zh-CN"/>
              </w:rPr>
              <w:t>）</w:t>
            </w:r>
            <w:r>
              <w:rPr>
                <w:rFonts w:hint="eastAsia"/>
                <w:color w:val="000000"/>
                <w:sz w:val="21"/>
                <w:szCs w:val="21"/>
                <w:u w:val="single"/>
              </w:rPr>
              <w:t>XXXX公司】，可由联合体主办方签字或盖章即可。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3.7.4</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投标文件副本份数</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u w:val="single"/>
              </w:rPr>
              <w:t xml:space="preserve"> </w:t>
            </w:r>
            <w:r>
              <w:rPr>
                <w:rFonts w:hint="eastAsia"/>
                <w:szCs w:val="21"/>
                <w:u w:val="single"/>
                <w:lang w:val="en-US" w:eastAsia="zh-CN"/>
              </w:rPr>
              <w:t>/</w:t>
            </w:r>
            <w:r>
              <w:rPr>
                <w:szCs w:val="21"/>
                <w:u w:val="single"/>
              </w:rPr>
              <w:t xml:space="preserve"> </w:t>
            </w:r>
            <w:r>
              <w:rPr>
                <w:szCs w:val="21"/>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3.7.5</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装订要求</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szCs w:val="21"/>
                <w:lang w:val="en-US" w:eastAsia="zh-CN"/>
              </w:rPr>
            </w:pPr>
            <w:r>
              <w:rPr>
                <w:rFonts w:hint="eastAsia"/>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4.1.2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封套上</w:t>
            </w:r>
            <w:r>
              <w:rPr>
                <w:rFonts w:hint="eastAsia"/>
                <w:szCs w:val="21"/>
              </w:rPr>
              <w:t>应载明的信息</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招标人的地址：</w:t>
            </w:r>
          </w:p>
          <w:p>
            <w:pPr>
              <w:spacing w:line="440" w:lineRule="exact"/>
              <w:rPr>
                <w:szCs w:val="21"/>
              </w:rPr>
            </w:pPr>
            <w:r>
              <w:rPr>
                <w:szCs w:val="21"/>
              </w:rPr>
              <w:t>招标人名称：</w:t>
            </w:r>
          </w:p>
          <w:p>
            <w:pPr>
              <w:spacing w:line="440" w:lineRule="exact"/>
              <w:rPr>
                <w:szCs w:val="21"/>
              </w:rPr>
            </w:pPr>
            <w:r>
              <w:rPr>
                <w:szCs w:val="21"/>
                <w:u w:val="single"/>
              </w:rPr>
              <w:t xml:space="preserve">  </w:t>
            </w:r>
            <w:r>
              <w:rPr>
                <w:rFonts w:hint="eastAsia"/>
                <w:szCs w:val="21"/>
                <w:u w:val="single"/>
              </w:rPr>
              <w:t xml:space="preserve">         </w:t>
            </w:r>
            <w:r>
              <w:rPr>
                <w:szCs w:val="21"/>
                <w:u w:val="single"/>
              </w:rPr>
              <w:t xml:space="preserve">  </w:t>
            </w:r>
            <w:r>
              <w:rPr>
                <w:szCs w:val="21"/>
              </w:rPr>
              <w:t>（项目名称）投标文件</w:t>
            </w:r>
          </w:p>
          <w:p>
            <w:pPr>
              <w:spacing w:line="440" w:lineRule="exact"/>
              <w:rPr>
                <w:szCs w:val="21"/>
              </w:rPr>
            </w:pPr>
            <w:r>
              <w:rPr>
                <w:szCs w:val="21"/>
              </w:rPr>
              <w:t>在</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rPr>
              <w:t>时前不得开启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4.2.2</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递交投标文件地点</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color w:val="auto"/>
                <w:szCs w:val="21"/>
                <w:highlight w:val="none"/>
              </w:rPr>
              <w:t>投标人应在截止时间前通过电子招标投标交易平台递交电子投标文件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4.2.3</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是否退还投标文件</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400" w:lineRule="exact"/>
              <w:rPr>
                <w:rFonts w:ascii="Times New Roman"/>
                <w:sz w:val="21"/>
                <w:szCs w:val="21"/>
              </w:rPr>
            </w:pPr>
            <w:r>
              <w:rPr>
                <w:rFonts w:hint="eastAsia" w:ascii="Times New Roman"/>
                <w:sz w:val="32"/>
                <w:szCs w:val="32"/>
                <w:lang w:eastAsia="zh-CN"/>
              </w:rPr>
              <w:t>☑</w:t>
            </w:r>
            <w:r>
              <w:rPr>
                <w:rFonts w:hint="eastAsia" w:ascii="Times New Roman"/>
                <w:sz w:val="21"/>
                <w:szCs w:val="21"/>
              </w:rPr>
              <w:t>否</w:t>
            </w:r>
          </w:p>
          <w:p>
            <w:pPr>
              <w:spacing w:line="440" w:lineRule="exact"/>
              <w:rPr>
                <w:szCs w:val="21"/>
              </w:rPr>
            </w:pPr>
            <w:r>
              <w:rPr>
                <w:sz w:val="32"/>
                <w:szCs w:val="32"/>
              </w:rPr>
              <w:t>□</w:t>
            </w:r>
            <w:r>
              <w:rPr>
                <w:rFonts w:hint="eastAsia"/>
                <w:szCs w:val="21"/>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szCs w:val="21"/>
              </w:rPr>
              <w:t>5.1</w:t>
            </w:r>
          </w:p>
        </w:tc>
        <w:tc>
          <w:tcPr>
            <w:tcW w:w="2638"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rFonts w:hint="eastAsia"/>
                <w:szCs w:val="21"/>
              </w:rPr>
              <w:t>开标时间和地点</w:t>
            </w:r>
          </w:p>
        </w:tc>
        <w:tc>
          <w:tcPr>
            <w:tcW w:w="6051" w:type="dxa"/>
            <w:tcBorders>
              <w:top w:val="single" w:color="auto" w:sz="4" w:space="0"/>
              <w:left w:val="single" w:color="auto" w:sz="4" w:space="0"/>
              <w:right w:val="single" w:color="auto" w:sz="4" w:space="0"/>
            </w:tcBorders>
            <w:noWrap w:val="0"/>
            <w:vAlign w:val="center"/>
          </w:tcPr>
          <w:p>
            <w:pPr>
              <w:spacing w:line="440" w:lineRule="exact"/>
              <w:rPr>
                <w:szCs w:val="21"/>
              </w:rPr>
            </w:pPr>
            <w:r>
              <w:rPr>
                <w:szCs w:val="21"/>
              </w:rPr>
              <w:t>开标时间</w:t>
            </w:r>
            <w:r>
              <w:rPr>
                <w:rFonts w:hint="eastAsia"/>
                <w:szCs w:val="21"/>
              </w:rPr>
              <w:t>：</w:t>
            </w:r>
            <w:r>
              <w:rPr>
                <w:szCs w:val="21"/>
              </w:rPr>
              <w:t>同投标截止时间</w:t>
            </w:r>
          </w:p>
          <w:p>
            <w:pPr>
              <w:spacing w:line="440" w:lineRule="exact"/>
              <w:rPr>
                <w:rFonts w:hint="eastAsia" w:eastAsia="宋体"/>
                <w:szCs w:val="21"/>
                <w:lang w:eastAsia="zh-CN"/>
              </w:rPr>
            </w:pPr>
            <w:r>
              <w:rPr>
                <w:szCs w:val="21"/>
              </w:rPr>
              <w:t>开标地点</w:t>
            </w:r>
            <w:r>
              <w:rPr>
                <w:rFonts w:hint="eastAsia"/>
                <w:szCs w:val="21"/>
              </w:rPr>
              <w:t>：</w:t>
            </w:r>
            <w:r>
              <w:rPr>
                <w:rFonts w:hint="eastAsia" w:ascii="Times New Roman" w:hAnsi="Times New Roman" w:eastAsia="宋体" w:cs="Times New Roman"/>
                <w:color w:val="auto"/>
                <w:highlight w:val="none"/>
              </w:rPr>
              <w:t>广州公共资源交易中心（广州市天河区天润路333号）第</w:t>
            </w:r>
            <w:r>
              <w:rPr>
                <w:rFonts w:hint="eastAsia"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开标室</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登录广州公共资源交易中心网站首页查询，点击“建设工程”</w:t>
            </w:r>
            <w:r>
              <w:rPr>
                <w:rFonts w:hint="eastAsia" w:cs="Times New Roman"/>
                <w:color w:val="auto"/>
                <w:highlight w:val="none"/>
                <w:lang w:eastAsia="zh-CN"/>
              </w:rPr>
              <w:t>－</w:t>
            </w:r>
            <w:r>
              <w:rPr>
                <w:rFonts w:hint="eastAsia" w:ascii="Times New Roman" w:hAnsi="Times New Roman" w:eastAsia="宋体" w:cs="Times New Roman"/>
                <w:color w:val="auto"/>
                <w:highlight w:val="none"/>
              </w:rPr>
              <w:t>项目查询（日程安排、答疑纪要），输入项目编号或项目名称查询最新信息</w:t>
            </w:r>
            <w:r>
              <w:rPr>
                <w:rFonts w:hint="eastAsia" w:ascii="Times New Roman" w:hAnsi="Times New Roman" w:eastAsia="宋体" w:cs="Times New Roman"/>
                <w:color w:val="auto"/>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rFonts w:hint="eastAsia"/>
                <w:szCs w:val="21"/>
              </w:rPr>
              <w:t>5.2</w:t>
            </w:r>
          </w:p>
        </w:tc>
        <w:tc>
          <w:tcPr>
            <w:tcW w:w="2638"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rFonts w:hint="eastAsia"/>
                <w:szCs w:val="21"/>
              </w:rPr>
              <w:t>开标程序</w:t>
            </w:r>
          </w:p>
        </w:tc>
        <w:tc>
          <w:tcPr>
            <w:tcW w:w="6051" w:type="dxa"/>
            <w:tcBorders>
              <w:top w:val="single" w:color="auto" w:sz="4" w:space="0"/>
              <w:left w:val="single" w:color="auto" w:sz="4" w:space="0"/>
              <w:right w:val="single" w:color="auto" w:sz="4" w:space="0"/>
            </w:tcBorders>
            <w:noWrap w:val="0"/>
            <w:vAlign w:val="center"/>
          </w:tcPr>
          <w:p>
            <w:pPr>
              <w:spacing w:line="440" w:lineRule="exact"/>
              <w:rPr>
                <w:rFonts w:hint="eastAsia" w:eastAsia="宋体"/>
                <w:szCs w:val="21"/>
                <w:lang w:val="en-US" w:eastAsia="zh-CN"/>
              </w:rPr>
            </w:pPr>
            <w:r>
              <w:rPr>
                <w:rFonts w:hint="eastAsia"/>
                <w:szCs w:val="21"/>
              </w:rPr>
              <w:t>密封情况检查：</w:t>
            </w:r>
            <w:r>
              <w:rPr>
                <w:rFonts w:hint="eastAsia"/>
                <w:szCs w:val="21"/>
                <w:lang w:val="en-US" w:eastAsia="zh-CN"/>
              </w:rPr>
              <w:t>/</w:t>
            </w:r>
          </w:p>
          <w:p>
            <w:pPr>
              <w:spacing w:line="440" w:lineRule="exact"/>
              <w:rPr>
                <w:rFonts w:hint="eastAsia"/>
                <w:color w:val="auto"/>
                <w:szCs w:val="21"/>
                <w:highlight w:val="none"/>
              </w:rPr>
            </w:pPr>
            <w:r>
              <w:rPr>
                <w:rFonts w:hint="eastAsia"/>
                <w:szCs w:val="21"/>
              </w:rPr>
              <w:t>开标顺序：</w:t>
            </w:r>
            <w:r>
              <w:rPr>
                <w:rFonts w:hint="eastAsia"/>
                <w:color w:val="auto"/>
                <w:szCs w:val="21"/>
                <w:highlight w:val="none"/>
              </w:rPr>
              <w:t>1.按下列程序进行开标：</w:t>
            </w:r>
          </w:p>
          <w:p>
            <w:pPr>
              <w:spacing w:line="440" w:lineRule="exact"/>
              <w:rPr>
                <w:rFonts w:hint="eastAsia"/>
                <w:color w:val="auto"/>
                <w:szCs w:val="21"/>
                <w:highlight w:val="none"/>
              </w:rPr>
            </w:pPr>
            <w:r>
              <w:rPr>
                <w:rFonts w:hint="eastAsia"/>
                <w:color w:val="auto"/>
                <w:szCs w:val="21"/>
                <w:highlight w:val="none"/>
              </w:rPr>
              <w:t>（1）宣布开标纪律；</w:t>
            </w:r>
          </w:p>
          <w:p>
            <w:pPr>
              <w:spacing w:line="440" w:lineRule="exact"/>
              <w:rPr>
                <w:rFonts w:hint="eastAsia"/>
                <w:color w:val="auto"/>
                <w:szCs w:val="21"/>
                <w:highlight w:val="none"/>
              </w:rPr>
            </w:pPr>
            <w:r>
              <w:rPr>
                <w:rFonts w:hint="eastAsia"/>
                <w:color w:val="auto"/>
                <w:szCs w:val="21"/>
                <w:highlight w:val="none"/>
              </w:rPr>
              <w:t>（2）公布在投标截止时间前递交投标文件的投标人名称；</w:t>
            </w:r>
          </w:p>
          <w:p>
            <w:pPr>
              <w:spacing w:line="440" w:lineRule="exact"/>
              <w:rPr>
                <w:rFonts w:hint="eastAsia"/>
                <w:color w:val="auto"/>
                <w:szCs w:val="21"/>
                <w:highlight w:val="none"/>
              </w:rPr>
            </w:pPr>
            <w:r>
              <w:rPr>
                <w:rFonts w:hint="eastAsia"/>
                <w:color w:val="auto"/>
                <w:szCs w:val="21"/>
                <w:highlight w:val="non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pPr>
              <w:spacing w:line="440" w:lineRule="exact"/>
              <w:rPr>
                <w:rFonts w:hint="eastAsia"/>
                <w:color w:val="auto"/>
                <w:szCs w:val="21"/>
                <w:highlight w:val="none"/>
              </w:rPr>
            </w:pPr>
            <w:r>
              <w:rPr>
                <w:rFonts w:hint="eastAsia"/>
                <w:color w:val="auto"/>
                <w:szCs w:val="21"/>
                <w:highlight w:val="none"/>
              </w:rPr>
              <w:t>（4）解密完成后，公布：a投标人名称；b投标文件递交情况；c投标文件解密情况；d投标担保递交情况；e项目负责人</w:t>
            </w:r>
            <w:r>
              <w:rPr>
                <w:rFonts w:hint="eastAsia"/>
                <w:color w:val="auto"/>
                <w:szCs w:val="21"/>
                <w:highlight w:val="none"/>
                <w:lang w:eastAsia="zh-CN"/>
              </w:rPr>
              <w:t>（</w:t>
            </w:r>
            <w:r>
              <w:rPr>
                <w:rFonts w:hint="eastAsia"/>
                <w:color w:val="auto"/>
                <w:szCs w:val="21"/>
                <w:highlight w:val="none"/>
              </w:rPr>
              <w:t>兼施工负责人</w:t>
            </w:r>
            <w:r>
              <w:rPr>
                <w:rFonts w:hint="eastAsia"/>
                <w:color w:val="auto"/>
                <w:szCs w:val="21"/>
                <w:highlight w:val="none"/>
                <w:lang w:eastAsia="zh-CN"/>
              </w:rPr>
              <w:t>）</w:t>
            </w:r>
            <w:r>
              <w:rPr>
                <w:rFonts w:hint="eastAsia"/>
                <w:color w:val="auto"/>
                <w:szCs w:val="21"/>
                <w:highlight w:val="none"/>
              </w:rPr>
              <w:t>、设计负责人、专职安全员；f投标报价（含设计报价和施工报价）；g工期；h投标人的加密打包投标文件电脑机器特征码等主要内容，并记录在案。未在规定时间内解密的投标文件不参与开标、评标。</w:t>
            </w:r>
          </w:p>
          <w:p>
            <w:pPr>
              <w:spacing w:line="440" w:lineRule="exact"/>
              <w:rPr>
                <w:rFonts w:hint="eastAsia"/>
                <w:color w:val="auto"/>
                <w:szCs w:val="21"/>
                <w:highlight w:val="none"/>
              </w:rPr>
            </w:pPr>
            <w:r>
              <w:rPr>
                <w:rFonts w:hint="eastAsia"/>
                <w:color w:val="auto"/>
                <w:szCs w:val="21"/>
                <w:highlight w:val="none"/>
              </w:rPr>
              <w:t>（5）截标后，开标开始时间因故推迟的，相关评标信息仍以原定的开标开始时间的信息为准。</w:t>
            </w:r>
          </w:p>
          <w:p>
            <w:pPr>
              <w:spacing w:line="440" w:lineRule="exact"/>
              <w:rPr>
                <w:rFonts w:hint="eastAsia"/>
                <w:color w:val="auto"/>
                <w:szCs w:val="21"/>
                <w:highlight w:val="none"/>
              </w:rPr>
            </w:pPr>
            <w:r>
              <w:rPr>
                <w:rFonts w:hint="eastAsia"/>
                <w:color w:val="auto"/>
                <w:szCs w:val="21"/>
                <w:highlight w:val="none"/>
              </w:rPr>
              <w:t>（6）备用光盘的读取按“10 电子招标投标”第6点的规定执行。</w:t>
            </w:r>
          </w:p>
          <w:p>
            <w:pPr>
              <w:spacing w:line="440" w:lineRule="exact"/>
              <w:rPr>
                <w:rFonts w:hint="eastAsia"/>
                <w:color w:val="auto"/>
                <w:szCs w:val="21"/>
                <w:highlight w:val="none"/>
              </w:rPr>
            </w:pPr>
            <w:r>
              <w:rPr>
                <w:rFonts w:hint="eastAsia"/>
                <w:color w:val="auto"/>
                <w:szCs w:val="21"/>
                <w:highlight w:val="none"/>
              </w:rPr>
              <w:t>（</w:t>
            </w:r>
            <w:r>
              <w:rPr>
                <w:rFonts w:hint="default"/>
                <w:color w:val="auto"/>
                <w:szCs w:val="21"/>
                <w:highlight w:val="none"/>
                <w:lang w:val="en-US"/>
              </w:rPr>
              <w:t>7</w:t>
            </w:r>
            <w:r>
              <w:rPr>
                <w:rFonts w:hint="eastAsia"/>
                <w:color w:val="auto"/>
                <w:szCs w:val="21"/>
                <w:highlight w:val="none"/>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40" w:lineRule="exact"/>
              <w:rPr>
                <w:rFonts w:hint="eastAsia"/>
                <w:color w:val="auto"/>
                <w:szCs w:val="21"/>
                <w:highlight w:val="none"/>
              </w:rPr>
            </w:pPr>
            <w:r>
              <w:rPr>
                <w:rFonts w:hint="eastAsia"/>
                <w:color w:val="auto"/>
                <w:szCs w:val="21"/>
                <w:highlight w:val="none"/>
              </w:rPr>
              <w:t>（</w:t>
            </w:r>
            <w:r>
              <w:rPr>
                <w:rFonts w:hint="default"/>
                <w:color w:val="auto"/>
                <w:szCs w:val="21"/>
                <w:highlight w:val="none"/>
                <w:lang w:val="en-US"/>
              </w:rPr>
              <w:t>8</w:t>
            </w:r>
            <w:r>
              <w:rPr>
                <w:rFonts w:hint="eastAsia"/>
                <w:color w:val="auto"/>
                <w:szCs w:val="21"/>
                <w:highlight w:val="non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40" w:lineRule="exact"/>
              <w:rPr>
                <w:rFonts w:hint="eastAsia"/>
                <w:color w:val="auto"/>
                <w:szCs w:val="21"/>
                <w:highlight w:val="none"/>
              </w:rPr>
            </w:pPr>
            <w:r>
              <w:rPr>
                <w:rFonts w:hint="eastAsia"/>
                <w:color w:val="auto"/>
                <w:szCs w:val="21"/>
                <w:highlight w:val="none"/>
              </w:rPr>
              <w:t>（9）投标人未参加开标或在规定的时间内未提出异议的，视为对开标无异议。</w:t>
            </w:r>
          </w:p>
          <w:p>
            <w:pPr>
              <w:spacing w:line="440" w:lineRule="exact"/>
              <w:rPr>
                <w:rFonts w:hint="eastAsia"/>
                <w:color w:val="auto"/>
                <w:szCs w:val="21"/>
                <w:highlight w:val="none"/>
              </w:rPr>
            </w:pPr>
            <w:r>
              <w:rPr>
                <w:rFonts w:hint="eastAsia"/>
                <w:color w:val="auto"/>
                <w:szCs w:val="21"/>
                <w:highlight w:val="none"/>
              </w:rPr>
              <w:t>（10）开标时，两个（含两个）以上的投标人加密打包投标文件电脑机器特征码一致的，不参与下一程序，并由评标委员会否决其投标。</w:t>
            </w:r>
          </w:p>
          <w:p>
            <w:pPr>
              <w:spacing w:line="440" w:lineRule="exact"/>
              <w:rPr>
                <w:rFonts w:hint="eastAsia"/>
                <w:color w:val="auto"/>
                <w:szCs w:val="21"/>
                <w:highlight w:val="none"/>
              </w:rPr>
            </w:pPr>
            <w:r>
              <w:rPr>
                <w:rFonts w:hint="eastAsia"/>
                <w:color w:val="auto"/>
                <w:szCs w:val="21"/>
                <w:highlight w:val="none"/>
              </w:rPr>
              <w:t>（11）投标人未参加开标或在规定的时间内未提出异议的，视为对开标无异议。</w:t>
            </w:r>
          </w:p>
          <w:p>
            <w:pPr>
              <w:spacing w:line="440" w:lineRule="exact"/>
              <w:rPr>
                <w:rFonts w:hint="eastAsia"/>
                <w:color w:val="auto"/>
                <w:szCs w:val="21"/>
                <w:highlight w:val="none"/>
              </w:rPr>
            </w:pPr>
            <w:r>
              <w:rPr>
                <w:rFonts w:hint="eastAsia"/>
                <w:color w:val="auto"/>
                <w:szCs w:val="21"/>
                <w:highlight w:val="none"/>
              </w:rPr>
              <w:t>（12）投标人代表、招标人代表、监标人、记录人等有关人员在开标记录上签字确认；若有关人员不签字的，不影响开标程序；</w:t>
            </w:r>
          </w:p>
          <w:p>
            <w:pPr>
              <w:spacing w:line="440" w:lineRule="exact"/>
              <w:rPr>
                <w:szCs w:val="21"/>
              </w:rPr>
            </w:pPr>
            <w:r>
              <w:rPr>
                <w:rFonts w:hint="eastAsia"/>
                <w:color w:val="auto"/>
                <w:szCs w:val="21"/>
                <w:highlight w:val="none"/>
              </w:rPr>
              <w:t>（13）开标结束。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6.1.1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olor w:val="auto"/>
                <w:szCs w:val="21"/>
              </w:rPr>
              <w:t>评标委员会的组建</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color w:val="auto"/>
                <w:szCs w:val="21"/>
                <w:highlight w:val="none"/>
              </w:rPr>
            </w:pPr>
            <w:r>
              <w:rPr>
                <w:color w:val="auto"/>
                <w:szCs w:val="21"/>
                <w:highlight w:val="none"/>
              </w:rPr>
              <w:t>评标委员会</w:t>
            </w:r>
            <w:r>
              <w:rPr>
                <w:rFonts w:hint="eastAsia"/>
                <w:color w:val="auto"/>
                <w:szCs w:val="21"/>
                <w:highlight w:val="none"/>
              </w:rPr>
              <w:t>构成：</w:t>
            </w:r>
            <w:r>
              <w:rPr>
                <w:rFonts w:hint="eastAsia"/>
                <w:color w:val="auto"/>
                <w:szCs w:val="21"/>
                <w:highlight w:val="none"/>
                <w:u w:val="single"/>
                <w:lang w:val="en-US" w:eastAsia="zh-CN"/>
              </w:rPr>
              <w:t>7</w:t>
            </w:r>
            <w:r>
              <w:rPr>
                <w:rFonts w:hint="eastAsia"/>
                <w:color w:val="auto"/>
                <w:szCs w:val="21"/>
                <w:highlight w:val="none"/>
              </w:rPr>
              <w:t>人</w:t>
            </w:r>
          </w:p>
          <w:p>
            <w:pPr>
              <w:spacing w:line="440" w:lineRule="exact"/>
              <w:rPr>
                <w:color w:val="auto"/>
                <w:szCs w:val="21"/>
                <w:highlight w:val="none"/>
              </w:rPr>
            </w:pPr>
            <w:r>
              <w:rPr>
                <w:rFonts w:hint="eastAsia"/>
                <w:color w:val="auto"/>
                <w:szCs w:val="21"/>
                <w:highlight w:val="none"/>
              </w:rPr>
              <w:t>其中招标人代表</w:t>
            </w:r>
            <w:r>
              <w:rPr>
                <w:rFonts w:hint="eastAsia"/>
                <w:color w:val="auto"/>
                <w:szCs w:val="21"/>
                <w:highlight w:val="none"/>
                <w:u w:val="single"/>
              </w:rPr>
              <w:t xml:space="preserve"> </w:t>
            </w:r>
            <w:r>
              <w:rPr>
                <w:rFonts w:hint="eastAsia"/>
                <w:color w:val="auto"/>
                <w:szCs w:val="21"/>
                <w:highlight w:val="none"/>
                <w:u w:val="single"/>
                <w:lang w:val="en-US" w:eastAsia="zh-CN"/>
              </w:rPr>
              <w:t>2</w:t>
            </w:r>
            <w:r>
              <w:rPr>
                <w:rFonts w:hint="eastAsia"/>
                <w:color w:val="auto"/>
                <w:szCs w:val="21"/>
                <w:highlight w:val="none"/>
                <w:u w:val="single"/>
              </w:rPr>
              <w:t xml:space="preserve"> </w:t>
            </w:r>
            <w:r>
              <w:rPr>
                <w:rFonts w:hint="eastAsia"/>
                <w:color w:val="auto"/>
                <w:szCs w:val="21"/>
                <w:highlight w:val="none"/>
              </w:rPr>
              <w:t>人，专家</w:t>
            </w:r>
            <w:r>
              <w:rPr>
                <w:rFonts w:hint="eastAsia"/>
                <w:color w:val="auto"/>
                <w:szCs w:val="21"/>
                <w:highlight w:val="none"/>
                <w:u w:val="single"/>
              </w:rPr>
              <w:t xml:space="preserve"> </w:t>
            </w:r>
            <w:r>
              <w:rPr>
                <w:rFonts w:hint="eastAsia"/>
                <w:color w:val="auto"/>
                <w:szCs w:val="21"/>
                <w:highlight w:val="none"/>
                <w:u w:val="single"/>
                <w:lang w:val="en-US" w:eastAsia="zh-CN"/>
              </w:rPr>
              <w:t>5</w:t>
            </w:r>
            <w:r>
              <w:rPr>
                <w:rFonts w:hint="eastAsia"/>
                <w:color w:val="auto"/>
                <w:szCs w:val="21"/>
                <w:highlight w:val="none"/>
                <w:u w:val="single"/>
              </w:rPr>
              <w:t xml:space="preserve"> </w:t>
            </w:r>
            <w:r>
              <w:rPr>
                <w:rFonts w:hint="eastAsia"/>
                <w:color w:val="auto"/>
                <w:szCs w:val="21"/>
                <w:highlight w:val="none"/>
              </w:rPr>
              <w:t>人；</w:t>
            </w:r>
          </w:p>
          <w:p>
            <w:pPr>
              <w:spacing w:line="440" w:lineRule="exact"/>
              <w:rPr>
                <w:color w:val="auto"/>
                <w:szCs w:val="21"/>
              </w:rPr>
            </w:pPr>
            <w:r>
              <w:rPr>
                <w:color w:val="auto"/>
                <w:szCs w:val="21"/>
              </w:rPr>
              <w:t>评标专家确定方式</w:t>
            </w:r>
            <w:r>
              <w:rPr>
                <w:rFonts w:hint="eastAsia"/>
                <w:color w:val="auto"/>
                <w:szCs w:val="21"/>
              </w:rPr>
              <w:t>：</w:t>
            </w:r>
            <w:r>
              <w:rPr>
                <w:rFonts w:hint="eastAsia" w:ascii="宋体"/>
                <w:color w:val="auto"/>
                <w:kern w:val="0"/>
                <w:szCs w:val="21"/>
              </w:rPr>
              <w:t>评标委员会由招标人</w:t>
            </w:r>
            <w:r>
              <w:rPr>
                <w:rFonts w:hint="eastAsia" w:ascii="宋体"/>
                <w:color w:val="auto"/>
                <w:kern w:val="0"/>
                <w:szCs w:val="21"/>
                <w:lang w:val="en-US" w:eastAsia="zh-CN"/>
              </w:rPr>
              <w:t>或招标代理机构</w:t>
            </w:r>
            <w:r>
              <w:rPr>
                <w:rFonts w:hint="eastAsia" w:ascii="宋体"/>
                <w:color w:val="auto"/>
                <w:kern w:val="0"/>
                <w:szCs w:val="21"/>
              </w:rPr>
              <w:t>在开标前依法组建</w:t>
            </w:r>
            <w:r>
              <w:rPr>
                <w:rFonts w:hint="eastAsia" w:ascii="宋体"/>
                <w:color w:val="auto"/>
                <w:kern w:val="0"/>
                <w:szCs w:val="21"/>
                <w:lang w:eastAsia="zh-CN"/>
              </w:rPr>
              <w:t>，</w:t>
            </w:r>
            <w:r>
              <w:rPr>
                <w:rFonts w:hint="eastAsia"/>
                <w:color w:val="auto"/>
                <w:szCs w:val="21"/>
                <w:highlight w:val="none"/>
              </w:rPr>
              <w:t>从广东省综合评标专家库中随机抽取产生。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7.1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是否授权评标委员会确定中标人</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 w:val="32"/>
                <w:szCs w:val="32"/>
              </w:rPr>
              <w:t>□</w:t>
            </w:r>
            <w:r>
              <w:rPr>
                <w:rFonts w:hint="eastAsia"/>
                <w:szCs w:val="21"/>
              </w:rPr>
              <w:t>是</w:t>
            </w:r>
          </w:p>
          <w:p>
            <w:pPr>
              <w:spacing w:line="440" w:lineRule="exact"/>
              <w:rPr>
                <w:rFonts w:hint="default" w:eastAsia="宋体"/>
                <w:szCs w:val="21"/>
                <w:lang w:val="en-US" w:eastAsia="zh-CN"/>
              </w:rPr>
            </w:pPr>
            <w:r>
              <w:rPr>
                <w:rFonts w:hint="eastAsia"/>
                <w:sz w:val="32"/>
                <w:szCs w:val="32"/>
                <w:lang w:eastAsia="zh-CN"/>
              </w:rPr>
              <w:t>☑</w:t>
            </w:r>
            <w:r>
              <w:rPr>
                <w:rFonts w:hint="eastAsia"/>
                <w:szCs w:val="21"/>
              </w:rPr>
              <w:t>否，</w:t>
            </w:r>
            <w:r>
              <w:rPr>
                <w:szCs w:val="21"/>
              </w:rPr>
              <w:t>推荐的中标候选人数</w:t>
            </w:r>
            <w:r>
              <w:rPr>
                <w:rFonts w:hint="eastAsia"/>
                <w:szCs w:val="21"/>
              </w:rPr>
              <w:t>：</w:t>
            </w:r>
            <w:r>
              <w:rPr>
                <w:rFonts w:hint="eastAsia"/>
                <w:szCs w:val="21"/>
                <w:lang w:val="en-US" w:eastAsia="zh-CN"/>
              </w:rPr>
              <w:t>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rFonts w:hint="eastAsia"/>
                <w:szCs w:val="21"/>
              </w:rPr>
              <w:t>7.2</w:t>
            </w:r>
          </w:p>
        </w:tc>
        <w:tc>
          <w:tcPr>
            <w:tcW w:w="2638" w:type="dxa"/>
            <w:tcBorders>
              <w:top w:val="single" w:color="auto" w:sz="4" w:space="0"/>
              <w:left w:val="single" w:color="auto" w:sz="4" w:space="0"/>
              <w:right w:val="single" w:color="auto" w:sz="4" w:space="0"/>
            </w:tcBorders>
            <w:noWrap w:val="0"/>
            <w:vAlign w:val="center"/>
          </w:tcPr>
          <w:p>
            <w:pPr>
              <w:spacing w:line="440" w:lineRule="exact"/>
              <w:jc w:val="center"/>
              <w:rPr>
                <w:szCs w:val="21"/>
              </w:rPr>
            </w:pPr>
            <w:r>
              <w:rPr>
                <w:rFonts w:hint="eastAsia"/>
                <w:szCs w:val="21"/>
              </w:rPr>
              <w:t>中标候选人公示媒介</w:t>
            </w:r>
          </w:p>
        </w:tc>
        <w:tc>
          <w:tcPr>
            <w:tcW w:w="6051" w:type="dxa"/>
            <w:tcBorders>
              <w:top w:val="single" w:color="auto" w:sz="4" w:space="0"/>
              <w:left w:val="single" w:color="auto" w:sz="4" w:space="0"/>
              <w:right w:val="single" w:color="auto" w:sz="4" w:space="0"/>
            </w:tcBorders>
            <w:noWrap w:val="0"/>
            <w:vAlign w:val="center"/>
          </w:tcPr>
          <w:p>
            <w:pPr>
              <w:spacing w:line="440" w:lineRule="exact"/>
              <w:rPr>
                <w:rFonts w:hint="default" w:eastAsia="宋体"/>
                <w:szCs w:val="21"/>
                <w:lang w:val="en-US" w:eastAsia="zh-CN"/>
              </w:rPr>
            </w:pPr>
            <w:r>
              <w:rPr>
                <w:rFonts w:hint="eastAsia"/>
                <w:szCs w:val="21"/>
                <w:lang w:val="en-US" w:eastAsia="zh-CN"/>
              </w:rPr>
              <w:t>同招标公告发布媒介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7.</w:t>
            </w:r>
            <w:r>
              <w:rPr>
                <w:rFonts w:hint="eastAsia"/>
                <w:szCs w:val="21"/>
              </w:rPr>
              <w:t>4</w:t>
            </w:r>
            <w:r>
              <w:rPr>
                <w:szCs w:val="21"/>
              </w:rPr>
              <w:t>.1</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color w:val="auto"/>
                <w:szCs w:val="21"/>
              </w:rPr>
              <w:t>履约担保</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eastAsia="宋体"/>
                <w:color w:val="auto"/>
                <w:szCs w:val="21"/>
                <w:highlight w:val="none"/>
                <w:lang w:eastAsia="zh-CN"/>
              </w:rPr>
            </w:pPr>
            <w:r>
              <w:rPr>
                <w:color w:val="auto"/>
                <w:szCs w:val="21"/>
              </w:rPr>
              <w:t>履约担保的形式：</w:t>
            </w:r>
            <w:r>
              <w:rPr>
                <w:rFonts w:hint="eastAsia"/>
                <w:color w:val="auto"/>
                <w:szCs w:val="21"/>
              </w:rPr>
              <w:t>履约担保采用现金担保或履约保函的形式。</w:t>
            </w:r>
            <w:r>
              <w:rPr>
                <w:rFonts w:hint="eastAsia"/>
                <w:color w:val="auto"/>
                <w:szCs w:val="21"/>
                <w:highlight w:val="none"/>
              </w:rPr>
              <w:t>履约担保采用履约保函形式的，履约保函应为中国交通银行或中国建设银行或中国工商银行或中国银行或中国农业银行之一银行出具的保函。</w:t>
            </w:r>
          </w:p>
          <w:p>
            <w:pPr>
              <w:spacing w:line="440" w:lineRule="exact"/>
              <w:rPr>
                <w:color w:val="auto"/>
                <w:szCs w:val="21"/>
              </w:rPr>
            </w:pPr>
            <w:r>
              <w:rPr>
                <w:color w:val="auto"/>
                <w:szCs w:val="21"/>
              </w:rPr>
              <w:t>履约担保的金额：</w:t>
            </w:r>
            <w:r>
              <w:rPr>
                <w:rFonts w:hint="eastAsia"/>
                <w:color w:val="auto"/>
                <w:szCs w:val="21"/>
                <w:highlight w:val="none"/>
              </w:rPr>
              <w:t>中标金额的10%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54"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rFonts w:hint="eastAsia"/>
                <w:b/>
                <w:szCs w:val="21"/>
              </w:rPr>
              <w:t>9</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rFonts w:hint="eastAsia"/>
                <w:b/>
                <w:szCs w:val="21"/>
              </w:rPr>
              <w:t>需要</w:t>
            </w:r>
            <w:r>
              <w:rPr>
                <w:b/>
                <w:szCs w:val="21"/>
              </w:rPr>
              <w:t>补充</w:t>
            </w:r>
            <w:r>
              <w:rPr>
                <w:rFonts w:hint="eastAsia"/>
                <w:b/>
                <w:szCs w:val="21"/>
              </w:rPr>
              <w:t>的其他</w:t>
            </w:r>
            <w:r>
              <w:rPr>
                <w:b/>
                <w:szCs w:val="21"/>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9.2</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color w:val="auto"/>
                <w:kern w:val="2"/>
                <w:sz w:val="21"/>
                <w:szCs w:val="21"/>
                <w:highlight w:val="none"/>
                <w:lang w:val="en-US" w:eastAsia="zh-CN" w:bidi="ar-SA"/>
              </w:rPr>
            </w:pPr>
            <w:r>
              <w:rPr>
                <w:rFonts w:hint="eastAsia"/>
                <w:color w:val="auto"/>
                <w:szCs w:val="21"/>
                <w:highlight w:val="none"/>
              </w:rPr>
              <w:t>建设工程质量检测管理办法：根据《建设工程质量检测管理办法》（建设部令第141号）第十二条规定，建设工程质量、安全检测业务应由建设单位依法委托，不列入本次招标范围</w:t>
            </w:r>
            <w:r>
              <w:rPr>
                <w:rFonts w:hint="eastAsia"/>
                <w:szCs w:val="21"/>
              </w:rPr>
              <w:t>（详见建设部令第141号附件一）</w:t>
            </w:r>
            <w:r>
              <w:rPr>
                <w:rFonts w:hint="eastAsia"/>
                <w:color w:val="auto"/>
                <w:szCs w:val="21"/>
                <w:highlight w:val="none"/>
              </w:rPr>
              <w:t>。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color w:val="auto"/>
                <w:szCs w:val="21"/>
                <w:highlight w:val="none"/>
                <w:lang w:val="en-US" w:eastAsia="zh-CN"/>
              </w:rPr>
            </w:pPr>
            <w:r>
              <w:rPr>
                <w:rFonts w:hint="eastAsia"/>
                <w:color w:val="auto"/>
                <w:szCs w:val="21"/>
                <w:highlight w:val="none"/>
                <w:lang w:val="en-US" w:eastAsia="zh-CN"/>
              </w:rPr>
              <w:t>9.3</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olor w:val="000000"/>
              </w:rPr>
            </w:pPr>
            <w:r>
              <w:rPr>
                <w:rFonts w:hint="eastAsia" w:ascii="宋体"/>
                <w:color w:val="000000"/>
              </w:rPr>
              <w:t>项目管理目标：</w:t>
            </w:r>
          </w:p>
          <w:p>
            <w:pPr>
              <w:spacing w:line="360" w:lineRule="auto"/>
              <w:rPr>
                <w:rFonts w:hint="eastAsia" w:ascii="宋体"/>
                <w:color w:val="000000"/>
                <w:szCs w:val="21"/>
              </w:rPr>
            </w:pPr>
            <w:r>
              <w:rPr>
                <w:rFonts w:hint="eastAsia" w:ascii="宋体"/>
                <w:color w:val="000000"/>
                <w:szCs w:val="21"/>
              </w:rPr>
              <w:t>1、职业健康安全管理目标：杜绝死亡事故、杜绝火灾事故、杜绝重大机械事故。改善劳动条件，预防职业病，工地防尘、防毒、防噪音、通风、照明、取暖、降温、</w:t>
            </w:r>
            <w:r>
              <w:rPr>
                <w:rFonts w:hint="eastAsia" w:ascii="宋体"/>
                <w:color w:val="000000"/>
                <w:szCs w:val="21"/>
                <w:lang w:eastAsia="zh-CN"/>
              </w:rPr>
              <w:t>防辐射</w:t>
            </w:r>
            <w:r>
              <w:rPr>
                <w:rFonts w:hint="eastAsia" w:ascii="宋体"/>
                <w:color w:val="000000"/>
                <w:szCs w:val="21"/>
              </w:rPr>
              <w:t>及防物理因素危害等，均符合国家和地方</w:t>
            </w:r>
            <w:r>
              <w:rPr>
                <w:rFonts w:hint="eastAsia" w:ascii="宋体"/>
                <w:color w:val="000000"/>
                <w:szCs w:val="21"/>
                <w:lang w:eastAsia="zh-CN"/>
              </w:rPr>
              <w:t>政府主管部门</w:t>
            </w:r>
            <w:r>
              <w:rPr>
                <w:rFonts w:hint="eastAsia" w:ascii="宋体"/>
                <w:color w:val="000000"/>
                <w:szCs w:val="21"/>
              </w:rPr>
              <w:t>颁布的相关规定。</w:t>
            </w:r>
          </w:p>
          <w:p>
            <w:pPr>
              <w:spacing w:line="360" w:lineRule="auto"/>
              <w:rPr>
                <w:rFonts w:hint="eastAsia" w:ascii="宋体"/>
                <w:color w:val="000000"/>
                <w:szCs w:val="21"/>
              </w:rPr>
            </w:pPr>
            <w:r>
              <w:rPr>
                <w:rFonts w:hint="eastAsia" w:ascii="宋体"/>
                <w:color w:val="000000"/>
                <w:szCs w:val="21"/>
              </w:rPr>
              <w:t>2、环境管理目标：不发生重大环境污染。</w:t>
            </w:r>
          </w:p>
          <w:p>
            <w:pPr>
              <w:spacing w:line="360" w:lineRule="auto"/>
              <w:rPr>
                <w:rFonts w:hint="eastAsia" w:ascii="宋体"/>
                <w:color w:val="000000"/>
                <w:szCs w:val="21"/>
              </w:rPr>
            </w:pPr>
            <w:r>
              <w:rPr>
                <w:rFonts w:hint="eastAsia" w:ascii="宋体"/>
                <w:color w:val="000000"/>
                <w:szCs w:val="21"/>
              </w:rPr>
              <w:t>3、质量目标：按招标文件质量标准要求，具体按合同约定；</w:t>
            </w:r>
          </w:p>
          <w:p>
            <w:pPr>
              <w:spacing w:line="360" w:lineRule="auto"/>
              <w:rPr>
                <w:rFonts w:hint="eastAsia" w:ascii="宋体"/>
                <w:color w:val="000000"/>
                <w:szCs w:val="21"/>
              </w:rPr>
            </w:pPr>
            <w:r>
              <w:rPr>
                <w:rFonts w:hint="eastAsia" w:ascii="宋体"/>
                <w:color w:val="000000"/>
                <w:szCs w:val="21"/>
              </w:rPr>
              <w:t>4、费用目标：确保项目总投资不超过工程概算、预算，具体按合同约定；</w:t>
            </w:r>
          </w:p>
          <w:p>
            <w:pPr>
              <w:spacing w:line="360" w:lineRule="auto"/>
              <w:rPr>
                <w:rFonts w:hint="eastAsia"/>
                <w:color w:val="auto"/>
                <w:szCs w:val="21"/>
                <w:highlight w:val="none"/>
              </w:rPr>
            </w:pPr>
            <w:r>
              <w:rPr>
                <w:rFonts w:hint="eastAsia" w:ascii="宋体"/>
                <w:color w:val="000000"/>
                <w:szCs w:val="21"/>
              </w:rPr>
              <w:t>5、进度目标：确保项目建设进度满足招标文件工期要求，具体按合同约定。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color w:val="auto"/>
                <w:szCs w:val="21"/>
                <w:highlight w:val="none"/>
                <w:lang w:val="en-US" w:eastAsia="zh-CN"/>
              </w:rPr>
            </w:pPr>
            <w:r>
              <w:rPr>
                <w:rFonts w:hint="eastAsia"/>
                <w:color w:val="auto"/>
                <w:szCs w:val="21"/>
                <w:highlight w:val="none"/>
                <w:lang w:val="en-US" w:eastAsia="zh-CN"/>
              </w:rPr>
              <w:t>9.4</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color w:val="auto"/>
                <w:szCs w:val="21"/>
                <w:highlight w:val="none"/>
              </w:rPr>
            </w:pPr>
            <w:r>
              <w:rPr>
                <w:rFonts w:hint="eastAsia" w:ascii="宋体"/>
                <w:color w:val="000000"/>
                <w:szCs w:val="21"/>
              </w:rPr>
              <w:t>施工保修期限：按照《建设工程质量管理条例》规定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9.5</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项目的监理、施工图审查、第三方检测工作</w:t>
            </w:r>
            <w:r>
              <w:rPr>
                <w:rFonts w:hint="eastAsia" w:ascii="宋体"/>
                <w:color w:val="000000"/>
                <w:szCs w:val="21"/>
              </w:rPr>
              <w:t>、可行性研究报告的编制工作</w:t>
            </w:r>
            <w:r>
              <w:rPr>
                <w:rFonts w:hint="eastAsia" w:ascii="宋体"/>
                <w:color w:val="000000"/>
                <w:szCs w:val="21"/>
                <w:lang w:eastAsia="zh-CN"/>
              </w:rPr>
              <w:t>、</w:t>
            </w:r>
            <w:r>
              <w:rPr>
                <w:rFonts w:hint="eastAsia" w:ascii="Times New Roman" w:hAnsi="Times New Roman" w:eastAsia="宋体" w:cs="Times New Roman"/>
                <w:color w:val="auto"/>
                <w:szCs w:val="21"/>
                <w:highlight w:val="none"/>
              </w:rPr>
              <w:t>节能评估服务</w:t>
            </w:r>
            <w:r>
              <w:rPr>
                <w:rFonts w:hint="eastAsia" w:ascii="Times New Roman" w:hAnsi="Times New Roman" w:eastAsia="宋体" w:cs="Times New Roman"/>
                <w:color w:val="auto"/>
                <w:szCs w:val="21"/>
                <w:highlight w:val="none"/>
                <w:lang w:eastAsia="zh-CN"/>
              </w:rPr>
              <w:t>、</w:t>
            </w:r>
            <w:r>
              <w:rPr>
                <w:rFonts w:hint="eastAsia" w:ascii="宋体"/>
                <w:color w:val="000000"/>
                <w:szCs w:val="21"/>
              </w:rPr>
              <w:t>造价咨询工作</w:t>
            </w:r>
            <w:r>
              <w:rPr>
                <w:rFonts w:hint="eastAsia" w:ascii="Times New Roman" w:hAnsi="Times New Roman" w:eastAsia="宋体" w:cs="Times New Roman"/>
                <w:color w:val="auto"/>
                <w:szCs w:val="21"/>
                <w:highlight w:val="none"/>
              </w:rPr>
              <w:t>不列入本次招标范围。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9.6</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1.中标人在</w:t>
            </w:r>
            <w:r>
              <w:rPr>
                <w:rFonts w:hint="eastAsia"/>
                <w:color w:val="auto"/>
                <w:szCs w:val="21"/>
                <w:highlight w:val="none"/>
              </w:rPr>
              <w:t>合同签订后三十天内，第一笔款支付申请前</w:t>
            </w:r>
            <w:r>
              <w:rPr>
                <w:rFonts w:hint="eastAsia" w:ascii="Times New Roman" w:hAnsi="Times New Roman" w:eastAsia="宋体" w:cs="Times New Roman"/>
                <w:color w:val="auto"/>
                <w:szCs w:val="21"/>
                <w:highlight w:val="none"/>
              </w:rPr>
              <w:t>，按照招标文件中提供的保函格式或招标人可以接受</w:t>
            </w:r>
            <w:r>
              <w:rPr>
                <w:rFonts w:hint="eastAsia" w:cs="Times New Roman"/>
                <w:color w:val="auto"/>
                <w:szCs w:val="21"/>
                <w:highlight w:val="none"/>
                <w:lang w:eastAsia="zh-CN"/>
              </w:rPr>
              <w:t>的其他</w:t>
            </w:r>
            <w:r>
              <w:rPr>
                <w:rFonts w:hint="eastAsia" w:ascii="Times New Roman" w:hAnsi="Times New Roman" w:eastAsia="宋体" w:cs="Times New Roman"/>
                <w:color w:val="auto"/>
                <w:szCs w:val="21"/>
                <w:highlight w:val="none"/>
              </w:rPr>
              <w:t>形式向招标人提交履约保证金。如发生违约可从履约保证金中扣除，于合同期满或合同中止后结算。</w:t>
            </w:r>
          </w:p>
          <w:p>
            <w:pPr>
              <w:spacing w:line="440" w:lineRule="exact"/>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如果中标人没有按招标文件规定签订合同并提交履约保证金，则视为自动放弃中标资格，中标人的投标保证金不予退还。</w:t>
            </w:r>
          </w:p>
          <w:p>
            <w:pPr>
              <w:spacing w:line="440" w:lineRule="exact"/>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在中标人按合同要求全部完成规定的本项目，招标人将把履约保证金无息全额退还给中标人。</w:t>
            </w:r>
          </w:p>
          <w:p>
            <w:pPr>
              <w:spacing w:line="44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4. 中标人应在中标通知书发出之日起5个工作日内，按招标文件合同格式的要求完成合同文本编制，合同纸质版经盖章后，与电子版一并递交招标人审核；如出现中标人不能按期递交合同文本，可视为放弃中标资格，中标人的投标保证金不予退还。招标人可以重新开展采购活动，也可以按照评审报告推荐的中标候选人名单排序，确定下一候选人为中标人。若遇特殊情况，中标人应向招标人书面申请经批准后适当延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9.7</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eastAsia="等线 Light"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招标失败的情形</w:t>
            </w:r>
            <w:r>
              <w:rPr>
                <w:rFonts w:hint="eastAsia" w:ascii="Times New Roman" w:hAnsi="Times New Roman" w:eastAsia="宋体" w:cs="Times New Roman"/>
                <w:color w:val="auto"/>
                <w:szCs w:val="21"/>
                <w:highlight w:val="none"/>
                <w:lang w:eastAsia="zh-CN"/>
              </w:rPr>
              <w:t>：本项目满足资格形式评审、资格审查合格条件或通过初步评审的投标申请人不足3名时为招标失败。招标人分析招标失败原因，修正招标方案，报有关管理部门核准后，重新组织招标。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9.8</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发出中标通知书1周内，中标人</w:t>
            </w:r>
            <w:r>
              <w:rPr>
                <w:rFonts w:hint="eastAsia" w:ascii="Times New Roman" w:hAnsi="Times New Roman" w:eastAsia="宋体" w:cs="Times New Roman"/>
                <w:color w:val="auto"/>
                <w:szCs w:val="21"/>
                <w:highlight w:val="none"/>
              </w:rPr>
              <w:t>需将在广州公共资源交易中心网站下载的投标文件打印，投标文件需与</w:t>
            </w:r>
            <w:r>
              <w:rPr>
                <w:rFonts w:hint="eastAsia" w:cs="Times New Roman"/>
                <w:color w:val="auto"/>
                <w:szCs w:val="21"/>
                <w:highlight w:val="none"/>
                <w:lang w:val="en-US" w:eastAsia="zh-CN"/>
              </w:rPr>
              <w:t>投标</w:t>
            </w:r>
            <w:r>
              <w:rPr>
                <w:rFonts w:hint="eastAsia" w:ascii="Times New Roman" w:hAnsi="Times New Roman" w:eastAsia="宋体" w:cs="Times New Roman"/>
                <w:color w:val="auto"/>
                <w:szCs w:val="21"/>
                <w:highlight w:val="none"/>
              </w:rPr>
              <w:t>人在广州公共资源交易中心网站提交的投标文件一致，一正</w:t>
            </w:r>
            <w:r>
              <w:rPr>
                <w:rFonts w:hint="eastAsia" w:cs="Times New Roman"/>
                <w:color w:val="auto"/>
                <w:szCs w:val="21"/>
                <w:highlight w:val="none"/>
                <w:lang w:val="en-US" w:eastAsia="zh-CN"/>
              </w:rPr>
              <w:t>一</w:t>
            </w:r>
            <w:r>
              <w:rPr>
                <w:rFonts w:hint="eastAsia" w:ascii="Times New Roman" w:hAnsi="Times New Roman" w:eastAsia="宋体" w:cs="Times New Roman"/>
                <w:color w:val="auto"/>
                <w:szCs w:val="21"/>
                <w:highlight w:val="none"/>
              </w:rPr>
              <w:t>副（加盖公章），合共</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rPr>
              <w:t>套投标文件提供给招标人，相关费用由投标人支付。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lang w:val="en-US" w:eastAsia="zh-CN"/>
              </w:rPr>
              <w:t>9.9</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lang w:eastAsia="zh-CN"/>
              </w:rPr>
            </w:pPr>
            <w:r>
              <w:rPr>
                <w:rFonts w:hint="eastAsia"/>
                <w:lang w:eastAsia="zh-CN"/>
              </w:rPr>
              <w:t>其他费用：</w:t>
            </w:r>
          </w:p>
          <w:p>
            <w:pPr>
              <w:pStyle w:val="14"/>
              <w:spacing w:line="288"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1</w:t>
            </w:r>
            <w:r>
              <w:rPr>
                <w:rFonts w:hint="eastAsia" w:ascii="宋体" w:hAnsi="宋体" w:eastAsia="宋体" w:cs="宋体"/>
                <w:b w:val="0"/>
                <w:color w:val="auto"/>
                <w:sz w:val="21"/>
                <w:szCs w:val="21"/>
                <w:highlight w:val="none"/>
                <w:lang w:eastAsia="zh-CN"/>
              </w:rPr>
              <w:t>）中标人应根据政府有关规定，向广州公共资源交易中心交纳交易服务费</w:t>
            </w:r>
            <w:r>
              <w:rPr>
                <w:rFonts w:hint="eastAsia" w:ascii="宋体" w:hAnsi="宋体" w:eastAsia="宋体" w:cs="宋体"/>
                <w:b w:val="0"/>
                <w:color w:val="auto"/>
                <w:sz w:val="21"/>
                <w:szCs w:val="21"/>
                <w:highlight w:val="none"/>
              </w:rPr>
              <w:t>。</w:t>
            </w:r>
          </w:p>
          <w:p>
            <w:pPr>
              <w:pStyle w:val="9"/>
              <w:rPr>
                <w:rFonts w:hint="eastAsia" w:eastAsia="宋体"/>
                <w:kern w:val="2"/>
                <w:sz w:val="21"/>
                <w:szCs w:val="24"/>
                <w:lang w:val="en-US" w:eastAsia="zh-CN" w:bidi="ar-SA"/>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中标人在领取中标通知书前一次性支付招标代理费。计算方法按招标人与招标代理签订的招标代理合同的约定执行。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10</w:t>
            </w:r>
          </w:p>
        </w:tc>
        <w:tc>
          <w:tcPr>
            <w:tcW w:w="26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rFonts w:hint="eastAsia"/>
                <w:szCs w:val="21"/>
              </w:rPr>
              <w:t>电子招标投标</w:t>
            </w:r>
          </w:p>
        </w:tc>
        <w:tc>
          <w:tcPr>
            <w:tcW w:w="60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 w:val="32"/>
                <w:szCs w:val="32"/>
              </w:rPr>
              <w:t>□</w:t>
            </w:r>
            <w:r>
              <w:rPr>
                <w:rFonts w:hint="eastAsia"/>
                <w:szCs w:val="21"/>
              </w:rPr>
              <w:t>否</w:t>
            </w:r>
          </w:p>
          <w:p>
            <w:pPr>
              <w:pStyle w:val="14"/>
              <w:spacing w:before="0" w:after="0" w:line="288" w:lineRule="auto"/>
              <w:rPr>
                <w:rFonts w:hint="eastAsia" w:ascii="宋体" w:hAnsi="宋体" w:cs="宋体"/>
                <w:b w:val="0"/>
                <w:color w:val="auto"/>
                <w:sz w:val="21"/>
                <w:szCs w:val="21"/>
                <w:highlight w:val="none"/>
              </w:rPr>
            </w:pPr>
            <w:r>
              <w:rPr>
                <w:rFonts w:hint="eastAsia"/>
                <w:sz w:val="32"/>
                <w:szCs w:val="32"/>
                <w:lang w:eastAsia="zh-CN"/>
              </w:rPr>
              <w:t>☑</w:t>
            </w:r>
            <w:r>
              <w:rPr>
                <w:rFonts w:hint="eastAsia"/>
                <w:szCs w:val="21"/>
              </w:rPr>
              <w:t>是，具体要求：</w:t>
            </w:r>
            <w:r>
              <w:rPr>
                <w:rFonts w:hint="eastAsia" w:ascii="宋体" w:hAnsi="宋体" w:cs="宋体"/>
                <w:b w:val="0"/>
                <w:color w:val="auto"/>
                <w:sz w:val="21"/>
                <w:szCs w:val="21"/>
                <w:highlight w:val="none"/>
              </w:rPr>
              <w:t>投标文件全部采用电子文档，</w:t>
            </w:r>
            <w:r>
              <w:rPr>
                <w:rFonts w:hint="eastAsia"/>
                <w:color w:val="auto"/>
                <w:highlight w:val="none"/>
              </w:rPr>
              <w:t>投标文件所附证书证件均为清晰扫描件。</w:t>
            </w:r>
            <w:r>
              <w:rPr>
                <w:rFonts w:hint="eastAsia" w:ascii="宋体" w:hAnsi="宋体" w:cs="宋体"/>
                <w:b w:val="0"/>
                <w:color w:val="auto"/>
                <w:sz w:val="21"/>
                <w:szCs w:val="21"/>
                <w:highlight w:val="none"/>
              </w:rPr>
              <w:t>投标文件应按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广州公共资源交易中心数字交易平台相关操作指南。</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投标文件的修改与撤回：投标人修改或撤回已递交的投标文件，需在广州公共资源交易中心数字交易平台发出撤回通知，并按要求加盖电子印章。电子招标投标数字交易平台收到通知后，即时向投标人发出确认回执通知。</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3、（重要风险提示）备用光盘或u盘。投标人可使用投标文件制作工具生成非加密的电子投标文件载入光盘或u盘（1份，载体形式由投标人自选），在规定的时间、地点提交备用。</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刻录好的投标文件光盘或u盘密封在密封袋中，并在封口处加盖投标人单位公章。密封袋上应写明项目名称和招标人名称。递交的投标文件光盘或u盘</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备用</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不得加密。光盘或u盘（备用投标文件）无法读取或导入的，则视为未提交投标文件光盘或u盘</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备用</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。如果投标人没有按规定通过广州公共资源交易中心数字交易平台网上递交电子投标文件的，不再读取提交的光盘或u盘。投标人也可不提交投标文件光盘或u盘</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备用</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4、投标文件的递交：</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①投标文件递交的截止时间（投标截止时间，下同）为</w:t>
            </w:r>
            <w:r>
              <w:rPr>
                <w:rFonts w:hint="eastAsia" w:ascii="宋体" w:hAnsi="宋体" w:cs="宋体"/>
                <w:b w:val="0"/>
                <w:color w:val="auto"/>
                <w:sz w:val="21"/>
                <w:szCs w:val="21"/>
                <w:highlight w:val="none"/>
                <w:u w:val="single"/>
              </w:rPr>
              <w:t xml:space="preserve">     年  月  日  时  分</w:t>
            </w:r>
            <w:r>
              <w:rPr>
                <w:rFonts w:hint="eastAsia" w:ascii="宋体" w:hAnsi="宋体" w:cs="宋体"/>
                <w:b w:val="0"/>
                <w:color w:val="auto"/>
                <w:sz w:val="21"/>
                <w:szCs w:val="21"/>
                <w:highlight w:val="none"/>
              </w:rPr>
              <w:t>，投标人应在截止时间前通过电子招标投标交易平台递交电子投标文件。</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②提交投标文件备用光盘或u盘。</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投标文件光盘或u盘</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备用</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递交时间：</w:t>
            </w:r>
            <w:r>
              <w:rPr>
                <w:rFonts w:hint="eastAsia" w:ascii="宋体" w:hAnsi="宋体" w:cs="宋体"/>
                <w:b w:val="0"/>
                <w:color w:val="auto"/>
                <w:sz w:val="21"/>
                <w:szCs w:val="21"/>
                <w:highlight w:val="none"/>
                <w:u w:val="single"/>
              </w:rPr>
              <w:t xml:space="preserve">    年  月  日  时  分至    年  月  日  时  分</w:t>
            </w:r>
            <w:r>
              <w:rPr>
                <w:rFonts w:hint="eastAsia" w:ascii="宋体" w:hAnsi="宋体" w:cs="宋体"/>
                <w:b w:val="0"/>
                <w:color w:val="auto"/>
                <w:sz w:val="21"/>
                <w:szCs w:val="21"/>
                <w:highlight w:val="none"/>
              </w:rPr>
              <w:t>，地点：</w:t>
            </w:r>
            <w:r>
              <w:rPr>
                <w:rFonts w:hint="eastAsia" w:ascii="宋体" w:hAnsi="宋体" w:cs="宋体"/>
                <w:b w:val="0"/>
                <w:color w:val="auto"/>
                <w:sz w:val="21"/>
                <w:szCs w:val="21"/>
                <w:highlight w:val="none"/>
                <w:u w:val="single"/>
              </w:rPr>
              <w:t>广州公共资源交易中心第  开标室</w:t>
            </w:r>
            <w:r>
              <w:rPr>
                <w:rFonts w:hint="eastAsia" w:ascii="宋体" w:hAnsi="宋体" w:cs="宋体"/>
                <w:b w:val="0"/>
                <w:color w:val="auto"/>
                <w:sz w:val="21"/>
                <w:szCs w:val="21"/>
                <w:highlight w:val="none"/>
              </w:rPr>
              <w:t>。</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③投标人完成电子投标上传后，电子招标投标交易平台即时向投标人发出递交回执通知。递交时间以递交回执通知载明的传输时间为准。</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④逾期送达的投标文件，电子招标投标交易平台将予以拒收。</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5、投标文件加密要求：</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①网上递交的电子投标文件须进行加密。具体操作详见广州公共资源交易中心数字交易平台相关操作指南。</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②未按要求加密的投标文件，招标人将予以拒收。</w:t>
            </w:r>
          </w:p>
          <w:p>
            <w:pPr>
              <w:pStyle w:val="14"/>
              <w:spacing w:before="0" w:after="0" w:line="288"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6、投标文件解密失败的补救方案：</w:t>
            </w:r>
          </w:p>
          <w:p>
            <w:pPr>
              <w:pStyle w:val="14"/>
              <w:spacing w:before="0" w:after="0" w:line="288" w:lineRule="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rPr>
              <w:t>在规定时间内，因投标人之外原因</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指网络瘫痪、服务器损坏、交易系统故障短期无法恢复</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导致的电子投标文件解密失败，在开标现场读取光盘或u盘内容，继续开标程序。若出现招标人无法正常解密或导入开标系统的情况，在开标现场读取已成功解密</w:t>
            </w:r>
            <w:r>
              <w:rPr>
                <w:rFonts w:hint="eastAsia" w:ascii="宋体" w:hAnsi="宋体" w:cs="宋体"/>
                <w:b w:val="0"/>
                <w:color w:val="auto"/>
                <w:sz w:val="21"/>
                <w:szCs w:val="21"/>
                <w:highlight w:val="none"/>
                <w:lang w:eastAsia="zh-CN"/>
              </w:rPr>
              <w:t>，以及</w:t>
            </w:r>
            <w:r>
              <w:rPr>
                <w:rFonts w:hint="eastAsia" w:ascii="宋体" w:hAnsi="宋体" w:cs="宋体"/>
                <w:b w:val="0"/>
                <w:color w:val="auto"/>
                <w:sz w:val="21"/>
                <w:szCs w:val="21"/>
                <w:highlight w:val="none"/>
              </w:rPr>
              <w:t>因投标人之外的原因导致电子投标文件解密失败的投标人递交的电子光盘或u盘内容。出现上述情况的，评标委员会对其投标文件的评审以光盘或u盘内容为准。因投标人之外原因解密失败</w:t>
            </w:r>
            <w:r>
              <w:rPr>
                <w:rFonts w:hint="eastAsia" w:ascii="宋体" w:hAnsi="宋体" w:eastAsia="宋体" w:cs="宋体"/>
                <w:b w:val="0"/>
                <w:color w:val="auto"/>
                <w:sz w:val="21"/>
                <w:szCs w:val="21"/>
                <w:highlight w:val="none"/>
              </w:rPr>
              <w:t>且未递交电子光盘或u盘的，视为撤回投标文件。</w:t>
            </w:r>
          </w:p>
          <w:p>
            <w:pPr>
              <w:spacing w:line="440" w:lineRule="exact"/>
              <w:rPr>
                <w:rFonts w:hint="eastAsia"/>
                <w:szCs w:val="21"/>
              </w:rPr>
            </w:pPr>
            <w:r>
              <w:rPr>
                <w:rFonts w:hint="eastAsia" w:ascii="宋体" w:hAnsi="宋体" w:eastAsia="宋体" w:cs="宋体"/>
                <w:b w:val="0"/>
                <w:color w:val="auto"/>
                <w:sz w:val="21"/>
                <w:szCs w:val="21"/>
                <w:highlight w:val="none"/>
              </w:rPr>
              <w:t>除发生上述情况外，开标评标均以投标人通过广州公共资源交易中心数字交易平台网上递交的电子投标文件为准。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w:t>
            </w:r>
          </w:p>
        </w:tc>
      </w:tr>
    </w:tbl>
    <w:p>
      <w:pPr>
        <w:spacing w:line="400" w:lineRule="exact"/>
      </w:pPr>
    </w:p>
    <w:p>
      <w:pPr>
        <w:spacing w:line="400" w:lineRule="exact"/>
      </w:pPr>
      <w:r>
        <w:br w:type="page"/>
      </w:r>
    </w:p>
    <w:p>
      <w:pPr>
        <w:pStyle w:val="3"/>
      </w:pPr>
      <w:bookmarkStart w:id="31" w:name="_Toc152045529"/>
      <w:bookmarkStart w:id="32" w:name="_Toc247513952"/>
      <w:bookmarkStart w:id="33" w:name="_Toc152042305"/>
      <w:bookmarkStart w:id="34" w:name="_Toc247527553"/>
      <w:bookmarkStart w:id="35" w:name="_Toc300834949"/>
      <w:bookmarkStart w:id="36" w:name="_Toc144974497"/>
      <w:r>
        <w:rPr>
          <w:rFonts w:hint="eastAsia"/>
        </w:rPr>
        <w:t>1. 总则</w:t>
      </w:r>
      <w:bookmarkEnd w:id="31"/>
      <w:bookmarkEnd w:id="32"/>
      <w:bookmarkEnd w:id="33"/>
      <w:bookmarkEnd w:id="34"/>
      <w:bookmarkEnd w:id="35"/>
      <w:bookmarkEnd w:id="36"/>
    </w:p>
    <w:p>
      <w:pPr>
        <w:pStyle w:val="5"/>
      </w:pPr>
      <w:bookmarkStart w:id="37" w:name="_Toc152045530"/>
      <w:bookmarkStart w:id="38" w:name="_Toc152042306"/>
      <w:bookmarkStart w:id="39" w:name="_Toc247527554"/>
      <w:bookmarkStart w:id="40" w:name="_Toc247513953"/>
      <w:bookmarkStart w:id="41" w:name="_Toc300834950"/>
      <w:bookmarkStart w:id="42" w:name="_Toc144974498"/>
      <w:r>
        <w:rPr>
          <w:rFonts w:hint="eastAsia" w:ascii="Times New Roman" w:hAnsi="Times New Roman"/>
          <w:lang w:val="en-US" w:eastAsia="zh-CN"/>
        </w:rPr>
        <w:t>1.1</w:t>
      </w:r>
      <w:r>
        <w:rPr>
          <w:rFonts w:hint="eastAsia"/>
        </w:rPr>
        <w:t xml:space="preserve"> 项目概况</w:t>
      </w:r>
      <w:bookmarkEnd w:id="37"/>
      <w:bookmarkEnd w:id="38"/>
      <w:bookmarkEnd w:id="39"/>
      <w:bookmarkEnd w:id="40"/>
      <w:bookmarkEnd w:id="41"/>
      <w:bookmarkEnd w:id="42"/>
    </w:p>
    <w:p>
      <w:pPr>
        <w:spacing w:line="400" w:lineRule="exact"/>
        <w:ind w:firstLine="420" w:firstLineChars="200"/>
      </w:pPr>
      <w:r>
        <w:rPr>
          <w:rFonts w:hint="eastAsia"/>
        </w:rPr>
        <w:t>1.1.1根据《中华人民共和国招标投标法》等有关法律、法规和规章的规定，本招标项目已具备招标条件，现对该项目设计施工进行总承包招标。</w:t>
      </w:r>
    </w:p>
    <w:p>
      <w:pPr>
        <w:spacing w:line="400" w:lineRule="exact"/>
        <w:ind w:firstLine="420" w:firstLineChars="200"/>
      </w:pPr>
      <w:r>
        <w:rPr>
          <w:rFonts w:hint="eastAsia"/>
        </w:rPr>
        <w:t>1.1.2 招标人：见投标人须知前附表。</w:t>
      </w:r>
    </w:p>
    <w:p>
      <w:pPr>
        <w:spacing w:line="400" w:lineRule="exact"/>
        <w:ind w:firstLine="420" w:firstLineChars="200"/>
      </w:pPr>
      <w:r>
        <w:rPr>
          <w:rFonts w:hint="eastAsia"/>
        </w:rPr>
        <w:t>1.1.3 招标代理机构：见投标人须知前附表。</w:t>
      </w:r>
    </w:p>
    <w:p>
      <w:pPr>
        <w:spacing w:line="400" w:lineRule="exact"/>
        <w:ind w:firstLine="420" w:firstLineChars="200"/>
      </w:pPr>
      <w:r>
        <w:rPr>
          <w:rFonts w:hint="eastAsia"/>
        </w:rPr>
        <w:t>1.1.4 招标项目名称：见投标人须知前附表。</w:t>
      </w:r>
    </w:p>
    <w:p>
      <w:pPr>
        <w:spacing w:line="400" w:lineRule="exact"/>
        <w:ind w:firstLine="420" w:firstLineChars="200"/>
      </w:pPr>
      <w:r>
        <w:rPr>
          <w:rFonts w:hint="eastAsia"/>
        </w:rPr>
        <w:t>1.1.5 项目建设地点：见投标人须知前附表。</w:t>
      </w:r>
    </w:p>
    <w:p>
      <w:pPr>
        <w:pStyle w:val="5"/>
      </w:pPr>
      <w:bookmarkStart w:id="43" w:name="_Toc300834951"/>
      <w:bookmarkStart w:id="44" w:name="_Toc152042307"/>
      <w:bookmarkStart w:id="45" w:name="_Toc247527555"/>
      <w:bookmarkStart w:id="46" w:name="_Toc152045531"/>
      <w:bookmarkStart w:id="47" w:name="_Toc247513954"/>
      <w:bookmarkStart w:id="48" w:name="_Toc144974499"/>
      <w:r>
        <w:rPr>
          <w:rFonts w:hint="eastAsia" w:ascii="Times New Roman" w:hAnsi="Times New Roman"/>
          <w:lang w:val="en-US" w:eastAsia="zh-CN"/>
        </w:rPr>
        <w:t xml:space="preserve">1.2 </w:t>
      </w:r>
      <w:r>
        <w:rPr>
          <w:rFonts w:hint="eastAsia"/>
        </w:rPr>
        <w:t>项目的资金来源和落实情况</w:t>
      </w:r>
      <w:bookmarkEnd w:id="43"/>
      <w:bookmarkEnd w:id="44"/>
      <w:bookmarkEnd w:id="45"/>
      <w:bookmarkEnd w:id="46"/>
      <w:bookmarkEnd w:id="47"/>
      <w:bookmarkEnd w:id="48"/>
    </w:p>
    <w:p>
      <w:pPr>
        <w:spacing w:line="400" w:lineRule="exact"/>
        <w:ind w:firstLine="420" w:firstLineChars="200"/>
      </w:pPr>
      <w:r>
        <w:rPr>
          <w:rFonts w:hint="eastAsia"/>
        </w:rPr>
        <w:t>1.2.1 资金来源及比例：见投标人须知前附表。</w:t>
      </w:r>
    </w:p>
    <w:p>
      <w:pPr>
        <w:spacing w:line="400" w:lineRule="exact"/>
        <w:ind w:firstLine="420" w:firstLineChars="200"/>
      </w:pPr>
      <w:r>
        <w:rPr>
          <w:rFonts w:hint="eastAsia"/>
        </w:rPr>
        <w:t>1.2.2 资金落实情况：见投标人须知前附表。</w:t>
      </w:r>
    </w:p>
    <w:p>
      <w:pPr>
        <w:pStyle w:val="5"/>
      </w:pPr>
      <w:bookmarkStart w:id="49" w:name="_Toc144974500"/>
      <w:bookmarkStart w:id="50" w:name="_Toc247513955"/>
      <w:bookmarkStart w:id="51" w:name="_Toc152042308"/>
      <w:bookmarkStart w:id="52" w:name="_Toc152045532"/>
      <w:bookmarkStart w:id="53" w:name="_Toc247527556"/>
      <w:bookmarkStart w:id="54" w:name="_Toc300834952"/>
      <w:r>
        <w:rPr>
          <w:rFonts w:hint="eastAsia" w:ascii="Times New Roman" w:hAnsi="Times New Roman"/>
          <w:lang w:val="en-US" w:eastAsia="zh-CN"/>
        </w:rPr>
        <w:t>1.3</w:t>
      </w:r>
      <w:r>
        <w:rPr>
          <w:rFonts w:hint="eastAsia"/>
        </w:rPr>
        <w:t xml:space="preserve"> 招标范围、计划工期和</w:t>
      </w:r>
      <w:bookmarkEnd w:id="49"/>
      <w:bookmarkEnd w:id="50"/>
      <w:bookmarkEnd w:id="51"/>
      <w:bookmarkEnd w:id="52"/>
      <w:bookmarkEnd w:id="53"/>
      <w:r>
        <w:rPr>
          <w:rFonts w:hint="eastAsia"/>
        </w:rPr>
        <w:t>质量标准</w:t>
      </w:r>
      <w:bookmarkEnd w:id="54"/>
    </w:p>
    <w:p>
      <w:pPr>
        <w:spacing w:line="400" w:lineRule="exact"/>
        <w:ind w:firstLine="420" w:firstLineChars="200"/>
      </w:pPr>
      <w:r>
        <w:rPr>
          <w:rFonts w:hint="eastAsia"/>
        </w:rPr>
        <w:t>1.3.1 招标范围：见投标人须知前附表。</w:t>
      </w:r>
    </w:p>
    <w:p>
      <w:pPr>
        <w:spacing w:line="400" w:lineRule="exact"/>
        <w:ind w:firstLine="420" w:firstLineChars="200"/>
        <w:rPr>
          <w:rFonts w:hint="eastAsia"/>
        </w:rPr>
      </w:pPr>
      <w:r>
        <w:rPr>
          <w:rFonts w:hint="eastAsia"/>
        </w:rPr>
        <w:t>1.3.2 计划工期：见投标人须知前附表。</w:t>
      </w:r>
    </w:p>
    <w:p>
      <w:pPr>
        <w:spacing w:line="400" w:lineRule="exact"/>
        <w:ind w:firstLine="420" w:firstLineChars="200"/>
      </w:pPr>
      <w:r>
        <w:rPr>
          <w:rFonts w:hint="eastAsia"/>
        </w:rPr>
        <w:t>1.3.3 质量标准：见投标人须知前附表。</w:t>
      </w:r>
    </w:p>
    <w:p>
      <w:pPr>
        <w:pStyle w:val="5"/>
      </w:pPr>
      <w:bookmarkStart w:id="55" w:name="_Toc144974501"/>
      <w:bookmarkStart w:id="56" w:name="_Toc152045533"/>
      <w:bookmarkStart w:id="57" w:name="_Toc300834953"/>
      <w:bookmarkStart w:id="58" w:name="_Toc152042309"/>
      <w:bookmarkStart w:id="59" w:name="_Toc247527557"/>
      <w:bookmarkStart w:id="60" w:name="_Toc247513956"/>
      <w:r>
        <w:rPr>
          <w:rFonts w:hint="eastAsia" w:ascii="Times New Roman" w:hAnsi="Times New Roman"/>
          <w:lang w:val="en-US" w:eastAsia="zh-CN"/>
        </w:rPr>
        <w:t>1.4</w:t>
      </w:r>
      <w:r>
        <w:rPr>
          <w:rFonts w:hint="eastAsia"/>
        </w:rPr>
        <w:t xml:space="preserve"> 投标人资格要求（适用于已进行资格预审的）</w:t>
      </w:r>
      <w:bookmarkEnd w:id="55"/>
      <w:bookmarkEnd w:id="56"/>
      <w:bookmarkEnd w:id="57"/>
      <w:bookmarkEnd w:id="58"/>
      <w:bookmarkEnd w:id="59"/>
      <w:bookmarkEnd w:id="60"/>
    </w:p>
    <w:p>
      <w:pPr>
        <w:spacing w:line="400" w:lineRule="exact"/>
        <w:ind w:firstLine="420" w:firstLineChars="200"/>
      </w:pPr>
      <w:r>
        <w:rPr>
          <w:rFonts w:hint="eastAsia"/>
        </w:rPr>
        <w:t>投标人应是收到招标人发出投标邀请书的单位。</w:t>
      </w:r>
    </w:p>
    <w:p>
      <w:pPr>
        <w:pStyle w:val="5"/>
      </w:pPr>
      <w:bookmarkStart w:id="61" w:name="_Toc247513957"/>
      <w:bookmarkStart w:id="62" w:name="_Toc247527558"/>
      <w:bookmarkStart w:id="63" w:name="_Toc152042310"/>
      <w:bookmarkStart w:id="64" w:name="_Toc152045534"/>
      <w:bookmarkStart w:id="65" w:name="_Toc144974502"/>
      <w:bookmarkStart w:id="66" w:name="_Toc300834954"/>
      <w:r>
        <w:rPr>
          <w:rFonts w:hint="eastAsia" w:ascii="Times New Roman" w:hAnsi="Times New Roman"/>
          <w:lang w:val="en-US" w:eastAsia="zh-CN"/>
        </w:rPr>
        <w:t>1.4</w:t>
      </w:r>
      <w:r>
        <w:rPr>
          <w:rFonts w:hint="eastAsia"/>
        </w:rPr>
        <w:t xml:space="preserve"> 投标人资格要求（适用于未进行资格预审的）</w:t>
      </w:r>
      <w:bookmarkEnd w:id="61"/>
      <w:bookmarkEnd w:id="62"/>
      <w:bookmarkEnd w:id="63"/>
      <w:bookmarkEnd w:id="64"/>
      <w:bookmarkEnd w:id="65"/>
      <w:bookmarkEnd w:id="66"/>
    </w:p>
    <w:p>
      <w:pPr>
        <w:spacing w:line="400" w:lineRule="exact"/>
        <w:ind w:firstLine="420" w:firstLineChars="200"/>
      </w:pPr>
      <w:r>
        <w:rPr>
          <w:rFonts w:hint="eastAsia"/>
        </w:rPr>
        <w:t>1.4.1 投标人应具备承担本招标项目资质条件、能力和信誉。</w:t>
      </w:r>
    </w:p>
    <w:p>
      <w:pPr>
        <w:spacing w:line="400" w:lineRule="exact"/>
        <w:ind w:firstLine="315" w:firstLineChars="150"/>
      </w:pPr>
      <w:r>
        <w:rPr>
          <w:rFonts w:hint="eastAsia"/>
        </w:rPr>
        <w:t>（1）资质要求：见投标人须知前附表；</w:t>
      </w:r>
    </w:p>
    <w:p>
      <w:pPr>
        <w:spacing w:line="400" w:lineRule="exact"/>
        <w:ind w:firstLine="315" w:firstLineChars="150"/>
      </w:pPr>
      <w:r>
        <w:rPr>
          <w:rFonts w:hint="eastAsia"/>
        </w:rPr>
        <w:t>（2）财务要求：见投标人须知前附表；</w:t>
      </w:r>
    </w:p>
    <w:p>
      <w:pPr>
        <w:spacing w:line="400" w:lineRule="exact"/>
        <w:ind w:firstLine="315" w:firstLineChars="150"/>
        <w:rPr>
          <w:rFonts w:hint="eastAsia"/>
        </w:rPr>
      </w:pPr>
      <w:r>
        <w:rPr>
          <w:rFonts w:hint="eastAsia"/>
        </w:rPr>
        <w:t>（3）业绩要求：见投标人须知前附表；</w:t>
      </w:r>
    </w:p>
    <w:p>
      <w:pPr>
        <w:spacing w:line="400" w:lineRule="exact"/>
        <w:ind w:firstLine="315" w:firstLineChars="150"/>
        <w:rPr>
          <w:rFonts w:hint="eastAsia"/>
        </w:rPr>
      </w:pPr>
      <w:r>
        <w:rPr>
          <w:rFonts w:hint="eastAsia"/>
        </w:rPr>
        <w:t>（4）信誉要求：见投标人须知前附表；</w:t>
      </w:r>
    </w:p>
    <w:p>
      <w:pPr>
        <w:spacing w:line="400" w:lineRule="exact"/>
        <w:ind w:firstLine="315" w:firstLineChars="150"/>
      </w:pPr>
      <w:r>
        <w:rPr>
          <w:rFonts w:hint="eastAsia"/>
        </w:rPr>
        <w:t>（5）项目负责人（兼施工负责人）的资格要求：应当具备工程设计类或者工程施工类注册执业资格，具体要求见投标人须知前附表；</w:t>
      </w:r>
    </w:p>
    <w:p>
      <w:pPr>
        <w:spacing w:line="400" w:lineRule="exact"/>
        <w:ind w:firstLine="315" w:firstLineChars="150"/>
        <w:rPr>
          <w:rFonts w:hint="eastAsia"/>
        </w:rPr>
      </w:pPr>
      <w:r>
        <w:rPr>
          <w:rFonts w:hint="eastAsia"/>
        </w:rPr>
        <w:t>（6）设计负责人的资格要求：应当具备工程设计类注册执业资格，具体要求见投标人须知前附表；</w:t>
      </w:r>
    </w:p>
    <w:p>
      <w:pPr>
        <w:spacing w:line="400" w:lineRule="exact"/>
        <w:ind w:firstLine="315" w:firstLineChars="150"/>
      </w:pPr>
      <w:r>
        <w:rPr>
          <w:rFonts w:hint="eastAsia"/>
        </w:rPr>
        <w:t>（7）</w:t>
      </w:r>
      <w:r>
        <w:rPr>
          <w:rFonts w:hint="eastAsia" w:ascii="宋体" w:hAnsi="宋体" w:eastAsia="宋体" w:cs="宋体"/>
          <w:color w:val="auto"/>
          <w:szCs w:val="21"/>
          <w:highlight w:val="none"/>
          <w:lang w:val="en-US" w:eastAsia="zh-CN"/>
        </w:rPr>
        <w:t>专职安全员</w:t>
      </w:r>
      <w:r>
        <w:rPr>
          <w:rFonts w:hint="eastAsia"/>
        </w:rPr>
        <w:t>的资格要求：应当具备工程施工类注册执业资格，具体要求见投标人须知前附表；</w:t>
      </w:r>
    </w:p>
    <w:p>
      <w:pPr>
        <w:spacing w:line="400" w:lineRule="exact"/>
        <w:ind w:firstLine="315" w:firstLineChars="150"/>
        <w:rPr>
          <w:rFonts w:hint="eastAsia"/>
        </w:rPr>
      </w:pPr>
      <w:r>
        <w:rPr>
          <w:rFonts w:hint="eastAsia"/>
        </w:rPr>
        <w:t>（8）施工机械设备：见投标人须知前附表；</w:t>
      </w:r>
    </w:p>
    <w:p>
      <w:pPr>
        <w:spacing w:line="400" w:lineRule="exact"/>
        <w:ind w:firstLine="315" w:firstLineChars="150"/>
      </w:pPr>
      <w:r>
        <w:rPr>
          <w:rFonts w:hint="eastAsia"/>
        </w:rPr>
        <w:t>（9）项目管理机构及人员：见投标人须知前附表；</w:t>
      </w:r>
    </w:p>
    <w:p>
      <w:pPr>
        <w:spacing w:line="400" w:lineRule="exact"/>
        <w:ind w:firstLine="315" w:firstLineChars="150"/>
      </w:pPr>
      <w:r>
        <w:rPr>
          <w:rFonts w:hint="eastAsia"/>
        </w:rPr>
        <w:t>（10）其他要求：见投标人须知前附表。</w:t>
      </w:r>
    </w:p>
    <w:p>
      <w:pPr>
        <w:spacing w:line="400" w:lineRule="exact"/>
        <w:ind w:firstLine="420" w:firstLineChars="200"/>
      </w:pPr>
      <w:r>
        <w:rPr>
          <w:rFonts w:hint="eastAsia"/>
        </w:rPr>
        <w:t xml:space="preserve">1.4.2 投标人须知前附表规定接受联合体投标的，除应符合本章第1.4.1项和投标人须知前附表的要求外，还应遵守以下规定： </w:t>
      </w:r>
    </w:p>
    <w:p>
      <w:pPr>
        <w:spacing w:line="400" w:lineRule="exact"/>
        <w:ind w:firstLine="315" w:firstLineChars="150"/>
      </w:pPr>
      <w:r>
        <w:rPr>
          <w:rFonts w:hint="eastAsia"/>
        </w:rPr>
        <w:t>（1）联合体各方应按招标文件提供的格式签订联合体协议书，明确联合体牵头人和各方权利义务；</w:t>
      </w:r>
    </w:p>
    <w:p>
      <w:pPr>
        <w:spacing w:line="400" w:lineRule="exact"/>
        <w:ind w:firstLine="315" w:firstLineChars="150"/>
      </w:pPr>
      <w:r>
        <w:rPr>
          <w:rFonts w:hint="eastAsia"/>
        </w:rPr>
        <w:t>（2）由同一专业的单位组成的联合体，按照资质等级较低的单位确定资质等级；</w:t>
      </w:r>
    </w:p>
    <w:p>
      <w:pPr>
        <w:spacing w:line="400" w:lineRule="exact"/>
        <w:ind w:firstLine="315" w:firstLineChars="150"/>
      </w:pPr>
      <w:r>
        <w:rPr>
          <w:rFonts w:hint="eastAsia"/>
        </w:rPr>
        <w:t>（3）联合体各方不得再以自己名义单独或参加其他联合体在本招标项目中投标。</w:t>
      </w:r>
    </w:p>
    <w:p>
      <w:pPr>
        <w:spacing w:line="400" w:lineRule="exact"/>
        <w:ind w:firstLine="420" w:firstLineChars="200"/>
      </w:pPr>
      <w:r>
        <w:rPr>
          <w:rFonts w:hint="eastAsia"/>
        </w:rPr>
        <w:t>1.4.3 投标人不得存在下列情形之一：</w:t>
      </w:r>
    </w:p>
    <w:p>
      <w:pPr>
        <w:spacing w:line="400" w:lineRule="exact"/>
        <w:ind w:firstLine="315" w:firstLineChars="150"/>
        <w:rPr>
          <w:rFonts w:hint="eastAsia"/>
        </w:rPr>
      </w:pPr>
      <w:r>
        <w:rPr>
          <w:rFonts w:hint="eastAsia"/>
        </w:rPr>
        <w:t xml:space="preserve">（1）为招标人不具有独立法人资格的附属机构（单位）； </w:t>
      </w:r>
    </w:p>
    <w:p>
      <w:pPr>
        <w:spacing w:line="400" w:lineRule="exact"/>
        <w:ind w:firstLine="315" w:firstLineChars="150"/>
      </w:pPr>
      <w:r>
        <w:rPr>
          <w:rFonts w:hint="eastAsia"/>
        </w:rPr>
        <w:t>（2）为招标项目前期工作提供咨询服务的；</w:t>
      </w:r>
    </w:p>
    <w:p>
      <w:pPr>
        <w:spacing w:line="400" w:lineRule="exact"/>
        <w:ind w:firstLine="315" w:firstLineChars="150"/>
      </w:pPr>
      <w:r>
        <w:rPr>
          <w:rFonts w:hint="eastAsia"/>
        </w:rPr>
        <w:t>（3）为本招标项目的监理人；</w:t>
      </w:r>
    </w:p>
    <w:p>
      <w:pPr>
        <w:spacing w:line="400" w:lineRule="exact"/>
        <w:ind w:firstLine="315" w:firstLineChars="150"/>
      </w:pPr>
      <w:r>
        <w:rPr>
          <w:rFonts w:hint="eastAsia"/>
        </w:rPr>
        <w:t xml:space="preserve">（4）为本招标项目的代建人； </w:t>
      </w:r>
    </w:p>
    <w:p>
      <w:pPr>
        <w:spacing w:line="400" w:lineRule="exact"/>
        <w:ind w:firstLine="315" w:firstLineChars="150"/>
      </w:pPr>
      <w:r>
        <w:rPr>
          <w:rFonts w:hint="eastAsia"/>
        </w:rPr>
        <w:t xml:space="preserve">（5）为本招标项目提供招标代理服务的； </w:t>
      </w:r>
    </w:p>
    <w:p>
      <w:pPr>
        <w:spacing w:line="400" w:lineRule="exact"/>
        <w:ind w:firstLine="315" w:firstLineChars="150"/>
      </w:pPr>
      <w:r>
        <w:rPr>
          <w:rFonts w:hint="eastAsia"/>
        </w:rPr>
        <w:t xml:space="preserve">（6）被责令停业的； </w:t>
      </w:r>
    </w:p>
    <w:p>
      <w:pPr>
        <w:spacing w:line="400" w:lineRule="exact"/>
        <w:ind w:firstLine="315" w:firstLineChars="150"/>
      </w:pPr>
      <w:r>
        <w:rPr>
          <w:rFonts w:hint="eastAsia"/>
        </w:rPr>
        <w:t xml:space="preserve">（7）被暂停或取消投标资格的； </w:t>
      </w:r>
    </w:p>
    <w:p>
      <w:pPr>
        <w:spacing w:line="400" w:lineRule="exact"/>
        <w:ind w:firstLine="315" w:firstLineChars="150"/>
      </w:pPr>
      <w:r>
        <w:rPr>
          <w:rFonts w:hint="eastAsia"/>
        </w:rPr>
        <w:t>（8）财产被接管或冻结的；</w:t>
      </w:r>
    </w:p>
    <w:p>
      <w:pPr>
        <w:spacing w:line="400" w:lineRule="exact"/>
        <w:ind w:firstLine="315" w:firstLineChars="150"/>
        <w:rPr>
          <w:rFonts w:hint="eastAsia"/>
        </w:rPr>
      </w:pPr>
      <w:r>
        <w:rPr>
          <w:rFonts w:hint="eastAsia"/>
        </w:rPr>
        <w:t>（9）在最近三年内有骗取中标或严重违约或重大工程质量问题的；</w:t>
      </w:r>
    </w:p>
    <w:p>
      <w:pPr>
        <w:spacing w:line="400" w:lineRule="exact"/>
        <w:ind w:firstLine="315" w:firstLineChars="150"/>
        <w:rPr>
          <w:rFonts w:hint="eastAsia"/>
        </w:rPr>
      </w:pPr>
      <w:r>
        <w:rPr>
          <w:rFonts w:hint="eastAsia"/>
        </w:rPr>
        <w:t>（10）与本招标项目的监理人或代建人或招标代理机构同为一个法定代表人的；</w:t>
      </w:r>
    </w:p>
    <w:p>
      <w:pPr>
        <w:spacing w:line="400" w:lineRule="exact"/>
        <w:ind w:firstLine="315" w:firstLineChars="150"/>
        <w:rPr>
          <w:rFonts w:hint="eastAsia"/>
        </w:rPr>
      </w:pPr>
      <w:r>
        <w:rPr>
          <w:rFonts w:hint="eastAsia"/>
        </w:rPr>
        <w:t>（11）与本招标项目的监理人或代建人或招标代理机构相互控股或参股的；</w:t>
      </w:r>
    </w:p>
    <w:p>
      <w:pPr>
        <w:spacing w:line="400" w:lineRule="exact"/>
        <w:ind w:firstLine="315" w:firstLineChars="150"/>
        <w:rPr>
          <w:rFonts w:hint="eastAsia"/>
        </w:rPr>
      </w:pPr>
      <w:r>
        <w:rPr>
          <w:rFonts w:hint="eastAsia"/>
        </w:rPr>
        <w:t>（12）与本招标项目的监理人或代建人或招标代理机构相互任职或工作的。</w:t>
      </w:r>
    </w:p>
    <w:p>
      <w:pPr>
        <w:spacing w:line="400" w:lineRule="exact"/>
        <w:ind w:firstLine="420" w:firstLineChars="200"/>
        <w:rPr>
          <w:rFonts w:hint="eastAsia"/>
        </w:rPr>
      </w:pPr>
      <w:r>
        <w:rPr>
          <w:rFonts w:hint="eastAsia"/>
        </w:rPr>
        <w:t>1.4.4 单位负责人为同一人或者存在控股、管理关系的不同单位，不得同时参加本招标项目投标。</w:t>
      </w:r>
    </w:p>
    <w:p>
      <w:pPr>
        <w:pStyle w:val="5"/>
      </w:pPr>
      <w:bookmarkStart w:id="67" w:name="_Toc247513958"/>
      <w:bookmarkStart w:id="68" w:name="_Toc152045535"/>
      <w:bookmarkStart w:id="69" w:name="_Toc152042311"/>
      <w:bookmarkStart w:id="70" w:name="_Toc247527559"/>
      <w:bookmarkStart w:id="71" w:name="_Toc144974503"/>
      <w:bookmarkStart w:id="72" w:name="_Toc300834955"/>
      <w:r>
        <w:rPr>
          <w:rFonts w:hint="eastAsia" w:ascii="Times New Roman" w:hAnsi="Times New Roman"/>
          <w:lang w:val="en-US" w:eastAsia="zh-CN"/>
        </w:rPr>
        <w:t>1.5</w:t>
      </w:r>
      <w:r>
        <w:rPr>
          <w:rFonts w:hint="eastAsia"/>
        </w:rPr>
        <w:t xml:space="preserve"> 费用承担</w:t>
      </w:r>
      <w:bookmarkEnd w:id="67"/>
      <w:bookmarkEnd w:id="68"/>
      <w:bookmarkEnd w:id="69"/>
      <w:bookmarkEnd w:id="70"/>
      <w:bookmarkEnd w:id="71"/>
      <w:r>
        <w:rPr>
          <w:rFonts w:hint="eastAsia"/>
        </w:rPr>
        <w:t>和设计成果补偿</w:t>
      </w:r>
      <w:bookmarkEnd w:id="72"/>
    </w:p>
    <w:p>
      <w:pPr>
        <w:spacing w:line="400" w:lineRule="exact"/>
        <w:ind w:firstLine="420" w:firstLineChars="200"/>
        <w:rPr>
          <w:rFonts w:hint="eastAsia"/>
        </w:rPr>
      </w:pPr>
      <w:r>
        <w:rPr>
          <w:rFonts w:hint="eastAsia"/>
        </w:rPr>
        <w:t>1.5.1 投标人准备和参加投标活动发生的费用自理。</w:t>
      </w:r>
    </w:p>
    <w:p>
      <w:pPr>
        <w:spacing w:line="400" w:lineRule="exact"/>
        <w:ind w:firstLine="420" w:firstLineChars="200"/>
      </w:pPr>
      <w:r>
        <w:rPr>
          <w:rFonts w:hint="eastAsia"/>
        </w:rPr>
        <w:t>1.5.2 招标人对符合招标文件规定的未中标人的设计成果进行补偿的，按投标人须知前附表规定给予补偿，并有权免费使用未中标人设计成果。</w:t>
      </w:r>
    </w:p>
    <w:p>
      <w:pPr>
        <w:pStyle w:val="5"/>
      </w:pPr>
      <w:bookmarkStart w:id="73" w:name="_Toc152045536"/>
      <w:bookmarkStart w:id="74" w:name="_Toc144974504"/>
      <w:bookmarkStart w:id="75" w:name="_Toc300834956"/>
      <w:bookmarkStart w:id="76" w:name="_Toc152042312"/>
      <w:bookmarkStart w:id="77" w:name="_Toc247527560"/>
      <w:bookmarkStart w:id="78" w:name="_Toc247513959"/>
      <w:r>
        <w:rPr>
          <w:rFonts w:hint="eastAsia" w:ascii="Times New Roman" w:hAnsi="Times New Roman"/>
          <w:lang w:val="en-US" w:eastAsia="zh-CN"/>
        </w:rPr>
        <w:t xml:space="preserve">1.6 </w:t>
      </w:r>
      <w:r>
        <w:rPr>
          <w:rFonts w:hint="eastAsia"/>
        </w:rPr>
        <w:t>保密</w:t>
      </w:r>
      <w:bookmarkEnd w:id="73"/>
      <w:bookmarkEnd w:id="74"/>
      <w:bookmarkEnd w:id="75"/>
      <w:bookmarkEnd w:id="76"/>
      <w:bookmarkEnd w:id="77"/>
      <w:bookmarkEnd w:id="78"/>
    </w:p>
    <w:p>
      <w:pPr>
        <w:spacing w:line="400" w:lineRule="exact"/>
        <w:ind w:firstLine="420" w:firstLineChars="200"/>
      </w:pPr>
      <w:r>
        <w:rPr>
          <w:rFonts w:hint="eastAsia"/>
        </w:rPr>
        <w:t xml:space="preserve">参与招标投标活动的各方应对招标文件和投标文件中的商业和技术等秘密保密，否则应承担相应的法律责任。 </w:t>
      </w:r>
    </w:p>
    <w:p>
      <w:pPr>
        <w:pStyle w:val="5"/>
      </w:pPr>
      <w:bookmarkStart w:id="79" w:name="_Toc144974505"/>
      <w:bookmarkStart w:id="80" w:name="_Toc152045537"/>
      <w:bookmarkStart w:id="81" w:name="_Toc247513960"/>
      <w:bookmarkStart w:id="82" w:name="_Toc300834957"/>
      <w:bookmarkStart w:id="83" w:name="_Toc152042313"/>
      <w:bookmarkStart w:id="84" w:name="_Toc247527561"/>
      <w:r>
        <w:rPr>
          <w:rFonts w:hint="eastAsia" w:ascii="Times New Roman" w:hAnsi="Times New Roman"/>
          <w:lang w:val="en-US" w:eastAsia="zh-CN"/>
        </w:rPr>
        <w:t>1.7</w:t>
      </w:r>
      <w:r>
        <w:rPr>
          <w:rFonts w:hint="eastAsia"/>
        </w:rPr>
        <w:t xml:space="preserve"> 语言</w:t>
      </w:r>
      <w:bookmarkEnd w:id="79"/>
      <w:r>
        <w:rPr>
          <w:rFonts w:hint="eastAsia"/>
        </w:rPr>
        <w:t>文字</w:t>
      </w:r>
      <w:bookmarkEnd w:id="80"/>
      <w:bookmarkEnd w:id="81"/>
      <w:bookmarkEnd w:id="82"/>
      <w:bookmarkEnd w:id="83"/>
      <w:bookmarkEnd w:id="84"/>
    </w:p>
    <w:p>
      <w:pPr>
        <w:spacing w:line="400" w:lineRule="exact"/>
        <w:ind w:firstLine="420" w:firstLineChars="200"/>
      </w:pPr>
      <w:r>
        <w:rPr>
          <w:rFonts w:hint="eastAsia"/>
        </w:rPr>
        <w:t>招标投标文件使用的语言文字为中文。专用术语使用外文的，应附有中文注释。</w:t>
      </w:r>
    </w:p>
    <w:p>
      <w:pPr>
        <w:pStyle w:val="5"/>
      </w:pPr>
      <w:bookmarkStart w:id="85" w:name="_Toc152045538"/>
      <w:bookmarkStart w:id="86" w:name="_Toc300834958"/>
      <w:bookmarkStart w:id="87" w:name="_Toc247527562"/>
      <w:bookmarkStart w:id="88" w:name="_Toc152042314"/>
      <w:bookmarkStart w:id="89" w:name="_Toc144974506"/>
      <w:bookmarkStart w:id="90" w:name="_Toc247513961"/>
      <w:r>
        <w:rPr>
          <w:rFonts w:hint="eastAsia" w:ascii="Times New Roman" w:hAnsi="Times New Roman"/>
          <w:lang w:val="en-US" w:eastAsia="zh-CN"/>
        </w:rPr>
        <w:t xml:space="preserve">1.8 </w:t>
      </w:r>
      <w:r>
        <w:rPr>
          <w:rFonts w:hint="eastAsia"/>
        </w:rPr>
        <w:t>计量单位</w:t>
      </w:r>
      <w:bookmarkEnd w:id="85"/>
      <w:bookmarkEnd w:id="86"/>
      <w:bookmarkEnd w:id="87"/>
      <w:bookmarkEnd w:id="88"/>
      <w:bookmarkEnd w:id="89"/>
      <w:bookmarkEnd w:id="90"/>
    </w:p>
    <w:p>
      <w:pPr>
        <w:spacing w:line="400" w:lineRule="exact"/>
        <w:ind w:firstLine="420" w:firstLineChars="200"/>
      </w:pPr>
      <w:r>
        <w:rPr>
          <w:rFonts w:hint="eastAsia"/>
        </w:rPr>
        <w:t>所有计量均采用中华人民共和国法定计量单位。</w:t>
      </w:r>
    </w:p>
    <w:p>
      <w:pPr>
        <w:pStyle w:val="5"/>
      </w:pPr>
      <w:bookmarkStart w:id="91" w:name="_Toc300834959"/>
      <w:bookmarkStart w:id="92" w:name="_Toc247527563"/>
      <w:bookmarkStart w:id="93" w:name="_Toc152042315"/>
      <w:bookmarkStart w:id="94" w:name="_Toc144974507"/>
      <w:bookmarkStart w:id="95" w:name="_Toc247513962"/>
      <w:bookmarkStart w:id="96" w:name="_Toc152045539"/>
      <w:r>
        <w:rPr>
          <w:rFonts w:hint="eastAsia" w:ascii="Times New Roman" w:hAnsi="Times New Roman"/>
          <w:lang w:val="en-US" w:eastAsia="zh-CN"/>
        </w:rPr>
        <w:t>1.9</w:t>
      </w:r>
      <w:r>
        <w:rPr>
          <w:rFonts w:hint="eastAsia"/>
        </w:rPr>
        <w:t xml:space="preserve"> 踏勘现场</w:t>
      </w:r>
      <w:bookmarkEnd w:id="91"/>
      <w:bookmarkEnd w:id="92"/>
      <w:bookmarkEnd w:id="93"/>
      <w:bookmarkEnd w:id="94"/>
      <w:bookmarkEnd w:id="95"/>
      <w:bookmarkEnd w:id="96"/>
    </w:p>
    <w:p>
      <w:pPr>
        <w:spacing w:line="400" w:lineRule="exact"/>
        <w:ind w:firstLine="420" w:firstLineChars="200"/>
      </w:pPr>
      <w:r>
        <w:rPr>
          <w:rFonts w:hint="eastAsia"/>
        </w:rPr>
        <w:t xml:space="preserve">1.9.1 投标人须知前附表规定组织踏勘现场的，招标人按投标人须知前附表规定的时间、地点组织投标人踏勘项目现场。 </w:t>
      </w:r>
    </w:p>
    <w:p>
      <w:pPr>
        <w:spacing w:line="400" w:lineRule="exact"/>
        <w:ind w:firstLine="420" w:firstLineChars="200"/>
      </w:pPr>
      <w:r>
        <w:rPr>
          <w:rFonts w:hint="eastAsia"/>
        </w:rPr>
        <w:t>1.9.2 投标人踏勘现场发生的费用自理。</w:t>
      </w:r>
    </w:p>
    <w:p>
      <w:pPr>
        <w:spacing w:line="400" w:lineRule="exact"/>
        <w:ind w:firstLine="420" w:firstLineChars="200"/>
      </w:pPr>
      <w:r>
        <w:rPr>
          <w:rFonts w:hint="eastAsia"/>
        </w:rPr>
        <w:t>1.9.3 除招标人的原因外，投标人自行负责在踏勘现场中所发生的人员伤亡和财产损失。</w:t>
      </w:r>
    </w:p>
    <w:p>
      <w:pPr>
        <w:spacing w:line="400" w:lineRule="exact"/>
        <w:ind w:firstLine="420" w:firstLineChars="200"/>
      </w:pPr>
      <w:r>
        <w:rPr>
          <w:rFonts w:hint="eastAsia"/>
        </w:rPr>
        <w:t>1.9.4 招标人在踏勘现场中介绍的工程场地和相关的周边环境情况，供投标人在编制投标文件时参考，招标人不对投标人据此作出的判断和决策负责。</w:t>
      </w:r>
    </w:p>
    <w:p>
      <w:pPr>
        <w:pStyle w:val="5"/>
      </w:pPr>
      <w:bookmarkStart w:id="97" w:name="_Toc152045540"/>
      <w:bookmarkStart w:id="98" w:name="_Toc300834960"/>
      <w:bookmarkStart w:id="99" w:name="_Toc152042316"/>
      <w:bookmarkStart w:id="100" w:name="_Toc144974508"/>
      <w:bookmarkStart w:id="101" w:name="_Toc247513963"/>
      <w:bookmarkStart w:id="102" w:name="_Toc247527564"/>
      <w:r>
        <w:rPr>
          <w:rFonts w:hint="eastAsia" w:ascii="Times New Roman" w:hAnsi="Times New Roman"/>
          <w:lang w:val="en-US" w:eastAsia="zh-CN"/>
        </w:rPr>
        <w:t>1.10</w:t>
      </w:r>
      <w:r>
        <w:rPr>
          <w:rFonts w:hint="eastAsia"/>
        </w:rPr>
        <w:t xml:space="preserve"> 投标预备会</w:t>
      </w:r>
      <w:bookmarkEnd w:id="97"/>
      <w:bookmarkEnd w:id="98"/>
      <w:bookmarkEnd w:id="99"/>
      <w:bookmarkEnd w:id="100"/>
      <w:bookmarkEnd w:id="101"/>
      <w:bookmarkEnd w:id="102"/>
    </w:p>
    <w:p>
      <w:pPr>
        <w:spacing w:line="400" w:lineRule="exact"/>
        <w:ind w:firstLine="420" w:firstLineChars="200"/>
      </w:pPr>
      <w:r>
        <w:rPr>
          <w:rFonts w:hint="eastAsia"/>
        </w:rPr>
        <w:t>1.10.1 投标人须知前附表规定召开投标预备会的，招标人按投标人须知前附表规定的时间和地点召开投标预备会，澄清投标人提出的问题。</w:t>
      </w:r>
    </w:p>
    <w:p>
      <w:pPr>
        <w:spacing w:line="400" w:lineRule="exact"/>
        <w:ind w:firstLine="420" w:firstLineChars="200"/>
      </w:pPr>
      <w:r>
        <w:rPr>
          <w:rFonts w:hint="eastAsia"/>
        </w:rPr>
        <w:t>1.10.2 投标人应在投标人须知前附表规定的时间前，以书面形式将提出的问题送达招标人，以便招标人在会议期间澄清。</w:t>
      </w:r>
    </w:p>
    <w:p>
      <w:pPr>
        <w:spacing w:line="400" w:lineRule="exact"/>
        <w:ind w:firstLine="420" w:firstLineChars="200"/>
      </w:pPr>
      <w:r>
        <w:rPr>
          <w:rFonts w:hint="eastAsia"/>
        </w:rPr>
        <w:t>1.10.3 投标预备会后，招标人在投标人须知前附表规定的时间内，将对投标人所提问题的澄清，以书面形式通知所有购买招标文件的投标人。该澄清内容为招标文件的组成部分。</w:t>
      </w:r>
    </w:p>
    <w:p>
      <w:pPr>
        <w:pStyle w:val="5"/>
      </w:pPr>
      <w:bookmarkStart w:id="103" w:name="_Toc152045541"/>
      <w:bookmarkStart w:id="104" w:name="_Toc144974509"/>
      <w:bookmarkStart w:id="105" w:name="_Toc300834961"/>
      <w:bookmarkStart w:id="106" w:name="_Toc247513964"/>
      <w:bookmarkStart w:id="107" w:name="_Toc152042317"/>
      <w:bookmarkStart w:id="108" w:name="_Toc247527565"/>
      <w:r>
        <w:rPr>
          <w:rFonts w:hint="eastAsia" w:ascii="Times New Roman" w:hAnsi="Times New Roman"/>
          <w:lang w:val="en-US" w:eastAsia="zh-CN"/>
        </w:rPr>
        <w:t xml:space="preserve">1.11 </w:t>
      </w:r>
      <w:r>
        <w:rPr>
          <w:rFonts w:hint="eastAsia"/>
        </w:rPr>
        <w:t>分包</w:t>
      </w:r>
      <w:bookmarkEnd w:id="103"/>
      <w:bookmarkEnd w:id="104"/>
      <w:bookmarkEnd w:id="105"/>
      <w:bookmarkEnd w:id="106"/>
      <w:bookmarkEnd w:id="107"/>
      <w:bookmarkEnd w:id="108"/>
    </w:p>
    <w:p>
      <w:pPr>
        <w:spacing w:line="400" w:lineRule="exact"/>
        <w:ind w:firstLine="567" w:firstLineChars="270"/>
        <w:rPr>
          <w:rFonts w:hint="eastAsia"/>
        </w:rPr>
      </w:pPr>
      <w:r>
        <w:rPr>
          <w:rFonts w:hint="eastAsia"/>
        </w:rPr>
        <w:t>1.11.1 投标人须知前附表规定应当由分包人实施的非主体、非关键性工作，投标人应当按照第五章“发包人要求”的规定提供分包人</w:t>
      </w:r>
      <w:r>
        <w:rPr>
          <w:rFonts w:hint="eastAsia"/>
          <w:lang w:eastAsia="zh-CN"/>
        </w:rPr>
        <w:t>候选</w:t>
      </w:r>
      <w:r>
        <w:rPr>
          <w:rFonts w:hint="eastAsia"/>
        </w:rPr>
        <w:t>名单及其相应资料。</w:t>
      </w:r>
    </w:p>
    <w:p>
      <w:pPr>
        <w:spacing w:line="400" w:lineRule="exact"/>
        <w:ind w:firstLine="567" w:firstLineChars="270"/>
      </w:pPr>
      <w:r>
        <w:rPr>
          <w:rFonts w:hint="eastAsia"/>
        </w:rPr>
        <w:t>1.11.2 投标人拟在中标后将中标项目的部分非主体、非关键性工作进行分包的，应符合投标人须知前附表规定的分包内容、分包金额和资质要求等限制性条件。</w:t>
      </w:r>
    </w:p>
    <w:p>
      <w:pPr>
        <w:pStyle w:val="5"/>
      </w:pPr>
      <w:bookmarkStart w:id="109" w:name="_Toc300834962"/>
      <w:bookmarkStart w:id="110" w:name="_Toc247513965"/>
      <w:bookmarkStart w:id="111" w:name="_Toc247527566"/>
      <w:r>
        <w:rPr>
          <w:rFonts w:hint="eastAsia" w:ascii="Times New Roman" w:hAnsi="Times New Roman"/>
          <w:lang w:val="en-US" w:eastAsia="zh-CN"/>
        </w:rPr>
        <w:t>1.12</w:t>
      </w:r>
      <w:r>
        <w:rPr>
          <w:rFonts w:hint="eastAsia"/>
        </w:rPr>
        <w:t xml:space="preserve"> 偏离</w:t>
      </w:r>
      <w:bookmarkEnd w:id="109"/>
      <w:bookmarkEnd w:id="110"/>
      <w:bookmarkEnd w:id="111"/>
    </w:p>
    <w:p>
      <w:pPr>
        <w:spacing w:line="400" w:lineRule="exact"/>
        <w:ind w:firstLine="359" w:firstLineChars="171"/>
      </w:pPr>
      <w:r>
        <w:rPr>
          <w:rFonts w:hint="eastAsia"/>
        </w:rPr>
        <w:t>投标人须知前附表允许投标文件偏离招标文件某些要求的，偏离应当符合招标文件规定的偏离范围和幅度。</w:t>
      </w:r>
    </w:p>
    <w:p>
      <w:pPr>
        <w:pStyle w:val="3"/>
      </w:pPr>
      <w:bookmarkStart w:id="112" w:name="_Toc247527567"/>
      <w:bookmarkStart w:id="113" w:name="_Toc144974510"/>
      <w:bookmarkStart w:id="114" w:name="_Toc152045542"/>
      <w:bookmarkStart w:id="115" w:name="_Toc152042318"/>
      <w:bookmarkStart w:id="116" w:name="_Toc247513966"/>
      <w:bookmarkStart w:id="117" w:name="_Toc300834963"/>
      <w:r>
        <w:rPr>
          <w:rFonts w:hint="eastAsia"/>
        </w:rPr>
        <w:t>2. 招标文件</w:t>
      </w:r>
      <w:bookmarkEnd w:id="112"/>
      <w:bookmarkEnd w:id="113"/>
      <w:bookmarkEnd w:id="114"/>
      <w:bookmarkEnd w:id="115"/>
      <w:bookmarkEnd w:id="116"/>
      <w:bookmarkEnd w:id="117"/>
    </w:p>
    <w:p>
      <w:pPr>
        <w:pStyle w:val="5"/>
      </w:pPr>
      <w:bookmarkStart w:id="118" w:name="_Toc144974511"/>
      <w:bookmarkStart w:id="119" w:name="_Toc300834964"/>
      <w:bookmarkStart w:id="120" w:name="_Toc152042319"/>
      <w:bookmarkStart w:id="121" w:name="_Toc152045543"/>
      <w:bookmarkStart w:id="122" w:name="_Toc247527568"/>
      <w:bookmarkStart w:id="123" w:name="_Toc247513967"/>
      <w:r>
        <w:rPr>
          <w:rFonts w:hint="eastAsia" w:ascii="Times New Roman" w:hAnsi="Times New Roman"/>
          <w:lang w:val="en-US" w:eastAsia="zh-CN"/>
        </w:rPr>
        <w:t>2.1</w:t>
      </w:r>
      <w:r>
        <w:rPr>
          <w:rFonts w:hint="eastAsia"/>
        </w:rPr>
        <w:t xml:space="preserve"> 招标文件的组成</w:t>
      </w:r>
      <w:bookmarkEnd w:id="118"/>
      <w:bookmarkEnd w:id="119"/>
      <w:bookmarkEnd w:id="120"/>
      <w:bookmarkEnd w:id="121"/>
      <w:bookmarkEnd w:id="122"/>
      <w:bookmarkEnd w:id="123"/>
    </w:p>
    <w:p>
      <w:pPr>
        <w:spacing w:line="400" w:lineRule="exact"/>
      </w:pPr>
      <w:r>
        <w:rPr>
          <w:rFonts w:hint="eastAsia"/>
        </w:rPr>
        <w:t>　　本招标文件包括：</w:t>
      </w:r>
    </w:p>
    <w:p>
      <w:pPr>
        <w:spacing w:line="400" w:lineRule="exact"/>
        <w:ind w:firstLine="359" w:firstLineChars="171"/>
      </w:pPr>
      <w:r>
        <w:rPr>
          <w:rFonts w:hint="eastAsia"/>
        </w:rPr>
        <w:t>（1）招标公告（或投标邀请书）；</w:t>
      </w:r>
    </w:p>
    <w:p>
      <w:pPr>
        <w:spacing w:line="400" w:lineRule="exact"/>
        <w:ind w:firstLine="359" w:firstLineChars="171"/>
      </w:pPr>
      <w:r>
        <w:rPr>
          <w:rFonts w:hint="eastAsia"/>
        </w:rPr>
        <w:t>（2）投标人须知；</w:t>
      </w:r>
    </w:p>
    <w:p>
      <w:pPr>
        <w:spacing w:line="400" w:lineRule="exact"/>
        <w:ind w:firstLine="359" w:firstLineChars="171"/>
      </w:pPr>
      <w:r>
        <w:rPr>
          <w:rFonts w:hint="eastAsia"/>
        </w:rPr>
        <w:t>（3）评标办法；</w:t>
      </w:r>
    </w:p>
    <w:p>
      <w:pPr>
        <w:spacing w:line="400" w:lineRule="exact"/>
        <w:ind w:firstLine="359" w:firstLineChars="171"/>
        <w:rPr>
          <w:rFonts w:hint="eastAsia"/>
        </w:rPr>
      </w:pPr>
      <w:r>
        <w:rPr>
          <w:rFonts w:hint="eastAsia"/>
        </w:rPr>
        <w:t>（4）合同条款及格式；</w:t>
      </w:r>
    </w:p>
    <w:p>
      <w:pPr>
        <w:spacing w:line="400" w:lineRule="exact"/>
        <w:ind w:firstLine="359" w:firstLineChars="171"/>
        <w:rPr>
          <w:rFonts w:hint="eastAsia"/>
        </w:rPr>
      </w:pPr>
      <w:r>
        <w:rPr>
          <w:rFonts w:hint="eastAsia"/>
        </w:rPr>
        <w:t>（5）发包人要求；</w:t>
      </w:r>
    </w:p>
    <w:p>
      <w:pPr>
        <w:spacing w:line="400" w:lineRule="exact"/>
        <w:ind w:firstLine="359" w:firstLineChars="171"/>
      </w:pPr>
      <w:r>
        <w:rPr>
          <w:rFonts w:hint="eastAsia"/>
        </w:rPr>
        <w:t>（6）发包人提供的资料和条件；</w:t>
      </w:r>
    </w:p>
    <w:p>
      <w:pPr>
        <w:spacing w:line="400" w:lineRule="exact"/>
        <w:ind w:firstLine="359" w:firstLineChars="171"/>
      </w:pPr>
      <w:r>
        <w:rPr>
          <w:rFonts w:hint="eastAsia"/>
        </w:rPr>
        <w:t>（7）投标文件格式；</w:t>
      </w:r>
    </w:p>
    <w:p>
      <w:pPr>
        <w:spacing w:line="400" w:lineRule="exact"/>
        <w:ind w:firstLine="359" w:firstLineChars="171"/>
      </w:pPr>
      <w:r>
        <w:rPr>
          <w:rFonts w:hint="eastAsia"/>
        </w:rPr>
        <w:t>（8）投标人须知前附表规定的其他资料。</w:t>
      </w:r>
    </w:p>
    <w:p>
      <w:pPr>
        <w:spacing w:line="400" w:lineRule="exact"/>
        <w:ind w:firstLine="420" w:firstLineChars="200"/>
      </w:pPr>
      <w:r>
        <w:rPr>
          <w:rFonts w:hint="eastAsia"/>
        </w:rPr>
        <w:t>根据本章第1.10款、第2.2款和第2.3款对招标文件所作的澄清、修改，构成招标文件的组成部分。</w:t>
      </w:r>
    </w:p>
    <w:p>
      <w:pPr>
        <w:pStyle w:val="5"/>
      </w:pPr>
      <w:bookmarkStart w:id="124" w:name="_Toc152045544"/>
      <w:bookmarkStart w:id="125" w:name="_Toc144974512"/>
      <w:bookmarkStart w:id="126" w:name="_Toc247527569"/>
      <w:bookmarkStart w:id="127" w:name="_Toc247513968"/>
      <w:bookmarkStart w:id="128" w:name="_Toc300834965"/>
      <w:bookmarkStart w:id="129" w:name="_Toc152042320"/>
      <w:r>
        <w:rPr>
          <w:rFonts w:hint="eastAsia" w:ascii="Times New Roman" w:hAnsi="Times New Roman"/>
          <w:lang w:val="en-US" w:eastAsia="zh-CN"/>
        </w:rPr>
        <w:t>2.2</w:t>
      </w:r>
      <w:r>
        <w:rPr>
          <w:rFonts w:hint="eastAsia"/>
        </w:rPr>
        <w:t xml:space="preserve"> 招标文件的澄清</w:t>
      </w:r>
      <w:bookmarkEnd w:id="124"/>
      <w:bookmarkEnd w:id="125"/>
      <w:bookmarkEnd w:id="126"/>
      <w:bookmarkEnd w:id="127"/>
      <w:bookmarkEnd w:id="128"/>
      <w:bookmarkEnd w:id="129"/>
    </w:p>
    <w:p>
      <w:pPr>
        <w:spacing w:line="400" w:lineRule="exact"/>
        <w:ind w:firstLine="420" w:firstLineChars="200"/>
      </w:pPr>
      <w:r>
        <w:rPr>
          <w:rFonts w:hint="eastAsia"/>
        </w:rPr>
        <w:t>2.2.1 投标人应仔细阅读和检查招标文件的全部内容。</w:t>
      </w:r>
      <w:r>
        <w:rPr>
          <w:rFonts w:hint="eastAsia" w:ascii="宋体" w:hAnsi="宋体"/>
          <w:szCs w:val="21"/>
        </w:rPr>
        <w:t>如发现缺页或附件不全，应及时向招标人提出，以便补齐。</w:t>
      </w:r>
      <w:r>
        <w:rPr>
          <w:rFonts w:hint="eastAsia"/>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pPr>
      <w:r>
        <w:rPr>
          <w:rFonts w:hint="eastAsia"/>
        </w:rPr>
        <w:t>2.2.2 招标文件的澄清以书面形式发给所有购买招标文件的投标人，但不指明澄清问题的来源。澄清发出的时间距投标人须知前附表规定的投标截止时间不足15天的，并且澄清内容影响投标文件编制的，将相应延长投标截止时间。</w:t>
      </w:r>
    </w:p>
    <w:p>
      <w:pPr>
        <w:spacing w:line="400" w:lineRule="exact"/>
        <w:ind w:firstLine="420" w:firstLineChars="200"/>
      </w:pPr>
      <w:r>
        <w:rPr>
          <w:rFonts w:hint="eastAsia"/>
        </w:rPr>
        <w:t>2.2.3 投标人在收到澄清后，应在投标人须知前附表规定的时间内以书面形式通知招标人，确认已收到该澄清。</w:t>
      </w:r>
    </w:p>
    <w:p>
      <w:pPr>
        <w:pStyle w:val="5"/>
      </w:pPr>
      <w:bookmarkStart w:id="130" w:name="_Toc144974513"/>
      <w:bookmarkStart w:id="131" w:name="_Toc247513969"/>
      <w:bookmarkStart w:id="132" w:name="_Toc152045545"/>
      <w:bookmarkStart w:id="133" w:name="_Toc247527570"/>
      <w:bookmarkStart w:id="134" w:name="_Toc300834966"/>
      <w:bookmarkStart w:id="135" w:name="_Toc152042321"/>
      <w:r>
        <w:rPr>
          <w:rFonts w:hint="eastAsia" w:ascii="Times New Roman" w:hAnsi="Times New Roman"/>
          <w:lang w:val="en-US" w:eastAsia="zh-CN"/>
        </w:rPr>
        <w:t>2.3</w:t>
      </w:r>
      <w:r>
        <w:rPr>
          <w:rFonts w:hint="eastAsia"/>
        </w:rPr>
        <w:t xml:space="preserve"> 招标文件的修改</w:t>
      </w:r>
      <w:bookmarkEnd w:id="130"/>
      <w:bookmarkEnd w:id="131"/>
      <w:bookmarkEnd w:id="132"/>
      <w:bookmarkEnd w:id="133"/>
      <w:bookmarkEnd w:id="134"/>
      <w:bookmarkEnd w:id="135"/>
    </w:p>
    <w:p>
      <w:pPr>
        <w:spacing w:line="400" w:lineRule="exact"/>
        <w:ind w:firstLine="420" w:firstLineChars="200"/>
      </w:pPr>
      <w:r>
        <w:rPr>
          <w:rFonts w:hint="eastAsia"/>
        </w:rPr>
        <w:t xml:space="preserve">2.3.1 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pPr>
        <w:spacing w:line="400" w:lineRule="exact"/>
        <w:ind w:firstLine="420" w:firstLineChars="200"/>
      </w:pPr>
      <w:r>
        <w:rPr>
          <w:rFonts w:hint="eastAsia"/>
        </w:rPr>
        <w:t>2.3.2 投标人收到修改内容后，应在投标人须知前附表规定的时间内以书面形式通知招标人，确认已收到该修改。</w:t>
      </w:r>
    </w:p>
    <w:p>
      <w:pPr>
        <w:pStyle w:val="3"/>
      </w:pPr>
      <w:bookmarkStart w:id="136" w:name="_Toc152042322"/>
      <w:bookmarkStart w:id="137" w:name="_Toc152045546"/>
      <w:bookmarkStart w:id="138" w:name="_Toc300834967"/>
      <w:bookmarkStart w:id="139" w:name="_Toc247527571"/>
      <w:bookmarkStart w:id="140" w:name="_Toc247513970"/>
      <w:bookmarkStart w:id="141" w:name="_Toc144974514"/>
      <w:r>
        <w:rPr>
          <w:rFonts w:hint="eastAsia"/>
        </w:rPr>
        <w:t>3. 投标文件</w:t>
      </w:r>
      <w:bookmarkEnd w:id="136"/>
      <w:bookmarkEnd w:id="137"/>
      <w:bookmarkEnd w:id="138"/>
      <w:bookmarkEnd w:id="139"/>
      <w:bookmarkEnd w:id="140"/>
      <w:bookmarkEnd w:id="141"/>
    </w:p>
    <w:p>
      <w:pPr>
        <w:pStyle w:val="5"/>
        <w:rPr>
          <w:rFonts w:hint="eastAsia" w:ascii="宋体"/>
          <w:color w:val="000000"/>
          <w:highlight w:val="red"/>
        </w:rPr>
      </w:pPr>
      <w:bookmarkStart w:id="142" w:name="_Toc152042323"/>
      <w:bookmarkStart w:id="143" w:name="_Toc144974515"/>
      <w:bookmarkStart w:id="144" w:name="_Toc300834968"/>
      <w:bookmarkStart w:id="145" w:name="_Toc247527572"/>
      <w:bookmarkStart w:id="146" w:name="_Toc247513971"/>
      <w:bookmarkStart w:id="147" w:name="_Toc152045547"/>
      <w:r>
        <w:rPr>
          <w:rFonts w:hint="eastAsia" w:ascii="Times New Roman" w:hAnsi="Times New Roman"/>
          <w:lang w:val="en-US" w:eastAsia="zh-CN"/>
        </w:rPr>
        <w:t>3.1</w:t>
      </w:r>
      <w:r>
        <w:rPr>
          <w:rFonts w:hint="eastAsia"/>
        </w:rPr>
        <w:t xml:space="preserve"> 投标文件的组成</w:t>
      </w:r>
      <w:bookmarkEnd w:id="142"/>
      <w:bookmarkEnd w:id="143"/>
      <w:bookmarkEnd w:id="144"/>
      <w:bookmarkEnd w:id="145"/>
      <w:bookmarkEnd w:id="146"/>
      <w:bookmarkEnd w:id="147"/>
    </w:p>
    <w:p>
      <w:pPr>
        <w:spacing w:line="400" w:lineRule="exact"/>
      </w:pPr>
      <w:r>
        <w:rPr>
          <w:rFonts w:hint="eastAsia"/>
        </w:rPr>
        <w:t>3.1.1 投标文件应包括下列内容：</w:t>
      </w:r>
    </w:p>
    <w:p>
      <w:pPr>
        <w:spacing w:line="400" w:lineRule="exact"/>
        <w:ind w:firstLine="359" w:firstLineChars="171"/>
      </w:pPr>
      <w:r>
        <w:rPr>
          <w:rFonts w:hint="eastAsia"/>
        </w:rPr>
        <w:t>（1）投标函及投标函附录；</w:t>
      </w:r>
    </w:p>
    <w:p>
      <w:pPr>
        <w:spacing w:line="400" w:lineRule="exact"/>
        <w:ind w:firstLine="359" w:firstLineChars="171"/>
      </w:pPr>
      <w:r>
        <w:rPr>
          <w:rFonts w:hint="eastAsia"/>
        </w:rPr>
        <w:t>（2）法定代表人身份证明或附有法定代表人身份证明的授权委托书；</w:t>
      </w:r>
    </w:p>
    <w:p>
      <w:pPr>
        <w:spacing w:line="400" w:lineRule="exact"/>
        <w:ind w:firstLine="359" w:firstLineChars="171"/>
      </w:pPr>
      <w:r>
        <w:rPr>
          <w:rFonts w:hint="eastAsia"/>
        </w:rPr>
        <w:t>（3）联合体协议书；</w:t>
      </w:r>
    </w:p>
    <w:p>
      <w:pPr>
        <w:spacing w:line="400" w:lineRule="exact"/>
        <w:ind w:firstLine="359" w:firstLineChars="171"/>
        <w:rPr>
          <w:rFonts w:hint="eastAsia"/>
        </w:rPr>
      </w:pPr>
      <w:r>
        <w:rPr>
          <w:rFonts w:hint="eastAsia"/>
        </w:rPr>
        <w:t>（4）投标保证金；</w:t>
      </w:r>
    </w:p>
    <w:p>
      <w:pPr>
        <w:spacing w:line="400" w:lineRule="exact"/>
        <w:ind w:firstLine="359" w:firstLineChars="171"/>
        <w:rPr>
          <w:rFonts w:hint="eastAsia"/>
        </w:rPr>
      </w:pPr>
      <w:r>
        <w:rPr>
          <w:rFonts w:hint="eastAsia"/>
        </w:rPr>
        <w:t>（</w:t>
      </w:r>
      <w:r>
        <w:rPr>
          <w:rFonts w:hint="eastAsia"/>
          <w:lang w:val="en-US" w:eastAsia="zh-CN"/>
        </w:rPr>
        <w:t>5</w:t>
      </w:r>
      <w:r>
        <w:rPr>
          <w:rFonts w:hint="eastAsia"/>
        </w:rPr>
        <w:t>）承包人实施计划；</w:t>
      </w:r>
    </w:p>
    <w:p>
      <w:pPr>
        <w:spacing w:line="400" w:lineRule="exact"/>
        <w:ind w:firstLine="359" w:firstLineChars="171"/>
      </w:pPr>
      <w:r>
        <w:rPr>
          <w:rFonts w:hint="eastAsia"/>
        </w:rPr>
        <w:t>（</w:t>
      </w:r>
      <w:r>
        <w:rPr>
          <w:rFonts w:hint="eastAsia"/>
          <w:lang w:val="en-US" w:eastAsia="zh-CN"/>
        </w:rPr>
        <w:t>6</w:t>
      </w:r>
      <w:r>
        <w:rPr>
          <w:rFonts w:hint="eastAsia"/>
        </w:rPr>
        <w:t>）资格审查资料；</w:t>
      </w:r>
    </w:p>
    <w:p>
      <w:pPr>
        <w:spacing w:line="400" w:lineRule="exact"/>
        <w:ind w:firstLine="359" w:firstLineChars="171"/>
      </w:pPr>
      <w:r>
        <w:rPr>
          <w:rFonts w:hint="eastAsia"/>
        </w:rPr>
        <w:t>（</w:t>
      </w:r>
      <w:r>
        <w:rPr>
          <w:rFonts w:hint="eastAsia"/>
          <w:lang w:val="en-US" w:eastAsia="zh-CN"/>
        </w:rPr>
        <w:t>7</w:t>
      </w:r>
      <w:r>
        <w:rPr>
          <w:rFonts w:hint="eastAsia"/>
        </w:rPr>
        <w:t>）投标人须知前附表规定的其他资料。</w:t>
      </w:r>
    </w:p>
    <w:p>
      <w:pPr>
        <w:spacing w:line="400" w:lineRule="exact"/>
        <w:ind w:firstLine="359" w:firstLineChars="171"/>
      </w:pPr>
      <w:r>
        <w:rPr>
          <w:rFonts w:hint="eastAsia"/>
        </w:rPr>
        <w:t xml:space="preserve">3.1.2 投标人须知前附表规定不接受联合体投标的，或投标人没有组成联合体的，投标文件不包括本章第3.1.1（3）目所指的联合体协议书。 </w:t>
      </w:r>
    </w:p>
    <w:p>
      <w:pPr>
        <w:pStyle w:val="5"/>
      </w:pPr>
      <w:bookmarkStart w:id="148" w:name="_Toc152045548"/>
      <w:bookmarkStart w:id="149" w:name="_Toc152042324"/>
      <w:bookmarkStart w:id="150" w:name="_Toc247527573"/>
      <w:bookmarkStart w:id="151" w:name="_Toc247513972"/>
      <w:bookmarkStart w:id="152" w:name="_Toc300834969"/>
      <w:bookmarkStart w:id="153" w:name="_Toc144974516"/>
      <w:r>
        <w:rPr>
          <w:rFonts w:hint="eastAsia" w:ascii="Times New Roman" w:hAnsi="Times New Roman"/>
          <w:lang w:val="en-US" w:eastAsia="zh-CN"/>
        </w:rPr>
        <w:t>3.2</w:t>
      </w:r>
      <w:r>
        <w:rPr>
          <w:rFonts w:hint="eastAsia"/>
        </w:rPr>
        <w:t xml:space="preserve"> 投标报价</w:t>
      </w:r>
      <w:bookmarkEnd w:id="148"/>
      <w:bookmarkEnd w:id="149"/>
      <w:bookmarkEnd w:id="150"/>
      <w:bookmarkEnd w:id="151"/>
      <w:bookmarkEnd w:id="152"/>
      <w:bookmarkEnd w:id="153"/>
      <w:r>
        <w:rPr>
          <w:rFonts w:hint="eastAsia"/>
        </w:rPr>
        <w:t xml:space="preserve"> </w:t>
      </w:r>
    </w:p>
    <w:p>
      <w:pPr>
        <w:spacing w:line="400" w:lineRule="exact"/>
        <w:ind w:firstLine="420" w:firstLineChars="200"/>
        <w:rPr>
          <w:rFonts w:hint="eastAsia"/>
        </w:rPr>
      </w:pPr>
      <w:r>
        <w:rPr>
          <w:rFonts w:hint="eastAsia"/>
        </w:rPr>
        <w:t>3.2.1 投标人应按第七章“投标文件格式”的要求填写价格清单。</w:t>
      </w:r>
    </w:p>
    <w:p>
      <w:pPr>
        <w:spacing w:line="440" w:lineRule="exact"/>
        <w:ind w:firstLine="420" w:firstLineChars="200"/>
        <w:rPr>
          <w:rFonts w:hint="eastAsia"/>
          <w:szCs w:val="21"/>
        </w:rPr>
      </w:pPr>
      <w:r>
        <w:rPr>
          <w:rFonts w:hint="eastAsia"/>
        </w:rPr>
        <w:t xml:space="preserve">3.2.2 </w:t>
      </w:r>
      <w:r>
        <w:rPr>
          <w:rFonts w:hint="eastAsia"/>
          <w:szCs w:val="21"/>
        </w:rPr>
        <w:t>投标人应充分了解施工场地的</w:t>
      </w:r>
      <w:r>
        <w:rPr>
          <w:szCs w:val="21"/>
        </w:rPr>
        <w:t>位置、周边</w:t>
      </w:r>
      <w:r>
        <w:rPr>
          <w:rFonts w:hint="eastAsia"/>
          <w:szCs w:val="21"/>
        </w:rPr>
        <w:t>环境</w:t>
      </w:r>
      <w:r>
        <w:rPr>
          <w:szCs w:val="21"/>
        </w:rPr>
        <w:t>、道路、装卸、保管、安装限制</w:t>
      </w:r>
      <w:r>
        <w:rPr>
          <w:rFonts w:hint="eastAsia"/>
          <w:szCs w:val="21"/>
        </w:rPr>
        <w:t>以</w:t>
      </w:r>
      <w:r>
        <w:rPr>
          <w:szCs w:val="21"/>
        </w:rPr>
        <w:t>及影响</w:t>
      </w:r>
      <w:r>
        <w:rPr>
          <w:rFonts w:hint="eastAsia"/>
          <w:szCs w:val="21"/>
        </w:rPr>
        <w:t>投标报价的其他要素。投标人</w:t>
      </w:r>
      <w:r>
        <w:rPr>
          <w:szCs w:val="21"/>
        </w:rPr>
        <w:t>根据</w:t>
      </w:r>
      <w:r>
        <w:rPr>
          <w:rFonts w:hint="eastAsia"/>
          <w:szCs w:val="21"/>
        </w:rPr>
        <w:t>投标</w:t>
      </w:r>
      <w:r>
        <w:rPr>
          <w:szCs w:val="21"/>
        </w:rPr>
        <w:t>设计</w:t>
      </w:r>
      <w:r>
        <w:rPr>
          <w:rFonts w:hint="eastAsia"/>
          <w:szCs w:val="21"/>
        </w:rPr>
        <w:t>，结合</w:t>
      </w:r>
      <w:r>
        <w:rPr>
          <w:szCs w:val="21"/>
        </w:rPr>
        <w:t>市场情况进行投标报价。</w:t>
      </w:r>
    </w:p>
    <w:p>
      <w:pPr>
        <w:spacing w:line="400" w:lineRule="exact"/>
        <w:ind w:firstLine="420" w:firstLineChars="200"/>
        <w:rPr>
          <w:rFonts w:hint="eastAsia"/>
        </w:rPr>
      </w:pPr>
      <w:r>
        <w:rPr>
          <w:rFonts w:hint="eastAsia"/>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rPr>
          <w:rFonts w:hint="eastAsia"/>
        </w:rPr>
      </w:pPr>
      <w:r>
        <w:rPr>
          <w:rFonts w:hint="eastAsia"/>
        </w:rPr>
        <w:t>3.2.4 招标人设有最高投标限价的，投标人的投标报价不得超过最高投标限价，最高投标限价或其计算方法在投标人须知前附表中载明。</w:t>
      </w:r>
    </w:p>
    <w:p>
      <w:pPr>
        <w:spacing w:line="400" w:lineRule="exact"/>
        <w:ind w:firstLine="420" w:firstLineChars="200"/>
      </w:pPr>
      <w:r>
        <w:rPr>
          <w:rFonts w:hint="eastAsia"/>
        </w:rPr>
        <w:t>3.2.5 投标报价的其他要求见投标人须知前附表。</w:t>
      </w:r>
    </w:p>
    <w:p>
      <w:pPr>
        <w:pStyle w:val="5"/>
      </w:pPr>
      <w:bookmarkStart w:id="154" w:name="_Toc247513973"/>
      <w:bookmarkStart w:id="155" w:name="_Toc144974517"/>
      <w:bookmarkStart w:id="156" w:name="_Toc152042325"/>
      <w:bookmarkStart w:id="157" w:name="_Toc300834970"/>
      <w:bookmarkStart w:id="158" w:name="_Toc247527574"/>
      <w:bookmarkStart w:id="159" w:name="_Toc152045549"/>
      <w:r>
        <w:rPr>
          <w:rFonts w:hint="eastAsia" w:ascii="Times New Roman" w:hAnsi="Times New Roman"/>
          <w:lang w:val="en-US" w:eastAsia="zh-CN"/>
        </w:rPr>
        <w:t>3.3</w:t>
      </w:r>
      <w:r>
        <w:rPr>
          <w:rFonts w:hint="eastAsia"/>
        </w:rPr>
        <w:t xml:space="preserve"> 投标有效期</w:t>
      </w:r>
      <w:bookmarkEnd w:id="154"/>
      <w:bookmarkEnd w:id="155"/>
      <w:bookmarkEnd w:id="156"/>
      <w:bookmarkEnd w:id="157"/>
      <w:bookmarkEnd w:id="158"/>
      <w:bookmarkEnd w:id="159"/>
    </w:p>
    <w:p>
      <w:pPr>
        <w:spacing w:line="400" w:lineRule="exact"/>
        <w:ind w:firstLine="420" w:firstLineChars="200"/>
        <w:rPr>
          <w:rFonts w:hint="eastAsia"/>
        </w:rPr>
      </w:pPr>
      <w:r>
        <w:rPr>
          <w:rFonts w:hint="eastAsia"/>
        </w:rPr>
        <w:t>3.3.1 除投标人须知前附表另有规定外，投标有效期为120天。</w:t>
      </w:r>
    </w:p>
    <w:p>
      <w:pPr>
        <w:spacing w:line="400" w:lineRule="exact"/>
        <w:ind w:firstLine="420" w:firstLineChars="200"/>
      </w:pPr>
      <w:r>
        <w:rPr>
          <w:rFonts w:hint="eastAsia"/>
        </w:rPr>
        <w:t>3.3.2 在投标有效期内，投标人撤销或修改其投标文件的，应承担招标文件和法律规定的责任。</w:t>
      </w:r>
    </w:p>
    <w:p>
      <w:pPr>
        <w:spacing w:line="400" w:lineRule="exact"/>
        <w:ind w:firstLine="420" w:firstLineChars="200"/>
      </w:pPr>
      <w:r>
        <w:rPr>
          <w:rFonts w:hint="eastAsia"/>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5"/>
      </w:pPr>
      <w:bookmarkStart w:id="160" w:name="_Toc300834971"/>
      <w:bookmarkStart w:id="161" w:name="_Toc247513974"/>
      <w:bookmarkStart w:id="162" w:name="_Toc152045550"/>
      <w:bookmarkStart w:id="163" w:name="_Toc144974518"/>
      <w:bookmarkStart w:id="164" w:name="_Toc152042326"/>
      <w:bookmarkStart w:id="165" w:name="_Toc247527575"/>
      <w:r>
        <w:rPr>
          <w:rFonts w:hint="eastAsia" w:ascii="Times New Roman" w:hAnsi="Times New Roman"/>
          <w:lang w:val="en-US" w:eastAsia="zh-CN"/>
        </w:rPr>
        <w:t>3.4</w:t>
      </w:r>
      <w:r>
        <w:rPr>
          <w:rFonts w:hint="eastAsia"/>
        </w:rPr>
        <w:t xml:space="preserve"> 投标保证金</w:t>
      </w:r>
      <w:bookmarkEnd w:id="160"/>
      <w:bookmarkEnd w:id="161"/>
      <w:bookmarkEnd w:id="162"/>
      <w:bookmarkEnd w:id="163"/>
      <w:bookmarkEnd w:id="164"/>
      <w:bookmarkEnd w:id="165"/>
    </w:p>
    <w:p>
      <w:pPr>
        <w:spacing w:line="400" w:lineRule="exact"/>
        <w:ind w:firstLine="420" w:firstLineChars="200"/>
      </w:pPr>
      <w:r>
        <w:rPr>
          <w:rFonts w:hint="eastAsia"/>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spacing w:line="400" w:lineRule="exact"/>
        <w:ind w:firstLine="420" w:firstLineChars="200"/>
      </w:pPr>
      <w:r>
        <w:rPr>
          <w:rFonts w:hint="eastAsia"/>
        </w:rPr>
        <w:t>3.4.2 投标人不按本章第3.4.1项要求提交投标保证金的，评标委员会将否决其投标。</w:t>
      </w:r>
    </w:p>
    <w:p>
      <w:pPr>
        <w:spacing w:line="400" w:lineRule="exact"/>
        <w:ind w:firstLine="420" w:firstLineChars="200"/>
      </w:pPr>
      <w:r>
        <w:rPr>
          <w:rFonts w:hint="eastAsia"/>
        </w:rPr>
        <w:t>3.4.3 招标人与中标人签订合同后5日内，向未中标的投标人和中标人退还投标保证金及同期银行存款利息。</w:t>
      </w:r>
    </w:p>
    <w:p>
      <w:pPr>
        <w:spacing w:line="400" w:lineRule="exact"/>
        <w:ind w:firstLine="420" w:firstLineChars="200"/>
      </w:pPr>
      <w:r>
        <w:rPr>
          <w:rFonts w:hint="eastAsia"/>
        </w:rPr>
        <w:t xml:space="preserve">3.4.4 有下列情形之一的，投标保证金将不予退还： </w:t>
      </w:r>
    </w:p>
    <w:p>
      <w:pPr>
        <w:spacing w:line="400" w:lineRule="exact"/>
        <w:ind w:firstLine="315" w:firstLineChars="150"/>
      </w:pPr>
      <w:r>
        <w:rPr>
          <w:rFonts w:hint="eastAsia"/>
        </w:rPr>
        <w:t>（1）投标人在规定的投标有效期内撤销或修改其投标文件；</w:t>
      </w:r>
    </w:p>
    <w:p>
      <w:pPr>
        <w:spacing w:line="400" w:lineRule="exact"/>
        <w:ind w:firstLine="315" w:firstLineChars="150"/>
      </w:pPr>
      <w:r>
        <w:rPr>
          <w:rFonts w:hint="eastAsia"/>
        </w:rPr>
        <w:t>（2）中标人在收到中标通知书后，无正当理由拒签合同或未按招标文件规定提交履约担保。</w:t>
      </w:r>
    </w:p>
    <w:p>
      <w:pPr>
        <w:pStyle w:val="5"/>
      </w:pPr>
      <w:bookmarkStart w:id="166" w:name="_Toc247513975"/>
      <w:bookmarkStart w:id="167" w:name="_Toc144974519"/>
      <w:bookmarkStart w:id="168" w:name="_Toc300834972"/>
      <w:bookmarkStart w:id="169" w:name="_Toc152045551"/>
      <w:bookmarkStart w:id="170" w:name="_Toc247527576"/>
      <w:bookmarkStart w:id="171" w:name="_Toc152042327"/>
      <w:r>
        <w:rPr>
          <w:rFonts w:hint="eastAsia" w:ascii="Times New Roman" w:hAnsi="Times New Roman"/>
          <w:lang w:val="en-US" w:eastAsia="zh-CN"/>
        </w:rPr>
        <w:t>3.5</w:t>
      </w:r>
      <w:r>
        <w:rPr>
          <w:rFonts w:hint="eastAsia"/>
        </w:rPr>
        <w:t xml:space="preserve"> 资格审查资料（适用于已进行资格预审的）</w:t>
      </w:r>
      <w:bookmarkEnd w:id="166"/>
      <w:bookmarkEnd w:id="167"/>
      <w:bookmarkEnd w:id="168"/>
      <w:bookmarkEnd w:id="169"/>
      <w:bookmarkEnd w:id="170"/>
      <w:bookmarkEnd w:id="171"/>
    </w:p>
    <w:p>
      <w:pPr>
        <w:spacing w:line="400" w:lineRule="exact"/>
        <w:ind w:firstLine="420" w:firstLineChars="200"/>
      </w:pPr>
      <w:r>
        <w:rPr>
          <w:rFonts w:hint="eastAsia"/>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pPr>
      <w:bookmarkStart w:id="172" w:name="_Toc247513976"/>
      <w:bookmarkStart w:id="173" w:name="_Toc144974520"/>
      <w:bookmarkStart w:id="174" w:name="_Toc247527577"/>
      <w:bookmarkStart w:id="175" w:name="_Toc152042328"/>
      <w:bookmarkStart w:id="176" w:name="_Toc152045552"/>
      <w:bookmarkStart w:id="177" w:name="_Toc300834973"/>
      <w:r>
        <w:rPr>
          <w:rFonts w:hint="eastAsia" w:ascii="Times New Roman" w:hAnsi="Times New Roman"/>
          <w:lang w:val="en-US" w:eastAsia="zh-CN"/>
        </w:rPr>
        <w:t>3.5</w:t>
      </w:r>
      <w:r>
        <w:rPr>
          <w:rFonts w:hint="eastAsia"/>
        </w:rPr>
        <w:t xml:space="preserve"> 资格审查资料（适用于未进行资格预审的）</w:t>
      </w:r>
      <w:bookmarkEnd w:id="172"/>
      <w:bookmarkEnd w:id="173"/>
      <w:bookmarkEnd w:id="174"/>
      <w:bookmarkEnd w:id="175"/>
      <w:bookmarkEnd w:id="176"/>
      <w:bookmarkEnd w:id="177"/>
    </w:p>
    <w:p>
      <w:pPr>
        <w:spacing w:line="400" w:lineRule="exact"/>
        <w:ind w:firstLine="420" w:firstLineChars="200"/>
      </w:pPr>
      <w:r>
        <w:rPr>
          <w:rFonts w:hint="eastAsia"/>
        </w:rPr>
        <w:t>3.5.1 “投标人基本情况表”应附投标人营业执照及其年检合格的证明材料、资质证书副本等材料的复印件。</w:t>
      </w:r>
    </w:p>
    <w:p>
      <w:pPr>
        <w:spacing w:line="400" w:lineRule="exact"/>
        <w:ind w:firstLine="420" w:firstLineChars="200"/>
      </w:pPr>
      <w:r>
        <w:rPr>
          <w:rFonts w:hint="eastAsia"/>
        </w:rPr>
        <w:t>3.5.2 “近年财务状况表”应附经会计师事务所或审计机构审计的财务会计报表，包括资产负债表、现金流量表、利润表和财务情况说明书等复印件，具体年份要求见投标人须知前附表。</w:t>
      </w:r>
    </w:p>
    <w:p>
      <w:pPr>
        <w:spacing w:line="400" w:lineRule="exact"/>
        <w:ind w:firstLine="420" w:firstLineChars="200"/>
      </w:pPr>
      <w:r>
        <w:rPr>
          <w:rFonts w:hint="eastAsia"/>
        </w:rPr>
        <w:t>3.5.3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印件。具体年份要求见投标人须知前附表，每张表格只填写一个项目，并标明序号。</w:t>
      </w:r>
    </w:p>
    <w:p>
      <w:pPr>
        <w:spacing w:line="400" w:lineRule="exact"/>
        <w:ind w:firstLine="420" w:firstLineChars="200"/>
      </w:pPr>
      <w:r>
        <w:rPr>
          <w:rFonts w:hint="eastAsia"/>
        </w:rPr>
        <w:t>3.5.4 “正在实施和新承接的项目情况表”应附中标通知书和（或）合同协议书复印件。每张表格只填写一个项目，并标明序号。</w:t>
      </w:r>
    </w:p>
    <w:p>
      <w:pPr>
        <w:spacing w:line="400" w:lineRule="exact"/>
        <w:ind w:firstLine="420" w:firstLineChars="200"/>
      </w:pPr>
      <w:r>
        <w:rPr>
          <w:rFonts w:hint="eastAsia"/>
        </w:rPr>
        <w:t>3.5.5 “近年发生的重大诉讼及仲裁情况”应说明相关情况，并附法院或仲裁机构作出的判决、裁决等有关法律文书复印件，具体年份要求见投标人须知前附表。</w:t>
      </w:r>
    </w:p>
    <w:p>
      <w:pPr>
        <w:spacing w:line="400" w:lineRule="exact"/>
        <w:ind w:firstLine="420" w:firstLineChars="200"/>
      </w:pPr>
      <w:r>
        <w:rPr>
          <w:rFonts w:hint="eastAsia"/>
        </w:rPr>
        <w:t>3.5.6 投标人须知前附表规定接受联合体投标的，本章第3.5.1项至第3.5.5项规定的表格和资料应包括联合体各方相关情况。</w:t>
      </w:r>
    </w:p>
    <w:p>
      <w:pPr>
        <w:pStyle w:val="5"/>
      </w:pPr>
      <w:bookmarkStart w:id="178" w:name="_Toc144974521"/>
      <w:bookmarkStart w:id="179" w:name="_Toc300834974"/>
      <w:bookmarkStart w:id="180" w:name="_Toc247513977"/>
      <w:bookmarkStart w:id="181" w:name="_Toc247527578"/>
      <w:bookmarkStart w:id="182" w:name="_Toc152042329"/>
      <w:bookmarkStart w:id="183" w:name="_Toc152045553"/>
      <w:r>
        <w:rPr>
          <w:rFonts w:hint="eastAsia" w:ascii="Times New Roman" w:hAnsi="Times New Roman"/>
          <w:lang w:val="en-US" w:eastAsia="zh-CN"/>
        </w:rPr>
        <w:t>3.6</w:t>
      </w:r>
      <w:r>
        <w:rPr>
          <w:rFonts w:hint="eastAsia"/>
        </w:rPr>
        <w:t xml:space="preserve"> 备选投标方案</w:t>
      </w:r>
      <w:bookmarkEnd w:id="178"/>
      <w:bookmarkEnd w:id="179"/>
      <w:bookmarkEnd w:id="180"/>
      <w:bookmarkEnd w:id="181"/>
      <w:bookmarkEnd w:id="182"/>
      <w:bookmarkEnd w:id="183"/>
    </w:p>
    <w:p>
      <w:pPr>
        <w:spacing w:line="400" w:lineRule="exact"/>
        <w:ind w:firstLine="420" w:firstLineChars="200"/>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pPr>
      <w:bookmarkStart w:id="184" w:name="_Toc300834975"/>
      <w:bookmarkStart w:id="185" w:name="_Toc152042330"/>
      <w:bookmarkStart w:id="186" w:name="_Toc247513978"/>
      <w:bookmarkStart w:id="187" w:name="_Toc247527579"/>
      <w:bookmarkStart w:id="188" w:name="_Toc152045554"/>
      <w:bookmarkStart w:id="189" w:name="_Toc144974522"/>
      <w:r>
        <w:rPr>
          <w:rFonts w:hint="eastAsia" w:ascii="Times New Roman" w:hAnsi="Times New Roman"/>
          <w:lang w:val="en-US" w:eastAsia="zh-CN"/>
        </w:rPr>
        <w:t>3.7</w:t>
      </w:r>
      <w:r>
        <w:rPr>
          <w:rFonts w:hint="eastAsia"/>
        </w:rPr>
        <w:t xml:space="preserve"> 投标文件的编制</w:t>
      </w:r>
      <w:bookmarkEnd w:id="184"/>
      <w:bookmarkEnd w:id="185"/>
      <w:bookmarkEnd w:id="186"/>
      <w:bookmarkEnd w:id="187"/>
      <w:bookmarkEnd w:id="188"/>
      <w:bookmarkEnd w:id="189"/>
    </w:p>
    <w:p>
      <w:pPr>
        <w:spacing w:line="400" w:lineRule="exact"/>
        <w:ind w:firstLine="420" w:firstLineChars="200"/>
      </w:pPr>
      <w:r>
        <w:rPr>
          <w:rFonts w:hint="eastAsia"/>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szCs w:val="21"/>
        </w:rPr>
      </w:pPr>
      <w:r>
        <w:rPr>
          <w:rFonts w:hint="eastAsia"/>
        </w:rPr>
        <w:t>3.7.2 投标文件应当对招标文件有关</w:t>
      </w:r>
      <w:r>
        <w:rPr>
          <w:rFonts w:hint="eastAsia"/>
          <w:szCs w:val="21"/>
        </w:rPr>
        <w:t>招标范围、投标有效期、工期、质量标准、发包人要求等实质性内容作出响应。</w:t>
      </w:r>
    </w:p>
    <w:p>
      <w:pPr>
        <w:spacing w:line="400" w:lineRule="exact"/>
        <w:ind w:firstLine="420" w:firstLineChars="200"/>
      </w:pPr>
      <w:r>
        <w:rPr>
          <w:rFonts w:hint="eastAsia"/>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pPr>
      <w:r>
        <w:rPr>
          <w:rFonts w:hint="eastAsia"/>
        </w:rPr>
        <w:t>3.7.4 投标文件正本一份</w:t>
      </w:r>
      <w:r>
        <w:rPr>
          <w:rFonts w:hint="eastAsia"/>
          <w:lang w:eastAsia="zh-CN"/>
        </w:rPr>
        <w:t>，</w:t>
      </w:r>
      <w:r>
        <w:rPr>
          <w:rFonts w:hint="eastAsia"/>
        </w:rPr>
        <w:t xml:space="preserve"> 副本份数见投标人须知前附表。正本和副本的封面上应清楚地标记“正本”或“副本”的字样。当副本和正本不一致时，以正本为准。</w:t>
      </w:r>
    </w:p>
    <w:p>
      <w:pPr>
        <w:spacing w:line="400" w:lineRule="exact"/>
        <w:ind w:firstLine="420" w:firstLineChars="200"/>
      </w:pPr>
      <w:r>
        <w:rPr>
          <w:rFonts w:hint="eastAsia"/>
        </w:rPr>
        <w:t>3.7.5 投标文件的正本与副本应分别装订成册，具体装订要求见投标人须知前附表规定。</w:t>
      </w:r>
    </w:p>
    <w:p>
      <w:pPr>
        <w:pStyle w:val="3"/>
      </w:pPr>
      <w:bookmarkStart w:id="190" w:name="_Toc300834976"/>
      <w:bookmarkStart w:id="191" w:name="_Toc247513979"/>
      <w:bookmarkStart w:id="192" w:name="_Toc247527580"/>
      <w:bookmarkStart w:id="193" w:name="_Toc152042331"/>
      <w:bookmarkStart w:id="194" w:name="_Toc144974523"/>
      <w:bookmarkStart w:id="195" w:name="_Toc152045555"/>
      <w:r>
        <w:rPr>
          <w:rFonts w:hint="eastAsia"/>
        </w:rPr>
        <w:t>4. 投标</w:t>
      </w:r>
      <w:bookmarkEnd w:id="190"/>
      <w:bookmarkEnd w:id="191"/>
      <w:bookmarkEnd w:id="192"/>
      <w:bookmarkEnd w:id="193"/>
      <w:bookmarkEnd w:id="194"/>
      <w:bookmarkEnd w:id="195"/>
    </w:p>
    <w:p>
      <w:pPr>
        <w:pStyle w:val="5"/>
      </w:pPr>
      <w:bookmarkStart w:id="196" w:name="_Toc300834977"/>
      <w:bookmarkStart w:id="197" w:name="_Toc144974524"/>
      <w:bookmarkStart w:id="198" w:name="_Toc152042332"/>
      <w:bookmarkStart w:id="199" w:name="_Toc247513980"/>
      <w:bookmarkStart w:id="200" w:name="_Toc152045556"/>
      <w:bookmarkStart w:id="201" w:name="_Toc247527581"/>
      <w:r>
        <w:rPr>
          <w:rFonts w:hint="eastAsia" w:ascii="Times New Roman" w:hAnsi="Times New Roman"/>
          <w:lang w:val="en-US" w:eastAsia="zh-CN"/>
        </w:rPr>
        <w:t>4.1</w:t>
      </w:r>
      <w:r>
        <w:rPr>
          <w:rFonts w:hint="eastAsia"/>
        </w:rPr>
        <w:t xml:space="preserve"> 投标文件的密封和标记</w:t>
      </w:r>
      <w:bookmarkEnd w:id="196"/>
      <w:bookmarkEnd w:id="197"/>
      <w:bookmarkEnd w:id="198"/>
      <w:bookmarkEnd w:id="199"/>
      <w:bookmarkEnd w:id="200"/>
      <w:bookmarkEnd w:id="201"/>
    </w:p>
    <w:p>
      <w:pPr>
        <w:spacing w:line="400" w:lineRule="exact"/>
        <w:ind w:firstLine="420" w:firstLineChars="200"/>
      </w:pPr>
      <w:r>
        <w:rPr>
          <w:rFonts w:hint="eastAsia"/>
        </w:rPr>
        <w:t>4.1.1 投标文件应进行包装、加贴封条，并在封套的封口处加盖投标人单位章。</w:t>
      </w:r>
    </w:p>
    <w:p>
      <w:pPr>
        <w:spacing w:line="400" w:lineRule="exact"/>
        <w:ind w:firstLine="420" w:firstLineChars="200"/>
      </w:pPr>
      <w:r>
        <w:rPr>
          <w:rFonts w:hint="eastAsia"/>
        </w:rPr>
        <w:t>4.1.2 投标文件封套上应写明的内容见投标人须知前附表。</w:t>
      </w:r>
    </w:p>
    <w:p>
      <w:pPr>
        <w:spacing w:line="400" w:lineRule="exact"/>
        <w:ind w:firstLine="420" w:firstLineChars="200"/>
      </w:pPr>
      <w:r>
        <w:rPr>
          <w:rFonts w:hint="eastAsia"/>
        </w:rPr>
        <w:t>4.1.3 未按本章第4.1.1项或第4.1.2项要求密封和加写标记的投标文件，招标人不予受理。</w:t>
      </w:r>
    </w:p>
    <w:p>
      <w:pPr>
        <w:pStyle w:val="5"/>
      </w:pPr>
      <w:bookmarkStart w:id="202" w:name="_Toc247527582"/>
      <w:bookmarkStart w:id="203" w:name="_Toc144974525"/>
      <w:bookmarkStart w:id="204" w:name="_Toc152042333"/>
      <w:bookmarkStart w:id="205" w:name="_Toc152045557"/>
      <w:bookmarkStart w:id="206" w:name="_Toc300834978"/>
      <w:bookmarkStart w:id="207" w:name="_Toc247513981"/>
      <w:r>
        <w:rPr>
          <w:rFonts w:hint="eastAsia" w:ascii="Times New Roman" w:hAnsi="Times New Roman"/>
          <w:lang w:val="en-US" w:eastAsia="zh-CN"/>
        </w:rPr>
        <w:t>4.2</w:t>
      </w:r>
      <w:r>
        <w:rPr>
          <w:rFonts w:hint="eastAsia"/>
        </w:rPr>
        <w:t xml:space="preserve"> 投标文件的递交</w:t>
      </w:r>
      <w:bookmarkEnd w:id="202"/>
      <w:bookmarkEnd w:id="203"/>
      <w:bookmarkEnd w:id="204"/>
      <w:bookmarkEnd w:id="205"/>
      <w:bookmarkEnd w:id="206"/>
      <w:bookmarkEnd w:id="207"/>
    </w:p>
    <w:p>
      <w:pPr>
        <w:spacing w:line="400" w:lineRule="exact"/>
        <w:ind w:firstLine="420" w:firstLineChars="200"/>
      </w:pPr>
      <w:r>
        <w:rPr>
          <w:rFonts w:hint="eastAsia"/>
        </w:rPr>
        <w:t>4.2.1 投标人应在第2.2.2项规定的投标截止时间前递交投标文件。</w:t>
      </w:r>
    </w:p>
    <w:p>
      <w:pPr>
        <w:spacing w:line="400" w:lineRule="exact"/>
        <w:ind w:firstLine="420" w:firstLineChars="200"/>
      </w:pPr>
      <w:r>
        <w:rPr>
          <w:rFonts w:hint="eastAsia"/>
        </w:rPr>
        <w:t>4.2.2 投标人递交投标文件的地点：见投标人须知前附表。</w:t>
      </w:r>
    </w:p>
    <w:p>
      <w:pPr>
        <w:spacing w:line="400" w:lineRule="exact"/>
        <w:ind w:firstLine="420" w:firstLineChars="200"/>
      </w:pPr>
      <w:r>
        <w:rPr>
          <w:rFonts w:hint="eastAsia"/>
        </w:rPr>
        <w:t>4.2.3 除投标人须知前附表另有规定外，投标人所递交的投标文件不予退还。</w:t>
      </w:r>
    </w:p>
    <w:p>
      <w:pPr>
        <w:spacing w:line="400" w:lineRule="exact"/>
        <w:ind w:firstLine="420" w:firstLineChars="200"/>
      </w:pPr>
      <w:r>
        <w:rPr>
          <w:rFonts w:hint="eastAsia"/>
        </w:rPr>
        <w:t>4.2.4 招标人收到投标文件后，向投标人出具签收凭证。</w:t>
      </w:r>
    </w:p>
    <w:p>
      <w:pPr>
        <w:spacing w:line="400" w:lineRule="exact"/>
        <w:ind w:firstLine="420" w:firstLineChars="200"/>
      </w:pPr>
      <w:r>
        <w:rPr>
          <w:rFonts w:hint="eastAsia"/>
        </w:rPr>
        <w:t>4.2.5 逾期送达的或者未送达指定地点的投标文件，招标人不予受理。</w:t>
      </w:r>
    </w:p>
    <w:p>
      <w:pPr>
        <w:pStyle w:val="5"/>
      </w:pPr>
      <w:bookmarkStart w:id="208" w:name="_Toc144974526"/>
      <w:bookmarkStart w:id="209" w:name="_Toc247513982"/>
      <w:bookmarkStart w:id="210" w:name="_Toc247527583"/>
      <w:bookmarkStart w:id="211" w:name="_Toc152042334"/>
      <w:bookmarkStart w:id="212" w:name="_Toc152045558"/>
      <w:bookmarkStart w:id="213" w:name="_Toc300834979"/>
      <w:r>
        <w:rPr>
          <w:rFonts w:hint="eastAsia" w:ascii="Times New Roman" w:hAnsi="Times New Roman"/>
          <w:lang w:val="en-US" w:eastAsia="zh-CN"/>
        </w:rPr>
        <w:t>4.3</w:t>
      </w:r>
      <w:r>
        <w:rPr>
          <w:rFonts w:hint="eastAsia"/>
        </w:rPr>
        <w:t xml:space="preserve"> 投标文件的修改与撤回</w:t>
      </w:r>
      <w:bookmarkEnd w:id="208"/>
      <w:bookmarkEnd w:id="209"/>
      <w:bookmarkEnd w:id="210"/>
      <w:bookmarkEnd w:id="211"/>
      <w:bookmarkEnd w:id="212"/>
      <w:bookmarkEnd w:id="213"/>
    </w:p>
    <w:p>
      <w:pPr>
        <w:spacing w:line="400" w:lineRule="exact"/>
        <w:ind w:firstLine="420" w:firstLineChars="200"/>
      </w:pPr>
      <w:r>
        <w:rPr>
          <w:rFonts w:hint="eastAsia"/>
        </w:rPr>
        <w:t>4.3.1 在本章第2.2.2项规定的投标截止时间前，投标人可以修改或撤回已递交的投标文件，但应以书面形式通知招标人。</w:t>
      </w:r>
    </w:p>
    <w:p>
      <w:pPr>
        <w:spacing w:line="400" w:lineRule="exact"/>
        <w:ind w:firstLine="420" w:firstLineChars="200"/>
        <w:rPr>
          <w:rFonts w:hint="eastAsia"/>
        </w:rPr>
      </w:pPr>
      <w:r>
        <w:rPr>
          <w:rFonts w:hint="eastAsia"/>
        </w:rPr>
        <w:t>4.3.2 投标人修改或撤回已递交投标文件的书面通知应按照本章第3.7.3项的要求签字或盖章。招标人收到书面通知后，向投标人出具签收凭证。</w:t>
      </w:r>
    </w:p>
    <w:p>
      <w:pPr>
        <w:spacing w:line="400" w:lineRule="exact"/>
        <w:ind w:firstLine="420" w:firstLineChars="200"/>
        <w:rPr>
          <w:rFonts w:hint="eastAsia"/>
        </w:rPr>
      </w:pPr>
      <w:r>
        <w:rPr>
          <w:rFonts w:hint="eastAsia"/>
        </w:rPr>
        <w:t>4.3.3 投标人撤回投标文件的，招标人自收到投标人书面撤回通知之日起5日内退还已收取的投标保证金。</w:t>
      </w:r>
    </w:p>
    <w:p>
      <w:pPr>
        <w:spacing w:line="400" w:lineRule="exact"/>
        <w:ind w:firstLine="420" w:firstLineChars="200"/>
      </w:pPr>
      <w:r>
        <w:rPr>
          <w:rFonts w:hint="eastAsia"/>
        </w:rPr>
        <w:t>4.3.4 修改的内容为投标文件的组成部分。修改的投标文件应按照本章第3条、第4条规定进行编制、密封、标记和递交，并标明“修改”字样。</w:t>
      </w:r>
    </w:p>
    <w:p>
      <w:pPr>
        <w:pStyle w:val="3"/>
      </w:pPr>
      <w:bookmarkStart w:id="214" w:name="_Toc300834980"/>
      <w:bookmarkStart w:id="215" w:name="_Toc247513983"/>
      <w:bookmarkStart w:id="216" w:name="_Toc152042335"/>
      <w:bookmarkStart w:id="217" w:name="_Toc247527584"/>
      <w:bookmarkStart w:id="218" w:name="_Toc144974527"/>
      <w:bookmarkStart w:id="219" w:name="_Toc152045559"/>
      <w:r>
        <w:rPr>
          <w:rFonts w:hint="eastAsia"/>
        </w:rPr>
        <w:t>5. 开标</w:t>
      </w:r>
      <w:bookmarkEnd w:id="214"/>
      <w:bookmarkEnd w:id="215"/>
      <w:bookmarkEnd w:id="216"/>
      <w:bookmarkEnd w:id="217"/>
      <w:bookmarkEnd w:id="218"/>
      <w:bookmarkEnd w:id="219"/>
    </w:p>
    <w:p>
      <w:pPr>
        <w:pStyle w:val="5"/>
      </w:pPr>
      <w:bookmarkStart w:id="220" w:name="_Toc144974528"/>
      <w:bookmarkStart w:id="221" w:name="_Toc152042336"/>
      <w:bookmarkStart w:id="222" w:name="_Toc247513984"/>
      <w:bookmarkStart w:id="223" w:name="_Toc300834981"/>
      <w:bookmarkStart w:id="224" w:name="_Toc247527585"/>
      <w:bookmarkStart w:id="225" w:name="_Toc152045560"/>
      <w:r>
        <w:rPr>
          <w:rFonts w:hint="eastAsia" w:ascii="Times New Roman" w:hAnsi="Times New Roman"/>
          <w:lang w:val="en-US" w:eastAsia="zh-CN"/>
        </w:rPr>
        <w:t>5.1</w:t>
      </w:r>
      <w:r>
        <w:rPr>
          <w:rFonts w:hint="eastAsia"/>
        </w:rPr>
        <w:t xml:space="preserve"> 开标时间和地点</w:t>
      </w:r>
      <w:bookmarkEnd w:id="220"/>
      <w:bookmarkEnd w:id="221"/>
      <w:bookmarkEnd w:id="222"/>
      <w:bookmarkEnd w:id="223"/>
      <w:bookmarkEnd w:id="224"/>
      <w:bookmarkEnd w:id="225"/>
    </w:p>
    <w:p>
      <w:pPr>
        <w:spacing w:line="400" w:lineRule="exact"/>
        <w:ind w:firstLine="420" w:firstLineChars="200"/>
      </w:pPr>
      <w:r>
        <w:rPr>
          <w:rFonts w:hint="eastAsia"/>
        </w:rPr>
        <w:t>招标人在本章第2.2.2项规定的投标截止时间（开标时间）和投标人须知前附表规定的地点公开开标，并邀请所有投标人的法定代表人或其委托代理人准时参加。</w:t>
      </w:r>
    </w:p>
    <w:p>
      <w:pPr>
        <w:pStyle w:val="5"/>
      </w:pPr>
      <w:bookmarkStart w:id="226" w:name="_Toc247527586"/>
      <w:bookmarkStart w:id="227" w:name="_Toc152045561"/>
      <w:bookmarkStart w:id="228" w:name="_Toc144974529"/>
      <w:bookmarkStart w:id="229" w:name="_Toc247513985"/>
      <w:bookmarkStart w:id="230" w:name="_Toc300834982"/>
      <w:bookmarkStart w:id="231" w:name="_Toc152042337"/>
      <w:r>
        <w:rPr>
          <w:rFonts w:hint="eastAsia" w:ascii="Times New Roman" w:hAnsi="Times New Roman"/>
          <w:lang w:val="en-US" w:eastAsia="zh-CN"/>
        </w:rPr>
        <w:t>5.2</w:t>
      </w:r>
      <w:r>
        <w:rPr>
          <w:rFonts w:hint="eastAsia"/>
        </w:rPr>
        <w:t xml:space="preserve"> 开标程序</w:t>
      </w:r>
      <w:bookmarkEnd w:id="226"/>
      <w:bookmarkEnd w:id="227"/>
      <w:bookmarkEnd w:id="228"/>
      <w:bookmarkEnd w:id="229"/>
      <w:bookmarkEnd w:id="230"/>
      <w:bookmarkEnd w:id="231"/>
    </w:p>
    <w:p>
      <w:pPr>
        <w:spacing w:line="400" w:lineRule="exact"/>
        <w:ind w:firstLine="420" w:firstLineChars="200"/>
      </w:pPr>
      <w:r>
        <w:rPr>
          <w:rFonts w:hint="eastAsia"/>
        </w:rPr>
        <w:t>主持人按下列程序进行开标：</w:t>
      </w:r>
    </w:p>
    <w:p>
      <w:pPr>
        <w:spacing w:line="400" w:lineRule="exact"/>
        <w:ind w:firstLine="359" w:firstLineChars="171"/>
      </w:pPr>
      <w:r>
        <w:rPr>
          <w:rFonts w:hint="eastAsia"/>
        </w:rPr>
        <w:t>（1）宣布开标纪律；</w:t>
      </w:r>
    </w:p>
    <w:p>
      <w:pPr>
        <w:spacing w:line="400" w:lineRule="exact"/>
        <w:ind w:firstLine="359" w:firstLineChars="171"/>
      </w:pPr>
      <w:r>
        <w:rPr>
          <w:rFonts w:hint="eastAsia"/>
        </w:rPr>
        <w:t>（2）公布在投标截止时间前递交投标文件的投标人名称，并点名确认投标人是否派人到场；</w:t>
      </w:r>
    </w:p>
    <w:p>
      <w:pPr>
        <w:spacing w:line="400" w:lineRule="exact"/>
        <w:ind w:firstLine="359" w:firstLineChars="171"/>
      </w:pPr>
      <w:r>
        <w:rPr>
          <w:rFonts w:hint="eastAsia"/>
        </w:rPr>
        <w:t>（3）宣布开标人、唱标人、记录人、监标人等有关人员姓名；</w:t>
      </w:r>
    </w:p>
    <w:p>
      <w:pPr>
        <w:spacing w:line="400" w:lineRule="exact"/>
        <w:ind w:firstLine="359" w:firstLineChars="171"/>
      </w:pPr>
      <w:r>
        <w:rPr>
          <w:rFonts w:hint="eastAsia"/>
        </w:rPr>
        <w:t>（4）按照投标人须知前附表规定检查投标文件的密封情况；</w:t>
      </w:r>
    </w:p>
    <w:p>
      <w:pPr>
        <w:spacing w:line="400" w:lineRule="exact"/>
        <w:ind w:firstLine="359" w:firstLineChars="171"/>
      </w:pPr>
      <w:r>
        <w:rPr>
          <w:rFonts w:hint="eastAsia"/>
        </w:rPr>
        <w:t>（5）按照投标人须知前附表的规定确定并宣布投标文件开标顺序；</w:t>
      </w:r>
    </w:p>
    <w:p>
      <w:pPr>
        <w:spacing w:line="400" w:lineRule="exact"/>
        <w:ind w:firstLine="359" w:firstLineChars="171"/>
      </w:pPr>
      <w:r>
        <w:rPr>
          <w:rFonts w:hint="eastAsia"/>
        </w:rPr>
        <w:t xml:space="preserve">（6）设有标底的，公布标底； </w:t>
      </w:r>
    </w:p>
    <w:p>
      <w:pPr>
        <w:spacing w:line="400" w:lineRule="exact"/>
        <w:ind w:firstLine="359" w:firstLineChars="171"/>
      </w:pPr>
      <w:r>
        <w:rPr>
          <w:rFonts w:hint="eastAsia"/>
        </w:rPr>
        <w:t>（7）按照宣布的开标顺序当众开标，公布投标人名称、项目名称、投标保证金的递交情况、投标报价、质量目标、工期及其他内容，并记录在案；</w:t>
      </w:r>
    </w:p>
    <w:p>
      <w:pPr>
        <w:spacing w:line="400" w:lineRule="exact"/>
        <w:ind w:firstLine="359" w:firstLineChars="171"/>
        <w:rPr>
          <w:rFonts w:hint="eastAsia"/>
        </w:rPr>
      </w:pPr>
      <w:r>
        <w:rPr>
          <w:rFonts w:hint="eastAsia"/>
        </w:rPr>
        <w:t>（8）规定最高投标限价计算方法的，计算并公布最高投标限价；</w:t>
      </w:r>
    </w:p>
    <w:p>
      <w:pPr>
        <w:spacing w:line="400" w:lineRule="exact"/>
        <w:ind w:firstLine="359" w:firstLineChars="171"/>
        <w:rPr>
          <w:rFonts w:hint="eastAsia"/>
        </w:rPr>
      </w:pPr>
      <w:r>
        <w:rPr>
          <w:rFonts w:hint="eastAsia"/>
        </w:rPr>
        <w:t>（9）投标人代表、招标人代表、监标人、记录人等有关人员在开标记录上签字确认；</w:t>
      </w:r>
    </w:p>
    <w:p>
      <w:pPr>
        <w:spacing w:line="400" w:lineRule="exact"/>
        <w:ind w:firstLine="359" w:firstLineChars="171"/>
        <w:rPr>
          <w:rFonts w:hint="eastAsia"/>
        </w:rPr>
      </w:pPr>
      <w:r>
        <w:rPr>
          <w:rFonts w:hint="eastAsia"/>
        </w:rPr>
        <w:t>（10）开标结束。</w:t>
      </w:r>
    </w:p>
    <w:p>
      <w:pPr>
        <w:pStyle w:val="5"/>
        <w:rPr>
          <w:rFonts w:hint="eastAsia"/>
        </w:rPr>
      </w:pPr>
      <w:bookmarkStart w:id="232" w:name="_Toc300834983"/>
      <w:r>
        <w:rPr>
          <w:rFonts w:hint="eastAsia" w:ascii="Times New Roman" w:hAnsi="Times New Roman"/>
          <w:lang w:val="en-US" w:eastAsia="zh-CN"/>
        </w:rPr>
        <w:t>5.3</w:t>
      </w:r>
      <w:r>
        <w:rPr>
          <w:rFonts w:hint="eastAsia"/>
        </w:rPr>
        <w:t xml:space="preserve"> 开标异议</w:t>
      </w:r>
      <w:bookmarkEnd w:id="232"/>
    </w:p>
    <w:p>
      <w:pPr>
        <w:spacing w:line="400" w:lineRule="exact"/>
        <w:ind w:firstLine="359" w:firstLineChars="171"/>
        <w:rPr>
          <w:rFonts w:hint="eastAsia"/>
        </w:rPr>
      </w:pPr>
      <w:r>
        <w:rPr>
          <w:rFonts w:hint="eastAsia"/>
        </w:rPr>
        <w:t>投标人对开标有异议的，应当在开标现场提出，招标人当场作出答复，并制作记录。</w:t>
      </w:r>
    </w:p>
    <w:p>
      <w:pPr>
        <w:pStyle w:val="3"/>
      </w:pPr>
      <w:bookmarkStart w:id="233" w:name="_Toc152045562"/>
      <w:bookmarkStart w:id="234" w:name="_Toc247513986"/>
      <w:bookmarkStart w:id="235" w:name="_Toc144974530"/>
      <w:bookmarkStart w:id="236" w:name="_Toc247527587"/>
      <w:bookmarkStart w:id="237" w:name="_Toc300834984"/>
      <w:bookmarkStart w:id="238" w:name="_Toc152042338"/>
      <w:r>
        <w:rPr>
          <w:rFonts w:hint="eastAsia"/>
        </w:rPr>
        <w:t>6. 评标</w:t>
      </w:r>
      <w:bookmarkEnd w:id="233"/>
      <w:bookmarkEnd w:id="234"/>
      <w:bookmarkEnd w:id="235"/>
      <w:bookmarkEnd w:id="236"/>
      <w:bookmarkEnd w:id="237"/>
      <w:bookmarkEnd w:id="238"/>
    </w:p>
    <w:p>
      <w:pPr>
        <w:pStyle w:val="5"/>
      </w:pPr>
      <w:bookmarkStart w:id="239" w:name="_Toc300834985"/>
      <w:bookmarkStart w:id="240" w:name="_Toc247527588"/>
      <w:bookmarkStart w:id="241" w:name="_Toc144974531"/>
      <w:bookmarkStart w:id="242" w:name="_Toc152045563"/>
      <w:bookmarkStart w:id="243" w:name="_Toc152042339"/>
      <w:bookmarkStart w:id="244" w:name="_Toc247513987"/>
      <w:r>
        <w:rPr>
          <w:rFonts w:hint="eastAsia" w:ascii="Times New Roman" w:hAnsi="Times New Roman"/>
          <w:lang w:val="en-US" w:eastAsia="zh-CN"/>
        </w:rPr>
        <w:t>6.1</w:t>
      </w:r>
      <w:r>
        <w:rPr>
          <w:rFonts w:hint="eastAsia"/>
        </w:rPr>
        <w:t xml:space="preserve"> 评标委员会</w:t>
      </w:r>
      <w:bookmarkEnd w:id="239"/>
      <w:bookmarkEnd w:id="240"/>
      <w:bookmarkEnd w:id="241"/>
      <w:bookmarkEnd w:id="242"/>
      <w:bookmarkEnd w:id="243"/>
      <w:bookmarkEnd w:id="244"/>
    </w:p>
    <w:p>
      <w:pPr>
        <w:spacing w:line="400" w:lineRule="exact"/>
        <w:ind w:firstLine="420" w:firstLineChars="200"/>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pPr>
      <w:r>
        <w:rPr>
          <w:rFonts w:hint="eastAsia"/>
        </w:rPr>
        <w:t>6.1.2 评标委员会成员有下列情形之一的，应当回避：</w:t>
      </w:r>
    </w:p>
    <w:p>
      <w:pPr>
        <w:spacing w:line="400" w:lineRule="exact"/>
        <w:ind w:firstLine="718" w:firstLineChars="342"/>
      </w:pPr>
      <w:r>
        <w:rPr>
          <w:rFonts w:hint="eastAsia"/>
        </w:rPr>
        <w:t>（1）投标人或投标人主要负责人的近亲属；</w:t>
      </w:r>
    </w:p>
    <w:p>
      <w:pPr>
        <w:spacing w:line="400" w:lineRule="exact"/>
        <w:ind w:firstLine="718" w:firstLineChars="342"/>
      </w:pPr>
      <w:r>
        <w:rPr>
          <w:rFonts w:hint="eastAsia"/>
        </w:rPr>
        <w:t>（2）项目主管部门或者行政监督部门的人员；</w:t>
      </w:r>
    </w:p>
    <w:p>
      <w:pPr>
        <w:spacing w:line="400" w:lineRule="exact"/>
        <w:ind w:firstLine="718" w:firstLineChars="342"/>
      </w:pPr>
      <w:r>
        <w:rPr>
          <w:rFonts w:hint="eastAsia"/>
        </w:rPr>
        <w:t>（3）与投标人有经济利益关系，可能影响对投标公正评审的；</w:t>
      </w:r>
    </w:p>
    <w:p>
      <w:pPr>
        <w:spacing w:line="400" w:lineRule="exact"/>
        <w:ind w:firstLine="718" w:firstLineChars="342"/>
        <w:rPr>
          <w:rFonts w:hint="eastAsia"/>
        </w:rPr>
      </w:pPr>
      <w:r>
        <w:rPr>
          <w:rFonts w:hint="eastAsia"/>
        </w:rPr>
        <w:t>（4）曾因在招标、评标以及其他与招标投标有关活动中从事违法行为而受过行政处罚或刑事处罚的；</w:t>
      </w:r>
    </w:p>
    <w:p>
      <w:pPr>
        <w:spacing w:line="400" w:lineRule="exact"/>
        <w:ind w:firstLine="718" w:firstLineChars="342"/>
      </w:pPr>
      <w:r>
        <w:rPr>
          <w:rFonts w:hint="eastAsia"/>
        </w:rPr>
        <w:t>（5）与投标人有其他利害关系。</w:t>
      </w:r>
    </w:p>
    <w:p>
      <w:pPr>
        <w:pStyle w:val="5"/>
      </w:pPr>
      <w:bookmarkStart w:id="245" w:name="_Toc247513988"/>
      <w:bookmarkStart w:id="246" w:name="_Toc144974532"/>
      <w:bookmarkStart w:id="247" w:name="_Toc152045564"/>
      <w:bookmarkStart w:id="248" w:name="_Toc300834986"/>
      <w:bookmarkStart w:id="249" w:name="_Toc247527589"/>
      <w:bookmarkStart w:id="250" w:name="_Toc152042340"/>
      <w:r>
        <w:rPr>
          <w:rFonts w:hint="eastAsia" w:ascii="Times New Roman" w:hAnsi="Times New Roman"/>
          <w:lang w:val="en-US" w:eastAsia="zh-CN"/>
        </w:rPr>
        <w:t>6.2</w:t>
      </w:r>
      <w:r>
        <w:rPr>
          <w:rFonts w:hint="eastAsia"/>
        </w:rPr>
        <w:t xml:space="preserve"> 评标原则</w:t>
      </w:r>
      <w:bookmarkEnd w:id="245"/>
      <w:bookmarkEnd w:id="246"/>
      <w:bookmarkEnd w:id="247"/>
      <w:bookmarkEnd w:id="248"/>
      <w:bookmarkEnd w:id="249"/>
      <w:bookmarkEnd w:id="250"/>
      <w:r>
        <w:tab/>
      </w:r>
    </w:p>
    <w:p>
      <w:pPr>
        <w:spacing w:line="400" w:lineRule="exact"/>
        <w:ind w:firstLine="420" w:firstLineChars="200"/>
      </w:pPr>
      <w:r>
        <w:rPr>
          <w:rFonts w:hint="eastAsia"/>
        </w:rPr>
        <w:t>评标活动遵循公平、公正、科学和择优的原则。</w:t>
      </w:r>
    </w:p>
    <w:p>
      <w:pPr>
        <w:pStyle w:val="5"/>
      </w:pPr>
      <w:bookmarkStart w:id="251" w:name="_Toc152042341"/>
      <w:bookmarkStart w:id="252" w:name="_Toc247527590"/>
      <w:bookmarkStart w:id="253" w:name="_Toc247513989"/>
      <w:bookmarkStart w:id="254" w:name="_Toc144974533"/>
      <w:bookmarkStart w:id="255" w:name="_Toc152045565"/>
      <w:bookmarkStart w:id="256" w:name="_Toc300834987"/>
      <w:r>
        <w:rPr>
          <w:rFonts w:hint="eastAsia" w:ascii="Times New Roman" w:hAnsi="Times New Roman"/>
          <w:lang w:val="en-US" w:eastAsia="zh-CN"/>
        </w:rPr>
        <w:t>6.3</w:t>
      </w:r>
      <w:r>
        <w:rPr>
          <w:rFonts w:hint="eastAsia"/>
        </w:rPr>
        <w:t xml:space="preserve"> 评标</w:t>
      </w:r>
      <w:bookmarkEnd w:id="251"/>
      <w:bookmarkEnd w:id="252"/>
      <w:bookmarkEnd w:id="253"/>
      <w:bookmarkEnd w:id="254"/>
      <w:bookmarkEnd w:id="255"/>
      <w:bookmarkEnd w:id="256"/>
    </w:p>
    <w:p>
      <w:pPr>
        <w:spacing w:line="400" w:lineRule="exact"/>
        <w:ind w:firstLine="420" w:firstLineChars="200"/>
        <w:rPr>
          <w:rFonts w:hint="eastAsia"/>
        </w:rPr>
      </w:pPr>
      <w:r>
        <w:rPr>
          <w:rFonts w:hint="eastAsia"/>
        </w:rPr>
        <w:t>评标委员会按照第三章“评标办法”规定的方法、评审因素、标准和程序对投标文件进行评审。第三章“评标办法”没有规定的方法、评审因素和标准，不作为评标依据。</w:t>
      </w:r>
    </w:p>
    <w:p>
      <w:pPr>
        <w:pStyle w:val="6"/>
      </w:pPr>
    </w:p>
    <w:p>
      <w:pPr>
        <w:pStyle w:val="3"/>
      </w:pPr>
      <w:bookmarkStart w:id="257" w:name="_Toc144974534"/>
      <w:bookmarkStart w:id="258" w:name="_Toc152042342"/>
      <w:bookmarkStart w:id="259" w:name="_Toc300834988"/>
      <w:bookmarkStart w:id="260" w:name="_Toc247527591"/>
      <w:bookmarkStart w:id="261" w:name="_Toc152045566"/>
      <w:bookmarkStart w:id="262" w:name="_Toc247513990"/>
      <w:r>
        <w:rPr>
          <w:rFonts w:hint="eastAsia"/>
        </w:rPr>
        <w:t>7. 合同授予</w:t>
      </w:r>
      <w:bookmarkEnd w:id="257"/>
      <w:bookmarkEnd w:id="258"/>
      <w:bookmarkEnd w:id="259"/>
      <w:bookmarkEnd w:id="260"/>
      <w:bookmarkEnd w:id="261"/>
      <w:bookmarkEnd w:id="262"/>
    </w:p>
    <w:p>
      <w:pPr>
        <w:pStyle w:val="5"/>
      </w:pPr>
      <w:bookmarkStart w:id="263" w:name="_Toc247513991"/>
      <w:bookmarkStart w:id="264" w:name="_Toc152042343"/>
      <w:bookmarkStart w:id="265" w:name="_Toc247527592"/>
      <w:bookmarkStart w:id="266" w:name="_Toc300834989"/>
      <w:bookmarkStart w:id="267" w:name="_Toc144974535"/>
      <w:bookmarkStart w:id="268" w:name="_Toc152045567"/>
      <w:r>
        <w:rPr>
          <w:rFonts w:hint="eastAsia" w:ascii="Times New Roman" w:hAnsi="Times New Roman"/>
          <w:lang w:val="en-US" w:eastAsia="zh-CN"/>
        </w:rPr>
        <w:t>7.1</w:t>
      </w:r>
      <w:r>
        <w:rPr>
          <w:rFonts w:hint="eastAsia"/>
        </w:rPr>
        <w:t xml:space="preserve"> 定标方式</w:t>
      </w:r>
      <w:bookmarkEnd w:id="263"/>
      <w:bookmarkEnd w:id="264"/>
      <w:bookmarkEnd w:id="265"/>
      <w:bookmarkEnd w:id="266"/>
      <w:bookmarkEnd w:id="267"/>
      <w:bookmarkEnd w:id="268"/>
    </w:p>
    <w:p>
      <w:pPr>
        <w:spacing w:line="400" w:lineRule="exact"/>
        <w:ind w:firstLine="420" w:firstLineChars="200"/>
        <w:rPr>
          <w:rFonts w:hint="eastAsia"/>
        </w:rPr>
      </w:pPr>
      <w:r>
        <w:rPr>
          <w:rFonts w:hint="eastAsia"/>
        </w:rPr>
        <w:t>除投标人须知前附表规定评标委员会直接确定中标人外，招标人依据评标委员会推荐的中标候选人确定中标人，评标委员会推荐中标候选人的人数见投标人须知前附表。</w:t>
      </w:r>
    </w:p>
    <w:p>
      <w:pPr>
        <w:pStyle w:val="5"/>
        <w:rPr>
          <w:rFonts w:hint="eastAsia"/>
        </w:rPr>
      </w:pPr>
      <w:bookmarkStart w:id="269" w:name="_Toc300834990"/>
      <w:r>
        <w:rPr>
          <w:rFonts w:hint="eastAsia" w:ascii="Times New Roman" w:hAnsi="Times New Roman"/>
          <w:lang w:val="en-US" w:eastAsia="zh-CN"/>
        </w:rPr>
        <w:t>7.2</w:t>
      </w:r>
      <w:r>
        <w:rPr>
          <w:rFonts w:hint="eastAsia"/>
        </w:rPr>
        <w:t xml:space="preserve"> 中标候选人公示</w:t>
      </w:r>
      <w:bookmarkEnd w:id="269"/>
    </w:p>
    <w:p>
      <w:pPr>
        <w:spacing w:line="400" w:lineRule="exact"/>
        <w:ind w:firstLine="420" w:firstLineChars="200"/>
        <w:rPr>
          <w:rFonts w:hint="eastAsia"/>
        </w:rPr>
      </w:pPr>
      <w:r>
        <w:rPr>
          <w:rFonts w:hint="eastAsia"/>
        </w:rPr>
        <w:t>招标人在投标人须知前附表规定的媒介公示中标候选人。</w:t>
      </w:r>
    </w:p>
    <w:p>
      <w:pPr>
        <w:pStyle w:val="5"/>
      </w:pPr>
      <w:bookmarkStart w:id="270" w:name="_Toc152042344"/>
      <w:bookmarkStart w:id="271" w:name="_Toc144974536"/>
      <w:bookmarkStart w:id="272" w:name="_Toc247527593"/>
      <w:bookmarkStart w:id="273" w:name="_Toc152045568"/>
      <w:bookmarkStart w:id="274" w:name="_Toc300834991"/>
      <w:bookmarkStart w:id="275" w:name="_Toc247513992"/>
      <w:r>
        <w:rPr>
          <w:rFonts w:hint="eastAsia" w:ascii="Times New Roman" w:hAnsi="Times New Roman"/>
          <w:lang w:val="en-US" w:eastAsia="zh-CN"/>
        </w:rPr>
        <w:t>7.3</w:t>
      </w:r>
      <w:r>
        <w:rPr>
          <w:rFonts w:hint="eastAsia"/>
        </w:rPr>
        <w:t xml:space="preserve"> 中标通知</w:t>
      </w:r>
      <w:bookmarkEnd w:id="270"/>
      <w:bookmarkEnd w:id="271"/>
      <w:bookmarkEnd w:id="272"/>
      <w:bookmarkEnd w:id="273"/>
      <w:bookmarkEnd w:id="274"/>
      <w:bookmarkEnd w:id="275"/>
    </w:p>
    <w:p>
      <w:pPr>
        <w:spacing w:line="400" w:lineRule="exact"/>
        <w:ind w:firstLine="420" w:firstLineChars="200"/>
      </w:pPr>
      <w:r>
        <w:rPr>
          <w:rFonts w:hint="eastAsia"/>
        </w:rPr>
        <w:t>在本章第3.3款规定的投标有效期内，招标人以书面形式向中标人发出中标通知书，同时将中标结果通知未中标的投标人。中标通知书按本章附表格式填写。</w:t>
      </w:r>
    </w:p>
    <w:p>
      <w:pPr>
        <w:pStyle w:val="5"/>
      </w:pPr>
      <w:bookmarkStart w:id="276" w:name="_Toc152045569"/>
      <w:bookmarkStart w:id="277" w:name="_Toc300834992"/>
      <w:bookmarkStart w:id="278" w:name="_Toc144974537"/>
      <w:bookmarkStart w:id="279" w:name="_Toc247513993"/>
      <w:bookmarkStart w:id="280" w:name="_Toc152042345"/>
      <w:bookmarkStart w:id="281" w:name="_Toc247527594"/>
      <w:r>
        <w:rPr>
          <w:rFonts w:hint="eastAsia" w:ascii="Times New Roman" w:hAnsi="Times New Roman"/>
          <w:lang w:val="en-US" w:eastAsia="zh-CN"/>
        </w:rPr>
        <w:t>7.4</w:t>
      </w:r>
      <w:r>
        <w:rPr>
          <w:rFonts w:hint="eastAsia"/>
        </w:rPr>
        <w:t xml:space="preserve"> 履约担保</w:t>
      </w:r>
      <w:bookmarkEnd w:id="276"/>
      <w:bookmarkEnd w:id="277"/>
      <w:bookmarkEnd w:id="278"/>
      <w:bookmarkEnd w:id="279"/>
      <w:bookmarkEnd w:id="280"/>
      <w:bookmarkEnd w:id="281"/>
    </w:p>
    <w:p>
      <w:pPr>
        <w:spacing w:line="400" w:lineRule="exact"/>
        <w:ind w:firstLine="420" w:firstLineChars="200"/>
      </w:pPr>
      <w:r>
        <w:rPr>
          <w:rFonts w:hint="eastAsia"/>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pPr>
        <w:spacing w:line="400" w:lineRule="exact"/>
        <w:ind w:firstLine="420" w:firstLineChars="200"/>
      </w:pPr>
      <w:r>
        <w:rPr>
          <w:rFonts w:hint="eastAsia"/>
        </w:rPr>
        <w:t>7.4.2 中标人不能按本章第7.4.1项要求提交履约担保的，视为放弃中标，其投标保证金不予退还，给招标人造成的损失超过投标保证金数额的，中标人还应当对超过部分予以赔偿。</w:t>
      </w:r>
    </w:p>
    <w:p>
      <w:pPr>
        <w:pStyle w:val="5"/>
      </w:pPr>
      <w:bookmarkStart w:id="282" w:name="_Toc247513994"/>
      <w:bookmarkStart w:id="283" w:name="_Toc144974538"/>
      <w:bookmarkStart w:id="284" w:name="_Toc152042346"/>
      <w:bookmarkStart w:id="285" w:name="_Toc247527595"/>
      <w:bookmarkStart w:id="286" w:name="_Toc300834993"/>
      <w:bookmarkStart w:id="287" w:name="_Toc152045570"/>
      <w:r>
        <w:rPr>
          <w:rFonts w:hint="eastAsia" w:ascii="Times New Roman" w:hAnsi="Times New Roman"/>
          <w:lang w:val="en-US" w:eastAsia="zh-CN"/>
        </w:rPr>
        <w:t>7.5</w:t>
      </w:r>
      <w:r>
        <w:rPr>
          <w:rFonts w:hint="eastAsia"/>
        </w:rPr>
        <w:t xml:space="preserve"> 签订合同</w:t>
      </w:r>
      <w:bookmarkEnd w:id="282"/>
      <w:bookmarkEnd w:id="283"/>
      <w:bookmarkEnd w:id="284"/>
      <w:bookmarkEnd w:id="285"/>
      <w:bookmarkEnd w:id="286"/>
      <w:bookmarkEnd w:id="287"/>
    </w:p>
    <w:p>
      <w:pPr>
        <w:spacing w:line="400" w:lineRule="exact"/>
        <w:ind w:firstLine="420" w:firstLineChars="200"/>
      </w:pPr>
      <w:r>
        <w:rPr>
          <w:rFonts w:hint="eastAsia"/>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pPr>
      <w:r>
        <w:rPr>
          <w:rFonts w:hint="eastAsia"/>
        </w:rPr>
        <w:t xml:space="preserve">7.5.2 发出中标通知书后，招标人无正当理由拒签合同的，招标人向中标人退还投标保证金；给中标人造成损失的，还应当赔偿损失。 </w:t>
      </w:r>
    </w:p>
    <w:p>
      <w:pPr>
        <w:pStyle w:val="3"/>
      </w:pPr>
      <w:bookmarkStart w:id="288" w:name="_Toc152042347"/>
      <w:bookmarkStart w:id="289" w:name="_Toc152045571"/>
      <w:bookmarkStart w:id="290" w:name="_Toc247513995"/>
      <w:bookmarkStart w:id="291" w:name="_Toc144974539"/>
      <w:bookmarkStart w:id="292" w:name="_Toc247527596"/>
      <w:bookmarkStart w:id="293" w:name="_Toc300834994"/>
      <w:r>
        <w:rPr>
          <w:rFonts w:hint="eastAsia"/>
        </w:rPr>
        <w:t>8.</w:t>
      </w:r>
      <w:bookmarkEnd w:id="288"/>
      <w:bookmarkEnd w:id="289"/>
      <w:bookmarkEnd w:id="290"/>
      <w:bookmarkEnd w:id="291"/>
      <w:bookmarkEnd w:id="292"/>
      <w:bookmarkStart w:id="294" w:name="_Toc152042350"/>
      <w:bookmarkStart w:id="295" w:name="_Toc247513998"/>
      <w:bookmarkStart w:id="296" w:name="_Toc144974542"/>
      <w:bookmarkStart w:id="297" w:name="_Toc247527599"/>
      <w:bookmarkStart w:id="298" w:name="_Toc152045574"/>
      <w:r>
        <w:rPr>
          <w:rFonts w:hint="eastAsia"/>
        </w:rPr>
        <w:t xml:space="preserve"> 纪律和监督</w:t>
      </w:r>
      <w:bookmarkEnd w:id="293"/>
      <w:bookmarkEnd w:id="294"/>
      <w:bookmarkEnd w:id="295"/>
      <w:bookmarkEnd w:id="296"/>
      <w:bookmarkEnd w:id="297"/>
      <w:bookmarkEnd w:id="298"/>
    </w:p>
    <w:p>
      <w:pPr>
        <w:pStyle w:val="5"/>
      </w:pPr>
      <w:bookmarkStart w:id="299" w:name="_Toc152045575"/>
      <w:bookmarkStart w:id="300" w:name="_Toc144974543"/>
      <w:bookmarkStart w:id="301" w:name="_Toc247513999"/>
      <w:bookmarkStart w:id="302" w:name="_Toc152042351"/>
      <w:bookmarkStart w:id="303" w:name="_Toc300834995"/>
      <w:bookmarkStart w:id="304" w:name="_Toc247527600"/>
      <w:r>
        <w:rPr>
          <w:rFonts w:hint="eastAsia" w:ascii="Times New Roman" w:hAnsi="Times New Roman"/>
          <w:lang w:val="en-US" w:eastAsia="zh-CN"/>
        </w:rPr>
        <w:t>8.1</w:t>
      </w:r>
      <w:r>
        <w:rPr>
          <w:rFonts w:hint="eastAsia"/>
        </w:rPr>
        <w:t xml:space="preserve"> 对招标人的纪律要求</w:t>
      </w:r>
      <w:bookmarkEnd w:id="299"/>
      <w:bookmarkEnd w:id="300"/>
      <w:bookmarkEnd w:id="301"/>
      <w:bookmarkEnd w:id="302"/>
      <w:bookmarkEnd w:id="303"/>
      <w:bookmarkEnd w:id="304"/>
    </w:p>
    <w:p>
      <w:pPr>
        <w:spacing w:line="400" w:lineRule="exact"/>
        <w:ind w:firstLine="420" w:firstLineChars="200"/>
      </w:pPr>
      <w:r>
        <w:rPr>
          <w:rFonts w:hint="eastAsia"/>
        </w:rPr>
        <w:t>招标人不得泄漏招标投标活动中应当保密的情况和资料，不得与投标人串通损害国家利益、社会公共利益或者他人合法权益。</w:t>
      </w:r>
    </w:p>
    <w:p>
      <w:pPr>
        <w:pStyle w:val="5"/>
      </w:pPr>
      <w:bookmarkStart w:id="305" w:name="_Toc144974544"/>
      <w:bookmarkStart w:id="306" w:name="_Toc247514000"/>
      <w:bookmarkStart w:id="307" w:name="_Toc247527601"/>
      <w:bookmarkStart w:id="308" w:name="_Toc152045576"/>
      <w:bookmarkStart w:id="309" w:name="_Toc152042352"/>
      <w:bookmarkStart w:id="310" w:name="_Toc300834996"/>
      <w:r>
        <w:rPr>
          <w:rFonts w:hint="eastAsia" w:ascii="Times New Roman" w:hAnsi="Times New Roman"/>
          <w:lang w:val="en-US" w:eastAsia="zh-CN"/>
        </w:rPr>
        <w:t>8.2</w:t>
      </w:r>
      <w:r>
        <w:rPr>
          <w:rFonts w:hint="eastAsia"/>
        </w:rPr>
        <w:t xml:space="preserve"> 对投标人的纪律要求</w:t>
      </w:r>
      <w:bookmarkEnd w:id="305"/>
      <w:bookmarkEnd w:id="306"/>
      <w:bookmarkEnd w:id="307"/>
      <w:bookmarkEnd w:id="308"/>
      <w:bookmarkEnd w:id="309"/>
      <w:bookmarkEnd w:id="310"/>
    </w:p>
    <w:p>
      <w:pPr>
        <w:spacing w:line="400" w:lineRule="exact"/>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pPr>
      <w:bookmarkStart w:id="311" w:name="_Toc247527602"/>
      <w:bookmarkStart w:id="312" w:name="_Toc247514001"/>
      <w:bookmarkStart w:id="313" w:name="_Toc152045577"/>
      <w:bookmarkStart w:id="314" w:name="_Toc144974545"/>
      <w:bookmarkStart w:id="315" w:name="_Toc300834997"/>
      <w:bookmarkStart w:id="316" w:name="_Toc152042353"/>
      <w:r>
        <w:rPr>
          <w:rFonts w:hint="eastAsia" w:ascii="Times New Roman" w:hAnsi="Times New Roman"/>
          <w:lang w:val="en-US" w:eastAsia="zh-CN"/>
        </w:rPr>
        <w:t>8.3</w:t>
      </w:r>
      <w:r>
        <w:rPr>
          <w:rFonts w:hint="eastAsia"/>
        </w:rPr>
        <w:t xml:space="preserve"> 对评标委员会成员的纪律要求</w:t>
      </w:r>
      <w:bookmarkEnd w:id="311"/>
      <w:bookmarkEnd w:id="312"/>
      <w:bookmarkEnd w:id="313"/>
      <w:bookmarkEnd w:id="314"/>
      <w:bookmarkEnd w:id="315"/>
      <w:bookmarkEnd w:id="316"/>
    </w:p>
    <w:p>
      <w:pPr>
        <w:spacing w:line="400" w:lineRule="exact"/>
        <w:ind w:firstLine="420" w:firstLineChars="200"/>
      </w:pPr>
      <w:r>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pPr>
      <w:bookmarkStart w:id="317" w:name="_Toc247514002"/>
      <w:bookmarkStart w:id="318" w:name="_Toc300834998"/>
      <w:bookmarkStart w:id="319" w:name="_Toc247527603"/>
      <w:bookmarkStart w:id="320" w:name="_Toc152045578"/>
      <w:bookmarkStart w:id="321" w:name="_Toc152042354"/>
      <w:bookmarkStart w:id="322" w:name="_Toc144974546"/>
      <w:r>
        <w:rPr>
          <w:rFonts w:hint="eastAsia" w:ascii="Times New Roman" w:hAnsi="Times New Roman"/>
          <w:lang w:val="en-US" w:eastAsia="zh-CN"/>
        </w:rPr>
        <w:t>8.4</w:t>
      </w:r>
      <w:r>
        <w:rPr>
          <w:rFonts w:hint="eastAsia"/>
        </w:rPr>
        <w:t xml:space="preserve"> 对与评标活动有关的工作人员的纪律要求</w:t>
      </w:r>
      <w:bookmarkEnd w:id="317"/>
      <w:bookmarkEnd w:id="318"/>
      <w:bookmarkEnd w:id="319"/>
      <w:bookmarkEnd w:id="320"/>
      <w:bookmarkEnd w:id="321"/>
    </w:p>
    <w:p>
      <w:pPr>
        <w:spacing w:line="400" w:lineRule="exact"/>
        <w:ind w:firstLine="420" w:firstLineChars="200"/>
      </w:pPr>
      <w:bookmarkStart w:id="323"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23"/>
    </w:p>
    <w:p>
      <w:pPr>
        <w:pStyle w:val="5"/>
      </w:pPr>
      <w:bookmarkStart w:id="324" w:name="_Toc152045579"/>
      <w:bookmarkStart w:id="325" w:name="_Toc300834999"/>
      <w:bookmarkStart w:id="326" w:name="_Toc152042356"/>
      <w:bookmarkStart w:id="327" w:name="_Toc247514003"/>
      <w:bookmarkStart w:id="328" w:name="_Toc247527604"/>
      <w:r>
        <w:rPr>
          <w:rFonts w:hint="eastAsia" w:ascii="Times New Roman" w:hAnsi="Times New Roman"/>
          <w:lang w:val="en-US" w:eastAsia="zh-CN"/>
        </w:rPr>
        <w:t>8.5</w:t>
      </w:r>
      <w:r>
        <w:rPr>
          <w:rFonts w:hint="eastAsia"/>
        </w:rPr>
        <w:t xml:space="preserve"> 投诉</w:t>
      </w:r>
      <w:bookmarkEnd w:id="322"/>
      <w:bookmarkEnd w:id="324"/>
      <w:bookmarkEnd w:id="325"/>
      <w:bookmarkEnd w:id="326"/>
      <w:bookmarkEnd w:id="327"/>
      <w:bookmarkEnd w:id="328"/>
    </w:p>
    <w:p>
      <w:pPr>
        <w:spacing w:line="400" w:lineRule="exact"/>
        <w:ind w:firstLine="420" w:firstLineChars="200"/>
      </w:pPr>
      <w:r>
        <w:rPr>
          <w:rFonts w:hint="eastAsia"/>
        </w:rPr>
        <w:t>投标人和其他利害关系人认为本次招标活动违反法律、法规和规章规定的，有权向有关行政监督部门投诉。</w:t>
      </w:r>
    </w:p>
    <w:p>
      <w:pPr>
        <w:pStyle w:val="3"/>
      </w:pPr>
      <w:bookmarkStart w:id="329" w:name="_Toc152045580"/>
      <w:bookmarkStart w:id="330" w:name="_Toc300835000"/>
      <w:bookmarkStart w:id="331" w:name="_Toc247514004"/>
      <w:bookmarkStart w:id="332" w:name="_Toc144974547"/>
      <w:bookmarkStart w:id="333" w:name="_Toc247527605"/>
      <w:bookmarkStart w:id="334" w:name="_Toc152042357"/>
      <w:r>
        <w:rPr>
          <w:rFonts w:hint="eastAsia"/>
        </w:rPr>
        <w:t>9. 需要补充的其他内容</w:t>
      </w:r>
      <w:bookmarkEnd w:id="329"/>
      <w:bookmarkEnd w:id="330"/>
      <w:bookmarkEnd w:id="331"/>
      <w:bookmarkEnd w:id="332"/>
      <w:bookmarkEnd w:id="333"/>
      <w:bookmarkEnd w:id="334"/>
    </w:p>
    <w:p>
      <w:pPr>
        <w:spacing w:line="400" w:lineRule="exact"/>
        <w:ind w:firstLine="420" w:firstLineChars="200"/>
        <w:rPr>
          <w:rFonts w:hint="eastAsia"/>
        </w:rPr>
      </w:pPr>
      <w:r>
        <w:rPr>
          <w:rFonts w:hint="eastAsia"/>
        </w:rPr>
        <w:t>需要补充的其他内容：见投标人须知前附表。</w:t>
      </w:r>
    </w:p>
    <w:p>
      <w:pPr>
        <w:pStyle w:val="3"/>
        <w:rPr>
          <w:rFonts w:hint="eastAsia"/>
        </w:rPr>
      </w:pPr>
      <w:bookmarkStart w:id="335" w:name="_Toc300835001"/>
      <w:r>
        <w:rPr>
          <w:rFonts w:hint="eastAsia"/>
        </w:rPr>
        <w:t>10. 电子招标投标</w:t>
      </w:r>
      <w:bookmarkEnd w:id="335"/>
    </w:p>
    <w:p>
      <w:pPr>
        <w:spacing w:line="400" w:lineRule="exact"/>
        <w:ind w:firstLine="420" w:firstLineChars="200"/>
      </w:pPr>
      <w:r>
        <w:rPr>
          <w:rFonts w:hint="eastAsia"/>
        </w:rPr>
        <w:t>采用电子招标投标，对投标文件的编制、密封和标记、递交、开标、评标等具体要求，见投标人须知前附表。</w:t>
      </w:r>
      <w:r>
        <w:br w:type="page"/>
      </w:r>
    </w:p>
    <w:p>
      <w:pPr>
        <w:pStyle w:val="5"/>
      </w:pPr>
      <w:bookmarkStart w:id="336" w:name="_Toc247527606"/>
      <w:bookmarkStart w:id="337" w:name="_Toc247514005"/>
      <w:bookmarkStart w:id="338" w:name="_Toc144974548"/>
      <w:bookmarkStart w:id="339" w:name="_Toc152045581"/>
      <w:bookmarkStart w:id="340" w:name="_Toc300835002"/>
      <w:bookmarkStart w:id="341" w:name="_Toc152042358"/>
      <w:r>
        <w:rPr>
          <w:rFonts w:hint="eastAsia"/>
        </w:rPr>
        <w:t>附件一：开标记录表</w:t>
      </w:r>
      <w:bookmarkEnd w:id="336"/>
      <w:bookmarkEnd w:id="337"/>
      <w:bookmarkEnd w:id="338"/>
      <w:bookmarkEnd w:id="339"/>
      <w:bookmarkEnd w:id="340"/>
      <w:bookmarkEnd w:id="341"/>
    </w:p>
    <w:p>
      <w:pPr>
        <w:spacing w:line="400" w:lineRule="exact"/>
      </w:pPr>
      <w:r>
        <w:t xml:space="preserve">              </w:t>
      </w:r>
    </w:p>
    <w:p>
      <w:pPr>
        <w:spacing w:line="400" w:lineRule="exact"/>
        <w:rPr>
          <w:color w:val="auto"/>
          <w:highlight w:val="none"/>
        </w:rPr>
      </w:pPr>
      <w:r>
        <w:rPr>
          <w:rFonts w:hint="eastAsia" w:ascii="宋体" w:hAnsi="宋体" w:cs="宋体"/>
          <w:color w:val="auto"/>
          <w:sz w:val="24"/>
          <w:szCs w:val="24"/>
          <w:highlight w:val="none"/>
        </w:rPr>
        <w:t>开标记录表采用广州公共资源交易中心系统生成格式。</w:t>
      </w:r>
    </w:p>
    <w:p>
      <w:pPr>
        <w:spacing w:line="440" w:lineRule="exact"/>
        <w:rPr>
          <w:szCs w:val="21"/>
        </w:rPr>
      </w:pPr>
      <w:r>
        <w:br w:type="page"/>
      </w:r>
    </w:p>
    <w:p>
      <w:pPr>
        <w:pStyle w:val="5"/>
      </w:pPr>
      <w:bookmarkStart w:id="342" w:name="_Toc247514006"/>
      <w:bookmarkStart w:id="343" w:name="_Toc247527607"/>
      <w:bookmarkStart w:id="344" w:name="_Toc300835003"/>
      <w:bookmarkStart w:id="345" w:name="_Toc152045582"/>
      <w:bookmarkStart w:id="346" w:name="_Toc152042359"/>
      <w:bookmarkStart w:id="347" w:name="_Toc144974549"/>
      <w:r>
        <w:t>附</w:t>
      </w:r>
      <w:r>
        <w:rPr>
          <w:rFonts w:hint="eastAsia"/>
        </w:rPr>
        <w:t>件</w:t>
      </w:r>
      <w:r>
        <w:t>二：问题澄清通知</w:t>
      </w:r>
      <w:bookmarkEnd w:id="342"/>
      <w:bookmarkEnd w:id="343"/>
      <w:bookmarkEnd w:id="344"/>
      <w:bookmarkEnd w:id="345"/>
      <w:bookmarkEnd w:id="346"/>
      <w:bookmarkEnd w:id="347"/>
    </w:p>
    <w:p>
      <w:pPr>
        <w:spacing w:line="440" w:lineRule="exact"/>
        <w:jc w:val="center"/>
        <w:rPr>
          <w:szCs w:val="21"/>
        </w:rPr>
      </w:pPr>
    </w:p>
    <w:p>
      <w:pPr>
        <w:spacing w:line="440" w:lineRule="exact"/>
        <w:jc w:val="center"/>
        <w:rPr>
          <w:rFonts w:eastAsia="黑体"/>
          <w:sz w:val="28"/>
          <w:szCs w:val="28"/>
        </w:rPr>
      </w:pPr>
      <w:r>
        <w:rPr>
          <w:rFonts w:eastAsia="黑体"/>
          <w:sz w:val="28"/>
          <w:szCs w:val="28"/>
        </w:rPr>
        <w:t>问题澄清通知</w:t>
      </w:r>
    </w:p>
    <w:p>
      <w:pPr>
        <w:spacing w:line="440" w:lineRule="exact"/>
        <w:rPr>
          <w:szCs w:val="21"/>
        </w:rPr>
      </w:pPr>
      <w:r>
        <w:rPr>
          <w:szCs w:val="21"/>
        </w:rPr>
        <w:t xml:space="preserve">                               编号：</w:t>
      </w:r>
    </w:p>
    <w:p>
      <w:pPr>
        <w:spacing w:line="440" w:lineRule="exact"/>
        <w:rPr>
          <w:szCs w:val="21"/>
        </w:rPr>
      </w:pPr>
    </w:p>
    <w:p>
      <w:pPr>
        <w:spacing w:line="440" w:lineRule="exact"/>
        <w:rPr>
          <w:szCs w:val="21"/>
        </w:rPr>
      </w:pPr>
      <w:r>
        <w:rPr>
          <w:szCs w:val="21"/>
        </w:rPr>
        <w:t xml:space="preserve">  </w:t>
      </w:r>
      <w:r>
        <w:rPr>
          <w:szCs w:val="21"/>
          <w:u w:val="single"/>
        </w:rPr>
        <w:t xml:space="preserve">            </w:t>
      </w:r>
      <w:r>
        <w:rPr>
          <w:szCs w:val="21"/>
        </w:rPr>
        <w:t>（投标人名称）：</w:t>
      </w:r>
    </w:p>
    <w:p>
      <w:pPr>
        <w:spacing w:line="440" w:lineRule="exact"/>
        <w:rPr>
          <w:szCs w:val="21"/>
        </w:rPr>
      </w:pPr>
    </w:p>
    <w:p>
      <w:pPr>
        <w:spacing w:line="440" w:lineRule="exact"/>
        <w:rPr>
          <w:szCs w:val="21"/>
        </w:rPr>
      </w:pPr>
      <w:r>
        <w:rPr>
          <w:szCs w:val="21"/>
        </w:rPr>
        <w:t xml:space="preserve">　　  </w:t>
      </w:r>
      <w:r>
        <w:rPr>
          <w:szCs w:val="21"/>
          <w:u w:val="single"/>
        </w:rPr>
        <w:t xml:space="preserve">　             </w:t>
      </w:r>
      <w:r>
        <w:rPr>
          <w:szCs w:val="21"/>
        </w:rPr>
        <w:t>（项目名称）</w:t>
      </w:r>
      <w:r>
        <w:rPr>
          <w:rFonts w:hint="eastAsia"/>
          <w:szCs w:val="21"/>
        </w:rPr>
        <w:t>设计</w:t>
      </w:r>
      <w:r>
        <w:rPr>
          <w:szCs w:val="21"/>
        </w:rPr>
        <w:t>施工</w:t>
      </w:r>
      <w:r>
        <w:rPr>
          <w:rFonts w:hint="eastAsia"/>
          <w:szCs w:val="21"/>
        </w:rPr>
        <w:t>总承包</w:t>
      </w:r>
      <w:r>
        <w:rPr>
          <w:szCs w:val="21"/>
        </w:rPr>
        <w:t>招标的评标委员会，对你方的投标文件进行了仔细的审查，现需你方对下列问题以书面形式予以澄清：</w:t>
      </w:r>
    </w:p>
    <w:p>
      <w:pPr>
        <w:spacing w:line="440" w:lineRule="exact"/>
        <w:rPr>
          <w:szCs w:val="21"/>
        </w:rPr>
      </w:pPr>
      <w:r>
        <w:rPr>
          <w:szCs w:val="21"/>
        </w:rPr>
        <w:t>　　</w:t>
      </w:r>
    </w:p>
    <w:p>
      <w:pPr>
        <w:spacing w:line="440" w:lineRule="exact"/>
        <w:rPr>
          <w:szCs w:val="21"/>
        </w:rPr>
      </w:pPr>
      <w:r>
        <w:rPr>
          <w:szCs w:val="21"/>
        </w:rPr>
        <w:t xml:space="preserve">    1.</w:t>
      </w:r>
    </w:p>
    <w:p>
      <w:pPr>
        <w:spacing w:line="440" w:lineRule="exact"/>
        <w:rPr>
          <w:szCs w:val="21"/>
        </w:rPr>
      </w:pPr>
      <w:r>
        <w:rPr>
          <w:szCs w:val="21"/>
        </w:rPr>
        <w:t xml:space="preserve">    2.</w:t>
      </w:r>
    </w:p>
    <w:p>
      <w:pPr>
        <w:spacing w:line="440" w:lineRule="exact"/>
        <w:rPr>
          <w:szCs w:val="21"/>
        </w:rPr>
      </w:pPr>
      <w:r>
        <w:rPr>
          <w:szCs w:val="21"/>
        </w:rPr>
        <w:t xml:space="preserve">     ......   </w:t>
      </w:r>
    </w:p>
    <w:p>
      <w:pPr>
        <w:spacing w:line="440" w:lineRule="exact"/>
        <w:rPr>
          <w:szCs w:val="21"/>
        </w:rPr>
      </w:pPr>
      <w:r>
        <w:rPr>
          <w:szCs w:val="21"/>
        </w:rPr>
        <w:t>　　　</w:t>
      </w:r>
    </w:p>
    <w:p>
      <w:pPr>
        <w:spacing w:line="440" w:lineRule="exact"/>
        <w:rPr>
          <w:szCs w:val="21"/>
        </w:rPr>
      </w:pPr>
      <w:r>
        <w:rPr>
          <w:szCs w:val="21"/>
        </w:rPr>
        <w:t>　　请将上述问题的澄清于</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rPr>
        <w:t>月</w:t>
      </w:r>
      <w:r>
        <w:rPr>
          <w:szCs w:val="21"/>
          <w:u w:val="single"/>
        </w:rPr>
        <w:t xml:space="preserve">   </w:t>
      </w:r>
      <w:r>
        <w:rPr>
          <w:rFonts w:hint="eastAsia"/>
          <w:szCs w:val="21"/>
          <w:u w:val="single"/>
        </w:rPr>
        <w:t xml:space="preserve">  </w:t>
      </w:r>
      <w:r>
        <w:rPr>
          <w:szCs w:val="21"/>
        </w:rPr>
        <w:t>日</w:t>
      </w:r>
      <w:r>
        <w:rPr>
          <w:szCs w:val="21"/>
          <w:u w:val="single"/>
        </w:rPr>
        <w:t xml:space="preserve">     </w:t>
      </w:r>
      <w:r>
        <w:rPr>
          <w:szCs w:val="21"/>
        </w:rPr>
        <w:t>时前递交至</w:t>
      </w:r>
      <w:r>
        <w:rPr>
          <w:szCs w:val="21"/>
          <w:u w:val="single"/>
        </w:rPr>
        <w:t xml:space="preserve">     </w:t>
      </w:r>
      <w:r>
        <w:rPr>
          <w:rFonts w:hint="eastAsia"/>
          <w:szCs w:val="21"/>
          <w:u w:val="single"/>
        </w:rPr>
        <w:t xml:space="preserve">                    </w:t>
      </w:r>
      <w:r>
        <w:rPr>
          <w:szCs w:val="21"/>
        </w:rPr>
        <w:t>（详细地址）</w:t>
      </w:r>
      <w:r>
        <w:rPr>
          <w:rFonts w:hint="eastAsia"/>
          <w:szCs w:val="21"/>
        </w:rPr>
        <w:t>或</w:t>
      </w:r>
      <w:r>
        <w:rPr>
          <w:rFonts w:hint="eastAsia" w:ascii="宋体" w:hAnsi="宋体"/>
          <w:szCs w:val="21"/>
        </w:rPr>
        <w:t>传真至</w:t>
      </w:r>
      <w:r>
        <w:rPr>
          <w:rFonts w:hint="eastAsia" w:ascii="宋体" w:hAnsi="宋体"/>
          <w:szCs w:val="21"/>
          <w:u w:val="single"/>
        </w:rPr>
        <w:t xml:space="preserve">         </w:t>
      </w:r>
      <w:r>
        <w:rPr>
          <w:rFonts w:hint="eastAsia" w:ascii="宋体" w:hAnsi="宋体"/>
          <w:szCs w:val="21"/>
        </w:rPr>
        <w:t>（传真号码）。采用传真方式的，应在</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日</w:t>
      </w:r>
      <w:r>
        <w:rPr>
          <w:rFonts w:ascii="宋体" w:hAnsi="宋体"/>
          <w:szCs w:val="21"/>
          <w:u w:val="single"/>
        </w:rPr>
        <w:t xml:space="preserve">     </w:t>
      </w:r>
      <w:r>
        <w:rPr>
          <w:rFonts w:hint="eastAsia" w:ascii="宋体" w:hAnsi="宋体"/>
          <w:szCs w:val="21"/>
        </w:rPr>
        <w:t>时前将原件递交至</w:t>
      </w:r>
      <w:r>
        <w:rPr>
          <w:szCs w:val="21"/>
          <w:u w:val="single"/>
        </w:rPr>
        <w:t xml:space="preserve">     </w:t>
      </w:r>
      <w:r>
        <w:rPr>
          <w:rFonts w:hint="eastAsia"/>
          <w:szCs w:val="21"/>
          <w:u w:val="single"/>
        </w:rPr>
        <w:t xml:space="preserve">                    </w:t>
      </w:r>
      <w:r>
        <w:rPr>
          <w:szCs w:val="21"/>
        </w:rPr>
        <w:t>（详细地址）。</w:t>
      </w:r>
    </w:p>
    <w:p>
      <w:pPr>
        <w:spacing w:line="440" w:lineRule="exact"/>
        <w:rPr>
          <w:szCs w:val="21"/>
        </w:rPr>
      </w:pPr>
    </w:p>
    <w:p>
      <w:pPr>
        <w:spacing w:line="440" w:lineRule="exact"/>
        <w:rPr>
          <w:szCs w:val="21"/>
        </w:rPr>
      </w:pPr>
    </w:p>
    <w:p>
      <w:pPr>
        <w:spacing w:line="440" w:lineRule="exact"/>
        <w:rPr>
          <w:rFonts w:hint="eastAsia"/>
          <w:szCs w:val="21"/>
        </w:rPr>
      </w:pPr>
      <w:r>
        <w:rPr>
          <w:szCs w:val="21"/>
        </w:rPr>
        <w:t xml:space="preserve">                             评标</w:t>
      </w:r>
      <w:r>
        <w:rPr>
          <w:rFonts w:hint="eastAsia"/>
          <w:szCs w:val="21"/>
        </w:rPr>
        <w:t>委员会授权的招标人或招标代理机构</w:t>
      </w:r>
      <w:r>
        <w:rPr>
          <w:szCs w:val="21"/>
        </w:rPr>
        <w:t>：</w:t>
      </w:r>
      <w:r>
        <w:rPr>
          <w:szCs w:val="21"/>
          <w:u w:val="single"/>
        </w:rPr>
        <w:t xml:space="preserve">           </w:t>
      </w:r>
      <w:r>
        <w:rPr>
          <w:szCs w:val="21"/>
        </w:rPr>
        <w:t>（签字</w:t>
      </w:r>
      <w:r>
        <w:rPr>
          <w:rFonts w:hint="eastAsia"/>
          <w:szCs w:val="21"/>
        </w:rPr>
        <w:t>或盖章</w:t>
      </w:r>
      <w:r>
        <w:rPr>
          <w:szCs w:val="21"/>
        </w:rPr>
        <w:t>）</w:t>
      </w:r>
    </w:p>
    <w:p>
      <w:pPr>
        <w:spacing w:line="440" w:lineRule="exact"/>
        <w:rPr>
          <w:szCs w:val="21"/>
        </w:rPr>
      </w:pPr>
      <w:r>
        <w:rPr>
          <w:rFonts w:hint="eastAsia"/>
          <w:szCs w:val="21"/>
        </w:rPr>
        <w:t xml:space="preserve">                                          </w:t>
      </w:r>
    </w:p>
    <w:p>
      <w:pPr>
        <w:spacing w:line="440" w:lineRule="exact"/>
        <w:rPr>
          <w:szCs w:val="21"/>
        </w:rPr>
      </w:pPr>
      <w:r>
        <w:rPr>
          <w:szCs w:val="21"/>
        </w:rPr>
        <w:t xml:space="preserve">                                  </w:t>
      </w:r>
      <w:r>
        <w:rPr>
          <w:rFonts w:hint="eastAsia"/>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pPr>
        <w:spacing w:line="400" w:lineRule="exact"/>
      </w:pPr>
    </w:p>
    <w:p>
      <w:pPr>
        <w:spacing w:line="400" w:lineRule="exact"/>
      </w:pPr>
      <w:r>
        <w:br w:type="page"/>
      </w:r>
    </w:p>
    <w:p>
      <w:pPr>
        <w:pStyle w:val="5"/>
      </w:pPr>
      <w:bookmarkStart w:id="348" w:name="_Toc144974550"/>
      <w:bookmarkStart w:id="349" w:name="_Toc247514007"/>
      <w:bookmarkStart w:id="350" w:name="_Toc152042360"/>
      <w:bookmarkStart w:id="351" w:name="_Toc300835004"/>
      <w:bookmarkStart w:id="352" w:name="_Toc247527608"/>
      <w:bookmarkStart w:id="353" w:name="_Toc152045583"/>
      <w:r>
        <w:rPr>
          <w:rFonts w:hint="eastAsia"/>
        </w:rPr>
        <w:t>附件三：问题的澄清</w:t>
      </w:r>
      <w:bookmarkEnd w:id="348"/>
      <w:bookmarkEnd w:id="349"/>
      <w:bookmarkEnd w:id="350"/>
      <w:bookmarkEnd w:id="351"/>
      <w:bookmarkEnd w:id="352"/>
      <w:bookmarkEnd w:id="353"/>
    </w:p>
    <w:p>
      <w:pPr>
        <w:spacing w:line="400" w:lineRule="exact"/>
        <w:jc w:val="center"/>
        <w:rPr>
          <w:rFonts w:ascii="黑体" w:eastAsia="黑体"/>
          <w:sz w:val="28"/>
          <w:szCs w:val="28"/>
        </w:rPr>
      </w:pPr>
    </w:p>
    <w:p>
      <w:pPr>
        <w:spacing w:line="400" w:lineRule="exact"/>
        <w:jc w:val="center"/>
        <w:rPr>
          <w:rFonts w:ascii="黑体" w:eastAsia="黑体"/>
          <w:sz w:val="28"/>
          <w:szCs w:val="28"/>
        </w:rPr>
      </w:pPr>
      <w:r>
        <w:rPr>
          <w:rFonts w:hint="eastAsia" w:ascii="黑体" w:eastAsia="黑体"/>
          <w:sz w:val="28"/>
          <w:szCs w:val="28"/>
        </w:rPr>
        <w:t>问题的澄清</w:t>
      </w:r>
    </w:p>
    <w:p>
      <w:pPr>
        <w:spacing w:line="400" w:lineRule="exact"/>
        <w:ind w:firstLine="3465" w:firstLineChars="1650"/>
      </w:pPr>
      <w:r>
        <w:rPr>
          <w:rFonts w:hint="eastAsia"/>
        </w:rPr>
        <w:t xml:space="preserve">编号： </w:t>
      </w:r>
    </w:p>
    <w:p>
      <w:pPr>
        <w:spacing w:line="400" w:lineRule="exact"/>
        <w:rPr>
          <w:szCs w:val="21"/>
        </w:rPr>
      </w:pPr>
    </w:p>
    <w:p>
      <w:pPr>
        <w:spacing w:line="440" w:lineRule="exact"/>
        <w:rPr>
          <w:szCs w:val="21"/>
        </w:rPr>
      </w:pPr>
      <w:r>
        <w:rPr>
          <w:szCs w:val="21"/>
          <w:u w:val="single"/>
        </w:rPr>
        <w:t xml:space="preserve">                  </w:t>
      </w:r>
      <w:r>
        <w:rPr>
          <w:szCs w:val="21"/>
        </w:rPr>
        <w:t>（项目名称）</w:t>
      </w:r>
      <w:r>
        <w:rPr>
          <w:rFonts w:hint="eastAsia"/>
          <w:szCs w:val="21"/>
        </w:rPr>
        <w:t>设计</w:t>
      </w:r>
      <w:r>
        <w:rPr>
          <w:szCs w:val="21"/>
        </w:rPr>
        <w:t>施工</w:t>
      </w:r>
      <w:r>
        <w:rPr>
          <w:rFonts w:hint="eastAsia"/>
          <w:szCs w:val="21"/>
        </w:rPr>
        <w:t>总承包</w:t>
      </w:r>
      <w:r>
        <w:rPr>
          <w:szCs w:val="21"/>
        </w:rPr>
        <w:t>招标评标委员会：</w:t>
      </w:r>
    </w:p>
    <w:p>
      <w:pPr>
        <w:spacing w:line="440" w:lineRule="exact"/>
        <w:rPr>
          <w:szCs w:val="21"/>
        </w:rPr>
      </w:pPr>
    </w:p>
    <w:p>
      <w:pPr>
        <w:spacing w:line="440" w:lineRule="exact"/>
        <w:rPr>
          <w:szCs w:val="21"/>
        </w:rPr>
      </w:pPr>
      <w:r>
        <w:rPr>
          <w:szCs w:val="21"/>
        </w:rPr>
        <w:t>　　问题澄清通知（编号：</w:t>
      </w:r>
      <w:r>
        <w:rPr>
          <w:szCs w:val="21"/>
          <w:u w:val="single"/>
        </w:rPr>
        <w:t xml:space="preserve">        </w:t>
      </w:r>
      <w:r>
        <w:rPr>
          <w:szCs w:val="21"/>
        </w:rPr>
        <w:t>）已收悉，现澄清如下：</w:t>
      </w:r>
    </w:p>
    <w:p>
      <w:pPr>
        <w:spacing w:line="440" w:lineRule="exact"/>
        <w:rPr>
          <w:szCs w:val="21"/>
        </w:rPr>
      </w:pPr>
      <w:r>
        <w:rPr>
          <w:szCs w:val="21"/>
        </w:rPr>
        <w:t>　     1.</w:t>
      </w:r>
    </w:p>
    <w:p>
      <w:pPr>
        <w:spacing w:line="440" w:lineRule="exact"/>
        <w:rPr>
          <w:szCs w:val="21"/>
        </w:rPr>
      </w:pPr>
      <w:r>
        <w:rPr>
          <w:szCs w:val="21"/>
        </w:rPr>
        <w:t>　     2.</w:t>
      </w:r>
    </w:p>
    <w:p>
      <w:pPr>
        <w:spacing w:line="440" w:lineRule="exact"/>
        <w:rPr>
          <w:szCs w:val="21"/>
        </w:rPr>
      </w:pPr>
      <w:r>
        <w:rPr>
          <w:szCs w:val="21"/>
        </w:rPr>
        <w:t>　    .....</w:t>
      </w:r>
    </w:p>
    <w:p>
      <w:pPr>
        <w:spacing w:line="440" w:lineRule="exact"/>
        <w:rPr>
          <w:szCs w:val="21"/>
        </w:rPr>
      </w:pPr>
      <w:r>
        <w:rPr>
          <w:szCs w:val="21"/>
        </w:rPr>
        <w:t xml:space="preserve">                       </w:t>
      </w:r>
    </w:p>
    <w:p>
      <w:pPr>
        <w:spacing w:line="440" w:lineRule="exact"/>
        <w:rPr>
          <w:szCs w:val="21"/>
        </w:rPr>
      </w:pPr>
      <w:r>
        <w:rPr>
          <w:szCs w:val="21"/>
        </w:rPr>
        <w:t xml:space="preserve">　 </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r>
        <w:rPr>
          <w:szCs w:val="21"/>
        </w:rPr>
        <w:t>　　　　　　　　　　　　　　　投标人：</w:t>
      </w:r>
      <w:r>
        <w:rPr>
          <w:szCs w:val="21"/>
          <w:u w:val="single"/>
        </w:rPr>
        <w:t xml:space="preserve">                      </w:t>
      </w:r>
      <w:r>
        <w:rPr>
          <w:rFonts w:hint="eastAsia"/>
          <w:szCs w:val="21"/>
          <w:u w:val="single"/>
        </w:rPr>
        <w:t xml:space="preserve">  </w:t>
      </w:r>
      <w:r>
        <w:rPr>
          <w:szCs w:val="21"/>
        </w:rPr>
        <w:t>（盖单位章）</w:t>
      </w:r>
    </w:p>
    <w:p>
      <w:pPr>
        <w:spacing w:line="440" w:lineRule="exact"/>
        <w:rPr>
          <w:szCs w:val="21"/>
        </w:rPr>
      </w:pPr>
      <w:r>
        <w:rPr>
          <w:szCs w:val="21"/>
        </w:rPr>
        <w:t>　　　　　　　　　　　　　　　</w:t>
      </w:r>
    </w:p>
    <w:p>
      <w:pPr>
        <w:spacing w:line="440" w:lineRule="exact"/>
        <w:rPr>
          <w:szCs w:val="21"/>
        </w:rPr>
      </w:pPr>
      <w:r>
        <w:rPr>
          <w:szCs w:val="21"/>
        </w:rPr>
        <w:t>　　　　　　　　　　　　　　　法定代表人或其委托代理人：</w:t>
      </w:r>
      <w:r>
        <w:rPr>
          <w:szCs w:val="21"/>
          <w:u w:val="single"/>
        </w:rPr>
        <w:t xml:space="preserve">          </w:t>
      </w:r>
      <w:r>
        <w:rPr>
          <w:szCs w:val="21"/>
        </w:rPr>
        <w:t>（签字）</w:t>
      </w:r>
    </w:p>
    <w:p>
      <w:pPr>
        <w:spacing w:line="440" w:lineRule="exact"/>
        <w:rPr>
          <w:szCs w:val="21"/>
        </w:rPr>
      </w:pPr>
      <w:r>
        <w:rPr>
          <w:szCs w:val="21"/>
        </w:rPr>
        <w:t>　　　　　　　　　　　　　　　</w:t>
      </w:r>
    </w:p>
    <w:p>
      <w:pPr>
        <w:spacing w:line="440" w:lineRule="exact"/>
        <w:rPr>
          <w:szCs w:val="21"/>
        </w:rPr>
      </w:pPr>
      <w:r>
        <w:rPr>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pPr>
        <w:spacing w:line="400" w:lineRule="exact"/>
      </w:pPr>
    </w:p>
    <w:p>
      <w:pPr>
        <w:spacing w:line="400" w:lineRule="exact"/>
      </w:pPr>
      <w:r>
        <w:br w:type="page"/>
      </w:r>
    </w:p>
    <w:p>
      <w:pPr>
        <w:pStyle w:val="5"/>
      </w:pPr>
      <w:bookmarkStart w:id="354" w:name="_Toc247527609"/>
      <w:bookmarkStart w:id="355" w:name="_Toc247514008"/>
      <w:bookmarkStart w:id="356" w:name="_Toc152042361"/>
      <w:bookmarkStart w:id="357" w:name="_Toc152045584"/>
      <w:bookmarkStart w:id="358" w:name="_Toc144974551"/>
      <w:bookmarkStart w:id="359" w:name="_Toc300835005"/>
      <w:r>
        <w:rPr>
          <w:rFonts w:hint="eastAsia"/>
        </w:rPr>
        <w:t>附件四：中标通知书</w:t>
      </w:r>
      <w:bookmarkEnd w:id="354"/>
      <w:bookmarkEnd w:id="355"/>
      <w:bookmarkEnd w:id="356"/>
      <w:bookmarkEnd w:id="357"/>
      <w:bookmarkEnd w:id="358"/>
      <w:bookmarkEnd w:id="359"/>
    </w:p>
    <w:p>
      <w:pPr>
        <w:spacing w:line="540" w:lineRule="exact"/>
        <w:jc w:val="left"/>
        <w:rPr>
          <w:rFonts w:hint="eastAsia" w:eastAsia="宋体"/>
          <w:color w:val="auto"/>
          <w:szCs w:val="21"/>
          <w:highlight w:val="none"/>
          <w:lang w:eastAsia="zh-CN"/>
        </w:rPr>
      </w:pPr>
      <w:r>
        <w:rPr>
          <w:rFonts w:hint="eastAsia" w:ascii="宋体" w:hAnsi="宋体" w:cs="宋体"/>
          <w:color w:val="auto"/>
          <w:sz w:val="24"/>
          <w:szCs w:val="24"/>
          <w:highlight w:val="none"/>
        </w:rPr>
        <w:t>中标通知书采用广州公共资源交易中心格式</w:t>
      </w:r>
      <w:r>
        <w:rPr>
          <w:rFonts w:hint="eastAsia" w:ascii="宋体" w:hAnsi="宋体" w:cs="宋体"/>
          <w:color w:val="auto"/>
          <w:sz w:val="24"/>
          <w:szCs w:val="24"/>
          <w:highlight w:val="none"/>
          <w:lang w:eastAsia="zh-CN"/>
        </w:rPr>
        <w:t>。</w:t>
      </w:r>
    </w:p>
    <w:p>
      <w:pPr>
        <w:spacing w:line="400" w:lineRule="exact"/>
      </w:pPr>
    </w:p>
    <w:p>
      <w:pPr>
        <w:spacing w:line="440" w:lineRule="exact"/>
        <w:rPr>
          <w:rFonts w:hint="eastAsia"/>
          <w:szCs w:val="32"/>
        </w:rPr>
      </w:pPr>
    </w:p>
    <w:p>
      <w:pPr>
        <w:spacing w:line="400" w:lineRule="exact"/>
      </w:pPr>
      <w:r>
        <w:br w:type="page"/>
      </w:r>
    </w:p>
    <w:p>
      <w:pPr>
        <w:pStyle w:val="2"/>
        <w:jc w:val="center"/>
        <w:rPr>
          <w:rFonts w:hint="eastAsia"/>
        </w:rPr>
      </w:pPr>
      <w:bookmarkStart w:id="360" w:name="_Toc300835008"/>
      <w:bookmarkStart w:id="361" w:name="_Toc152045598"/>
      <w:bookmarkStart w:id="362" w:name="_Toc152042375"/>
      <w:bookmarkStart w:id="363" w:name="_Toc247527623"/>
      <w:bookmarkStart w:id="364" w:name="_Toc247514022"/>
      <w:bookmarkStart w:id="365" w:name="_Toc144974565"/>
      <w:r>
        <w:rPr>
          <w:rFonts w:hint="eastAsia"/>
        </w:rPr>
        <w:t>第三章 评标办法（综合评估法）</w:t>
      </w:r>
      <w:bookmarkEnd w:id="360"/>
      <w:bookmarkEnd w:id="361"/>
      <w:bookmarkEnd w:id="362"/>
      <w:bookmarkEnd w:id="363"/>
      <w:bookmarkEnd w:id="364"/>
      <w:bookmarkEnd w:id="365"/>
      <w:bookmarkStart w:id="366" w:name="_Toc247527624"/>
      <w:bookmarkStart w:id="367" w:name="_Toc144974566"/>
      <w:bookmarkStart w:id="368" w:name="_Toc152045599"/>
      <w:bookmarkStart w:id="369" w:name="_Toc152042376"/>
      <w:bookmarkStart w:id="370" w:name="_Toc247514023"/>
    </w:p>
    <w:p>
      <w:pPr>
        <w:pStyle w:val="3"/>
        <w:jc w:val="center"/>
        <w:rPr>
          <w:rFonts w:hint="eastAsia"/>
        </w:rPr>
      </w:pPr>
      <w:bookmarkStart w:id="371" w:name="_Toc300835009"/>
      <w:r>
        <w:rPr>
          <w:rFonts w:hint="eastAsia"/>
        </w:rPr>
        <w:t>评标办法前附表</w:t>
      </w:r>
      <w:bookmarkEnd w:id="366"/>
      <w:bookmarkEnd w:id="367"/>
      <w:bookmarkEnd w:id="368"/>
      <w:bookmarkEnd w:id="369"/>
      <w:bookmarkEnd w:id="370"/>
      <w:bookmarkEnd w:id="371"/>
    </w:p>
    <w:tbl>
      <w:tblPr>
        <w:tblStyle w:val="1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947"/>
        <w:gridCol w:w="1714"/>
        <w:gridCol w:w="5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条款号</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形式评审标准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投标人名称</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与营业执照、资质证书一致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投标函签字盖章</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有法定代表人或其委托代理人签字（或盖章）并加盖单位章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投标文件格式</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符合第七章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投标文件格式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报价唯一</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只能有一个有效报价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资格评审标准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营业执照</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资质等级</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信誉</w:t>
            </w:r>
            <w:r>
              <w:rPr>
                <w:rFonts w:hint="eastAsia" w:ascii="宋体" w:hAnsi="宋体" w:cs="宋体"/>
                <w:i w:val="0"/>
                <w:iCs w:val="0"/>
                <w:color w:val="000000"/>
                <w:kern w:val="0"/>
                <w:sz w:val="21"/>
                <w:szCs w:val="21"/>
                <w:u w:val="none"/>
                <w:lang w:val="en-US" w:eastAsia="zh-CN" w:bidi="ar"/>
              </w:rPr>
              <w:t>要求</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项目负责人（兼施工负责人）</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设计负责人</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技术负责人</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专职安全员</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其他要求</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1.4.1</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联合体投标人</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1.4.2</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响应性评审标准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3.2.4</w:t>
            </w:r>
            <w:r>
              <w:rPr>
                <w:rFonts w:hint="eastAsia" w:ascii="宋体" w:hAnsi="宋体" w:eastAsia="宋体" w:cs="宋体"/>
                <w:i w:val="0"/>
                <w:iCs w:val="0"/>
                <w:color w:val="000000"/>
                <w:kern w:val="0"/>
                <w:sz w:val="21"/>
                <w:szCs w:val="21"/>
                <w:u w:val="none"/>
                <w:lang w:val="en-US" w:eastAsia="zh-CN" w:bidi="ar"/>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投标内容</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1.3.1</w:t>
            </w:r>
            <w:r>
              <w:rPr>
                <w:rFonts w:hint="eastAsia" w:ascii="宋体" w:hAnsi="宋体" w:eastAsia="宋体" w:cs="宋体"/>
                <w:i w:val="0"/>
                <w:iCs w:val="0"/>
                <w:color w:val="000000"/>
                <w:kern w:val="0"/>
                <w:sz w:val="21"/>
                <w:szCs w:val="21"/>
                <w:u w:val="none"/>
                <w:lang w:val="en-US" w:eastAsia="zh-CN" w:bidi="ar"/>
              </w:rPr>
              <w:t>项规定，提供《投标函》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工期</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1.3.2</w:t>
            </w:r>
            <w:r>
              <w:rPr>
                <w:rFonts w:hint="eastAsia" w:ascii="宋体" w:hAnsi="宋体" w:eastAsia="宋体" w:cs="宋体"/>
                <w:i w:val="0"/>
                <w:iCs w:val="0"/>
                <w:color w:val="000000"/>
                <w:kern w:val="0"/>
                <w:sz w:val="21"/>
                <w:szCs w:val="21"/>
                <w:u w:val="none"/>
                <w:lang w:val="en-US" w:eastAsia="zh-CN" w:bidi="ar"/>
              </w:rPr>
              <w:t>项规定，提供《投标函》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质量标准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1.3.3</w:t>
            </w:r>
            <w:r>
              <w:rPr>
                <w:rFonts w:hint="eastAsia" w:ascii="宋体" w:hAnsi="宋体" w:eastAsia="宋体" w:cs="宋体"/>
                <w:i w:val="0"/>
                <w:iCs w:val="0"/>
                <w:color w:val="000000"/>
                <w:kern w:val="0"/>
                <w:sz w:val="21"/>
                <w:szCs w:val="21"/>
                <w:u w:val="none"/>
                <w:lang w:val="en-US" w:eastAsia="zh-CN" w:bidi="ar"/>
              </w:rPr>
              <w:t>项规定，提供《投标函》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投标有效期</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3.3.1</w:t>
            </w:r>
            <w:r>
              <w:rPr>
                <w:rFonts w:hint="eastAsia" w:ascii="宋体" w:hAnsi="宋体" w:eastAsia="宋体" w:cs="宋体"/>
                <w:i w:val="0"/>
                <w:iCs w:val="0"/>
                <w:color w:val="000000"/>
                <w:kern w:val="0"/>
                <w:sz w:val="21"/>
                <w:szCs w:val="21"/>
                <w:u w:val="none"/>
                <w:lang w:val="en-US" w:eastAsia="zh-CN" w:bidi="ar"/>
              </w:rPr>
              <w:t>项规定，提供《投标函》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投标保证金</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符合第二章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投标人须知</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3.4</w:t>
            </w:r>
            <w:r>
              <w:rPr>
                <w:rFonts w:hint="eastAsia" w:ascii="宋体" w:hAnsi="宋体" w:eastAsia="宋体" w:cs="宋体"/>
                <w:i w:val="0"/>
                <w:iCs w:val="0"/>
                <w:color w:val="000000"/>
                <w:kern w:val="0"/>
                <w:sz w:val="21"/>
                <w:szCs w:val="21"/>
                <w:u w:val="none"/>
                <w:lang w:val="en-US" w:eastAsia="zh-CN" w:bidi="ar"/>
              </w:rPr>
              <w:t>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★号条款响应</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投标文件完全满足招标文件的实质性条款（即标注★号条款），无负偏离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权利义务</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符合第四章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合同条款及格式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规定的权利义务，提交按规定格式签名盖章的《合同承诺书》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条款号</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条款内容</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9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分值构成(总分100分)</w:t>
            </w:r>
          </w:p>
        </w:tc>
        <w:tc>
          <w:tcPr>
            <w:tcW w:w="3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总分=资信业绩（满分30分）+承包人实施方案（满分40分）+投标报价得分（满分30分）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评标基准价计算方法</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1、评标价格=设计费用报价*4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+工程费用最高投标限价*（1-投标下浮率）*95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以通过初步评审并经算术校核的投标人的评标价格中，在【总价最高投标限价×90%，总价最高投标限价】区间的投标人超过5家时，在经算术校核的位于【总价最高投标限价×90%，总价最高投标限价】区间的投标人的评标价格中，去掉一个最高价和一个最低价后，取剩余报价的算术平均值为评标基准价；通过初步评审且并经算术校核的投标人的评标价格位于【总价最高投标限价×90%，总价最高投标限价】区间的投标人少于5家（含5家）时，直接取区间中的评标价格的算术平均值为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9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投标报价的偏差率计算公式</w:t>
            </w:r>
          </w:p>
        </w:tc>
        <w:tc>
          <w:tcPr>
            <w:tcW w:w="3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偏差率=100% ×（投标人报价－评标基准价）/评标基准价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条款号</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评分因素（偏差率）</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9"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p>
        </w:tc>
        <w:tc>
          <w:tcPr>
            <w:tcW w:w="51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资信业绩评分标准</w:t>
            </w:r>
          </w:p>
        </w:tc>
        <w:tc>
          <w:tcPr>
            <w:tcW w:w="92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企业类似业绩（7分）</w:t>
            </w:r>
          </w:p>
        </w:tc>
        <w:tc>
          <w:tcPr>
            <w:tcW w:w="31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1.投标人施工业绩（如为联合体投标，指主办方）：2020年1月1日至今，每完成过一项合同金额350万（含）或以上展厅展览类工程项目施工任务的，得1分.本项最高得2分；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①同一业绩不重叠计分；②完成时间以竣工验收文件为准。③需提供中标通知书、合同关键页及竣工验收合格报告，合同需清晰显示证明以上评分信息，验收文件至少具有建设单位及施工单位盖章。无竣工验收合格报告的可提供业主开具的证明并加盖鲜章。资格业绩不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2.投标人设计业绩（如为联合体投标，指设计方）：2020年1月1日至今，每完成过一项合同金额15万（含）或以上展厅展览类设计的，得1分。本项最高得3分；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注：①同一业绩不重叠计分；②完成时间以施工图审查通过文件为准。③需提供中标通知书、合同关键页，合同需清晰显示证明以上评分信息（含合同金额、工作内容含装配式建筑施工图设计）。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设计施工一体化业绩（如为联合体投标，指主办方）：2020年1月1日至今，每完成过1项合同金额400万（含）或以上非联合体展厅展览类设计施工一体化项目（工作内容需同时包含设计与施工）的，得1分，本项最高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①同一业绩不重叠计分；②完成时间以竣工验收文件为准。③需提供中标通知书、合同关键页及竣工验收合格报告，合同需清晰显示证明以上评分信息，验收文件至少具有建设单位及施工单位盖章。无竣工验收合格报告的可提供业主开具的证明并加盖鲜章。资格业绩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企业管理体系认证（</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根据投标人提供有效期内的职业健康安全管理体系认证证书、环境管理体系认证证书、质量管理体系认证证书，每提供一项认证证书得1分，最高得3分。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 提供有效的认证证书复印件，不提供或资料不齐全不得分。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财务指标（2分）</w:t>
            </w:r>
          </w:p>
        </w:tc>
        <w:tc>
          <w:tcPr>
            <w:tcW w:w="31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投标人（如为联合体投标，指主办方）提供最近三年（指2020年—2022年）经会计师事务所或审计机构审计的财务报表，三年数据平均值满足以下要求的：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0%≤资产负债率&lt;70%，得2分；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70% ≤资产负债率＜75%，得1分；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75%≤资产负债率＜80%，得0.5分；其余情况不得分。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注：1、资产负债率=负债总额/资产总额，三年平均资产负债率=三年平均负债总额/三年平均资产总额，保留两位小数点。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2、提供最近三年（2020年—2022年）经会计师事务所或审计机构审计的财务报表复印件。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企业信誉（2分）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投标人（如为联合体投标，指主办方）2020年1月1日至今，具有银行或第三方信用评级机构出具的信用等级证书，获得“AAA级”得2分，获得“AA级”得1分。其他情况不得分。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注：须提供相关有效的证书复印件。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项目奖项（</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分）</w:t>
            </w:r>
          </w:p>
        </w:tc>
        <w:tc>
          <w:tcPr>
            <w:tcW w:w="31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投标人自2020年以来承接的展厅展览类项目获得国家级奖的每个得2分。获得省级奖的每个得1分。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以获奖时间为准，单个项目获得多个奖项的仅取其中一个奖项得分。奖项可由国家相关部门批准成立的协会所颁发（协会颁发的相关奖项须同时提供该协会在中国社会组织政务服务平台（www.chinanpo.gov.cn）的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拟投入人员实力（10分）</w:t>
            </w:r>
          </w:p>
        </w:tc>
        <w:tc>
          <w:tcPr>
            <w:tcW w:w="31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1、投标人配备的项目负责人（兼施工负责人）：具备建筑工程相关专业高级职称或以上，得1分。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注：需提供资质证书复印件。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2、投标人配备的设计负责人：自2018年1月以来作为主创人员所设计的展陈类项目获得国家级奖的每一个得3分，获得省级奖的每个得2分，最多得6分。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奖项需体现本项目拟派设计负责人姓名，以获奖时间为准，奖项可由国家相关部门批准成立的协会所颁发。协会颁发的相关奖项须同时提供该协会在中国社会组织政务服务平台（www.chinanpo.gov.cn）的截图。单个项目获得多个奖项的仅取其中一个奖项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3、投标人配备的设计团队（不含设计负责人）：团队成员具备环境艺术类的中级职称或以上每个得1分，最多得3分。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注：需提供资质证书复印件。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承包人实施方案评分标准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展厅整体策划（4分）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展理念明确、对核心主题把握准确、构思新颖，针对设计需求研读理解深刻，展厅的策展内容逻辑及总体设计风格简洁大气、空间及版块设置科学合理、展示内容与主题契合、逻辑及脉络清晰、流线顺畅高效、整体布局动感敞亮，同时兼顾文化性和艺术性、达到设计任务书文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优：展厅整体策划内容详细、完整；总体设计风格简洁大气，与整体建筑布局进行科学结合，布局科学合理可行性高得（2-4]分；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中：展厅整体策划内容不够详细、不够完整；与整体建筑布局结合不够科学；布局不够合理可行性不够高得（0-2]分；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展陈大纲（3分）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展陈大纲主线明确、主题清晰、逻辑完整，展览内容理解准确，内容完整详实，用实物及模型展示需梳理清单并有机融入内容大纲，合理丰富展陈内容，具备一定政治高度和国际视野。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优：展陈大纲内容详细、完整；能按照逻辑线设计展陈内容，科学合理可行性高得（2-3]分；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中：展陈大纲内容不够详细、不够完整；不够科学不够合理可行性不够高得（0-2]分；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空间布局与流线性（3分）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区合理，简洁通透，重点突出，制定有针对性的服务方案，综合考虑展馆的最理想参观容量，注重空间的科学布局和充分共享；各展区之间衔接顺畅、单个展区主线明晰。参观动线流畅、简洁，有明确出入口，对接待、参观、体验、互动等空间功能均有合理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优：参观流线充分考虑流线的合理性、趣味性、灵活性，以及参与者的舒适性、体验性高得（2-3]分；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中：参观流线内容不够详细、不够完整；不够科学不够合理可行性不够高得（0-2]分；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声光电展示运用和艺术场景设计（4分）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声、光、电、等多媒体表现手法的运用，能较好的表现展示内容，适当增加参与性、互动性，根据不同内容运用最合适的展示手段；重点展项表现力突出、形式丰富新颖，加深观众对内容的印象，实现艺术与科技的融合；同时反映绿色节能等可持续发展理念，后期易于维护，便于展示内容的更新与日常运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优：展示形式动态与静态相配、局部与整体相衬、展示与体验相融高得（2-4]分；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中：展示形式内容不够详细、不够完整；不够科学不够合理可行性不够高得（0-2]分；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展厅的总体效果1（5分）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考察投标人提供的空间效果图：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数量是否满足采购人要求：展厅一层的三维建模效果图每个点位（序厅、云初心、云演播、云征程、云视野）提供至少2张；二层的三维建模效果图每个点位（机场四大品牌展示、年度先进个人、艺术展项、企业文化长廊）提供至少1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2、空间效果图是否反映展厅总体效果，是否体现立面、空间、设备、数字灯光要素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优：提供的空间效果图数量满足要求且体现要素齐全得5分；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中：提供的空间效果图数量仅部分满足采购人需求或按未能完全体现要求要素内容得3分；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展厅的总体效果2（6分）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考察投标人提供的空间效果图包含但不限于各展区立面风格体现、设计元素及色彩提取、视觉标准、设备及数字灯光等要素的运用方案。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所提供的空间效果图具有强烈艺术感染力，展厅空间设计合理，有效运用灯光、数字及多媒体系统等手段展示重要展项，有丰富的表现力，播放形式新颖突出展示手法具有多样性、科学性、合理性，展示手段具有参与感、互动性，影视、多媒体系统配备合理，技术优良，契合整体效果得（4-6]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所提供的空间效果图总体效果不够和谐统一，不够舒适美观，表现能力、艺术感染力不够，展示手法缺乏多样性、科学性、合理性，展示手段缺乏参与感、互动性，影视、多媒体系统配备不够合理，与整体效果不够契合得（0-4]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差：不提供相关内容得0分。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发包人要求响应（</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根据投标文件对发包人要求（除★条款）的响应情况评审，完全满足得10分；有1项负偏离，扣1分，扣至0分为止。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t>注：如有明确提供的证明资料，则以要求的为准，未按要求提供证明材料的不得分；如无明确证明材料的，以投标人响应文件中的《</w:t>
            </w:r>
            <w:r>
              <w:rPr>
                <w:rFonts w:hint="eastAsia"/>
              </w:rPr>
              <w:t>发包人要求（除★条款）参数响应表</w:t>
            </w:r>
            <w:r>
              <w:t>》中的响应情况填写内容为准。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施工组织设计（2分）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项目人员配置情况，确保工程质量、安全生产、工期和文明施工的技术组织措施情况，以及主要施工方法及关键技术内容、进度计划的合理性等方面综合比较。优的得（1-2]分，中的得（0-1]分，差或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运营方案完整性、环保节能、数字化技术运用解决方案（2分）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有良好的运营理念，能够运用云计算、物联网和大数据为陈列展览和公众服务提供新颖便利的解决方案。注重节能、环保、低碳，打造绿色智能化展馆。优的得（1-2]分，中的得（1-2]分，差或未提供的不得分。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材料应用、安全保护措施（1分）</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要求深刻理解、正确掌握各项规范要求，展示选用材料均能符合安全、防火、环保、节能的要求；有先进、具体、完整、可行的展品安全、保护措施。优的得（0.5-1]分，中的得（0.5-1]分，差或未提供的不得分。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投标报价评分标准</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计算公式</w:t>
            </w:r>
          </w:p>
        </w:tc>
        <w:tc>
          <w:tcPr>
            <w:tcW w:w="316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当评标价格等于评标基准价时得30分，评标价格每高于评标基准价1%，扣</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分，每低于评标基准价1%，扣</w:t>
            </w:r>
            <w:r>
              <w:rPr>
                <w:rFonts w:hint="eastAsia" w:ascii="宋体" w:hAnsi="宋体" w:cs="宋体"/>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t>分，扣至0分为止，得出投标报价得分，精确到小数点后两位。</w:t>
            </w:r>
          </w:p>
        </w:tc>
      </w:tr>
    </w:tbl>
    <w:p>
      <w:pPr>
        <w:spacing w:line="400" w:lineRule="exact"/>
      </w:pPr>
    </w:p>
    <w:p>
      <w:pPr>
        <w:pStyle w:val="3"/>
      </w:pPr>
      <w:bookmarkStart w:id="372" w:name="_Toc247514024"/>
      <w:bookmarkStart w:id="373" w:name="_Toc300835010"/>
      <w:bookmarkStart w:id="374" w:name="_Toc152045600"/>
      <w:bookmarkStart w:id="375" w:name="_Toc144974567"/>
      <w:bookmarkStart w:id="376" w:name="_Toc247527625"/>
      <w:bookmarkStart w:id="377" w:name="_Toc152042377"/>
      <w:r>
        <w:rPr>
          <w:rFonts w:hint="eastAsia"/>
        </w:rPr>
        <w:t>1. 评标方法</w:t>
      </w:r>
      <w:bookmarkEnd w:id="372"/>
      <w:bookmarkEnd w:id="373"/>
      <w:bookmarkEnd w:id="374"/>
      <w:bookmarkEnd w:id="375"/>
      <w:bookmarkEnd w:id="376"/>
      <w:bookmarkEnd w:id="377"/>
    </w:p>
    <w:p>
      <w:pPr>
        <w:spacing w:line="400" w:lineRule="exact"/>
        <w:ind w:firstLine="420" w:firstLineChars="200"/>
      </w:pPr>
      <w:r>
        <w:rPr>
          <w:rFonts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pPr>
        <w:pStyle w:val="3"/>
      </w:pPr>
      <w:bookmarkStart w:id="378" w:name="_Toc247527626"/>
      <w:bookmarkStart w:id="379" w:name="_Toc247514025"/>
      <w:bookmarkStart w:id="380" w:name="_Toc152042378"/>
      <w:bookmarkStart w:id="381" w:name="_Toc152045601"/>
      <w:bookmarkStart w:id="382" w:name="_Toc300835011"/>
      <w:bookmarkStart w:id="383" w:name="_Toc144974568"/>
      <w:r>
        <w:rPr>
          <w:rFonts w:hint="eastAsia"/>
        </w:rPr>
        <w:t>2. 评审标准</w:t>
      </w:r>
      <w:bookmarkEnd w:id="378"/>
      <w:bookmarkEnd w:id="379"/>
      <w:bookmarkEnd w:id="380"/>
      <w:bookmarkEnd w:id="381"/>
      <w:bookmarkEnd w:id="382"/>
      <w:bookmarkEnd w:id="383"/>
    </w:p>
    <w:p>
      <w:pPr>
        <w:pStyle w:val="5"/>
      </w:pPr>
      <w:bookmarkStart w:id="384" w:name="_Toc152042379"/>
      <w:bookmarkStart w:id="385" w:name="_Toc300835012"/>
      <w:bookmarkStart w:id="386" w:name="_Toc247527627"/>
      <w:bookmarkStart w:id="387" w:name="_Toc152045602"/>
      <w:bookmarkStart w:id="388" w:name="_Toc247514026"/>
      <w:bookmarkStart w:id="389" w:name="_Toc144974569"/>
      <w:r>
        <w:rPr>
          <w:rFonts w:hint="eastAsia" w:ascii="Times New Roman" w:hAnsi="Times New Roman"/>
          <w:lang w:val="en-US" w:eastAsia="zh-CN"/>
        </w:rPr>
        <w:t>2.1</w:t>
      </w:r>
      <w:r>
        <w:rPr>
          <w:rFonts w:hint="eastAsia"/>
        </w:rPr>
        <w:t xml:space="preserve"> 初步评审标准</w:t>
      </w:r>
      <w:bookmarkEnd w:id="384"/>
      <w:bookmarkEnd w:id="385"/>
      <w:bookmarkEnd w:id="386"/>
      <w:bookmarkEnd w:id="387"/>
      <w:bookmarkEnd w:id="388"/>
      <w:bookmarkEnd w:id="389"/>
    </w:p>
    <w:p>
      <w:pPr>
        <w:spacing w:line="400" w:lineRule="exact"/>
        <w:ind w:firstLine="420" w:firstLineChars="200"/>
      </w:pPr>
      <w:r>
        <w:rPr>
          <w:rFonts w:hint="eastAsia"/>
        </w:rPr>
        <w:t>2.1.1 形式评审标准：见评标办法前附表。</w:t>
      </w:r>
    </w:p>
    <w:p>
      <w:pPr>
        <w:spacing w:line="400" w:lineRule="exact"/>
        <w:ind w:firstLine="420" w:firstLineChars="200"/>
      </w:pPr>
      <w:r>
        <w:rPr>
          <w:rFonts w:hint="eastAsia"/>
        </w:rPr>
        <w:t>2.1.2 资格评审标准：见评标办法前附表。</w:t>
      </w:r>
    </w:p>
    <w:p>
      <w:pPr>
        <w:spacing w:line="400" w:lineRule="exact"/>
        <w:ind w:firstLine="420" w:firstLineChars="200"/>
      </w:pPr>
      <w:r>
        <w:rPr>
          <w:rFonts w:hint="eastAsia"/>
        </w:rPr>
        <w:t>2.1.3 响应性评审标准：见评标办法前附表。</w:t>
      </w:r>
    </w:p>
    <w:p>
      <w:pPr>
        <w:pStyle w:val="5"/>
      </w:pPr>
      <w:bookmarkStart w:id="390" w:name="_Toc152042380"/>
      <w:bookmarkStart w:id="391" w:name="_Toc144974570"/>
      <w:bookmarkStart w:id="392" w:name="_Toc152045603"/>
      <w:bookmarkStart w:id="393" w:name="_Toc300835013"/>
      <w:bookmarkStart w:id="394" w:name="_Toc247514027"/>
      <w:bookmarkStart w:id="395" w:name="_Toc247527628"/>
      <w:r>
        <w:rPr>
          <w:rFonts w:hint="eastAsia" w:ascii="Times New Roman" w:hAnsi="Times New Roman"/>
          <w:lang w:val="en-US" w:eastAsia="zh-CN"/>
        </w:rPr>
        <w:t>2.2</w:t>
      </w:r>
      <w:r>
        <w:rPr>
          <w:rFonts w:hint="eastAsia"/>
        </w:rPr>
        <w:t xml:space="preserve"> 分值构成与评分标准</w:t>
      </w:r>
      <w:bookmarkEnd w:id="390"/>
      <w:bookmarkEnd w:id="391"/>
      <w:bookmarkEnd w:id="392"/>
      <w:bookmarkEnd w:id="393"/>
      <w:bookmarkEnd w:id="394"/>
      <w:bookmarkEnd w:id="395"/>
    </w:p>
    <w:p>
      <w:pPr>
        <w:spacing w:line="400" w:lineRule="exact"/>
        <w:ind w:firstLine="420" w:firstLineChars="200"/>
      </w:pPr>
      <w:r>
        <w:rPr>
          <w:rFonts w:hint="eastAsia"/>
        </w:rPr>
        <w:t>2.2.1 分值构成</w:t>
      </w:r>
    </w:p>
    <w:p>
      <w:pPr>
        <w:spacing w:line="400" w:lineRule="exact"/>
        <w:ind w:firstLine="420" w:firstLineChars="200"/>
      </w:pPr>
      <w:r>
        <w:rPr>
          <w:rFonts w:hint="eastAsia"/>
        </w:rPr>
        <w:t>（1）承包人建议书：见评标办法前附表；</w:t>
      </w:r>
    </w:p>
    <w:p>
      <w:pPr>
        <w:spacing w:line="400" w:lineRule="exact"/>
        <w:ind w:firstLine="420" w:firstLineChars="200"/>
      </w:pPr>
      <w:r>
        <w:rPr>
          <w:rFonts w:hint="eastAsia"/>
        </w:rPr>
        <w:t>（2）资信业绩部分：见评标办法前附表；</w:t>
      </w:r>
    </w:p>
    <w:p>
      <w:pPr>
        <w:spacing w:line="400" w:lineRule="exact"/>
        <w:ind w:firstLine="420" w:firstLineChars="200"/>
      </w:pPr>
      <w:r>
        <w:rPr>
          <w:rFonts w:hint="eastAsia"/>
        </w:rPr>
        <w:t>（3）承包人实施方案：见评标办法前附表；</w:t>
      </w:r>
    </w:p>
    <w:p>
      <w:pPr>
        <w:spacing w:line="400" w:lineRule="exact"/>
        <w:ind w:firstLine="420" w:firstLineChars="200"/>
        <w:rPr>
          <w:rFonts w:hint="eastAsia"/>
        </w:rPr>
      </w:pPr>
      <w:r>
        <w:rPr>
          <w:rFonts w:hint="eastAsia"/>
        </w:rPr>
        <w:t>（4）投标报价：见评标办法前附表；</w:t>
      </w:r>
    </w:p>
    <w:p>
      <w:pPr>
        <w:spacing w:line="400" w:lineRule="exact"/>
        <w:ind w:firstLine="420" w:firstLineChars="200"/>
      </w:pPr>
      <w:r>
        <w:rPr>
          <w:rFonts w:hint="eastAsia"/>
        </w:rPr>
        <w:t>（5）</w:t>
      </w:r>
      <w:r>
        <w:t>其他评分因素：</w:t>
      </w:r>
      <w:r>
        <w:rPr>
          <w:rFonts w:hint="eastAsia"/>
        </w:rPr>
        <w:t>见评标办法前附表。</w:t>
      </w:r>
    </w:p>
    <w:p>
      <w:pPr>
        <w:spacing w:line="400" w:lineRule="exact"/>
        <w:ind w:firstLine="420" w:firstLineChars="200"/>
      </w:pPr>
      <w:r>
        <w:rPr>
          <w:rFonts w:hint="eastAsia"/>
        </w:rPr>
        <w:t>2.2.2 评标基准价计算</w:t>
      </w:r>
    </w:p>
    <w:p>
      <w:pPr>
        <w:spacing w:line="400" w:lineRule="exact"/>
        <w:ind w:firstLine="420" w:firstLineChars="200"/>
      </w:pPr>
      <w:r>
        <w:rPr>
          <w:rFonts w:hint="eastAsia"/>
        </w:rPr>
        <w:t>评标基准价计算方法：见评标办法前附表。</w:t>
      </w:r>
    </w:p>
    <w:p>
      <w:pPr>
        <w:spacing w:line="400" w:lineRule="exact"/>
        <w:ind w:firstLine="420" w:firstLineChars="200"/>
      </w:pPr>
      <w:r>
        <w:rPr>
          <w:rFonts w:hint="eastAsia"/>
        </w:rPr>
        <w:t>2.2.3 投标报价的偏差率计算</w:t>
      </w:r>
    </w:p>
    <w:p>
      <w:pPr>
        <w:spacing w:line="400" w:lineRule="exact"/>
        <w:ind w:firstLine="420" w:firstLineChars="200"/>
      </w:pPr>
      <w:r>
        <w:rPr>
          <w:rFonts w:hint="eastAsia"/>
        </w:rPr>
        <w:t>投标报价的偏差率计算公式：见评标办法前附表。</w:t>
      </w:r>
    </w:p>
    <w:p>
      <w:pPr>
        <w:spacing w:line="400" w:lineRule="exact"/>
        <w:ind w:firstLine="420" w:firstLineChars="200"/>
      </w:pPr>
      <w:r>
        <w:rPr>
          <w:rFonts w:hint="eastAsia"/>
        </w:rPr>
        <w:t>2.2.4 评分标准</w:t>
      </w:r>
    </w:p>
    <w:p>
      <w:pPr>
        <w:spacing w:line="400" w:lineRule="exact"/>
        <w:ind w:firstLine="420" w:firstLineChars="200"/>
      </w:pPr>
      <w:r>
        <w:rPr>
          <w:rFonts w:hint="eastAsia"/>
        </w:rPr>
        <w:t>（1）承包人建议书评分标准：见评标办法前附表；</w:t>
      </w:r>
    </w:p>
    <w:p>
      <w:pPr>
        <w:spacing w:line="400" w:lineRule="exact"/>
        <w:ind w:firstLine="420" w:firstLineChars="200"/>
        <w:rPr>
          <w:rFonts w:hint="eastAsia"/>
        </w:rPr>
      </w:pPr>
      <w:r>
        <w:rPr>
          <w:rFonts w:hint="eastAsia"/>
        </w:rPr>
        <w:t>（2）资信业绩评分标准：见评标办法前附表；</w:t>
      </w:r>
    </w:p>
    <w:p>
      <w:pPr>
        <w:spacing w:line="400" w:lineRule="exact"/>
        <w:ind w:firstLine="420" w:firstLineChars="200"/>
        <w:rPr>
          <w:rFonts w:hint="eastAsia"/>
        </w:rPr>
      </w:pPr>
      <w:r>
        <w:rPr>
          <w:rFonts w:hint="eastAsia"/>
        </w:rPr>
        <w:t>（3）承包人实施方案评分标准：见评标办法前附表；</w:t>
      </w:r>
    </w:p>
    <w:p>
      <w:pPr>
        <w:spacing w:line="400" w:lineRule="exact"/>
        <w:ind w:firstLine="420" w:firstLineChars="200"/>
      </w:pPr>
      <w:r>
        <w:rPr>
          <w:rFonts w:hint="eastAsia"/>
        </w:rPr>
        <w:t>（4）投标报价评分标准：见评标办法前附表；</w:t>
      </w:r>
    </w:p>
    <w:p>
      <w:pPr>
        <w:spacing w:line="400" w:lineRule="exact"/>
        <w:ind w:firstLine="420" w:firstLineChars="200"/>
      </w:pPr>
      <w:r>
        <w:rPr>
          <w:rFonts w:hint="eastAsia"/>
        </w:rPr>
        <w:t>（5）其他因素评分标准：见评标办法前附表。</w:t>
      </w:r>
    </w:p>
    <w:p>
      <w:pPr>
        <w:pStyle w:val="3"/>
      </w:pPr>
      <w:bookmarkStart w:id="396" w:name="_Toc144974571"/>
      <w:bookmarkStart w:id="397" w:name="_Toc300835014"/>
      <w:bookmarkStart w:id="398" w:name="_Toc152042381"/>
      <w:bookmarkStart w:id="399" w:name="_Toc152045604"/>
      <w:bookmarkStart w:id="400" w:name="_Toc247527629"/>
      <w:bookmarkStart w:id="401" w:name="_Toc247514028"/>
      <w:r>
        <w:rPr>
          <w:rFonts w:hint="eastAsia"/>
        </w:rPr>
        <w:t>3. 评标程序</w:t>
      </w:r>
      <w:bookmarkEnd w:id="396"/>
      <w:bookmarkEnd w:id="397"/>
      <w:bookmarkEnd w:id="398"/>
      <w:bookmarkEnd w:id="399"/>
      <w:bookmarkEnd w:id="400"/>
      <w:bookmarkEnd w:id="401"/>
    </w:p>
    <w:p>
      <w:pPr>
        <w:pStyle w:val="5"/>
      </w:pPr>
      <w:bookmarkStart w:id="402" w:name="_Toc300835015"/>
      <w:bookmarkStart w:id="403" w:name="_Toc247527630"/>
      <w:bookmarkStart w:id="404" w:name="_Toc144974572"/>
      <w:bookmarkStart w:id="405" w:name="_Toc152045605"/>
      <w:bookmarkStart w:id="406" w:name="_Toc152042382"/>
      <w:bookmarkStart w:id="407" w:name="_Toc247514029"/>
      <w:r>
        <w:rPr>
          <w:rFonts w:hint="eastAsia" w:ascii="Times New Roman" w:hAnsi="Times New Roman"/>
          <w:lang w:val="en-US" w:eastAsia="zh-CN"/>
        </w:rPr>
        <w:t>3.1</w:t>
      </w:r>
      <w:r>
        <w:rPr>
          <w:rFonts w:hint="eastAsia"/>
        </w:rPr>
        <w:t xml:space="preserve"> 初步评审</w:t>
      </w:r>
      <w:bookmarkEnd w:id="402"/>
      <w:bookmarkEnd w:id="403"/>
      <w:bookmarkEnd w:id="404"/>
      <w:bookmarkEnd w:id="405"/>
      <w:bookmarkEnd w:id="406"/>
      <w:bookmarkEnd w:id="407"/>
    </w:p>
    <w:p>
      <w:pPr>
        <w:spacing w:line="400" w:lineRule="exact"/>
        <w:ind w:firstLine="420" w:firstLineChars="200"/>
      </w:pPr>
      <w:r>
        <w:rPr>
          <w:rFonts w:hint="eastAsia"/>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适用于未进行资格预审的）</w:t>
      </w:r>
    </w:p>
    <w:p>
      <w:pPr>
        <w:spacing w:line="400" w:lineRule="exact"/>
        <w:ind w:firstLine="420" w:firstLineChars="200"/>
      </w:pPr>
      <w:r>
        <w:rPr>
          <w:rFonts w:hint="eastAsia"/>
        </w:rPr>
        <w:t>3.1.1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spacing w:line="400" w:lineRule="exact"/>
        <w:ind w:firstLine="420" w:firstLineChars="200"/>
      </w:pPr>
      <w:r>
        <w:rPr>
          <w:rFonts w:hint="eastAsia"/>
        </w:rPr>
        <w:t>3.1.2 投标人有以下情形之一的，评标委员会应当否决其投标：</w:t>
      </w:r>
    </w:p>
    <w:p>
      <w:pPr>
        <w:spacing w:line="400" w:lineRule="exact"/>
        <w:ind w:firstLine="420" w:firstLineChars="200"/>
      </w:pPr>
      <w:r>
        <w:rPr>
          <w:rFonts w:hint="eastAsia"/>
        </w:rPr>
        <w:t>（1）第二章“投标人须知”第1.4.3项、第1.4.4项规定的任何一种情形的；</w:t>
      </w:r>
    </w:p>
    <w:p>
      <w:pPr>
        <w:spacing w:line="400" w:lineRule="exact"/>
        <w:ind w:firstLine="420" w:firstLineChars="200"/>
      </w:pPr>
      <w:r>
        <w:rPr>
          <w:rFonts w:hint="eastAsia"/>
        </w:rPr>
        <w:t>（2）串通投标或弄虚作假或有其他违法行为的；</w:t>
      </w:r>
    </w:p>
    <w:p>
      <w:pPr>
        <w:spacing w:line="400" w:lineRule="exact"/>
        <w:ind w:firstLine="420" w:firstLineChars="200"/>
        <w:rPr>
          <w:rFonts w:hint="eastAsia"/>
        </w:rPr>
      </w:pPr>
      <w:r>
        <w:rPr>
          <w:rFonts w:hint="eastAsia"/>
        </w:rPr>
        <w:t>（3）不按评标委员会要求澄清、说明或补正的。</w:t>
      </w:r>
    </w:p>
    <w:p>
      <w:pPr>
        <w:spacing w:line="400" w:lineRule="exact"/>
        <w:ind w:firstLine="420" w:firstLineChars="200"/>
      </w:pPr>
      <w:r>
        <w:rPr>
          <w:rFonts w:hint="eastAsia"/>
        </w:rPr>
        <w:t>3.1.3 投标报价有算术错误的，评标委员会按以下原则对投标报价进行修正，修正的价格经投标人书面确认后具有约束力。投标人不接受修正价格的，评标委员会应当否决其投标。</w:t>
      </w:r>
    </w:p>
    <w:p>
      <w:pPr>
        <w:spacing w:line="400" w:lineRule="exact"/>
        <w:ind w:firstLine="420" w:firstLineChars="200"/>
      </w:pPr>
      <w:bookmarkStart w:id="408" w:name="_Toc152042383"/>
      <w:r>
        <w:rPr>
          <w:rFonts w:hint="eastAsia"/>
        </w:rPr>
        <w:t>（1）投标文件中的大写金额与小写金额不一致的，以大写金额为准；</w:t>
      </w:r>
      <w:bookmarkEnd w:id="408"/>
    </w:p>
    <w:p>
      <w:pPr>
        <w:spacing w:line="400" w:lineRule="exact"/>
        <w:ind w:firstLine="420" w:firstLineChars="200"/>
        <w:rPr>
          <w:rFonts w:hint="eastAsia"/>
          <w:color w:val="auto"/>
        </w:rPr>
      </w:pPr>
      <w:r>
        <w:rPr>
          <w:rFonts w:hint="eastAsia"/>
        </w:rPr>
        <w:t>（</w:t>
      </w:r>
      <w:r>
        <w:rPr>
          <w:rFonts w:hint="eastAsia"/>
          <w:color w:val="auto"/>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lang w:val="en-US" w:eastAsia="zh-CN"/>
        </w:rPr>
        <w:t>4</w:t>
      </w:r>
      <w:r>
        <w:rPr>
          <w:rFonts w:hint="eastAsia" w:ascii="宋体" w:hAnsi="宋体" w:cs="宋体"/>
          <w:color w:val="auto"/>
          <w:kern w:val="1"/>
          <w:szCs w:val="21"/>
          <w:highlight w:val="none"/>
          <w:u w:val="single"/>
        </w:rPr>
        <w:t>通过初步评审的投标人不足3名时为招标失败，应当依法重新招标。</w:t>
      </w:r>
    </w:p>
    <w:p>
      <w:pPr>
        <w:pStyle w:val="9"/>
      </w:pPr>
    </w:p>
    <w:p>
      <w:pPr>
        <w:pStyle w:val="5"/>
      </w:pPr>
      <w:bookmarkStart w:id="409" w:name="_Toc247527631"/>
      <w:bookmarkStart w:id="410" w:name="_Toc152042384"/>
      <w:bookmarkStart w:id="411" w:name="_Toc152045606"/>
      <w:bookmarkStart w:id="412" w:name="_Toc144974573"/>
      <w:bookmarkStart w:id="413" w:name="_Toc247514030"/>
      <w:bookmarkStart w:id="414" w:name="_Toc300835016"/>
      <w:r>
        <w:rPr>
          <w:rFonts w:hint="eastAsia" w:ascii="Times New Roman" w:hAnsi="Times New Roman"/>
          <w:lang w:val="en-US" w:eastAsia="zh-CN"/>
        </w:rPr>
        <w:t>3.2</w:t>
      </w:r>
      <w:r>
        <w:rPr>
          <w:rFonts w:hint="eastAsia"/>
        </w:rPr>
        <w:t xml:space="preserve"> 详细评审</w:t>
      </w:r>
      <w:bookmarkEnd w:id="409"/>
      <w:bookmarkEnd w:id="410"/>
      <w:bookmarkEnd w:id="411"/>
      <w:bookmarkEnd w:id="412"/>
      <w:bookmarkEnd w:id="413"/>
      <w:bookmarkEnd w:id="414"/>
    </w:p>
    <w:p>
      <w:pPr>
        <w:spacing w:line="400" w:lineRule="exact"/>
        <w:ind w:firstLine="420" w:firstLineChars="200"/>
      </w:pPr>
      <w:r>
        <w:rPr>
          <w:rFonts w:hint="eastAsia"/>
        </w:rPr>
        <w:t>3.2.1 评标委员会按本章第2.2款规定的量化因素和分值进行打分，并计算出综合评估得分。评标办法前附表对承包人建议书中的设计文件评审有特殊规定的，从其规定。</w:t>
      </w:r>
    </w:p>
    <w:p>
      <w:pPr>
        <w:spacing w:line="400" w:lineRule="exact"/>
        <w:ind w:firstLine="420" w:firstLineChars="200"/>
        <w:rPr>
          <w:strike/>
          <w:dstrike w:val="0"/>
        </w:rPr>
      </w:pPr>
      <w:r>
        <w:rPr>
          <w:rFonts w:hint="eastAsia"/>
          <w:strike/>
          <w:dstrike w:val="0"/>
        </w:rPr>
        <w:t>（1）按本章第2.2.4（1）目规定的评审因素和分值对承包人建议书计算出得分A；</w:t>
      </w:r>
      <w:r>
        <w:rPr>
          <w:strike/>
          <w:dstrike w:val="0"/>
        </w:rPr>
        <w:t xml:space="preserve"> </w:t>
      </w:r>
    </w:p>
    <w:p>
      <w:pPr>
        <w:spacing w:line="400" w:lineRule="exact"/>
        <w:ind w:firstLine="420" w:firstLineChars="200"/>
      </w:pPr>
      <w:r>
        <w:rPr>
          <w:rFonts w:hint="eastAsia"/>
        </w:rPr>
        <w:t>（2）按本章第2.2.4（2）目规定的评审因素和分值对资信业绩部分计算出得分B；</w:t>
      </w:r>
    </w:p>
    <w:p>
      <w:pPr>
        <w:spacing w:line="400" w:lineRule="exact"/>
        <w:ind w:firstLine="420" w:firstLineChars="200"/>
      </w:pPr>
      <w:r>
        <w:rPr>
          <w:rFonts w:hint="eastAsia"/>
        </w:rPr>
        <w:t>（3）按本章第2.2.4（3）目规定的评审因素和分值对承包人实施方案计算出得分C；</w:t>
      </w:r>
    </w:p>
    <w:p>
      <w:pPr>
        <w:spacing w:line="400" w:lineRule="exact"/>
        <w:ind w:firstLine="420" w:firstLineChars="200"/>
        <w:rPr>
          <w:rFonts w:hint="eastAsia"/>
        </w:rPr>
      </w:pPr>
      <w:r>
        <w:rPr>
          <w:rFonts w:hint="eastAsia"/>
        </w:rPr>
        <w:t>（4）按本章第2.2.4（4）目规定的评审因素和分值对投标报价计算出得分D；</w:t>
      </w:r>
    </w:p>
    <w:p>
      <w:pPr>
        <w:spacing w:line="400" w:lineRule="exact"/>
        <w:ind w:firstLine="420" w:firstLineChars="200"/>
        <w:rPr>
          <w:rFonts w:hint="eastAsia"/>
          <w:strike/>
          <w:dstrike w:val="0"/>
        </w:rPr>
      </w:pPr>
      <w:r>
        <w:rPr>
          <w:rFonts w:hint="eastAsia"/>
          <w:strike/>
          <w:dstrike w:val="0"/>
        </w:rPr>
        <w:t>（5）按本章第2.2.4（5）目规定的评审因素和分值对其他部分计算出得分E。</w:t>
      </w:r>
    </w:p>
    <w:p>
      <w:pPr>
        <w:spacing w:line="400" w:lineRule="exact"/>
        <w:ind w:firstLine="420" w:firstLineChars="200"/>
      </w:pPr>
      <w:r>
        <w:rPr>
          <w:rFonts w:hint="eastAsia"/>
        </w:rPr>
        <w:t>3.2.2 评分分值计算保留小数点后两位，小数点后第三位“四舍五入”。</w:t>
      </w:r>
    </w:p>
    <w:p>
      <w:pPr>
        <w:spacing w:line="400" w:lineRule="exact"/>
        <w:ind w:firstLine="420" w:firstLineChars="200"/>
      </w:pPr>
      <w:r>
        <w:rPr>
          <w:rFonts w:hint="eastAsia"/>
        </w:rPr>
        <w:t>3.2.3 投标人得分=</w:t>
      </w:r>
      <w:r>
        <w:rPr>
          <w:rFonts w:hint="eastAsia"/>
          <w:strike/>
          <w:dstrike w:val="0"/>
        </w:rPr>
        <w:t>A+</w:t>
      </w:r>
      <w:r>
        <w:rPr>
          <w:rFonts w:hint="eastAsia"/>
        </w:rPr>
        <w:t>B+C+D</w:t>
      </w:r>
      <w:r>
        <w:rPr>
          <w:rFonts w:hint="eastAsia"/>
          <w:strike/>
          <w:dstrike w:val="0"/>
        </w:rPr>
        <w:t>+E</w:t>
      </w:r>
      <w:r>
        <w:rPr>
          <w:rFonts w:hint="eastAsia"/>
        </w:rPr>
        <w:t>。</w:t>
      </w:r>
    </w:p>
    <w:p>
      <w:pPr>
        <w:spacing w:line="400" w:lineRule="exact"/>
        <w:ind w:firstLine="420" w:firstLineChars="200"/>
      </w:pPr>
      <w:r>
        <w:rPr>
          <w:rFonts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Pr>
      <w:bookmarkStart w:id="415" w:name="_Toc144974575"/>
      <w:bookmarkStart w:id="416" w:name="_Toc300835017"/>
      <w:bookmarkStart w:id="417" w:name="_Toc247514031"/>
      <w:bookmarkStart w:id="418" w:name="_Toc152042385"/>
      <w:bookmarkStart w:id="419" w:name="_Toc247527632"/>
      <w:bookmarkStart w:id="420" w:name="_Toc152045607"/>
      <w:r>
        <w:rPr>
          <w:rFonts w:hint="eastAsia" w:ascii="Times New Roman" w:hAnsi="Times New Roman"/>
          <w:lang w:val="en-US" w:eastAsia="zh-CN"/>
        </w:rPr>
        <w:t>3.3</w:t>
      </w:r>
      <w:r>
        <w:rPr>
          <w:rFonts w:hint="eastAsia"/>
        </w:rPr>
        <w:t xml:space="preserve"> 投标文件的澄清</w:t>
      </w:r>
      <w:bookmarkEnd w:id="415"/>
      <w:r>
        <w:rPr>
          <w:rFonts w:hint="eastAsia"/>
        </w:rPr>
        <w:t>和补正</w:t>
      </w:r>
      <w:bookmarkEnd w:id="416"/>
      <w:bookmarkEnd w:id="417"/>
      <w:bookmarkEnd w:id="418"/>
      <w:bookmarkEnd w:id="419"/>
      <w:bookmarkEnd w:id="420"/>
    </w:p>
    <w:p>
      <w:pPr>
        <w:spacing w:line="400" w:lineRule="exact"/>
        <w:ind w:firstLine="420" w:firstLineChars="200"/>
      </w:pPr>
      <w:r>
        <w:rPr>
          <w:rFonts w:hint="eastAsia"/>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pPr>
      <w:r>
        <w:rPr>
          <w:rFonts w:hint="eastAsia"/>
        </w:rPr>
        <w:t>3.3.2 澄清、说明和补正不得改变投标文件的实质性内容。投标人的书面澄清、说明和补正属于投标文件的组成部分。</w:t>
      </w:r>
    </w:p>
    <w:p>
      <w:pPr>
        <w:spacing w:line="400" w:lineRule="exact"/>
        <w:ind w:firstLine="420" w:firstLineChars="200"/>
      </w:pPr>
      <w:r>
        <w:rPr>
          <w:rFonts w:hint="eastAsia"/>
        </w:rPr>
        <w:t>3.3.3 评标委员会对投标人提交的澄清、说明或补正有疑问的，可以要求投标人进一步澄清、说明或补正，直至满足评标委员会的要求。</w:t>
      </w:r>
    </w:p>
    <w:p>
      <w:pPr>
        <w:pStyle w:val="5"/>
      </w:pPr>
      <w:bookmarkStart w:id="421" w:name="_Toc247514032"/>
      <w:bookmarkStart w:id="422" w:name="_Toc144974576"/>
      <w:bookmarkStart w:id="423" w:name="_Toc152042386"/>
      <w:bookmarkStart w:id="424" w:name="_Toc152045608"/>
      <w:bookmarkStart w:id="425" w:name="_Toc247527633"/>
      <w:bookmarkStart w:id="426" w:name="_Toc300835018"/>
      <w:r>
        <w:rPr>
          <w:rFonts w:hint="eastAsia" w:ascii="Times New Roman" w:hAnsi="Times New Roman"/>
          <w:lang w:val="en-US" w:eastAsia="zh-CN"/>
        </w:rPr>
        <w:t>3.4</w:t>
      </w:r>
      <w:r>
        <w:rPr>
          <w:rFonts w:hint="eastAsia"/>
        </w:rPr>
        <w:t xml:space="preserve"> 评标结果</w:t>
      </w:r>
      <w:bookmarkEnd w:id="421"/>
      <w:bookmarkEnd w:id="422"/>
      <w:bookmarkEnd w:id="423"/>
      <w:bookmarkEnd w:id="424"/>
      <w:bookmarkEnd w:id="425"/>
      <w:bookmarkEnd w:id="426"/>
    </w:p>
    <w:p>
      <w:pPr>
        <w:spacing w:line="400" w:lineRule="exact"/>
        <w:ind w:firstLine="420" w:firstLineChars="200"/>
      </w:pPr>
      <w:r>
        <w:rPr>
          <w:rFonts w:hint="eastAsia"/>
        </w:rPr>
        <w:t>3.4.1 除第二章“投标人须知”前附表授权直接确定中标人外，评标委员会按照得分由高到低的顺序推荐中标候选人。</w:t>
      </w:r>
    </w:p>
    <w:p>
      <w:pPr>
        <w:spacing w:line="400" w:lineRule="exact"/>
        <w:ind w:firstLine="420" w:firstLineChars="200"/>
      </w:pPr>
      <w:r>
        <w:rPr>
          <w:rFonts w:hint="eastAsia"/>
        </w:rPr>
        <w:t>3.4.2 评标委员会完成评标后，应当向招标人提交书面评标报告。</w:t>
      </w:r>
    </w:p>
    <w:p>
      <w:pPr>
        <w:pStyle w:val="2"/>
        <w:jc w:val="center"/>
        <w:rPr>
          <w:rFonts w:hint="eastAsia"/>
          <w:highlight w:val="none"/>
        </w:rPr>
      </w:pPr>
      <w:r>
        <w:br w:type="page"/>
      </w:r>
      <w:bookmarkStart w:id="427" w:name="_Toc144974577"/>
      <w:bookmarkStart w:id="428" w:name="_Toc300835030"/>
      <w:bookmarkStart w:id="429" w:name="_Toc152045609"/>
      <w:bookmarkStart w:id="430" w:name="_Toc152042387"/>
      <w:bookmarkStart w:id="431" w:name="_Toc247514033"/>
      <w:bookmarkStart w:id="432" w:name="_Toc247527634"/>
      <w:r>
        <w:rPr>
          <w:rFonts w:hint="eastAsia"/>
          <w:highlight w:val="none"/>
        </w:rPr>
        <w:t>第四章 合同条款及格式</w:t>
      </w:r>
      <w:bookmarkEnd w:id="427"/>
      <w:bookmarkEnd w:id="428"/>
      <w:bookmarkEnd w:id="429"/>
      <w:bookmarkEnd w:id="430"/>
      <w:bookmarkEnd w:id="431"/>
      <w:bookmarkEnd w:id="432"/>
      <w:bookmarkStart w:id="433" w:name="_Toc144974578"/>
      <w:bookmarkStart w:id="434" w:name="_Toc184635097"/>
      <w:bookmarkStart w:id="435" w:name="_Toc247514034"/>
      <w:bookmarkStart w:id="436" w:name="_Toc152045610"/>
      <w:bookmarkStart w:id="437" w:name="_Toc152042388"/>
      <w:bookmarkStart w:id="438" w:name="_Toc247527635"/>
    </w:p>
    <w:bookmarkEnd w:id="433"/>
    <w:bookmarkEnd w:id="434"/>
    <w:bookmarkEnd w:id="435"/>
    <w:bookmarkEnd w:id="436"/>
    <w:bookmarkEnd w:id="437"/>
    <w:bookmarkEnd w:id="438"/>
    <w:p>
      <w:pPr>
        <w:spacing w:line="600" w:lineRule="exact"/>
        <w:jc w:val="center"/>
        <w:rPr>
          <w:highlight w:val="none"/>
        </w:rPr>
      </w:pPr>
      <w:r>
        <w:rPr>
          <w:rFonts w:hint="eastAsia"/>
          <w:b/>
          <w:bCs/>
          <w:sz w:val="36"/>
          <w:szCs w:val="44"/>
          <w:highlight w:val="none"/>
          <w:lang w:eastAsia="zh-CN"/>
        </w:rPr>
        <w:t>（</w:t>
      </w:r>
      <w:r>
        <w:rPr>
          <w:rFonts w:hint="eastAsia"/>
          <w:b/>
          <w:bCs/>
          <w:sz w:val="36"/>
          <w:szCs w:val="44"/>
          <w:highlight w:val="none"/>
          <w:lang w:val="en-US" w:eastAsia="zh-CN"/>
        </w:rPr>
        <w:t>另册</w:t>
      </w:r>
      <w:r>
        <w:rPr>
          <w:rFonts w:hint="eastAsia"/>
          <w:b/>
          <w:bCs/>
          <w:sz w:val="36"/>
          <w:szCs w:val="44"/>
          <w:highlight w:val="none"/>
          <w:lang w:eastAsia="zh-CN"/>
        </w:rPr>
        <w:t>）</w:t>
      </w:r>
      <w:r>
        <w:rPr>
          <w:highlight w:val="none"/>
        </w:rPr>
        <w:br w:type="page"/>
      </w:r>
    </w:p>
    <w:p>
      <w:pPr>
        <w:bidi w:val="0"/>
        <w:rPr>
          <w:rFonts w:hint="eastAsia"/>
        </w:rPr>
      </w:pPr>
      <w:bookmarkStart w:id="439" w:name="_Toc247514202"/>
      <w:bookmarkStart w:id="440" w:name="_Toc247527803"/>
      <w:bookmarkStart w:id="441" w:name="_Toc144974834"/>
      <w:bookmarkStart w:id="442" w:name="_Toc152045772"/>
      <w:bookmarkStart w:id="443" w:name="_Toc152042554"/>
      <w:r>
        <w:rPr>
          <w:rFonts w:hint="eastAsia"/>
        </w:rPr>
        <w:t xml:space="preserve"> </w:t>
      </w:r>
      <w:bookmarkEnd w:id="439"/>
      <w:bookmarkEnd w:id="440"/>
      <w:bookmarkEnd w:id="441"/>
      <w:bookmarkEnd w:id="442"/>
      <w:bookmarkEnd w:id="443"/>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2"/>
        <w:jc w:val="center"/>
        <w:rPr>
          <w:rFonts w:hint="eastAsia"/>
        </w:rPr>
      </w:pPr>
      <w:bookmarkStart w:id="444" w:name="_Toc247527819"/>
      <w:bookmarkStart w:id="445" w:name="_Toc247514232"/>
      <w:bookmarkStart w:id="446" w:name="_Toc300835204"/>
      <w:r>
        <w:rPr>
          <w:rFonts w:hint="eastAsia"/>
        </w:rPr>
        <w:t>第二卷</w:t>
      </w:r>
      <w:bookmarkEnd w:id="444"/>
      <w:bookmarkEnd w:id="445"/>
      <w:bookmarkEnd w:id="446"/>
    </w:p>
    <w:p>
      <w:pPr>
        <w:bidi w:val="0"/>
        <w:rPr>
          <w:rFonts w:hint="eastAsia"/>
        </w:rPr>
      </w:pPr>
    </w:p>
    <w:p>
      <w:pPr>
        <w:rPr>
          <w:rFonts w:hint="eastAsia"/>
          <w:color w:val="0D0D0D" w:themeColor="text1" w:themeTint="F2"/>
          <w14:textFill>
            <w14:solidFill>
              <w14:schemeClr w14:val="tx1">
                <w14:lumMod w14:val="95000"/>
                <w14:lumOff w14:val="5000"/>
              </w14:schemeClr>
            </w14:solidFill>
          </w14:textFill>
        </w:rPr>
      </w:pPr>
    </w:p>
    <w:p>
      <w:pPr>
        <w:rPr>
          <w:rFonts w:hint="eastAsia"/>
          <w:color w:val="0D0D0D" w:themeColor="text1" w:themeTint="F2"/>
          <w14:textFill>
            <w14:solidFill>
              <w14:schemeClr w14:val="tx1">
                <w14:lumMod w14:val="95000"/>
                <w14:lumOff w14:val="5000"/>
              </w14:schemeClr>
            </w14:solidFill>
          </w14:textFill>
        </w:rPr>
      </w:pPr>
    </w:p>
    <w:p>
      <w:pPr>
        <w:rPr>
          <w:rFonts w:hint="eastAsia"/>
          <w:color w:val="0D0D0D" w:themeColor="text1" w:themeTint="F2"/>
          <w14:textFill>
            <w14:solidFill>
              <w14:schemeClr w14:val="tx1">
                <w14:lumMod w14:val="95000"/>
                <w14:lumOff w14:val="5000"/>
              </w14:schemeClr>
            </w14:solidFill>
          </w14:textFill>
        </w:rPr>
      </w:pPr>
    </w:p>
    <w:p>
      <w:pP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br w:type="page"/>
      </w:r>
    </w:p>
    <w:p>
      <w:pPr>
        <w:rPr>
          <w:rFonts w:hint="eastAsia"/>
          <w:color w:val="0D0D0D" w:themeColor="text1" w:themeTint="F2"/>
          <w14:textFill>
            <w14:solidFill>
              <w14:schemeClr w14:val="tx1">
                <w14:lumMod w14:val="95000"/>
                <w14:lumOff w14:val="5000"/>
              </w14:schemeClr>
            </w14:solidFill>
          </w14:textFill>
        </w:rPr>
      </w:pPr>
    </w:p>
    <w:p>
      <w:pPr>
        <w:pStyle w:val="2"/>
        <w:numPr>
          <w:ilvl w:val="0"/>
          <w:numId w:val="1"/>
        </w:numPr>
        <w:jc w:val="center"/>
        <w:rPr>
          <w:rFonts w:hint="eastAsia"/>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 xml:space="preserve"> </w:t>
      </w:r>
      <w:bookmarkEnd w:id="0"/>
      <w:bookmarkEnd w:id="1"/>
      <w:bookmarkEnd w:id="2"/>
      <w:bookmarkEnd w:id="3"/>
      <w:bookmarkEnd w:id="4"/>
      <w:r>
        <w:rPr>
          <w:rFonts w:hint="eastAsia"/>
          <w:color w:val="0D0D0D" w:themeColor="text1" w:themeTint="F2"/>
          <w14:textFill>
            <w14:solidFill>
              <w14:schemeClr w14:val="tx1">
                <w14:lumMod w14:val="95000"/>
                <w14:lumOff w14:val="5000"/>
              </w14:schemeClr>
            </w14:solidFill>
          </w14:textFill>
        </w:rPr>
        <w:t>发包人要求</w:t>
      </w:r>
      <w:bookmarkEnd w:id="5"/>
    </w:p>
    <w:p>
      <w:pPr>
        <w:jc w:val="center"/>
        <w:rPr>
          <w:rFonts w:hint="eastAsia"/>
        </w:rPr>
      </w:pPr>
      <w:r>
        <w:rPr>
          <w:rFonts w:hint="eastAsia"/>
          <w:b/>
          <w:bCs/>
          <w:sz w:val="36"/>
          <w:szCs w:val="44"/>
          <w:highlight w:val="none"/>
          <w:lang w:eastAsia="zh-CN"/>
        </w:rPr>
        <w:t>（</w:t>
      </w:r>
      <w:r>
        <w:rPr>
          <w:rFonts w:hint="eastAsia"/>
          <w:b/>
          <w:bCs/>
          <w:sz w:val="36"/>
          <w:szCs w:val="44"/>
          <w:highlight w:val="none"/>
          <w:lang w:val="en-US" w:eastAsia="zh-CN"/>
        </w:rPr>
        <w:t>另册</w:t>
      </w:r>
      <w:r>
        <w:rPr>
          <w:rFonts w:hint="eastAsia"/>
          <w:b/>
          <w:bCs/>
          <w:sz w:val="36"/>
          <w:szCs w:val="44"/>
          <w:highlight w:val="none"/>
          <w:lang w:eastAsia="zh-CN"/>
        </w:rPr>
        <w:t>）</w:t>
      </w:r>
    </w:p>
    <w:p>
      <w:pPr>
        <w:rPr>
          <w:rFonts w:hint="eastAsia" w:ascii="宋体" w:hAnsi="宋体" w:eastAsia="宋体" w:cs="宋体"/>
          <w:color w:val="000000"/>
          <w:kern w:val="0"/>
          <w:sz w:val="21"/>
          <w:szCs w:val="21"/>
          <w:lang w:eastAsia="zh-CN" w:bidi="ar"/>
        </w:rPr>
      </w:pPr>
    </w:p>
    <w:p>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br w:type="page"/>
      </w:r>
    </w:p>
    <w:p>
      <w:pPr>
        <w:pStyle w:val="2"/>
        <w:jc w:val="center"/>
      </w:pPr>
      <w:bookmarkStart w:id="447" w:name="_Toc300835206"/>
      <w:r>
        <w:rPr>
          <w:rFonts w:hint="eastAsia"/>
        </w:rPr>
        <w:t>第六章  发包人提供的资料</w:t>
      </w:r>
      <w:bookmarkEnd w:id="447"/>
    </w:p>
    <w:p>
      <w:pPr>
        <w:spacing w:line="360" w:lineRule="auto"/>
        <w:ind w:firstLine="420"/>
        <w:rPr>
          <w:rFonts w:hint="eastAsia"/>
        </w:rPr>
      </w:pPr>
      <w:r>
        <w:br w:type="page"/>
      </w:r>
    </w:p>
    <w:p>
      <w:pPr>
        <w:spacing w:line="400" w:lineRule="exact"/>
        <w:jc w:val="center"/>
        <w:rPr>
          <w:rFonts w:hint="eastAsia"/>
          <w:b/>
          <w:sz w:val="32"/>
          <w:szCs w:val="32"/>
        </w:rPr>
      </w:pPr>
      <w:r>
        <w:rPr>
          <w:rFonts w:hint="eastAsia"/>
          <w:b/>
          <w:sz w:val="32"/>
          <w:szCs w:val="32"/>
        </w:rPr>
        <w:t>发包人提供的资料</w:t>
      </w:r>
    </w:p>
    <w:p>
      <w:pPr>
        <w:rPr>
          <w:rFonts w:hint="eastAsia"/>
          <w:b/>
          <w:sz w:val="30"/>
          <w:szCs w:val="30"/>
        </w:rPr>
      </w:pPr>
    </w:p>
    <w:p>
      <w:pPr>
        <w:spacing w:line="360" w:lineRule="auto"/>
        <w:ind w:firstLine="420" w:firstLineChars="200"/>
        <w:rPr>
          <w:rFonts w:hint="eastAsia" w:ascii="黑体" w:hAnsi="宋体" w:eastAsia="黑体"/>
          <w:szCs w:val="21"/>
        </w:rPr>
      </w:pPr>
      <w:r>
        <w:rPr>
          <w:rFonts w:hint="eastAsia" w:ascii="黑体" w:hAnsi="宋体" w:eastAsia="黑体"/>
          <w:szCs w:val="21"/>
        </w:rPr>
        <w:t>一、项目概况</w:t>
      </w:r>
    </w:p>
    <w:p>
      <w:pPr>
        <w:spacing w:line="360" w:lineRule="auto"/>
        <w:ind w:firstLine="420" w:firstLineChars="200"/>
        <w:rPr>
          <w:rFonts w:hint="eastAsia" w:ascii="黑体" w:hAnsi="宋体" w:eastAsia="黑体"/>
          <w:szCs w:val="21"/>
        </w:rPr>
      </w:pPr>
      <w:r>
        <w:rPr>
          <w:rFonts w:hint="eastAsia" w:ascii="黑体" w:hAnsi="宋体" w:eastAsia="黑体"/>
          <w:szCs w:val="21"/>
        </w:rPr>
        <w:t>二、发包人提供的资料</w:t>
      </w:r>
    </w:p>
    <w:p>
      <w:pPr>
        <w:spacing w:line="360" w:lineRule="auto"/>
        <w:ind w:firstLine="420" w:firstLineChars="200"/>
        <w:rPr>
          <w:rFonts w:hint="default" w:ascii="宋体" w:hAnsi="宋体" w:eastAsia="宋体"/>
          <w:strike w:val="0"/>
          <w:dstrike w:val="0"/>
          <w:szCs w:val="21"/>
          <w:lang w:val="en-US" w:eastAsia="zh-CN"/>
        </w:rPr>
      </w:pPr>
      <w:r>
        <w:rPr>
          <w:rFonts w:hint="eastAsia" w:ascii="宋体" w:hAnsi="宋体"/>
          <w:strike w:val="0"/>
          <w:dstrike w:val="0"/>
          <w:szCs w:val="21"/>
          <w:lang w:val="en-US" w:eastAsia="zh-CN"/>
        </w:rPr>
        <w:t>详见附件</w:t>
      </w:r>
    </w:p>
    <w:p>
      <w:pPr>
        <w:spacing w:line="400" w:lineRule="exact"/>
      </w:pPr>
      <w:r>
        <w:br w:type="page"/>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2"/>
        <w:jc w:val="center"/>
      </w:pPr>
      <w:bookmarkStart w:id="448" w:name="_Toc247514244"/>
      <w:bookmarkStart w:id="449" w:name="_Toc247527825"/>
      <w:bookmarkStart w:id="450" w:name="_Toc300835207"/>
      <w:bookmarkStart w:id="451" w:name="_Toc152045786"/>
      <w:bookmarkStart w:id="452" w:name="_Toc144974855"/>
      <w:bookmarkStart w:id="453" w:name="_Toc152042575"/>
      <w:r>
        <w:rPr>
          <w:rFonts w:hint="eastAsia"/>
        </w:rPr>
        <w:t>第三卷</w:t>
      </w:r>
      <w:bookmarkEnd w:id="448"/>
      <w:bookmarkEnd w:id="449"/>
      <w:bookmarkEnd w:id="450"/>
    </w:p>
    <w:p>
      <w:pPr>
        <w:spacing w:line="400" w:lineRule="exact"/>
        <w:jc w:val="center"/>
      </w:pPr>
      <w:r>
        <w:rPr>
          <w:rFonts w:ascii="黑体" w:hAnsi="黑体" w:eastAsia="黑体"/>
          <w:b/>
          <w:bCs/>
          <w:sz w:val="32"/>
        </w:rPr>
        <w:br w:type="page"/>
      </w:r>
    </w:p>
    <w:p>
      <w:pPr>
        <w:spacing w:line="400" w:lineRule="exact"/>
        <w:jc w:val="center"/>
      </w:pPr>
    </w:p>
    <w:p>
      <w:pPr>
        <w:spacing w:line="400" w:lineRule="exact"/>
        <w:jc w:val="center"/>
      </w:pPr>
    </w:p>
    <w:p>
      <w:pPr>
        <w:pStyle w:val="2"/>
        <w:jc w:val="center"/>
      </w:pPr>
      <w:bookmarkStart w:id="454" w:name="_Toc300835208"/>
      <w:bookmarkStart w:id="455" w:name="_Toc247527826"/>
      <w:bookmarkStart w:id="456" w:name="_Toc247514245"/>
      <w:r>
        <w:rPr>
          <w:rFonts w:hint="eastAsia"/>
        </w:rPr>
        <w:t>第七章  投标文件格式</w:t>
      </w:r>
      <w:bookmarkEnd w:id="451"/>
      <w:bookmarkEnd w:id="452"/>
      <w:bookmarkEnd w:id="453"/>
      <w:bookmarkEnd w:id="454"/>
      <w:bookmarkEnd w:id="455"/>
      <w:bookmarkEnd w:id="456"/>
    </w:p>
    <w:p>
      <w:pPr>
        <w:spacing w:line="400" w:lineRule="exact"/>
      </w:pPr>
    </w:p>
    <w:p>
      <w:pPr>
        <w:spacing w:line="400" w:lineRule="exact"/>
      </w:pPr>
      <w:r>
        <w:br w:type="page"/>
      </w:r>
    </w:p>
    <w:p>
      <w:pPr>
        <w:spacing w:line="440" w:lineRule="exact"/>
        <w:rPr>
          <w:rFonts w:eastAsia="黑体"/>
          <w:sz w:val="20"/>
          <w:szCs w:val="20"/>
        </w:rPr>
      </w:pPr>
    </w:p>
    <w:p>
      <w:pPr>
        <w:spacing w:line="440" w:lineRule="exact"/>
        <w:rPr>
          <w:rFonts w:eastAsia="黑体"/>
          <w:sz w:val="20"/>
          <w:szCs w:val="20"/>
        </w:rPr>
      </w:pP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r>
        <w:rPr>
          <w:rFonts w:hint="eastAsia" w:eastAsia="黑体"/>
          <w:sz w:val="28"/>
          <w:szCs w:val="28"/>
        </w:rPr>
        <w:t>设计</w:t>
      </w:r>
      <w:r>
        <w:rPr>
          <w:rFonts w:eastAsia="黑体"/>
          <w:sz w:val="28"/>
          <w:szCs w:val="28"/>
        </w:rPr>
        <w:t>施工</w:t>
      </w:r>
      <w:r>
        <w:rPr>
          <w:rFonts w:hint="eastAsia" w:eastAsia="黑体"/>
          <w:sz w:val="28"/>
          <w:szCs w:val="28"/>
        </w:rPr>
        <w:t>总承包</w:t>
      </w:r>
      <w:r>
        <w:rPr>
          <w:rFonts w:eastAsia="黑体"/>
          <w:sz w:val="28"/>
          <w:szCs w:val="28"/>
        </w:rPr>
        <w:t>招标</w:t>
      </w:r>
    </w:p>
    <w:p>
      <w:pP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pStyle w:val="3"/>
        <w:jc w:val="center"/>
      </w:pPr>
      <w:bookmarkStart w:id="457" w:name="_Toc144974856"/>
      <w:bookmarkStart w:id="458" w:name="_Toc300835209"/>
      <w:bookmarkStart w:id="459" w:name="_Toc247527827"/>
      <w:bookmarkStart w:id="460" w:name="_Toc247514246"/>
      <w:bookmarkStart w:id="461" w:name="_Toc152042576"/>
      <w:bookmarkStart w:id="462" w:name="_Toc152045787"/>
      <w:r>
        <w:rPr>
          <w:rFonts w:hint="eastAsia"/>
        </w:rPr>
        <w:t>目    录</w:t>
      </w:r>
      <w:bookmarkEnd w:id="457"/>
      <w:bookmarkEnd w:id="458"/>
      <w:bookmarkEnd w:id="459"/>
      <w:bookmarkEnd w:id="460"/>
      <w:bookmarkEnd w:id="461"/>
      <w:bookmarkEnd w:id="462"/>
    </w:p>
    <w:p>
      <w:pPr>
        <w:spacing w:line="540" w:lineRule="exact"/>
        <w:rPr>
          <w:rFonts w:hint="eastAsia"/>
        </w:rPr>
      </w:pPr>
    </w:p>
    <w:p>
      <w:pPr>
        <w:spacing w:line="540" w:lineRule="exact"/>
      </w:pPr>
      <w:r>
        <w:rPr>
          <w:rFonts w:hint="eastAsia"/>
        </w:rPr>
        <w:t>一、投标函及投标函附录</w:t>
      </w:r>
    </w:p>
    <w:p>
      <w:pPr>
        <w:spacing w:line="540" w:lineRule="exact"/>
      </w:pPr>
      <w:r>
        <w:rPr>
          <w:rFonts w:hint="eastAsia"/>
        </w:rPr>
        <w:t>二、法定代表人身份证明或授权委托书</w:t>
      </w:r>
    </w:p>
    <w:p>
      <w:pPr>
        <w:spacing w:line="540" w:lineRule="exact"/>
      </w:pPr>
      <w:r>
        <w:rPr>
          <w:rFonts w:hint="eastAsia"/>
        </w:rPr>
        <w:t>三、联合体协议书</w:t>
      </w:r>
    </w:p>
    <w:p>
      <w:pPr>
        <w:spacing w:line="540" w:lineRule="exact"/>
      </w:pPr>
      <w:r>
        <w:rPr>
          <w:rFonts w:hint="eastAsia"/>
          <w:lang w:val="en-US" w:eastAsia="zh-CN"/>
        </w:rPr>
        <w:t>四</w:t>
      </w:r>
      <w:r>
        <w:rPr>
          <w:rFonts w:hint="eastAsia"/>
        </w:rPr>
        <w:t>、资格审查资料</w:t>
      </w:r>
    </w:p>
    <w:p>
      <w:pPr>
        <w:spacing w:line="540" w:lineRule="exact"/>
        <w:rPr>
          <w:rFonts w:hint="default" w:eastAsia="宋体"/>
          <w:lang w:val="en-US" w:eastAsia="zh-CN"/>
        </w:rPr>
      </w:pPr>
      <w:r>
        <w:rPr>
          <w:rFonts w:hint="eastAsia"/>
          <w:lang w:val="en-US" w:eastAsia="zh-CN"/>
        </w:rPr>
        <w:t>五</w:t>
      </w:r>
      <w:r>
        <w:rPr>
          <w:rFonts w:hint="eastAsia"/>
        </w:rPr>
        <w:t>、</w:t>
      </w:r>
      <w:r>
        <w:rPr>
          <w:rFonts w:hint="eastAsia"/>
          <w:lang w:val="en-US" w:eastAsia="zh-CN"/>
        </w:rPr>
        <w:t>资信业绩部分</w:t>
      </w:r>
    </w:p>
    <w:p>
      <w:pPr>
        <w:spacing w:line="540" w:lineRule="exact"/>
        <w:rPr>
          <w:rFonts w:hint="eastAsia"/>
        </w:rPr>
      </w:pPr>
      <w:r>
        <w:rPr>
          <w:rFonts w:hint="eastAsia"/>
          <w:lang w:val="en-US" w:eastAsia="zh-CN"/>
        </w:rPr>
        <w:t>六</w:t>
      </w:r>
      <w:r>
        <w:rPr>
          <w:rFonts w:hint="eastAsia"/>
        </w:rPr>
        <w:t>、承包人实施方案</w:t>
      </w:r>
    </w:p>
    <w:p>
      <w:pPr>
        <w:spacing w:line="540" w:lineRule="exact"/>
        <w:rPr>
          <w:rFonts w:hint="eastAsia"/>
        </w:rPr>
      </w:pPr>
      <w:r>
        <w:rPr>
          <w:rFonts w:hint="eastAsia"/>
          <w:lang w:val="en-US" w:eastAsia="zh-CN"/>
        </w:rPr>
        <w:t>七、</w:t>
      </w:r>
      <w:r>
        <w:rPr>
          <w:rFonts w:hint="eastAsia"/>
        </w:rPr>
        <w:t>参与编制投标文件人员名单</w:t>
      </w:r>
    </w:p>
    <w:p>
      <w:pPr>
        <w:spacing w:line="540" w:lineRule="exact"/>
      </w:pPr>
      <w:r>
        <w:rPr>
          <w:rFonts w:hint="eastAsia"/>
          <w:lang w:val="en-US" w:eastAsia="zh-CN"/>
        </w:rPr>
        <w:t>八</w:t>
      </w:r>
      <w:r>
        <w:rPr>
          <w:rFonts w:hint="eastAsia"/>
        </w:rPr>
        <w:t>、其他资料</w:t>
      </w:r>
    </w:p>
    <w:p>
      <w:pPr>
        <w:spacing w:line="540" w:lineRule="exact"/>
      </w:pPr>
      <w:r>
        <w:t xml:space="preserve"> </w:t>
      </w:r>
    </w:p>
    <w:p>
      <w:pPr>
        <w:spacing w:line="540" w:lineRule="exact"/>
        <w:rPr>
          <w:rFonts w:eastAsia="黑体"/>
          <w:sz w:val="20"/>
          <w:szCs w:val="20"/>
        </w:rPr>
      </w:pPr>
      <w:r>
        <w:br w:type="page"/>
      </w:r>
    </w:p>
    <w:p>
      <w:pPr>
        <w:pStyle w:val="3"/>
        <w:jc w:val="center"/>
      </w:pPr>
      <w:bookmarkStart w:id="463" w:name="_Toc152042577"/>
      <w:bookmarkStart w:id="464" w:name="_Toc300835210"/>
      <w:bookmarkStart w:id="465" w:name="_Toc144974857"/>
      <w:bookmarkStart w:id="466" w:name="_Toc152045788"/>
      <w:bookmarkStart w:id="467" w:name="_Toc247527828"/>
      <w:bookmarkStart w:id="468" w:name="_Toc247514247"/>
      <w:r>
        <w:t>一、投标函及投标函附录</w:t>
      </w:r>
      <w:bookmarkEnd w:id="463"/>
      <w:bookmarkEnd w:id="464"/>
      <w:bookmarkEnd w:id="465"/>
      <w:bookmarkEnd w:id="466"/>
      <w:bookmarkEnd w:id="467"/>
      <w:bookmarkEnd w:id="468"/>
    </w:p>
    <w:p>
      <w:pPr>
        <w:spacing w:line="440" w:lineRule="exact"/>
        <w:rPr>
          <w:rFonts w:eastAsia="黑体"/>
          <w:sz w:val="20"/>
          <w:szCs w:val="20"/>
        </w:rPr>
      </w:pPr>
    </w:p>
    <w:p>
      <w:pPr>
        <w:pStyle w:val="5"/>
      </w:pPr>
      <w:bookmarkStart w:id="469" w:name="_Toc144974858"/>
      <w:bookmarkStart w:id="470" w:name="_Toc247527829"/>
      <w:bookmarkStart w:id="471" w:name="_Toc300835211"/>
      <w:bookmarkStart w:id="472" w:name="_Toc152042578"/>
      <w:bookmarkStart w:id="473" w:name="_Toc247514248"/>
      <w:bookmarkStart w:id="474" w:name="_Toc152045789"/>
      <w:r>
        <w:t>（一）投标函</w:t>
      </w:r>
      <w:bookmarkEnd w:id="469"/>
      <w:bookmarkEnd w:id="470"/>
      <w:bookmarkEnd w:id="471"/>
      <w:bookmarkEnd w:id="472"/>
      <w:bookmarkEnd w:id="473"/>
      <w:bookmarkEnd w:id="474"/>
    </w:p>
    <w:p>
      <w:pPr>
        <w:spacing w:line="440" w:lineRule="exact"/>
        <w:rPr>
          <w:sz w:val="20"/>
          <w:szCs w:val="20"/>
        </w:rPr>
      </w:pPr>
    </w:p>
    <w:p>
      <w:pPr>
        <w:spacing w:line="440" w:lineRule="exact"/>
        <w:rPr>
          <w:szCs w:val="21"/>
        </w:rPr>
      </w:pPr>
      <w:r>
        <w:rPr>
          <w:szCs w:val="21"/>
          <w:u w:val="single"/>
        </w:rPr>
        <w:t xml:space="preserve">                        </w:t>
      </w:r>
      <w:r>
        <w:rPr>
          <w:szCs w:val="21"/>
        </w:rPr>
        <w:t>（招标人名称）：</w:t>
      </w:r>
    </w:p>
    <w:p>
      <w:pPr>
        <w:spacing w:line="440" w:lineRule="exact"/>
        <w:ind w:firstLine="420" w:firstLineChars="200"/>
        <w:rPr>
          <w:szCs w:val="21"/>
        </w:rPr>
      </w:pPr>
      <w:r>
        <w:rPr>
          <w:szCs w:val="21"/>
        </w:rPr>
        <w:t>1．我方已仔细研究了</w:t>
      </w:r>
      <w:r>
        <w:rPr>
          <w:szCs w:val="21"/>
          <w:u w:val="single"/>
        </w:rPr>
        <w:t xml:space="preserve">       </w:t>
      </w:r>
      <w:r>
        <w:rPr>
          <w:rFonts w:hint="eastAsia"/>
          <w:szCs w:val="21"/>
          <w:u w:val="single"/>
        </w:rPr>
        <w:t xml:space="preserve">     </w:t>
      </w:r>
      <w:r>
        <w:rPr>
          <w:szCs w:val="21"/>
          <w:u w:val="single"/>
        </w:rPr>
        <w:t xml:space="preserve">   </w:t>
      </w:r>
      <w:r>
        <w:rPr>
          <w:szCs w:val="21"/>
        </w:rPr>
        <w:t>（项目名称）</w:t>
      </w:r>
      <w:r>
        <w:rPr>
          <w:rFonts w:hint="eastAsia"/>
          <w:szCs w:val="21"/>
        </w:rPr>
        <w:t>设计</w:t>
      </w:r>
      <w:r>
        <w:rPr>
          <w:szCs w:val="21"/>
        </w:rPr>
        <w:t>施工</w:t>
      </w:r>
      <w:r>
        <w:rPr>
          <w:rFonts w:hint="eastAsia"/>
          <w:szCs w:val="21"/>
        </w:rPr>
        <w:t>总承包</w:t>
      </w:r>
      <w:r>
        <w:rPr>
          <w:szCs w:val="21"/>
        </w:rPr>
        <w:t>招标文件的全部内容，愿意以</w:t>
      </w:r>
      <w:r>
        <w:rPr>
          <w:rFonts w:hint="eastAsia"/>
          <w:szCs w:val="21"/>
          <w:lang w:val="en-US" w:eastAsia="zh-CN"/>
        </w:rPr>
        <w:t>设计部分：</w:t>
      </w:r>
      <w:r>
        <w:rPr>
          <w:szCs w:val="21"/>
        </w:rPr>
        <w:t>¥</w:t>
      </w:r>
      <w:r>
        <w:rPr>
          <w:szCs w:val="21"/>
          <w:u w:val="single"/>
        </w:rPr>
        <w:t xml:space="preserve">           </w:t>
      </w:r>
      <w:r>
        <w:rPr>
          <w:rFonts w:hint="eastAsia"/>
          <w:szCs w:val="21"/>
          <w:lang w:eastAsia="zh-CN"/>
        </w:rPr>
        <w:t>，</w:t>
      </w:r>
      <w:r>
        <w:rPr>
          <w:rFonts w:hint="eastAsia"/>
          <w:szCs w:val="21"/>
          <w:lang w:val="en-US" w:eastAsia="zh-CN"/>
        </w:rPr>
        <w:t>施工部分：下浮率</w:t>
      </w:r>
      <w:r>
        <w:rPr>
          <w:szCs w:val="21"/>
          <w:u w:val="single"/>
        </w:rPr>
        <w:t xml:space="preserve">         </w:t>
      </w:r>
      <w:r>
        <w:rPr>
          <w:szCs w:val="21"/>
        </w:rPr>
        <w:t>的投标报价，</w:t>
      </w:r>
      <w:r>
        <w:rPr>
          <w:rFonts w:hint="eastAsia"/>
          <w:szCs w:val="21"/>
          <w:lang w:val="en-US" w:eastAsia="zh-CN"/>
        </w:rPr>
        <w:t>总</w:t>
      </w:r>
      <w:r>
        <w:rPr>
          <w:rFonts w:hint="eastAsia"/>
          <w:szCs w:val="21"/>
        </w:rPr>
        <w:t>工期</w:t>
      </w:r>
      <w:r>
        <w:rPr>
          <w:rFonts w:hint="eastAsia"/>
          <w:szCs w:val="21"/>
          <w:u w:val="single"/>
        </w:rPr>
        <w:t xml:space="preserve">          </w:t>
      </w:r>
      <w:r>
        <w:rPr>
          <w:rFonts w:hint="eastAsia"/>
          <w:szCs w:val="21"/>
        </w:rPr>
        <w:t>日历天，</w:t>
      </w:r>
      <w:r>
        <w:rPr>
          <w:szCs w:val="21"/>
        </w:rPr>
        <w:t>按合同约定</w:t>
      </w:r>
      <w:r>
        <w:rPr>
          <w:rFonts w:hint="eastAsia"/>
          <w:szCs w:val="21"/>
        </w:rPr>
        <w:t>进行设计、</w:t>
      </w:r>
      <w:r>
        <w:rPr>
          <w:szCs w:val="21"/>
        </w:rPr>
        <w:t>实施和</w:t>
      </w:r>
      <w:r>
        <w:rPr>
          <w:rFonts w:hint="eastAsia"/>
          <w:szCs w:val="21"/>
        </w:rPr>
        <w:t>竣工</w:t>
      </w:r>
      <w:r>
        <w:rPr>
          <w:szCs w:val="21"/>
        </w:rPr>
        <w:t>承包工程，修补工程中的任何缺陷，</w:t>
      </w:r>
      <w:r>
        <w:rPr>
          <w:rFonts w:hint="eastAsia"/>
          <w:szCs w:val="21"/>
        </w:rPr>
        <w:t>实现工程目的</w:t>
      </w:r>
      <w:r>
        <w:rPr>
          <w:szCs w:val="21"/>
        </w:rPr>
        <w:t>。</w:t>
      </w:r>
    </w:p>
    <w:p>
      <w:pPr>
        <w:spacing w:line="440" w:lineRule="exact"/>
        <w:ind w:firstLine="420" w:firstLineChars="200"/>
        <w:rPr>
          <w:szCs w:val="21"/>
        </w:rPr>
      </w:pPr>
      <w:r>
        <w:rPr>
          <w:szCs w:val="21"/>
        </w:rPr>
        <w:t>2．我方承诺在</w:t>
      </w:r>
      <w:r>
        <w:rPr>
          <w:rFonts w:hint="eastAsia"/>
          <w:szCs w:val="21"/>
        </w:rPr>
        <w:t>招标文件规定的</w:t>
      </w:r>
      <w:r>
        <w:rPr>
          <w:szCs w:val="21"/>
        </w:rPr>
        <w:t>投标有效期内不修改、撤销投标文件</w:t>
      </w:r>
      <w:r>
        <w:rPr>
          <w:rFonts w:hint="eastAsia"/>
          <w:szCs w:val="21"/>
        </w:rPr>
        <w:t>。</w:t>
      </w:r>
    </w:p>
    <w:p>
      <w:pPr>
        <w:spacing w:line="44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ind w:firstLine="420" w:firstLineChars="200"/>
        <w:rPr>
          <w:szCs w:val="21"/>
        </w:rPr>
      </w:pPr>
      <w:r>
        <w:rPr>
          <w:szCs w:val="21"/>
        </w:rPr>
        <w:t>4．如我方中标：</w:t>
      </w:r>
    </w:p>
    <w:p>
      <w:pPr>
        <w:spacing w:line="440" w:lineRule="exact"/>
        <w:ind w:firstLine="718" w:firstLineChars="342"/>
        <w:rPr>
          <w:szCs w:val="21"/>
        </w:rPr>
      </w:pPr>
      <w:r>
        <w:rPr>
          <w:szCs w:val="21"/>
        </w:rPr>
        <w:t>（1）我方承诺在收到中标通知书后，在中标通知书规定的期限内与你方签订合同。</w:t>
      </w:r>
    </w:p>
    <w:p>
      <w:pPr>
        <w:spacing w:line="440" w:lineRule="exact"/>
        <w:ind w:firstLine="718" w:firstLineChars="342"/>
        <w:rPr>
          <w:szCs w:val="21"/>
        </w:rPr>
      </w:pPr>
      <w:r>
        <w:rPr>
          <w:szCs w:val="21"/>
        </w:rPr>
        <w:t>（2）随同本投标函递交的投标函附录属于合同文件的组成部分。</w:t>
      </w:r>
    </w:p>
    <w:p>
      <w:pPr>
        <w:spacing w:line="440" w:lineRule="exact"/>
        <w:ind w:firstLine="718" w:firstLineChars="342"/>
        <w:rPr>
          <w:szCs w:val="21"/>
        </w:rPr>
      </w:pPr>
      <w:r>
        <w:rPr>
          <w:szCs w:val="21"/>
        </w:rPr>
        <w:t>（3）我方承诺按照招标文件规定向你方递交履约担保。</w:t>
      </w:r>
    </w:p>
    <w:p>
      <w:pPr>
        <w:spacing w:line="440" w:lineRule="exact"/>
        <w:ind w:firstLine="718" w:firstLineChars="342"/>
        <w:rPr>
          <w:szCs w:val="21"/>
        </w:rPr>
      </w:pPr>
      <w:r>
        <w:rPr>
          <w:szCs w:val="21"/>
        </w:rPr>
        <w:t>（4）我方承诺在合同约定的期限内完成并移交全部合同工程。</w:t>
      </w:r>
    </w:p>
    <w:p>
      <w:pPr>
        <w:spacing w:line="440" w:lineRule="exact"/>
        <w:ind w:firstLine="420" w:firstLineChars="200"/>
        <w:rPr>
          <w:szCs w:val="21"/>
        </w:rPr>
      </w:pPr>
      <w:r>
        <w:rPr>
          <w:szCs w:val="21"/>
        </w:rPr>
        <w:t>5．</w:t>
      </w:r>
      <w:r>
        <w:rPr>
          <w:rFonts w:hint="eastAsia"/>
        </w:rPr>
        <w:t>我方在此声明，所递交的投标文件及有关资料内容完整、真实和准确，且不存在第二章“投标人须知”第1.4.3项和第1.4.4项规定的任何一种情形。</w:t>
      </w:r>
    </w:p>
    <w:p>
      <w:pPr>
        <w:spacing w:line="440" w:lineRule="exact"/>
        <w:ind w:firstLine="420" w:firstLineChars="200"/>
        <w:rPr>
          <w:szCs w:val="21"/>
        </w:rPr>
      </w:pPr>
      <w:r>
        <w:rPr>
          <w:rFonts w:hint="eastAsia"/>
          <w:szCs w:val="21"/>
        </w:rPr>
        <w:t>6．</w:t>
      </w:r>
      <w:r>
        <w:rPr>
          <w:szCs w:val="21"/>
          <w:u w:val="single"/>
        </w:rPr>
        <w:t xml:space="preserve">                                       </w:t>
      </w:r>
      <w:r>
        <w:rPr>
          <w:szCs w:val="21"/>
        </w:rPr>
        <w:t>（</w:t>
      </w:r>
      <w:r>
        <w:rPr>
          <w:rFonts w:hint="eastAsia"/>
          <w:szCs w:val="21"/>
        </w:rPr>
        <w:t>其他</w:t>
      </w:r>
      <w:r>
        <w:rPr>
          <w:szCs w:val="21"/>
        </w:rPr>
        <w:t>补充说明）。</w:t>
      </w: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4725" w:firstLineChars="225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rPr>
          <w:rFonts w:ascii="宋体" w:hAnsi="宋体" w:cs="宋体"/>
          <w:b/>
          <w:color w:val="000000"/>
          <w:sz w:val="18"/>
          <w:szCs w:val="18"/>
        </w:rPr>
      </w:pPr>
      <w:r>
        <w:rPr>
          <w:rFonts w:hint="eastAsia" w:ascii="宋体" w:hAnsi="宋体" w:cs="宋体"/>
          <w:b/>
          <w:color w:val="000000"/>
          <w:sz w:val="18"/>
          <w:szCs w:val="18"/>
        </w:rPr>
        <w:t>注：联合体投标的，“投标人”一栏需书写所有联合体成员的单位全称，可由主办方签署、盖章。</w:t>
      </w:r>
    </w:p>
    <w:p>
      <w:pPr>
        <w:pStyle w:val="9"/>
      </w:pPr>
    </w:p>
    <w:p>
      <w:pPr>
        <w:pStyle w:val="5"/>
        <w:numPr>
          <w:ilvl w:val="0"/>
          <w:numId w:val="2"/>
        </w:numPr>
      </w:pPr>
      <w:bookmarkStart w:id="475" w:name="_Toc152042579"/>
      <w:bookmarkStart w:id="476" w:name="_Toc152045790"/>
      <w:bookmarkStart w:id="477" w:name="_Toc247514249"/>
      <w:bookmarkStart w:id="478" w:name="_Toc300835212"/>
      <w:bookmarkStart w:id="479" w:name="_Toc247527830"/>
      <w:bookmarkStart w:id="480" w:name="_Toc144974859"/>
      <w:r>
        <w:t>投标函附录</w:t>
      </w:r>
      <w:bookmarkEnd w:id="475"/>
      <w:bookmarkEnd w:id="476"/>
      <w:bookmarkEnd w:id="477"/>
      <w:bookmarkEnd w:id="478"/>
      <w:bookmarkEnd w:id="479"/>
      <w:bookmarkEnd w:id="480"/>
    </w:p>
    <w:tbl>
      <w:tblPr>
        <w:tblStyle w:val="1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165"/>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28" w:type="dxa"/>
            <w:noWrap w:val="0"/>
            <w:vAlign w:val="center"/>
          </w:tcPr>
          <w:p>
            <w:pPr>
              <w:spacing w:line="300" w:lineRule="exact"/>
              <w:jc w:val="center"/>
              <w:rPr>
                <w:rFonts w:hint="eastAsia" w:ascii="宋体" w:hAnsi="宋体" w:eastAsia="宋体"/>
                <w:b/>
                <w:szCs w:val="21"/>
              </w:rPr>
            </w:pPr>
            <w:r>
              <w:rPr>
                <w:rFonts w:hint="eastAsia" w:ascii="宋体" w:hAnsi="宋体" w:eastAsia="宋体" w:cs="宋体"/>
                <w:b/>
                <w:szCs w:val="21"/>
                <w:lang w:val="zh-CN"/>
              </w:rPr>
              <w:t>项目名称</w:t>
            </w:r>
          </w:p>
        </w:tc>
        <w:tc>
          <w:tcPr>
            <w:tcW w:w="6912" w:type="dxa"/>
            <w:gridSpan w:val="2"/>
            <w:noWrap w:val="0"/>
            <w:vAlign w:val="center"/>
          </w:tcPr>
          <w:p>
            <w:pPr>
              <w:snapToGrid w:val="0"/>
              <w:spacing w:line="360" w:lineRule="auto"/>
              <w:jc w:val="left"/>
              <w:rPr>
                <w:rFonts w:hint="eastAsia" w:ascii="宋体" w:hAnsi="宋体" w:eastAsia="宋体" w:cs="Times New Roman"/>
                <w:b/>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工程费</w:t>
            </w:r>
          </w:p>
        </w:tc>
        <w:tc>
          <w:tcPr>
            <w:tcW w:w="6912" w:type="dxa"/>
            <w:gridSpan w:val="2"/>
            <w:noWrap w:val="0"/>
            <w:vAlign w:val="center"/>
          </w:tcPr>
          <w:p>
            <w:pPr>
              <w:autoSpaceDE w:val="0"/>
              <w:autoSpaceDN w:val="0"/>
              <w:adjustRightInd w:val="0"/>
              <w:snapToGrid w:val="0"/>
              <w:jc w:val="center"/>
              <w:rPr>
                <w:rFonts w:hint="default" w:ascii="宋体" w:hAnsi="宋体" w:eastAsia="宋体" w:cs="宋体"/>
                <w:b/>
                <w:bCs/>
                <w:szCs w:val="21"/>
                <w:u w:val="single"/>
                <w:lang w:val="en-US" w:eastAsia="zh-CN"/>
              </w:rPr>
            </w:pPr>
            <w:r>
              <w:rPr>
                <w:rFonts w:hint="eastAsia" w:ascii="宋体" w:hAnsi="宋体" w:eastAsia="宋体" w:cs="宋体"/>
                <w:b/>
                <w:bCs/>
                <w:szCs w:val="21"/>
                <w:u w:val="single"/>
                <w:lang w:val="en-US" w:eastAsia="zh-CN"/>
              </w:rPr>
              <w:t>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设计费（元）</w:t>
            </w:r>
          </w:p>
        </w:tc>
        <w:tc>
          <w:tcPr>
            <w:tcW w:w="6912" w:type="dxa"/>
            <w:gridSpan w:val="2"/>
            <w:noWrap w:val="0"/>
            <w:vAlign w:val="center"/>
          </w:tcPr>
          <w:p>
            <w:pPr>
              <w:autoSpaceDE w:val="0"/>
              <w:autoSpaceDN w:val="0"/>
              <w:adjustRightInd w:val="0"/>
              <w:snapToGrid w:val="0"/>
              <w:jc w:val="center"/>
              <w:rPr>
                <w:rFonts w:hint="eastAsia" w:ascii="宋体" w:hAnsi="宋体" w:eastAsia="宋体" w:cs="宋体"/>
                <w:b/>
                <w:bCs/>
                <w:szCs w:val="21"/>
                <w:u w:val="single"/>
                <w:lang w:val="zh-CN"/>
              </w:rPr>
            </w:pPr>
            <w:r>
              <w:rPr>
                <w:rFonts w:hint="eastAsia" w:ascii="宋体" w:hAnsi="宋体" w:eastAsia="宋体" w:cs="宋体"/>
                <w:b/>
                <w:bCs/>
                <w:szCs w:val="21"/>
                <w:u w:val="single"/>
                <w:lang w:val="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noWrap w:val="0"/>
            <w:vAlign w:val="center"/>
          </w:tcPr>
          <w:p>
            <w:pPr>
              <w:spacing w:line="300" w:lineRule="exact"/>
              <w:jc w:val="center"/>
              <w:rPr>
                <w:rFonts w:hint="eastAsia" w:ascii="宋体" w:hAnsi="宋体" w:eastAsia="宋体" w:cs="宋体"/>
                <w:b/>
                <w:bCs w:val="0"/>
                <w:szCs w:val="21"/>
                <w:lang w:val="zh-CN"/>
              </w:rPr>
            </w:pPr>
            <w:r>
              <w:rPr>
                <w:rFonts w:hint="eastAsia" w:ascii="宋体" w:hAnsi="宋体" w:eastAsia="宋体" w:cs="宋体"/>
                <w:b/>
                <w:bCs w:val="0"/>
                <w:szCs w:val="21"/>
                <w:lang w:val="zh-CN"/>
              </w:rPr>
              <w:t>投标工期</w:t>
            </w:r>
          </w:p>
        </w:tc>
        <w:tc>
          <w:tcPr>
            <w:tcW w:w="6912" w:type="dxa"/>
            <w:gridSpan w:val="2"/>
            <w:noWrap w:val="0"/>
            <w:vAlign w:val="center"/>
          </w:tcPr>
          <w:p>
            <w:pPr>
              <w:spacing w:line="300" w:lineRule="exact"/>
              <w:rPr>
                <w:rFonts w:hint="default" w:ascii="宋体" w:hAnsi="宋体" w:eastAsia="宋体"/>
                <w:b/>
                <w:bCs w:val="0"/>
                <w:szCs w:val="21"/>
                <w:lang w:val="en-US"/>
              </w:rPr>
            </w:pPr>
            <w:r>
              <w:rPr>
                <w:rFonts w:hint="eastAsia" w:ascii="宋体" w:hAnsi="宋体" w:eastAsia="宋体"/>
                <w:b/>
                <w:bCs w:val="0"/>
                <w:szCs w:val="21"/>
                <w:u w:val="single"/>
                <w:lang w:val="en-US" w:eastAsia="zh-CN"/>
              </w:rPr>
              <w:t xml:space="preserve">    </w:t>
            </w:r>
            <w:r>
              <w:rPr>
                <w:rFonts w:hint="eastAsia" w:ascii="宋体" w:hAnsi="宋体" w:eastAsia="宋体"/>
                <w:b/>
                <w:bCs w:val="0"/>
                <w:szCs w:val="21"/>
                <w:lang w:val="en-US" w:eastAsia="zh-CN"/>
              </w:rPr>
              <w:t>日历</w:t>
            </w:r>
            <w:r>
              <w:rPr>
                <w:rFonts w:hint="eastAsia" w:ascii="宋体" w:hAnsi="宋体"/>
                <w:b/>
                <w:bCs w:val="0"/>
                <w:szCs w:val="21"/>
                <w:lang w:val="en-US" w:eastAsia="zh-CN"/>
              </w:rPr>
              <w:t>日（其中</w:t>
            </w:r>
            <w:r>
              <w:rPr>
                <w:rFonts w:hint="eastAsia"/>
                <w:b/>
                <w:bCs w:val="0"/>
                <w:color w:val="auto"/>
                <w:szCs w:val="21"/>
                <w:highlight w:val="none"/>
                <w:lang w:val="en-US" w:eastAsia="zh-CN"/>
              </w:rPr>
              <w:t>设计工期</w:t>
            </w:r>
            <w:r>
              <w:rPr>
                <w:rFonts w:hint="eastAsia" w:ascii="宋体" w:hAnsi="宋体" w:eastAsia="宋体"/>
                <w:b/>
                <w:bCs w:val="0"/>
                <w:szCs w:val="21"/>
                <w:u w:val="single"/>
                <w:lang w:val="en-US" w:eastAsia="zh-CN"/>
              </w:rPr>
              <w:t xml:space="preserve">    </w:t>
            </w:r>
            <w:r>
              <w:rPr>
                <w:rFonts w:hint="eastAsia" w:ascii="宋体" w:hAnsi="宋体" w:eastAsia="宋体"/>
                <w:b/>
                <w:bCs w:val="0"/>
                <w:szCs w:val="21"/>
                <w:lang w:val="en-US" w:eastAsia="zh-CN"/>
              </w:rPr>
              <w:t>日历日，</w:t>
            </w:r>
            <w:r>
              <w:rPr>
                <w:rFonts w:hint="eastAsia"/>
                <w:b/>
                <w:bCs w:val="0"/>
                <w:color w:val="auto"/>
                <w:szCs w:val="21"/>
                <w:highlight w:val="none"/>
                <w:lang w:val="en-US" w:eastAsia="zh-CN"/>
              </w:rPr>
              <w:t>施工工期</w:t>
            </w:r>
            <w:r>
              <w:rPr>
                <w:rFonts w:hint="eastAsia"/>
                <w:b/>
                <w:bCs w:val="0"/>
                <w:color w:val="auto"/>
                <w:szCs w:val="21"/>
                <w:highlight w:val="none"/>
                <w:u w:val="single"/>
                <w:lang w:val="en-US" w:eastAsia="zh-CN"/>
              </w:rPr>
              <w:t xml:space="preserve">    </w:t>
            </w:r>
            <w:r>
              <w:rPr>
                <w:rFonts w:hint="eastAsia"/>
                <w:b/>
                <w:bCs w:val="0"/>
                <w:color w:val="auto"/>
                <w:szCs w:val="21"/>
                <w:highlight w:val="none"/>
                <w:lang w:val="en-US"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8" w:type="dxa"/>
            <w:noWrap w:val="0"/>
            <w:vAlign w:val="center"/>
          </w:tcPr>
          <w:p>
            <w:pPr>
              <w:spacing w:line="300" w:lineRule="exact"/>
              <w:jc w:val="center"/>
              <w:rPr>
                <w:rFonts w:hint="eastAsia" w:ascii="宋体" w:hAnsi="宋体" w:eastAsia="宋体"/>
                <w:b/>
                <w:szCs w:val="21"/>
              </w:rPr>
            </w:pPr>
            <w:r>
              <w:rPr>
                <w:rFonts w:hint="eastAsia" w:ascii="宋体" w:hAnsi="宋体" w:eastAsia="宋体" w:cs="宋体"/>
                <w:b/>
                <w:szCs w:val="21"/>
                <w:lang w:val="zh-CN"/>
              </w:rPr>
              <w:t>工程质量标准</w:t>
            </w:r>
          </w:p>
        </w:tc>
        <w:tc>
          <w:tcPr>
            <w:tcW w:w="6912" w:type="dxa"/>
            <w:gridSpan w:val="2"/>
            <w:noWrap w:val="0"/>
            <w:vAlign w:val="center"/>
          </w:tcPr>
          <w:p>
            <w:pPr>
              <w:spacing w:line="300" w:lineRule="exact"/>
              <w:rPr>
                <w:rFonts w:ascii="宋体" w:hAnsi="宋体" w:eastAsia="宋体"/>
                <w:b/>
                <w:szCs w:val="21"/>
              </w:rPr>
            </w:pPr>
            <w:r>
              <w:rPr>
                <w:rFonts w:hint="eastAsia" w:ascii="宋体" w:hAnsi="宋体" w:eastAsia="宋体" w:cs="宋体"/>
                <w:b/>
                <w:szCs w:val="21"/>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保修期限</w:t>
            </w:r>
          </w:p>
        </w:tc>
        <w:tc>
          <w:tcPr>
            <w:tcW w:w="6912" w:type="dxa"/>
            <w:gridSpan w:val="2"/>
            <w:noWrap w:val="0"/>
            <w:vAlign w:val="center"/>
          </w:tcPr>
          <w:p>
            <w:pPr>
              <w:spacing w:line="300" w:lineRule="exact"/>
              <w:rPr>
                <w:rFonts w:hint="eastAsia" w:ascii="宋体" w:hAnsi="宋体" w:eastAsia="宋体"/>
                <w:b/>
                <w:szCs w:val="21"/>
              </w:rPr>
            </w:pPr>
            <w:r>
              <w:rPr>
                <w:rFonts w:hint="eastAsia" w:ascii="宋体" w:hAnsi="宋体" w:eastAsia="宋体" w:cs="宋体"/>
                <w:b/>
                <w:szCs w:val="21"/>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委派的项目负责人（兼施工负责人）</w:t>
            </w:r>
          </w:p>
        </w:tc>
        <w:tc>
          <w:tcPr>
            <w:tcW w:w="2165"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姓    名</w:t>
            </w:r>
          </w:p>
        </w:tc>
        <w:tc>
          <w:tcPr>
            <w:tcW w:w="4747" w:type="dxa"/>
            <w:noWrap w:val="0"/>
            <w:vAlign w:val="center"/>
          </w:tcPr>
          <w:p>
            <w:pPr>
              <w:spacing w:line="300" w:lineRule="exact"/>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委派的技术负责人</w:t>
            </w:r>
          </w:p>
        </w:tc>
        <w:tc>
          <w:tcPr>
            <w:tcW w:w="2165"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姓    名</w:t>
            </w:r>
          </w:p>
        </w:tc>
        <w:tc>
          <w:tcPr>
            <w:tcW w:w="4747" w:type="dxa"/>
            <w:noWrap w:val="0"/>
            <w:vAlign w:val="center"/>
          </w:tcPr>
          <w:p>
            <w:pPr>
              <w:spacing w:line="300" w:lineRule="exact"/>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委派的设计负责人</w:t>
            </w:r>
          </w:p>
        </w:tc>
        <w:tc>
          <w:tcPr>
            <w:tcW w:w="2165"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姓    名</w:t>
            </w:r>
          </w:p>
        </w:tc>
        <w:tc>
          <w:tcPr>
            <w:tcW w:w="4747" w:type="dxa"/>
            <w:noWrap w:val="0"/>
            <w:vAlign w:val="center"/>
          </w:tcPr>
          <w:p>
            <w:pPr>
              <w:spacing w:line="300" w:lineRule="exact"/>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委派的专职安全员</w:t>
            </w:r>
          </w:p>
        </w:tc>
        <w:tc>
          <w:tcPr>
            <w:tcW w:w="2165"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姓    名</w:t>
            </w:r>
          </w:p>
        </w:tc>
        <w:tc>
          <w:tcPr>
            <w:tcW w:w="4747" w:type="dxa"/>
            <w:noWrap w:val="0"/>
            <w:vAlign w:val="center"/>
          </w:tcPr>
          <w:p>
            <w:pPr>
              <w:spacing w:line="300" w:lineRule="exact"/>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投标有效期</w:t>
            </w:r>
          </w:p>
        </w:tc>
        <w:tc>
          <w:tcPr>
            <w:tcW w:w="6912" w:type="dxa"/>
            <w:gridSpan w:val="2"/>
            <w:noWrap w:val="0"/>
            <w:vAlign w:val="center"/>
          </w:tcPr>
          <w:p>
            <w:pPr>
              <w:spacing w:line="300" w:lineRule="exact"/>
              <w:rPr>
                <w:rFonts w:hint="eastAsia" w:ascii="宋体" w:hAnsi="宋体" w:eastAsia="宋体"/>
                <w:b/>
                <w:szCs w:val="21"/>
              </w:rPr>
            </w:pPr>
            <w:r>
              <w:rPr>
                <w:rFonts w:hint="eastAsia" w:ascii="宋体" w:hAnsi="宋体" w:eastAsia="宋体" w:cs="宋体"/>
                <w:b/>
                <w:szCs w:val="21"/>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b/>
                <w:szCs w:val="21"/>
              </w:rPr>
              <w:t>法定代表人或其委托代理人（签字或盖章）</w:t>
            </w:r>
          </w:p>
        </w:tc>
        <w:tc>
          <w:tcPr>
            <w:tcW w:w="6912" w:type="dxa"/>
            <w:gridSpan w:val="2"/>
            <w:noWrap w:val="0"/>
            <w:vAlign w:val="center"/>
          </w:tcPr>
          <w:p>
            <w:pPr>
              <w:spacing w:line="300" w:lineRule="exact"/>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628" w:type="dxa"/>
            <w:noWrap w:val="0"/>
            <w:vAlign w:val="center"/>
          </w:tcPr>
          <w:p>
            <w:pPr>
              <w:spacing w:line="300" w:lineRule="exact"/>
              <w:jc w:val="center"/>
              <w:rPr>
                <w:rFonts w:hint="eastAsia" w:ascii="宋体" w:hAnsi="宋体" w:eastAsia="宋体" w:cs="宋体"/>
                <w:b/>
                <w:szCs w:val="21"/>
                <w:lang w:val="zh-CN"/>
              </w:rPr>
            </w:pPr>
            <w:r>
              <w:rPr>
                <w:rFonts w:hint="eastAsia" w:ascii="宋体" w:hAnsi="宋体" w:eastAsia="宋体" w:cs="宋体"/>
                <w:b/>
                <w:szCs w:val="21"/>
                <w:lang w:val="zh-CN"/>
              </w:rPr>
              <w:t>投标单位（盖章）</w:t>
            </w:r>
          </w:p>
        </w:tc>
        <w:tc>
          <w:tcPr>
            <w:tcW w:w="6912" w:type="dxa"/>
            <w:gridSpan w:val="2"/>
            <w:noWrap w:val="0"/>
            <w:vAlign w:val="center"/>
          </w:tcPr>
          <w:p>
            <w:pPr>
              <w:spacing w:line="300" w:lineRule="exact"/>
              <w:rPr>
                <w:rFonts w:hint="eastAsia" w:ascii="宋体" w:hAnsi="宋体" w:eastAsia="宋体"/>
                <w:b/>
                <w:szCs w:val="21"/>
              </w:rPr>
            </w:pPr>
          </w:p>
        </w:tc>
      </w:tr>
    </w:tbl>
    <w:p>
      <w:pPr>
        <w:numPr>
          <w:ilvl w:val="0"/>
          <w:numId w:val="0"/>
        </w:numPr>
      </w:pPr>
    </w:p>
    <w:p>
      <w:pPr>
        <w:snapToGrid w:val="0"/>
        <w:ind w:firstLine="422" w:firstLineChars="200"/>
        <w:rPr>
          <w:rFonts w:hint="eastAsia" w:ascii="宋体" w:hAnsi="宋体"/>
          <w:b/>
          <w:szCs w:val="21"/>
        </w:rPr>
      </w:pPr>
      <w:r>
        <w:rPr>
          <w:rFonts w:hint="eastAsia" w:ascii="宋体" w:hAnsi="宋体"/>
          <w:b/>
          <w:szCs w:val="21"/>
        </w:rPr>
        <w:t>注：1、联合体投标的，“投标单位”一栏需书写所有联合体成员的单位全称，并由联合体主办方按要求签字或盖章，联合体其他成员可不签字或盖章。</w:t>
      </w:r>
    </w:p>
    <w:p>
      <w:pPr>
        <w:spacing w:line="440" w:lineRule="exact"/>
        <w:rPr>
          <w:rFonts w:hint="eastAsia"/>
          <w:szCs w:val="21"/>
          <w:lang w:val="en-US" w:eastAsia="zh-CN"/>
        </w:rPr>
        <w:sectPr>
          <w:headerReference r:id="rId5" w:type="default"/>
          <w:footerReference r:id="rId6" w:type="default"/>
          <w:pgSz w:w="11906" w:h="16838"/>
          <w:pgMar w:top="1417" w:right="1417" w:bottom="1417" w:left="1417" w:header="851" w:footer="907" w:gutter="0"/>
          <w:pgNumType w:fmt="decimal"/>
          <w:cols w:space="720" w:num="1"/>
          <w:docGrid w:linePitch="312" w:charSpace="0"/>
        </w:sectPr>
      </w:pPr>
      <w:r>
        <w:rPr>
          <w:rFonts w:hint="eastAsia"/>
          <w:szCs w:val="21"/>
          <w:lang w:val="en-US" w:eastAsia="zh-CN"/>
        </w:rPr>
        <w:t xml:space="preserve"> </w:t>
      </w:r>
    </w:p>
    <w:p>
      <w:pPr>
        <w:pStyle w:val="5"/>
        <w:numPr>
          <w:ilvl w:val="0"/>
          <w:numId w:val="2"/>
        </w:numPr>
        <w:rPr>
          <w:rFonts w:hint="eastAsia"/>
        </w:rPr>
      </w:pPr>
      <w:bookmarkStart w:id="481" w:name="_Toc300835217"/>
      <w:r>
        <w:t>投标保证金</w:t>
      </w:r>
      <w:bookmarkEnd w:id="481"/>
    </w:p>
    <w:p>
      <w:pPr>
        <w:spacing w:line="440" w:lineRule="exact"/>
        <w:rPr>
          <w:szCs w:val="21"/>
        </w:rPr>
      </w:pPr>
      <w:r>
        <w:rPr>
          <w:szCs w:val="21"/>
          <w:u w:val="single"/>
        </w:rPr>
        <w:t xml:space="preserve">         </w:t>
      </w:r>
      <w:r>
        <w:rPr>
          <w:szCs w:val="21"/>
          <w:u w:val="single"/>
        </w:rPr>
        <w:tab/>
      </w:r>
      <w:r>
        <w:rPr>
          <w:szCs w:val="21"/>
          <w:u w:val="single"/>
        </w:rPr>
        <w:tab/>
      </w:r>
      <w:r>
        <w:rPr>
          <w:szCs w:val="21"/>
          <w:u w:val="single"/>
        </w:rPr>
        <w:t xml:space="preserve">  </w:t>
      </w:r>
      <w:r>
        <w:rPr>
          <w:szCs w:val="21"/>
        </w:rPr>
        <w:t>（招标人名称）：</w:t>
      </w:r>
    </w:p>
    <w:p>
      <w:pPr>
        <w:spacing w:line="440" w:lineRule="exact"/>
        <w:rPr>
          <w:szCs w:val="21"/>
        </w:rPr>
      </w:pPr>
    </w:p>
    <w:p>
      <w:pPr>
        <w:spacing w:line="440" w:lineRule="exact"/>
        <w:ind w:firstLine="420" w:firstLineChars="200"/>
        <w:rPr>
          <w:szCs w:val="21"/>
        </w:rPr>
      </w:pPr>
      <w:r>
        <w:rPr>
          <w:rFonts w:hint="eastAsia"/>
          <w:szCs w:val="21"/>
        </w:rPr>
        <w:t>我方</w:t>
      </w:r>
      <w:r>
        <w:rPr>
          <w:szCs w:val="21"/>
        </w:rPr>
        <w:t>于</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日参加</w:t>
      </w:r>
      <w:r>
        <w:rPr>
          <w:szCs w:val="21"/>
          <w:u w:val="single"/>
        </w:rPr>
        <w:t xml:space="preserve">   </w:t>
      </w:r>
      <w:r>
        <w:rPr>
          <w:rFonts w:hint="eastAsia"/>
          <w:szCs w:val="21"/>
          <w:u w:val="single"/>
        </w:rPr>
        <w:t xml:space="preserve">    </w:t>
      </w:r>
      <w:r>
        <w:rPr>
          <w:szCs w:val="21"/>
          <w:u w:val="single"/>
        </w:rPr>
        <w:t xml:space="preserve">      </w:t>
      </w:r>
      <w:r>
        <w:rPr>
          <w:szCs w:val="21"/>
        </w:rPr>
        <w:t>（项目名称）的投标，</w:t>
      </w:r>
      <w:r>
        <w:rPr>
          <w:rFonts w:hint="eastAsia"/>
          <w:szCs w:val="21"/>
        </w:rPr>
        <w:t>现</w:t>
      </w:r>
      <w:r>
        <w:rPr>
          <w:szCs w:val="21"/>
        </w:rPr>
        <w:t>保证：</w:t>
      </w:r>
      <w:r>
        <w:rPr>
          <w:rFonts w:hint="eastAsia"/>
          <w:szCs w:val="21"/>
        </w:rPr>
        <w:t>我方</w:t>
      </w:r>
      <w:r>
        <w:rPr>
          <w:szCs w:val="21"/>
        </w:rPr>
        <w:t>在规定的投标有效期内撤销或修改投标文件的，或者在收到中标通知书后无正当理由拒签合同或拒交规定履约担保的，</w:t>
      </w:r>
      <w:r>
        <w:rPr>
          <w:rFonts w:hint="eastAsia"/>
          <w:szCs w:val="21"/>
        </w:rPr>
        <w:t>投标保证金不予退还</w:t>
      </w:r>
      <w:r>
        <w:rPr>
          <w:szCs w:val="21"/>
        </w:rPr>
        <w:t>。</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2158" w:firstLineChars="1028"/>
        <w:rPr>
          <w:szCs w:val="21"/>
        </w:rPr>
      </w:pPr>
      <w:r>
        <w:rPr>
          <w:rFonts w:hint="eastAsia"/>
          <w:szCs w:val="21"/>
        </w:rPr>
        <w:t>投标人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授权</w:t>
      </w:r>
      <w:r>
        <w:rPr>
          <w:szCs w:val="21"/>
        </w:rPr>
        <w:t>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2158" w:firstLineChars="1028"/>
        <w:rPr>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rPr>
      </w:pPr>
      <w:r>
        <w:rPr>
          <w:szCs w:val="21"/>
        </w:rPr>
        <w:t>电    话：</w:t>
      </w:r>
      <w:r>
        <w:rPr>
          <w:szCs w:val="21"/>
          <w:u w:val="single"/>
        </w:rPr>
        <w:t xml:space="preserve">                                         </w:t>
      </w:r>
      <w:r>
        <w:rPr>
          <w:rFonts w:hint="eastAsia"/>
          <w:szCs w:val="21"/>
          <w:u w:val="single"/>
        </w:rPr>
        <w:t xml:space="preserve"> </w:t>
      </w:r>
    </w:p>
    <w:p>
      <w:pPr>
        <w:spacing w:line="440" w:lineRule="exact"/>
        <w:ind w:firstLine="3838" w:firstLineChars="1828"/>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rFonts w:hint="eastAsia"/>
          <w:szCs w:val="21"/>
          <w:lang w:val="en-US" w:eastAsia="zh-CN"/>
        </w:rPr>
      </w:pPr>
      <w:r>
        <w:rPr>
          <w:rFonts w:hint="eastAsia"/>
          <w:szCs w:val="21"/>
          <w:lang w:val="en-US" w:eastAsia="zh-CN"/>
        </w:rPr>
        <w:t>附：递交保证金证明文件</w:t>
      </w:r>
    </w:p>
    <w:p>
      <w:pPr>
        <w:spacing w:line="440" w:lineRule="exact"/>
        <w:rPr>
          <w:rFonts w:hint="default"/>
          <w:szCs w:val="21"/>
          <w:lang w:val="en-US" w:eastAsia="zh-CN"/>
        </w:rPr>
      </w:pPr>
    </w:p>
    <w:p>
      <w:pPr>
        <w:snapToGrid w:val="0"/>
        <w:rPr>
          <w:rFonts w:hint="eastAsia" w:ascii="宋体" w:hAnsi="宋体"/>
          <w:b/>
          <w:color w:val="000000"/>
          <w:szCs w:val="21"/>
        </w:rPr>
      </w:pPr>
      <w:r>
        <w:rPr>
          <w:rFonts w:hint="eastAsia" w:ascii="宋体" w:hAnsi="宋体"/>
          <w:b/>
          <w:color w:val="000000"/>
          <w:szCs w:val="21"/>
          <w:lang w:val="en-US" w:eastAsia="zh-CN"/>
        </w:rPr>
        <w:t>注：</w:t>
      </w:r>
      <w:r>
        <w:rPr>
          <w:rFonts w:hint="eastAsia" w:ascii="宋体" w:hAnsi="宋体"/>
          <w:b/>
          <w:color w:val="000000"/>
          <w:szCs w:val="21"/>
        </w:rPr>
        <w:t>1、联合体投标的，“投标单位”一栏需书写所有联合体成员的单位全称，并由联合体主办方按要求签字或盖章，联合体其他成员可不签字或盖章。</w:t>
      </w:r>
    </w:p>
    <w:p>
      <w:pPr>
        <w:spacing w:line="440" w:lineRule="exact"/>
        <w:rPr>
          <w:szCs w:val="21"/>
        </w:rPr>
        <w:sectPr>
          <w:pgSz w:w="11906" w:h="16838"/>
          <w:pgMar w:top="1440" w:right="1440" w:bottom="1440" w:left="1440" w:header="851" w:footer="907" w:gutter="0"/>
          <w:pgNumType w:fmt="decimal"/>
          <w:cols w:space="720" w:num="1"/>
          <w:docGrid w:linePitch="312" w:charSpace="0"/>
        </w:sectPr>
      </w:pPr>
    </w:p>
    <w:p>
      <w:pPr>
        <w:spacing w:line="440" w:lineRule="exact"/>
        <w:rPr>
          <w:rFonts w:eastAsia="黑体"/>
          <w:sz w:val="20"/>
          <w:szCs w:val="20"/>
        </w:rPr>
      </w:pPr>
    </w:p>
    <w:p>
      <w:pPr>
        <w:pStyle w:val="3"/>
        <w:jc w:val="center"/>
        <w:rPr>
          <w:rFonts w:ascii="宋体" w:hAnsi="宋体"/>
          <w:b/>
          <w:color w:val="000000"/>
          <w:sz w:val="28"/>
        </w:rPr>
      </w:pPr>
      <w:bookmarkStart w:id="482" w:name="_Toc247514283"/>
      <w:bookmarkStart w:id="483" w:name="_Toc300835213"/>
      <w:bookmarkStart w:id="484" w:name="_Toc144974860"/>
      <w:bookmarkStart w:id="485" w:name="_Toc152042580"/>
      <w:bookmarkStart w:id="486" w:name="_Toc152045791"/>
      <w:bookmarkStart w:id="487" w:name="_Toc247527831"/>
      <w:r>
        <w:t>二、</w:t>
      </w:r>
      <w:bookmarkEnd w:id="482"/>
      <w:bookmarkEnd w:id="483"/>
      <w:bookmarkEnd w:id="484"/>
      <w:bookmarkEnd w:id="485"/>
      <w:bookmarkEnd w:id="486"/>
      <w:bookmarkEnd w:id="487"/>
      <w:r>
        <w:rPr>
          <w:rFonts w:hint="eastAsia" w:ascii="宋体" w:hAnsi="宋体" w:cs="宋体"/>
          <w:b/>
          <w:bCs/>
          <w:color w:val="000000"/>
          <w:sz w:val="36"/>
          <w:szCs w:val="36"/>
          <w:lang w:val="zh-CN"/>
        </w:rPr>
        <w:t>法人代表证明书、授权委托证明书</w:t>
      </w:r>
    </w:p>
    <w:p>
      <w:pPr>
        <w:spacing w:line="360" w:lineRule="auto"/>
        <w:jc w:val="center"/>
        <w:rPr>
          <w:rFonts w:ascii="宋体" w:hAnsi="宋体"/>
          <w:b/>
          <w:color w:val="000000"/>
          <w:sz w:val="28"/>
        </w:rPr>
      </w:pPr>
      <w:r>
        <w:rPr>
          <w:rFonts w:ascii="宋体" w:hAnsi="宋体"/>
          <w:b/>
          <w:color w:val="000000"/>
          <w:sz w:val="28"/>
        </w:rPr>
        <w:t>法定代表人</w:t>
      </w:r>
      <w:r>
        <w:rPr>
          <w:rFonts w:hint="eastAsia" w:ascii="宋体" w:hAnsi="宋体"/>
          <w:b/>
          <w:color w:val="000000"/>
          <w:sz w:val="28"/>
        </w:rPr>
        <w:t>（负责人）</w:t>
      </w:r>
      <w:r>
        <w:rPr>
          <w:rFonts w:ascii="宋体" w:hAnsi="宋体"/>
          <w:b/>
          <w:color w:val="000000"/>
          <w:sz w:val="28"/>
        </w:rPr>
        <w:t>证明书</w:t>
      </w:r>
    </w:p>
    <w:p>
      <w:pPr>
        <w:spacing w:line="360" w:lineRule="auto"/>
        <w:jc w:val="right"/>
        <w:rPr>
          <w:rFonts w:ascii="宋体" w:hAnsi="宋体"/>
          <w:color w:val="000000"/>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noWrap w:val="0"/>
            <w:vAlign w:val="top"/>
          </w:tcPr>
          <w:p>
            <w:pPr>
              <w:spacing w:line="360" w:lineRule="auto"/>
              <w:rPr>
                <w:rFonts w:ascii="宋体" w:hAnsi="宋体"/>
                <w:color w:val="000000"/>
                <w:sz w:val="24"/>
              </w:rPr>
            </w:pPr>
            <w:r>
              <w:rPr>
                <w:rFonts w:hint="eastAsia" w:ascii="宋体" w:hAnsi="宋体"/>
                <w:color w:val="000000"/>
                <w:sz w:val="24"/>
                <w:u w:val="single"/>
              </w:rPr>
              <w:t>　　　　　　</w:t>
            </w:r>
            <w:r>
              <w:rPr>
                <w:rFonts w:hint="eastAsia" w:ascii="宋体" w:hAnsi="宋体"/>
                <w:color w:val="000000"/>
                <w:sz w:val="24"/>
              </w:rPr>
              <w:t>现任我单位</w:t>
            </w:r>
            <w:r>
              <w:rPr>
                <w:rFonts w:hint="eastAsia" w:ascii="宋体" w:hAnsi="宋体"/>
                <w:color w:val="000000"/>
                <w:sz w:val="24"/>
                <w:u w:val="single"/>
              </w:rPr>
              <w:t>　　　　　</w:t>
            </w:r>
            <w:r>
              <w:rPr>
                <w:rFonts w:hint="eastAsia" w:ascii="宋体" w:hAnsi="宋体"/>
                <w:color w:val="000000"/>
                <w:sz w:val="24"/>
              </w:rPr>
              <w:t>职务，为法定代表人（负责人），特此证明。</w:t>
            </w:r>
          </w:p>
          <w:p>
            <w:pPr>
              <w:spacing w:line="360" w:lineRule="auto"/>
              <w:rPr>
                <w:rFonts w:ascii="宋体" w:hAnsi="宋体"/>
                <w:color w:val="000000"/>
                <w:sz w:val="24"/>
                <w:u w:val="single"/>
              </w:rPr>
            </w:pPr>
            <w:r>
              <w:rPr>
                <w:rFonts w:hint="eastAsia" w:ascii="宋体" w:hAnsi="宋体"/>
                <w:color w:val="000000"/>
                <w:sz w:val="24"/>
              </w:rPr>
              <w:t>有效期限：</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u w:val="single"/>
              </w:rPr>
            </w:pPr>
            <w:r>
              <w:rPr>
                <w:rFonts w:hint="eastAsia" w:ascii="宋体" w:hAnsi="宋体"/>
                <w:color w:val="000000"/>
                <w:sz w:val="24"/>
              </w:rPr>
              <w:t>附：法定代表人（负责人）性别：</w:t>
            </w:r>
            <w:r>
              <w:rPr>
                <w:rFonts w:hint="eastAsia" w:ascii="宋体" w:hAnsi="宋体"/>
                <w:color w:val="000000"/>
                <w:sz w:val="24"/>
                <w:u w:val="single"/>
              </w:rPr>
              <w:t>　　</w:t>
            </w:r>
            <w:r>
              <w:rPr>
                <w:rFonts w:hint="eastAsia" w:ascii="宋体" w:hAnsi="宋体"/>
                <w:color w:val="000000"/>
                <w:sz w:val="24"/>
              </w:rPr>
              <w:t>年龄：</w:t>
            </w:r>
            <w:r>
              <w:rPr>
                <w:rFonts w:hint="eastAsia" w:ascii="宋体" w:hAnsi="宋体"/>
                <w:color w:val="000000"/>
                <w:sz w:val="24"/>
                <w:u w:val="single"/>
              </w:rPr>
              <w:t>　　</w:t>
            </w:r>
            <w:r>
              <w:rPr>
                <w:rFonts w:hint="eastAsia" w:ascii="宋体" w:hAnsi="宋体"/>
                <w:color w:val="000000"/>
                <w:sz w:val="24"/>
              </w:rPr>
              <w:t>身份证号码：</w:t>
            </w:r>
            <w:r>
              <w:rPr>
                <w:rFonts w:hint="eastAsia" w:ascii="宋体" w:hAnsi="宋体"/>
                <w:color w:val="000000"/>
                <w:sz w:val="24"/>
                <w:u w:val="single"/>
              </w:rPr>
              <w:t>　　　　　　　　　</w:t>
            </w:r>
          </w:p>
          <w:p>
            <w:pPr>
              <w:spacing w:line="360" w:lineRule="auto"/>
              <w:rPr>
                <w:rFonts w:ascii="宋体" w:hAnsi="宋体"/>
                <w:color w:val="000000"/>
                <w:sz w:val="24"/>
                <w:u w:val="single"/>
              </w:rPr>
            </w:pPr>
            <w:r>
              <w:rPr>
                <w:rFonts w:hint="eastAsia" w:ascii="宋体" w:hAnsi="宋体"/>
                <w:color w:val="000000"/>
                <w:sz w:val="24"/>
              </w:rPr>
              <w:t>注册号码：</w:t>
            </w:r>
            <w:r>
              <w:rPr>
                <w:rFonts w:hint="eastAsia" w:ascii="宋体" w:hAnsi="宋体"/>
                <w:color w:val="000000"/>
                <w:sz w:val="24"/>
                <w:u w:val="single"/>
              </w:rPr>
              <w:t>　　　　　　　　　　</w:t>
            </w:r>
            <w:r>
              <w:rPr>
                <w:rFonts w:hint="eastAsia" w:ascii="宋体" w:hAnsi="宋体"/>
                <w:color w:val="000000"/>
                <w:sz w:val="24"/>
              </w:rPr>
              <w:t>企业类型：</w:t>
            </w:r>
          </w:p>
          <w:p>
            <w:pPr>
              <w:spacing w:line="360" w:lineRule="auto"/>
              <w:rPr>
                <w:rFonts w:ascii="宋体" w:hAnsi="宋体"/>
                <w:color w:val="000000"/>
                <w:sz w:val="24"/>
                <w:u w:val="single"/>
              </w:rPr>
            </w:pPr>
            <w:r>
              <w:rPr>
                <w:rFonts w:hint="eastAsia" w:ascii="宋体" w:hAnsi="宋体"/>
                <w:color w:val="000000"/>
                <w:sz w:val="24"/>
              </w:rPr>
              <w:t>经营范围：</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　　　　　　　　　　　　　　　　单位：</w:t>
            </w:r>
            <w:r>
              <w:rPr>
                <w:rFonts w:hint="eastAsia" w:ascii="宋体" w:hAnsi="宋体"/>
                <w:color w:val="000000"/>
                <w:sz w:val="24"/>
                <w:u w:val="single"/>
              </w:rPr>
              <w:t>　　　　　　</w:t>
            </w:r>
            <w:r>
              <w:rPr>
                <w:rFonts w:hint="eastAsia" w:ascii="宋体" w:hAnsi="宋体"/>
                <w:color w:val="000000"/>
                <w:sz w:val="24"/>
              </w:rPr>
              <w:t>（盖章）</w:t>
            </w:r>
          </w:p>
          <w:p>
            <w:pPr>
              <w:spacing w:line="360" w:lineRule="auto"/>
              <w:rPr>
                <w:rFonts w:ascii="宋体" w:hAnsi="宋体"/>
                <w:color w:val="000000"/>
                <w:sz w:val="24"/>
              </w:rPr>
            </w:pPr>
            <w:r>
              <w:rPr>
                <w:rFonts w:hint="eastAsia" w:ascii="宋体" w:hAnsi="宋体"/>
                <w:color w:val="000000"/>
                <w:sz w:val="24"/>
              </w:rPr>
              <w:t>　　　　　　　　　　　　　　　　　　　　　    年　  月　　日</w:t>
            </w:r>
          </w:p>
        </w:tc>
      </w:tr>
    </w:tbl>
    <w:p>
      <w:pPr>
        <w:spacing w:line="360" w:lineRule="auto"/>
        <w:rPr>
          <w:rFonts w:ascii="宋体" w:hAnsi="宋体"/>
          <w:color w:val="000000"/>
          <w:szCs w:val="21"/>
        </w:rPr>
      </w:pPr>
      <w:r>
        <w:rPr>
          <w:rFonts w:hint="eastAsia" w:ascii="宋体" w:hAnsi="宋体"/>
          <w:color w:val="000000"/>
          <w:szCs w:val="21"/>
        </w:rPr>
        <w:t>注：1、法定代表人证明书也可以采用工商行政管理局统一印制的格式。</w:t>
      </w:r>
    </w:p>
    <w:p>
      <w:pPr>
        <w:spacing w:line="360" w:lineRule="auto"/>
        <w:rPr>
          <w:rFonts w:ascii="宋体" w:hAnsi="宋体"/>
          <w:color w:val="000000"/>
          <w:szCs w:val="21"/>
        </w:rPr>
      </w:pPr>
      <w:r>
        <w:rPr>
          <w:rFonts w:hint="eastAsia" w:ascii="宋体" w:hAnsi="宋体"/>
          <w:color w:val="000000"/>
          <w:szCs w:val="21"/>
        </w:rPr>
        <w:t xml:space="preserve">    2、联合体投标的，本证明书由联合体主办方出具，由联合体主办方盖章即可。</w:t>
      </w: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r>
        <w:rPr>
          <w:rFonts w:hint="eastAsia" w:ascii="宋体" w:hAnsi="宋体"/>
          <w:b/>
          <w:color w:val="000000"/>
          <w:sz w:val="24"/>
        </w:rPr>
        <w:t>法定代表人授权委托</w:t>
      </w:r>
      <w:r>
        <w:rPr>
          <w:rFonts w:ascii="宋体" w:hAnsi="宋体"/>
          <w:b/>
          <w:color w:val="000000"/>
          <w:sz w:val="24"/>
        </w:rPr>
        <w:t>书</w:t>
      </w:r>
    </w:p>
    <w:p>
      <w:pPr>
        <w:spacing w:line="360" w:lineRule="auto"/>
        <w:jc w:val="right"/>
        <w:rPr>
          <w:rFonts w:ascii="宋体" w:hAnsi="宋体"/>
          <w:color w:val="000000"/>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noWrap w:val="0"/>
            <w:vAlign w:val="top"/>
          </w:tcPr>
          <w:p>
            <w:pPr>
              <w:spacing w:line="360" w:lineRule="auto"/>
              <w:ind w:firstLine="480" w:firstLineChars="200"/>
              <w:rPr>
                <w:rFonts w:ascii="宋体" w:hAnsi="宋体"/>
                <w:color w:val="000000"/>
                <w:sz w:val="24"/>
              </w:rPr>
            </w:pPr>
            <w:r>
              <w:rPr>
                <w:rFonts w:hint="eastAsia" w:ascii="宋体" w:hAnsi="宋体"/>
                <w:color w:val="000000"/>
                <w:sz w:val="24"/>
              </w:rPr>
              <w:t>兹授权为我方委托代理人，其权限是：</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u w:val="single"/>
              </w:rPr>
            </w:pPr>
            <w:r>
              <w:rPr>
                <w:rFonts w:hint="eastAsia" w:ascii="宋体" w:hAnsi="宋体"/>
                <w:color w:val="000000"/>
                <w:sz w:val="24"/>
              </w:rPr>
              <w:t>有效期限：</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附：代理人性别：</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身份证号码：</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u w:val="single"/>
              </w:rPr>
            </w:pPr>
            <w:r>
              <w:rPr>
                <w:rFonts w:hint="eastAsia" w:ascii="宋体" w:hAnsi="宋体"/>
                <w:color w:val="000000"/>
                <w:sz w:val="24"/>
              </w:rPr>
              <w:t>注册号码：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企业类型：</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u w:val="single"/>
              </w:rPr>
            </w:pPr>
            <w:r>
              <w:rPr>
                <w:rFonts w:hint="eastAsia" w:ascii="宋体" w:hAnsi="宋体"/>
                <w:color w:val="000000"/>
                <w:sz w:val="24"/>
              </w:rPr>
              <w:t>经营范围：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法定代表人（负责人）：（签字或盖章）</w:t>
            </w:r>
          </w:p>
          <w:p>
            <w:pPr>
              <w:spacing w:line="360" w:lineRule="auto"/>
              <w:rPr>
                <w:rFonts w:ascii="宋体" w:hAnsi="宋体"/>
                <w:color w:val="000000"/>
                <w:sz w:val="24"/>
              </w:rPr>
            </w:pPr>
            <w:r>
              <w:rPr>
                <w:rFonts w:hint="eastAsia" w:ascii="宋体" w:hAnsi="宋体"/>
                <w:color w:val="000000"/>
                <w:sz w:val="24"/>
              </w:rPr>
              <w:t>授权单位：（盖章）</w:t>
            </w:r>
          </w:p>
          <w:p>
            <w:pPr>
              <w:spacing w:line="360" w:lineRule="auto"/>
              <w:ind w:firstLine="7320" w:firstLineChars="3050"/>
              <w:rPr>
                <w:rFonts w:ascii="宋体" w:hAnsi="宋体"/>
                <w:color w:val="000000"/>
                <w:sz w:val="24"/>
              </w:rPr>
            </w:pPr>
            <w:r>
              <w:rPr>
                <w:rFonts w:hint="eastAsia" w:ascii="宋体" w:hAnsi="宋体"/>
                <w:color w:val="000000"/>
                <w:sz w:val="24"/>
              </w:rPr>
              <w:t>年    月    日</w:t>
            </w:r>
          </w:p>
        </w:tc>
      </w:tr>
    </w:tbl>
    <w:p>
      <w:pPr>
        <w:spacing w:line="360" w:lineRule="auto"/>
        <w:rPr>
          <w:rFonts w:ascii="宋体" w:hAnsi="宋体"/>
          <w:color w:val="000000"/>
          <w:szCs w:val="21"/>
        </w:rPr>
      </w:pPr>
      <w:r>
        <w:rPr>
          <w:rFonts w:hint="eastAsia" w:ascii="宋体" w:hAnsi="宋体"/>
          <w:color w:val="000000"/>
          <w:szCs w:val="21"/>
        </w:rPr>
        <w:t>注：1、法定代表人授权委托书也可以采用工商行政管理局统一印制的格式。</w:t>
      </w:r>
    </w:p>
    <w:p>
      <w:pPr>
        <w:spacing w:line="360" w:lineRule="auto"/>
        <w:ind w:firstLine="420" w:firstLineChars="200"/>
        <w:rPr>
          <w:rFonts w:hint="eastAsia" w:ascii="宋体" w:hAnsi="宋体"/>
          <w:color w:val="000000"/>
          <w:szCs w:val="21"/>
        </w:rPr>
        <w:sectPr>
          <w:pgSz w:w="11906" w:h="16838"/>
          <w:pgMar w:top="1440" w:right="1440" w:bottom="1440" w:left="1440" w:header="851" w:footer="907" w:gutter="0"/>
          <w:pgNumType w:fmt="decimal"/>
          <w:cols w:space="720" w:num="1"/>
          <w:docGrid w:linePitch="312" w:charSpace="0"/>
        </w:sectPr>
      </w:pPr>
      <w:r>
        <w:rPr>
          <w:rFonts w:hint="eastAsia" w:ascii="宋体" w:hAnsi="宋体"/>
          <w:color w:val="000000"/>
          <w:szCs w:val="21"/>
        </w:rPr>
        <w:t>2、联合体投标的，本授权书由联合体主办方出具，由联合体主办方签字或盖章即可。</w:t>
      </w:r>
    </w:p>
    <w:p>
      <w:pPr>
        <w:spacing w:line="400" w:lineRule="exact"/>
      </w:pPr>
    </w:p>
    <w:p>
      <w:pPr>
        <w:pStyle w:val="3"/>
        <w:jc w:val="center"/>
        <w:rPr>
          <w:szCs w:val="21"/>
        </w:rPr>
      </w:pPr>
      <w:bookmarkStart w:id="488" w:name="_Toc247527833"/>
      <w:bookmarkStart w:id="489" w:name="_Toc152045793"/>
      <w:bookmarkStart w:id="490" w:name="_Toc300835215"/>
      <w:bookmarkStart w:id="491" w:name="_Toc152042582"/>
      <w:bookmarkStart w:id="492" w:name="_Toc247514285"/>
      <w:r>
        <w:rPr>
          <w:rFonts w:hint="eastAsia"/>
        </w:rPr>
        <w:t>三、联合体协议书</w:t>
      </w:r>
      <w:bookmarkEnd w:id="488"/>
      <w:bookmarkEnd w:id="489"/>
      <w:bookmarkEnd w:id="490"/>
      <w:bookmarkEnd w:id="491"/>
      <w:bookmarkEnd w:id="492"/>
    </w:p>
    <w:p>
      <w:pPr>
        <w:autoSpaceDE w:val="0"/>
        <w:spacing w:line="360" w:lineRule="auto"/>
        <w:ind w:right="-46"/>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联合体协议书</w:t>
      </w:r>
    </w:p>
    <w:p>
      <w:pPr>
        <w:autoSpaceDE w:val="0"/>
        <w:spacing w:line="360" w:lineRule="auto"/>
        <w:ind w:firstLine="480" w:firstLineChars="200"/>
        <w:rPr>
          <w:rFonts w:hint="eastAsia" w:ascii="宋体" w:hAnsi="宋体"/>
          <w:color w:val="auto"/>
          <w:sz w:val="21"/>
          <w:szCs w:val="21"/>
          <w:highlight w:val="none"/>
        </w:rPr>
      </w:pPr>
      <w:r>
        <w:rPr>
          <w:rFonts w:hint="eastAsia" w:ascii="宋体" w:hAnsi="宋体"/>
          <w:color w:val="auto"/>
          <w:sz w:val="24"/>
          <w:szCs w:val="24"/>
          <w:highlight w:val="none"/>
        </w:rPr>
        <w:t xml:space="preserve"> </w:t>
      </w:r>
      <w:r>
        <w:rPr>
          <w:rFonts w:hint="eastAsia" w:ascii="宋体" w:hAnsi="宋体"/>
          <w:color w:val="auto"/>
          <w:sz w:val="21"/>
          <w:szCs w:val="21"/>
          <w:highlight w:val="none"/>
          <w:u w:val="single"/>
        </w:rPr>
        <w:t>(联合体各成员名称)</w:t>
      </w:r>
      <w:r>
        <w:rPr>
          <w:rFonts w:hint="eastAsia" w:ascii="宋体" w:hAnsi="宋体"/>
          <w:color w:val="auto"/>
          <w:sz w:val="21"/>
          <w:szCs w:val="21"/>
          <w:highlight w:val="none"/>
        </w:rPr>
        <w:t>自愿组成联合体，共同参加</w:t>
      </w:r>
      <w:r>
        <w:rPr>
          <w:rFonts w:ascii="宋体" w:hAnsi="宋体"/>
          <w:color w:val="auto"/>
          <w:sz w:val="21"/>
          <w:szCs w:val="21"/>
          <w:highlight w:val="none"/>
          <w:u w:val="single"/>
        </w:rPr>
        <w:t xml:space="preserve">            （项目名称）            </w:t>
      </w:r>
      <w:r>
        <w:rPr>
          <w:rFonts w:hint="eastAsia" w:ascii="宋体" w:hAnsi="宋体"/>
          <w:color w:val="auto"/>
          <w:sz w:val="21"/>
          <w:szCs w:val="21"/>
          <w:highlight w:val="none"/>
        </w:rPr>
        <w:t>投标。现就联合体投标事宜订立如下协议。</w:t>
      </w:r>
    </w:p>
    <w:p>
      <w:pPr>
        <w:topLinePunct/>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为联合体主办方。</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3、联合体将严格按照招标文件的各项要求，递交投标文件，履行合同，并对外承担连带责任。</w:t>
      </w:r>
    </w:p>
    <w:p>
      <w:pPr>
        <w:topLinePunct/>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4、联合体各成员单位内部的职责分工如下：</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 w:val="21"/>
          <w:szCs w:val="21"/>
          <w:highlight w:val="none"/>
          <w:u w:val="single"/>
        </w:rPr>
        <w:t xml:space="preserve">       （联合体主办方名称）</w:t>
      </w:r>
      <w:r>
        <w:rPr>
          <w:rFonts w:hint="eastAsia" w:ascii="宋体" w:hAnsi="宋体"/>
          <w:color w:val="auto"/>
          <w:sz w:val="21"/>
          <w:szCs w:val="21"/>
          <w:highlight w:val="none"/>
        </w:rPr>
        <w:t>负责</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作为联合体的主办方除负责本工程建筑装修装饰工程的施工外，还应负责消防设施工程施工管理的职责。联合体其他相关方违约时，主办方应承担连带责任</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p>
    <w:p>
      <w:pPr>
        <w:topLinePunct/>
        <w:autoSpaceDE w:val="0"/>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② </w:t>
      </w:r>
      <w:r>
        <w:rPr>
          <w:rFonts w:hint="eastAsia" w:ascii="宋体" w:hAnsi="宋体"/>
          <w:color w:val="auto"/>
          <w:sz w:val="21"/>
          <w:szCs w:val="21"/>
          <w:highlight w:val="none"/>
          <w:u w:val="single"/>
        </w:rPr>
        <w:t xml:space="preserve">      （联合体成员方名称）</w:t>
      </w:r>
      <w:r>
        <w:rPr>
          <w:rFonts w:hint="eastAsia" w:ascii="宋体" w:hAnsi="宋体"/>
          <w:color w:val="auto"/>
          <w:sz w:val="21"/>
          <w:szCs w:val="21"/>
          <w:highlight w:val="none"/>
        </w:rPr>
        <w:t>负责</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p>
    <w:p>
      <w:pPr>
        <w:pStyle w:val="11"/>
        <w:rPr>
          <w:color w:val="auto"/>
          <w:sz w:val="21"/>
          <w:szCs w:val="21"/>
          <w:highlight w:val="none"/>
        </w:rPr>
      </w:pPr>
      <w:r>
        <w:rPr>
          <w:rFonts w:hint="eastAsia"/>
          <w:color w:val="auto"/>
          <w:sz w:val="21"/>
          <w:szCs w:val="21"/>
          <w:highlight w:val="none"/>
        </w:rPr>
        <w:t xml:space="preserve">     </w:t>
      </w:r>
    </w:p>
    <w:p>
      <w:pPr>
        <w:rPr>
          <w:rFonts w:hint="eastAsia"/>
          <w:color w:val="auto"/>
          <w:sz w:val="21"/>
          <w:szCs w:val="21"/>
          <w:highlight w:val="none"/>
        </w:rPr>
      </w:pPr>
    </w:p>
    <w:p>
      <w:pPr>
        <w:topLinePunct/>
        <w:autoSpaceDE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 xml:space="preserve">、本协议书自签署之日起生效，合同履行完毕后自动失效。 </w:t>
      </w:r>
    </w:p>
    <w:p>
      <w:pPr>
        <w:topLinePunct/>
        <w:autoSpaceDE w:val="0"/>
        <w:spacing w:line="360" w:lineRule="auto"/>
        <w:ind w:firstLine="420" w:firstLineChars="200"/>
        <w:rPr>
          <w:rFonts w:hint="eastAsia" w:ascii="宋体" w:hAnsi="宋体"/>
          <w:color w:val="auto"/>
          <w:sz w:val="21"/>
          <w:szCs w:val="21"/>
          <w:highlight w:val="none"/>
        </w:rPr>
      </w:pP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联合体主办方名称：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成员方名称：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pPr>
        <w:pStyle w:val="11"/>
        <w:rPr>
          <w:rFonts w:hint="eastAsia"/>
          <w:color w:val="auto"/>
          <w:sz w:val="21"/>
          <w:szCs w:val="21"/>
          <w:highlight w:val="none"/>
        </w:rPr>
      </w:pPr>
    </w:p>
    <w:p>
      <w:pPr>
        <w:autoSpaceDE w:val="0"/>
        <w:spacing w:line="360" w:lineRule="auto"/>
        <w:ind w:firstLine="4559" w:firstLineChars="2171"/>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11"/>
        <w:rPr>
          <w:rFonts w:hint="eastAsia"/>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注：单独投标的，无需提交本协议书。</w:t>
      </w:r>
    </w:p>
    <w:p>
      <w:pPr>
        <w:pStyle w:val="11"/>
        <w:rPr>
          <w:color w:val="auto"/>
          <w:sz w:val="21"/>
          <w:szCs w:val="21"/>
          <w:highlight w:val="none"/>
        </w:rPr>
      </w:pPr>
    </w:p>
    <w:p>
      <w:pPr>
        <w:rPr>
          <w:rFonts w:hint="eastAsia"/>
          <w:b/>
          <w:bCs/>
        </w:rPr>
      </w:pPr>
      <w:r>
        <w:rPr>
          <w:b/>
          <w:bCs/>
        </w:rPr>
        <w:br w:type="page"/>
      </w:r>
      <w:bookmarkStart w:id="493" w:name="_Toc296602998"/>
    </w:p>
    <w:bookmarkEnd w:id="493"/>
    <w:p>
      <w:pPr>
        <w:spacing w:line="440" w:lineRule="exact"/>
        <w:jc w:val="both"/>
        <w:rPr>
          <w:rFonts w:hint="eastAsia"/>
        </w:rPr>
      </w:pPr>
    </w:p>
    <w:p>
      <w:pPr>
        <w:pStyle w:val="3"/>
        <w:jc w:val="center"/>
      </w:pPr>
      <w:bookmarkStart w:id="494" w:name="_Toc300835222"/>
      <w:r>
        <w:rPr>
          <w:rFonts w:hint="eastAsia"/>
          <w:sz w:val="27"/>
          <w:szCs w:val="27"/>
          <w:lang w:val="en-US" w:eastAsia="zh-CN"/>
        </w:rPr>
        <w:t>四</w:t>
      </w:r>
      <w:r>
        <w:rPr>
          <w:rFonts w:hint="eastAsia"/>
          <w:sz w:val="27"/>
          <w:szCs w:val="27"/>
        </w:rPr>
        <w:t>、</w:t>
      </w:r>
      <w:bookmarkStart w:id="495" w:name="_Toc247514299"/>
      <w:bookmarkStart w:id="496" w:name="_Toc247527847"/>
      <w:bookmarkStart w:id="497" w:name="_Toc152045807"/>
      <w:bookmarkStart w:id="498" w:name="_Toc152042596"/>
      <w:bookmarkStart w:id="499" w:name="_Toc144974875"/>
      <w:r>
        <w:t>资格审查资料</w:t>
      </w:r>
      <w:bookmarkEnd w:id="495"/>
      <w:bookmarkEnd w:id="496"/>
      <w:bookmarkEnd w:id="497"/>
      <w:bookmarkEnd w:id="498"/>
      <w:bookmarkEnd w:id="499"/>
    </w:p>
    <w:p>
      <w:pPr>
        <w:pStyle w:val="5"/>
        <w:rPr>
          <w:rFonts w:eastAsia="黑体"/>
          <w:sz w:val="23"/>
          <w:szCs w:val="23"/>
        </w:rPr>
      </w:pPr>
      <w:bookmarkStart w:id="500" w:name="_Toc247527848"/>
      <w:bookmarkStart w:id="501" w:name="_Toc144974876"/>
      <w:bookmarkStart w:id="502" w:name="_Toc247514300"/>
      <w:bookmarkStart w:id="503" w:name="_Toc152042597"/>
      <w:bookmarkStart w:id="504" w:name="_Toc152045808"/>
      <w:bookmarkStart w:id="505" w:name="_Toc300835224"/>
      <w:r>
        <w:t>（一）投标人基本情况表</w:t>
      </w:r>
      <w:bookmarkEnd w:id="500"/>
      <w:bookmarkEnd w:id="501"/>
      <w:bookmarkEnd w:id="502"/>
      <w:bookmarkEnd w:id="503"/>
      <w:bookmarkEnd w:id="504"/>
      <w:bookmarkEnd w:id="505"/>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bl>
    <w:p>
      <w:pPr>
        <w:spacing w:line="360" w:lineRule="auto"/>
        <w:ind w:right="42" w:rightChars="20"/>
        <w:rPr>
          <w:rFonts w:hint="eastAsia" w:ascii="宋体" w:hAnsi="宋体" w:cs="宋体"/>
          <w:color w:val="000000"/>
          <w:szCs w:val="21"/>
        </w:rPr>
      </w:pPr>
      <w:r>
        <w:rPr>
          <w:rFonts w:hint="eastAsia" w:ascii="宋体" w:hAnsi="宋体" w:cs="宋体"/>
          <w:color w:val="000000"/>
          <w:szCs w:val="21"/>
        </w:rPr>
        <w:t>注：1、在本表后应附企业法人营业执照副本、资质证书副本、施工企业的安全生产许可证副本原件扫描件。</w:t>
      </w:r>
    </w:p>
    <w:p>
      <w:pPr>
        <w:wordWrap w:val="0"/>
        <w:topLinePunct/>
        <w:ind w:firstLine="422" w:firstLineChars="200"/>
        <w:rPr>
          <w:rFonts w:hint="eastAsia" w:ascii="宋体" w:hAnsi="宋体" w:cs="宋体"/>
          <w:b/>
          <w:bCs/>
          <w:color w:val="000000"/>
          <w:szCs w:val="21"/>
          <w:u w:val="double"/>
        </w:rPr>
      </w:pPr>
      <w:r>
        <w:rPr>
          <w:rFonts w:hint="eastAsia" w:ascii="宋体" w:hAnsi="宋体" w:cs="宋体"/>
          <w:b/>
          <w:bCs/>
          <w:color w:val="000000"/>
          <w:szCs w:val="21"/>
          <w:u w:val="double"/>
        </w:rPr>
        <w:t>2、联合体投标的，由联合体各方均需提交本表。</w:t>
      </w:r>
    </w:p>
    <w:p>
      <w:pPr>
        <w:pStyle w:val="5"/>
        <w:rPr>
          <w:rFonts w:hint="eastAsia"/>
          <w:lang w:val="en-US" w:eastAsia="zh-CN"/>
        </w:rPr>
      </w:pPr>
      <w:r>
        <w:rPr>
          <w:rFonts w:hint="eastAsia"/>
          <w:lang w:eastAsia="zh-CN"/>
        </w:rPr>
        <w:t>（</w:t>
      </w:r>
      <w:r>
        <w:rPr>
          <w:rFonts w:hint="eastAsia"/>
          <w:lang w:val="en-US" w:eastAsia="zh-CN"/>
        </w:rPr>
        <w:t>二）投标人声明函</w:t>
      </w:r>
    </w:p>
    <w:p>
      <w:pPr>
        <w:spacing w:line="400" w:lineRule="exact"/>
        <w:ind w:firstLine="420" w:firstLineChars="20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投标人声明</w:t>
      </w:r>
    </w:p>
    <w:p>
      <w:pPr>
        <w:spacing w:line="400" w:lineRule="exact"/>
        <w:ind w:firstLine="420" w:firstLineChars="200"/>
        <w:rPr>
          <w:rFonts w:hint="eastAsia" w:ascii="Times New Roman" w:hAnsi="Times New Roman" w:eastAsia="宋体" w:cs="Times New Roman"/>
          <w:color w:val="auto"/>
          <w:szCs w:val="21"/>
          <w:highlight w:val="none"/>
        </w:rPr>
      </w:pP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本招标项目招标人及招标监管机构：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投标工作，作出郑重声明：</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一、我方保证投标文件及其后提供的一切材料都是真实的。如我方成为本项目中标候选人，我方同意并授权招标人将我方投标文件商务部分的人员、业绩、奖项等资料进行公开。</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二、我方保证在本项目投标中不与其他单位围标、串标，不出让投标资格，不向招标人或评标委员会成员行贿。</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三、我方不存在下列情形之一：</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（2）为本项目监理人或者与本项目监理人存在隶属关系或者其他利害关系；</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（3）为本标段的代建人；</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（4）为本标段提供招标代理服务的；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（5）与本标段的监理人或代建人或招标代理机构同为一个法定代表人的；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（6）与本标段的监理人或代建人或招标代理机构互相控股或参股的；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（7）与本标段的监理人或代建人或招标代理机构相互任职或工作的；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（8）与本标段的检测机构有隶属关系或者其他利害关系；</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（9）与招标人存在利害关系且可能影响招标公正性； </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（10）与本标段的其他投标人为同一个单位负责人； </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（11）与本标段的其他投标人存在控股、管理关系； </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（12）被暂扣安全生产许可证的；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（13）被依法暂停或取消投标资格的； </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（14）被责令停产停业、暂扣或者吊销许可证、暂扣或者吊销执照的；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（15）进入清算程序，或被宣布破产，或其他丧失履约能力的情形；</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（16）在最近三年内有骗取中标或严重违约或重大工程质量问题的；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（17）被工商行政管理机关在全国企业信用信息公示系统中列入严重违法失信企业名单；</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（18）被最高人民法院在“信用中国”网站（www.creditchina.gov.cn）或各级信用信息共享平台中列入失信被执行人名单；</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（19）在近三年内投标人或其法定代表人、拟委派的项目负责人</w:t>
      </w:r>
      <w:r>
        <w:rPr>
          <w:rFonts w:hint="eastAsia" w:ascii="宋体" w:hAnsi="宋体" w:eastAsia="宋体" w:cs="宋体"/>
          <w:color w:val="auto"/>
          <w:sz w:val="21"/>
          <w:szCs w:val="21"/>
          <w:highlight w:val="none"/>
          <w:lang w:eastAsia="zh-CN"/>
        </w:rPr>
        <w:t>（兼施工负责人）</w:t>
      </w:r>
      <w:r>
        <w:rPr>
          <w:rFonts w:hint="eastAsia" w:ascii="宋体" w:hAnsi="宋体" w:eastAsia="宋体" w:cs="宋体"/>
          <w:color w:val="auto"/>
          <w:sz w:val="21"/>
          <w:szCs w:val="21"/>
          <w:highlight w:val="none"/>
        </w:rPr>
        <w:t>有行贿犯罪行为的；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（20）被住房城乡建设行政主管部门在全国建筑市场监管一体化工作平台列入建筑市场主体“黑名单”；</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（21）被发改委、人力资源社会保障、质检总局等有关部门、单位在“信用中国”网站中列入拖欠农民工工资失信联合惩戒对象名单。</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（22）法律法规规定的其他情形。</w:t>
      </w:r>
    </w:p>
    <w:p>
      <w:pPr>
        <w:pStyle w:val="38"/>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四、我方保证本项目拟派的项目负责人</w:t>
      </w:r>
      <w:r>
        <w:rPr>
          <w:rFonts w:hint="eastAsia" w:ascii="宋体" w:hAnsi="宋体" w:eastAsia="宋体" w:cs="宋体"/>
          <w:b/>
          <w:color w:val="auto"/>
          <w:sz w:val="21"/>
          <w:szCs w:val="21"/>
          <w:highlight w:val="none"/>
          <w:lang w:eastAsia="zh-CN"/>
        </w:rPr>
        <w:t>（兼施工负责人）</w:t>
      </w:r>
      <w:r>
        <w:rPr>
          <w:rFonts w:hint="eastAsia" w:ascii="宋体" w:hAnsi="宋体" w:eastAsia="宋体" w:cs="宋体"/>
          <w:b/>
          <w:color w:val="auto"/>
          <w:sz w:val="21"/>
          <w:szCs w:val="21"/>
          <w:highlight w:val="none"/>
        </w:rPr>
        <w:t>没有在其他工程项目担任工程总承包项目负责人、施工项目负责人，本项目拟派的</w:t>
      </w:r>
      <w:r>
        <w:rPr>
          <w:rFonts w:hint="eastAsia" w:ascii="宋体" w:hAnsi="宋体" w:eastAsia="宋体" w:cs="宋体"/>
          <w:b/>
          <w:color w:val="auto"/>
          <w:sz w:val="21"/>
          <w:szCs w:val="21"/>
          <w:highlight w:val="none"/>
          <w:lang w:eastAsia="zh-CN"/>
        </w:rPr>
        <w:t>项目负责人（兼</w:t>
      </w:r>
      <w:r>
        <w:rPr>
          <w:rFonts w:hint="eastAsia" w:ascii="宋体" w:hAnsi="宋体" w:eastAsia="宋体" w:cs="宋体"/>
          <w:b/>
          <w:color w:val="auto"/>
          <w:sz w:val="21"/>
          <w:szCs w:val="21"/>
          <w:highlight w:val="none"/>
        </w:rPr>
        <w:t>施工负责人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、专职安全员没有在其他在建项目中任职。</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38"/>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八、与我方单位负责人为同一人或者与我方存在控股、管理关系的其他单位包括：</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。（注：本条由投标申请人如实填写，如有，应列出的联合体各方全部满足招标公告资质要求的相关单位的名称；如无，则填写“无”。）</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3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39"/>
        <w:ind w:left="0" w:right="-27" w:firstLine="3150" w:firstLineChars="1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pPr>
        <w:pStyle w:val="38"/>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Style w:val="38"/>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（兼施工负责人）</w:t>
      </w:r>
      <w:r>
        <w:rPr>
          <w:rFonts w:hint="eastAsia" w:ascii="宋体" w:hAnsi="宋体" w:eastAsia="宋体" w:cs="宋体"/>
          <w:color w:val="auto"/>
          <w:sz w:val="21"/>
          <w:szCs w:val="21"/>
          <w:highlight w:val="none"/>
        </w:rPr>
        <w:t>签字：</w:t>
      </w:r>
    </w:p>
    <w:p>
      <w:pPr>
        <w:pStyle w:val="38"/>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设计负责人签字：</w:t>
      </w:r>
    </w:p>
    <w:p>
      <w:pPr>
        <w:pStyle w:val="38"/>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（企业公章）</w:t>
      </w:r>
    </w:p>
    <w:p>
      <w:pPr>
        <w:spacing w:line="360" w:lineRule="auto"/>
        <w:rPr>
          <w:rFonts w:hint="eastAsia" w:ascii="宋体" w:hAnsi="宋体" w:eastAsia="宋体" w:cs="宋体"/>
          <w:b/>
          <w:color w:val="auto"/>
          <w:kern w:val="0"/>
          <w:sz w:val="21"/>
          <w:szCs w:val="21"/>
          <w:highlight w:val="none"/>
        </w:rPr>
      </w:pPr>
    </w:p>
    <w:p>
      <w:pPr>
        <w:spacing w:line="360" w:lineRule="auto"/>
        <w:rPr>
          <w:rFonts w:hint="eastAsia" w:ascii="宋体" w:hAnsi="宋体" w:eastAsia="宋体" w:cs="宋体"/>
          <w:b/>
          <w:color w:val="auto"/>
          <w:kern w:val="0"/>
          <w:sz w:val="21"/>
          <w:szCs w:val="21"/>
          <w:highlight w:val="none"/>
        </w:rPr>
      </w:pPr>
    </w:p>
    <w:p>
      <w:pPr>
        <w:spacing w:line="400" w:lineRule="exact"/>
        <w:ind w:firstLine="422" w:firstLineChars="200"/>
        <w:rPr>
          <w:rFonts w:hint="eastAsia" w:ascii="Times New Roman" w:hAnsi="Times New Roman" w:eastAsia="宋体" w:cs="Times New Roman"/>
          <w:color w:val="auto"/>
          <w:sz w:val="21"/>
          <w:szCs w:val="21"/>
          <w:highlight w:val="none"/>
        </w:rPr>
      </w:pPr>
      <w:r>
        <w:rPr>
          <w:rFonts w:hint="eastAsia" w:ascii="宋体" w:hAnsi="宋体" w:eastAsia="宋体" w:cs="宋体"/>
          <w:b/>
          <w:color w:val="auto"/>
          <w:kern w:val="0"/>
          <w:sz w:val="21"/>
          <w:szCs w:val="21"/>
          <w:highlight w:val="none"/>
        </w:rPr>
        <w:t>注：若为联合体投标，“声明企业”应填写联合体各方的单位全称[多家单位组成联合体时，</w:t>
      </w:r>
      <w:r>
        <w:rPr>
          <w:rFonts w:hint="eastAsia" w:ascii="宋体" w:hAnsi="宋体" w:eastAsia="宋体" w:cs="宋体"/>
          <w:color w:val="auto"/>
          <w:sz w:val="21"/>
          <w:szCs w:val="21"/>
          <w:highlight w:val="none"/>
        </w:rPr>
        <w:t>【格式示例：(主)单位全称(成)单位全称】，</w:t>
      </w:r>
      <w:r>
        <w:rPr>
          <w:rFonts w:hint="eastAsia" w:ascii="宋体" w:hAnsi="宋体" w:eastAsia="宋体" w:cs="宋体"/>
          <w:b/>
          <w:color w:val="auto"/>
          <w:kern w:val="0"/>
          <w:sz w:val="21"/>
          <w:szCs w:val="21"/>
          <w:highlight w:val="none"/>
        </w:rPr>
        <w:t>“企业公章”可由联合体主办方加盖企业公章；“法定代表人签字”仅由联合体主办方法定代表人签字即可。</w:t>
      </w:r>
    </w:p>
    <w:p>
      <w:pPr>
        <w:rPr>
          <w:rFonts w:hint="default"/>
          <w:lang w:val="en-US" w:eastAsia="zh-CN"/>
        </w:rPr>
      </w:pPr>
    </w:p>
    <w:p>
      <w:r>
        <w:br w:type="page"/>
      </w:r>
    </w:p>
    <w:p>
      <w:pPr>
        <w:pStyle w:val="5"/>
        <w:rPr>
          <w:rFonts w:eastAsia="黑体"/>
          <w:sz w:val="23"/>
          <w:szCs w:val="23"/>
        </w:rPr>
      </w:pPr>
      <w:r>
        <w:t>（</w:t>
      </w:r>
      <w:r>
        <w:rPr>
          <w:rFonts w:hint="eastAsia"/>
          <w:lang w:val="en-US" w:eastAsia="zh-CN"/>
        </w:rPr>
        <w:t>三</w:t>
      </w:r>
      <w:r>
        <w:t>）</w:t>
      </w:r>
      <w:r>
        <w:rPr>
          <w:rFonts w:hint="eastAsia"/>
        </w:rPr>
        <w:t>诚信承诺函</w:t>
      </w:r>
    </w:p>
    <w:p>
      <w:pPr>
        <w:pStyle w:val="6"/>
        <w:ind w:left="420"/>
        <w:rPr>
          <w:rFonts w:hint="eastAsia" w:ascii="宋体" w:hAnsi="宋体" w:cs="宋体"/>
          <w:color w:val="auto"/>
          <w:szCs w:val="21"/>
          <w:highlight w:val="none"/>
        </w:rPr>
      </w:pPr>
    </w:p>
    <w:p>
      <w:pPr>
        <w:spacing w:line="360" w:lineRule="auto"/>
        <w:jc w:val="center"/>
        <w:outlineLvl w:val="9"/>
        <w:rPr>
          <w:rFonts w:ascii="宋体" w:hAnsi="宋体"/>
          <w:b/>
          <w:bCs/>
          <w:sz w:val="32"/>
          <w:szCs w:val="32"/>
        </w:rPr>
      </w:pPr>
      <w:r>
        <w:rPr>
          <w:rFonts w:hint="eastAsia" w:ascii="宋体" w:hAnsi="宋体"/>
          <w:b/>
          <w:bCs/>
          <w:sz w:val="32"/>
          <w:szCs w:val="32"/>
        </w:rPr>
        <w:t>诚信承诺函</w:t>
      </w:r>
    </w:p>
    <w:p>
      <w:pPr>
        <w:spacing w:line="360" w:lineRule="auto"/>
        <w:rPr>
          <w:rFonts w:hint="default" w:ascii="宋体" w:hAnsi="宋体" w:eastAsia="宋体"/>
          <w:lang w:val="en-US" w:eastAsia="zh-CN"/>
        </w:rPr>
      </w:pPr>
      <w:r>
        <w:rPr>
          <w:rFonts w:hint="eastAsia" w:ascii="宋体" w:hAnsi="宋体"/>
        </w:rPr>
        <w:t>致：</w:t>
      </w:r>
      <w:r>
        <w:rPr>
          <w:rFonts w:hint="eastAsia" w:ascii="宋体" w:hAnsi="宋体"/>
          <w:szCs w:val="21"/>
          <w:u w:val="single"/>
          <w:lang w:val="en-US" w:eastAsia="zh-CN"/>
        </w:rPr>
        <w:t>（采购人）</w:t>
      </w:r>
    </w:p>
    <w:p>
      <w:pPr>
        <w:spacing w:line="360" w:lineRule="auto"/>
        <w:ind w:firstLine="420" w:firstLineChars="200"/>
        <w:rPr>
          <w:rFonts w:ascii="宋体" w:hAnsi="宋体" w:cs="宋体"/>
          <w:szCs w:val="21"/>
        </w:rPr>
      </w:pPr>
      <w:r>
        <w:rPr>
          <w:rFonts w:hint="eastAsia" w:ascii="宋体" w:hAnsi="宋体" w:cs="宋体"/>
          <w:szCs w:val="21"/>
        </w:rPr>
        <w:t>我司参与的</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）的采购活动，在研究并完全理解了项目招标</w:t>
      </w:r>
      <w:r>
        <w:rPr>
          <w:rFonts w:hint="eastAsia" w:ascii="宋体" w:hAnsi="宋体" w:cs="宋体"/>
          <w:szCs w:val="21"/>
          <w:lang w:eastAsia="zh-CN"/>
        </w:rPr>
        <w:t>（</w:t>
      </w:r>
      <w:r>
        <w:rPr>
          <w:rFonts w:hint="eastAsia" w:ascii="宋体" w:hAnsi="宋体" w:cs="宋体"/>
          <w:szCs w:val="21"/>
          <w:lang w:val="en-US" w:eastAsia="zh-CN"/>
        </w:rPr>
        <w:t>采购</w:t>
      </w:r>
      <w:r>
        <w:rPr>
          <w:rFonts w:hint="eastAsia" w:ascii="宋体" w:hAnsi="宋体" w:cs="宋体"/>
          <w:szCs w:val="21"/>
          <w:lang w:eastAsia="zh-CN"/>
        </w:rPr>
        <w:t>）</w:t>
      </w:r>
      <w:r>
        <w:rPr>
          <w:rFonts w:hint="eastAsia" w:ascii="宋体" w:hAnsi="宋体" w:cs="宋体"/>
          <w:szCs w:val="21"/>
        </w:rPr>
        <w:t>文件，我司完全同意并接受项目招标文件的所有内容，同时向贵司承诺：</w:t>
      </w:r>
    </w:p>
    <w:p>
      <w:pPr>
        <w:spacing w:line="360" w:lineRule="auto"/>
        <w:ind w:firstLine="420" w:firstLineChars="200"/>
        <w:rPr>
          <w:rFonts w:ascii="宋体" w:hAnsi="宋体" w:cs="宋体"/>
          <w:szCs w:val="21"/>
        </w:rPr>
      </w:pPr>
      <w:r>
        <w:rPr>
          <w:rFonts w:hint="eastAsia" w:ascii="宋体" w:hAnsi="宋体" w:cs="宋体"/>
          <w:szCs w:val="21"/>
        </w:rPr>
        <w:t>1.20</w:t>
      </w:r>
      <w:r>
        <w:rPr>
          <w:rFonts w:hint="eastAsia" w:ascii="宋体" w:hAnsi="宋体" w:cs="宋体"/>
          <w:szCs w:val="21"/>
          <w:u w:val="single"/>
          <w:lang w:val="en-US" w:eastAsia="zh-CN"/>
        </w:rPr>
        <w:t xml:space="preserve">   </w:t>
      </w:r>
      <w:r>
        <w:rPr>
          <w:rFonts w:hint="eastAsia" w:ascii="宋体" w:hAnsi="宋体" w:cs="宋体"/>
          <w:szCs w:val="21"/>
        </w:rPr>
        <w:t>年1月1日至今，</w:t>
      </w:r>
      <w:r>
        <w:rPr>
          <w:rFonts w:hint="eastAsia" w:ascii="宋体" w:hAnsi="宋体" w:cs="宋体"/>
          <w:szCs w:val="21"/>
          <w:highlight w:val="none"/>
        </w:rPr>
        <w:t>我司（包括关联公司）与招标人</w:t>
      </w:r>
      <w:r>
        <w:rPr>
          <w:rFonts w:hint="eastAsia" w:ascii="宋体" w:hAnsi="宋体" w:cs="宋体"/>
          <w:szCs w:val="21"/>
          <w:highlight w:val="none"/>
          <w:lang w:eastAsia="zh-CN"/>
        </w:rPr>
        <w:t>（</w:t>
      </w:r>
      <w:r>
        <w:rPr>
          <w:rFonts w:hint="eastAsia" w:ascii="宋体" w:hAnsi="宋体" w:cs="宋体"/>
          <w:szCs w:val="21"/>
          <w:highlight w:val="none"/>
          <w:lang w:val="en-US" w:eastAsia="zh-CN"/>
        </w:rPr>
        <w:t>采购人</w:t>
      </w:r>
      <w:r>
        <w:rPr>
          <w:rFonts w:hint="eastAsia" w:ascii="宋体" w:hAnsi="宋体" w:cs="宋体"/>
          <w:szCs w:val="21"/>
          <w:highlight w:val="none"/>
          <w:lang w:eastAsia="zh-CN"/>
        </w:rPr>
        <w:t>）</w:t>
      </w:r>
      <w:r>
        <w:rPr>
          <w:rFonts w:hint="eastAsia" w:ascii="宋体" w:hAnsi="宋体" w:cs="宋体"/>
          <w:szCs w:val="21"/>
          <w:highlight w:val="none"/>
        </w:rPr>
        <w:t>及其子公司无发生各种诉</w:t>
      </w:r>
      <w:r>
        <w:rPr>
          <w:rFonts w:hint="eastAsia" w:ascii="宋体" w:hAnsi="宋体" w:cs="宋体"/>
          <w:szCs w:val="21"/>
        </w:rPr>
        <w:t>讼、仲裁和不良投诉；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2.我司在参与本次采购活动时不存在国家、省市相关法律法规和行业有关规定不得参与投标的情形，且未被列入</w:t>
      </w:r>
      <w:r>
        <w:rPr>
          <w:rFonts w:hint="eastAsia" w:ascii="宋体" w:hAnsi="宋体" w:cs="宋体"/>
          <w:szCs w:val="21"/>
          <w:highlight w:val="none"/>
          <w:lang w:val="en-US" w:eastAsia="zh-CN"/>
        </w:rPr>
        <w:t>招标人</w:t>
      </w:r>
      <w:r>
        <w:rPr>
          <w:rFonts w:hint="eastAsia" w:ascii="宋体" w:hAnsi="宋体" w:cs="宋体"/>
          <w:szCs w:val="21"/>
          <w:highlight w:val="none"/>
          <w:lang w:eastAsia="zh-CN"/>
        </w:rPr>
        <w:t>（</w:t>
      </w:r>
      <w:r>
        <w:rPr>
          <w:rFonts w:hint="eastAsia" w:ascii="宋体" w:hAnsi="宋体" w:cs="宋体"/>
          <w:szCs w:val="21"/>
          <w:highlight w:val="none"/>
        </w:rPr>
        <w:t>采购人</w:t>
      </w:r>
      <w:r>
        <w:rPr>
          <w:rFonts w:hint="eastAsia" w:ascii="宋体" w:hAnsi="宋体" w:cs="宋体"/>
          <w:szCs w:val="21"/>
          <w:highlight w:val="none"/>
          <w:lang w:eastAsia="zh-CN"/>
        </w:rPr>
        <w:t>）</w:t>
      </w:r>
      <w:r>
        <w:rPr>
          <w:rFonts w:hint="eastAsia" w:ascii="宋体" w:hAnsi="宋体" w:cs="宋体"/>
          <w:szCs w:val="21"/>
          <w:highlight w:val="none"/>
        </w:rPr>
        <w:t>管理单位的不予合作对象名单。</w:t>
      </w:r>
    </w:p>
    <w:p>
      <w:pPr>
        <w:spacing w:line="360" w:lineRule="auto"/>
        <w:ind w:firstLine="420" w:firstLineChars="200"/>
        <w:rPr>
          <w:rFonts w:ascii="宋体" w:hAnsi="宋体" w:cs="宋体"/>
          <w:szCs w:val="21"/>
        </w:rPr>
      </w:pPr>
      <w:r>
        <w:rPr>
          <w:rFonts w:hint="eastAsia" w:ascii="宋体" w:hAnsi="宋体" w:cs="宋体"/>
          <w:szCs w:val="21"/>
          <w:highlight w:val="none"/>
        </w:rPr>
        <w:t>3.在参与项目采购活动、合同履行</w:t>
      </w:r>
      <w:r>
        <w:rPr>
          <w:rFonts w:hint="eastAsia" w:ascii="宋体" w:hAnsi="宋体" w:cs="宋体"/>
          <w:szCs w:val="21"/>
        </w:rPr>
        <w:t>、项目实施、运行阶段等期间严格遵守</w:t>
      </w:r>
      <w:r>
        <w:rPr>
          <w:rFonts w:hint="eastAsia" w:ascii="宋体" w:hAnsi="宋体" w:cs="宋体"/>
          <w:szCs w:val="21"/>
          <w:lang w:val="en-US" w:eastAsia="zh-CN"/>
        </w:rPr>
        <w:t>招标人</w:t>
      </w:r>
      <w:r>
        <w:rPr>
          <w:rFonts w:hint="eastAsia" w:ascii="宋体" w:hAnsi="宋体" w:cs="宋体"/>
          <w:szCs w:val="21"/>
          <w:lang w:eastAsia="zh-CN"/>
        </w:rPr>
        <w:t>（</w:t>
      </w:r>
      <w:r>
        <w:rPr>
          <w:rFonts w:hint="eastAsia" w:ascii="宋体" w:hAnsi="宋体" w:cs="宋体"/>
          <w:szCs w:val="21"/>
        </w:rPr>
        <w:t>采购人管理单位的采购合作对象有关管理规定，如有违反，我司愿按照规定被列入不予合作对象名单且接受相应处置，并愿承担由此引起的一切法律责任。</w:t>
      </w:r>
    </w:p>
    <w:p>
      <w:pPr>
        <w:spacing w:line="360" w:lineRule="auto"/>
        <w:ind w:firstLine="422" w:firstLineChars="200"/>
        <w:rPr>
          <w:rFonts w:ascii="宋体" w:hAnsi="宋体" w:cs="宋体"/>
          <w:szCs w:val="21"/>
        </w:rPr>
      </w:pPr>
      <w:r>
        <w:rPr>
          <w:rFonts w:hint="eastAsia" w:ascii="宋体" w:hAnsi="宋体" w:cs="宋体"/>
          <w:b/>
          <w:bCs/>
          <w:szCs w:val="21"/>
        </w:rPr>
        <w:t>不予合作对象名单的认定条件</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lang w:val="en-US" w:eastAsia="zh-CN"/>
        </w:rPr>
        <w:t>一、</w:t>
      </w:r>
      <w:r>
        <w:rPr>
          <w:rFonts w:hint="eastAsia" w:ascii="宋体" w:hAnsi="宋体" w:cs="宋体"/>
          <w:szCs w:val="21"/>
        </w:rPr>
        <w:t>参与招投标活动的投标人或非招标采购活动的报名人，存在国家、省市相关法律法规和行业有关规定不得参与投标情形的，列入不予合作对象名单。</w:t>
      </w:r>
    </w:p>
    <w:p>
      <w:pPr>
        <w:spacing w:line="360" w:lineRule="auto"/>
        <w:ind w:firstLine="420" w:firstLineChars="200"/>
        <w:rPr>
          <w:rFonts w:ascii="宋体" w:hAnsi="宋体" w:cs="宋体"/>
          <w:szCs w:val="21"/>
        </w:rPr>
      </w:pPr>
      <w:r>
        <w:rPr>
          <w:rFonts w:hint="eastAsia" w:ascii="宋体" w:hAnsi="宋体" w:cs="宋体"/>
          <w:szCs w:val="21"/>
          <w:lang w:val="en-US" w:eastAsia="zh-CN"/>
        </w:rPr>
        <w:t>二、</w:t>
      </w:r>
      <w:r>
        <w:rPr>
          <w:rFonts w:hint="eastAsia" w:ascii="宋体" w:hAnsi="宋体" w:cs="宋体"/>
          <w:szCs w:val="21"/>
        </w:rPr>
        <w:t>参与非招标采购活动的报名人，有下列情形之一的，列入不予合作对象名单：</w:t>
      </w:r>
    </w:p>
    <w:p>
      <w:pPr>
        <w:spacing w:line="360" w:lineRule="auto"/>
        <w:ind w:firstLine="420" w:firstLineChars="200"/>
        <w:rPr>
          <w:rFonts w:ascii="宋体" w:hAnsi="宋体" w:cs="宋体"/>
          <w:szCs w:val="21"/>
        </w:rPr>
      </w:pPr>
      <w:r>
        <w:rPr>
          <w:rFonts w:hint="eastAsia" w:ascii="宋体" w:hAnsi="宋体" w:cs="宋体"/>
          <w:szCs w:val="21"/>
        </w:rPr>
        <w:t xml:space="preserve">（一）报名人通过向评审委员会成员、招标代理机构、采购人提供不正当利益谋取成交； </w:t>
      </w:r>
    </w:p>
    <w:p>
      <w:pPr>
        <w:spacing w:line="360" w:lineRule="auto"/>
        <w:ind w:firstLine="420" w:firstLineChars="200"/>
        <w:rPr>
          <w:rFonts w:ascii="宋体" w:hAnsi="宋体" w:cs="宋体"/>
          <w:szCs w:val="21"/>
        </w:rPr>
      </w:pPr>
      <w:r>
        <w:rPr>
          <w:rFonts w:hint="eastAsia" w:ascii="宋体" w:hAnsi="宋体" w:cs="宋体"/>
          <w:szCs w:val="21"/>
        </w:rPr>
        <w:t>（二）借用他人名称、资质进行挂靠，或者将自己的名称、资质借给他人挂靠进行报价，或以其他方式弄虚作假，骗取成交；</w:t>
      </w:r>
    </w:p>
    <w:p>
      <w:pPr>
        <w:spacing w:line="360" w:lineRule="auto"/>
        <w:ind w:firstLine="420" w:firstLineChars="200"/>
        <w:rPr>
          <w:rFonts w:ascii="宋体" w:hAnsi="宋体" w:cs="宋体"/>
          <w:szCs w:val="21"/>
        </w:rPr>
      </w:pPr>
      <w:r>
        <w:rPr>
          <w:rFonts w:hint="eastAsia" w:ascii="宋体" w:hAnsi="宋体" w:cs="宋体"/>
          <w:szCs w:val="21"/>
        </w:rPr>
        <w:t xml:space="preserve">（三）采取不正当手段诋毁、排挤其他合作对象； </w:t>
      </w:r>
    </w:p>
    <w:p>
      <w:pPr>
        <w:spacing w:line="360" w:lineRule="auto"/>
        <w:ind w:firstLine="420" w:firstLineChars="200"/>
        <w:rPr>
          <w:rFonts w:ascii="宋体" w:hAnsi="宋体" w:cs="宋体"/>
          <w:szCs w:val="21"/>
        </w:rPr>
      </w:pPr>
      <w:r>
        <w:rPr>
          <w:rFonts w:hint="eastAsia" w:ascii="宋体" w:hAnsi="宋体" w:cs="宋体"/>
          <w:szCs w:val="21"/>
        </w:rPr>
        <w:t xml:space="preserve">（四）在采购过程与采购人员、招标代理机构私下进行协商谈判，损害采购人或其他报名人利益； </w:t>
      </w:r>
    </w:p>
    <w:p>
      <w:pPr>
        <w:spacing w:line="360" w:lineRule="auto"/>
        <w:ind w:firstLine="420" w:firstLineChars="200"/>
        <w:rPr>
          <w:rFonts w:ascii="宋体" w:hAnsi="宋体" w:cs="宋体"/>
          <w:szCs w:val="21"/>
        </w:rPr>
      </w:pPr>
      <w:r>
        <w:rPr>
          <w:rFonts w:hint="eastAsia" w:ascii="宋体" w:hAnsi="宋体" w:cs="宋体"/>
          <w:szCs w:val="21"/>
        </w:rPr>
        <w:t>（五）报名人针对资格审查文件、采购文件或者在资格预审公示或成交候选人公示期间，故意捏造事实、伪造证明材料，恶意进行质疑，影响采购工作顺利推进；</w:t>
      </w:r>
    </w:p>
    <w:p>
      <w:pPr>
        <w:spacing w:line="360" w:lineRule="auto"/>
        <w:ind w:firstLine="420" w:firstLineChars="200"/>
        <w:rPr>
          <w:rFonts w:ascii="宋体" w:hAnsi="宋体" w:cs="宋体"/>
          <w:szCs w:val="21"/>
        </w:rPr>
      </w:pPr>
      <w:r>
        <w:rPr>
          <w:rFonts w:hint="eastAsia" w:ascii="宋体" w:hAnsi="宋体" w:cs="宋体"/>
          <w:szCs w:val="21"/>
        </w:rPr>
        <w:t>（六）存在围标串标行为；</w:t>
      </w:r>
      <w:r>
        <w:rPr>
          <w:rFonts w:hint="eastAsia" w:ascii="宋体" w:hAnsi="宋体" w:cs="宋体"/>
          <w:szCs w:val="21"/>
        </w:rPr>
        <w:tab/>
      </w:r>
    </w:p>
    <w:p>
      <w:pPr>
        <w:spacing w:line="360" w:lineRule="auto"/>
        <w:ind w:firstLine="420" w:firstLineChars="200"/>
        <w:rPr>
          <w:rFonts w:ascii="宋体" w:hAnsi="宋体" w:cs="宋体"/>
          <w:szCs w:val="21"/>
        </w:rPr>
      </w:pPr>
      <w:r>
        <w:rPr>
          <w:rFonts w:hint="eastAsia" w:ascii="宋体" w:hAnsi="宋体" w:cs="宋体"/>
          <w:szCs w:val="21"/>
        </w:rPr>
        <w:t>（七）采购人成交通知书发出后，报名人拒绝签订合同（因不可抗力原因不能履行合同的除外</w:t>
      </w:r>
      <w:r>
        <w:rPr>
          <w:rFonts w:hint="eastAsia" w:ascii="宋体" w:hAnsi="宋体" w:cs="宋体"/>
          <w:szCs w:val="21"/>
          <w:lang w:val="zh-CN"/>
        </w:rPr>
        <w:t>）</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（八）自采购公告发布之日起前三年内与采购人或采购人管理单位发生诉讼或仲裁的单位；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（九）报名人发生向采购人工作人员行贿情形；</w:t>
      </w:r>
    </w:p>
    <w:p>
      <w:pPr>
        <w:spacing w:line="360" w:lineRule="auto"/>
        <w:ind w:firstLine="420" w:firstLineChars="200"/>
        <w:rPr>
          <w:rFonts w:ascii="宋体" w:hAnsi="宋体" w:cs="宋体"/>
          <w:szCs w:val="21"/>
          <w:lang w:val="zh-CN"/>
        </w:rPr>
      </w:pPr>
      <w:r>
        <w:rPr>
          <w:rFonts w:hint="eastAsia" w:ascii="宋体" w:hAnsi="宋体" w:cs="宋体"/>
          <w:szCs w:val="21"/>
          <w:highlight w:val="none"/>
        </w:rPr>
        <w:t>（十）参与非招标采购活动</w:t>
      </w:r>
      <w:r>
        <w:rPr>
          <w:rFonts w:hint="eastAsia" w:ascii="宋体" w:hAnsi="宋体" w:cs="宋体"/>
          <w:szCs w:val="21"/>
          <w:highlight w:val="none"/>
          <w:lang w:val="zh-CN"/>
        </w:rPr>
        <w:t>进行</w:t>
      </w:r>
      <w:r>
        <w:rPr>
          <w:rFonts w:hint="eastAsia" w:ascii="宋体" w:hAnsi="宋体" w:cs="宋体"/>
          <w:szCs w:val="21"/>
          <w:highlight w:val="none"/>
        </w:rPr>
        <w:t>两次（含）以上</w:t>
      </w:r>
      <w:r>
        <w:rPr>
          <w:rFonts w:hint="eastAsia" w:ascii="宋体" w:hAnsi="宋体" w:cs="宋体"/>
          <w:szCs w:val="21"/>
          <w:highlight w:val="none"/>
          <w:lang w:val="zh-CN"/>
        </w:rPr>
        <w:t>无效</w:t>
      </w:r>
      <w:r>
        <w:rPr>
          <w:rFonts w:hint="eastAsia" w:ascii="宋体" w:hAnsi="宋体" w:cs="宋体"/>
          <w:szCs w:val="21"/>
          <w:highlight w:val="none"/>
        </w:rPr>
        <w:t>异议</w:t>
      </w:r>
      <w:r>
        <w:rPr>
          <w:rFonts w:hint="eastAsia" w:ascii="宋体" w:hAnsi="宋体" w:cs="宋体"/>
          <w:szCs w:val="21"/>
          <w:highlight w:val="none"/>
          <w:lang w:val="zh-CN"/>
        </w:rPr>
        <w:t>的</w:t>
      </w:r>
      <w:r>
        <w:rPr>
          <w:rFonts w:hint="eastAsia" w:ascii="宋体" w:hAnsi="宋体" w:cs="宋体"/>
          <w:szCs w:val="21"/>
          <w:highlight w:val="none"/>
        </w:rPr>
        <w:t>合作对象，因其无效异议对采购人或采购人管理单位造成经济损失、工作滞后的，可纳</w:t>
      </w:r>
      <w:r>
        <w:rPr>
          <w:rFonts w:hint="eastAsia" w:ascii="宋体" w:hAnsi="宋体" w:cs="宋体"/>
          <w:szCs w:val="21"/>
        </w:rPr>
        <w:t>入非招标采购项目不予合作名单</w:t>
      </w:r>
      <w:r>
        <w:rPr>
          <w:rFonts w:hint="eastAsia" w:ascii="宋体" w:hAnsi="宋体" w:cs="宋体"/>
          <w:szCs w:val="21"/>
          <w:lang w:val="zh-CN"/>
        </w:rPr>
        <w:t>。具有下列</w:t>
      </w:r>
      <w:r>
        <w:rPr>
          <w:rFonts w:hint="eastAsia" w:ascii="宋体" w:hAnsi="宋体" w:cs="宋体"/>
          <w:szCs w:val="21"/>
        </w:rPr>
        <w:t>情形</w:t>
      </w:r>
      <w:r>
        <w:rPr>
          <w:rFonts w:hint="eastAsia" w:ascii="宋体" w:hAnsi="宋体" w:cs="宋体"/>
          <w:szCs w:val="21"/>
          <w:lang w:val="zh-CN"/>
        </w:rPr>
        <w:t>之一的，应视为无效</w:t>
      </w:r>
      <w:r>
        <w:rPr>
          <w:rFonts w:hint="eastAsia" w:ascii="宋体" w:hAnsi="宋体" w:cs="宋体"/>
          <w:szCs w:val="21"/>
        </w:rPr>
        <w:t>异议</w:t>
      </w:r>
      <w:r>
        <w:rPr>
          <w:rFonts w:hint="eastAsia" w:ascii="宋体" w:hAnsi="宋体" w:cs="宋体"/>
          <w:szCs w:val="21"/>
          <w:lang w:val="zh-CN"/>
        </w:rPr>
        <w:t>：</w:t>
      </w:r>
    </w:p>
    <w:p>
      <w:pPr>
        <w:spacing w:line="360" w:lineRule="auto"/>
        <w:ind w:firstLine="420" w:firstLineChars="200"/>
        <w:rPr>
          <w:rFonts w:ascii="宋体" w:hAnsi="宋体" w:cs="宋体"/>
          <w:szCs w:val="21"/>
          <w:lang w:val="zh-CN"/>
        </w:rPr>
      </w:pPr>
      <w:r>
        <w:rPr>
          <w:rFonts w:hint="eastAsia" w:ascii="宋体" w:hAnsi="宋体" w:cs="宋体"/>
          <w:szCs w:val="21"/>
        </w:rPr>
        <w:t>1.异议</w:t>
      </w:r>
      <w:r>
        <w:rPr>
          <w:rFonts w:hint="eastAsia" w:ascii="宋体" w:hAnsi="宋体" w:cs="宋体"/>
          <w:szCs w:val="21"/>
          <w:lang w:val="zh-CN"/>
        </w:rPr>
        <w:t>主体不是项目参与合作</w:t>
      </w:r>
      <w:r>
        <w:rPr>
          <w:rFonts w:hint="eastAsia" w:ascii="宋体" w:hAnsi="宋体" w:cs="宋体"/>
          <w:szCs w:val="21"/>
        </w:rPr>
        <w:t>对象或</w:t>
      </w:r>
      <w:r>
        <w:rPr>
          <w:rFonts w:hint="eastAsia" w:ascii="宋体" w:hAnsi="宋体" w:cs="宋体"/>
          <w:szCs w:val="21"/>
          <w:lang w:val="zh-CN"/>
        </w:rPr>
        <w:t>其他利害关系人；</w:t>
      </w:r>
    </w:p>
    <w:p>
      <w:pPr>
        <w:spacing w:line="360" w:lineRule="auto"/>
        <w:ind w:firstLine="420" w:firstLineChars="200"/>
        <w:rPr>
          <w:rFonts w:ascii="宋体" w:hAnsi="宋体" w:cs="宋体"/>
          <w:szCs w:val="21"/>
          <w:lang w:val="zh-CN"/>
        </w:rPr>
      </w:pPr>
      <w:r>
        <w:rPr>
          <w:rFonts w:hint="eastAsia" w:ascii="宋体" w:hAnsi="宋体" w:cs="宋体"/>
          <w:szCs w:val="21"/>
        </w:rPr>
        <w:t>2.合作对象是法人的，异议书必须由其法定代表人或者授权代表签字并盖章；其他组织或者自然人投诉的，异议书必须由其主要负责人或者投诉人本人签字，并附有效身份证明复印件</w:t>
      </w:r>
      <w:r>
        <w:rPr>
          <w:rFonts w:hint="eastAsia" w:ascii="宋体" w:hAnsi="宋体" w:cs="宋体"/>
          <w:szCs w:val="21"/>
          <w:lang w:val="zh-CN"/>
        </w:rPr>
        <w:t>；</w:t>
      </w:r>
    </w:p>
    <w:p>
      <w:pPr>
        <w:spacing w:line="360" w:lineRule="auto"/>
        <w:ind w:firstLine="420" w:firstLineChars="200"/>
        <w:rPr>
          <w:rFonts w:ascii="宋体" w:hAnsi="宋体" w:cs="宋体"/>
          <w:szCs w:val="21"/>
          <w:lang w:val="zh-CN"/>
        </w:rPr>
      </w:pPr>
      <w:r>
        <w:rPr>
          <w:rFonts w:hint="eastAsia" w:ascii="宋体" w:hAnsi="宋体" w:cs="宋体"/>
          <w:szCs w:val="21"/>
        </w:rPr>
        <w:t>3.合作对象</w:t>
      </w:r>
      <w:r>
        <w:rPr>
          <w:rFonts w:hint="eastAsia" w:ascii="宋体" w:hAnsi="宋体" w:cs="宋体"/>
          <w:szCs w:val="21"/>
          <w:lang w:val="zh-CN"/>
        </w:rPr>
        <w:t>未提供必要的证明材料和明确</w:t>
      </w:r>
      <w:r>
        <w:rPr>
          <w:rFonts w:hint="eastAsia" w:ascii="宋体" w:hAnsi="宋体" w:cs="宋体"/>
          <w:szCs w:val="21"/>
        </w:rPr>
        <w:t>的</w:t>
      </w:r>
      <w:r>
        <w:rPr>
          <w:rFonts w:hint="eastAsia" w:ascii="宋体" w:hAnsi="宋体" w:cs="宋体"/>
          <w:szCs w:val="21"/>
          <w:lang w:val="zh-CN"/>
        </w:rPr>
        <w:t>要求；</w:t>
      </w:r>
    </w:p>
    <w:p>
      <w:pPr>
        <w:spacing w:line="360" w:lineRule="auto"/>
        <w:ind w:firstLine="420" w:firstLineChars="200"/>
        <w:rPr>
          <w:rFonts w:ascii="宋体" w:hAnsi="宋体" w:cs="宋体"/>
          <w:szCs w:val="21"/>
          <w:lang w:val="zh-CN"/>
        </w:rPr>
      </w:pPr>
      <w:r>
        <w:rPr>
          <w:rFonts w:hint="eastAsia" w:ascii="宋体" w:hAnsi="宋体" w:cs="宋体"/>
          <w:szCs w:val="21"/>
        </w:rPr>
        <w:t>4.合作对象</w:t>
      </w:r>
      <w:r>
        <w:rPr>
          <w:rFonts w:hint="eastAsia" w:ascii="宋体" w:hAnsi="宋体" w:cs="宋体"/>
          <w:szCs w:val="21"/>
          <w:lang w:val="zh-CN"/>
        </w:rPr>
        <w:t>捏造事实、伪造材料或者以非法手段取得证明材料进行</w:t>
      </w:r>
      <w:r>
        <w:rPr>
          <w:rFonts w:hint="eastAsia" w:ascii="宋体" w:hAnsi="宋体" w:cs="宋体"/>
          <w:szCs w:val="21"/>
        </w:rPr>
        <w:t>异议</w:t>
      </w:r>
      <w:r>
        <w:rPr>
          <w:rFonts w:hint="eastAsia" w:ascii="宋体" w:hAnsi="宋体" w:cs="宋体"/>
          <w:szCs w:val="21"/>
          <w:lang w:val="zh-CN"/>
        </w:rPr>
        <w:t>的，证据来源的合法性存在明显疑问，</w:t>
      </w:r>
      <w:r>
        <w:rPr>
          <w:rFonts w:hint="eastAsia" w:ascii="宋体" w:hAnsi="宋体" w:cs="宋体"/>
          <w:szCs w:val="21"/>
        </w:rPr>
        <w:t>合作对象</w:t>
      </w:r>
      <w:r>
        <w:rPr>
          <w:rFonts w:hint="eastAsia" w:ascii="宋体" w:hAnsi="宋体" w:cs="宋体"/>
          <w:szCs w:val="21"/>
          <w:lang w:val="zh-CN"/>
        </w:rPr>
        <w:t>无法证明其取得方式合法的，视为以非法手段取得证明材料；</w:t>
      </w:r>
    </w:p>
    <w:p>
      <w:pPr>
        <w:spacing w:line="360" w:lineRule="auto"/>
        <w:ind w:firstLine="420" w:firstLineChars="200"/>
        <w:rPr>
          <w:rFonts w:ascii="宋体" w:hAnsi="宋体" w:cs="宋体"/>
          <w:szCs w:val="21"/>
        </w:rPr>
      </w:pPr>
      <w:r>
        <w:rPr>
          <w:rFonts w:hint="eastAsia" w:ascii="宋体" w:hAnsi="宋体" w:cs="宋体"/>
          <w:szCs w:val="21"/>
        </w:rPr>
        <w:t>5.其他属无效异议的情形。</w:t>
      </w:r>
    </w:p>
    <w:p>
      <w:pPr>
        <w:spacing w:line="360" w:lineRule="auto"/>
        <w:ind w:firstLine="420" w:firstLineChars="200"/>
        <w:rPr>
          <w:rFonts w:ascii="宋体" w:hAnsi="宋体" w:cs="宋体"/>
          <w:szCs w:val="21"/>
        </w:rPr>
      </w:pPr>
      <w:r>
        <w:rPr>
          <w:rFonts w:hint="eastAsia" w:ascii="宋体" w:hAnsi="宋体" w:cs="宋体"/>
          <w:szCs w:val="21"/>
          <w:lang w:val="en-US" w:eastAsia="zh-CN"/>
        </w:rPr>
        <w:t>三、</w:t>
      </w:r>
      <w:r>
        <w:rPr>
          <w:rFonts w:hint="eastAsia" w:ascii="宋体" w:hAnsi="宋体" w:cs="宋体"/>
          <w:szCs w:val="21"/>
        </w:rPr>
        <w:t xml:space="preserve">在合同履行，项目实施、运行阶段，有下列情形之一的，列入不予合作对象名单： </w:t>
      </w:r>
    </w:p>
    <w:p>
      <w:pPr>
        <w:spacing w:line="360" w:lineRule="auto"/>
        <w:ind w:firstLine="420" w:firstLineChars="200"/>
        <w:rPr>
          <w:rFonts w:ascii="宋体" w:hAnsi="宋体" w:cs="宋体"/>
          <w:szCs w:val="21"/>
        </w:rPr>
      </w:pPr>
      <w:r>
        <w:rPr>
          <w:rFonts w:hint="eastAsia" w:ascii="宋体" w:hAnsi="宋体" w:cs="宋体"/>
          <w:szCs w:val="21"/>
        </w:rPr>
        <w:t>（一）不按采购文件要求，投标文件或报价文件承诺的条件与采购人及采购人管理单位签订合同，或在合同签订中存在欺诈情形，违反采购文件规定，对采购人或采购人管理单位不利；</w:t>
      </w:r>
    </w:p>
    <w:p>
      <w:pPr>
        <w:spacing w:line="360" w:lineRule="auto"/>
        <w:ind w:firstLine="420" w:firstLineChars="200"/>
        <w:rPr>
          <w:rFonts w:ascii="宋体" w:hAnsi="宋体" w:cs="宋体"/>
          <w:szCs w:val="21"/>
        </w:rPr>
      </w:pPr>
      <w:r>
        <w:rPr>
          <w:rFonts w:hint="eastAsia" w:ascii="宋体" w:hAnsi="宋体" w:cs="宋体"/>
          <w:szCs w:val="21"/>
        </w:rPr>
        <w:t>（二）违反合同约定，将承揽项目转包或违法分包给他人；</w:t>
      </w:r>
    </w:p>
    <w:p>
      <w:pPr>
        <w:spacing w:line="360" w:lineRule="auto"/>
        <w:ind w:firstLine="420" w:firstLineChars="200"/>
        <w:rPr>
          <w:rFonts w:ascii="宋体" w:hAnsi="宋体" w:cs="宋体"/>
          <w:szCs w:val="21"/>
        </w:rPr>
      </w:pPr>
      <w:r>
        <w:rPr>
          <w:rFonts w:hint="eastAsia" w:ascii="宋体" w:hAnsi="宋体" w:cs="宋体"/>
          <w:szCs w:val="21"/>
        </w:rPr>
        <w:t>（三）因合作对象责任原因连续发生不安全事件、事故或造成恶劣不良影响；</w:t>
      </w:r>
    </w:p>
    <w:p>
      <w:pPr>
        <w:spacing w:line="360" w:lineRule="auto"/>
        <w:ind w:firstLine="420" w:firstLineChars="200"/>
        <w:rPr>
          <w:rFonts w:ascii="宋体" w:hAnsi="宋体" w:cs="宋体"/>
          <w:szCs w:val="21"/>
        </w:rPr>
      </w:pPr>
      <w:r>
        <w:rPr>
          <w:rFonts w:hint="eastAsia" w:ascii="宋体" w:hAnsi="宋体" w:cs="宋体"/>
          <w:szCs w:val="21"/>
        </w:rPr>
        <w:t>（四）使用的设备、材料以次充好或提供与合同不符的假冒伪劣产品等降低质量情形或造成不良影响；</w:t>
      </w:r>
    </w:p>
    <w:p>
      <w:pPr>
        <w:spacing w:line="360" w:lineRule="auto"/>
        <w:ind w:firstLine="420" w:firstLineChars="200"/>
        <w:rPr>
          <w:rFonts w:ascii="宋体" w:hAnsi="宋体" w:cs="宋体"/>
          <w:szCs w:val="21"/>
        </w:rPr>
      </w:pPr>
      <w:r>
        <w:rPr>
          <w:rFonts w:hint="eastAsia" w:ascii="宋体" w:hAnsi="宋体" w:cs="宋体"/>
          <w:szCs w:val="21"/>
        </w:rPr>
        <w:t>（五）因环保、噪音问题造成社会恶劣影响；</w:t>
      </w:r>
    </w:p>
    <w:p>
      <w:pPr>
        <w:spacing w:line="360" w:lineRule="auto"/>
        <w:ind w:firstLine="420" w:firstLineChars="200"/>
        <w:rPr>
          <w:rFonts w:ascii="宋体" w:hAnsi="宋体" w:cs="宋体"/>
          <w:szCs w:val="21"/>
        </w:rPr>
      </w:pPr>
      <w:r>
        <w:rPr>
          <w:rFonts w:hint="eastAsia" w:ascii="宋体" w:hAnsi="宋体" w:cs="宋体"/>
          <w:szCs w:val="21"/>
        </w:rPr>
        <w:t>（六）拖欠农民工工资，造成恶劣影响的，或发生上访维稳事件，或导致采购人或采购人管理单位垫付农民工工资；</w:t>
      </w:r>
    </w:p>
    <w:p>
      <w:pPr>
        <w:spacing w:line="360" w:lineRule="auto"/>
        <w:ind w:firstLine="420" w:firstLineChars="200"/>
        <w:rPr>
          <w:rFonts w:ascii="宋体" w:hAnsi="宋体" w:cs="宋体"/>
          <w:szCs w:val="21"/>
          <w:highlight w:val="none"/>
        </w:rPr>
      </w:pPr>
      <w:r>
        <w:rPr>
          <w:rFonts w:hint="eastAsia" w:ascii="宋体" w:hAnsi="宋体" w:cs="宋体"/>
          <w:szCs w:val="21"/>
        </w:rPr>
        <w:t>（七）虚报工程量或设备、材料结算量，拒不接受第三方咨询单位按合同约定审定的工程造价，设备、材料数量，</w:t>
      </w:r>
      <w:r>
        <w:rPr>
          <w:rFonts w:hint="eastAsia" w:ascii="宋体" w:hAnsi="宋体" w:cs="宋体"/>
          <w:szCs w:val="21"/>
          <w:highlight w:val="none"/>
        </w:rPr>
        <w:t>造成工程延误、设备材料到货期延误、结算滞后；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（八）拒绝履行合同主要条款，造成合同无法正常履约；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（九）因严重违约情形被采购人依法解除合同；</w:t>
      </w:r>
    </w:p>
    <w:p>
      <w:pPr>
        <w:spacing w:line="360" w:lineRule="auto"/>
        <w:ind w:firstLine="420" w:firstLineChars="200"/>
        <w:rPr>
          <w:rFonts w:ascii="宋体" w:hAnsi="宋体"/>
          <w:sz w:val="24"/>
          <w:highlight w:val="none"/>
        </w:rPr>
      </w:pPr>
      <w:r>
        <w:rPr>
          <w:rFonts w:hint="eastAsia" w:ascii="宋体" w:hAnsi="宋体" w:cs="宋体"/>
          <w:szCs w:val="21"/>
          <w:highlight w:val="none"/>
        </w:rPr>
        <w:t>（十）存在向采购人或采购人管理单位相关人员行贿等不廉洁情形。</w:t>
      </w:r>
    </w:p>
    <w:p>
      <w:pPr>
        <w:spacing w:line="360" w:lineRule="auto"/>
        <w:rPr>
          <w:rFonts w:ascii="宋体" w:hAnsi="宋体"/>
          <w:b/>
          <w:sz w:val="24"/>
        </w:rPr>
      </w:pPr>
      <w:r>
        <w:rPr>
          <w:rFonts w:hint="eastAsia" w:ascii="宋体" w:hAnsi="宋体"/>
          <w:b/>
          <w:sz w:val="24"/>
        </w:rPr>
        <w:t>备注：本承诺函必须提供且内容不得擅自删改，否则视为无效投标</w:t>
      </w:r>
      <w:r>
        <w:rPr>
          <w:rFonts w:hint="eastAsia" w:ascii="宋体" w:hAnsi="宋体"/>
          <w:b/>
          <w:sz w:val="24"/>
          <w:lang w:eastAsia="zh-CN"/>
        </w:rPr>
        <w:t>（</w:t>
      </w:r>
      <w:r>
        <w:rPr>
          <w:rFonts w:hint="eastAsia" w:ascii="宋体" w:hAnsi="宋体"/>
          <w:b/>
          <w:sz w:val="24"/>
          <w:lang w:val="en-US" w:eastAsia="zh-CN"/>
        </w:rPr>
        <w:t>报价</w:t>
      </w:r>
      <w:r>
        <w:rPr>
          <w:rFonts w:hint="eastAsia" w:ascii="宋体" w:hAnsi="宋体"/>
          <w:b/>
          <w:sz w:val="24"/>
          <w:lang w:eastAsia="zh-CN"/>
        </w:rPr>
        <w:t>）</w:t>
      </w:r>
      <w:r>
        <w:rPr>
          <w:rFonts w:hint="eastAsia" w:ascii="宋体" w:hAnsi="宋体"/>
          <w:b/>
          <w:sz w:val="24"/>
        </w:rPr>
        <w:t>。</w:t>
      </w:r>
    </w:p>
    <w:p>
      <w:pPr>
        <w:spacing w:line="360" w:lineRule="auto"/>
        <w:rPr>
          <w:rFonts w:ascii="宋体" w:hAnsi="宋体"/>
          <w:sz w:val="24"/>
        </w:rPr>
      </w:pPr>
    </w:p>
    <w:p>
      <w:pPr>
        <w:snapToGrid w:val="0"/>
        <w:spacing w:line="360" w:lineRule="auto"/>
        <w:ind w:firstLine="456" w:firstLineChars="200"/>
        <w:rPr>
          <w:rFonts w:ascii="宋体" w:hAnsi="宋体"/>
          <w:sz w:val="22"/>
          <w:szCs w:val="18"/>
          <w:u w:val="single"/>
        </w:rPr>
      </w:pPr>
      <w:r>
        <w:rPr>
          <w:rFonts w:hint="eastAsia" w:ascii="宋体" w:hAnsi="宋体"/>
          <w:spacing w:val="4"/>
          <w:sz w:val="22"/>
          <w:szCs w:val="18"/>
        </w:rPr>
        <w:t>投标人</w:t>
      </w:r>
      <w:r>
        <w:rPr>
          <w:rFonts w:hint="eastAsia" w:ascii="宋体" w:hAnsi="宋体"/>
          <w:spacing w:val="4"/>
          <w:sz w:val="22"/>
          <w:szCs w:val="18"/>
          <w:lang w:eastAsia="zh-CN"/>
        </w:rPr>
        <w:t>（</w:t>
      </w:r>
      <w:r>
        <w:rPr>
          <w:rFonts w:hint="eastAsia" w:ascii="宋体" w:hAnsi="宋体"/>
          <w:spacing w:val="4"/>
          <w:sz w:val="22"/>
          <w:szCs w:val="18"/>
          <w:lang w:val="en-US" w:eastAsia="zh-CN"/>
        </w:rPr>
        <w:t>报价人</w:t>
      </w:r>
      <w:r>
        <w:rPr>
          <w:rFonts w:hint="eastAsia" w:ascii="宋体" w:hAnsi="宋体"/>
          <w:spacing w:val="4"/>
          <w:sz w:val="22"/>
          <w:szCs w:val="18"/>
          <w:lang w:eastAsia="zh-CN"/>
        </w:rPr>
        <w:t>）</w:t>
      </w:r>
      <w:r>
        <w:rPr>
          <w:rFonts w:hint="eastAsia" w:ascii="宋体" w:hAnsi="宋体"/>
          <w:spacing w:val="4"/>
          <w:sz w:val="22"/>
          <w:szCs w:val="18"/>
        </w:rPr>
        <w:t>名称：</w:t>
      </w:r>
      <w:r>
        <w:rPr>
          <w:rFonts w:hint="eastAsia" w:ascii="宋体" w:hAnsi="宋体"/>
          <w:spacing w:val="4"/>
          <w:sz w:val="22"/>
          <w:szCs w:val="18"/>
          <w:u w:val="single"/>
        </w:rPr>
        <w:t xml:space="preserve">                             </w:t>
      </w:r>
    </w:p>
    <w:p>
      <w:pPr>
        <w:snapToGrid w:val="0"/>
        <w:spacing w:line="360" w:lineRule="auto"/>
        <w:ind w:firstLine="456" w:firstLineChars="200"/>
        <w:rPr>
          <w:rFonts w:hint="eastAsia" w:ascii="宋体" w:hAnsi="宋体"/>
          <w:spacing w:val="4"/>
          <w:sz w:val="22"/>
          <w:szCs w:val="18"/>
        </w:rPr>
      </w:pPr>
    </w:p>
    <w:p>
      <w:pPr>
        <w:snapToGrid w:val="0"/>
        <w:spacing w:line="360" w:lineRule="auto"/>
        <w:ind w:firstLine="456" w:firstLineChars="200"/>
        <w:rPr>
          <w:rFonts w:ascii="宋体" w:hAnsi="宋体"/>
          <w:sz w:val="22"/>
          <w:szCs w:val="18"/>
          <w:u w:val="single"/>
        </w:rPr>
      </w:pPr>
      <w:r>
        <w:rPr>
          <w:rFonts w:hint="eastAsia" w:ascii="宋体" w:hAnsi="宋体"/>
          <w:spacing w:val="4"/>
          <w:sz w:val="22"/>
          <w:szCs w:val="18"/>
        </w:rPr>
        <w:t>投标人</w:t>
      </w:r>
      <w:r>
        <w:rPr>
          <w:rFonts w:hint="eastAsia" w:ascii="宋体" w:hAnsi="宋体"/>
          <w:spacing w:val="4"/>
          <w:sz w:val="22"/>
          <w:szCs w:val="18"/>
          <w:lang w:eastAsia="zh-CN"/>
        </w:rPr>
        <w:t>（</w:t>
      </w:r>
      <w:r>
        <w:rPr>
          <w:rFonts w:hint="eastAsia" w:ascii="宋体" w:hAnsi="宋体"/>
          <w:spacing w:val="4"/>
          <w:sz w:val="22"/>
          <w:szCs w:val="18"/>
          <w:lang w:val="en-US" w:eastAsia="zh-CN"/>
        </w:rPr>
        <w:t>报价人</w:t>
      </w:r>
      <w:r>
        <w:rPr>
          <w:rFonts w:hint="eastAsia" w:ascii="宋体" w:hAnsi="宋体"/>
          <w:spacing w:val="4"/>
          <w:sz w:val="22"/>
          <w:szCs w:val="18"/>
          <w:lang w:eastAsia="zh-CN"/>
        </w:rPr>
        <w:t>）</w:t>
      </w:r>
      <w:r>
        <w:rPr>
          <w:rFonts w:hint="eastAsia" w:ascii="宋体" w:hAnsi="宋体"/>
          <w:spacing w:val="4"/>
          <w:sz w:val="22"/>
          <w:szCs w:val="18"/>
        </w:rPr>
        <w:t>公章：</w:t>
      </w:r>
      <w:r>
        <w:rPr>
          <w:rFonts w:hint="eastAsia" w:ascii="宋体" w:hAnsi="宋体"/>
          <w:spacing w:val="4"/>
          <w:sz w:val="22"/>
          <w:szCs w:val="18"/>
          <w:u w:val="single"/>
        </w:rPr>
        <w:t xml:space="preserve">                             </w:t>
      </w:r>
    </w:p>
    <w:p>
      <w:pPr>
        <w:snapToGrid w:val="0"/>
        <w:spacing w:line="360" w:lineRule="auto"/>
        <w:ind w:firstLine="453" w:firstLineChars="206"/>
        <w:rPr>
          <w:rFonts w:hint="eastAsia" w:ascii="宋体" w:hAnsi="宋体"/>
          <w:sz w:val="22"/>
          <w:szCs w:val="18"/>
        </w:rPr>
      </w:pPr>
    </w:p>
    <w:p>
      <w:pPr>
        <w:snapToGrid w:val="0"/>
        <w:spacing w:line="360" w:lineRule="auto"/>
        <w:ind w:firstLine="453" w:firstLineChars="206"/>
        <w:rPr>
          <w:rFonts w:ascii="宋体" w:hAnsi="宋体"/>
          <w:spacing w:val="4"/>
          <w:sz w:val="22"/>
          <w:szCs w:val="18"/>
          <w:u w:val="single"/>
        </w:rPr>
      </w:pPr>
      <w:r>
        <w:rPr>
          <w:rFonts w:hint="eastAsia" w:ascii="宋体" w:hAnsi="宋体"/>
          <w:sz w:val="22"/>
          <w:szCs w:val="18"/>
        </w:rPr>
        <w:t>法定代表人或投标人授权代表（签名或盖章）：</w:t>
      </w:r>
      <w:r>
        <w:rPr>
          <w:rFonts w:hint="eastAsia" w:ascii="宋体" w:hAnsi="宋体"/>
          <w:sz w:val="22"/>
          <w:szCs w:val="18"/>
          <w:u w:val="single"/>
        </w:rPr>
        <w:t xml:space="preserve">     </w:t>
      </w:r>
      <w:r>
        <w:rPr>
          <w:rFonts w:ascii="宋体" w:hAnsi="宋体"/>
          <w:spacing w:val="4"/>
          <w:sz w:val="22"/>
          <w:szCs w:val="18"/>
          <w:u w:val="single"/>
        </w:rPr>
        <w:t xml:space="preserve"> </w:t>
      </w:r>
      <w:r>
        <w:rPr>
          <w:rFonts w:hint="eastAsia" w:ascii="宋体" w:hAnsi="宋体"/>
          <w:spacing w:val="4"/>
          <w:sz w:val="22"/>
          <w:szCs w:val="18"/>
          <w:u w:val="single"/>
        </w:rPr>
        <w:t xml:space="preserve">               </w:t>
      </w:r>
    </w:p>
    <w:p>
      <w:pPr>
        <w:spacing w:line="360" w:lineRule="auto"/>
        <w:ind w:firstLine="440" w:firstLineChars="200"/>
        <w:rPr>
          <w:rFonts w:hint="eastAsia" w:ascii="宋体" w:hAnsi="宋体"/>
          <w:sz w:val="22"/>
          <w:szCs w:val="18"/>
        </w:rPr>
      </w:pPr>
    </w:p>
    <w:p>
      <w:pPr>
        <w:spacing w:line="360" w:lineRule="auto"/>
        <w:ind w:firstLine="440" w:firstLineChars="200"/>
        <w:rPr>
          <w:rFonts w:hint="eastAsia" w:ascii="宋体" w:hAnsi="宋体"/>
          <w:sz w:val="22"/>
          <w:szCs w:val="18"/>
        </w:rPr>
      </w:pPr>
      <w:r>
        <w:rPr>
          <w:rFonts w:hint="eastAsia" w:ascii="宋体" w:hAnsi="宋体"/>
          <w:sz w:val="22"/>
          <w:szCs w:val="18"/>
        </w:rPr>
        <w:t>日期：</w:t>
      </w:r>
    </w:p>
    <w:p>
      <w:pPr>
        <w:bidi w:val="0"/>
        <w:rPr>
          <w:rFonts w:hint="eastAsia" w:ascii="宋体" w:hAnsi="宋体" w:eastAsia="宋体" w:cs="Times New Roman"/>
          <w:b/>
          <w:bCs w:val="0"/>
          <w:kern w:val="2"/>
          <w:sz w:val="21"/>
          <w:szCs w:val="21"/>
          <w:lang w:val="en-US" w:eastAsia="zh-CN" w:bidi="ar-SA"/>
        </w:rPr>
      </w:pPr>
    </w:p>
    <w:p>
      <w:pPr>
        <w:bidi w:val="0"/>
      </w:pPr>
      <w:r>
        <w:rPr>
          <w:rFonts w:hint="eastAsia" w:ascii="宋体" w:hAnsi="宋体" w:eastAsia="宋体" w:cs="Times New Roman"/>
          <w:b/>
          <w:bCs w:val="0"/>
          <w:kern w:val="2"/>
          <w:sz w:val="21"/>
          <w:szCs w:val="21"/>
          <w:lang w:val="en-US" w:eastAsia="zh-CN" w:bidi="ar-SA"/>
        </w:rPr>
        <w:t>注:联合体投标的，“投标人”一栏需书写所有联合体成员的单位全称，可由主办方按格式规定签字或盖章。</w:t>
      </w:r>
    </w:p>
    <w:p>
      <w:pPr>
        <w:pStyle w:val="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r>
        <w:rPr>
          <w:rFonts w:hint="eastAsia" w:ascii="宋体" w:hAnsi="宋体" w:eastAsia="宋体" w:cs="宋体"/>
          <w:b/>
          <w:color w:val="auto"/>
          <w:sz w:val="24"/>
          <w:highlight w:val="none"/>
          <w:lang w:val="en-US" w:eastAsia="zh-CN"/>
        </w:rPr>
        <w:t>（四）承诺书</w:t>
      </w:r>
    </w:p>
    <w:p>
      <w:pPr>
        <w:spacing w:line="360" w:lineRule="auto"/>
        <w:jc w:val="center"/>
        <w:outlineLvl w:val="9"/>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承诺书</w:t>
      </w:r>
    </w:p>
    <w:p>
      <w:pPr>
        <w:spacing w:line="360" w:lineRule="auto"/>
        <w:rPr>
          <w:rFonts w:hint="default" w:ascii="宋体" w:hAnsi="宋体" w:eastAsia="宋体"/>
          <w:lang w:val="en-US" w:eastAsia="zh-CN"/>
        </w:rPr>
      </w:pPr>
      <w:r>
        <w:rPr>
          <w:rFonts w:hint="eastAsia" w:ascii="宋体" w:hAnsi="宋体"/>
        </w:rPr>
        <w:t>致：</w:t>
      </w:r>
      <w:r>
        <w:rPr>
          <w:rFonts w:hint="eastAsia" w:ascii="宋体" w:hAnsi="宋体"/>
          <w:szCs w:val="21"/>
          <w:u w:val="single"/>
          <w:lang w:val="en-US" w:eastAsia="zh-CN"/>
        </w:rPr>
        <w:t>（采购人）</w:t>
      </w:r>
    </w:p>
    <w:p>
      <w:pPr>
        <w:spacing w:line="360" w:lineRule="auto"/>
        <w:ind w:firstLine="420" w:firstLineChars="200"/>
        <w:rPr>
          <w:rFonts w:hint="eastAsia"/>
          <w:lang w:val="en-US" w:eastAsia="zh-CN"/>
        </w:rPr>
      </w:pPr>
      <w:r>
        <w:rPr>
          <w:rFonts w:hint="eastAsia" w:ascii="宋体" w:hAnsi="宋体" w:cs="宋体"/>
          <w:szCs w:val="21"/>
        </w:rPr>
        <w:t>我司参与的</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）的采购活动，在研究并完全理解了项目招标</w:t>
      </w:r>
      <w:r>
        <w:rPr>
          <w:rFonts w:hint="eastAsia" w:ascii="宋体" w:hAnsi="宋体" w:cs="宋体"/>
          <w:szCs w:val="21"/>
          <w:lang w:eastAsia="zh-CN"/>
        </w:rPr>
        <w:t>（</w:t>
      </w:r>
      <w:r>
        <w:rPr>
          <w:rFonts w:hint="eastAsia" w:ascii="宋体" w:hAnsi="宋体" w:cs="宋体"/>
          <w:szCs w:val="21"/>
          <w:lang w:val="en-US" w:eastAsia="zh-CN"/>
        </w:rPr>
        <w:t>采购</w:t>
      </w:r>
      <w:r>
        <w:rPr>
          <w:rFonts w:hint="eastAsia" w:ascii="宋体" w:hAnsi="宋体" w:cs="宋体"/>
          <w:szCs w:val="21"/>
          <w:lang w:eastAsia="zh-CN"/>
        </w:rPr>
        <w:t>）</w:t>
      </w:r>
      <w:r>
        <w:rPr>
          <w:rFonts w:hint="eastAsia" w:ascii="宋体" w:hAnsi="宋体" w:cs="宋体"/>
          <w:szCs w:val="21"/>
        </w:rPr>
        <w:t>文件，我司完全同意并接受项目招标文件的所有内容，同时向贵司承诺：</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1、2020年1月1日至今，投标人（含联合体成员）未因不诚信行为或不充分履约行为被本项目招标人提前终止合同或取消中标资格。</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2020年1月1日至今，投标人（含联合体成员）未因在工程招投标活动中有违法、违规行为或工程质量问题或其它原因受到建设部或广东省住房和城乡建设管理部门宣布取消在本地投标资格的处罚有效期内（至本项目截止投标之日止，通报或处罚有效期已经期满的除外）。</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3、2020年1月1日至今，投标人（含联合体成员）没有重大工程质量问题（重大工程质量问题以建设行政主管部门书面认定为准）。</w:t>
      </w:r>
    </w:p>
    <w:p>
      <w:pPr>
        <w:pStyle w:val="11"/>
        <w:rPr>
          <w:rFonts w:hint="eastAsia"/>
          <w:lang w:val="en-US" w:eastAsia="zh-CN"/>
        </w:rPr>
      </w:pPr>
    </w:p>
    <w:p>
      <w:pPr>
        <w:snapToGrid w:val="0"/>
        <w:spacing w:line="360" w:lineRule="auto"/>
        <w:ind w:firstLine="456" w:firstLineChars="200"/>
        <w:rPr>
          <w:rFonts w:ascii="宋体" w:hAnsi="宋体"/>
          <w:sz w:val="22"/>
          <w:szCs w:val="18"/>
          <w:u w:val="single"/>
        </w:rPr>
      </w:pPr>
      <w:r>
        <w:rPr>
          <w:rFonts w:hint="eastAsia" w:ascii="宋体" w:hAnsi="宋体"/>
          <w:spacing w:val="4"/>
          <w:sz w:val="22"/>
          <w:szCs w:val="18"/>
        </w:rPr>
        <w:t>投标人</w:t>
      </w:r>
      <w:r>
        <w:rPr>
          <w:rFonts w:hint="eastAsia" w:ascii="宋体" w:hAnsi="宋体"/>
          <w:spacing w:val="4"/>
          <w:sz w:val="22"/>
          <w:szCs w:val="18"/>
          <w:lang w:eastAsia="zh-CN"/>
        </w:rPr>
        <w:t>（</w:t>
      </w:r>
      <w:r>
        <w:rPr>
          <w:rFonts w:hint="eastAsia" w:ascii="宋体" w:hAnsi="宋体"/>
          <w:spacing w:val="4"/>
          <w:sz w:val="22"/>
          <w:szCs w:val="18"/>
          <w:lang w:val="en-US" w:eastAsia="zh-CN"/>
        </w:rPr>
        <w:t>报价人</w:t>
      </w:r>
      <w:r>
        <w:rPr>
          <w:rFonts w:hint="eastAsia" w:ascii="宋体" w:hAnsi="宋体"/>
          <w:spacing w:val="4"/>
          <w:sz w:val="22"/>
          <w:szCs w:val="18"/>
          <w:lang w:eastAsia="zh-CN"/>
        </w:rPr>
        <w:t>）</w:t>
      </w:r>
      <w:r>
        <w:rPr>
          <w:rFonts w:hint="eastAsia" w:ascii="宋体" w:hAnsi="宋体"/>
          <w:spacing w:val="4"/>
          <w:sz w:val="22"/>
          <w:szCs w:val="18"/>
        </w:rPr>
        <w:t>名称：</w:t>
      </w:r>
      <w:r>
        <w:rPr>
          <w:rFonts w:hint="eastAsia" w:ascii="宋体" w:hAnsi="宋体"/>
          <w:spacing w:val="4"/>
          <w:sz w:val="22"/>
          <w:szCs w:val="18"/>
          <w:u w:val="single"/>
        </w:rPr>
        <w:t xml:space="preserve">                             </w:t>
      </w:r>
    </w:p>
    <w:p>
      <w:pPr>
        <w:snapToGrid w:val="0"/>
        <w:spacing w:line="360" w:lineRule="auto"/>
        <w:ind w:firstLine="456" w:firstLineChars="200"/>
        <w:rPr>
          <w:rFonts w:hint="eastAsia" w:ascii="宋体" w:hAnsi="宋体"/>
          <w:spacing w:val="4"/>
          <w:sz w:val="22"/>
          <w:szCs w:val="18"/>
        </w:rPr>
      </w:pPr>
    </w:p>
    <w:p>
      <w:pPr>
        <w:snapToGrid w:val="0"/>
        <w:spacing w:line="360" w:lineRule="auto"/>
        <w:ind w:firstLine="456" w:firstLineChars="200"/>
        <w:rPr>
          <w:rFonts w:ascii="宋体" w:hAnsi="宋体"/>
          <w:sz w:val="22"/>
          <w:szCs w:val="18"/>
          <w:u w:val="single"/>
        </w:rPr>
      </w:pPr>
      <w:r>
        <w:rPr>
          <w:rFonts w:hint="eastAsia" w:ascii="宋体" w:hAnsi="宋体"/>
          <w:spacing w:val="4"/>
          <w:sz w:val="22"/>
          <w:szCs w:val="18"/>
        </w:rPr>
        <w:t>投标人</w:t>
      </w:r>
      <w:r>
        <w:rPr>
          <w:rFonts w:hint="eastAsia" w:ascii="宋体" w:hAnsi="宋体"/>
          <w:spacing w:val="4"/>
          <w:sz w:val="22"/>
          <w:szCs w:val="18"/>
          <w:lang w:eastAsia="zh-CN"/>
        </w:rPr>
        <w:t>（</w:t>
      </w:r>
      <w:r>
        <w:rPr>
          <w:rFonts w:hint="eastAsia" w:ascii="宋体" w:hAnsi="宋体"/>
          <w:spacing w:val="4"/>
          <w:sz w:val="22"/>
          <w:szCs w:val="18"/>
          <w:lang w:val="en-US" w:eastAsia="zh-CN"/>
        </w:rPr>
        <w:t>报价人</w:t>
      </w:r>
      <w:r>
        <w:rPr>
          <w:rFonts w:hint="eastAsia" w:ascii="宋体" w:hAnsi="宋体"/>
          <w:spacing w:val="4"/>
          <w:sz w:val="22"/>
          <w:szCs w:val="18"/>
          <w:lang w:eastAsia="zh-CN"/>
        </w:rPr>
        <w:t>）</w:t>
      </w:r>
      <w:r>
        <w:rPr>
          <w:rFonts w:hint="eastAsia" w:ascii="宋体" w:hAnsi="宋体"/>
          <w:spacing w:val="4"/>
          <w:sz w:val="22"/>
          <w:szCs w:val="18"/>
        </w:rPr>
        <w:t>公章：</w:t>
      </w:r>
      <w:r>
        <w:rPr>
          <w:rFonts w:hint="eastAsia" w:ascii="宋体" w:hAnsi="宋体"/>
          <w:spacing w:val="4"/>
          <w:sz w:val="22"/>
          <w:szCs w:val="18"/>
          <w:u w:val="single"/>
        </w:rPr>
        <w:t xml:space="preserve">                             </w:t>
      </w:r>
    </w:p>
    <w:p>
      <w:pPr>
        <w:snapToGrid w:val="0"/>
        <w:spacing w:line="360" w:lineRule="auto"/>
        <w:ind w:firstLine="453" w:firstLineChars="206"/>
        <w:rPr>
          <w:rFonts w:hint="eastAsia" w:ascii="宋体" w:hAnsi="宋体"/>
          <w:sz w:val="22"/>
          <w:szCs w:val="18"/>
        </w:rPr>
      </w:pPr>
    </w:p>
    <w:p>
      <w:pPr>
        <w:snapToGrid w:val="0"/>
        <w:spacing w:line="360" w:lineRule="auto"/>
        <w:ind w:firstLine="453" w:firstLineChars="206"/>
        <w:rPr>
          <w:rFonts w:ascii="宋体" w:hAnsi="宋体"/>
          <w:spacing w:val="4"/>
          <w:sz w:val="22"/>
          <w:szCs w:val="18"/>
          <w:u w:val="single"/>
        </w:rPr>
      </w:pPr>
      <w:r>
        <w:rPr>
          <w:rFonts w:hint="eastAsia" w:ascii="宋体" w:hAnsi="宋体"/>
          <w:sz w:val="22"/>
          <w:szCs w:val="18"/>
        </w:rPr>
        <w:t>法定代表人或投标人授权代表（签名或盖章）：</w:t>
      </w:r>
      <w:r>
        <w:rPr>
          <w:rFonts w:hint="eastAsia" w:ascii="宋体" w:hAnsi="宋体"/>
          <w:sz w:val="22"/>
          <w:szCs w:val="18"/>
          <w:u w:val="single"/>
        </w:rPr>
        <w:t xml:space="preserve">     </w:t>
      </w:r>
      <w:r>
        <w:rPr>
          <w:rFonts w:ascii="宋体" w:hAnsi="宋体"/>
          <w:spacing w:val="4"/>
          <w:sz w:val="22"/>
          <w:szCs w:val="18"/>
          <w:u w:val="single"/>
        </w:rPr>
        <w:t xml:space="preserve"> </w:t>
      </w:r>
      <w:r>
        <w:rPr>
          <w:rFonts w:hint="eastAsia" w:ascii="宋体" w:hAnsi="宋体"/>
          <w:spacing w:val="4"/>
          <w:sz w:val="22"/>
          <w:szCs w:val="18"/>
          <w:u w:val="single"/>
        </w:rPr>
        <w:t xml:space="preserve">               </w:t>
      </w:r>
    </w:p>
    <w:p>
      <w:pPr>
        <w:spacing w:line="360" w:lineRule="auto"/>
        <w:ind w:firstLine="440" w:firstLineChars="200"/>
        <w:rPr>
          <w:rFonts w:hint="eastAsia" w:ascii="宋体" w:hAnsi="宋体"/>
          <w:sz w:val="22"/>
          <w:szCs w:val="18"/>
        </w:rPr>
      </w:pPr>
    </w:p>
    <w:p>
      <w:pPr>
        <w:spacing w:line="360" w:lineRule="auto"/>
        <w:ind w:firstLine="440" w:firstLineChars="200"/>
        <w:rPr>
          <w:rFonts w:hint="eastAsia" w:ascii="宋体" w:hAnsi="宋体"/>
          <w:sz w:val="22"/>
          <w:szCs w:val="18"/>
        </w:rPr>
      </w:pPr>
      <w:r>
        <w:rPr>
          <w:rFonts w:hint="eastAsia" w:ascii="宋体" w:hAnsi="宋体"/>
          <w:sz w:val="22"/>
          <w:szCs w:val="18"/>
        </w:rPr>
        <w:t>日期：</w:t>
      </w:r>
    </w:p>
    <w:p>
      <w:pPr>
        <w:bidi w:val="0"/>
      </w:pPr>
      <w:r>
        <w:rPr>
          <w:rFonts w:hint="eastAsia" w:ascii="宋体" w:hAnsi="宋体" w:eastAsia="宋体" w:cs="Times New Roman"/>
          <w:b/>
          <w:bCs w:val="0"/>
          <w:kern w:val="2"/>
          <w:sz w:val="21"/>
          <w:szCs w:val="21"/>
          <w:lang w:val="en-US" w:eastAsia="zh-CN" w:bidi="ar-SA"/>
        </w:rPr>
        <w:t>注:联合体投标的，“投标人”一栏需书写所有联合体成员的单位全称，可由主办方按格式规定签字或盖章。</w:t>
      </w:r>
    </w:p>
    <w:p>
      <w:pPr>
        <w:pStyle w:val="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r>
        <w:rPr>
          <w:rFonts w:hint="eastAsia" w:ascii="宋体" w:hAnsi="宋体" w:eastAsia="宋体" w:cs="宋体"/>
          <w:b/>
          <w:color w:val="auto"/>
          <w:sz w:val="24"/>
          <w:highlight w:val="none"/>
          <w:lang w:val="en-US" w:eastAsia="zh-CN"/>
        </w:rPr>
        <w:t>（五）信誉要求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eastAsia"/>
          <w:lang w:val="en-US" w:eastAsia="zh-CN"/>
        </w:rPr>
        <w:t>5.1、</w:t>
      </w:r>
      <w:r>
        <w:rPr>
          <w:rFonts w:hint="default"/>
          <w:lang w:val="en-US" w:eastAsia="zh-CN"/>
        </w:rPr>
        <w:t>投标人</w:t>
      </w:r>
      <w:r>
        <w:rPr>
          <w:rFonts w:hint="eastAsia"/>
          <w:lang w:val="en-US" w:eastAsia="zh-CN"/>
        </w:rPr>
        <w:t>未</w:t>
      </w:r>
      <w:r>
        <w:rPr>
          <w:rFonts w:hint="default"/>
          <w:lang w:val="en-US" w:eastAsia="zh-CN"/>
        </w:rPr>
        <w:t>被列为“严重失信主体名单”，以“信用中国”网站（www.creditchina.gov.cn）查询为准，投标人提供从“信用中国”网站截图“严重失信主体名单”页面并加盖公章（未提交截图或截图信息不清晰将作否决</w:t>
      </w:r>
      <w:r>
        <w:rPr>
          <w:rFonts w:hint="eastAsia"/>
          <w:lang w:val="en-US" w:eastAsia="zh-CN"/>
        </w:rPr>
        <w:t>报价</w:t>
      </w:r>
      <w:r>
        <w:rPr>
          <w:rFonts w:hint="default"/>
          <w:lang w:val="en-US" w:eastAsia="zh-CN"/>
        </w:rPr>
        <w:t>处理），</w:t>
      </w:r>
      <w:r>
        <w:rPr>
          <w:rFonts w:hint="default"/>
          <w:b/>
          <w:bCs/>
          <w:u w:val="single"/>
          <w:lang w:val="en-US" w:eastAsia="zh-CN"/>
        </w:rPr>
        <w:t>同时下载信用信息（打印并加盖公章后附在报价文件中）</w:t>
      </w:r>
      <w:r>
        <w:rPr>
          <w:rFonts w:hint="default"/>
          <w:lang w:val="en-US" w:eastAsia="zh-CN"/>
        </w:rPr>
        <w:t>。</w:t>
      </w:r>
    </w:p>
    <w:p>
      <w:pPr>
        <w:jc w:val="center"/>
        <w:rPr>
          <w:rFonts w:hint="eastAsia" w:ascii="宋体" w:hAnsi="宋体" w:cs="宋体"/>
          <w:color w:val="auto"/>
          <w:szCs w:val="21"/>
          <w:highlight w:val="none"/>
        </w:rPr>
      </w:pPr>
      <w:r>
        <w:rPr>
          <w:color w:val="auto"/>
          <w:highlight w:val="none"/>
        </w:rPr>
        <w:drawing>
          <wp:inline distT="0" distB="0" distL="114300" distR="114300">
            <wp:extent cx="6080760" cy="4927600"/>
            <wp:effectExtent l="0" t="0" r="0" b="1016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a:stretch>
                      <a:fillRect/>
                    </a:stretch>
                  </pic:blipFill>
                  <pic:spPr>
                    <a:xfrm>
                      <a:off x="0" y="0"/>
                      <a:ext cx="6080760" cy="4927600"/>
                    </a:xfrm>
                    <a:prstGeom prst="rect">
                      <a:avLst/>
                    </a:prstGeom>
                    <a:noFill/>
                    <a:ln>
                      <a:noFill/>
                    </a:ln>
                  </pic:spPr>
                </pic:pic>
              </a:graphicData>
            </a:graphic>
          </wp:inline>
        </w:drawing>
      </w:r>
    </w:p>
    <w:p>
      <w:pPr>
        <w:rPr>
          <w:rFonts w:hint="eastAsia" w:ascii="宋体" w:hAnsi="宋体" w:cs="宋体"/>
          <w:color w:val="auto"/>
          <w:szCs w:val="21"/>
          <w:highlight w:val="none"/>
        </w:rPr>
      </w:pPr>
      <w:r>
        <w:rPr>
          <w:rFonts w:hint="eastAsia" w:ascii="宋体" w:hAnsi="宋体" w:cs="宋体"/>
          <w:color w:val="auto"/>
          <w:szCs w:val="21"/>
          <w:highlight w:val="none"/>
        </w:rPr>
        <w:t>注：投标人须</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截图并加盖公章，截图清晰显示报价人单位名称及列入信息，否则将被认定为无效投标文件。</w:t>
      </w:r>
    </w:p>
    <w:p>
      <w:pPr>
        <w:numPr>
          <w:ilvl w:val="0"/>
          <w:numId w:val="0"/>
        </w:numPr>
        <w:ind w:leftChars="200"/>
        <w:rPr>
          <w:rFonts w:hint="default"/>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5.2、</w:t>
      </w:r>
      <w:r>
        <w:rPr>
          <w:rFonts w:hint="default" w:ascii="Times New Roman" w:hAnsi="Times New Roman" w:eastAsia="宋体" w:cs="Times New Roman"/>
          <w:lang w:val="en-US" w:eastAsia="zh-CN"/>
        </w:rPr>
        <w:t>投标人</w:t>
      </w:r>
      <w:r>
        <w:rPr>
          <w:rFonts w:hint="eastAsia" w:ascii="Times New Roman" w:hAnsi="Times New Roman" w:eastAsia="宋体" w:cs="Times New Roman"/>
          <w:lang w:val="en-US" w:eastAsia="zh-CN"/>
        </w:rPr>
        <w:t>未</w:t>
      </w:r>
      <w:r>
        <w:rPr>
          <w:rFonts w:hint="default" w:ascii="Times New Roman" w:hAnsi="Times New Roman" w:eastAsia="宋体" w:cs="Times New Roman"/>
          <w:lang w:val="en-US" w:eastAsia="zh-CN"/>
        </w:rPr>
        <w:t>被列入严重违法失信企业名单（黑名单）信息</w:t>
      </w:r>
      <w:r>
        <w:rPr>
          <w:rFonts w:hint="eastAsia" w:cs="Times New Roman"/>
          <w:lang w:val="en-US" w:eastAsia="zh-CN"/>
        </w:rPr>
        <w:t>及</w:t>
      </w:r>
      <w:r>
        <w:rPr>
          <w:rFonts w:hint="default" w:ascii="Times New Roman" w:hAnsi="Times New Roman" w:eastAsia="宋体" w:cs="Times New Roman"/>
          <w:lang w:val="en-US" w:eastAsia="zh-CN"/>
        </w:rPr>
        <w:t>“经营异常名录”，以“国家企业信用信息公示系统”网站（www.gsxt.gov.cn）查询为准，投标人需在采购公告发布后从“国家企业信用信息公示系统”网站截图“列入严重违法失信企业名单（黑名单）信息”</w:t>
      </w:r>
      <w:r>
        <w:rPr>
          <w:rFonts w:hint="eastAsia" w:cs="Times New Roman"/>
          <w:lang w:val="en-US" w:eastAsia="zh-CN"/>
        </w:rPr>
        <w:t>及</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列入</w:t>
      </w:r>
      <w:r>
        <w:rPr>
          <w:rFonts w:hint="default" w:ascii="Times New Roman" w:hAnsi="Times New Roman" w:eastAsia="宋体" w:cs="Times New Roman"/>
          <w:lang w:val="en-US" w:eastAsia="zh-CN"/>
        </w:rPr>
        <w:t>经营异常名录”并加盖公章（未</w:t>
      </w:r>
      <w:r>
        <w:rPr>
          <w:rFonts w:hint="eastAsia" w:cs="Times New Roman"/>
          <w:lang w:val="en-US" w:eastAsia="zh-CN"/>
        </w:rPr>
        <w:t>提交</w:t>
      </w:r>
      <w:r>
        <w:rPr>
          <w:rFonts w:hint="default" w:ascii="Times New Roman" w:hAnsi="Times New Roman" w:eastAsia="宋体" w:cs="Times New Roman"/>
          <w:lang w:val="en-US" w:eastAsia="zh-CN"/>
        </w:rPr>
        <w:t>截图或截图信息不清晰将作否决</w:t>
      </w:r>
      <w:r>
        <w:rPr>
          <w:rFonts w:hint="eastAsia" w:ascii="Times New Roman" w:hAnsi="Times New Roman" w:eastAsia="宋体" w:cs="Times New Roman"/>
          <w:lang w:val="en-US" w:eastAsia="zh-CN"/>
        </w:rPr>
        <w:t>报价</w:t>
      </w:r>
      <w:r>
        <w:rPr>
          <w:rFonts w:hint="default" w:ascii="Times New Roman" w:hAnsi="Times New Roman" w:eastAsia="宋体" w:cs="Times New Roman"/>
          <w:lang w:val="en-US" w:eastAsia="zh-CN"/>
        </w:rPr>
        <w:t>处理）。</w:t>
      </w:r>
    </w:p>
    <w:p>
      <w:pPr>
        <w:rPr>
          <w:rFonts w:hint="eastAsia" w:ascii="宋体" w:hAnsi="宋体" w:cs="宋体"/>
          <w:color w:val="auto"/>
          <w:highlight w:val="none"/>
        </w:rPr>
      </w:pPr>
      <w:r>
        <w:rPr>
          <w:rFonts w:hint="eastAsia" w:ascii="宋体" w:hAnsi="宋体" w:cs="宋体"/>
          <w:color w:val="auto"/>
          <w:highlight w:val="none"/>
        </w:rPr>
        <w:drawing>
          <wp:inline distT="0" distB="0" distL="114300" distR="114300">
            <wp:extent cx="5622925" cy="3766820"/>
            <wp:effectExtent l="0" t="0" r="635" b="1270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5622925" cy="3766820"/>
                    </a:xfrm>
                    <a:prstGeom prst="rect">
                      <a:avLst/>
                    </a:prstGeom>
                    <a:noFill/>
                    <a:ln>
                      <a:noFill/>
                    </a:ln>
                  </pic:spPr>
                </pic:pic>
              </a:graphicData>
            </a:graphic>
          </wp:inline>
        </w:drawing>
      </w:r>
    </w:p>
    <w:p>
      <w:pPr>
        <w:rPr>
          <w:rFonts w:hint="eastAsia" w:ascii="宋体" w:hAnsi="宋体" w:cs="宋体"/>
          <w:color w:val="auto"/>
          <w:highlight w:val="none"/>
        </w:rPr>
      </w:pPr>
      <w:r>
        <w:drawing>
          <wp:inline distT="0" distB="0" distL="114300" distR="114300">
            <wp:extent cx="5759450" cy="310197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59450" cy="3101975"/>
                    </a:xfrm>
                    <a:prstGeom prst="rect">
                      <a:avLst/>
                    </a:prstGeom>
                    <a:noFill/>
                    <a:ln>
                      <a:noFill/>
                    </a:ln>
                  </pic:spPr>
                </pic:pic>
              </a:graphicData>
            </a:graphic>
          </wp:inline>
        </w:drawing>
      </w:r>
    </w:p>
    <w:p>
      <w:pPr>
        <w:rPr>
          <w:rFonts w:hint="eastAsia" w:ascii="宋体" w:hAnsi="宋体" w:cs="宋体"/>
          <w:color w:val="auto"/>
          <w:szCs w:val="21"/>
          <w:highlight w:val="none"/>
        </w:rPr>
      </w:pPr>
      <w:r>
        <w:rPr>
          <w:rFonts w:hint="eastAsia" w:ascii="宋体" w:hAnsi="宋体" w:cs="宋体"/>
          <w:color w:val="auto"/>
          <w:szCs w:val="21"/>
          <w:highlight w:val="none"/>
        </w:rPr>
        <w:t>注：投标人须</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截图并加盖公章，截图清晰显示报价人单位名称及列入严重违法失信企业名单信息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经营异常名录信息</w:t>
      </w:r>
      <w:r>
        <w:rPr>
          <w:rFonts w:hint="eastAsia" w:ascii="宋体" w:hAnsi="宋体" w:cs="宋体"/>
          <w:color w:val="auto"/>
          <w:szCs w:val="21"/>
          <w:highlight w:val="none"/>
        </w:rPr>
        <w:t>，否则将被认定为无效报价文件。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lang w:val="en-US" w:eastAsia="zh-CN"/>
        </w:rPr>
      </w:pPr>
    </w:p>
    <w:p>
      <w:pPr>
        <w:spacing w:line="312" w:lineRule="auto"/>
        <w:jc w:val="left"/>
        <w:rPr>
          <w:rFonts w:hint="eastAsia" w:ascii="宋体" w:hAnsi="宋体" w:cs="宋体"/>
          <w:color w:val="auto"/>
          <w:sz w:val="28"/>
          <w:szCs w:val="28"/>
          <w:highlight w:val="none"/>
        </w:rPr>
      </w:pPr>
    </w:p>
    <w:p>
      <w:pPr>
        <w:rPr>
          <w:rFonts w:hint="eastAsia" w:ascii="宋体" w:hAnsi="宋体" w:cs="宋体"/>
          <w:color w:val="auto"/>
          <w:highlight w:val="none"/>
        </w:rPr>
      </w:pPr>
    </w:p>
    <w:p>
      <w:pPr>
        <w:topLinePunct/>
        <w:spacing w:line="440" w:lineRule="exact"/>
        <w:rPr>
          <w:sz w:val="20"/>
        </w:rPr>
      </w:pPr>
    </w:p>
    <w:p>
      <w:pPr>
        <w:pStyle w:val="7"/>
        <w:rPr>
          <w:color w:val="auto"/>
          <w:highlight w:val="none"/>
        </w:rPr>
      </w:pPr>
    </w:p>
    <w:p>
      <w:pPr>
        <w:pStyle w:val="5"/>
        <w:rPr>
          <w:rFonts w:hint="eastAsia" w:hAnsi="宋体" w:cs="Times New Roman"/>
          <w:lang w:eastAsia="zh-CN"/>
        </w:rPr>
      </w:pPr>
      <w:bookmarkStart w:id="506" w:name="_Toc247527850"/>
      <w:bookmarkStart w:id="507" w:name="_Toc300835226"/>
      <w:bookmarkStart w:id="508" w:name="_Toc144974878"/>
      <w:bookmarkStart w:id="509" w:name="_Toc247514302"/>
      <w:bookmarkStart w:id="510" w:name="_Toc152042599"/>
      <w:bookmarkStart w:id="511" w:name="_Toc152045810"/>
      <w:r>
        <w:rPr>
          <w:rFonts w:hint="eastAsia" w:hAnsi="宋体" w:cs="Times New Roman"/>
          <w:lang w:eastAsia="zh-CN"/>
        </w:rPr>
        <w:t>（</w:t>
      </w:r>
      <w:r>
        <w:rPr>
          <w:rFonts w:hint="eastAsia" w:hAnsi="宋体" w:cs="Times New Roman"/>
          <w:lang w:val="en-US" w:eastAsia="zh-CN"/>
        </w:rPr>
        <w:t>六）</w:t>
      </w:r>
      <w:r>
        <w:rPr>
          <w:rFonts w:hint="eastAsia" w:hAnsi="宋体" w:cs="Times New Roman"/>
          <w:lang w:eastAsia="zh-CN"/>
        </w:rPr>
        <w:t>合同承诺书</w:t>
      </w:r>
    </w:p>
    <w:p>
      <w:pPr>
        <w:numPr>
          <w:ilvl w:val="0"/>
          <w:numId w:val="0"/>
        </w:numPr>
        <w:ind w:leftChars="49"/>
        <w:jc w:val="center"/>
        <w:outlineLvl w:val="9"/>
        <w:rPr>
          <w:rFonts w:hint="eastAsia" w:ascii="宋体" w:hAnsi="宋体" w:cs="宋体"/>
          <w:sz w:val="44"/>
          <w:szCs w:val="44"/>
        </w:rPr>
      </w:pPr>
      <w:r>
        <w:rPr>
          <w:rFonts w:hint="eastAsia" w:ascii="宋体" w:hAnsi="宋体" w:cs="宋体"/>
          <w:sz w:val="44"/>
          <w:szCs w:val="44"/>
        </w:rPr>
        <w:t>合同承诺书</w:t>
      </w:r>
    </w:p>
    <w:p>
      <w:pPr>
        <w:spacing w:line="360" w:lineRule="auto"/>
        <w:ind w:right="-624" w:rightChars="-297"/>
        <w:rPr>
          <w:rFonts w:hint="eastAsia" w:ascii="宋体" w:hAnsi="宋体" w:cs="宋体"/>
          <w:szCs w:val="21"/>
        </w:rPr>
      </w:pPr>
    </w:p>
    <w:p>
      <w:pPr>
        <w:spacing w:line="360" w:lineRule="auto"/>
        <w:ind w:left="-283" w:leftChars="-135" w:right="-624" w:rightChars="-297" w:firstLine="420" w:firstLineChars="200"/>
        <w:rPr>
          <w:rFonts w:hint="default" w:ascii="宋体" w:hAnsi="宋体" w:eastAsia="宋体" w:cs="宋体"/>
          <w:szCs w:val="21"/>
          <w:lang w:val="en-US" w:eastAsia="zh-CN"/>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u w:val="single"/>
          <w:lang w:val="en-US" w:eastAsia="zh-CN"/>
        </w:rPr>
        <w:t xml:space="preserve">   （招标人名称）     </w:t>
      </w:r>
    </w:p>
    <w:p>
      <w:pPr>
        <w:spacing w:line="360" w:lineRule="auto"/>
        <w:ind w:left="-283" w:leftChars="-135" w:right="-624" w:rightChars="-297"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lang w:eastAsia="zh-CN"/>
        </w:rPr>
        <w:t>方</w:t>
      </w:r>
      <w:r>
        <w:rPr>
          <w:rFonts w:hint="eastAsia" w:ascii="宋体" w:hAnsi="宋体" w:cs="宋体"/>
          <w:szCs w:val="21"/>
        </w:rPr>
        <w:t>确认收到贵单位提供的</w:t>
      </w:r>
      <w:r>
        <w:rPr>
          <w:rFonts w:hint="eastAsia" w:ascii="宋体" w:hAnsi="宋体" w:cs="宋体"/>
          <w:szCs w:val="21"/>
          <w:u w:val="single"/>
        </w:rPr>
        <w:t xml:space="preserve">           （工程名称）             </w:t>
      </w:r>
      <w:r>
        <w:rPr>
          <w:rFonts w:hint="eastAsia" w:ascii="宋体" w:hAnsi="宋体" w:cs="宋体"/>
          <w:szCs w:val="21"/>
        </w:rPr>
        <w:t>合同的全部内容。</w:t>
      </w:r>
    </w:p>
    <w:p>
      <w:pPr>
        <w:spacing w:line="360" w:lineRule="auto"/>
        <w:ind w:left="-283" w:leftChars="-135" w:right="-624" w:rightChars="-297"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lang w:eastAsia="zh-CN"/>
        </w:rPr>
        <w:t>方</w:t>
      </w:r>
      <w:r>
        <w:rPr>
          <w:rFonts w:hint="eastAsia" w:ascii="宋体" w:hAnsi="宋体" w:cs="宋体"/>
          <w:szCs w:val="21"/>
        </w:rPr>
        <w:t>已完全明白和接受设计施工总承包合同的所有条款要求，</w:t>
      </w:r>
    </w:p>
    <w:p>
      <w:pPr>
        <w:spacing w:line="360" w:lineRule="auto"/>
        <w:ind w:left="-283" w:leftChars="-135" w:right="-624" w:rightChars="-297"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lang w:eastAsia="zh-CN"/>
        </w:rPr>
        <w:t>方</w:t>
      </w:r>
      <w:r>
        <w:rPr>
          <w:rFonts w:hint="eastAsia" w:ascii="宋体" w:hAnsi="宋体" w:cs="宋体"/>
          <w:szCs w:val="21"/>
        </w:rPr>
        <w:t>已详细研究并理解发包人上述合同条款内容，同意上</w:t>
      </w:r>
      <w:r>
        <w:rPr>
          <w:rFonts w:hint="eastAsia" w:ascii="宋体" w:hAnsi="宋体" w:cs="宋体"/>
          <w:szCs w:val="21"/>
          <w:lang w:eastAsia="zh-CN"/>
        </w:rPr>
        <w:t>合同条</w:t>
      </w:r>
      <w:r>
        <w:rPr>
          <w:rFonts w:hint="eastAsia" w:ascii="宋体" w:hAnsi="宋体" w:cs="宋体"/>
          <w:szCs w:val="21"/>
        </w:rPr>
        <w:t>款的内容，对合同内容和约束无异议，充分了解了现场条件对可能存在的所有风险都已充分考虑，我</w:t>
      </w:r>
      <w:r>
        <w:rPr>
          <w:rFonts w:hint="eastAsia" w:ascii="宋体" w:hAnsi="宋体" w:cs="宋体"/>
          <w:szCs w:val="21"/>
          <w:lang w:eastAsia="zh-CN"/>
        </w:rPr>
        <w:t>方</w:t>
      </w:r>
      <w:r>
        <w:rPr>
          <w:rFonts w:hint="eastAsia" w:ascii="宋体" w:hAnsi="宋体" w:cs="宋体"/>
          <w:szCs w:val="21"/>
        </w:rPr>
        <w:t>放弃在此方面提出含糊意见或误解的一切权力，我</w:t>
      </w:r>
      <w:r>
        <w:rPr>
          <w:rFonts w:hint="eastAsia" w:ascii="宋体" w:hAnsi="宋体" w:cs="宋体"/>
          <w:szCs w:val="21"/>
          <w:lang w:eastAsia="zh-CN"/>
        </w:rPr>
        <w:t>方</w:t>
      </w:r>
      <w:r>
        <w:rPr>
          <w:rFonts w:hint="eastAsia" w:ascii="宋体" w:hAnsi="宋体" w:cs="宋体"/>
          <w:szCs w:val="21"/>
        </w:rPr>
        <w:t>承诺承认上述合同条款，按合同规定条款响应上述合同的规定。</w:t>
      </w:r>
    </w:p>
    <w:p>
      <w:pPr>
        <w:spacing w:line="360" w:lineRule="auto"/>
        <w:ind w:left="-283" w:leftChars="-135" w:right="-624" w:rightChars="-297" w:firstLine="420" w:firstLineChars="200"/>
        <w:rPr>
          <w:rFonts w:hint="eastAsia" w:ascii="宋体" w:hAnsi="宋体" w:cs="宋体"/>
          <w:szCs w:val="21"/>
        </w:rPr>
      </w:pPr>
    </w:p>
    <w:p>
      <w:pPr>
        <w:spacing w:line="360" w:lineRule="auto"/>
        <w:ind w:left="-283" w:leftChars="-135" w:right="-624" w:rightChars="-297" w:firstLine="420" w:firstLineChars="200"/>
        <w:rPr>
          <w:rFonts w:hint="eastAsia" w:ascii="宋体" w:hAnsi="宋体" w:cs="宋体"/>
          <w:szCs w:val="21"/>
        </w:rPr>
      </w:pPr>
    </w:p>
    <w:p>
      <w:pPr>
        <w:spacing w:line="360" w:lineRule="auto"/>
        <w:ind w:left="-283" w:leftChars="-135" w:right="-624" w:rightChars="-297" w:firstLine="420" w:firstLineChars="200"/>
        <w:jc w:val="right"/>
        <w:rPr>
          <w:rFonts w:hint="eastAsia" w:ascii="宋体" w:hAnsi="宋体" w:cs="宋体"/>
          <w:szCs w:val="21"/>
        </w:rPr>
      </w:pPr>
    </w:p>
    <w:p>
      <w:pPr>
        <w:spacing w:line="360" w:lineRule="auto"/>
        <w:ind w:firstLine="3840" w:firstLineChars="1600"/>
        <w:rPr>
          <w:rFonts w:ascii="宋体" w:hAnsi="宋体"/>
          <w:sz w:val="24"/>
        </w:rPr>
      </w:pPr>
      <w:r>
        <w:rPr>
          <w:rFonts w:ascii="宋体" w:hAnsi="宋体"/>
          <w:sz w:val="24"/>
        </w:rPr>
        <w:t xml:space="preserve">投标人：    </w:t>
      </w:r>
      <w:r>
        <w:rPr>
          <w:rFonts w:hint="eastAsia" w:ascii="宋体" w:hAnsi="宋体"/>
          <w:sz w:val="24"/>
        </w:rPr>
        <w:t>（</w:t>
      </w:r>
      <w:r>
        <w:rPr>
          <w:rFonts w:ascii="宋体" w:hAnsi="宋体"/>
          <w:sz w:val="24"/>
        </w:rPr>
        <w:t>盖章</w:t>
      </w:r>
      <w:r>
        <w:rPr>
          <w:rFonts w:hint="eastAsia" w:ascii="宋体" w:hAnsi="宋体"/>
          <w:sz w:val="24"/>
        </w:rPr>
        <w:t>）</w:t>
      </w:r>
    </w:p>
    <w:p>
      <w:pPr>
        <w:spacing w:line="360" w:lineRule="auto"/>
        <w:ind w:firstLine="3840" w:firstLineChars="1600"/>
        <w:rPr>
          <w:rFonts w:ascii="宋体" w:hAnsi="宋体"/>
          <w:sz w:val="24"/>
        </w:rPr>
      </w:pPr>
      <w:r>
        <w:rPr>
          <w:rFonts w:ascii="宋体" w:hAnsi="宋体"/>
          <w:sz w:val="24"/>
        </w:rPr>
        <w:t>法定代表人或其授权代理人</w:t>
      </w:r>
      <w:r>
        <w:rPr>
          <w:rFonts w:hint="eastAsia" w:ascii="宋体" w:hAnsi="宋体"/>
          <w:sz w:val="24"/>
          <w:lang w:eastAsia="zh-CN"/>
        </w:rPr>
        <w:t>（</w:t>
      </w:r>
      <w:r>
        <w:rPr>
          <w:rFonts w:ascii="宋体" w:hAnsi="宋体"/>
          <w:sz w:val="24"/>
        </w:rPr>
        <w:t>签字</w:t>
      </w:r>
      <w:r>
        <w:rPr>
          <w:rFonts w:hint="eastAsia" w:ascii="宋体" w:hAnsi="宋体"/>
          <w:sz w:val="24"/>
        </w:rPr>
        <w:t>或盖章</w:t>
      </w:r>
      <w:r>
        <w:rPr>
          <w:rFonts w:hint="eastAsia" w:ascii="宋体" w:hAnsi="宋体"/>
          <w:sz w:val="24"/>
          <w:lang w:eastAsia="zh-CN"/>
        </w:rPr>
        <w:t>）</w:t>
      </w:r>
      <w:r>
        <w:rPr>
          <w:rFonts w:ascii="宋体" w:hAnsi="宋体"/>
          <w:sz w:val="24"/>
        </w:rPr>
        <w:t>：</w:t>
      </w:r>
    </w:p>
    <w:p>
      <w:pPr>
        <w:spacing w:line="360" w:lineRule="auto"/>
        <w:ind w:firstLine="3840" w:firstLineChars="16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    年    月    日</w:t>
      </w:r>
    </w:p>
    <w:p>
      <w:pPr>
        <w:spacing w:line="360" w:lineRule="auto"/>
        <w:ind w:firstLine="241" w:firstLineChars="100"/>
        <w:rPr>
          <w:rFonts w:hint="eastAsia" w:ascii="宋体" w:hAnsi="宋体"/>
          <w:b/>
          <w:kern w:val="0"/>
          <w:sz w:val="24"/>
        </w:rPr>
      </w:pPr>
    </w:p>
    <w:p>
      <w:pPr>
        <w:spacing w:line="360" w:lineRule="auto"/>
        <w:ind w:firstLine="241" w:firstLineChars="100"/>
        <w:rPr>
          <w:rFonts w:hint="eastAsia" w:ascii="宋体" w:hAnsi="宋体"/>
          <w:b/>
          <w:kern w:val="0"/>
          <w:sz w:val="24"/>
        </w:rPr>
      </w:pPr>
    </w:p>
    <w:p>
      <w:pPr>
        <w:jc w:val="left"/>
        <w:outlineLvl w:val="9"/>
        <w:rPr>
          <w:rFonts w:hint="eastAsia"/>
        </w:rPr>
      </w:pPr>
      <w:bookmarkStart w:id="512" w:name="_Toc29975"/>
      <w:r>
        <w:rPr>
          <w:rFonts w:hint="eastAsia" w:ascii="宋体" w:hAnsi="宋体" w:eastAsia="宋体" w:cs="Times New Roman"/>
          <w:b/>
          <w:bCs w:val="0"/>
          <w:kern w:val="2"/>
          <w:sz w:val="21"/>
          <w:szCs w:val="21"/>
          <w:lang w:val="en-US" w:eastAsia="zh-CN" w:bidi="ar-SA"/>
        </w:rPr>
        <w:t>注：联合体投标的，“投标人”一栏需书写所有联合体成员的单位全称，可由主办方按格式规定签字或盖章。</w:t>
      </w:r>
      <w:bookmarkEnd w:id="506"/>
      <w:bookmarkEnd w:id="507"/>
      <w:bookmarkEnd w:id="508"/>
      <w:bookmarkEnd w:id="509"/>
      <w:bookmarkEnd w:id="510"/>
      <w:bookmarkEnd w:id="511"/>
      <w:bookmarkEnd w:id="512"/>
      <w:bookmarkStart w:id="513" w:name="_Toc152042600"/>
      <w:bookmarkStart w:id="514" w:name="_Toc144974879"/>
      <w:bookmarkStart w:id="515" w:name="_Toc247514303"/>
      <w:bookmarkStart w:id="516" w:name="_Toc152045811"/>
      <w:bookmarkStart w:id="517" w:name="_Toc247527851"/>
    </w:p>
    <w:bookmarkEnd w:id="513"/>
    <w:bookmarkEnd w:id="514"/>
    <w:bookmarkEnd w:id="515"/>
    <w:bookmarkEnd w:id="516"/>
    <w:bookmarkEnd w:id="517"/>
    <w:p>
      <w:pPr>
        <w:spacing w:line="440" w:lineRule="exact"/>
        <w:rPr>
          <w:rFonts w:hint="eastAsia"/>
        </w:rPr>
      </w:pPr>
      <w:bookmarkStart w:id="518" w:name="_Toc152045812"/>
      <w:bookmarkStart w:id="519" w:name="_Toc247514304"/>
      <w:bookmarkStart w:id="520" w:name="_Toc152042601"/>
      <w:bookmarkStart w:id="521" w:name="_Toc247527852"/>
      <w:bookmarkStart w:id="522" w:name="_Toc144974880"/>
    </w:p>
    <w:p>
      <w:pPr>
        <w:pStyle w:val="5"/>
      </w:pPr>
      <w:bookmarkStart w:id="523" w:name="_Toc300835228"/>
      <w:r>
        <w:t>（</w:t>
      </w:r>
      <w:r>
        <w:rPr>
          <w:rFonts w:hint="eastAsia"/>
          <w:lang w:val="en-US" w:eastAsia="zh-CN"/>
        </w:rPr>
        <w:t>八</w:t>
      </w:r>
      <w:r>
        <w:t>）近年发生的</w:t>
      </w:r>
      <w:r>
        <w:rPr>
          <w:rFonts w:hint="eastAsia"/>
        </w:rPr>
        <w:t>重大</w:t>
      </w:r>
      <w:r>
        <w:t>诉讼及仲裁情况</w:t>
      </w:r>
      <w:bookmarkEnd w:id="518"/>
      <w:bookmarkEnd w:id="519"/>
      <w:bookmarkEnd w:id="520"/>
      <w:bookmarkEnd w:id="521"/>
      <w:bookmarkEnd w:id="522"/>
      <w:bookmarkEnd w:id="523"/>
    </w:p>
    <w:p>
      <w:pPr>
        <w:spacing w:line="440" w:lineRule="exact"/>
        <w:rPr>
          <w:rFonts w:hint="eastAsia"/>
        </w:rPr>
      </w:pPr>
      <w:r>
        <w:br w:type="page"/>
      </w:r>
      <w:bookmarkStart w:id="524" w:name="_Toc247514305"/>
      <w:bookmarkStart w:id="525" w:name="_Toc152042602"/>
      <w:bookmarkStart w:id="526" w:name="_Toc247530162"/>
      <w:bookmarkStart w:id="527" w:name="_Toc144974881"/>
      <w:bookmarkStart w:id="528" w:name="_Toc152045813"/>
      <w:bookmarkStart w:id="529" w:name="_Toc247527853"/>
    </w:p>
    <w:p>
      <w:pPr>
        <w:pStyle w:val="5"/>
        <w:rPr>
          <w:rFonts w:eastAsia="黑体"/>
          <w:sz w:val="23"/>
          <w:szCs w:val="23"/>
        </w:rPr>
      </w:pPr>
      <w:bookmarkStart w:id="530" w:name="_Toc179632824"/>
      <w:bookmarkStart w:id="531" w:name="_Toc152045804"/>
      <w:bookmarkStart w:id="532" w:name="_Toc152042593"/>
      <w:bookmarkStart w:id="533" w:name="_Toc300835231"/>
      <w:bookmarkStart w:id="534" w:name="_Toc144974872"/>
      <w:r>
        <w:t>（</w:t>
      </w:r>
      <w:r>
        <w:rPr>
          <w:rFonts w:hint="eastAsia"/>
          <w:lang w:val="en-US" w:eastAsia="zh-CN"/>
        </w:rPr>
        <w:t>九</w:t>
      </w:r>
      <w:r>
        <w:t>）项目管理机构组成表</w:t>
      </w:r>
      <w:bookmarkEnd w:id="530"/>
      <w:bookmarkEnd w:id="531"/>
      <w:bookmarkEnd w:id="532"/>
      <w:bookmarkEnd w:id="533"/>
      <w:bookmarkEnd w:id="534"/>
    </w:p>
    <w:tbl>
      <w:tblPr>
        <w:tblStyle w:val="19"/>
        <w:tblW w:w="5289" w:type="pct"/>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605"/>
        <w:gridCol w:w="1113"/>
        <w:gridCol w:w="1671"/>
        <w:gridCol w:w="1113"/>
        <w:gridCol w:w="1115"/>
        <w:gridCol w:w="1124"/>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vMerge w:val="restart"/>
            <w:noWrap w:val="0"/>
            <w:vAlign w:val="center"/>
          </w:tcPr>
          <w:p>
            <w:pPr>
              <w:spacing w:line="440" w:lineRule="exact"/>
              <w:jc w:val="center"/>
              <w:rPr>
                <w:szCs w:val="21"/>
              </w:rPr>
            </w:pPr>
            <w:r>
              <w:rPr>
                <w:szCs w:val="21"/>
              </w:rPr>
              <w:t>职务</w:t>
            </w:r>
          </w:p>
        </w:tc>
        <w:tc>
          <w:tcPr>
            <w:tcW w:w="308" w:type="pct"/>
            <w:vMerge w:val="restart"/>
            <w:noWrap w:val="0"/>
            <w:vAlign w:val="center"/>
          </w:tcPr>
          <w:p>
            <w:pPr>
              <w:spacing w:line="440" w:lineRule="exact"/>
              <w:jc w:val="center"/>
              <w:rPr>
                <w:szCs w:val="21"/>
              </w:rPr>
            </w:pPr>
            <w:r>
              <w:rPr>
                <w:szCs w:val="21"/>
              </w:rPr>
              <w:t>姓名</w:t>
            </w:r>
          </w:p>
        </w:tc>
        <w:tc>
          <w:tcPr>
            <w:tcW w:w="566" w:type="pct"/>
            <w:vMerge w:val="restart"/>
            <w:noWrap w:val="0"/>
            <w:vAlign w:val="center"/>
          </w:tcPr>
          <w:p>
            <w:pPr>
              <w:spacing w:line="440" w:lineRule="exact"/>
              <w:jc w:val="center"/>
              <w:rPr>
                <w:szCs w:val="21"/>
              </w:rPr>
            </w:pPr>
            <w:r>
              <w:rPr>
                <w:szCs w:val="21"/>
              </w:rPr>
              <w:t>职称</w:t>
            </w:r>
          </w:p>
        </w:tc>
        <w:tc>
          <w:tcPr>
            <w:tcW w:w="2555" w:type="pct"/>
            <w:gridSpan w:val="4"/>
            <w:noWrap w:val="0"/>
            <w:vAlign w:val="center"/>
          </w:tcPr>
          <w:p>
            <w:pPr>
              <w:spacing w:line="440" w:lineRule="exact"/>
              <w:jc w:val="center"/>
              <w:rPr>
                <w:szCs w:val="21"/>
              </w:rPr>
            </w:pPr>
            <w:r>
              <w:rPr>
                <w:szCs w:val="21"/>
              </w:rPr>
              <w:t>执业或职业资格证明</w:t>
            </w:r>
          </w:p>
        </w:tc>
        <w:tc>
          <w:tcPr>
            <w:tcW w:w="528" w:type="pct"/>
            <w:vMerge w:val="restart"/>
            <w:noWrap w:val="0"/>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vMerge w:val="continue"/>
            <w:noWrap w:val="0"/>
            <w:vAlign w:val="center"/>
          </w:tcPr>
          <w:p>
            <w:pPr>
              <w:spacing w:line="440" w:lineRule="exact"/>
              <w:jc w:val="center"/>
              <w:rPr>
                <w:szCs w:val="21"/>
              </w:rPr>
            </w:pPr>
          </w:p>
        </w:tc>
        <w:tc>
          <w:tcPr>
            <w:tcW w:w="308" w:type="pct"/>
            <w:vMerge w:val="continue"/>
            <w:noWrap w:val="0"/>
            <w:vAlign w:val="center"/>
          </w:tcPr>
          <w:p>
            <w:pPr>
              <w:spacing w:line="440" w:lineRule="exact"/>
              <w:jc w:val="center"/>
              <w:rPr>
                <w:szCs w:val="21"/>
              </w:rPr>
            </w:pPr>
          </w:p>
        </w:tc>
        <w:tc>
          <w:tcPr>
            <w:tcW w:w="566" w:type="pct"/>
            <w:vMerge w:val="continue"/>
            <w:noWrap w:val="0"/>
            <w:vAlign w:val="center"/>
          </w:tcPr>
          <w:p>
            <w:pPr>
              <w:spacing w:line="440" w:lineRule="exact"/>
              <w:jc w:val="center"/>
              <w:rPr>
                <w:szCs w:val="21"/>
              </w:rPr>
            </w:pPr>
          </w:p>
        </w:tc>
        <w:tc>
          <w:tcPr>
            <w:tcW w:w="850" w:type="pct"/>
            <w:noWrap w:val="0"/>
            <w:vAlign w:val="center"/>
          </w:tcPr>
          <w:p>
            <w:pPr>
              <w:spacing w:line="440" w:lineRule="exact"/>
              <w:jc w:val="center"/>
              <w:rPr>
                <w:szCs w:val="21"/>
              </w:rPr>
            </w:pPr>
            <w:r>
              <w:rPr>
                <w:szCs w:val="21"/>
              </w:rPr>
              <w:t>证书名称</w:t>
            </w:r>
          </w:p>
        </w:tc>
        <w:tc>
          <w:tcPr>
            <w:tcW w:w="566" w:type="pct"/>
            <w:noWrap w:val="0"/>
            <w:vAlign w:val="center"/>
          </w:tcPr>
          <w:p>
            <w:pPr>
              <w:spacing w:line="440" w:lineRule="exact"/>
              <w:jc w:val="center"/>
              <w:rPr>
                <w:szCs w:val="21"/>
              </w:rPr>
            </w:pPr>
            <w:r>
              <w:rPr>
                <w:szCs w:val="21"/>
              </w:rPr>
              <w:t>级别</w:t>
            </w:r>
          </w:p>
        </w:tc>
        <w:tc>
          <w:tcPr>
            <w:tcW w:w="567" w:type="pct"/>
            <w:noWrap w:val="0"/>
            <w:vAlign w:val="center"/>
          </w:tcPr>
          <w:p>
            <w:pPr>
              <w:spacing w:line="440" w:lineRule="exact"/>
              <w:jc w:val="center"/>
              <w:rPr>
                <w:szCs w:val="21"/>
              </w:rPr>
            </w:pPr>
            <w:r>
              <w:rPr>
                <w:szCs w:val="21"/>
              </w:rPr>
              <w:t>证号</w:t>
            </w:r>
          </w:p>
        </w:tc>
        <w:tc>
          <w:tcPr>
            <w:tcW w:w="571" w:type="pct"/>
            <w:noWrap w:val="0"/>
            <w:vAlign w:val="center"/>
          </w:tcPr>
          <w:p>
            <w:pPr>
              <w:spacing w:line="440" w:lineRule="exact"/>
              <w:jc w:val="center"/>
              <w:rPr>
                <w:szCs w:val="21"/>
              </w:rPr>
            </w:pPr>
            <w:r>
              <w:rPr>
                <w:szCs w:val="21"/>
              </w:rPr>
              <w:t>专业</w:t>
            </w:r>
          </w:p>
        </w:tc>
        <w:tc>
          <w:tcPr>
            <w:tcW w:w="528" w:type="pct"/>
            <w:vMerge w:val="continue"/>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p>
            <w:pPr>
              <w:spacing w:line="440" w:lineRule="exact"/>
              <w:jc w:val="center"/>
              <w:rPr>
                <w:szCs w:val="21"/>
              </w:rPr>
            </w:pPr>
            <w:r>
              <w:rPr>
                <w:rFonts w:hint="eastAsia" w:ascii="宋体" w:hAnsi="宋体" w:eastAsia="宋体" w:cs="宋体"/>
                <w:color w:val="auto"/>
                <w:sz w:val="21"/>
                <w:szCs w:val="21"/>
                <w:highlight w:val="none"/>
                <w:lang w:val="en-US" w:eastAsia="zh-CN"/>
              </w:rPr>
              <w:t>（兼施工负责人）</w:t>
            </w:r>
          </w:p>
        </w:tc>
        <w:tc>
          <w:tcPr>
            <w:tcW w:w="308" w:type="pct"/>
            <w:noWrap w:val="0"/>
            <w:vAlign w:val="center"/>
          </w:tcPr>
          <w:p>
            <w:pPr>
              <w:spacing w:line="440" w:lineRule="exact"/>
              <w:jc w:val="center"/>
              <w:rPr>
                <w:szCs w:val="21"/>
              </w:rPr>
            </w:pPr>
          </w:p>
        </w:tc>
        <w:tc>
          <w:tcPr>
            <w:tcW w:w="566" w:type="pct"/>
            <w:noWrap w:val="0"/>
            <w:vAlign w:val="center"/>
          </w:tcPr>
          <w:p>
            <w:pPr>
              <w:spacing w:line="440" w:lineRule="exact"/>
              <w:jc w:val="center"/>
              <w:rPr>
                <w:szCs w:val="21"/>
              </w:rPr>
            </w:pPr>
          </w:p>
        </w:tc>
        <w:tc>
          <w:tcPr>
            <w:tcW w:w="850" w:type="pct"/>
            <w:noWrap w:val="0"/>
            <w:vAlign w:val="center"/>
          </w:tcPr>
          <w:p>
            <w:pPr>
              <w:spacing w:line="440" w:lineRule="exact"/>
              <w:jc w:val="center"/>
              <w:rPr>
                <w:szCs w:val="21"/>
              </w:rPr>
            </w:pPr>
          </w:p>
        </w:tc>
        <w:tc>
          <w:tcPr>
            <w:tcW w:w="566" w:type="pct"/>
            <w:noWrap w:val="0"/>
            <w:vAlign w:val="center"/>
          </w:tcPr>
          <w:p>
            <w:pPr>
              <w:spacing w:line="440" w:lineRule="exact"/>
              <w:jc w:val="center"/>
              <w:rPr>
                <w:szCs w:val="21"/>
              </w:rPr>
            </w:pPr>
          </w:p>
        </w:tc>
        <w:tc>
          <w:tcPr>
            <w:tcW w:w="567" w:type="pct"/>
            <w:noWrap w:val="0"/>
            <w:vAlign w:val="center"/>
          </w:tcPr>
          <w:p>
            <w:pPr>
              <w:spacing w:line="440" w:lineRule="exact"/>
              <w:jc w:val="center"/>
              <w:rPr>
                <w:szCs w:val="21"/>
              </w:rPr>
            </w:pPr>
          </w:p>
        </w:tc>
        <w:tc>
          <w:tcPr>
            <w:tcW w:w="571" w:type="pct"/>
            <w:noWrap w:val="0"/>
            <w:vAlign w:val="center"/>
          </w:tcPr>
          <w:p>
            <w:pPr>
              <w:spacing w:line="440" w:lineRule="exact"/>
              <w:jc w:val="center"/>
              <w:rPr>
                <w:szCs w:val="21"/>
              </w:rPr>
            </w:pPr>
          </w:p>
        </w:tc>
        <w:tc>
          <w:tcPr>
            <w:tcW w:w="528" w:type="pct"/>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szCs w:val="21"/>
              </w:rPr>
            </w:pPr>
            <w:r>
              <w:rPr>
                <w:rFonts w:hint="eastAsia" w:ascii="宋体" w:hAnsi="宋体" w:eastAsia="宋体" w:cs="宋体"/>
                <w:color w:val="auto"/>
                <w:sz w:val="21"/>
                <w:szCs w:val="21"/>
                <w:highlight w:val="none"/>
                <w:lang w:val="en-US" w:eastAsia="zh-CN"/>
              </w:rPr>
              <w:t>设计负责人</w:t>
            </w: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szCs w:val="21"/>
              </w:rPr>
            </w:pPr>
            <w:r>
              <w:rPr>
                <w:rFonts w:hint="eastAsia" w:ascii="宋体" w:hAnsi="宋体" w:eastAsia="宋体" w:cs="宋体"/>
                <w:color w:val="auto"/>
                <w:sz w:val="21"/>
                <w:szCs w:val="21"/>
                <w:highlight w:val="none"/>
                <w:lang w:val="en-US" w:eastAsia="zh-CN"/>
              </w:rPr>
              <w:t>技术负责人</w:t>
            </w: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szCs w:val="21"/>
              </w:rPr>
            </w:pPr>
            <w:r>
              <w:rPr>
                <w:rFonts w:hint="eastAsia" w:ascii="宋体" w:hAnsi="宋体" w:eastAsia="宋体" w:cs="宋体"/>
                <w:color w:val="auto"/>
                <w:szCs w:val="21"/>
                <w:highlight w:val="none"/>
                <w:lang w:val="en-US" w:eastAsia="zh-CN"/>
              </w:rPr>
              <w:t>专职安全员</w:t>
            </w: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rFonts w:hint="eastAsia" w:ascii="宋体" w:hAnsi="宋体" w:eastAsia="宋体" w:cs="宋体"/>
                <w:color w:val="auto"/>
                <w:szCs w:val="21"/>
                <w:highlight w:val="none"/>
                <w:lang w:val="en-US" w:eastAsia="zh-CN"/>
              </w:rPr>
            </w:pP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pct"/>
            <w:noWrap w:val="0"/>
            <w:vAlign w:val="top"/>
          </w:tcPr>
          <w:p>
            <w:pPr>
              <w:spacing w:line="440" w:lineRule="exact"/>
              <w:jc w:val="center"/>
              <w:rPr>
                <w:rFonts w:hint="eastAsia" w:ascii="宋体" w:hAnsi="宋体" w:eastAsia="宋体" w:cs="宋体"/>
                <w:color w:val="auto"/>
                <w:szCs w:val="21"/>
                <w:highlight w:val="none"/>
                <w:lang w:val="en-US" w:eastAsia="zh-CN"/>
              </w:rPr>
            </w:pPr>
          </w:p>
        </w:tc>
        <w:tc>
          <w:tcPr>
            <w:tcW w:w="308"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850" w:type="pct"/>
            <w:noWrap w:val="0"/>
            <w:vAlign w:val="top"/>
          </w:tcPr>
          <w:p>
            <w:pPr>
              <w:spacing w:line="440" w:lineRule="exact"/>
              <w:jc w:val="center"/>
              <w:rPr>
                <w:szCs w:val="21"/>
              </w:rPr>
            </w:pPr>
          </w:p>
        </w:tc>
        <w:tc>
          <w:tcPr>
            <w:tcW w:w="566" w:type="pct"/>
            <w:noWrap w:val="0"/>
            <w:vAlign w:val="top"/>
          </w:tcPr>
          <w:p>
            <w:pPr>
              <w:spacing w:line="440" w:lineRule="exact"/>
              <w:jc w:val="center"/>
              <w:rPr>
                <w:szCs w:val="21"/>
              </w:rPr>
            </w:pPr>
          </w:p>
        </w:tc>
        <w:tc>
          <w:tcPr>
            <w:tcW w:w="567" w:type="pct"/>
            <w:noWrap w:val="0"/>
            <w:vAlign w:val="top"/>
          </w:tcPr>
          <w:p>
            <w:pPr>
              <w:spacing w:line="440" w:lineRule="exact"/>
              <w:jc w:val="center"/>
              <w:rPr>
                <w:szCs w:val="21"/>
              </w:rPr>
            </w:pPr>
          </w:p>
        </w:tc>
        <w:tc>
          <w:tcPr>
            <w:tcW w:w="571" w:type="pct"/>
            <w:noWrap w:val="0"/>
            <w:vAlign w:val="top"/>
          </w:tcPr>
          <w:p>
            <w:pPr>
              <w:spacing w:line="440" w:lineRule="exact"/>
              <w:jc w:val="center"/>
              <w:rPr>
                <w:szCs w:val="21"/>
              </w:rPr>
            </w:pPr>
          </w:p>
        </w:tc>
        <w:tc>
          <w:tcPr>
            <w:tcW w:w="528" w:type="pct"/>
            <w:noWrap w:val="0"/>
            <w:vAlign w:val="top"/>
          </w:tcPr>
          <w:p>
            <w:pPr>
              <w:spacing w:line="440" w:lineRule="exact"/>
              <w:jc w:val="center"/>
              <w:rPr>
                <w:szCs w:val="21"/>
              </w:rPr>
            </w:pPr>
          </w:p>
        </w:tc>
      </w:tr>
    </w:tbl>
    <w:p>
      <w:pPr>
        <w:spacing w:line="440" w:lineRule="exact"/>
        <w:ind w:left="210" w:leftChars="100"/>
        <w:jc w:val="center"/>
        <w:rPr>
          <w:rFonts w:eastAsia="黑体"/>
          <w:sz w:val="20"/>
          <w:szCs w:val="20"/>
        </w:rPr>
      </w:pPr>
    </w:p>
    <w:p>
      <w:pPr>
        <w:pStyle w:val="5"/>
        <w:numPr>
          <w:ilvl w:val="0"/>
          <w:numId w:val="0"/>
        </w:numPr>
        <w:ind w:firstLine="137" w:firstLineChars="49"/>
      </w:pPr>
      <w:bookmarkStart w:id="535" w:name="_Toc179632825"/>
      <w:bookmarkStart w:id="536" w:name="_Toc144974873"/>
      <w:bookmarkStart w:id="537" w:name="_Toc300835232"/>
      <w:bookmarkStart w:id="538" w:name="_Toc152042594"/>
      <w:bookmarkStart w:id="539" w:name="_Toc152045805"/>
      <w:r>
        <w:br w:type="page"/>
      </w:r>
      <w:r>
        <w:rPr>
          <w:rFonts w:hint="eastAsia"/>
          <w:lang w:eastAsia="zh-CN"/>
        </w:rPr>
        <w:t>（</w:t>
      </w:r>
      <w:r>
        <w:rPr>
          <w:rFonts w:hint="eastAsia"/>
          <w:lang w:val="en-US" w:eastAsia="zh-CN"/>
        </w:rPr>
        <w:t>十）</w:t>
      </w:r>
      <w:r>
        <w:t>主要人员简历表</w:t>
      </w:r>
      <w:bookmarkEnd w:id="535"/>
      <w:bookmarkEnd w:id="536"/>
      <w:bookmarkEnd w:id="537"/>
      <w:bookmarkEnd w:id="538"/>
      <w:bookmarkEnd w:id="539"/>
    </w:p>
    <w:p>
      <w:pPr>
        <w:bidi w:val="0"/>
        <w:jc w:val="center"/>
        <w:rPr>
          <w:rFonts w:hint="default"/>
          <w:lang w:val="en-US" w:eastAsia="zh-CN"/>
        </w:rPr>
      </w:pPr>
      <w:r>
        <w:rPr>
          <w:rFonts w:hint="eastAsia"/>
          <w:lang w:eastAsia="zh-CN"/>
        </w:rPr>
        <w:t>（</w:t>
      </w:r>
      <w:r>
        <w:rPr>
          <w:rFonts w:hint="eastAsia"/>
          <w:lang w:val="en-US" w:eastAsia="zh-CN"/>
        </w:rPr>
        <w:t>适用于项目负责人、技术负责人、专职安全员）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1967"/>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pPr>
              <w:spacing w:line="440" w:lineRule="exact"/>
              <w:jc w:val="center"/>
              <w:rPr>
                <w:rFonts w:ascii="宋体" w:hAnsi="宋体"/>
                <w:szCs w:val="21"/>
              </w:rPr>
            </w:pPr>
          </w:p>
        </w:tc>
        <w:tc>
          <w:tcPr>
            <w:tcW w:w="927" w:type="dxa"/>
            <w:noWrap w:val="0"/>
            <w:vAlign w:val="center"/>
          </w:tcPr>
          <w:p>
            <w:pPr>
              <w:spacing w:line="440" w:lineRule="exact"/>
              <w:jc w:val="center"/>
              <w:rPr>
                <w:rFonts w:ascii="宋体" w:hAnsi="宋体"/>
                <w:szCs w:val="21"/>
              </w:rPr>
            </w:pPr>
            <w:r>
              <w:rPr>
                <w:rFonts w:ascii="宋体" w:hAnsi="宋体"/>
                <w:szCs w:val="21"/>
              </w:rPr>
              <w:t>年 龄</w:t>
            </w:r>
          </w:p>
        </w:tc>
        <w:tc>
          <w:tcPr>
            <w:tcW w:w="1065" w:type="dxa"/>
            <w:noWrap w:val="0"/>
            <w:vAlign w:val="center"/>
          </w:tcPr>
          <w:p>
            <w:pPr>
              <w:spacing w:line="440" w:lineRule="exact"/>
              <w:jc w:val="center"/>
              <w:rPr>
                <w:rFonts w:ascii="宋体" w:hAnsi="宋体"/>
                <w:szCs w:val="21"/>
              </w:rPr>
            </w:pPr>
          </w:p>
        </w:tc>
        <w:tc>
          <w:tcPr>
            <w:tcW w:w="2130" w:type="dxa"/>
            <w:gridSpan w:val="2"/>
            <w:noWrap w:val="0"/>
            <w:vAlign w:val="center"/>
          </w:tcPr>
          <w:p>
            <w:pPr>
              <w:spacing w:line="440" w:lineRule="exact"/>
              <w:jc w:val="center"/>
              <w:rPr>
                <w:rFonts w:ascii="宋体" w:hAnsi="宋体"/>
                <w:szCs w:val="21"/>
              </w:rPr>
            </w:pPr>
            <w:r>
              <w:rPr>
                <w:rFonts w:ascii="宋体" w:hAnsi="宋体"/>
                <w:szCs w:val="21"/>
              </w:rPr>
              <w:t>学历</w:t>
            </w:r>
          </w:p>
        </w:tc>
        <w:tc>
          <w:tcPr>
            <w:tcW w:w="2134" w:type="dxa"/>
            <w:noWrap w:val="0"/>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pPr>
              <w:spacing w:line="440" w:lineRule="exact"/>
              <w:jc w:val="center"/>
              <w:rPr>
                <w:rFonts w:ascii="宋体" w:hAnsi="宋体"/>
                <w:szCs w:val="21"/>
              </w:rPr>
            </w:pPr>
          </w:p>
        </w:tc>
        <w:tc>
          <w:tcPr>
            <w:tcW w:w="927" w:type="dxa"/>
            <w:noWrap w:val="0"/>
            <w:vAlign w:val="center"/>
          </w:tcPr>
          <w:p>
            <w:pPr>
              <w:spacing w:line="440" w:lineRule="exact"/>
              <w:jc w:val="center"/>
              <w:rPr>
                <w:rFonts w:ascii="宋体" w:hAnsi="宋体"/>
                <w:szCs w:val="21"/>
              </w:rPr>
            </w:pPr>
            <w:r>
              <w:rPr>
                <w:rFonts w:ascii="宋体" w:hAnsi="宋体"/>
                <w:szCs w:val="21"/>
              </w:rPr>
              <w:t>职 务</w:t>
            </w:r>
          </w:p>
        </w:tc>
        <w:tc>
          <w:tcPr>
            <w:tcW w:w="1065" w:type="dxa"/>
            <w:noWrap w:val="0"/>
            <w:vAlign w:val="center"/>
          </w:tcPr>
          <w:p>
            <w:pPr>
              <w:spacing w:line="440" w:lineRule="exact"/>
              <w:jc w:val="center"/>
              <w:rPr>
                <w:rFonts w:ascii="宋体" w:hAnsi="宋体"/>
                <w:szCs w:val="21"/>
              </w:rPr>
            </w:pPr>
          </w:p>
        </w:tc>
        <w:tc>
          <w:tcPr>
            <w:tcW w:w="2130" w:type="dxa"/>
            <w:gridSpan w:val="2"/>
            <w:noWrap w:val="0"/>
            <w:vAlign w:val="center"/>
          </w:tcPr>
          <w:p>
            <w:pPr>
              <w:spacing w:line="440" w:lineRule="exact"/>
              <w:jc w:val="center"/>
              <w:rPr>
                <w:rFonts w:ascii="宋体" w:hAnsi="宋体"/>
                <w:szCs w:val="21"/>
              </w:rPr>
            </w:pPr>
            <w:r>
              <w:rPr>
                <w:rFonts w:ascii="宋体" w:hAnsi="宋体"/>
                <w:szCs w:val="21"/>
              </w:rPr>
              <w:t>拟在本合同任职</w:t>
            </w:r>
          </w:p>
        </w:tc>
        <w:tc>
          <w:tcPr>
            <w:tcW w:w="2134" w:type="dxa"/>
            <w:noWrap w:val="0"/>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毕业学校</w:t>
            </w:r>
          </w:p>
        </w:tc>
        <w:tc>
          <w:tcPr>
            <w:tcW w:w="7335" w:type="dxa"/>
            <w:gridSpan w:val="7"/>
            <w:noWrap w:val="0"/>
            <w:vAlign w:val="top"/>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8"/>
            <w:noWrap w:val="0"/>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rPr>
                <w:rFonts w:ascii="宋体" w:hAnsi="宋体"/>
                <w:szCs w:val="21"/>
              </w:rPr>
            </w:pPr>
            <w:r>
              <w:rPr>
                <w:rFonts w:ascii="宋体" w:hAnsi="宋体"/>
                <w:szCs w:val="21"/>
              </w:rPr>
              <w:t>时  间</w:t>
            </w:r>
          </w:p>
        </w:tc>
        <w:tc>
          <w:tcPr>
            <w:tcW w:w="2714" w:type="dxa"/>
            <w:gridSpan w:val="3"/>
            <w:noWrap w:val="0"/>
            <w:vAlign w:val="center"/>
          </w:tcPr>
          <w:p>
            <w:pPr>
              <w:spacing w:line="440" w:lineRule="exact"/>
              <w:rPr>
                <w:rFonts w:ascii="宋体" w:hAnsi="宋体"/>
                <w:szCs w:val="21"/>
              </w:rPr>
            </w:pPr>
            <w:r>
              <w:rPr>
                <w:rFonts w:ascii="宋体" w:hAnsi="宋体"/>
                <w:szCs w:val="21"/>
              </w:rPr>
              <w:t>参加过的类似项目</w:t>
            </w:r>
          </w:p>
        </w:tc>
        <w:tc>
          <w:tcPr>
            <w:tcW w:w="1967" w:type="dxa"/>
            <w:noWrap w:val="0"/>
            <w:vAlign w:val="center"/>
          </w:tcPr>
          <w:p>
            <w:pPr>
              <w:spacing w:line="440" w:lineRule="exact"/>
              <w:rPr>
                <w:rFonts w:ascii="宋体" w:hAnsi="宋体"/>
                <w:szCs w:val="21"/>
              </w:rPr>
            </w:pPr>
            <w:r>
              <w:rPr>
                <w:rFonts w:ascii="宋体" w:hAnsi="宋体"/>
                <w:szCs w:val="21"/>
              </w:rPr>
              <w:t>担任职务</w:t>
            </w:r>
          </w:p>
        </w:tc>
        <w:tc>
          <w:tcPr>
            <w:tcW w:w="2297" w:type="dxa"/>
            <w:gridSpan w:val="2"/>
            <w:noWrap w:val="0"/>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2714" w:type="dxa"/>
            <w:gridSpan w:val="3"/>
            <w:noWrap w:val="0"/>
            <w:vAlign w:val="top"/>
          </w:tcPr>
          <w:p>
            <w:pPr>
              <w:spacing w:line="440" w:lineRule="exact"/>
              <w:rPr>
                <w:rFonts w:eastAsia="黑体"/>
                <w:szCs w:val="21"/>
              </w:rPr>
            </w:pPr>
          </w:p>
        </w:tc>
        <w:tc>
          <w:tcPr>
            <w:tcW w:w="1967" w:type="dxa"/>
            <w:noWrap w:val="0"/>
            <w:vAlign w:val="top"/>
          </w:tcPr>
          <w:p>
            <w:pPr>
              <w:spacing w:line="440" w:lineRule="exact"/>
              <w:rPr>
                <w:rFonts w:eastAsia="黑体"/>
                <w:szCs w:val="21"/>
              </w:rPr>
            </w:pPr>
          </w:p>
        </w:tc>
        <w:tc>
          <w:tcPr>
            <w:tcW w:w="229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2714" w:type="dxa"/>
            <w:gridSpan w:val="3"/>
            <w:noWrap w:val="0"/>
            <w:vAlign w:val="top"/>
          </w:tcPr>
          <w:p>
            <w:pPr>
              <w:spacing w:line="440" w:lineRule="exact"/>
              <w:rPr>
                <w:rFonts w:eastAsia="黑体"/>
                <w:szCs w:val="21"/>
              </w:rPr>
            </w:pPr>
          </w:p>
        </w:tc>
        <w:tc>
          <w:tcPr>
            <w:tcW w:w="1967" w:type="dxa"/>
            <w:noWrap w:val="0"/>
            <w:vAlign w:val="top"/>
          </w:tcPr>
          <w:p>
            <w:pPr>
              <w:spacing w:line="440" w:lineRule="exact"/>
              <w:rPr>
                <w:rFonts w:eastAsia="黑体"/>
                <w:szCs w:val="21"/>
              </w:rPr>
            </w:pPr>
          </w:p>
        </w:tc>
        <w:tc>
          <w:tcPr>
            <w:tcW w:w="229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2714" w:type="dxa"/>
            <w:gridSpan w:val="3"/>
            <w:noWrap w:val="0"/>
            <w:vAlign w:val="top"/>
          </w:tcPr>
          <w:p>
            <w:pPr>
              <w:spacing w:line="440" w:lineRule="exact"/>
              <w:rPr>
                <w:rFonts w:eastAsia="黑体"/>
                <w:szCs w:val="21"/>
              </w:rPr>
            </w:pPr>
          </w:p>
        </w:tc>
        <w:tc>
          <w:tcPr>
            <w:tcW w:w="1967" w:type="dxa"/>
            <w:noWrap w:val="0"/>
            <w:vAlign w:val="top"/>
          </w:tcPr>
          <w:p>
            <w:pPr>
              <w:spacing w:line="440" w:lineRule="exact"/>
              <w:rPr>
                <w:rFonts w:eastAsia="黑体"/>
                <w:szCs w:val="21"/>
              </w:rPr>
            </w:pPr>
          </w:p>
        </w:tc>
        <w:tc>
          <w:tcPr>
            <w:tcW w:w="229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tc>
        <w:tc>
          <w:tcPr>
            <w:tcW w:w="2297"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tc>
        <w:tc>
          <w:tcPr>
            <w:tcW w:w="2297"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tc>
        <w:tc>
          <w:tcPr>
            <w:tcW w:w="2297"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tc>
        <w:tc>
          <w:tcPr>
            <w:tcW w:w="2297"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tc>
        <w:tc>
          <w:tcPr>
            <w:tcW w:w="2297"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eastAsia="黑体"/>
                <w:szCs w:val="21"/>
              </w:rPr>
            </w:pPr>
          </w:p>
        </w:tc>
        <w:tc>
          <w:tcPr>
            <w:tcW w:w="2714" w:type="dxa"/>
            <w:gridSpan w:val="3"/>
            <w:noWrap w:val="0"/>
            <w:vAlign w:val="center"/>
          </w:tcPr>
          <w:p>
            <w:pPr>
              <w:spacing w:line="440" w:lineRule="exact"/>
              <w:rPr>
                <w:rFonts w:eastAsia="黑体"/>
                <w:szCs w:val="21"/>
              </w:rPr>
            </w:pPr>
          </w:p>
        </w:tc>
        <w:tc>
          <w:tcPr>
            <w:tcW w:w="1967" w:type="dxa"/>
            <w:noWrap w:val="0"/>
            <w:vAlign w:val="center"/>
          </w:tcPr>
          <w:p>
            <w:pPr>
              <w:spacing w:line="440" w:lineRule="exact"/>
              <w:rPr>
                <w:rFonts w:eastAsia="黑体"/>
                <w:szCs w:val="21"/>
              </w:rPr>
            </w:pPr>
          </w:p>
          <w:bookmarkEnd w:id="524"/>
          <w:bookmarkEnd w:id="525"/>
          <w:bookmarkEnd w:id="526"/>
          <w:bookmarkEnd w:id="527"/>
          <w:bookmarkEnd w:id="528"/>
          <w:bookmarkEnd w:id="529"/>
        </w:tc>
        <w:tc>
          <w:tcPr>
            <w:tcW w:w="2297" w:type="dxa"/>
            <w:gridSpan w:val="2"/>
            <w:noWrap w:val="0"/>
            <w:vAlign w:val="center"/>
          </w:tcPr>
          <w:p>
            <w:pPr>
              <w:spacing w:line="440" w:lineRule="exact"/>
              <w:rPr>
                <w:rFonts w:eastAsia="黑体"/>
                <w:szCs w:val="21"/>
              </w:rPr>
            </w:pPr>
          </w:p>
        </w:tc>
      </w:tr>
    </w:tbl>
    <w:p>
      <w:pPr>
        <w:jc w:val="center"/>
        <w:outlineLvl w:val="9"/>
        <w:rPr>
          <w:rFonts w:hint="eastAsia"/>
        </w:rPr>
      </w:pPr>
    </w:p>
    <w:p>
      <w:pPr>
        <w:rPr>
          <w:rFonts w:hint="eastAsia"/>
          <w:lang w:eastAsia="zh-CN"/>
        </w:rPr>
      </w:pPr>
      <w:r>
        <w:rPr>
          <w:rFonts w:hint="eastAsia"/>
          <w:lang w:eastAsia="zh-CN"/>
        </w:rPr>
        <w:br w:type="page"/>
      </w:r>
    </w:p>
    <w:p>
      <w:pPr>
        <w:numPr>
          <w:ilvl w:val="0"/>
          <w:numId w:val="0"/>
        </w:numPr>
        <w:jc w:val="center"/>
        <w:rPr>
          <w:rFonts w:hint="eastAsia"/>
          <w:lang w:val="en-US" w:eastAsia="zh-CN"/>
        </w:rPr>
      </w:pPr>
      <w:r>
        <w:rPr>
          <w:rFonts w:hint="eastAsia"/>
          <w:lang w:eastAsia="zh-CN"/>
        </w:rPr>
        <w:t>（</w:t>
      </w:r>
      <w:r>
        <w:rPr>
          <w:rFonts w:hint="eastAsia"/>
          <w:lang w:val="en-US" w:eastAsia="zh-CN"/>
        </w:rPr>
        <w:t>适用于设计负责人）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0"/>
        <w:gridCol w:w="1244"/>
        <w:gridCol w:w="1211"/>
        <w:gridCol w:w="1298"/>
        <w:gridCol w:w="1088"/>
        <w:gridCol w:w="876"/>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姓  名</w:t>
            </w:r>
          </w:p>
        </w:tc>
        <w:tc>
          <w:tcPr>
            <w:tcW w:w="1604" w:type="dxa"/>
            <w:gridSpan w:val="2"/>
            <w:noWrap w:val="0"/>
            <w:vAlign w:val="center"/>
          </w:tcPr>
          <w:p>
            <w:pPr>
              <w:spacing w:line="440" w:lineRule="exact"/>
              <w:jc w:val="center"/>
              <w:rPr>
                <w:rFonts w:ascii="宋体" w:hAnsi="宋体"/>
                <w:szCs w:val="21"/>
              </w:rPr>
            </w:pPr>
          </w:p>
        </w:tc>
        <w:tc>
          <w:tcPr>
            <w:tcW w:w="1211" w:type="dxa"/>
            <w:noWrap w:val="0"/>
            <w:vAlign w:val="center"/>
          </w:tcPr>
          <w:p>
            <w:pPr>
              <w:spacing w:line="440" w:lineRule="exact"/>
              <w:jc w:val="center"/>
              <w:rPr>
                <w:rFonts w:ascii="宋体" w:hAnsi="宋体"/>
                <w:szCs w:val="21"/>
              </w:rPr>
            </w:pPr>
            <w:r>
              <w:rPr>
                <w:rFonts w:ascii="宋体" w:hAnsi="宋体"/>
                <w:szCs w:val="21"/>
              </w:rPr>
              <w:t>年 龄</w:t>
            </w:r>
          </w:p>
        </w:tc>
        <w:tc>
          <w:tcPr>
            <w:tcW w:w="1298" w:type="dxa"/>
            <w:noWrap w:val="0"/>
            <w:vAlign w:val="center"/>
          </w:tcPr>
          <w:p>
            <w:pPr>
              <w:spacing w:line="440" w:lineRule="exact"/>
              <w:jc w:val="center"/>
              <w:rPr>
                <w:rFonts w:ascii="宋体" w:hAnsi="宋体"/>
                <w:szCs w:val="21"/>
              </w:rPr>
            </w:pPr>
          </w:p>
        </w:tc>
        <w:tc>
          <w:tcPr>
            <w:tcW w:w="1088" w:type="dxa"/>
            <w:noWrap w:val="0"/>
            <w:vAlign w:val="center"/>
          </w:tcPr>
          <w:p>
            <w:pPr>
              <w:spacing w:line="440" w:lineRule="exact"/>
              <w:jc w:val="center"/>
              <w:rPr>
                <w:rFonts w:ascii="宋体" w:hAnsi="宋体"/>
                <w:szCs w:val="21"/>
              </w:rPr>
            </w:pPr>
            <w:r>
              <w:rPr>
                <w:rFonts w:ascii="宋体" w:hAnsi="宋体"/>
                <w:szCs w:val="21"/>
              </w:rPr>
              <w:t>学历</w:t>
            </w:r>
          </w:p>
        </w:tc>
        <w:tc>
          <w:tcPr>
            <w:tcW w:w="2134" w:type="dxa"/>
            <w:gridSpan w:val="2"/>
            <w:noWrap w:val="0"/>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职  称</w:t>
            </w:r>
          </w:p>
        </w:tc>
        <w:tc>
          <w:tcPr>
            <w:tcW w:w="1604" w:type="dxa"/>
            <w:gridSpan w:val="2"/>
            <w:noWrap w:val="0"/>
            <w:vAlign w:val="center"/>
          </w:tcPr>
          <w:p>
            <w:pPr>
              <w:spacing w:line="440" w:lineRule="exact"/>
              <w:jc w:val="center"/>
              <w:rPr>
                <w:rFonts w:ascii="宋体" w:hAnsi="宋体"/>
                <w:szCs w:val="21"/>
              </w:rPr>
            </w:pPr>
          </w:p>
        </w:tc>
        <w:tc>
          <w:tcPr>
            <w:tcW w:w="1211" w:type="dxa"/>
            <w:noWrap w:val="0"/>
            <w:vAlign w:val="center"/>
          </w:tcPr>
          <w:p>
            <w:pPr>
              <w:spacing w:line="440" w:lineRule="exact"/>
              <w:jc w:val="center"/>
              <w:rPr>
                <w:rFonts w:ascii="宋体" w:hAnsi="宋体"/>
                <w:szCs w:val="21"/>
              </w:rPr>
            </w:pPr>
            <w:r>
              <w:rPr>
                <w:rFonts w:ascii="宋体" w:hAnsi="宋体"/>
                <w:szCs w:val="21"/>
              </w:rPr>
              <w:t>职 务</w:t>
            </w:r>
          </w:p>
        </w:tc>
        <w:tc>
          <w:tcPr>
            <w:tcW w:w="1298" w:type="dxa"/>
            <w:noWrap w:val="0"/>
            <w:vAlign w:val="center"/>
          </w:tcPr>
          <w:p>
            <w:pPr>
              <w:spacing w:line="440" w:lineRule="exact"/>
              <w:jc w:val="center"/>
              <w:rPr>
                <w:rFonts w:ascii="宋体" w:hAnsi="宋体"/>
                <w:szCs w:val="21"/>
              </w:rPr>
            </w:pPr>
          </w:p>
        </w:tc>
        <w:tc>
          <w:tcPr>
            <w:tcW w:w="1088" w:type="dxa"/>
            <w:noWrap w:val="0"/>
            <w:vAlign w:val="center"/>
          </w:tcPr>
          <w:p>
            <w:pPr>
              <w:spacing w:line="440" w:lineRule="exact"/>
              <w:jc w:val="center"/>
              <w:rPr>
                <w:rFonts w:ascii="宋体" w:hAnsi="宋体"/>
                <w:szCs w:val="21"/>
              </w:rPr>
            </w:pPr>
            <w:r>
              <w:rPr>
                <w:rFonts w:ascii="宋体" w:hAnsi="宋体"/>
                <w:szCs w:val="21"/>
              </w:rPr>
              <w:t>拟在本合同任职</w:t>
            </w:r>
          </w:p>
        </w:tc>
        <w:tc>
          <w:tcPr>
            <w:tcW w:w="2134" w:type="dxa"/>
            <w:gridSpan w:val="2"/>
            <w:noWrap w:val="0"/>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dxa"/>
            <w:noWrap w:val="0"/>
            <w:vAlign w:val="center"/>
          </w:tcPr>
          <w:p>
            <w:pPr>
              <w:spacing w:line="440" w:lineRule="exact"/>
              <w:jc w:val="center"/>
              <w:rPr>
                <w:rFonts w:ascii="宋体" w:hAnsi="宋体"/>
                <w:szCs w:val="21"/>
              </w:rPr>
            </w:pPr>
            <w:r>
              <w:rPr>
                <w:rFonts w:ascii="宋体" w:hAnsi="宋体"/>
                <w:szCs w:val="21"/>
              </w:rPr>
              <w:t>毕业学校</w:t>
            </w:r>
          </w:p>
        </w:tc>
        <w:tc>
          <w:tcPr>
            <w:tcW w:w="7335" w:type="dxa"/>
            <w:gridSpan w:val="7"/>
            <w:noWrap w:val="0"/>
            <w:vAlign w:val="top"/>
          </w:tcPr>
          <w:p>
            <w:pPr>
              <w:spacing w:line="440" w:lineRule="exact"/>
              <w:ind w:firstLine="945" w:firstLineChars="450"/>
              <w:rPr>
                <w:rFonts w:ascii="宋体" w:hAnsi="宋体"/>
                <w:szCs w:val="21"/>
              </w:rPr>
            </w:pPr>
            <w:r>
              <w:rPr>
                <w:rFonts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8"/>
            <w:noWrap w:val="0"/>
            <w:vAlign w:val="center"/>
          </w:tcPr>
          <w:p>
            <w:pPr>
              <w:spacing w:line="440" w:lineRule="exact"/>
              <w:rPr>
                <w:rFonts w:hint="default" w:ascii="宋体" w:hAnsi="宋体" w:eastAsia="宋体"/>
                <w:szCs w:val="21"/>
                <w:lang w:val="en-US" w:eastAsia="zh-CN"/>
              </w:rPr>
            </w:pPr>
            <w:r>
              <w:rPr>
                <w:rFonts w:hint="eastAsia" w:ascii="宋体" w:hAnsi="宋体"/>
                <w:szCs w:val="21"/>
                <w:lang w:val="en-US" w:eastAsia="zh-CN"/>
              </w:rPr>
              <w:t>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7" w:type="dxa"/>
            <w:gridSpan w:val="2"/>
            <w:noWrap w:val="0"/>
            <w:vAlign w:val="center"/>
          </w:tcPr>
          <w:p>
            <w:pPr>
              <w:spacing w:line="440" w:lineRule="exact"/>
              <w:rPr>
                <w:rFonts w:hint="default" w:ascii="宋体" w:hAnsi="宋体" w:eastAsia="宋体"/>
                <w:szCs w:val="21"/>
                <w:lang w:val="en-US" w:eastAsia="zh-CN"/>
              </w:rPr>
            </w:pPr>
            <w:r>
              <w:rPr>
                <w:rFonts w:hint="eastAsia" w:ascii="宋体" w:hAnsi="宋体"/>
                <w:szCs w:val="21"/>
                <w:lang w:val="en-US" w:eastAsia="zh-CN"/>
              </w:rPr>
              <w:t>奖项级别</w:t>
            </w:r>
          </w:p>
        </w:tc>
        <w:tc>
          <w:tcPr>
            <w:tcW w:w="1244" w:type="dxa"/>
            <w:noWrap w:val="0"/>
            <w:vAlign w:val="center"/>
          </w:tcPr>
          <w:p>
            <w:pPr>
              <w:spacing w:line="440" w:lineRule="exact"/>
              <w:rPr>
                <w:rFonts w:hint="default" w:ascii="宋体" w:hAnsi="宋体" w:eastAsia="宋体"/>
                <w:szCs w:val="21"/>
                <w:lang w:val="en-US" w:eastAsia="zh-CN"/>
              </w:rPr>
            </w:pPr>
            <w:r>
              <w:rPr>
                <w:rFonts w:hint="eastAsia" w:ascii="宋体" w:hAnsi="宋体"/>
                <w:szCs w:val="21"/>
                <w:lang w:val="en-US" w:eastAsia="zh-CN"/>
              </w:rPr>
              <w:t>奖项名称</w:t>
            </w:r>
          </w:p>
        </w:tc>
        <w:tc>
          <w:tcPr>
            <w:tcW w:w="1211" w:type="dxa"/>
            <w:noWrap w:val="0"/>
            <w:vAlign w:val="center"/>
          </w:tcPr>
          <w:p>
            <w:pPr>
              <w:spacing w:line="440" w:lineRule="exact"/>
              <w:rPr>
                <w:rFonts w:ascii="宋体" w:hAnsi="宋体" w:eastAsia="宋体" w:cs="Times New Roman"/>
                <w:kern w:val="2"/>
                <w:sz w:val="21"/>
                <w:szCs w:val="21"/>
                <w:lang w:val="en-US" w:eastAsia="zh-CN" w:bidi="ar-SA"/>
              </w:rPr>
            </w:pPr>
            <w:r>
              <w:rPr>
                <w:rFonts w:hint="eastAsia" w:ascii="宋体" w:hAnsi="宋体"/>
                <w:szCs w:val="21"/>
                <w:lang w:val="en-US" w:eastAsia="zh-CN"/>
              </w:rPr>
              <w:t>获奖</w:t>
            </w:r>
            <w:r>
              <w:rPr>
                <w:rFonts w:ascii="宋体" w:hAnsi="宋体"/>
                <w:szCs w:val="21"/>
              </w:rPr>
              <w:t>时间</w:t>
            </w:r>
          </w:p>
        </w:tc>
        <w:tc>
          <w:tcPr>
            <w:tcW w:w="1298" w:type="dxa"/>
            <w:noWrap w:val="0"/>
            <w:vAlign w:val="center"/>
          </w:tcPr>
          <w:p>
            <w:pPr>
              <w:spacing w:line="440" w:lineRule="exac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获奖</w:t>
            </w:r>
            <w:r>
              <w:rPr>
                <w:rFonts w:ascii="宋体" w:hAnsi="宋体"/>
                <w:szCs w:val="21"/>
              </w:rPr>
              <w:t>项目</w:t>
            </w:r>
          </w:p>
        </w:tc>
        <w:tc>
          <w:tcPr>
            <w:tcW w:w="1964" w:type="dxa"/>
            <w:gridSpan w:val="2"/>
            <w:noWrap w:val="0"/>
            <w:vAlign w:val="center"/>
          </w:tcPr>
          <w:p>
            <w:pPr>
              <w:spacing w:line="440" w:lineRule="exact"/>
              <w:rPr>
                <w:rFonts w:hint="eastAsia" w:ascii="宋体" w:hAnsi="宋体" w:eastAsia="宋体" w:cs="Times New Roman"/>
                <w:kern w:val="2"/>
                <w:sz w:val="21"/>
                <w:szCs w:val="21"/>
                <w:lang w:val="en-US" w:eastAsia="zh-CN" w:bidi="ar-SA"/>
              </w:rPr>
            </w:pPr>
            <w:r>
              <w:rPr>
                <w:rFonts w:ascii="宋体" w:hAnsi="宋体"/>
                <w:szCs w:val="21"/>
              </w:rPr>
              <w:t>担任职务</w:t>
            </w:r>
          </w:p>
        </w:tc>
        <w:tc>
          <w:tcPr>
            <w:tcW w:w="1258" w:type="dxa"/>
            <w:noWrap w:val="0"/>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7" w:type="dxa"/>
            <w:gridSpan w:val="2"/>
            <w:noWrap w:val="0"/>
            <w:vAlign w:val="top"/>
          </w:tcPr>
          <w:p>
            <w:pPr>
              <w:spacing w:line="440" w:lineRule="exact"/>
              <w:rPr>
                <w:rFonts w:eastAsia="黑体"/>
                <w:szCs w:val="21"/>
              </w:rPr>
            </w:pPr>
          </w:p>
        </w:tc>
        <w:tc>
          <w:tcPr>
            <w:tcW w:w="1244" w:type="dxa"/>
            <w:noWrap w:val="0"/>
            <w:vAlign w:val="top"/>
          </w:tcPr>
          <w:p>
            <w:pPr>
              <w:spacing w:line="440" w:lineRule="exact"/>
              <w:rPr>
                <w:rFonts w:eastAsia="黑体"/>
                <w:szCs w:val="21"/>
              </w:rPr>
            </w:pPr>
          </w:p>
        </w:tc>
        <w:tc>
          <w:tcPr>
            <w:tcW w:w="1211" w:type="dxa"/>
            <w:noWrap w:val="0"/>
            <w:vAlign w:val="top"/>
          </w:tcPr>
          <w:p>
            <w:pPr>
              <w:spacing w:line="440" w:lineRule="exact"/>
              <w:rPr>
                <w:rFonts w:eastAsia="黑体"/>
                <w:szCs w:val="21"/>
              </w:rPr>
            </w:pPr>
          </w:p>
        </w:tc>
        <w:tc>
          <w:tcPr>
            <w:tcW w:w="1298" w:type="dxa"/>
            <w:noWrap w:val="0"/>
            <w:vAlign w:val="top"/>
          </w:tcPr>
          <w:p>
            <w:pPr>
              <w:spacing w:line="440" w:lineRule="exact"/>
              <w:rPr>
                <w:rFonts w:eastAsia="黑体"/>
                <w:szCs w:val="21"/>
              </w:rPr>
            </w:pPr>
          </w:p>
        </w:tc>
        <w:tc>
          <w:tcPr>
            <w:tcW w:w="1964" w:type="dxa"/>
            <w:gridSpan w:val="2"/>
            <w:noWrap w:val="0"/>
            <w:vAlign w:val="top"/>
          </w:tcPr>
          <w:p>
            <w:pPr>
              <w:spacing w:line="440" w:lineRule="exact"/>
              <w:rPr>
                <w:rFonts w:eastAsia="黑体"/>
                <w:szCs w:val="21"/>
              </w:rPr>
            </w:pPr>
          </w:p>
        </w:tc>
        <w:tc>
          <w:tcPr>
            <w:tcW w:w="1258" w:type="dxa"/>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7" w:type="dxa"/>
            <w:gridSpan w:val="2"/>
            <w:noWrap w:val="0"/>
            <w:vAlign w:val="top"/>
          </w:tcPr>
          <w:p>
            <w:pPr>
              <w:spacing w:line="440" w:lineRule="exact"/>
              <w:rPr>
                <w:rFonts w:eastAsia="黑体"/>
                <w:szCs w:val="21"/>
              </w:rPr>
            </w:pPr>
          </w:p>
        </w:tc>
        <w:tc>
          <w:tcPr>
            <w:tcW w:w="1244" w:type="dxa"/>
            <w:noWrap w:val="0"/>
            <w:vAlign w:val="top"/>
          </w:tcPr>
          <w:p>
            <w:pPr>
              <w:spacing w:line="440" w:lineRule="exact"/>
              <w:rPr>
                <w:rFonts w:eastAsia="黑体"/>
                <w:szCs w:val="21"/>
              </w:rPr>
            </w:pPr>
          </w:p>
        </w:tc>
        <w:tc>
          <w:tcPr>
            <w:tcW w:w="1211" w:type="dxa"/>
            <w:noWrap w:val="0"/>
            <w:vAlign w:val="top"/>
          </w:tcPr>
          <w:p>
            <w:pPr>
              <w:spacing w:line="440" w:lineRule="exact"/>
              <w:rPr>
                <w:rFonts w:eastAsia="黑体"/>
                <w:szCs w:val="21"/>
              </w:rPr>
            </w:pPr>
          </w:p>
        </w:tc>
        <w:tc>
          <w:tcPr>
            <w:tcW w:w="1298" w:type="dxa"/>
            <w:noWrap w:val="0"/>
            <w:vAlign w:val="top"/>
          </w:tcPr>
          <w:p>
            <w:pPr>
              <w:spacing w:line="440" w:lineRule="exact"/>
              <w:rPr>
                <w:rFonts w:eastAsia="黑体"/>
                <w:szCs w:val="21"/>
              </w:rPr>
            </w:pPr>
          </w:p>
        </w:tc>
        <w:tc>
          <w:tcPr>
            <w:tcW w:w="1964" w:type="dxa"/>
            <w:gridSpan w:val="2"/>
            <w:noWrap w:val="0"/>
            <w:vAlign w:val="top"/>
          </w:tcPr>
          <w:p>
            <w:pPr>
              <w:spacing w:line="440" w:lineRule="exact"/>
              <w:rPr>
                <w:rFonts w:eastAsia="黑体"/>
                <w:szCs w:val="21"/>
              </w:rPr>
            </w:pPr>
          </w:p>
        </w:tc>
        <w:tc>
          <w:tcPr>
            <w:tcW w:w="1258" w:type="dxa"/>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7" w:type="dxa"/>
            <w:gridSpan w:val="2"/>
            <w:noWrap w:val="0"/>
            <w:vAlign w:val="top"/>
          </w:tcPr>
          <w:p>
            <w:pPr>
              <w:spacing w:line="440" w:lineRule="exact"/>
              <w:rPr>
                <w:rFonts w:eastAsia="黑体"/>
                <w:szCs w:val="21"/>
              </w:rPr>
            </w:pPr>
          </w:p>
        </w:tc>
        <w:tc>
          <w:tcPr>
            <w:tcW w:w="1244" w:type="dxa"/>
            <w:noWrap w:val="0"/>
            <w:vAlign w:val="top"/>
          </w:tcPr>
          <w:p>
            <w:pPr>
              <w:spacing w:line="440" w:lineRule="exact"/>
              <w:rPr>
                <w:rFonts w:eastAsia="黑体"/>
                <w:szCs w:val="21"/>
              </w:rPr>
            </w:pPr>
          </w:p>
        </w:tc>
        <w:tc>
          <w:tcPr>
            <w:tcW w:w="1211" w:type="dxa"/>
            <w:noWrap w:val="0"/>
            <w:vAlign w:val="top"/>
          </w:tcPr>
          <w:p>
            <w:pPr>
              <w:spacing w:line="440" w:lineRule="exact"/>
              <w:rPr>
                <w:rFonts w:eastAsia="黑体"/>
                <w:szCs w:val="21"/>
              </w:rPr>
            </w:pPr>
          </w:p>
        </w:tc>
        <w:tc>
          <w:tcPr>
            <w:tcW w:w="1298" w:type="dxa"/>
            <w:noWrap w:val="0"/>
            <w:vAlign w:val="top"/>
          </w:tcPr>
          <w:p>
            <w:pPr>
              <w:spacing w:line="440" w:lineRule="exact"/>
              <w:rPr>
                <w:rFonts w:eastAsia="黑体"/>
                <w:szCs w:val="21"/>
              </w:rPr>
            </w:pPr>
          </w:p>
        </w:tc>
        <w:tc>
          <w:tcPr>
            <w:tcW w:w="1964" w:type="dxa"/>
            <w:gridSpan w:val="2"/>
            <w:noWrap w:val="0"/>
            <w:vAlign w:val="top"/>
          </w:tcPr>
          <w:p>
            <w:pPr>
              <w:spacing w:line="440" w:lineRule="exact"/>
              <w:rPr>
                <w:rFonts w:eastAsia="黑体"/>
                <w:szCs w:val="21"/>
              </w:rPr>
            </w:pPr>
          </w:p>
        </w:tc>
        <w:tc>
          <w:tcPr>
            <w:tcW w:w="1258" w:type="dxa"/>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7" w:type="dxa"/>
            <w:gridSpan w:val="2"/>
            <w:noWrap w:val="0"/>
            <w:vAlign w:val="top"/>
          </w:tcPr>
          <w:p>
            <w:pPr>
              <w:spacing w:line="440" w:lineRule="exact"/>
              <w:rPr>
                <w:rFonts w:eastAsia="黑体"/>
                <w:szCs w:val="21"/>
              </w:rPr>
            </w:pPr>
          </w:p>
        </w:tc>
        <w:tc>
          <w:tcPr>
            <w:tcW w:w="1244" w:type="dxa"/>
            <w:noWrap w:val="0"/>
            <w:vAlign w:val="top"/>
          </w:tcPr>
          <w:p>
            <w:pPr>
              <w:spacing w:line="440" w:lineRule="exact"/>
              <w:rPr>
                <w:rFonts w:eastAsia="黑体"/>
                <w:szCs w:val="21"/>
              </w:rPr>
            </w:pPr>
          </w:p>
        </w:tc>
        <w:tc>
          <w:tcPr>
            <w:tcW w:w="1211" w:type="dxa"/>
            <w:noWrap w:val="0"/>
            <w:vAlign w:val="top"/>
          </w:tcPr>
          <w:p>
            <w:pPr>
              <w:spacing w:line="440" w:lineRule="exact"/>
              <w:rPr>
                <w:rFonts w:eastAsia="黑体"/>
                <w:szCs w:val="21"/>
              </w:rPr>
            </w:pPr>
          </w:p>
        </w:tc>
        <w:tc>
          <w:tcPr>
            <w:tcW w:w="1298" w:type="dxa"/>
            <w:noWrap w:val="0"/>
            <w:vAlign w:val="top"/>
          </w:tcPr>
          <w:p>
            <w:pPr>
              <w:spacing w:line="440" w:lineRule="exact"/>
              <w:rPr>
                <w:rFonts w:eastAsia="黑体"/>
                <w:szCs w:val="21"/>
              </w:rPr>
            </w:pPr>
          </w:p>
        </w:tc>
        <w:tc>
          <w:tcPr>
            <w:tcW w:w="1964" w:type="dxa"/>
            <w:gridSpan w:val="2"/>
            <w:noWrap w:val="0"/>
            <w:vAlign w:val="top"/>
          </w:tcPr>
          <w:p>
            <w:pPr>
              <w:spacing w:line="440" w:lineRule="exact"/>
              <w:rPr>
                <w:rFonts w:eastAsia="黑体"/>
                <w:szCs w:val="21"/>
              </w:rPr>
            </w:pPr>
          </w:p>
        </w:tc>
        <w:tc>
          <w:tcPr>
            <w:tcW w:w="1258" w:type="dxa"/>
            <w:noWrap w:val="0"/>
            <w:vAlign w:val="top"/>
          </w:tcPr>
          <w:p>
            <w:pPr>
              <w:spacing w:line="440" w:lineRule="exact"/>
              <w:rPr>
                <w:rFonts w:eastAsia="黑体"/>
                <w:szCs w:val="21"/>
              </w:rPr>
            </w:pPr>
          </w:p>
        </w:tc>
      </w:tr>
    </w:tbl>
    <w:p>
      <w:pPr>
        <w:numPr>
          <w:ilvl w:val="0"/>
          <w:numId w:val="3"/>
        </w:numPr>
        <w:rPr>
          <w:rFonts w:hint="eastAsia"/>
          <w:lang w:val="en-US" w:eastAsia="zh-CN"/>
        </w:rPr>
      </w:pPr>
      <w:r>
        <w:rPr>
          <w:rFonts w:hint="eastAsia"/>
          <w:lang w:val="en-US" w:eastAsia="zh-CN"/>
        </w:rPr>
        <w:br w:type="page"/>
      </w:r>
    </w:p>
    <w:p>
      <w:pPr>
        <w:pStyle w:val="5"/>
      </w:pPr>
      <w:r>
        <w:rPr>
          <w:rFonts w:hint="eastAsia"/>
          <w:lang w:eastAsia="zh-CN"/>
        </w:rPr>
        <w:t>（</w:t>
      </w:r>
      <w:r>
        <w:rPr>
          <w:rFonts w:hint="eastAsia"/>
          <w:lang w:val="en-US" w:eastAsia="zh-CN"/>
        </w:rPr>
        <w:t>十一）</w:t>
      </w:r>
      <w:r>
        <w:rPr>
          <w:rFonts w:hint="eastAsia"/>
        </w:rPr>
        <w:t>★条款</w:t>
      </w:r>
      <w:r>
        <w:t>参数响应</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48"/>
        <w:gridCol w:w="3266"/>
        <w:gridCol w:w="192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04" w:type="dxa"/>
            <w:noWrap w:val="0"/>
            <w:vAlign w:val="center"/>
          </w:tcPr>
          <w:p>
            <w:pPr>
              <w:jc w:val="center"/>
              <w:rPr>
                <w:color w:val="auto"/>
                <w:szCs w:val="21"/>
                <w:highlight w:val="none"/>
              </w:rPr>
            </w:pPr>
            <w:r>
              <w:rPr>
                <w:rFonts w:hint="eastAsia"/>
                <w:color w:val="auto"/>
                <w:szCs w:val="21"/>
                <w:highlight w:val="none"/>
              </w:rPr>
              <w:t>序号</w:t>
            </w:r>
          </w:p>
        </w:tc>
        <w:tc>
          <w:tcPr>
            <w:tcW w:w="1748" w:type="dxa"/>
            <w:noWrap w:val="0"/>
            <w:vAlign w:val="center"/>
          </w:tcPr>
          <w:p>
            <w:pPr>
              <w:jc w:val="center"/>
              <w:rPr>
                <w:color w:val="auto"/>
                <w:szCs w:val="21"/>
                <w:highlight w:val="none"/>
              </w:rPr>
            </w:pPr>
            <w:r>
              <w:rPr>
                <w:rFonts w:hint="eastAsia"/>
                <w:color w:val="auto"/>
                <w:szCs w:val="21"/>
                <w:highlight w:val="none"/>
              </w:rPr>
              <w:t>要求</w:t>
            </w:r>
          </w:p>
        </w:tc>
        <w:tc>
          <w:tcPr>
            <w:tcW w:w="3266" w:type="dxa"/>
            <w:noWrap w:val="0"/>
            <w:vAlign w:val="center"/>
          </w:tcPr>
          <w:p>
            <w:pPr>
              <w:jc w:val="center"/>
              <w:rPr>
                <w:color w:val="auto"/>
                <w:szCs w:val="21"/>
                <w:highlight w:val="none"/>
              </w:rPr>
            </w:pPr>
            <w:r>
              <w:rPr>
                <w:rFonts w:hint="eastAsia"/>
                <w:color w:val="auto"/>
                <w:szCs w:val="21"/>
                <w:highlight w:val="none"/>
              </w:rPr>
              <w:t>响应实际参数</w:t>
            </w:r>
          </w:p>
        </w:tc>
        <w:tc>
          <w:tcPr>
            <w:tcW w:w="1925" w:type="dxa"/>
            <w:noWrap w:val="0"/>
            <w:vAlign w:val="center"/>
          </w:tcPr>
          <w:p>
            <w:pPr>
              <w:jc w:val="center"/>
              <w:rPr>
                <w:color w:val="auto"/>
                <w:szCs w:val="21"/>
                <w:highlight w:val="none"/>
              </w:rPr>
            </w:pPr>
            <w:r>
              <w:rPr>
                <w:rFonts w:hint="eastAsia"/>
                <w:color w:val="auto"/>
                <w:szCs w:val="21"/>
                <w:highlight w:val="none"/>
              </w:rPr>
              <w:t>是否偏离（无偏离/正偏离/负偏离）</w:t>
            </w:r>
          </w:p>
        </w:tc>
        <w:tc>
          <w:tcPr>
            <w:tcW w:w="1178" w:type="dxa"/>
            <w:noWrap w:val="0"/>
            <w:vAlign w:val="center"/>
          </w:tcPr>
          <w:p>
            <w:pPr>
              <w:jc w:val="center"/>
              <w:rPr>
                <w:color w:val="auto"/>
                <w:szCs w:val="21"/>
                <w:highlight w:val="none"/>
              </w:rPr>
            </w:pPr>
            <w:r>
              <w:rPr>
                <w:rFonts w:hint="eastAsia"/>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1</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2</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3</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4</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bl>
    <w:p>
      <w:pPr>
        <w:spacing w:after="120" w:line="400" w:lineRule="exact"/>
        <w:ind w:firstLine="420" w:firstLineChars="200"/>
        <w:rPr>
          <w:color w:val="auto"/>
          <w:szCs w:val="21"/>
          <w:highlight w:val="none"/>
        </w:rPr>
      </w:pPr>
      <w:r>
        <w:rPr>
          <w:rFonts w:hint="eastAsia"/>
          <w:color w:val="auto"/>
          <w:szCs w:val="21"/>
          <w:highlight w:val="none"/>
        </w:rPr>
        <w:t>注：</w:t>
      </w:r>
    </w:p>
    <w:p>
      <w:pPr>
        <w:spacing w:after="120" w:line="400" w:lineRule="exact"/>
        <w:ind w:left="420" w:leftChars="200"/>
        <w:rPr>
          <w:color w:val="auto"/>
          <w:szCs w:val="21"/>
          <w:highlight w:val="none"/>
          <w:lang w:val="en-GB"/>
        </w:rPr>
      </w:pPr>
      <w:r>
        <w:rPr>
          <w:rFonts w:hint="eastAsia"/>
          <w:color w:val="auto"/>
          <w:szCs w:val="21"/>
          <w:highlight w:val="none"/>
        </w:rPr>
        <w:t xml:space="preserve">1. </w:t>
      </w:r>
      <w:r>
        <w:rPr>
          <w:rFonts w:hint="eastAsia" w:ascii="宋体"/>
          <w:color w:val="auto"/>
          <w:highlight w:val="none"/>
          <w:lang w:eastAsia="zh-CN"/>
        </w:rPr>
        <w:t>报价人</w:t>
      </w:r>
      <w:r>
        <w:rPr>
          <w:rFonts w:hint="eastAsia"/>
          <w:color w:val="auto"/>
          <w:szCs w:val="21"/>
          <w:highlight w:val="none"/>
        </w:rPr>
        <w:t>应对“第五章</w:t>
      </w:r>
      <w:r>
        <w:rPr>
          <w:rFonts w:hint="eastAsia"/>
          <w:color w:val="auto"/>
          <w:szCs w:val="21"/>
          <w:highlight w:val="none"/>
          <w:lang w:val="en-US" w:eastAsia="zh-CN"/>
        </w:rPr>
        <w:t xml:space="preserve"> </w:t>
      </w:r>
      <w:r>
        <w:rPr>
          <w:rFonts w:hint="eastAsia"/>
          <w:color w:val="auto"/>
          <w:szCs w:val="21"/>
          <w:highlight w:val="none"/>
        </w:rPr>
        <w:t>发包人要求 ”的</w:t>
      </w:r>
      <w:r>
        <w:rPr>
          <w:rFonts w:hint="eastAsia"/>
        </w:rPr>
        <w:t>★条款</w:t>
      </w:r>
      <w:r>
        <w:rPr>
          <w:rFonts w:hint="eastAsia"/>
          <w:color w:val="auto"/>
          <w:szCs w:val="21"/>
          <w:highlight w:val="none"/>
        </w:rPr>
        <w:t>做出全面响应，若有不满足“第五章发包人要求 ”中的要求必须在上表中明确说明，否则视为完全响应“第五章发包人要求”。</w:t>
      </w:r>
    </w:p>
    <w:p>
      <w:pPr>
        <w:spacing w:after="120" w:line="400" w:lineRule="exact"/>
        <w:ind w:left="420" w:leftChars="200"/>
        <w:rPr>
          <w:color w:val="auto"/>
          <w:szCs w:val="21"/>
          <w:highlight w:val="none"/>
        </w:rPr>
      </w:pPr>
      <w:r>
        <w:rPr>
          <w:rFonts w:hint="eastAsia"/>
          <w:color w:val="auto"/>
          <w:szCs w:val="21"/>
          <w:highlight w:val="none"/>
          <w:lang w:val="en-GB"/>
        </w:rPr>
        <w:t>2.</w:t>
      </w:r>
      <w:r>
        <w:rPr>
          <w:rFonts w:hint="eastAsia" w:ascii="宋体"/>
          <w:color w:val="auto"/>
          <w:highlight w:val="none"/>
          <w:lang w:eastAsia="zh-CN"/>
        </w:rPr>
        <w:t>报价人</w:t>
      </w:r>
      <w:r>
        <w:rPr>
          <w:rFonts w:hint="eastAsia"/>
          <w:color w:val="auto"/>
          <w:szCs w:val="21"/>
          <w:highlight w:val="none"/>
        </w:rPr>
        <w:t>供应商响应招标需求应具体、明确，含糊不清、不确切或伪造、变造证明材料的，按照不完全响应或者完全不响应处理。构成提供虚假材料的，移送监管部门查处。</w:t>
      </w:r>
    </w:p>
    <w:p>
      <w:pPr>
        <w:spacing w:after="120" w:line="400" w:lineRule="exact"/>
        <w:ind w:firstLine="420" w:firstLineChars="200"/>
        <w:rPr>
          <w:color w:val="auto"/>
          <w:szCs w:val="21"/>
          <w:highlight w:val="none"/>
        </w:rPr>
      </w:pPr>
      <w:r>
        <w:rPr>
          <w:rFonts w:hint="eastAsia"/>
          <w:color w:val="auto"/>
          <w:szCs w:val="21"/>
          <w:highlight w:val="none"/>
        </w:rPr>
        <w:t>3.本表内容不得擅自修改。</w:t>
      </w: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r>
        <w:rPr>
          <w:rFonts w:hint="eastAsia" w:ascii="宋体"/>
          <w:color w:val="auto"/>
          <w:highlight w:val="none"/>
          <w:lang w:eastAsia="zh-CN"/>
        </w:rPr>
        <w:t>报价人</w:t>
      </w:r>
      <w:r>
        <w:rPr>
          <w:rFonts w:hint="eastAsia"/>
          <w:color w:val="auto"/>
          <w:szCs w:val="21"/>
          <w:highlight w:val="none"/>
        </w:rPr>
        <w:t>法定代表人（或法定代表人授权代表）签字：</w:t>
      </w:r>
      <w:r>
        <w:rPr>
          <w:rFonts w:hint="eastAsia"/>
          <w:color w:val="auto"/>
          <w:szCs w:val="21"/>
          <w:highlight w:val="none"/>
          <w:u w:val="single"/>
        </w:rPr>
        <w:t xml:space="preserve">                   </w:t>
      </w:r>
    </w:p>
    <w:p>
      <w:pPr>
        <w:adjustRightInd w:val="0"/>
        <w:snapToGrid w:val="0"/>
        <w:spacing w:line="300" w:lineRule="auto"/>
        <w:rPr>
          <w:color w:val="auto"/>
          <w:szCs w:val="21"/>
          <w:highlight w:val="none"/>
          <w:u w:val="single"/>
        </w:rPr>
      </w:pPr>
      <w:r>
        <w:rPr>
          <w:rFonts w:hint="eastAsia" w:ascii="宋体"/>
          <w:color w:val="auto"/>
          <w:highlight w:val="none"/>
          <w:lang w:eastAsia="zh-CN"/>
        </w:rPr>
        <w:t>报价人</w:t>
      </w:r>
      <w:r>
        <w:rPr>
          <w:rFonts w:hint="eastAsia"/>
          <w:color w:val="auto"/>
          <w:szCs w:val="21"/>
          <w:highlight w:val="none"/>
        </w:rPr>
        <w:t>名称（加盖公章）：</w:t>
      </w:r>
      <w:r>
        <w:rPr>
          <w:rFonts w:hint="eastAsia"/>
          <w:color w:val="auto"/>
          <w:szCs w:val="21"/>
          <w:highlight w:val="none"/>
          <w:u w:val="single"/>
        </w:rPr>
        <w:t xml:space="preserve">                        </w:t>
      </w:r>
    </w:p>
    <w:p>
      <w:pPr>
        <w:spacing w:line="360" w:lineRule="auto"/>
        <w:jc w:val="both"/>
        <w:rPr>
          <w:rFonts w:hint="eastAsia"/>
          <w:color w:val="auto"/>
          <w:szCs w:val="21"/>
          <w:highlight w:val="none"/>
        </w:rPr>
      </w:pPr>
      <w:r>
        <w:rPr>
          <w:rFonts w:hint="eastAsia"/>
          <w:color w:val="auto"/>
          <w:szCs w:val="21"/>
          <w:highlight w:val="none"/>
        </w:rPr>
        <w:t>日期：   年   月   日</w:t>
      </w:r>
    </w:p>
    <w:p>
      <w:pPr>
        <w:pStyle w:val="11"/>
        <w:numPr>
          <w:ilvl w:val="0"/>
          <w:numId w:val="0"/>
        </w:numPr>
      </w:pPr>
    </w:p>
    <w:p>
      <w:pPr>
        <w:snapToGrid w:val="0"/>
        <w:rPr>
          <w:rFonts w:hint="eastAsia" w:ascii="宋体" w:hAnsi="宋体"/>
          <w:b/>
          <w:color w:val="000000"/>
          <w:szCs w:val="21"/>
        </w:rPr>
      </w:pPr>
      <w:r>
        <w:rPr>
          <w:rFonts w:hint="eastAsia" w:ascii="宋体" w:hAnsi="宋体"/>
          <w:b/>
          <w:color w:val="000000"/>
          <w:szCs w:val="21"/>
          <w:lang w:val="en-US" w:eastAsia="zh-CN"/>
        </w:rPr>
        <w:t>注：</w:t>
      </w:r>
      <w:r>
        <w:rPr>
          <w:rFonts w:hint="eastAsia" w:ascii="宋体" w:hAnsi="宋体"/>
          <w:b/>
          <w:color w:val="000000"/>
          <w:szCs w:val="21"/>
        </w:rPr>
        <w:t>1、联合体投标的，“投标单位”一栏需书写所有联合体成员的单位全称，并由联合体主办方按要求签字或盖章，联合体其他成员可不签字或盖章。</w:t>
      </w:r>
    </w:p>
    <w:p>
      <w:pPr>
        <w:rPr>
          <w:rFonts w:hint="eastAsia"/>
          <w:lang w:val="en-US" w:eastAsia="zh-CN"/>
        </w:rPr>
      </w:pPr>
      <w:r>
        <w:rPr>
          <w:rFonts w:hint="eastAsia"/>
          <w:lang w:val="en-US" w:eastAsia="zh-CN"/>
        </w:rPr>
        <w:br w:type="page"/>
      </w:r>
    </w:p>
    <w:p>
      <w:pPr>
        <w:pStyle w:val="3"/>
        <w:jc w:val="center"/>
        <w:rPr>
          <w:rFonts w:hint="eastAsia"/>
          <w:szCs w:val="21"/>
          <w:lang w:val="en-US" w:eastAsia="zh-CN"/>
        </w:rPr>
      </w:pPr>
      <w:r>
        <w:rPr>
          <w:rFonts w:hint="eastAsia"/>
          <w:lang w:val="en-US" w:eastAsia="zh-CN"/>
        </w:rPr>
        <w:t>五、</w:t>
      </w:r>
      <w:r>
        <w:rPr>
          <w:rFonts w:hint="eastAsia"/>
          <w:szCs w:val="21"/>
        </w:rPr>
        <w:t>资信业绩</w:t>
      </w:r>
      <w:r>
        <w:rPr>
          <w:rFonts w:hint="eastAsia"/>
          <w:szCs w:val="21"/>
          <w:lang w:val="en-US" w:eastAsia="zh-CN"/>
        </w:rPr>
        <w:t>部分</w:t>
      </w:r>
    </w:p>
    <w:p>
      <w:pPr>
        <w:tabs>
          <w:tab w:val="left" w:pos="615"/>
        </w:tabs>
        <w:bidi w:val="0"/>
        <w:jc w:val="left"/>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1、企业类似业绩</w:t>
      </w:r>
    </w:p>
    <w:tbl>
      <w:tblPr>
        <w:tblStyle w:val="36"/>
        <w:tblW w:w="96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164"/>
        <w:gridCol w:w="1368"/>
        <w:gridCol w:w="1320"/>
        <w:gridCol w:w="1392"/>
        <w:gridCol w:w="1788"/>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9612" w:type="dxa"/>
            <w:gridSpan w:val="7"/>
            <w:shd w:val="clear" w:color="auto" w:fill="F3F3F3"/>
            <w:noWrap w:val="0"/>
            <w:vAlign w:val="center"/>
          </w:tcPr>
          <w:p>
            <w:pPr>
              <w:tabs>
                <w:tab w:val="left" w:pos="3735"/>
              </w:tabs>
              <w:bidi w:val="0"/>
              <w:jc w:val="center"/>
              <w:rPr>
                <w:rFonts w:hint="eastAsia" w:eastAsia="宋体"/>
                <w:lang w:eastAsia="zh-CN"/>
              </w:rPr>
            </w:pPr>
            <w:r>
              <w:rPr>
                <w:rFonts w:hint="eastAsia"/>
                <w:lang w:eastAsia="zh-CN"/>
              </w:rPr>
              <w:t>施工业绩（如为联合体投标，指主办方）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792" w:type="dxa"/>
            <w:shd w:val="clear" w:color="auto" w:fill="F3F3F3"/>
            <w:noWrap w:val="0"/>
            <w:vAlign w:val="center"/>
          </w:tcPr>
          <w:p>
            <w:pPr>
              <w:bidi w:val="0"/>
              <w:jc w:val="center"/>
            </w:pPr>
            <w:r>
              <w:t>序号</w:t>
            </w:r>
          </w:p>
        </w:tc>
        <w:tc>
          <w:tcPr>
            <w:tcW w:w="1164" w:type="dxa"/>
            <w:shd w:val="clear" w:color="auto" w:fill="F3F3F3"/>
            <w:noWrap w:val="0"/>
            <w:vAlign w:val="center"/>
          </w:tcPr>
          <w:p>
            <w:pPr>
              <w:bidi w:val="0"/>
              <w:jc w:val="center"/>
              <w:rPr>
                <w:rFonts w:hint="default"/>
                <w:lang w:val="en-US" w:eastAsia="zh-CN"/>
              </w:rPr>
            </w:pPr>
            <w:r>
              <w:rPr>
                <w:rFonts w:hint="eastAsia"/>
                <w:lang w:val="en-US" w:eastAsia="zh-CN"/>
              </w:rPr>
              <w:t>甲方单位</w:t>
            </w:r>
          </w:p>
        </w:tc>
        <w:tc>
          <w:tcPr>
            <w:tcW w:w="1368" w:type="dxa"/>
            <w:shd w:val="clear" w:color="auto" w:fill="F3F3F3"/>
            <w:noWrap w:val="0"/>
            <w:vAlign w:val="center"/>
          </w:tcPr>
          <w:p>
            <w:pPr>
              <w:bidi w:val="0"/>
              <w:jc w:val="center"/>
            </w:pPr>
            <w:r>
              <w:t>项目名称</w:t>
            </w:r>
          </w:p>
        </w:tc>
        <w:tc>
          <w:tcPr>
            <w:tcW w:w="1320" w:type="dxa"/>
            <w:shd w:val="clear" w:color="auto" w:fill="F3F3F3"/>
            <w:noWrap w:val="0"/>
            <w:vAlign w:val="center"/>
          </w:tcPr>
          <w:p>
            <w:pPr>
              <w:bidi w:val="0"/>
              <w:jc w:val="center"/>
            </w:pPr>
            <w:r>
              <w:t>合同</w:t>
            </w:r>
            <w:r>
              <w:rPr>
                <w:rFonts w:hint="eastAsia"/>
                <w:lang w:val="en-US" w:eastAsia="zh-CN"/>
              </w:rPr>
              <w:t>总</w:t>
            </w:r>
            <w:r>
              <w:t>金额</w:t>
            </w:r>
          </w:p>
        </w:tc>
        <w:tc>
          <w:tcPr>
            <w:tcW w:w="1392" w:type="dxa"/>
            <w:shd w:val="clear" w:color="auto" w:fill="F3F3F3"/>
            <w:noWrap w:val="0"/>
            <w:vAlign w:val="center"/>
          </w:tcPr>
          <w:p>
            <w:pPr>
              <w:bidi w:val="0"/>
              <w:jc w:val="center"/>
            </w:pPr>
            <w:r>
              <w:t>合同签订时间</w:t>
            </w:r>
          </w:p>
        </w:tc>
        <w:tc>
          <w:tcPr>
            <w:tcW w:w="1788" w:type="dxa"/>
            <w:shd w:val="clear" w:color="auto" w:fill="F3F3F3"/>
            <w:noWrap w:val="0"/>
            <w:vAlign w:val="center"/>
          </w:tcPr>
          <w:p>
            <w:pPr>
              <w:bidi w:val="0"/>
              <w:jc w:val="center"/>
              <w:rPr>
                <w:rFonts w:hint="default" w:eastAsia="宋体"/>
                <w:lang w:val="en-US" w:eastAsia="zh-CN"/>
              </w:rPr>
            </w:pPr>
            <w:r>
              <w:rPr>
                <w:rFonts w:hint="eastAsia"/>
                <w:lang w:val="en-US" w:eastAsia="zh-CN"/>
              </w:rPr>
              <w:t>竣工时间</w:t>
            </w:r>
          </w:p>
        </w:tc>
        <w:tc>
          <w:tcPr>
            <w:tcW w:w="1788" w:type="dxa"/>
            <w:shd w:val="clear" w:color="auto" w:fill="F3F3F3"/>
            <w:noWrap w:val="0"/>
            <w:vAlign w:val="center"/>
          </w:tcPr>
          <w:p>
            <w:pPr>
              <w:bidi w:val="0"/>
              <w:jc w:val="center"/>
            </w:pPr>
            <w: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92" w:type="dxa"/>
            <w:noWrap w:val="0"/>
            <w:vAlign w:val="top"/>
          </w:tcPr>
          <w:p>
            <w:pPr>
              <w:pStyle w:val="37"/>
              <w:spacing w:before="168" w:line="182" w:lineRule="auto"/>
              <w:ind w:left="126"/>
            </w:pPr>
            <w:r>
              <w:t>1</w:t>
            </w:r>
          </w:p>
        </w:tc>
        <w:tc>
          <w:tcPr>
            <w:tcW w:w="1164" w:type="dxa"/>
            <w:noWrap w:val="0"/>
            <w:vAlign w:val="top"/>
          </w:tcPr>
          <w:p>
            <w:pPr>
              <w:rPr>
                <w:rFonts w:ascii="Arial"/>
                <w:sz w:val="21"/>
              </w:rPr>
            </w:pPr>
          </w:p>
        </w:tc>
        <w:tc>
          <w:tcPr>
            <w:tcW w:w="1368" w:type="dxa"/>
            <w:noWrap w:val="0"/>
            <w:vAlign w:val="top"/>
          </w:tcPr>
          <w:p>
            <w:pPr>
              <w:rPr>
                <w:rFonts w:ascii="Arial"/>
                <w:sz w:val="21"/>
              </w:rPr>
            </w:pPr>
          </w:p>
        </w:tc>
        <w:tc>
          <w:tcPr>
            <w:tcW w:w="1320" w:type="dxa"/>
            <w:noWrap w:val="0"/>
            <w:vAlign w:val="top"/>
          </w:tcPr>
          <w:p>
            <w:pPr>
              <w:rPr>
                <w:rFonts w:ascii="Arial"/>
                <w:sz w:val="21"/>
              </w:rPr>
            </w:pPr>
          </w:p>
        </w:tc>
        <w:tc>
          <w:tcPr>
            <w:tcW w:w="1392" w:type="dxa"/>
            <w:noWrap w:val="0"/>
            <w:vAlign w:val="top"/>
          </w:tcPr>
          <w:p>
            <w:pPr>
              <w:rPr>
                <w:rFonts w:ascii="Arial"/>
                <w:sz w:val="21"/>
              </w:rPr>
            </w:pPr>
          </w:p>
        </w:tc>
        <w:tc>
          <w:tcPr>
            <w:tcW w:w="1788" w:type="dxa"/>
            <w:noWrap w:val="0"/>
            <w:vAlign w:val="top"/>
          </w:tcPr>
          <w:p>
            <w:pPr>
              <w:rPr>
                <w:rFonts w:ascii="Arial"/>
                <w:sz w:val="21"/>
              </w:rPr>
            </w:pPr>
          </w:p>
        </w:tc>
        <w:tc>
          <w:tcPr>
            <w:tcW w:w="1788"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92" w:type="dxa"/>
            <w:noWrap w:val="0"/>
            <w:vAlign w:val="top"/>
          </w:tcPr>
          <w:p>
            <w:pPr>
              <w:pStyle w:val="37"/>
              <w:spacing w:before="171" w:line="181" w:lineRule="auto"/>
              <w:ind w:left="113"/>
            </w:pPr>
            <w:r>
              <w:t>2</w:t>
            </w:r>
          </w:p>
        </w:tc>
        <w:tc>
          <w:tcPr>
            <w:tcW w:w="1164" w:type="dxa"/>
            <w:noWrap w:val="0"/>
            <w:vAlign w:val="top"/>
          </w:tcPr>
          <w:p>
            <w:pPr>
              <w:rPr>
                <w:rFonts w:ascii="Arial"/>
                <w:sz w:val="21"/>
              </w:rPr>
            </w:pPr>
          </w:p>
        </w:tc>
        <w:tc>
          <w:tcPr>
            <w:tcW w:w="1368" w:type="dxa"/>
            <w:noWrap w:val="0"/>
            <w:vAlign w:val="top"/>
          </w:tcPr>
          <w:p>
            <w:pPr>
              <w:rPr>
                <w:rFonts w:ascii="Arial"/>
                <w:sz w:val="21"/>
              </w:rPr>
            </w:pPr>
          </w:p>
        </w:tc>
        <w:tc>
          <w:tcPr>
            <w:tcW w:w="1320" w:type="dxa"/>
            <w:noWrap w:val="0"/>
            <w:vAlign w:val="top"/>
          </w:tcPr>
          <w:p>
            <w:pPr>
              <w:rPr>
                <w:rFonts w:ascii="Arial"/>
                <w:sz w:val="21"/>
              </w:rPr>
            </w:pPr>
          </w:p>
        </w:tc>
        <w:tc>
          <w:tcPr>
            <w:tcW w:w="1392" w:type="dxa"/>
            <w:noWrap w:val="0"/>
            <w:vAlign w:val="top"/>
          </w:tcPr>
          <w:p>
            <w:pPr>
              <w:rPr>
                <w:rFonts w:ascii="Arial"/>
                <w:sz w:val="21"/>
              </w:rPr>
            </w:pPr>
          </w:p>
        </w:tc>
        <w:tc>
          <w:tcPr>
            <w:tcW w:w="1788" w:type="dxa"/>
            <w:noWrap w:val="0"/>
            <w:vAlign w:val="top"/>
          </w:tcPr>
          <w:p>
            <w:pPr>
              <w:rPr>
                <w:rFonts w:ascii="Arial"/>
                <w:sz w:val="21"/>
              </w:rPr>
            </w:pPr>
          </w:p>
        </w:tc>
        <w:tc>
          <w:tcPr>
            <w:tcW w:w="1788"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792" w:type="dxa"/>
            <w:noWrap w:val="0"/>
            <w:vAlign w:val="top"/>
          </w:tcPr>
          <w:p>
            <w:pPr>
              <w:pStyle w:val="37"/>
              <w:spacing w:before="173" w:line="181" w:lineRule="auto"/>
              <w:ind w:left="115"/>
            </w:pPr>
            <w:r>
              <w:t>3</w:t>
            </w:r>
          </w:p>
        </w:tc>
        <w:tc>
          <w:tcPr>
            <w:tcW w:w="1164" w:type="dxa"/>
            <w:noWrap w:val="0"/>
            <w:vAlign w:val="top"/>
          </w:tcPr>
          <w:p>
            <w:pPr>
              <w:rPr>
                <w:rFonts w:ascii="Arial"/>
                <w:sz w:val="21"/>
              </w:rPr>
            </w:pPr>
          </w:p>
        </w:tc>
        <w:tc>
          <w:tcPr>
            <w:tcW w:w="1368" w:type="dxa"/>
            <w:noWrap w:val="0"/>
            <w:vAlign w:val="top"/>
          </w:tcPr>
          <w:p>
            <w:pPr>
              <w:rPr>
                <w:rFonts w:ascii="Arial"/>
                <w:sz w:val="21"/>
              </w:rPr>
            </w:pPr>
          </w:p>
        </w:tc>
        <w:tc>
          <w:tcPr>
            <w:tcW w:w="1320" w:type="dxa"/>
            <w:noWrap w:val="0"/>
            <w:vAlign w:val="top"/>
          </w:tcPr>
          <w:p>
            <w:pPr>
              <w:rPr>
                <w:rFonts w:ascii="Arial"/>
                <w:sz w:val="21"/>
              </w:rPr>
            </w:pPr>
          </w:p>
        </w:tc>
        <w:tc>
          <w:tcPr>
            <w:tcW w:w="1392" w:type="dxa"/>
            <w:noWrap w:val="0"/>
            <w:vAlign w:val="top"/>
          </w:tcPr>
          <w:p>
            <w:pPr>
              <w:rPr>
                <w:rFonts w:ascii="Arial"/>
                <w:sz w:val="21"/>
              </w:rPr>
            </w:pPr>
          </w:p>
        </w:tc>
        <w:tc>
          <w:tcPr>
            <w:tcW w:w="1788" w:type="dxa"/>
            <w:noWrap w:val="0"/>
            <w:vAlign w:val="top"/>
          </w:tcPr>
          <w:p>
            <w:pPr>
              <w:rPr>
                <w:rFonts w:ascii="Arial"/>
                <w:sz w:val="21"/>
              </w:rPr>
            </w:pPr>
          </w:p>
        </w:tc>
        <w:tc>
          <w:tcPr>
            <w:tcW w:w="1788"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top"/>
          </w:tcPr>
          <w:p>
            <w:pPr>
              <w:pStyle w:val="37"/>
              <w:spacing w:before="139" w:line="332" w:lineRule="exact"/>
              <w:ind w:left="124"/>
              <w:rPr>
                <w:rFonts w:hint="eastAsia" w:eastAsia="宋体"/>
                <w:lang w:eastAsia="zh-CN"/>
              </w:rPr>
            </w:pPr>
            <w:r>
              <w:rPr>
                <w:rFonts w:hint="eastAsia"/>
                <w:position w:val="2"/>
                <w:lang w:val="en-US" w:eastAsia="zh-CN"/>
              </w:rPr>
              <w:t>4</w:t>
            </w:r>
          </w:p>
        </w:tc>
        <w:tc>
          <w:tcPr>
            <w:tcW w:w="1164" w:type="dxa"/>
            <w:noWrap w:val="0"/>
            <w:vAlign w:val="top"/>
          </w:tcPr>
          <w:p>
            <w:pPr>
              <w:rPr>
                <w:rFonts w:ascii="Arial"/>
                <w:sz w:val="21"/>
              </w:rPr>
            </w:pPr>
          </w:p>
        </w:tc>
        <w:tc>
          <w:tcPr>
            <w:tcW w:w="1368" w:type="dxa"/>
            <w:noWrap w:val="0"/>
            <w:vAlign w:val="top"/>
          </w:tcPr>
          <w:p>
            <w:pPr>
              <w:rPr>
                <w:rFonts w:ascii="Arial"/>
                <w:sz w:val="21"/>
              </w:rPr>
            </w:pPr>
          </w:p>
        </w:tc>
        <w:tc>
          <w:tcPr>
            <w:tcW w:w="1320" w:type="dxa"/>
            <w:noWrap w:val="0"/>
            <w:vAlign w:val="top"/>
          </w:tcPr>
          <w:p>
            <w:pPr>
              <w:rPr>
                <w:rFonts w:ascii="Arial"/>
                <w:sz w:val="21"/>
              </w:rPr>
            </w:pPr>
          </w:p>
        </w:tc>
        <w:tc>
          <w:tcPr>
            <w:tcW w:w="1392" w:type="dxa"/>
            <w:noWrap w:val="0"/>
            <w:vAlign w:val="top"/>
          </w:tcPr>
          <w:p>
            <w:pPr>
              <w:rPr>
                <w:rFonts w:ascii="Arial"/>
                <w:sz w:val="21"/>
              </w:rPr>
            </w:pPr>
          </w:p>
        </w:tc>
        <w:tc>
          <w:tcPr>
            <w:tcW w:w="1788" w:type="dxa"/>
            <w:noWrap w:val="0"/>
            <w:vAlign w:val="top"/>
          </w:tcPr>
          <w:p>
            <w:pPr>
              <w:rPr>
                <w:rFonts w:ascii="Arial"/>
                <w:sz w:val="21"/>
              </w:rPr>
            </w:pPr>
          </w:p>
        </w:tc>
        <w:tc>
          <w:tcPr>
            <w:tcW w:w="1788"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top"/>
          </w:tcPr>
          <w:p>
            <w:pPr>
              <w:pStyle w:val="37"/>
              <w:spacing w:before="139" w:line="332" w:lineRule="exact"/>
              <w:ind w:left="124"/>
              <w:rPr>
                <w:rFonts w:hint="eastAsia"/>
                <w:position w:val="2"/>
                <w:lang w:val="en-US" w:eastAsia="zh-CN"/>
              </w:rPr>
            </w:pPr>
            <w:r>
              <w:rPr>
                <w:rFonts w:hint="eastAsia"/>
                <w:position w:val="2"/>
                <w:lang w:val="en-US" w:eastAsia="zh-CN"/>
              </w:rPr>
              <w:t>……</w:t>
            </w:r>
          </w:p>
        </w:tc>
        <w:tc>
          <w:tcPr>
            <w:tcW w:w="1164" w:type="dxa"/>
            <w:noWrap w:val="0"/>
            <w:vAlign w:val="top"/>
          </w:tcPr>
          <w:p>
            <w:pPr>
              <w:rPr>
                <w:rFonts w:ascii="Arial"/>
                <w:sz w:val="21"/>
              </w:rPr>
            </w:pPr>
          </w:p>
        </w:tc>
        <w:tc>
          <w:tcPr>
            <w:tcW w:w="1368" w:type="dxa"/>
            <w:noWrap w:val="0"/>
            <w:vAlign w:val="top"/>
          </w:tcPr>
          <w:p>
            <w:pPr>
              <w:rPr>
                <w:rFonts w:ascii="Arial"/>
                <w:sz w:val="21"/>
              </w:rPr>
            </w:pPr>
          </w:p>
        </w:tc>
        <w:tc>
          <w:tcPr>
            <w:tcW w:w="1320" w:type="dxa"/>
            <w:noWrap w:val="0"/>
            <w:vAlign w:val="top"/>
          </w:tcPr>
          <w:p>
            <w:pPr>
              <w:rPr>
                <w:rFonts w:ascii="Arial"/>
                <w:sz w:val="21"/>
              </w:rPr>
            </w:pPr>
          </w:p>
        </w:tc>
        <w:tc>
          <w:tcPr>
            <w:tcW w:w="1392" w:type="dxa"/>
            <w:noWrap w:val="0"/>
            <w:vAlign w:val="top"/>
          </w:tcPr>
          <w:p>
            <w:pPr>
              <w:rPr>
                <w:rFonts w:ascii="Arial"/>
                <w:sz w:val="21"/>
              </w:rPr>
            </w:pPr>
          </w:p>
        </w:tc>
        <w:tc>
          <w:tcPr>
            <w:tcW w:w="1788" w:type="dxa"/>
            <w:noWrap w:val="0"/>
            <w:vAlign w:val="top"/>
          </w:tcPr>
          <w:p>
            <w:pPr>
              <w:rPr>
                <w:rFonts w:ascii="Arial"/>
                <w:sz w:val="21"/>
              </w:rPr>
            </w:pPr>
          </w:p>
        </w:tc>
        <w:tc>
          <w:tcPr>
            <w:tcW w:w="1788"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612" w:type="dxa"/>
            <w:gridSpan w:val="7"/>
            <w:noWrap w:val="0"/>
            <w:vAlign w:val="top"/>
          </w:tcPr>
          <w:p>
            <w:pPr>
              <w:tabs>
                <w:tab w:val="left" w:pos="3735"/>
              </w:tabs>
              <w:bidi w:val="0"/>
              <w:jc w:val="center"/>
              <w:rPr>
                <w:rFonts w:ascii="Arial"/>
                <w:sz w:val="21"/>
              </w:rPr>
            </w:pPr>
            <w:r>
              <w:rPr>
                <w:rFonts w:hint="eastAsia" w:ascii="Arial"/>
                <w:sz w:val="21"/>
              </w:rPr>
              <w:t>设计业绩（如为联合体投标，指设计方）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center"/>
          </w:tcPr>
          <w:p>
            <w:pPr>
              <w:bidi w:val="0"/>
              <w:jc w:val="center"/>
              <w:rPr>
                <w:rFonts w:hint="eastAsia" w:ascii="Times New Roman" w:hAnsi="Times New Roman" w:eastAsia="宋体" w:cs="Times New Roman"/>
                <w:kern w:val="2"/>
                <w:sz w:val="21"/>
                <w:szCs w:val="24"/>
                <w:lang w:val="en-US" w:eastAsia="zh-CN" w:bidi="ar-SA"/>
              </w:rPr>
            </w:pPr>
            <w:r>
              <w:t>序号</w:t>
            </w:r>
          </w:p>
        </w:tc>
        <w:tc>
          <w:tcPr>
            <w:tcW w:w="1164" w:type="dxa"/>
            <w:noWrap w:val="0"/>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lang w:val="en-US" w:eastAsia="zh-CN"/>
              </w:rPr>
              <w:t>甲方单位</w:t>
            </w:r>
          </w:p>
        </w:tc>
        <w:tc>
          <w:tcPr>
            <w:tcW w:w="1368" w:type="dxa"/>
            <w:noWrap w:val="0"/>
            <w:vAlign w:val="center"/>
          </w:tcPr>
          <w:p>
            <w:pPr>
              <w:bidi w:val="0"/>
              <w:jc w:val="center"/>
              <w:rPr>
                <w:rFonts w:ascii="Times New Roman" w:hAnsi="Times New Roman" w:eastAsia="宋体" w:cs="Times New Roman"/>
                <w:kern w:val="2"/>
                <w:sz w:val="21"/>
                <w:szCs w:val="24"/>
                <w:lang w:val="en-US" w:eastAsia="zh-CN" w:bidi="ar-SA"/>
              </w:rPr>
            </w:pPr>
            <w:r>
              <w:t>项目名称</w:t>
            </w:r>
          </w:p>
        </w:tc>
        <w:tc>
          <w:tcPr>
            <w:tcW w:w="1320" w:type="dxa"/>
            <w:noWrap w:val="0"/>
            <w:vAlign w:val="center"/>
          </w:tcPr>
          <w:p>
            <w:pPr>
              <w:bidi w:val="0"/>
              <w:jc w:val="center"/>
              <w:rPr>
                <w:rFonts w:ascii="Times New Roman" w:hAnsi="Times New Roman" w:eastAsia="宋体" w:cs="Times New Roman"/>
                <w:kern w:val="2"/>
                <w:sz w:val="21"/>
                <w:szCs w:val="24"/>
                <w:lang w:val="en-US" w:eastAsia="zh-CN" w:bidi="ar-SA"/>
              </w:rPr>
            </w:pPr>
            <w:r>
              <w:t>合同</w:t>
            </w:r>
            <w:r>
              <w:rPr>
                <w:rFonts w:hint="eastAsia"/>
                <w:lang w:val="en-US" w:eastAsia="zh-CN"/>
              </w:rPr>
              <w:t>总</w:t>
            </w:r>
            <w:r>
              <w:t>金额</w:t>
            </w:r>
          </w:p>
        </w:tc>
        <w:tc>
          <w:tcPr>
            <w:tcW w:w="1392" w:type="dxa"/>
            <w:noWrap w:val="0"/>
            <w:vAlign w:val="center"/>
          </w:tcPr>
          <w:p>
            <w:pPr>
              <w:bidi w:val="0"/>
              <w:jc w:val="center"/>
              <w:rPr>
                <w:rFonts w:ascii="Times New Roman" w:hAnsi="Times New Roman" w:eastAsia="宋体" w:cs="Times New Roman"/>
                <w:kern w:val="2"/>
                <w:sz w:val="21"/>
                <w:szCs w:val="24"/>
                <w:lang w:val="en-US" w:eastAsia="zh-CN" w:bidi="ar-SA"/>
              </w:rPr>
            </w:pPr>
            <w:r>
              <w:t>合同签订时间</w:t>
            </w:r>
          </w:p>
        </w:tc>
        <w:tc>
          <w:tcPr>
            <w:tcW w:w="1788" w:type="dxa"/>
            <w:noWrap w:val="0"/>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lang w:val="en-US" w:eastAsia="zh-CN"/>
              </w:rPr>
              <w:t>施工图审查通过时间</w:t>
            </w:r>
          </w:p>
        </w:tc>
        <w:tc>
          <w:tcPr>
            <w:tcW w:w="1788" w:type="dxa"/>
            <w:noWrap w:val="0"/>
            <w:vAlign w:val="center"/>
          </w:tcPr>
          <w:p>
            <w:pPr>
              <w:bidi w:val="0"/>
              <w:jc w:val="center"/>
              <w:rPr>
                <w:rFonts w:ascii="Times New Roman" w:hAnsi="Times New Roman" w:eastAsia="宋体" w:cs="Times New Roman"/>
                <w:kern w:val="2"/>
                <w:sz w:val="21"/>
                <w:szCs w:val="24"/>
                <w:lang w:val="en-US" w:eastAsia="zh-CN" w:bidi="ar-SA"/>
              </w:rPr>
            </w:pPr>
            <w: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top"/>
          </w:tcPr>
          <w:p>
            <w:pPr>
              <w:pStyle w:val="37"/>
              <w:spacing w:before="168" w:line="182" w:lineRule="auto"/>
              <w:ind w:left="126" w:leftChars="0"/>
              <w:rPr>
                <w:rFonts w:hint="eastAsia" w:ascii="宋体" w:hAnsi="宋体" w:eastAsia="宋体" w:cs="宋体"/>
                <w:kern w:val="2"/>
                <w:sz w:val="21"/>
                <w:szCs w:val="21"/>
                <w:lang w:val="en-US" w:eastAsia="zh-CN" w:bidi="ar-SA"/>
              </w:rPr>
            </w:pPr>
            <w:r>
              <w:t>1</w:t>
            </w:r>
          </w:p>
        </w:tc>
        <w:tc>
          <w:tcPr>
            <w:tcW w:w="1164" w:type="dxa"/>
            <w:noWrap w:val="0"/>
            <w:vAlign w:val="top"/>
          </w:tcPr>
          <w:p>
            <w:pPr>
              <w:rPr>
                <w:rFonts w:ascii="Arial" w:hAnsi="Times New Roman" w:eastAsia="宋体" w:cs="Times New Roman"/>
                <w:kern w:val="2"/>
                <w:sz w:val="21"/>
                <w:szCs w:val="24"/>
                <w:lang w:val="en-US" w:eastAsia="zh-CN" w:bidi="ar-SA"/>
              </w:rPr>
            </w:pPr>
          </w:p>
        </w:tc>
        <w:tc>
          <w:tcPr>
            <w:tcW w:w="1368" w:type="dxa"/>
            <w:noWrap w:val="0"/>
            <w:vAlign w:val="top"/>
          </w:tcPr>
          <w:p>
            <w:pPr>
              <w:rPr>
                <w:rFonts w:ascii="Arial" w:hAnsi="Times New Roman" w:eastAsia="宋体" w:cs="Times New Roman"/>
                <w:kern w:val="2"/>
                <w:sz w:val="21"/>
                <w:szCs w:val="24"/>
                <w:lang w:val="en-US" w:eastAsia="zh-CN" w:bidi="ar-SA"/>
              </w:rPr>
            </w:pPr>
          </w:p>
        </w:tc>
        <w:tc>
          <w:tcPr>
            <w:tcW w:w="1320" w:type="dxa"/>
            <w:noWrap w:val="0"/>
            <w:vAlign w:val="top"/>
          </w:tcPr>
          <w:p>
            <w:pPr>
              <w:rPr>
                <w:rFonts w:ascii="Arial" w:hAnsi="Times New Roman" w:eastAsia="宋体" w:cs="Times New Roman"/>
                <w:kern w:val="2"/>
                <w:sz w:val="21"/>
                <w:szCs w:val="24"/>
                <w:lang w:val="en-US" w:eastAsia="zh-CN" w:bidi="ar-SA"/>
              </w:rPr>
            </w:pPr>
          </w:p>
        </w:tc>
        <w:tc>
          <w:tcPr>
            <w:tcW w:w="1392"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top"/>
          </w:tcPr>
          <w:p>
            <w:pPr>
              <w:pStyle w:val="37"/>
              <w:spacing w:before="171" w:line="181" w:lineRule="auto"/>
              <w:ind w:left="113" w:leftChars="0"/>
              <w:rPr>
                <w:rFonts w:hint="eastAsia" w:ascii="宋体" w:hAnsi="宋体" w:eastAsia="宋体" w:cs="宋体"/>
                <w:kern w:val="2"/>
                <w:sz w:val="21"/>
                <w:szCs w:val="21"/>
                <w:lang w:val="en-US" w:eastAsia="zh-CN" w:bidi="ar-SA"/>
              </w:rPr>
            </w:pPr>
            <w:r>
              <w:t>2</w:t>
            </w:r>
          </w:p>
        </w:tc>
        <w:tc>
          <w:tcPr>
            <w:tcW w:w="1164" w:type="dxa"/>
            <w:noWrap w:val="0"/>
            <w:vAlign w:val="top"/>
          </w:tcPr>
          <w:p>
            <w:pPr>
              <w:rPr>
                <w:rFonts w:ascii="Arial" w:hAnsi="Times New Roman" w:eastAsia="宋体" w:cs="Times New Roman"/>
                <w:kern w:val="2"/>
                <w:sz w:val="21"/>
                <w:szCs w:val="24"/>
                <w:lang w:val="en-US" w:eastAsia="zh-CN" w:bidi="ar-SA"/>
              </w:rPr>
            </w:pPr>
          </w:p>
        </w:tc>
        <w:tc>
          <w:tcPr>
            <w:tcW w:w="1368" w:type="dxa"/>
            <w:noWrap w:val="0"/>
            <w:vAlign w:val="top"/>
          </w:tcPr>
          <w:p>
            <w:pPr>
              <w:rPr>
                <w:rFonts w:ascii="Arial" w:hAnsi="Times New Roman" w:eastAsia="宋体" w:cs="Times New Roman"/>
                <w:kern w:val="2"/>
                <w:sz w:val="21"/>
                <w:szCs w:val="24"/>
                <w:lang w:val="en-US" w:eastAsia="zh-CN" w:bidi="ar-SA"/>
              </w:rPr>
            </w:pPr>
          </w:p>
        </w:tc>
        <w:tc>
          <w:tcPr>
            <w:tcW w:w="1320" w:type="dxa"/>
            <w:noWrap w:val="0"/>
            <w:vAlign w:val="top"/>
          </w:tcPr>
          <w:p>
            <w:pPr>
              <w:rPr>
                <w:rFonts w:ascii="Arial" w:hAnsi="Times New Roman" w:eastAsia="宋体" w:cs="Times New Roman"/>
                <w:kern w:val="2"/>
                <w:sz w:val="21"/>
                <w:szCs w:val="24"/>
                <w:lang w:val="en-US" w:eastAsia="zh-CN" w:bidi="ar-SA"/>
              </w:rPr>
            </w:pPr>
          </w:p>
        </w:tc>
        <w:tc>
          <w:tcPr>
            <w:tcW w:w="1392"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792" w:type="dxa"/>
            <w:noWrap w:val="0"/>
            <w:vAlign w:val="top"/>
          </w:tcPr>
          <w:p>
            <w:pPr>
              <w:pStyle w:val="37"/>
              <w:spacing w:before="173" w:line="181" w:lineRule="auto"/>
              <w:ind w:left="115" w:leftChars="0"/>
              <w:rPr>
                <w:rFonts w:hint="eastAsia" w:ascii="宋体" w:hAnsi="宋体" w:eastAsia="宋体" w:cs="宋体"/>
                <w:kern w:val="2"/>
                <w:sz w:val="21"/>
                <w:szCs w:val="21"/>
                <w:lang w:val="en-US" w:eastAsia="zh-CN" w:bidi="ar-SA"/>
              </w:rPr>
            </w:pPr>
            <w:r>
              <w:t>3</w:t>
            </w:r>
          </w:p>
        </w:tc>
        <w:tc>
          <w:tcPr>
            <w:tcW w:w="1164" w:type="dxa"/>
            <w:noWrap w:val="0"/>
            <w:vAlign w:val="top"/>
          </w:tcPr>
          <w:p>
            <w:pPr>
              <w:rPr>
                <w:rFonts w:ascii="Arial" w:hAnsi="Times New Roman" w:eastAsia="宋体" w:cs="Times New Roman"/>
                <w:kern w:val="2"/>
                <w:sz w:val="21"/>
                <w:szCs w:val="24"/>
                <w:lang w:val="en-US" w:eastAsia="zh-CN" w:bidi="ar-SA"/>
              </w:rPr>
            </w:pPr>
          </w:p>
        </w:tc>
        <w:tc>
          <w:tcPr>
            <w:tcW w:w="1368" w:type="dxa"/>
            <w:noWrap w:val="0"/>
            <w:vAlign w:val="top"/>
          </w:tcPr>
          <w:p>
            <w:pPr>
              <w:rPr>
                <w:rFonts w:ascii="Arial" w:hAnsi="Times New Roman" w:eastAsia="宋体" w:cs="Times New Roman"/>
                <w:kern w:val="2"/>
                <w:sz w:val="21"/>
                <w:szCs w:val="24"/>
                <w:lang w:val="en-US" w:eastAsia="zh-CN" w:bidi="ar-SA"/>
              </w:rPr>
            </w:pPr>
          </w:p>
        </w:tc>
        <w:tc>
          <w:tcPr>
            <w:tcW w:w="1320" w:type="dxa"/>
            <w:noWrap w:val="0"/>
            <w:vAlign w:val="top"/>
          </w:tcPr>
          <w:p>
            <w:pPr>
              <w:rPr>
                <w:rFonts w:ascii="Arial" w:hAnsi="Times New Roman" w:eastAsia="宋体" w:cs="Times New Roman"/>
                <w:kern w:val="2"/>
                <w:sz w:val="21"/>
                <w:szCs w:val="24"/>
                <w:lang w:val="en-US" w:eastAsia="zh-CN" w:bidi="ar-SA"/>
              </w:rPr>
            </w:pPr>
          </w:p>
        </w:tc>
        <w:tc>
          <w:tcPr>
            <w:tcW w:w="1392"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jc w:val="center"/>
        </w:trPr>
        <w:tc>
          <w:tcPr>
            <w:tcW w:w="792" w:type="dxa"/>
            <w:noWrap w:val="0"/>
            <w:vAlign w:val="top"/>
          </w:tcPr>
          <w:p>
            <w:pPr>
              <w:pStyle w:val="37"/>
              <w:spacing w:before="139" w:line="332" w:lineRule="exact"/>
              <w:ind w:left="124" w:leftChars="0"/>
              <w:rPr>
                <w:rFonts w:hint="eastAsia" w:ascii="宋体" w:hAnsi="宋体" w:eastAsia="宋体" w:cs="宋体"/>
                <w:kern w:val="2"/>
                <w:sz w:val="21"/>
                <w:szCs w:val="21"/>
                <w:lang w:val="en-US" w:eastAsia="zh-CN" w:bidi="ar-SA"/>
              </w:rPr>
            </w:pPr>
            <w:r>
              <w:rPr>
                <w:rFonts w:hint="eastAsia"/>
                <w:position w:val="2"/>
                <w:lang w:val="en-US" w:eastAsia="zh-CN"/>
              </w:rPr>
              <w:t>4</w:t>
            </w:r>
          </w:p>
        </w:tc>
        <w:tc>
          <w:tcPr>
            <w:tcW w:w="1164" w:type="dxa"/>
            <w:noWrap w:val="0"/>
            <w:vAlign w:val="top"/>
          </w:tcPr>
          <w:p>
            <w:pPr>
              <w:rPr>
                <w:rFonts w:ascii="Arial" w:hAnsi="Times New Roman" w:eastAsia="宋体" w:cs="Times New Roman"/>
                <w:kern w:val="2"/>
                <w:sz w:val="21"/>
                <w:szCs w:val="24"/>
                <w:lang w:val="en-US" w:eastAsia="zh-CN" w:bidi="ar-SA"/>
              </w:rPr>
            </w:pPr>
          </w:p>
        </w:tc>
        <w:tc>
          <w:tcPr>
            <w:tcW w:w="1368" w:type="dxa"/>
            <w:noWrap w:val="0"/>
            <w:vAlign w:val="top"/>
          </w:tcPr>
          <w:p>
            <w:pPr>
              <w:rPr>
                <w:rFonts w:ascii="Arial" w:hAnsi="Times New Roman" w:eastAsia="宋体" w:cs="Times New Roman"/>
                <w:kern w:val="2"/>
                <w:sz w:val="21"/>
                <w:szCs w:val="24"/>
                <w:lang w:val="en-US" w:eastAsia="zh-CN" w:bidi="ar-SA"/>
              </w:rPr>
            </w:pPr>
          </w:p>
        </w:tc>
        <w:tc>
          <w:tcPr>
            <w:tcW w:w="1320" w:type="dxa"/>
            <w:noWrap w:val="0"/>
            <w:vAlign w:val="top"/>
          </w:tcPr>
          <w:p>
            <w:pPr>
              <w:rPr>
                <w:rFonts w:ascii="Arial" w:hAnsi="Times New Roman" w:eastAsia="宋体" w:cs="Times New Roman"/>
                <w:kern w:val="2"/>
                <w:sz w:val="21"/>
                <w:szCs w:val="24"/>
                <w:lang w:val="en-US" w:eastAsia="zh-CN" w:bidi="ar-SA"/>
              </w:rPr>
            </w:pPr>
          </w:p>
        </w:tc>
        <w:tc>
          <w:tcPr>
            <w:tcW w:w="1392"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c>
          <w:tcPr>
            <w:tcW w:w="1788" w:type="dxa"/>
            <w:noWrap w:val="0"/>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39" w:line="332" w:lineRule="exact"/>
              <w:ind w:left="124" w:leftChars="0"/>
              <w:rPr>
                <w:rFonts w:hint="eastAsia" w:ascii="宋体" w:hAnsi="宋体" w:eastAsia="宋体" w:cs="宋体"/>
                <w:kern w:val="2"/>
                <w:position w:val="2"/>
                <w:sz w:val="21"/>
                <w:szCs w:val="21"/>
                <w:lang w:val="en-US" w:eastAsia="zh-CN" w:bidi="ar-SA"/>
              </w:rPr>
            </w:pPr>
            <w:r>
              <w:rPr>
                <w:rFonts w:hint="eastAsia"/>
                <w:position w:val="2"/>
                <w:lang w:val="en-US" w:eastAsia="zh-CN"/>
              </w:rPr>
              <w:t>……</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612" w:type="dxa"/>
            <w:gridSpan w:val="7"/>
            <w:vAlign w:val="top"/>
          </w:tcPr>
          <w:p>
            <w:pPr>
              <w:tabs>
                <w:tab w:val="left" w:pos="3735"/>
              </w:tabs>
              <w:bidi w:val="0"/>
              <w:jc w:val="center"/>
              <w:rPr>
                <w:rFonts w:ascii="Arial" w:hAnsi="Times New Roman" w:eastAsia="宋体" w:cs="Times New Roman"/>
                <w:kern w:val="2"/>
                <w:sz w:val="21"/>
                <w:szCs w:val="24"/>
                <w:lang w:val="en-US" w:eastAsia="zh-CN" w:bidi="ar-SA"/>
              </w:rPr>
            </w:pPr>
            <w:r>
              <w:rPr>
                <w:rFonts w:hint="eastAsia" w:ascii="Arial" w:hAnsi="Times New Roman" w:eastAsia="宋体" w:cs="Times New Roman"/>
                <w:kern w:val="2"/>
                <w:sz w:val="21"/>
                <w:szCs w:val="24"/>
                <w:lang w:val="en-US" w:eastAsia="zh-CN" w:bidi="ar-SA"/>
              </w:rPr>
              <w:t>投标人设计施工一体化业绩（如为联合体投标，指主办方）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center"/>
          </w:tcPr>
          <w:p>
            <w:pPr>
              <w:bidi w:val="0"/>
              <w:jc w:val="center"/>
              <w:rPr>
                <w:rFonts w:hint="eastAsia" w:ascii="Times New Roman" w:hAnsi="Times New Roman" w:eastAsia="宋体" w:cs="Times New Roman"/>
                <w:kern w:val="2"/>
                <w:sz w:val="21"/>
                <w:szCs w:val="24"/>
                <w:lang w:val="en-US" w:eastAsia="zh-CN" w:bidi="ar-SA"/>
              </w:rPr>
            </w:pPr>
            <w:r>
              <w:t>序号</w:t>
            </w:r>
          </w:p>
        </w:tc>
        <w:tc>
          <w:tcPr>
            <w:tcW w:w="0" w:type="auto"/>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lang w:val="en-US" w:eastAsia="zh-CN"/>
              </w:rPr>
              <w:t>甲方单位</w:t>
            </w:r>
          </w:p>
        </w:tc>
        <w:tc>
          <w:tcPr>
            <w:tcW w:w="0" w:type="auto"/>
            <w:vAlign w:val="center"/>
          </w:tcPr>
          <w:p>
            <w:pPr>
              <w:bidi w:val="0"/>
              <w:jc w:val="center"/>
              <w:rPr>
                <w:rFonts w:ascii="Times New Roman" w:hAnsi="Times New Roman" w:eastAsia="宋体" w:cs="Times New Roman"/>
                <w:kern w:val="2"/>
                <w:sz w:val="21"/>
                <w:szCs w:val="24"/>
                <w:lang w:val="en-US" w:eastAsia="zh-CN" w:bidi="ar-SA"/>
              </w:rPr>
            </w:pPr>
            <w:r>
              <w:t>项目名称</w:t>
            </w:r>
          </w:p>
        </w:tc>
        <w:tc>
          <w:tcPr>
            <w:tcW w:w="0" w:type="auto"/>
            <w:vAlign w:val="center"/>
          </w:tcPr>
          <w:p>
            <w:pPr>
              <w:bidi w:val="0"/>
              <w:jc w:val="center"/>
              <w:rPr>
                <w:rFonts w:ascii="Times New Roman" w:hAnsi="Times New Roman" w:eastAsia="宋体" w:cs="Times New Roman"/>
                <w:kern w:val="2"/>
                <w:sz w:val="21"/>
                <w:szCs w:val="24"/>
                <w:lang w:val="en-US" w:eastAsia="zh-CN" w:bidi="ar-SA"/>
              </w:rPr>
            </w:pPr>
            <w:r>
              <w:t>合同</w:t>
            </w:r>
            <w:r>
              <w:rPr>
                <w:rFonts w:hint="eastAsia"/>
                <w:lang w:val="en-US" w:eastAsia="zh-CN"/>
              </w:rPr>
              <w:t>总</w:t>
            </w:r>
            <w:r>
              <w:t>金额</w:t>
            </w:r>
          </w:p>
        </w:tc>
        <w:tc>
          <w:tcPr>
            <w:tcW w:w="0" w:type="auto"/>
            <w:vAlign w:val="center"/>
          </w:tcPr>
          <w:p>
            <w:pPr>
              <w:bidi w:val="0"/>
              <w:jc w:val="center"/>
              <w:rPr>
                <w:rFonts w:ascii="Times New Roman" w:hAnsi="Times New Roman" w:eastAsia="宋体" w:cs="Times New Roman"/>
                <w:kern w:val="2"/>
                <w:sz w:val="21"/>
                <w:szCs w:val="24"/>
                <w:lang w:val="en-US" w:eastAsia="zh-CN" w:bidi="ar-SA"/>
              </w:rPr>
            </w:pPr>
            <w:r>
              <w:t>合同签订时间</w:t>
            </w:r>
          </w:p>
        </w:tc>
        <w:tc>
          <w:tcPr>
            <w:tcW w:w="0" w:type="auto"/>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lang w:val="en-US" w:eastAsia="zh-CN"/>
              </w:rPr>
              <w:t>竣工时间</w:t>
            </w:r>
          </w:p>
        </w:tc>
        <w:tc>
          <w:tcPr>
            <w:tcW w:w="0" w:type="auto"/>
            <w:vAlign w:val="center"/>
          </w:tcPr>
          <w:p>
            <w:pPr>
              <w:bidi w:val="0"/>
              <w:jc w:val="center"/>
              <w:rPr>
                <w:rFonts w:ascii="Times New Roman" w:hAnsi="Times New Roman" w:eastAsia="宋体" w:cs="Times New Roman"/>
                <w:kern w:val="2"/>
                <w:sz w:val="21"/>
                <w:szCs w:val="24"/>
                <w:lang w:val="en-US" w:eastAsia="zh-CN" w:bidi="ar-SA"/>
              </w:rPr>
            </w:pPr>
            <w: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68" w:line="182" w:lineRule="auto"/>
              <w:ind w:left="126" w:leftChars="0"/>
              <w:rPr>
                <w:rFonts w:hint="eastAsia" w:ascii="宋体" w:hAnsi="宋体" w:eastAsia="宋体" w:cs="宋体"/>
                <w:kern w:val="2"/>
                <w:sz w:val="21"/>
                <w:szCs w:val="21"/>
                <w:lang w:val="en-US" w:eastAsia="zh-CN" w:bidi="ar-SA"/>
              </w:rPr>
            </w:pPr>
            <w:r>
              <w:t>1</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71" w:line="181" w:lineRule="auto"/>
              <w:ind w:left="113" w:leftChars="0"/>
              <w:rPr>
                <w:rFonts w:hint="eastAsia" w:ascii="宋体" w:hAnsi="宋体" w:eastAsia="宋体" w:cs="宋体"/>
                <w:kern w:val="2"/>
                <w:sz w:val="21"/>
                <w:szCs w:val="21"/>
                <w:lang w:val="en-US" w:eastAsia="zh-CN" w:bidi="ar-SA"/>
              </w:rPr>
            </w:pPr>
            <w:r>
              <w:t>2</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73" w:line="181" w:lineRule="auto"/>
              <w:ind w:left="115" w:leftChars="0"/>
              <w:rPr>
                <w:rFonts w:hint="eastAsia" w:ascii="宋体" w:hAnsi="宋体" w:eastAsia="宋体" w:cs="宋体"/>
                <w:kern w:val="2"/>
                <w:sz w:val="21"/>
                <w:szCs w:val="21"/>
                <w:lang w:val="en-US" w:eastAsia="zh-CN" w:bidi="ar-SA"/>
              </w:rPr>
            </w:pPr>
            <w:r>
              <w:t>3</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39" w:line="332" w:lineRule="exact"/>
              <w:ind w:left="124" w:leftChars="0"/>
              <w:rPr>
                <w:rFonts w:hint="eastAsia" w:ascii="宋体" w:hAnsi="宋体" w:eastAsia="宋体" w:cs="宋体"/>
                <w:kern w:val="2"/>
                <w:sz w:val="21"/>
                <w:szCs w:val="21"/>
                <w:lang w:val="en-US" w:eastAsia="zh-CN" w:bidi="ar-SA"/>
              </w:rPr>
            </w:pPr>
            <w:r>
              <w:rPr>
                <w:rFonts w:hint="eastAsia"/>
                <w:position w:val="2"/>
                <w:lang w:val="en-US" w:eastAsia="zh-CN"/>
              </w:rPr>
              <w:t>4</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0" w:type="auto"/>
            <w:vAlign w:val="top"/>
          </w:tcPr>
          <w:p>
            <w:pPr>
              <w:pStyle w:val="37"/>
              <w:spacing w:before="139" w:line="332" w:lineRule="exact"/>
              <w:ind w:left="124" w:leftChars="0"/>
              <w:rPr>
                <w:rFonts w:hint="eastAsia" w:ascii="宋体" w:hAnsi="宋体" w:eastAsia="宋体" w:cs="宋体"/>
                <w:kern w:val="2"/>
                <w:position w:val="2"/>
                <w:sz w:val="21"/>
                <w:szCs w:val="21"/>
                <w:lang w:val="en-US" w:eastAsia="zh-CN" w:bidi="ar-SA"/>
              </w:rPr>
            </w:pPr>
            <w:r>
              <w:rPr>
                <w:rFonts w:hint="eastAsia"/>
                <w:position w:val="2"/>
                <w:lang w:val="en-US" w:eastAsia="zh-CN"/>
              </w:rPr>
              <w:t>……</w:t>
            </w: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c>
          <w:tcPr>
            <w:tcW w:w="0" w:type="auto"/>
            <w:vAlign w:val="top"/>
          </w:tcPr>
          <w:p>
            <w:pPr>
              <w:rPr>
                <w:rFonts w:ascii="Arial" w:hAnsi="Times New Roman" w:eastAsia="宋体" w:cs="Times New Roman"/>
                <w:kern w:val="2"/>
                <w:sz w:val="21"/>
                <w:szCs w:val="24"/>
                <w:lang w:val="en-US" w:eastAsia="zh-CN" w:bidi="ar-SA"/>
              </w:rPr>
            </w:pPr>
          </w:p>
        </w:tc>
      </w:tr>
    </w:tbl>
    <w:p>
      <w:pPr>
        <w:spacing w:before="273" w:line="220" w:lineRule="auto"/>
        <w:rPr>
          <w:rFonts w:ascii="宋体" w:hAnsi="宋体" w:eastAsia="宋体" w:cs="宋体"/>
          <w:sz w:val="21"/>
          <w:szCs w:val="21"/>
        </w:rPr>
      </w:pPr>
      <w:r>
        <w:rPr>
          <w:rFonts w:ascii="宋体" w:hAnsi="宋体" w:eastAsia="宋体" w:cs="宋体"/>
          <w:sz w:val="21"/>
          <w:szCs w:val="21"/>
        </w:rPr>
        <w:t>注：根据评审表的要求提交相应资料。</w:t>
      </w:r>
    </w:p>
    <w:p>
      <w:pPr>
        <w:pStyle w:val="4"/>
        <w:rPr>
          <w:rFonts w:hint="eastAsia"/>
          <w:lang w:val="en-US" w:eastAsia="zh-CN"/>
        </w:rPr>
      </w:pPr>
    </w:p>
    <w:p>
      <w:p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br w:type="page"/>
      </w:r>
    </w:p>
    <w:p>
      <w:pPr>
        <w:pStyle w:val="4"/>
        <w:numPr>
          <w:ilvl w:val="0"/>
          <w:numId w:val="0"/>
        </w:numPr>
        <w:ind w:leftChars="0"/>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2、企业管理体系认证</w:t>
      </w:r>
    </w:p>
    <w:p>
      <w:pPr>
        <w:pStyle w:val="4"/>
        <w:numPr>
          <w:ilvl w:val="0"/>
          <w:numId w:val="0"/>
        </w:numPr>
        <w:ind w:leftChars="0"/>
        <w:rPr>
          <w:rFonts w:hint="eastAsia" w:cs="Times New Roman"/>
          <w:color w:val="auto"/>
          <w:kern w:val="2"/>
          <w:sz w:val="21"/>
          <w:szCs w:val="24"/>
          <w:highlight w:val="none"/>
          <w:lang w:val="en-US" w:eastAsia="zh-CN" w:bidi="ar-SA"/>
        </w:rPr>
      </w:pPr>
    </w:p>
    <w:p>
      <w:pPr>
        <w:snapToGrid w:val="0"/>
        <w:spacing w:line="340" w:lineRule="exact"/>
        <w:rPr>
          <w:rFonts w:hint="eastAsia"/>
          <w:color w:val="auto"/>
          <w:highlight w:val="none"/>
          <w:lang w:val="en-US" w:eastAsia="zh-CN"/>
        </w:rPr>
      </w:pPr>
      <w:r>
        <w:rPr>
          <w:rFonts w:hint="eastAsia"/>
          <w:color w:val="auto"/>
          <w:highlight w:val="none"/>
          <w:lang w:val="en-US" w:eastAsia="zh-CN"/>
        </w:rPr>
        <w:t>3、财务指标</w:t>
      </w:r>
    </w:p>
    <w:p>
      <w:pPr>
        <w:jc w:val="center"/>
        <w:rPr>
          <w:rFonts w:hint="eastAsia" w:ascii="宋体" w:hAnsi="宋体" w:eastAsia="宋体" w:cs="宋体"/>
          <w:sz w:val="44"/>
          <w:szCs w:val="44"/>
          <w:lang w:val="en-US" w:eastAsia="zh-CN"/>
        </w:rPr>
      </w:pPr>
      <w:r>
        <w:rPr>
          <w:rFonts w:hint="eastAsia" w:ascii="宋体" w:hAnsi="宋体" w:eastAsia="宋体" w:cs="宋体"/>
          <w:sz w:val="36"/>
          <w:szCs w:val="36"/>
          <w:lang w:val="en-US" w:eastAsia="zh-CN"/>
        </w:rPr>
        <w:t>财务数据表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pPr>
              <w:pStyle w:val="9"/>
              <w:jc w:val="center"/>
              <w:rPr>
                <w:rFonts w:hint="eastAsia"/>
                <w:sz w:val="24"/>
                <w:szCs w:val="24"/>
                <w:vertAlign w:val="baseline"/>
                <w:lang w:val="en-US" w:eastAsia="zh-CN"/>
              </w:rPr>
            </w:pPr>
            <w:r>
              <w:rPr>
                <w:rFonts w:hint="eastAsia"/>
                <w:sz w:val="24"/>
                <w:szCs w:val="24"/>
                <w:vertAlign w:val="baseline"/>
                <w:lang w:val="en-US" w:eastAsia="zh-CN"/>
              </w:rPr>
              <w:t>年度</w:t>
            </w:r>
          </w:p>
        </w:tc>
        <w:tc>
          <w:tcPr>
            <w:tcW w:w="1704"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2020年</w:t>
            </w:r>
          </w:p>
        </w:tc>
        <w:tc>
          <w:tcPr>
            <w:tcW w:w="1704"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2021年</w:t>
            </w:r>
          </w:p>
        </w:tc>
        <w:tc>
          <w:tcPr>
            <w:tcW w:w="1705"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2022年</w:t>
            </w:r>
          </w:p>
        </w:tc>
        <w:tc>
          <w:tcPr>
            <w:tcW w:w="1705" w:type="dxa"/>
            <w:noWrap w:val="0"/>
            <w:vAlign w:val="top"/>
          </w:tcPr>
          <w:p>
            <w:pPr>
              <w:pStyle w:val="9"/>
              <w:jc w:val="center"/>
              <w:rPr>
                <w:rFonts w:hint="eastAsia"/>
                <w:sz w:val="24"/>
                <w:szCs w:val="24"/>
                <w:vertAlign w:val="baseline"/>
                <w:lang w:val="en-US" w:eastAsia="zh-CN"/>
              </w:rPr>
            </w:pPr>
            <w:r>
              <w:rPr>
                <w:rFonts w:hint="eastAsia"/>
                <w:sz w:val="24"/>
                <w:szCs w:val="24"/>
                <w:vertAlign w:val="baseline"/>
                <w:lang w:val="en-US" w:eastAsia="zh-CN"/>
              </w:rPr>
              <w:t>三年平均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负债总额（元）</w:t>
            </w:r>
          </w:p>
        </w:tc>
        <w:tc>
          <w:tcPr>
            <w:tcW w:w="1704" w:type="dxa"/>
            <w:noWrap w:val="0"/>
            <w:vAlign w:val="top"/>
          </w:tcPr>
          <w:p>
            <w:pPr>
              <w:pStyle w:val="9"/>
              <w:jc w:val="center"/>
              <w:rPr>
                <w:rFonts w:hint="eastAsia"/>
                <w:sz w:val="24"/>
                <w:szCs w:val="24"/>
                <w:vertAlign w:val="baseline"/>
                <w:lang w:val="en-US" w:eastAsia="zh-CN"/>
              </w:rPr>
            </w:pPr>
          </w:p>
        </w:tc>
        <w:tc>
          <w:tcPr>
            <w:tcW w:w="1704" w:type="dxa"/>
            <w:noWrap w:val="0"/>
            <w:vAlign w:val="top"/>
          </w:tcPr>
          <w:p>
            <w:pPr>
              <w:pStyle w:val="9"/>
              <w:jc w:val="center"/>
              <w:rPr>
                <w:rFonts w:hint="eastAsia"/>
                <w:sz w:val="24"/>
                <w:szCs w:val="24"/>
                <w:vertAlign w:val="baseline"/>
                <w:lang w:val="en-US" w:eastAsia="zh-CN"/>
              </w:rPr>
            </w:pPr>
          </w:p>
        </w:tc>
        <w:tc>
          <w:tcPr>
            <w:tcW w:w="1705" w:type="dxa"/>
            <w:noWrap w:val="0"/>
            <w:vAlign w:val="top"/>
          </w:tcPr>
          <w:p>
            <w:pPr>
              <w:pStyle w:val="9"/>
              <w:jc w:val="center"/>
              <w:rPr>
                <w:rFonts w:hint="eastAsia"/>
                <w:sz w:val="24"/>
                <w:szCs w:val="24"/>
                <w:vertAlign w:val="baseline"/>
                <w:lang w:val="en-US" w:eastAsia="zh-CN"/>
              </w:rPr>
            </w:pPr>
          </w:p>
        </w:tc>
        <w:tc>
          <w:tcPr>
            <w:tcW w:w="1705"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4"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资产总额（元）</w:t>
            </w:r>
          </w:p>
        </w:tc>
        <w:tc>
          <w:tcPr>
            <w:tcW w:w="1704" w:type="dxa"/>
            <w:noWrap w:val="0"/>
            <w:vAlign w:val="top"/>
          </w:tcPr>
          <w:p>
            <w:pPr>
              <w:pStyle w:val="9"/>
              <w:jc w:val="center"/>
              <w:rPr>
                <w:rFonts w:hint="eastAsia"/>
                <w:sz w:val="24"/>
                <w:szCs w:val="24"/>
                <w:vertAlign w:val="baseline"/>
                <w:lang w:val="en-US" w:eastAsia="zh-CN"/>
              </w:rPr>
            </w:pPr>
          </w:p>
        </w:tc>
        <w:tc>
          <w:tcPr>
            <w:tcW w:w="1704" w:type="dxa"/>
            <w:noWrap w:val="0"/>
            <w:vAlign w:val="top"/>
          </w:tcPr>
          <w:p>
            <w:pPr>
              <w:pStyle w:val="9"/>
              <w:jc w:val="center"/>
              <w:rPr>
                <w:rFonts w:hint="eastAsia"/>
                <w:sz w:val="24"/>
                <w:szCs w:val="24"/>
                <w:vertAlign w:val="baseline"/>
                <w:lang w:val="en-US" w:eastAsia="zh-CN"/>
              </w:rPr>
            </w:pPr>
          </w:p>
        </w:tc>
        <w:tc>
          <w:tcPr>
            <w:tcW w:w="1705" w:type="dxa"/>
            <w:noWrap w:val="0"/>
            <w:vAlign w:val="top"/>
          </w:tcPr>
          <w:p>
            <w:pPr>
              <w:pStyle w:val="9"/>
              <w:jc w:val="center"/>
              <w:rPr>
                <w:rFonts w:hint="eastAsia"/>
                <w:sz w:val="24"/>
                <w:szCs w:val="24"/>
                <w:vertAlign w:val="baseline"/>
                <w:lang w:val="en-US" w:eastAsia="zh-CN"/>
              </w:rPr>
            </w:pPr>
          </w:p>
        </w:tc>
        <w:tc>
          <w:tcPr>
            <w:tcW w:w="1705" w:type="dxa"/>
            <w:noWrap w:val="0"/>
            <w:vAlign w:val="top"/>
          </w:tcPr>
          <w:p>
            <w:pPr>
              <w:pStyle w:val="9"/>
              <w:jc w:val="center"/>
              <w:rPr>
                <w:rFonts w:hint="default"/>
                <w:sz w:val="24"/>
                <w:szCs w:val="24"/>
                <w:vertAlign w:val="baseline"/>
                <w:lang w:val="en-US" w:eastAsia="zh-CN"/>
              </w:rPr>
            </w:pPr>
            <w:r>
              <w:rPr>
                <w:rFonts w:hint="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04" w:type="dxa"/>
            <w:noWrap w:val="0"/>
            <w:vAlign w:val="top"/>
          </w:tcPr>
          <w:p>
            <w:pPr>
              <w:pStyle w:val="9"/>
              <w:jc w:val="center"/>
              <w:rPr>
                <w:rFonts w:hint="eastAsia"/>
                <w:sz w:val="24"/>
                <w:szCs w:val="24"/>
                <w:vertAlign w:val="baseline"/>
                <w:lang w:val="en-US" w:eastAsia="zh-CN"/>
              </w:rPr>
            </w:pPr>
            <w:r>
              <w:rPr>
                <w:rFonts w:hint="eastAsia"/>
                <w:sz w:val="24"/>
                <w:szCs w:val="24"/>
                <w:vertAlign w:val="baseline"/>
                <w:lang w:val="en-US" w:eastAsia="zh-CN"/>
              </w:rPr>
              <w:t>资产负债率</w:t>
            </w:r>
          </w:p>
        </w:tc>
        <w:tc>
          <w:tcPr>
            <w:tcW w:w="1704" w:type="dxa"/>
            <w:noWrap w:val="0"/>
            <w:vAlign w:val="top"/>
          </w:tcPr>
          <w:p>
            <w:pPr>
              <w:pStyle w:val="9"/>
              <w:jc w:val="center"/>
              <w:rPr>
                <w:rFonts w:hint="default"/>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tc>
        <w:tc>
          <w:tcPr>
            <w:tcW w:w="1704" w:type="dxa"/>
            <w:noWrap w:val="0"/>
            <w:vAlign w:val="top"/>
          </w:tcPr>
          <w:p>
            <w:pPr>
              <w:pStyle w:val="9"/>
              <w:jc w:val="center"/>
              <w:rPr>
                <w:rFonts w:hint="eastAsia"/>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tc>
        <w:tc>
          <w:tcPr>
            <w:tcW w:w="1705" w:type="dxa"/>
            <w:noWrap w:val="0"/>
            <w:vAlign w:val="top"/>
          </w:tcPr>
          <w:p>
            <w:pPr>
              <w:pStyle w:val="9"/>
              <w:jc w:val="center"/>
              <w:rPr>
                <w:rFonts w:hint="eastAsia"/>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tc>
        <w:tc>
          <w:tcPr>
            <w:tcW w:w="1705" w:type="dxa"/>
            <w:noWrap w:val="0"/>
            <w:vAlign w:val="top"/>
          </w:tcPr>
          <w:p>
            <w:pPr>
              <w:pStyle w:val="9"/>
              <w:jc w:val="center"/>
              <w:rPr>
                <w:rFonts w:hint="eastAsia"/>
                <w:sz w:val="24"/>
                <w:szCs w:val="24"/>
                <w:vertAlign w:val="baseline"/>
                <w:lang w:val="en-US" w:eastAsia="zh-CN"/>
              </w:rPr>
            </w:pPr>
            <w:r>
              <w:rPr>
                <w:rFonts w:hint="eastAsia"/>
                <w:sz w:val="24"/>
                <w:szCs w:val="24"/>
                <w:u w:val="single"/>
                <w:vertAlign w:val="baseline"/>
                <w:lang w:val="en-US" w:eastAsia="zh-CN"/>
              </w:rPr>
              <w:t xml:space="preserve">   </w:t>
            </w:r>
            <w:r>
              <w:rPr>
                <w:rFonts w:hint="eastAsia"/>
                <w:sz w:val="24"/>
                <w:szCs w:val="24"/>
                <w:vertAlign w:val="baseline"/>
                <w:lang w:val="en-US" w:eastAsia="zh-CN"/>
              </w:rPr>
              <w:t>%</w:t>
            </w:r>
          </w:p>
        </w:tc>
      </w:tr>
    </w:tbl>
    <w:p>
      <w:pPr>
        <w:pStyle w:val="9"/>
        <w:rPr>
          <w:rFonts w:hint="eastAsia"/>
          <w:lang w:val="en-US" w:eastAsia="zh-CN"/>
        </w:rPr>
      </w:pPr>
    </w:p>
    <w:p>
      <w:pPr>
        <w:spacing w:line="360" w:lineRule="auto"/>
        <w:ind w:firstLine="3840" w:firstLineChars="1600"/>
        <w:rPr>
          <w:rFonts w:ascii="宋体" w:hAnsi="宋体"/>
          <w:sz w:val="24"/>
        </w:rPr>
      </w:pPr>
      <w:r>
        <w:rPr>
          <w:rFonts w:ascii="宋体" w:hAnsi="宋体"/>
          <w:sz w:val="24"/>
        </w:rPr>
        <w:t xml:space="preserve">投标人：    </w:t>
      </w:r>
      <w:r>
        <w:rPr>
          <w:rFonts w:hint="eastAsia" w:ascii="宋体" w:hAnsi="宋体"/>
          <w:sz w:val="24"/>
        </w:rPr>
        <w:t>（</w:t>
      </w:r>
      <w:r>
        <w:rPr>
          <w:rFonts w:ascii="宋体" w:hAnsi="宋体"/>
          <w:sz w:val="24"/>
        </w:rPr>
        <w:t>盖章</w:t>
      </w:r>
      <w:r>
        <w:rPr>
          <w:rFonts w:hint="eastAsia" w:ascii="宋体" w:hAnsi="宋体"/>
          <w:sz w:val="24"/>
        </w:rPr>
        <w:t>）</w:t>
      </w:r>
    </w:p>
    <w:p>
      <w:pPr>
        <w:spacing w:line="360" w:lineRule="auto"/>
        <w:ind w:firstLine="3840" w:firstLineChars="1600"/>
        <w:rPr>
          <w:rFonts w:ascii="宋体" w:hAnsi="宋体"/>
          <w:sz w:val="24"/>
        </w:rPr>
      </w:pPr>
      <w:r>
        <w:rPr>
          <w:rFonts w:ascii="宋体" w:hAnsi="宋体"/>
          <w:sz w:val="24"/>
        </w:rPr>
        <w:t>法定代表人或其授权代理人</w:t>
      </w:r>
      <w:r>
        <w:rPr>
          <w:rFonts w:hint="eastAsia" w:ascii="宋体" w:hAnsi="宋体"/>
          <w:sz w:val="24"/>
          <w:lang w:eastAsia="zh-CN"/>
        </w:rPr>
        <w:t>（</w:t>
      </w:r>
      <w:r>
        <w:rPr>
          <w:rFonts w:ascii="宋体" w:hAnsi="宋体"/>
          <w:sz w:val="24"/>
        </w:rPr>
        <w:t>签字</w:t>
      </w:r>
      <w:r>
        <w:rPr>
          <w:rFonts w:hint="eastAsia" w:ascii="宋体" w:hAnsi="宋体"/>
          <w:sz w:val="24"/>
        </w:rPr>
        <w:t>或盖章</w:t>
      </w:r>
      <w:r>
        <w:rPr>
          <w:rFonts w:hint="eastAsia" w:ascii="宋体" w:hAnsi="宋体"/>
          <w:sz w:val="24"/>
          <w:lang w:eastAsia="zh-CN"/>
        </w:rPr>
        <w:t>）</w:t>
      </w:r>
      <w:r>
        <w:rPr>
          <w:rFonts w:ascii="宋体" w:hAnsi="宋体"/>
          <w:sz w:val="24"/>
        </w:rPr>
        <w:t>：</w:t>
      </w:r>
    </w:p>
    <w:p>
      <w:pPr>
        <w:jc w:val="right"/>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    年    月    日</w:t>
      </w:r>
    </w:p>
    <w:p>
      <w:pPr>
        <w:pStyle w:val="9"/>
        <w:rPr>
          <w:rFonts w:hint="eastAsia"/>
          <w:lang w:val="en-US" w:eastAsia="zh-CN"/>
        </w:rPr>
      </w:pPr>
    </w:p>
    <w:p>
      <w:pPr>
        <w:spacing w:line="400" w:lineRule="exact"/>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注：</w:t>
      </w:r>
    </w:p>
    <w:p>
      <w:pPr>
        <w:spacing w:line="400" w:lineRule="exact"/>
        <w:rPr>
          <w:rFonts w:hint="eastAsia"/>
          <w:color w:val="auto"/>
          <w:highlight w:val="none"/>
        </w:rPr>
      </w:pPr>
      <w:r>
        <w:rPr>
          <w:rFonts w:hint="eastAsia" w:ascii="宋体" w:hAnsi="宋体" w:eastAsia="宋体" w:cs="Times New Roman"/>
          <w:b/>
          <w:bCs w:val="0"/>
          <w:kern w:val="2"/>
          <w:sz w:val="21"/>
          <w:szCs w:val="21"/>
          <w:lang w:val="en-US" w:eastAsia="zh-CN" w:bidi="ar-SA"/>
        </w:rPr>
        <w:t>1、</w:t>
      </w:r>
      <w:r>
        <w:rPr>
          <w:rFonts w:hint="eastAsia"/>
          <w:color w:val="auto"/>
          <w:highlight w:val="none"/>
        </w:rPr>
        <w:t>注：提供最近三年（20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—2022年</w:t>
      </w:r>
      <w:r>
        <w:rPr>
          <w:rFonts w:hint="eastAsia"/>
          <w:color w:val="auto"/>
          <w:highlight w:val="none"/>
        </w:rPr>
        <w:t>）经会计师事务所或审计机构审计的财务报表复印件。</w:t>
      </w:r>
    </w:p>
    <w:p>
      <w:pPr>
        <w:spacing w:line="400" w:lineRule="exact"/>
        <w:rPr>
          <w:rFonts w:hint="eastAsia" w:ascii="宋体" w:hAnsi="宋体" w:eastAsia="宋体" w:cs="Times New Roman"/>
          <w:b/>
          <w:bCs w:val="0"/>
          <w:kern w:val="2"/>
          <w:sz w:val="21"/>
          <w:szCs w:val="21"/>
          <w:lang w:val="en-US" w:eastAsia="zh-CN" w:bidi="ar-SA"/>
        </w:rPr>
      </w:pPr>
      <w:r>
        <w:rPr>
          <w:rFonts w:hint="eastAsia" w:eastAsia="宋体"/>
          <w:color w:val="auto"/>
          <w:highlight w:val="none"/>
          <w:lang w:val="en-US" w:eastAsia="zh-CN"/>
        </w:rPr>
        <w:t>2、</w:t>
      </w:r>
      <w:r>
        <w:rPr>
          <w:rFonts w:hint="eastAsia" w:ascii="宋体" w:hAnsi="宋体" w:eastAsia="宋体" w:cs="Times New Roman"/>
          <w:b/>
          <w:bCs w:val="0"/>
          <w:kern w:val="2"/>
          <w:sz w:val="21"/>
          <w:szCs w:val="21"/>
          <w:lang w:val="en-US" w:eastAsia="zh-CN" w:bidi="ar-SA"/>
        </w:rPr>
        <w:t>联合体投标的，只需提供主办方的数据和财务报表。“投标人”一栏需书写所有联合体成员的单位全称，可由主办方按格式规定签字或盖章。</w:t>
      </w:r>
    </w:p>
    <w:p>
      <w:pPr>
        <w:bidi w:val="0"/>
        <w:rPr>
          <w:rFonts w:hint="eastAsia"/>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4"/>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、企业信誉</w:t>
      </w:r>
    </w:p>
    <w:p>
      <w:pPr>
        <w:pStyle w:val="4"/>
        <w:rPr>
          <w:rFonts w:hint="eastAsia"/>
          <w:color w:val="auto"/>
          <w:highlight w:val="none"/>
          <w:lang w:val="en-US" w:eastAsia="zh-CN"/>
        </w:rPr>
      </w:pPr>
      <w:r>
        <w:rPr>
          <w:rFonts w:hint="eastAsia"/>
          <w:color w:val="auto"/>
          <w:highlight w:val="none"/>
          <w:lang w:val="en-US" w:eastAsia="zh-CN"/>
        </w:rPr>
        <w:t>5、项目奖项</w:t>
      </w:r>
    </w:p>
    <w:p>
      <w:pPr>
        <w:pStyle w:val="4"/>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拟投入人员实力</w:t>
      </w:r>
    </w:p>
    <w:p>
      <w:pPr>
        <w:pStyle w:val="4"/>
        <w:rPr>
          <w:rFonts w:hint="eastAsia"/>
          <w:lang w:val="en-US" w:eastAsia="zh-CN"/>
        </w:rPr>
      </w:pPr>
    </w:p>
    <w:p>
      <w:pPr>
        <w:pStyle w:val="3"/>
        <w:jc w:val="center"/>
        <w:rPr>
          <w:rFonts w:hint="eastAsia"/>
        </w:rPr>
      </w:pPr>
      <w:r>
        <w:rPr>
          <w:rFonts w:hint="eastAsia"/>
          <w:lang w:val="en-US" w:eastAsia="zh-CN"/>
        </w:rPr>
        <w:br w:type="page"/>
      </w:r>
      <w:r>
        <w:rPr>
          <w:rFonts w:hint="eastAsia"/>
          <w:lang w:val="en-US" w:eastAsia="zh-CN"/>
        </w:rPr>
        <w:t>六、</w:t>
      </w:r>
      <w:r>
        <w:rPr>
          <w:rFonts w:hint="eastAsia"/>
        </w:rPr>
        <w:t>承包人实施计划</w:t>
      </w:r>
      <w:bookmarkEnd w:id="494"/>
    </w:p>
    <w:p>
      <w:pPr>
        <w:numPr>
          <w:ilvl w:val="0"/>
          <w:numId w:val="4"/>
        </w:numPr>
        <w:bidi w:val="0"/>
      </w:pPr>
      <w:r>
        <w:rPr>
          <w:rFonts w:hint="eastAsia"/>
        </w:rPr>
        <w:t>发包人要求（除★条款）</w:t>
      </w:r>
      <w:r>
        <w:t>参数响应</w:t>
      </w:r>
      <w:r>
        <w:rPr>
          <w:rFonts w:hint="eastAsia"/>
          <w:lang w:val="en-US" w:eastAsia="zh-CN"/>
        </w:rPr>
        <w:t>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48"/>
        <w:gridCol w:w="3266"/>
        <w:gridCol w:w="192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04" w:type="dxa"/>
            <w:noWrap w:val="0"/>
            <w:vAlign w:val="center"/>
          </w:tcPr>
          <w:p>
            <w:pPr>
              <w:jc w:val="center"/>
              <w:rPr>
                <w:color w:val="auto"/>
                <w:szCs w:val="21"/>
                <w:highlight w:val="none"/>
              </w:rPr>
            </w:pPr>
            <w:r>
              <w:rPr>
                <w:rFonts w:hint="eastAsia"/>
                <w:color w:val="auto"/>
                <w:szCs w:val="21"/>
                <w:highlight w:val="none"/>
              </w:rPr>
              <w:t>序号</w:t>
            </w:r>
          </w:p>
        </w:tc>
        <w:tc>
          <w:tcPr>
            <w:tcW w:w="1748" w:type="dxa"/>
            <w:noWrap w:val="0"/>
            <w:vAlign w:val="center"/>
          </w:tcPr>
          <w:p>
            <w:pPr>
              <w:jc w:val="center"/>
              <w:rPr>
                <w:color w:val="auto"/>
                <w:szCs w:val="21"/>
                <w:highlight w:val="none"/>
              </w:rPr>
            </w:pPr>
            <w:r>
              <w:rPr>
                <w:rFonts w:hint="eastAsia"/>
                <w:color w:val="auto"/>
                <w:szCs w:val="21"/>
                <w:highlight w:val="none"/>
              </w:rPr>
              <w:t>要求</w:t>
            </w:r>
          </w:p>
        </w:tc>
        <w:tc>
          <w:tcPr>
            <w:tcW w:w="3266" w:type="dxa"/>
            <w:noWrap w:val="0"/>
            <w:vAlign w:val="center"/>
          </w:tcPr>
          <w:p>
            <w:pPr>
              <w:jc w:val="center"/>
              <w:rPr>
                <w:color w:val="auto"/>
                <w:szCs w:val="21"/>
                <w:highlight w:val="none"/>
              </w:rPr>
            </w:pPr>
            <w:r>
              <w:rPr>
                <w:rFonts w:hint="eastAsia"/>
                <w:color w:val="auto"/>
                <w:szCs w:val="21"/>
                <w:highlight w:val="none"/>
              </w:rPr>
              <w:t>响应实际参数</w:t>
            </w:r>
          </w:p>
        </w:tc>
        <w:tc>
          <w:tcPr>
            <w:tcW w:w="1925" w:type="dxa"/>
            <w:noWrap w:val="0"/>
            <w:vAlign w:val="center"/>
          </w:tcPr>
          <w:p>
            <w:pPr>
              <w:jc w:val="center"/>
              <w:rPr>
                <w:color w:val="auto"/>
                <w:szCs w:val="21"/>
                <w:highlight w:val="none"/>
              </w:rPr>
            </w:pPr>
            <w:r>
              <w:rPr>
                <w:rFonts w:hint="eastAsia"/>
                <w:color w:val="auto"/>
                <w:szCs w:val="21"/>
                <w:highlight w:val="none"/>
              </w:rPr>
              <w:t>是否偏离（无偏离/正偏离/负偏离）</w:t>
            </w:r>
          </w:p>
        </w:tc>
        <w:tc>
          <w:tcPr>
            <w:tcW w:w="1178" w:type="dxa"/>
            <w:noWrap w:val="0"/>
            <w:vAlign w:val="center"/>
          </w:tcPr>
          <w:p>
            <w:pPr>
              <w:jc w:val="center"/>
              <w:rPr>
                <w:color w:val="auto"/>
                <w:szCs w:val="21"/>
                <w:highlight w:val="none"/>
              </w:rPr>
            </w:pPr>
            <w:r>
              <w:rPr>
                <w:rFonts w:hint="eastAsia"/>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1</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2</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3</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4</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noWrap w:val="0"/>
            <w:vAlign w:val="top"/>
          </w:tcPr>
          <w:p>
            <w:pPr>
              <w:jc w:val="center"/>
              <w:rPr>
                <w:color w:val="auto"/>
                <w:sz w:val="24"/>
                <w:highlight w:val="none"/>
              </w:rPr>
            </w:pPr>
            <w:r>
              <w:rPr>
                <w:rFonts w:hint="eastAsia"/>
                <w:color w:val="auto"/>
                <w:sz w:val="24"/>
                <w:highlight w:val="none"/>
              </w:rPr>
              <w:t>…</w:t>
            </w:r>
          </w:p>
        </w:tc>
        <w:tc>
          <w:tcPr>
            <w:tcW w:w="1748" w:type="dxa"/>
            <w:noWrap w:val="0"/>
            <w:vAlign w:val="top"/>
          </w:tcPr>
          <w:p>
            <w:pPr>
              <w:jc w:val="center"/>
              <w:rPr>
                <w:color w:val="auto"/>
                <w:sz w:val="24"/>
                <w:highlight w:val="none"/>
              </w:rPr>
            </w:pPr>
          </w:p>
        </w:tc>
        <w:tc>
          <w:tcPr>
            <w:tcW w:w="3266" w:type="dxa"/>
            <w:noWrap w:val="0"/>
            <w:vAlign w:val="top"/>
          </w:tcPr>
          <w:p>
            <w:pPr>
              <w:rPr>
                <w:color w:val="auto"/>
                <w:sz w:val="24"/>
                <w:highlight w:val="none"/>
              </w:rPr>
            </w:pPr>
          </w:p>
        </w:tc>
        <w:tc>
          <w:tcPr>
            <w:tcW w:w="1925" w:type="dxa"/>
            <w:noWrap w:val="0"/>
            <w:vAlign w:val="top"/>
          </w:tcPr>
          <w:p>
            <w:pPr>
              <w:rPr>
                <w:color w:val="auto"/>
                <w:sz w:val="24"/>
                <w:highlight w:val="none"/>
              </w:rPr>
            </w:pPr>
          </w:p>
        </w:tc>
        <w:tc>
          <w:tcPr>
            <w:tcW w:w="1178" w:type="dxa"/>
            <w:noWrap w:val="0"/>
            <w:vAlign w:val="top"/>
          </w:tcPr>
          <w:p>
            <w:pPr>
              <w:rPr>
                <w:color w:val="auto"/>
                <w:sz w:val="24"/>
                <w:highlight w:val="none"/>
              </w:rPr>
            </w:pPr>
          </w:p>
        </w:tc>
      </w:tr>
    </w:tbl>
    <w:p>
      <w:pPr>
        <w:spacing w:after="120" w:line="400" w:lineRule="exact"/>
        <w:ind w:firstLine="420" w:firstLineChars="200"/>
        <w:rPr>
          <w:color w:val="auto"/>
          <w:szCs w:val="21"/>
          <w:highlight w:val="none"/>
        </w:rPr>
      </w:pPr>
      <w:r>
        <w:rPr>
          <w:rFonts w:hint="eastAsia"/>
          <w:color w:val="auto"/>
          <w:szCs w:val="21"/>
          <w:highlight w:val="none"/>
        </w:rPr>
        <w:t>注：</w:t>
      </w:r>
    </w:p>
    <w:p>
      <w:pPr>
        <w:spacing w:after="120" w:line="400" w:lineRule="exact"/>
        <w:ind w:left="420" w:leftChars="200"/>
        <w:rPr>
          <w:color w:val="auto"/>
          <w:szCs w:val="21"/>
          <w:highlight w:val="none"/>
          <w:lang w:val="en-GB"/>
        </w:rPr>
      </w:pPr>
      <w:r>
        <w:rPr>
          <w:rFonts w:hint="eastAsia"/>
          <w:color w:val="auto"/>
          <w:szCs w:val="21"/>
          <w:highlight w:val="none"/>
        </w:rPr>
        <w:t xml:space="preserve">1. </w:t>
      </w:r>
      <w:r>
        <w:rPr>
          <w:rFonts w:hint="eastAsia" w:ascii="宋体"/>
          <w:color w:val="auto"/>
          <w:highlight w:val="none"/>
          <w:lang w:eastAsia="zh-CN"/>
        </w:rPr>
        <w:t>报价人</w:t>
      </w:r>
      <w:r>
        <w:rPr>
          <w:rFonts w:hint="eastAsia"/>
          <w:color w:val="auto"/>
          <w:szCs w:val="21"/>
          <w:highlight w:val="none"/>
        </w:rPr>
        <w:t>应对“第五章</w:t>
      </w:r>
      <w:r>
        <w:rPr>
          <w:rFonts w:hint="eastAsia"/>
          <w:color w:val="auto"/>
          <w:szCs w:val="21"/>
          <w:highlight w:val="none"/>
          <w:lang w:val="en-US" w:eastAsia="zh-CN"/>
        </w:rPr>
        <w:t xml:space="preserve"> </w:t>
      </w:r>
      <w:r>
        <w:rPr>
          <w:rFonts w:hint="eastAsia"/>
          <w:color w:val="auto"/>
          <w:szCs w:val="21"/>
          <w:highlight w:val="none"/>
        </w:rPr>
        <w:t>发包人要求 ”的要求做出全面响应，若有不满足“第五章发包人要求 ”中的要求必须在上表中明确说明，否则视为完全响应“第五章发包人要求”。</w:t>
      </w:r>
    </w:p>
    <w:p>
      <w:pPr>
        <w:spacing w:after="120" w:line="400" w:lineRule="exact"/>
        <w:ind w:left="420" w:leftChars="200"/>
        <w:rPr>
          <w:color w:val="auto"/>
          <w:szCs w:val="21"/>
          <w:highlight w:val="none"/>
        </w:rPr>
      </w:pPr>
      <w:r>
        <w:rPr>
          <w:rFonts w:hint="eastAsia"/>
          <w:color w:val="auto"/>
          <w:szCs w:val="21"/>
          <w:highlight w:val="none"/>
          <w:lang w:val="en-GB"/>
        </w:rPr>
        <w:t>2.</w:t>
      </w:r>
      <w:r>
        <w:rPr>
          <w:rFonts w:hint="eastAsia" w:ascii="宋体"/>
          <w:color w:val="auto"/>
          <w:highlight w:val="none"/>
          <w:lang w:eastAsia="zh-CN"/>
        </w:rPr>
        <w:t>报价人</w:t>
      </w:r>
      <w:r>
        <w:rPr>
          <w:rFonts w:hint="eastAsia"/>
          <w:color w:val="auto"/>
          <w:szCs w:val="21"/>
          <w:highlight w:val="none"/>
        </w:rPr>
        <w:t>供应商响应招标需求应具体、明确，含糊不清、不确切或伪造、变造证明材料的，按照不完全响应或者完全不响应处理。构成提供虚假材料的，移送监管部门查处。</w:t>
      </w:r>
    </w:p>
    <w:p>
      <w:pPr>
        <w:spacing w:after="120" w:line="400" w:lineRule="exact"/>
        <w:ind w:firstLine="420" w:firstLineChars="200"/>
        <w:rPr>
          <w:color w:val="auto"/>
          <w:szCs w:val="21"/>
          <w:highlight w:val="none"/>
        </w:rPr>
      </w:pPr>
      <w:r>
        <w:rPr>
          <w:rFonts w:hint="eastAsia"/>
          <w:color w:val="auto"/>
          <w:szCs w:val="21"/>
          <w:highlight w:val="none"/>
        </w:rPr>
        <w:t>3.本表内容不得擅自修改。</w:t>
      </w: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r>
        <w:rPr>
          <w:rFonts w:hint="eastAsia" w:ascii="宋体"/>
          <w:color w:val="auto"/>
          <w:highlight w:val="none"/>
          <w:lang w:eastAsia="zh-CN"/>
        </w:rPr>
        <w:t>报价人</w:t>
      </w:r>
      <w:r>
        <w:rPr>
          <w:rFonts w:hint="eastAsia"/>
          <w:color w:val="auto"/>
          <w:szCs w:val="21"/>
          <w:highlight w:val="none"/>
        </w:rPr>
        <w:t>法定代表人（或法定代表人授权代表）签字：</w:t>
      </w:r>
      <w:r>
        <w:rPr>
          <w:rFonts w:hint="eastAsia"/>
          <w:color w:val="auto"/>
          <w:szCs w:val="21"/>
          <w:highlight w:val="none"/>
          <w:u w:val="single"/>
        </w:rPr>
        <w:t xml:space="preserve">                   </w:t>
      </w:r>
    </w:p>
    <w:p>
      <w:pPr>
        <w:adjustRightInd w:val="0"/>
        <w:snapToGrid w:val="0"/>
        <w:spacing w:line="300" w:lineRule="auto"/>
        <w:rPr>
          <w:color w:val="auto"/>
          <w:szCs w:val="21"/>
          <w:highlight w:val="none"/>
          <w:u w:val="single"/>
        </w:rPr>
      </w:pPr>
      <w:r>
        <w:rPr>
          <w:rFonts w:hint="eastAsia" w:ascii="宋体"/>
          <w:color w:val="auto"/>
          <w:highlight w:val="none"/>
          <w:lang w:eastAsia="zh-CN"/>
        </w:rPr>
        <w:t>报价人</w:t>
      </w:r>
      <w:r>
        <w:rPr>
          <w:rFonts w:hint="eastAsia"/>
          <w:color w:val="auto"/>
          <w:szCs w:val="21"/>
          <w:highlight w:val="none"/>
        </w:rPr>
        <w:t>名称（加盖公章）：</w:t>
      </w:r>
      <w:r>
        <w:rPr>
          <w:rFonts w:hint="eastAsia"/>
          <w:color w:val="auto"/>
          <w:szCs w:val="21"/>
          <w:highlight w:val="none"/>
          <w:u w:val="single"/>
        </w:rPr>
        <w:t xml:space="preserve">                        </w:t>
      </w:r>
    </w:p>
    <w:p>
      <w:pPr>
        <w:spacing w:line="360" w:lineRule="auto"/>
        <w:jc w:val="both"/>
        <w:rPr>
          <w:rFonts w:hint="eastAsia"/>
          <w:color w:val="auto"/>
          <w:szCs w:val="21"/>
          <w:highlight w:val="none"/>
        </w:rPr>
      </w:pPr>
      <w:r>
        <w:rPr>
          <w:rFonts w:hint="eastAsia"/>
          <w:color w:val="auto"/>
          <w:szCs w:val="21"/>
          <w:highlight w:val="none"/>
        </w:rPr>
        <w:t>日期：   年   月   日</w:t>
      </w:r>
    </w:p>
    <w:p>
      <w:pPr>
        <w:pStyle w:val="11"/>
        <w:numPr>
          <w:ilvl w:val="0"/>
          <w:numId w:val="0"/>
        </w:numPr>
      </w:pPr>
    </w:p>
    <w:p>
      <w:pPr>
        <w:snapToGrid w:val="0"/>
        <w:rPr>
          <w:rFonts w:hint="eastAsia" w:ascii="宋体" w:hAnsi="宋体"/>
          <w:b/>
          <w:color w:val="000000"/>
          <w:szCs w:val="21"/>
        </w:rPr>
      </w:pPr>
      <w:r>
        <w:rPr>
          <w:rFonts w:hint="eastAsia" w:ascii="宋体" w:hAnsi="宋体"/>
          <w:b/>
          <w:color w:val="000000"/>
          <w:szCs w:val="21"/>
          <w:lang w:val="en-US" w:eastAsia="zh-CN"/>
        </w:rPr>
        <w:t>注：</w:t>
      </w:r>
      <w:r>
        <w:rPr>
          <w:rFonts w:hint="eastAsia" w:ascii="宋体" w:hAnsi="宋体"/>
          <w:b/>
          <w:color w:val="000000"/>
          <w:szCs w:val="21"/>
        </w:rPr>
        <w:t>1、联合体投标的，“投标单位”一栏需书写所有联合体成员的单位全称，并由联合体主办方按要求签字或盖章，联合体其他成员可不签字或盖章。</w:t>
      </w:r>
    </w:p>
    <w:p/>
    <w:p>
      <w:pPr>
        <w:bidi w:val="0"/>
      </w:pPr>
    </w:p>
    <w:p>
      <w:pPr>
        <w:bidi w:val="0"/>
        <w:rPr>
          <w:rFonts w:hint="eastAsia" w:ascii="宋体" w:hAnsi="宋体" w:eastAsia="宋体" w:cs="宋体"/>
          <w:color w:val="000000"/>
          <w:kern w:val="2"/>
          <w:sz w:val="22"/>
          <w:szCs w:val="22"/>
        </w:rPr>
      </w:pPr>
      <w:r>
        <w:rPr>
          <w:rFonts w:hint="eastAsia" w:eastAsia="宋体"/>
          <w:lang w:val="en-US" w:eastAsia="zh-CN"/>
        </w:rPr>
        <w:t>2、承包人实施方案</w:t>
      </w:r>
      <w:r>
        <w:rPr>
          <w:rFonts w:hint="eastAsia" w:ascii="宋体" w:hAnsi="宋体" w:eastAsia="宋体" w:cs="宋体"/>
          <w:color w:val="000000"/>
          <w:kern w:val="2"/>
          <w:sz w:val="22"/>
          <w:szCs w:val="22"/>
        </w:rPr>
        <w:t>（按招标文件第三章</w:t>
      </w:r>
      <w:r>
        <w:rPr>
          <w:rFonts w:hint="eastAsia" w:ascii="宋体" w:hAnsi="宋体" w:eastAsia="宋体" w:cs="宋体"/>
          <w:color w:val="000000"/>
          <w:kern w:val="2"/>
          <w:sz w:val="22"/>
          <w:szCs w:val="22"/>
          <w:lang w:val="en-US" w:eastAsia="zh-CN"/>
        </w:rPr>
        <w:t xml:space="preserve"> 2.2.4（3）</w:t>
      </w:r>
      <w:r>
        <w:rPr>
          <w:rFonts w:hint="eastAsia" w:ascii="宋体" w:hAnsi="宋体" w:eastAsia="宋体" w:cs="宋体"/>
          <w:color w:val="000000"/>
          <w:kern w:val="2"/>
          <w:sz w:val="22"/>
          <w:szCs w:val="22"/>
        </w:rPr>
        <w:t>承包人实施方案评分标准</w:t>
      </w:r>
      <w:r>
        <w:rPr>
          <w:rFonts w:hint="eastAsia" w:ascii="宋体" w:hAnsi="宋体" w:eastAsia="宋体" w:cs="宋体"/>
          <w:color w:val="000000"/>
          <w:kern w:val="2"/>
          <w:sz w:val="22"/>
          <w:szCs w:val="22"/>
          <w:lang w:val="en-US" w:eastAsia="zh-CN"/>
        </w:rPr>
        <w:t xml:space="preserve"> </w:t>
      </w:r>
      <w:r>
        <w:rPr>
          <w:rFonts w:hint="eastAsia" w:ascii="宋体" w:hAnsi="宋体" w:eastAsia="宋体" w:cs="宋体"/>
          <w:color w:val="000000"/>
          <w:kern w:val="2"/>
          <w:sz w:val="22"/>
          <w:szCs w:val="22"/>
        </w:rPr>
        <w:t>要求进行编制，包括但不限于实施方案技术部分等内容）</w:t>
      </w:r>
    </w:p>
    <w:p>
      <w:pPr>
        <w:rPr>
          <w:rFonts w:hint="eastAsia"/>
        </w:rPr>
      </w:pPr>
    </w:p>
    <w:p>
      <w:pPr>
        <w:rPr>
          <w:rFonts w:hint="eastAsia"/>
        </w:rPr>
      </w:pPr>
    </w:p>
    <w:p/>
    <w:p>
      <w:pPr>
        <w:topLinePunct/>
        <w:spacing w:line="440" w:lineRule="exact"/>
        <w:rPr>
          <w:rFonts w:hint="eastAsia"/>
        </w:rPr>
      </w:pPr>
      <w:r>
        <w:br w:type="page"/>
      </w:r>
    </w:p>
    <w:p>
      <w:pPr>
        <w:pStyle w:val="3"/>
        <w:jc w:val="center"/>
        <w:rPr>
          <w:rFonts w:hint="eastAsia" w:ascii="宋体" w:hAnsi="宋体" w:cs="宋体"/>
          <w:b/>
          <w:bCs/>
          <w:color w:val="000000"/>
          <w:sz w:val="28"/>
          <w:szCs w:val="28"/>
          <w:lang w:val="zh-CN"/>
        </w:rPr>
      </w:pPr>
      <w:bookmarkStart w:id="540" w:name="_Toc300835223"/>
      <w:r>
        <w:rPr>
          <w:rFonts w:hint="eastAsia" w:ascii="宋体" w:hAnsi="宋体" w:cs="宋体"/>
          <w:b/>
          <w:bCs/>
          <w:color w:val="000000"/>
          <w:sz w:val="28"/>
          <w:szCs w:val="28"/>
          <w:lang w:val="en-US" w:eastAsia="zh-CN"/>
        </w:rPr>
        <w:t>七、</w:t>
      </w:r>
      <w:r>
        <w:rPr>
          <w:rFonts w:hint="eastAsia" w:ascii="宋体" w:hAnsi="宋体" w:cs="宋体"/>
          <w:b/>
          <w:bCs/>
          <w:color w:val="000000"/>
          <w:sz w:val="28"/>
          <w:szCs w:val="28"/>
          <w:lang w:val="zh-CN"/>
        </w:rPr>
        <w:t>参与编制投标文件人员名单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姓名</w:t>
            </w: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职务</w:t>
            </w: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所承担工作</w:t>
            </w: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身份证号码</w:t>
            </w:r>
          </w:p>
        </w:tc>
        <w:tc>
          <w:tcPr>
            <w:tcW w:w="1468" w:type="dxa"/>
            <w:noWrap w:val="0"/>
            <w:vAlign w:val="center"/>
          </w:tcPr>
          <w:p>
            <w:pPr>
              <w:tabs>
                <w:tab w:val="left" w:pos="0"/>
                <w:tab w:val="left" w:pos="720"/>
              </w:tabs>
              <w:adjustRightInd w:val="0"/>
              <w:snapToGrid w:val="0"/>
              <w:rPr>
                <w:rFonts w:hint="eastAsia" w:ascii="宋体" w:hAnsi="宋体" w:cs="宋体"/>
                <w:color w:val="000000"/>
                <w:sz w:val="24"/>
              </w:rPr>
            </w:pPr>
            <w:r>
              <w:rPr>
                <w:rFonts w:hint="eastAsia" w:ascii="宋体" w:hAnsi="宋体" w:cs="宋体"/>
                <w:color w:val="000000"/>
                <w:sz w:val="24"/>
              </w:rPr>
              <w:t>本人签名栏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311"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320"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2449" w:type="dxa"/>
            <w:noWrap w:val="0"/>
            <w:vAlign w:val="center"/>
          </w:tcPr>
          <w:p>
            <w:pPr>
              <w:tabs>
                <w:tab w:val="left" w:pos="0"/>
                <w:tab w:val="left" w:pos="720"/>
              </w:tabs>
              <w:adjustRightInd w:val="0"/>
              <w:snapToGrid w:val="0"/>
              <w:jc w:val="center"/>
              <w:rPr>
                <w:rFonts w:hint="eastAsia" w:ascii="宋体" w:hAnsi="宋体" w:cs="宋体"/>
                <w:color w:val="000000"/>
                <w:sz w:val="24"/>
              </w:rPr>
            </w:pPr>
          </w:p>
        </w:tc>
        <w:tc>
          <w:tcPr>
            <w:tcW w:w="1468" w:type="dxa"/>
            <w:noWrap w:val="0"/>
            <w:vAlign w:val="center"/>
          </w:tcPr>
          <w:p>
            <w:pPr>
              <w:tabs>
                <w:tab w:val="left" w:pos="0"/>
                <w:tab w:val="left" w:pos="720"/>
              </w:tabs>
              <w:adjustRightInd w:val="0"/>
              <w:snapToGrid w:val="0"/>
              <w:jc w:val="center"/>
              <w:rPr>
                <w:rFonts w:hint="eastAsia" w:ascii="宋体" w:hAnsi="宋体" w:cs="宋体"/>
                <w:color w:val="000000"/>
                <w:sz w:val="24"/>
              </w:rPr>
            </w:pPr>
          </w:p>
        </w:tc>
      </w:tr>
    </w:tbl>
    <w:p>
      <w:pPr>
        <w:tabs>
          <w:tab w:val="left" w:pos="720"/>
        </w:tabs>
        <w:snapToGrid w:val="0"/>
        <w:spacing w:line="360" w:lineRule="auto"/>
        <w:rPr>
          <w:rFonts w:hint="eastAsia" w:ascii="宋体" w:hAnsi="宋体" w:cs="宋体"/>
          <w:color w:val="000000"/>
          <w:sz w:val="24"/>
        </w:rPr>
      </w:pPr>
    </w:p>
    <w:p>
      <w:pPr>
        <w:ind w:left="208" w:leftChars="99" w:right="42" w:rightChars="20"/>
        <w:rPr>
          <w:rFonts w:hint="eastAsia" w:ascii="宋体" w:hAnsi="宋体" w:cs="宋体"/>
          <w:b/>
          <w:bCs/>
          <w:color w:val="000000"/>
          <w:szCs w:val="21"/>
        </w:rPr>
      </w:pPr>
      <w:r>
        <w:rPr>
          <w:rFonts w:hint="eastAsia" w:ascii="宋体" w:hAnsi="宋体" w:cs="宋体"/>
          <w:b/>
          <w:bCs/>
          <w:color w:val="000000"/>
          <w:szCs w:val="21"/>
        </w:rPr>
        <w:t>注：参与编制标书所有人员名单应包括如编制技术投标方案、编制设计文件、负责清样校对、负责打印及复印等所有人员在内的人员名单。</w:t>
      </w:r>
    </w:p>
    <w:bookmarkEnd w:id="540"/>
    <w:p>
      <w:pPr>
        <w:rPr>
          <w:rFonts w:hint="eastAsia"/>
          <w:lang w:val="en-US" w:eastAsia="zh-CN"/>
        </w:rPr>
      </w:pPr>
      <w:bookmarkStart w:id="541" w:name="_Toc300835233"/>
      <w:bookmarkStart w:id="542" w:name="_Toc271821942"/>
      <w:r>
        <w:rPr>
          <w:rFonts w:hint="eastAsia"/>
          <w:lang w:val="en-US" w:eastAsia="zh-CN"/>
        </w:rPr>
        <w:br w:type="page"/>
      </w:r>
    </w:p>
    <w:p>
      <w:pPr>
        <w:pStyle w:val="3"/>
        <w:jc w:val="center"/>
        <w:rPr>
          <w:rFonts w:hint="eastAsia" w:ascii="宋体" w:hAnsi="宋体" w:eastAsia="宋体" w:cs="宋体"/>
          <w:color w:val="000000"/>
          <w:kern w:val="0"/>
          <w:sz w:val="21"/>
          <w:szCs w:val="21"/>
          <w:lang w:eastAsia="zh-CN" w:bidi="ar"/>
        </w:rPr>
      </w:pPr>
      <w:r>
        <w:rPr>
          <w:rFonts w:hint="eastAsia"/>
          <w:lang w:val="en-US" w:eastAsia="zh-CN"/>
        </w:rPr>
        <w:t>八</w:t>
      </w:r>
      <w:r>
        <w:t>、其他资料</w:t>
      </w:r>
      <w:bookmarkEnd w:id="541"/>
      <w:bookmarkEnd w:id="542"/>
    </w:p>
    <w:p>
      <w:pPr>
        <w:pStyle w:val="5"/>
        <w:rPr>
          <w:sz w:val="20"/>
          <w:szCs w:val="20"/>
        </w:rPr>
      </w:pPr>
      <w:bookmarkStart w:id="543" w:name="_Toc179632818"/>
      <w:bookmarkStart w:id="544" w:name="_Toc300835230"/>
      <w:bookmarkStart w:id="545" w:name="_Toc152042587"/>
      <w:bookmarkStart w:id="546" w:name="_Toc152045798"/>
      <w:bookmarkStart w:id="547" w:name="_Toc144974866"/>
      <w:bookmarkStart w:id="548" w:name="_Toc300835229"/>
      <w:r>
        <w:rPr>
          <w:rFonts w:hint="eastAsia"/>
        </w:rPr>
        <w:t>（</w:t>
      </w:r>
      <w:r>
        <w:rPr>
          <w:rFonts w:hint="eastAsia"/>
          <w:lang w:val="en-US" w:eastAsia="zh-CN"/>
        </w:rPr>
        <w:t>一</w:t>
      </w:r>
      <w:r>
        <w:rPr>
          <w:rFonts w:hint="eastAsia"/>
        </w:rPr>
        <w:t>）</w:t>
      </w:r>
      <w:r>
        <w:t>拟配备本</w:t>
      </w:r>
      <w:r>
        <w:rPr>
          <w:rFonts w:hint="eastAsia"/>
        </w:rPr>
        <w:t>项目</w:t>
      </w:r>
      <w:r>
        <w:t>的试验和检测仪器设备表</w:t>
      </w:r>
      <w:bookmarkEnd w:id="543"/>
      <w:bookmarkEnd w:id="544"/>
      <w:bookmarkEnd w:id="545"/>
      <w:bookmarkEnd w:id="546"/>
      <w:bookmarkEnd w:id="547"/>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6" w:type="dxa"/>
            <w:noWrap w:val="0"/>
            <w:vAlign w:val="center"/>
          </w:tcPr>
          <w:p>
            <w:pPr>
              <w:spacing w:line="440" w:lineRule="exact"/>
              <w:rPr>
                <w:szCs w:val="21"/>
              </w:rPr>
            </w:pPr>
            <w:r>
              <w:rPr>
                <w:szCs w:val="21"/>
              </w:rPr>
              <w:t>序号</w:t>
            </w:r>
          </w:p>
        </w:tc>
        <w:tc>
          <w:tcPr>
            <w:tcW w:w="1087" w:type="dxa"/>
            <w:noWrap w:val="0"/>
            <w:vAlign w:val="center"/>
          </w:tcPr>
          <w:p>
            <w:pPr>
              <w:spacing w:line="440" w:lineRule="exact"/>
              <w:jc w:val="center"/>
              <w:rPr>
                <w:szCs w:val="21"/>
              </w:rPr>
            </w:pPr>
            <w:r>
              <w:rPr>
                <w:szCs w:val="21"/>
              </w:rPr>
              <w:t>仪器设备名称</w:t>
            </w:r>
          </w:p>
        </w:tc>
        <w:tc>
          <w:tcPr>
            <w:tcW w:w="760" w:type="dxa"/>
            <w:noWrap w:val="0"/>
            <w:vAlign w:val="center"/>
          </w:tcPr>
          <w:p>
            <w:pPr>
              <w:spacing w:line="440" w:lineRule="exact"/>
              <w:jc w:val="center"/>
              <w:rPr>
                <w:szCs w:val="21"/>
              </w:rPr>
            </w:pPr>
            <w:r>
              <w:rPr>
                <w:szCs w:val="21"/>
              </w:rPr>
              <w:t>型号</w:t>
            </w:r>
          </w:p>
          <w:p>
            <w:pPr>
              <w:spacing w:line="440" w:lineRule="exact"/>
              <w:jc w:val="center"/>
              <w:rPr>
                <w:szCs w:val="21"/>
              </w:rPr>
            </w:pPr>
            <w:r>
              <w:rPr>
                <w:szCs w:val="21"/>
              </w:rPr>
              <w:t>规格</w:t>
            </w:r>
          </w:p>
        </w:tc>
        <w:tc>
          <w:tcPr>
            <w:tcW w:w="991" w:type="dxa"/>
            <w:noWrap w:val="0"/>
            <w:vAlign w:val="center"/>
          </w:tcPr>
          <w:p>
            <w:pPr>
              <w:spacing w:line="440" w:lineRule="exact"/>
              <w:jc w:val="center"/>
              <w:rPr>
                <w:szCs w:val="21"/>
              </w:rPr>
            </w:pPr>
            <w:r>
              <w:rPr>
                <w:szCs w:val="21"/>
              </w:rPr>
              <w:t>数量</w:t>
            </w:r>
          </w:p>
        </w:tc>
        <w:tc>
          <w:tcPr>
            <w:tcW w:w="672" w:type="dxa"/>
            <w:noWrap w:val="0"/>
            <w:vAlign w:val="center"/>
          </w:tcPr>
          <w:p>
            <w:pPr>
              <w:spacing w:line="440" w:lineRule="exact"/>
              <w:jc w:val="center"/>
              <w:rPr>
                <w:szCs w:val="21"/>
              </w:rPr>
            </w:pPr>
            <w:r>
              <w:rPr>
                <w:szCs w:val="21"/>
              </w:rPr>
              <w:t>国别</w:t>
            </w:r>
          </w:p>
          <w:p>
            <w:pPr>
              <w:spacing w:line="440" w:lineRule="exact"/>
              <w:jc w:val="center"/>
              <w:rPr>
                <w:szCs w:val="21"/>
              </w:rPr>
            </w:pPr>
            <w:r>
              <w:rPr>
                <w:szCs w:val="21"/>
              </w:rPr>
              <w:t>产地</w:t>
            </w:r>
          </w:p>
        </w:tc>
        <w:tc>
          <w:tcPr>
            <w:tcW w:w="738" w:type="dxa"/>
            <w:noWrap w:val="0"/>
            <w:vAlign w:val="center"/>
          </w:tcPr>
          <w:p>
            <w:pPr>
              <w:spacing w:line="440" w:lineRule="exact"/>
              <w:jc w:val="center"/>
              <w:rPr>
                <w:szCs w:val="21"/>
              </w:rPr>
            </w:pPr>
            <w:r>
              <w:rPr>
                <w:szCs w:val="21"/>
              </w:rPr>
              <w:t>制造</w:t>
            </w:r>
          </w:p>
          <w:p>
            <w:pPr>
              <w:spacing w:line="440" w:lineRule="exact"/>
              <w:jc w:val="center"/>
              <w:rPr>
                <w:szCs w:val="21"/>
              </w:rPr>
            </w:pPr>
            <w:r>
              <w:rPr>
                <w:szCs w:val="21"/>
              </w:rPr>
              <w:t>年份</w:t>
            </w:r>
          </w:p>
        </w:tc>
        <w:tc>
          <w:tcPr>
            <w:tcW w:w="1212" w:type="dxa"/>
            <w:noWrap w:val="0"/>
            <w:vAlign w:val="center"/>
          </w:tcPr>
          <w:p>
            <w:pPr>
              <w:spacing w:line="440" w:lineRule="exact"/>
              <w:jc w:val="center"/>
              <w:rPr>
                <w:szCs w:val="21"/>
              </w:rPr>
            </w:pPr>
            <w:r>
              <w:rPr>
                <w:szCs w:val="21"/>
              </w:rPr>
              <w:t>已使用台时数</w:t>
            </w:r>
          </w:p>
        </w:tc>
        <w:tc>
          <w:tcPr>
            <w:tcW w:w="1653" w:type="dxa"/>
            <w:noWrap w:val="0"/>
            <w:vAlign w:val="center"/>
          </w:tcPr>
          <w:p>
            <w:pPr>
              <w:spacing w:line="440" w:lineRule="exact"/>
              <w:jc w:val="center"/>
              <w:rPr>
                <w:szCs w:val="21"/>
              </w:rPr>
            </w:pPr>
            <w:r>
              <w:rPr>
                <w:szCs w:val="21"/>
              </w:rPr>
              <w:t>用途</w:t>
            </w:r>
          </w:p>
        </w:tc>
        <w:tc>
          <w:tcPr>
            <w:tcW w:w="688" w:type="dxa"/>
            <w:noWrap w:val="0"/>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6" w:type="dxa"/>
            <w:noWrap w:val="0"/>
            <w:vAlign w:val="center"/>
          </w:tcPr>
          <w:p>
            <w:pPr>
              <w:spacing w:line="440" w:lineRule="exact"/>
              <w:jc w:val="center"/>
              <w:rPr>
                <w:szCs w:val="21"/>
              </w:rPr>
            </w:pPr>
          </w:p>
        </w:tc>
        <w:tc>
          <w:tcPr>
            <w:tcW w:w="1087" w:type="dxa"/>
            <w:noWrap w:val="0"/>
            <w:vAlign w:val="center"/>
          </w:tcPr>
          <w:p>
            <w:pPr>
              <w:spacing w:line="440" w:lineRule="exact"/>
              <w:jc w:val="center"/>
              <w:rPr>
                <w:szCs w:val="21"/>
              </w:rPr>
            </w:pPr>
          </w:p>
        </w:tc>
        <w:tc>
          <w:tcPr>
            <w:tcW w:w="760" w:type="dxa"/>
            <w:noWrap w:val="0"/>
            <w:vAlign w:val="center"/>
          </w:tcPr>
          <w:p>
            <w:pPr>
              <w:spacing w:line="440" w:lineRule="exact"/>
              <w:jc w:val="center"/>
              <w:rPr>
                <w:szCs w:val="21"/>
              </w:rPr>
            </w:pPr>
          </w:p>
        </w:tc>
        <w:tc>
          <w:tcPr>
            <w:tcW w:w="991" w:type="dxa"/>
            <w:noWrap w:val="0"/>
            <w:vAlign w:val="center"/>
          </w:tcPr>
          <w:p>
            <w:pPr>
              <w:spacing w:line="440" w:lineRule="exact"/>
              <w:jc w:val="center"/>
              <w:rPr>
                <w:szCs w:val="21"/>
              </w:rPr>
            </w:pPr>
          </w:p>
        </w:tc>
        <w:tc>
          <w:tcPr>
            <w:tcW w:w="672" w:type="dxa"/>
            <w:noWrap w:val="0"/>
            <w:vAlign w:val="center"/>
          </w:tcPr>
          <w:p>
            <w:pPr>
              <w:spacing w:line="440" w:lineRule="exact"/>
              <w:jc w:val="center"/>
              <w:rPr>
                <w:szCs w:val="21"/>
              </w:rPr>
            </w:pPr>
          </w:p>
        </w:tc>
        <w:tc>
          <w:tcPr>
            <w:tcW w:w="738" w:type="dxa"/>
            <w:noWrap w:val="0"/>
            <w:vAlign w:val="center"/>
          </w:tcPr>
          <w:p>
            <w:pPr>
              <w:spacing w:line="440" w:lineRule="exact"/>
              <w:jc w:val="center"/>
              <w:rPr>
                <w:szCs w:val="21"/>
              </w:rPr>
            </w:pPr>
          </w:p>
        </w:tc>
        <w:tc>
          <w:tcPr>
            <w:tcW w:w="1212" w:type="dxa"/>
            <w:noWrap w:val="0"/>
            <w:vAlign w:val="center"/>
          </w:tcPr>
          <w:p>
            <w:pPr>
              <w:spacing w:line="440" w:lineRule="exact"/>
              <w:jc w:val="center"/>
              <w:rPr>
                <w:szCs w:val="21"/>
              </w:rPr>
            </w:pPr>
          </w:p>
        </w:tc>
        <w:tc>
          <w:tcPr>
            <w:tcW w:w="1653" w:type="dxa"/>
            <w:noWrap w:val="0"/>
            <w:vAlign w:val="center"/>
          </w:tcPr>
          <w:p>
            <w:pPr>
              <w:spacing w:line="440" w:lineRule="exact"/>
              <w:jc w:val="center"/>
              <w:rPr>
                <w:szCs w:val="21"/>
              </w:rPr>
            </w:pPr>
          </w:p>
        </w:tc>
        <w:tc>
          <w:tcPr>
            <w:tcW w:w="688"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6" w:type="dxa"/>
            <w:noWrap w:val="0"/>
            <w:vAlign w:val="center"/>
          </w:tcPr>
          <w:p>
            <w:pPr>
              <w:spacing w:line="440" w:lineRule="exact"/>
              <w:jc w:val="center"/>
              <w:rPr>
                <w:szCs w:val="21"/>
              </w:rPr>
            </w:pPr>
          </w:p>
        </w:tc>
        <w:tc>
          <w:tcPr>
            <w:tcW w:w="1087" w:type="dxa"/>
            <w:noWrap w:val="0"/>
            <w:vAlign w:val="center"/>
          </w:tcPr>
          <w:p>
            <w:pPr>
              <w:spacing w:line="440" w:lineRule="exact"/>
              <w:jc w:val="center"/>
              <w:rPr>
                <w:szCs w:val="21"/>
              </w:rPr>
            </w:pPr>
          </w:p>
        </w:tc>
        <w:tc>
          <w:tcPr>
            <w:tcW w:w="760" w:type="dxa"/>
            <w:noWrap w:val="0"/>
            <w:vAlign w:val="center"/>
          </w:tcPr>
          <w:p>
            <w:pPr>
              <w:spacing w:line="440" w:lineRule="exact"/>
              <w:jc w:val="center"/>
              <w:rPr>
                <w:szCs w:val="21"/>
              </w:rPr>
            </w:pPr>
          </w:p>
        </w:tc>
        <w:tc>
          <w:tcPr>
            <w:tcW w:w="991" w:type="dxa"/>
            <w:noWrap w:val="0"/>
            <w:vAlign w:val="center"/>
          </w:tcPr>
          <w:p>
            <w:pPr>
              <w:spacing w:line="440" w:lineRule="exact"/>
              <w:jc w:val="center"/>
              <w:rPr>
                <w:szCs w:val="21"/>
              </w:rPr>
            </w:pPr>
          </w:p>
        </w:tc>
        <w:tc>
          <w:tcPr>
            <w:tcW w:w="672" w:type="dxa"/>
            <w:noWrap w:val="0"/>
            <w:vAlign w:val="center"/>
          </w:tcPr>
          <w:p>
            <w:pPr>
              <w:spacing w:line="440" w:lineRule="exact"/>
              <w:jc w:val="center"/>
              <w:rPr>
                <w:szCs w:val="21"/>
              </w:rPr>
            </w:pPr>
          </w:p>
        </w:tc>
        <w:tc>
          <w:tcPr>
            <w:tcW w:w="738" w:type="dxa"/>
            <w:noWrap w:val="0"/>
            <w:vAlign w:val="center"/>
          </w:tcPr>
          <w:p>
            <w:pPr>
              <w:spacing w:line="440" w:lineRule="exact"/>
              <w:jc w:val="center"/>
              <w:rPr>
                <w:szCs w:val="21"/>
              </w:rPr>
            </w:pPr>
          </w:p>
        </w:tc>
        <w:tc>
          <w:tcPr>
            <w:tcW w:w="1212" w:type="dxa"/>
            <w:noWrap w:val="0"/>
            <w:vAlign w:val="center"/>
          </w:tcPr>
          <w:p>
            <w:pPr>
              <w:spacing w:line="440" w:lineRule="exact"/>
              <w:jc w:val="center"/>
              <w:rPr>
                <w:szCs w:val="21"/>
              </w:rPr>
            </w:pPr>
          </w:p>
        </w:tc>
        <w:tc>
          <w:tcPr>
            <w:tcW w:w="1653" w:type="dxa"/>
            <w:noWrap w:val="0"/>
            <w:vAlign w:val="center"/>
          </w:tcPr>
          <w:p>
            <w:pPr>
              <w:spacing w:line="440" w:lineRule="exact"/>
              <w:jc w:val="center"/>
              <w:rPr>
                <w:szCs w:val="21"/>
              </w:rPr>
            </w:pPr>
          </w:p>
        </w:tc>
        <w:tc>
          <w:tcPr>
            <w:tcW w:w="688"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6" w:type="dxa"/>
            <w:noWrap w:val="0"/>
            <w:vAlign w:val="top"/>
          </w:tcPr>
          <w:p>
            <w:pPr>
              <w:spacing w:line="440" w:lineRule="exact"/>
              <w:jc w:val="center"/>
              <w:rPr>
                <w:szCs w:val="21"/>
              </w:rPr>
            </w:pPr>
          </w:p>
        </w:tc>
        <w:tc>
          <w:tcPr>
            <w:tcW w:w="1087" w:type="dxa"/>
            <w:noWrap w:val="0"/>
            <w:vAlign w:val="top"/>
          </w:tcPr>
          <w:p>
            <w:pPr>
              <w:spacing w:line="440" w:lineRule="exact"/>
              <w:jc w:val="center"/>
              <w:rPr>
                <w:szCs w:val="21"/>
              </w:rPr>
            </w:pPr>
          </w:p>
        </w:tc>
        <w:tc>
          <w:tcPr>
            <w:tcW w:w="760" w:type="dxa"/>
            <w:noWrap w:val="0"/>
            <w:vAlign w:val="top"/>
          </w:tcPr>
          <w:p>
            <w:pPr>
              <w:spacing w:line="440" w:lineRule="exact"/>
              <w:jc w:val="center"/>
              <w:rPr>
                <w:szCs w:val="21"/>
              </w:rPr>
            </w:pPr>
          </w:p>
        </w:tc>
        <w:tc>
          <w:tcPr>
            <w:tcW w:w="991"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1653" w:type="dxa"/>
            <w:noWrap w:val="0"/>
            <w:vAlign w:val="top"/>
          </w:tcPr>
          <w:p>
            <w:pPr>
              <w:spacing w:line="440" w:lineRule="exact"/>
              <w:jc w:val="center"/>
              <w:rPr>
                <w:szCs w:val="21"/>
              </w:rPr>
            </w:pPr>
          </w:p>
        </w:tc>
        <w:tc>
          <w:tcPr>
            <w:tcW w:w="688"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6" w:type="dxa"/>
            <w:noWrap w:val="0"/>
            <w:vAlign w:val="top"/>
          </w:tcPr>
          <w:p>
            <w:pPr>
              <w:spacing w:line="440" w:lineRule="exact"/>
              <w:jc w:val="center"/>
              <w:rPr>
                <w:szCs w:val="21"/>
              </w:rPr>
            </w:pPr>
          </w:p>
        </w:tc>
        <w:tc>
          <w:tcPr>
            <w:tcW w:w="1087" w:type="dxa"/>
            <w:noWrap w:val="0"/>
            <w:vAlign w:val="top"/>
          </w:tcPr>
          <w:p>
            <w:pPr>
              <w:spacing w:line="440" w:lineRule="exact"/>
              <w:jc w:val="center"/>
              <w:rPr>
                <w:szCs w:val="21"/>
              </w:rPr>
            </w:pPr>
          </w:p>
        </w:tc>
        <w:tc>
          <w:tcPr>
            <w:tcW w:w="760" w:type="dxa"/>
            <w:noWrap w:val="0"/>
            <w:vAlign w:val="top"/>
          </w:tcPr>
          <w:p>
            <w:pPr>
              <w:spacing w:line="440" w:lineRule="exact"/>
              <w:jc w:val="center"/>
              <w:rPr>
                <w:szCs w:val="21"/>
              </w:rPr>
            </w:pPr>
          </w:p>
        </w:tc>
        <w:tc>
          <w:tcPr>
            <w:tcW w:w="991"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1653" w:type="dxa"/>
            <w:noWrap w:val="0"/>
            <w:vAlign w:val="top"/>
          </w:tcPr>
          <w:p>
            <w:pPr>
              <w:spacing w:line="440" w:lineRule="exact"/>
              <w:jc w:val="center"/>
              <w:rPr>
                <w:szCs w:val="21"/>
              </w:rPr>
            </w:pPr>
          </w:p>
        </w:tc>
        <w:tc>
          <w:tcPr>
            <w:tcW w:w="688" w:type="dxa"/>
            <w:noWrap w:val="0"/>
            <w:vAlign w:val="top"/>
          </w:tcPr>
          <w:p>
            <w:pPr>
              <w:spacing w:line="440" w:lineRule="exact"/>
              <w:jc w:val="center"/>
              <w:rPr>
                <w:szCs w:val="21"/>
              </w:rPr>
            </w:pPr>
          </w:p>
        </w:tc>
      </w:tr>
    </w:tbl>
    <w:p>
      <w:pPr>
        <w:spacing w:line="440" w:lineRule="exact"/>
        <w:rPr>
          <w:rFonts w:hint="eastAsia"/>
        </w:rPr>
      </w:pPr>
    </w:p>
    <w:p>
      <w:pPr>
        <w:pStyle w:val="5"/>
        <w:rPr>
          <w:sz w:val="20"/>
          <w:szCs w:val="20"/>
        </w:rPr>
      </w:pPr>
      <w:r>
        <w:rPr>
          <w:rFonts w:hint="eastAsia"/>
        </w:rPr>
        <w:t>（</w:t>
      </w:r>
      <w:r>
        <w:rPr>
          <w:rFonts w:hint="eastAsia"/>
          <w:lang w:val="en-US" w:eastAsia="zh-CN"/>
        </w:rPr>
        <w:t>二</w:t>
      </w:r>
      <w:r>
        <w:rPr>
          <w:rFonts w:hint="eastAsia"/>
        </w:rPr>
        <w:t>）</w:t>
      </w:r>
      <w:r>
        <w:t>拟投入本</w:t>
      </w:r>
      <w:r>
        <w:rPr>
          <w:rFonts w:hint="eastAsia"/>
        </w:rPr>
        <w:t>项目</w:t>
      </w:r>
      <w:r>
        <w:t>的主要施工设备表</w:t>
      </w:r>
      <w:bookmarkEnd w:id="548"/>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pPr>
              <w:spacing w:line="440" w:lineRule="exact"/>
              <w:rPr>
                <w:szCs w:val="21"/>
              </w:rPr>
            </w:pPr>
            <w:r>
              <w:rPr>
                <w:szCs w:val="21"/>
              </w:rPr>
              <w:t>序号</w:t>
            </w:r>
          </w:p>
        </w:tc>
        <w:tc>
          <w:tcPr>
            <w:tcW w:w="1086" w:type="dxa"/>
            <w:noWrap w:val="0"/>
            <w:vAlign w:val="center"/>
          </w:tcPr>
          <w:p>
            <w:pPr>
              <w:spacing w:line="440" w:lineRule="exact"/>
              <w:jc w:val="center"/>
              <w:rPr>
                <w:szCs w:val="21"/>
              </w:rPr>
            </w:pPr>
            <w:r>
              <w:rPr>
                <w:szCs w:val="21"/>
              </w:rPr>
              <w:t>设备名称</w:t>
            </w:r>
          </w:p>
        </w:tc>
        <w:tc>
          <w:tcPr>
            <w:tcW w:w="761" w:type="dxa"/>
            <w:noWrap w:val="0"/>
            <w:vAlign w:val="center"/>
          </w:tcPr>
          <w:p>
            <w:pPr>
              <w:spacing w:line="440" w:lineRule="exact"/>
              <w:jc w:val="center"/>
              <w:rPr>
                <w:szCs w:val="21"/>
              </w:rPr>
            </w:pPr>
            <w:r>
              <w:rPr>
                <w:szCs w:val="21"/>
              </w:rPr>
              <w:t>型号</w:t>
            </w:r>
          </w:p>
          <w:p>
            <w:pPr>
              <w:spacing w:line="440" w:lineRule="exact"/>
              <w:jc w:val="center"/>
              <w:rPr>
                <w:szCs w:val="21"/>
              </w:rPr>
            </w:pPr>
            <w:r>
              <w:rPr>
                <w:szCs w:val="21"/>
              </w:rPr>
              <w:t>规格</w:t>
            </w:r>
          </w:p>
        </w:tc>
        <w:tc>
          <w:tcPr>
            <w:tcW w:w="990" w:type="dxa"/>
            <w:noWrap w:val="0"/>
            <w:vAlign w:val="center"/>
          </w:tcPr>
          <w:p>
            <w:pPr>
              <w:spacing w:line="440" w:lineRule="exact"/>
              <w:jc w:val="center"/>
              <w:rPr>
                <w:szCs w:val="21"/>
              </w:rPr>
            </w:pPr>
            <w:r>
              <w:rPr>
                <w:szCs w:val="21"/>
              </w:rPr>
              <w:t>数量</w:t>
            </w:r>
          </w:p>
        </w:tc>
        <w:tc>
          <w:tcPr>
            <w:tcW w:w="672" w:type="dxa"/>
            <w:noWrap w:val="0"/>
            <w:vAlign w:val="center"/>
          </w:tcPr>
          <w:p>
            <w:pPr>
              <w:spacing w:line="440" w:lineRule="exact"/>
              <w:jc w:val="center"/>
              <w:rPr>
                <w:szCs w:val="21"/>
              </w:rPr>
            </w:pPr>
            <w:r>
              <w:rPr>
                <w:szCs w:val="21"/>
              </w:rPr>
              <w:t>国别</w:t>
            </w:r>
          </w:p>
          <w:p>
            <w:pPr>
              <w:spacing w:line="440" w:lineRule="exact"/>
              <w:jc w:val="center"/>
              <w:rPr>
                <w:szCs w:val="21"/>
              </w:rPr>
            </w:pPr>
            <w:r>
              <w:rPr>
                <w:szCs w:val="21"/>
              </w:rPr>
              <w:t>产地</w:t>
            </w:r>
          </w:p>
        </w:tc>
        <w:tc>
          <w:tcPr>
            <w:tcW w:w="738" w:type="dxa"/>
            <w:noWrap w:val="0"/>
            <w:vAlign w:val="center"/>
          </w:tcPr>
          <w:p>
            <w:pPr>
              <w:spacing w:line="440" w:lineRule="exact"/>
              <w:jc w:val="center"/>
              <w:rPr>
                <w:szCs w:val="21"/>
              </w:rPr>
            </w:pPr>
            <w:r>
              <w:rPr>
                <w:szCs w:val="21"/>
              </w:rPr>
              <w:t>制造</w:t>
            </w:r>
          </w:p>
          <w:p>
            <w:pPr>
              <w:spacing w:line="440" w:lineRule="exact"/>
              <w:jc w:val="center"/>
              <w:rPr>
                <w:szCs w:val="21"/>
              </w:rPr>
            </w:pPr>
            <w:r>
              <w:rPr>
                <w:szCs w:val="21"/>
              </w:rPr>
              <w:t>年份</w:t>
            </w:r>
          </w:p>
        </w:tc>
        <w:tc>
          <w:tcPr>
            <w:tcW w:w="1212" w:type="dxa"/>
            <w:noWrap w:val="0"/>
            <w:vAlign w:val="center"/>
          </w:tcPr>
          <w:p>
            <w:pPr>
              <w:spacing w:line="440" w:lineRule="exact"/>
              <w:jc w:val="center"/>
              <w:rPr>
                <w:szCs w:val="21"/>
              </w:rPr>
            </w:pPr>
            <w:r>
              <w:rPr>
                <w:szCs w:val="21"/>
              </w:rPr>
              <w:t>额定功率（</w:t>
            </w:r>
            <w:r>
              <w:rPr>
                <w:rFonts w:hint="eastAsia"/>
                <w:szCs w:val="21"/>
              </w:rPr>
              <w:t>k</w:t>
            </w:r>
            <w:r>
              <w:rPr>
                <w:szCs w:val="21"/>
              </w:rPr>
              <w:t>W）</w:t>
            </w:r>
          </w:p>
        </w:tc>
        <w:tc>
          <w:tcPr>
            <w:tcW w:w="874" w:type="dxa"/>
            <w:noWrap w:val="0"/>
            <w:vAlign w:val="center"/>
          </w:tcPr>
          <w:p>
            <w:pPr>
              <w:spacing w:line="440" w:lineRule="exact"/>
              <w:jc w:val="center"/>
              <w:rPr>
                <w:szCs w:val="21"/>
              </w:rPr>
            </w:pPr>
            <w:r>
              <w:rPr>
                <w:szCs w:val="21"/>
              </w:rPr>
              <w:t>生产</w:t>
            </w:r>
          </w:p>
          <w:p>
            <w:pPr>
              <w:spacing w:line="440" w:lineRule="exact"/>
              <w:jc w:val="center"/>
              <w:rPr>
                <w:szCs w:val="21"/>
              </w:rPr>
            </w:pPr>
            <w:r>
              <w:rPr>
                <w:szCs w:val="21"/>
              </w:rPr>
              <w:t>能力</w:t>
            </w:r>
          </w:p>
        </w:tc>
        <w:tc>
          <w:tcPr>
            <w:tcW w:w="1055" w:type="dxa"/>
            <w:noWrap w:val="0"/>
            <w:vAlign w:val="center"/>
          </w:tcPr>
          <w:p>
            <w:pPr>
              <w:spacing w:line="440" w:lineRule="exact"/>
              <w:jc w:val="center"/>
              <w:rPr>
                <w:szCs w:val="21"/>
              </w:rPr>
            </w:pPr>
            <w:r>
              <w:rPr>
                <w:szCs w:val="21"/>
              </w:rPr>
              <w:t>用于施工部位</w:t>
            </w:r>
          </w:p>
        </w:tc>
        <w:tc>
          <w:tcPr>
            <w:tcW w:w="691" w:type="dxa"/>
            <w:noWrap w:val="0"/>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pPr>
              <w:spacing w:line="440" w:lineRule="exact"/>
              <w:jc w:val="center"/>
              <w:rPr>
                <w:szCs w:val="21"/>
              </w:rPr>
            </w:pPr>
          </w:p>
        </w:tc>
        <w:tc>
          <w:tcPr>
            <w:tcW w:w="1086" w:type="dxa"/>
            <w:noWrap w:val="0"/>
            <w:vAlign w:val="center"/>
          </w:tcPr>
          <w:p>
            <w:pPr>
              <w:spacing w:line="440" w:lineRule="exact"/>
              <w:jc w:val="center"/>
              <w:rPr>
                <w:szCs w:val="21"/>
              </w:rPr>
            </w:pPr>
          </w:p>
        </w:tc>
        <w:tc>
          <w:tcPr>
            <w:tcW w:w="761" w:type="dxa"/>
            <w:noWrap w:val="0"/>
            <w:vAlign w:val="center"/>
          </w:tcPr>
          <w:p>
            <w:pPr>
              <w:spacing w:line="440" w:lineRule="exact"/>
              <w:jc w:val="center"/>
              <w:rPr>
                <w:szCs w:val="21"/>
              </w:rPr>
            </w:pPr>
          </w:p>
        </w:tc>
        <w:tc>
          <w:tcPr>
            <w:tcW w:w="990" w:type="dxa"/>
            <w:noWrap w:val="0"/>
            <w:vAlign w:val="center"/>
          </w:tcPr>
          <w:p>
            <w:pPr>
              <w:spacing w:line="440" w:lineRule="exact"/>
              <w:jc w:val="center"/>
              <w:rPr>
                <w:szCs w:val="21"/>
              </w:rPr>
            </w:pPr>
          </w:p>
        </w:tc>
        <w:tc>
          <w:tcPr>
            <w:tcW w:w="672" w:type="dxa"/>
            <w:noWrap w:val="0"/>
            <w:vAlign w:val="center"/>
          </w:tcPr>
          <w:p>
            <w:pPr>
              <w:spacing w:line="440" w:lineRule="exact"/>
              <w:jc w:val="center"/>
              <w:rPr>
                <w:szCs w:val="21"/>
              </w:rPr>
            </w:pPr>
          </w:p>
        </w:tc>
        <w:tc>
          <w:tcPr>
            <w:tcW w:w="738" w:type="dxa"/>
            <w:noWrap w:val="0"/>
            <w:vAlign w:val="center"/>
          </w:tcPr>
          <w:p>
            <w:pPr>
              <w:spacing w:line="440" w:lineRule="exact"/>
              <w:jc w:val="center"/>
              <w:rPr>
                <w:szCs w:val="21"/>
              </w:rPr>
            </w:pPr>
          </w:p>
        </w:tc>
        <w:tc>
          <w:tcPr>
            <w:tcW w:w="1212" w:type="dxa"/>
            <w:noWrap w:val="0"/>
            <w:vAlign w:val="center"/>
          </w:tcPr>
          <w:p>
            <w:pPr>
              <w:spacing w:line="440" w:lineRule="exact"/>
              <w:jc w:val="center"/>
              <w:rPr>
                <w:szCs w:val="21"/>
              </w:rPr>
            </w:pPr>
          </w:p>
        </w:tc>
        <w:tc>
          <w:tcPr>
            <w:tcW w:w="874" w:type="dxa"/>
            <w:noWrap w:val="0"/>
            <w:vAlign w:val="center"/>
          </w:tcPr>
          <w:p>
            <w:pPr>
              <w:spacing w:line="440" w:lineRule="exact"/>
              <w:jc w:val="center"/>
              <w:rPr>
                <w:szCs w:val="21"/>
              </w:rPr>
            </w:pPr>
          </w:p>
        </w:tc>
        <w:tc>
          <w:tcPr>
            <w:tcW w:w="1055" w:type="dxa"/>
            <w:noWrap w:val="0"/>
            <w:vAlign w:val="center"/>
          </w:tcPr>
          <w:p>
            <w:pPr>
              <w:spacing w:line="440" w:lineRule="exact"/>
              <w:jc w:val="center"/>
              <w:rPr>
                <w:szCs w:val="21"/>
              </w:rPr>
            </w:pPr>
          </w:p>
        </w:tc>
        <w:tc>
          <w:tcPr>
            <w:tcW w:w="691"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center"/>
          </w:tcPr>
          <w:p>
            <w:pPr>
              <w:spacing w:line="440" w:lineRule="exact"/>
              <w:jc w:val="center"/>
              <w:rPr>
                <w:szCs w:val="21"/>
              </w:rPr>
            </w:pPr>
          </w:p>
        </w:tc>
        <w:tc>
          <w:tcPr>
            <w:tcW w:w="1086" w:type="dxa"/>
            <w:noWrap w:val="0"/>
            <w:vAlign w:val="center"/>
          </w:tcPr>
          <w:p>
            <w:pPr>
              <w:spacing w:line="440" w:lineRule="exact"/>
              <w:jc w:val="center"/>
              <w:rPr>
                <w:szCs w:val="21"/>
              </w:rPr>
            </w:pPr>
          </w:p>
        </w:tc>
        <w:tc>
          <w:tcPr>
            <w:tcW w:w="761" w:type="dxa"/>
            <w:noWrap w:val="0"/>
            <w:vAlign w:val="center"/>
          </w:tcPr>
          <w:p>
            <w:pPr>
              <w:spacing w:line="440" w:lineRule="exact"/>
              <w:jc w:val="center"/>
              <w:rPr>
                <w:szCs w:val="21"/>
              </w:rPr>
            </w:pPr>
          </w:p>
        </w:tc>
        <w:tc>
          <w:tcPr>
            <w:tcW w:w="990" w:type="dxa"/>
            <w:noWrap w:val="0"/>
            <w:vAlign w:val="center"/>
          </w:tcPr>
          <w:p>
            <w:pPr>
              <w:spacing w:line="440" w:lineRule="exact"/>
              <w:jc w:val="center"/>
              <w:rPr>
                <w:szCs w:val="21"/>
              </w:rPr>
            </w:pPr>
          </w:p>
        </w:tc>
        <w:tc>
          <w:tcPr>
            <w:tcW w:w="672" w:type="dxa"/>
            <w:noWrap w:val="0"/>
            <w:vAlign w:val="center"/>
          </w:tcPr>
          <w:p>
            <w:pPr>
              <w:spacing w:line="440" w:lineRule="exact"/>
              <w:jc w:val="center"/>
              <w:rPr>
                <w:szCs w:val="21"/>
              </w:rPr>
            </w:pPr>
          </w:p>
        </w:tc>
        <w:tc>
          <w:tcPr>
            <w:tcW w:w="738" w:type="dxa"/>
            <w:noWrap w:val="0"/>
            <w:vAlign w:val="center"/>
          </w:tcPr>
          <w:p>
            <w:pPr>
              <w:spacing w:line="440" w:lineRule="exact"/>
              <w:jc w:val="center"/>
              <w:rPr>
                <w:szCs w:val="21"/>
              </w:rPr>
            </w:pPr>
          </w:p>
        </w:tc>
        <w:tc>
          <w:tcPr>
            <w:tcW w:w="1212" w:type="dxa"/>
            <w:noWrap w:val="0"/>
            <w:vAlign w:val="center"/>
          </w:tcPr>
          <w:p>
            <w:pPr>
              <w:spacing w:line="440" w:lineRule="exact"/>
              <w:jc w:val="center"/>
              <w:rPr>
                <w:szCs w:val="21"/>
              </w:rPr>
            </w:pPr>
          </w:p>
        </w:tc>
        <w:tc>
          <w:tcPr>
            <w:tcW w:w="874" w:type="dxa"/>
            <w:noWrap w:val="0"/>
            <w:vAlign w:val="center"/>
          </w:tcPr>
          <w:p>
            <w:pPr>
              <w:spacing w:line="440" w:lineRule="exact"/>
              <w:jc w:val="center"/>
              <w:rPr>
                <w:szCs w:val="21"/>
              </w:rPr>
            </w:pPr>
          </w:p>
        </w:tc>
        <w:tc>
          <w:tcPr>
            <w:tcW w:w="1055" w:type="dxa"/>
            <w:noWrap w:val="0"/>
            <w:vAlign w:val="center"/>
          </w:tcPr>
          <w:p>
            <w:pPr>
              <w:spacing w:line="440" w:lineRule="exact"/>
              <w:jc w:val="center"/>
              <w:rPr>
                <w:szCs w:val="21"/>
              </w:rPr>
            </w:pPr>
          </w:p>
        </w:tc>
        <w:tc>
          <w:tcPr>
            <w:tcW w:w="691" w:type="dxa"/>
            <w:noWrap w:val="0"/>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65" w:type="dxa"/>
            <w:noWrap w:val="0"/>
            <w:vAlign w:val="top"/>
          </w:tcPr>
          <w:p>
            <w:pPr>
              <w:spacing w:line="440" w:lineRule="exact"/>
              <w:jc w:val="center"/>
              <w:rPr>
                <w:szCs w:val="21"/>
              </w:rPr>
            </w:pPr>
          </w:p>
        </w:tc>
        <w:tc>
          <w:tcPr>
            <w:tcW w:w="1086" w:type="dxa"/>
            <w:noWrap w:val="0"/>
            <w:vAlign w:val="top"/>
          </w:tcPr>
          <w:p>
            <w:pPr>
              <w:spacing w:line="440" w:lineRule="exact"/>
              <w:jc w:val="center"/>
              <w:rPr>
                <w:szCs w:val="21"/>
              </w:rPr>
            </w:pPr>
          </w:p>
        </w:tc>
        <w:tc>
          <w:tcPr>
            <w:tcW w:w="761" w:type="dxa"/>
            <w:noWrap w:val="0"/>
            <w:vAlign w:val="top"/>
          </w:tcPr>
          <w:p>
            <w:pPr>
              <w:spacing w:line="440" w:lineRule="exact"/>
              <w:jc w:val="center"/>
              <w:rPr>
                <w:szCs w:val="21"/>
              </w:rPr>
            </w:pPr>
          </w:p>
        </w:tc>
        <w:tc>
          <w:tcPr>
            <w:tcW w:w="990" w:type="dxa"/>
            <w:noWrap w:val="0"/>
            <w:vAlign w:val="top"/>
          </w:tcPr>
          <w:p>
            <w:pPr>
              <w:spacing w:line="440" w:lineRule="exact"/>
              <w:jc w:val="center"/>
              <w:rPr>
                <w:szCs w:val="21"/>
              </w:rPr>
            </w:pPr>
          </w:p>
        </w:tc>
        <w:tc>
          <w:tcPr>
            <w:tcW w:w="672" w:type="dxa"/>
            <w:noWrap w:val="0"/>
            <w:vAlign w:val="top"/>
          </w:tcPr>
          <w:p>
            <w:pPr>
              <w:spacing w:line="440" w:lineRule="exact"/>
              <w:jc w:val="center"/>
              <w:rPr>
                <w:szCs w:val="21"/>
              </w:rPr>
            </w:pPr>
          </w:p>
        </w:tc>
        <w:tc>
          <w:tcPr>
            <w:tcW w:w="738" w:type="dxa"/>
            <w:noWrap w:val="0"/>
            <w:vAlign w:val="top"/>
          </w:tcPr>
          <w:p>
            <w:pPr>
              <w:spacing w:line="440" w:lineRule="exact"/>
              <w:jc w:val="center"/>
              <w:rPr>
                <w:szCs w:val="21"/>
              </w:rPr>
            </w:pPr>
          </w:p>
        </w:tc>
        <w:tc>
          <w:tcPr>
            <w:tcW w:w="1212" w:type="dxa"/>
            <w:noWrap w:val="0"/>
            <w:vAlign w:val="top"/>
          </w:tcPr>
          <w:p>
            <w:pPr>
              <w:spacing w:line="440" w:lineRule="exact"/>
              <w:jc w:val="center"/>
              <w:rPr>
                <w:szCs w:val="21"/>
              </w:rPr>
            </w:pPr>
          </w:p>
        </w:tc>
        <w:tc>
          <w:tcPr>
            <w:tcW w:w="874" w:type="dxa"/>
            <w:noWrap w:val="0"/>
            <w:vAlign w:val="top"/>
          </w:tcPr>
          <w:p>
            <w:pPr>
              <w:spacing w:line="440" w:lineRule="exact"/>
              <w:jc w:val="center"/>
              <w:rPr>
                <w:szCs w:val="21"/>
              </w:rPr>
            </w:pPr>
          </w:p>
        </w:tc>
        <w:tc>
          <w:tcPr>
            <w:tcW w:w="1055" w:type="dxa"/>
            <w:noWrap w:val="0"/>
            <w:vAlign w:val="top"/>
          </w:tcPr>
          <w:p>
            <w:pPr>
              <w:spacing w:line="440" w:lineRule="exact"/>
              <w:jc w:val="center"/>
              <w:rPr>
                <w:szCs w:val="21"/>
              </w:rPr>
            </w:pPr>
          </w:p>
        </w:tc>
        <w:tc>
          <w:tcPr>
            <w:tcW w:w="691" w:type="dxa"/>
            <w:noWrap w:val="0"/>
            <w:vAlign w:val="top"/>
          </w:tcPr>
          <w:p>
            <w:pPr>
              <w:spacing w:line="440" w:lineRule="exact"/>
              <w:jc w:val="center"/>
              <w:rPr>
                <w:szCs w:val="21"/>
              </w:rPr>
            </w:pPr>
          </w:p>
        </w:tc>
      </w:tr>
    </w:tbl>
    <w:p>
      <w:pPr>
        <w:spacing w:line="440" w:lineRule="exact"/>
        <w:rPr>
          <w:rFonts w:hint="eastAsia" w:eastAsia="黑体"/>
          <w:sz w:val="20"/>
          <w:szCs w:val="20"/>
          <w:lang w:eastAsia="zh-CN"/>
        </w:rPr>
      </w:pPr>
    </w:p>
    <w:sectPr>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19"/>
        <w:tab w:val="clear" w:pos="4153"/>
      </w:tabs>
      <w:rPr>
        <w:rFonts w:hint="eastAsia"/>
      </w:rPr>
    </w:pPr>
    <w:r>
      <w:rPr>
        <w:rFonts w:hint="eastAsia"/>
        <w:lang w:eastAsia="zh-CN"/>
      </w:rPr>
      <w:tab/>
    </w:r>
  </w:p>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XCIV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XCIV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single" w:color="auto" w:sz="4" w:space="1"/>
        <w:right w:val="none" w:color="auto" w:sz="0" w:space="4"/>
      </w:pBdr>
      <w:tabs>
        <w:tab w:val="center" w:pos="4153"/>
        <w:tab w:val="right" w:pos="8306"/>
      </w:tabs>
      <w:adjustRightInd w:val="0"/>
      <w:snapToGrid w:val="0"/>
      <w:spacing w:after="200"/>
      <w:rPr>
        <w:rFonts w:ascii="Tahoma" w:hAnsi="Tahoma" w:eastAsia="微软雅黑"/>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AB845"/>
    <w:multiLevelType w:val="singleLevel"/>
    <w:tmpl w:val="B08AB845"/>
    <w:lvl w:ilvl="0" w:tentative="0">
      <w:start w:val="11"/>
      <w:numFmt w:val="chineseCounting"/>
      <w:suff w:val="nothing"/>
      <w:lvlText w:val="（%1）"/>
      <w:lvlJc w:val="left"/>
      <w:rPr>
        <w:rFonts w:hint="eastAsia"/>
      </w:rPr>
    </w:lvl>
  </w:abstractNum>
  <w:abstractNum w:abstractNumId="1">
    <w:nsid w:val="E869F434"/>
    <w:multiLevelType w:val="singleLevel"/>
    <w:tmpl w:val="E869F434"/>
    <w:lvl w:ilvl="0" w:tentative="0">
      <w:start w:val="1"/>
      <w:numFmt w:val="decimal"/>
      <w:suff w:val="nothing"/>
      <w:lvlText w:val="%1、"/>
      <w:lvlJc w:val="left"/>
    </w:lvl>
  </w:abstractNum>
  <w:abstractNum w:abstractNumId="2">
    <w:nsid w:val="01364AEC"/>
    <w:multiLevelType w:val="singleLevel"/>
    <w:tmpl w:val="01364AEC"/>
    <w:lvl w:ilvl="0" w:tentative="0">
      <w:start w:val="2"/>
      <w:numFmt w:val="chineseCounting"/>
      <w:suff w:val="nothing"/>
      <w:lvlText w:val="（%1）"/>
      <w:lvlJc w:val="left"/>
      <w:rPr>
        <w:rFonts w:hint="eastAsia"/>
      </w:rPr>
    </w:lvl>
  </w:abstractNum>
  <w:abstractNum w:abstractNumId="3">
    <w:nsid w:val="30A77A01"/>
    <w:multiLevelType w:val="singleLevel"/>
    <w:tmpl w:val="30A77A01"/>
    <w:lvl w:ilvl="0" w:tentative="0">
      <w:start w:val="5"/>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GM2YTFmMTZiNWU4NDU5Yjg5MGU5MDFhOGFmZDMifQ=="/>
  </w:docVars>
  <w:rsids>
    <w:rsidRoot w:val="00000000"/>
    <w:rsid w:val="002F0941"/>
    <w:rsid w:val="04080922"/>
    <w:rsid w:val="0B5224A3"/>
    <w:rsid w:val="0BE3115F"/>
    <w:rsid w:val="11A27059"/>
    <w:rsid w:val="11AC46A4"/>
    <w:rsid w:val="14AA61BF"/>
    <w:rsid w:val="163F6D8E"/>
    <w:rsid w:val="166A2FCB"/>
    <w:rsid w:val="189B72AE"/>
    <w:rsid w:val="19751973"/>
    <w:rsid w:val="1EA84889"/>
    <w:rsid w:val="238E2BA1"/>
    <w:rsid w:val="2438440F"/>
    <w:rsid w:val="2B164EBE"/>
    <w:rsid w:val="2BB1742D"/>
    <w:rsid w:val="2BCC384D"/>
    <w:rsid w:val="2C463932"/>
    <w:rsid w:val="2FBD23B5"/>
    <w:rsid w:val="30BF06FD"/>
    <w:rsid w:val="310221BE"/>
    <w:rsid w:val="36402259"/>
    <w:rsid w:val="36FD4965"/>
    <w:rsid w:val="3889371D"/>
    <w:rsid w:val="389E0319"/>
    <w:rsid w:val="3ECB6600"/>
    <w:rsid w:val="3F371F61"/>
    <w:rsid w:val="4030403E"/>
    <w:rsid w:val="410E6F73"/>
    <w:rsid w:val="429D0359"/>
    <w:rsid w:val="432607CE"/>
    <w:rsid w:val="43727992"/>
    <w:rsid w:val="43FB6901"/>
    <w:rsid w:val="46A2672F"/>
    <w:rsid w:val="4886489F"/>
    <w:rsid w:val="4E141F74"/>
    <w:rsid w:val="4E54216E"/>
    <w:rsid w:val="51281690"/>
    <w:rsid w:val="5A8962B5"/>
    <w:rsid w:val="5D321397"/>
    <w:rsid w:val="5DFA150E"/>
    <w:rsid w:val="5E707207"/>
    <w:rsid w:val="682E1B1A"/>
    <w:rsid w:val="6F5266C2"/>
    <w:rsid w:val="70B94A0C"/>
    <w:rsid w:val="71FD21C5"/>
    <w:rsid w:val="750951B1"/>
    <w:rsid w:val="75A41D76"/>
    <w:rsid w:val="763A0916"/>
    <w:rsid w:val="79595DD3"/>
    <w:rsid w:val="7AB932A6"/>
    <w:rsid w:val="7C4216A7"/>
    <w:rsid w:val="7D296707"/>
    <w:rsid w:val="7EC7127D"/>
    <w:rsid w:val="7FDD1F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4"/>
    <w:link w:val="29"/>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kern w:val="2"/>
      <w:sz w:val="28"/>
      <w:szCs w:val="28"/>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6">
    <w:name w:val="table of authorities"/>
    <w:basedOn w:val="1"/>
    <w:next w:val="1"/>
    <w:qFormat/>
    <w:uiPriority w:val="0"/>
    <w:pPr>
      <w:ind w:left="200" w:leftChars="200"/>
    </w:pPr>
  </w:style>
  <w:style w:type="paragraph" w:styleId="7">
    <w:name w:val="annotation text"/>
    <w:basedOn w:val="1"/>
    <w:qFormat/>
    <w:uiPriority w:val="0"/>
    <w:pPr>
      <w:jc w:val="left"/>
    </w:pPr>
  </w:style>
  <w:style w:type="paragraph" w:styleId="8">
    <w:name w:val="Body Text 3"/>
    <w:basedOn w:val="1"/>
    <w:next w:val="1"/>
    <w:qFormat/>
    <w:uiPriority w:val="0"/>
    <w:rPr>
      <w:rFonts w:ascii="宋体"/>
      <w:sz w:val="24"/>
      <w:szCs w:val="20"/>
    </w:rPr>
  </w:style>
  <w:style w:type="paragraph" w:styleId="9">
    <w:name w:val="Body Text"/>
    <w:basedOn w:val="1"/>
    <w:next w:val="1"/>
    <w:qFormat/>
    <w:uiPriority w:val="0"/>
    <w:pPr>
      <w:spacing w:after="120" w:afterLines="0"/>
    </w:pPr>
    <w:rPr>
      <w:rFonts w:eastAsia="宋体"/>
      <w:kern w:val="2"/>
      <w:sz w:val="21"/>
      <w:szCs w:val="24"/>
      <w:lang w:val="en-US" w:eastAsia="zh-CN" w:bidi="ar-SA"/>
    </w:rPr>
  </w:style>
  <w:style w:type="paragraph" w:styleId="10">
    <w:name w:val="Body Text Indent"/>
    <w:basedOn w:val="1"/>
    <w:qFormat/>
    <w:uiPriority w:val="99"/>
    <w:pPr>
      <w:spacing w:after="120"/>
      <w:ind w:left="420" w:leftChars="200"/>
    </w:pPr>
  </w:style>
  <w:style w:type="paragraph" w:styleId="11">
    <w:name w:val="Plain Text"/>
    <w:basedOn w:val="1"/>
    <w:next w:val="1"/>
    <w:qFormat/>
    <w:uiPriority w:val="0"/>
    <w:rPr>
      <w:rFonts w:ascii="等线" w:hAnsi="Courier New" w:eastAsia="等线"/>
      <w:szCs w:val="22"/>
    </w:rPr>
  </w:style>
  <w:style w:type="paragraph" w:styleId="1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before="120" w:beforeLines="0" w:after="120" w:afterLines="0"/>
      <w:jc w:val="left"/>
    </w:pPr>
    <w:rPr>
      <w:b/>
      <w:bCs/>
      <w:caps/>
      <w:sz w:val="20"/>
      <w:szCs w:val="20"/>
    </w:rPr>
  </w:style>
  <w:style w:type="paragraph" w:styleId="15">
    <w:name w:val="toc 2"/>
    <w:basedOn w:val="1"/>
    <w:next w:val="1"/>
    <w:qFormat/>
    <w:uiPriority w:val="0"/>
    <w:pPr>
      <w:ind w:left="210"/>
      <w:jc w:val="left"/>
    </w:pPr>
    <w:rPr>
      <w:smallCaps/>
      <w:sz w:val="20"/>
      <w:szCs w:val="20"/>
    </w:rPr>
  </w:style>
  <w:style w:type="paragraph" w:styleId="16">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17">
    <w:name w:val="Body Text First Indent"/>
    <w:basedOn w:val="9"/>
    <w:qFormat/>
    <w:uiPriority w:val="0"/>
    <w:pPr>
      <w:spacing w:line="312" w:lineRule="auto"/>
      <w:ind w:firstLine="420"/>
    </w:pPr>
  </w:style>
  <w:style w:type="paragraph" w:styleId="18">
    <w:name w:val="Body Text First Indent 2"/>
    <w:basedOn w:val="10"/>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Table Paragraph"/>
    <w:basedOn w:val="1"/>
    <w:qFormat/>
    <w:uiPriority w:val="1"/>
    <w:rPr>
      <w:rFonts w:ascii="宋体" w:hAnsi="宋体" w:cs="宋体"/>
      <w:lang w:val="zh-CN" w:bidi="zh-CN"/>
    </w:rPr>
  </w:style>
  <w:style w:type="character" w:customStyle="1" w:styleId="26">
    <w:name w:val="font71"/>
    <w:basedOn w:val="21"/>
    <w:qFormat/>
    <w:uiPriority w:val="0"/>
    <w:rPr>
      <w:rFonts w:hint="eastAsia" w:ascii="仿宋" w:hAnsi="仿宋" w:eastAsia="仿宋" w:cs="仿宋"/>
      <w:color w:val="FF0000"/>
      <w:sz w:val="20"/>
      <w:szCs w:val="20"/>
      <w:u w:val="none"/>
    </w:rPr>
  </w:style>
  <w:style w:type="character" w:customStyle="1" w:styleId="27">
    <w:name w:val="font21"/>
    <w:basedOn w:val="21"/>
    <w:qFormat/>
    <w:uiPriority w:val="0"/>
    <w:rPr>
      <w:rFonts w:hint="eastAsia" w:ascii="仿宋" w:hAnsi="仿宋" w:eastAsia="仿宋" w:cs="仿宋"/>
      <w:color w:val="000000"/>
      <w:sz w:val="20"/>
      <w:szCs w:val="20"/>
      <w:u w:val="none"/>
    </w:rPr>
  </w:style>
  <w:style w:type="character" w:customStyle="1" w:styleId="28">
    <w:name w:val="font81"/>
    <w:basedOn w:val="21"/>
    <w:qFormat/>
    <w:uiPriority w:val="0"/>
    <w:rPr>
      <w:rFonts w:hint="eastAsia" w:ascii="宋体" w:hAnsi="宋体" w:eastAsia="宋体" w:cs="宋体"/>
      <w:color w:val="FF0000"/>
      <w:sz w:val="20"/>
      <w:szCs w:val="20"/>
      <w:u w:val="none"/>
    </w:rPr>
  </w:style>
  <w:style w:type="character" w:customStyle="1" w:styleId="29">
    <w:name w:val=" Char Char7"/>
    <w:basedOn w:val="21"/>
    <w:link w:val="3"/>
    <w:qFormat/>
    <w:uiPriority w:val="0"/>
    <w:rPr>
      <w:rFonts w:ascii="Arial" w:hAnsi="Arial" w:eastAsia="黑体"/>
      <w:b/>
      <w:bCs/>
      <w:sz w:val="32"/>
      <w:szCs w:val="32"/>
    </w:rPr>
  </w:style>
  <w:style w:type="character" w:customStyle="1" w:styleId="30">
    <w:name w:val="font11"/>
    <w:basedOn w:val="21"/>
    <w:qFormat/>
    <w:uiPriority w:val="0"/>
    <w:rPr>
      <w:rFonts w:hint="eastAsia" w:ascii="宋体" w:hAnsi="宋体" w:eastAsia="宋体" w:cs="宋体"/>
      <w:b/>
      <w:bCs/>
      <w:color w:val="000000"/>
      <w:sz w:val="21"/>
      <w:szCs w:val="21"/>
      <w:u w:val="none"/>
    </w:rPr>
  </w:style>
  <w:style w:type="character" w:customStyle="1" w:styleId="31">
    <w:name w:val="font51"/>
    <w:basedOn w:val="21"/>
    <w:qFormat/>
    <w:uiPriority w:val="0"/>
    <w:rPr>
      <w:rFonts w:hint="default" w:ascii="Times New Roman" w:hAnsi="Times New Roman" w:cs="Times New Roman"/>
      <w:b/>
      <w:bCs/>
      <w:color w:val="000000"/>
      <w:sz w:val="21"/>
      <w:szCs w:val="21"/>
      <w:u w:val="none"/>
    </w:rPr>
  </w:style>
  <w:style w:type="character" w:customStyle="1" w:styleId="32">
    <w:name w:val="font41"/>
    <w:basedOn w:val="21"/>
    <w:qFormat/>
    <w:uiPriority w:val="0"/>
    <w:rPr>
      <w:rFonts w:hint="eastAsia" w:ascii="宋体" w:hAnsi="宋体" w:eastAsia="宋体" w:cs="宋体"/>
      <w:color w:val="000000"/>
      <w:sz w:val="21"/>
      <w:szCs w:val="21"/>
      <w:u w:val="none"/>
    </w:rPr>
  </w:style>
  <w:style w:type="paragraph" w:customStyle="1" w:styleId="33">
    <w:name w:val="Default"/>
    <w:next w:val="1"/>
    <w:qFormat/>
    <w:uiPriority w:val="99"/>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34">
    <w:name w:val="_Style 4"/>
    <w:basedOn w:val="2"/>
    <w:next w:val="1"/>
    <w:qFormat/>
    <w:uiPriority w:val="99"/>
    <w:pPr>
      <w:widowControl w:val="0"/>
      <w:numPr>
        <w:ilvl w:val="0"/>
        <w:numId w:val="0"/>
      </w:numPr>
      <w:tabs>
        <w:tab w:val="left" w:pos="432"/>
      </w:tabs>
      <w:spacing w:line="576" w:lineRule="auto"/>
      <w:jc w:val="both"/>
      <w:outlineLvl w:val="9"/>
    </w:pPr>
    <w:rPr>
      <w:rFonts w:ascii="Calibri" w:hAnsi="Calibri" w:cs="Calibri"/>
      <w:kern w:val="44"/>
      <w:sz w:val="44"/>
      <w:szCs w:val="44"/>
    </w:rPr>
  </w:style>
  <w:style w:type="character" w:customStyle="1" w:styleId="35">
    <w:name w:val="font31"/>
    <w:qFormat/>
    <w:uiPriority w:val="0"/>
    <w:rPr>
      <w:rFonts w:hint="eastAsia" w:ascii="宋体" w:hAnsi="宋体" w:eastAsia="宋体" w:cs="宋体"/>
      <w:b/>
      <w:color w:val="000000"/>
      <w:sz w:val="24"/>
      <w:szCs w:val="24"/>
      <w:u w:val="none"/>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发文落款"/>
    <w:qFormat/>
    <w:uiPriority w:val="0"/>
    <w:pPr>
      <w:widowControl w:val="0"/>
      <w:spacing w:line="360" w:lineRule="auto"/>
      <w:ind w:left="4094" w:right="607" w:firstLine="0"/>
      <w:jc w:val="center"/>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29350</Words>
  <Characters>30759</Characters>
  <Lines>0</Lines>
  <Paragraphs>0</Paragraphs>
  <TotalTime>6</TotalTime>
  <ScaleCrop>false</ScaleCrop>
  <LinksUpToDate>false</LinksUpToDate>
  <CharactersWithSpaces>33655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2023-09-19T00:09:00Z</dcterms:created>
  <dc:creator>采购代理机构</dc:creator>
  <cp:lastModifiedBy>采购代理机构</cp:lastModifiedBy>
  <cp:lastPrinted>2023-10-10T02:03:00Z</cp:lastPrinted>
  <dcterms:modified xsi:type="dcterms:W3CDTF">2023-11-13T02:29:03Z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03ADB7CCC722460380F82494A1A20EFF_13</vt:lpwstr>
  </property>
</Properties>
</file>