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line="360" w:lineRule="auto"/>
        <w:jc w:val="center"/>
        <w:rPr>
          <w:rFonts w:ascii="仿宋" w:hAnsi="仿宋" w:eastAsia="仿宋"/>
          <w:b/>
          <w:color w:val="auto"/>
          <w:sz w:val="44"/>
          <w:szCs w:val="44"/>
          <w:highlight w:val="none"/>
          <w:u w:val="none"/>
        </w:rPr>
      </w:pPr>
    </w:p>
    <w:p>
      <w:pPr>
        <w:pStyle w:val="35"/>
        <w:spacing w:line="360" w:lineRule="auto"/>
        <w:jc w:val="center"/>
        <w:rPr>
          <w:rFonts w:hint="eastAsia" w:eastAsia="宋体" w:cs="宋体"/>
          <w:b/>
          <w:color w:val="auto"/>
          <w:sz w:val="52"/>
          <w:szCs w:val="52"/>
          <w:highlight w:val="none"/>
          <w:u w:val="none"/>
          <w:lang w:eastAsia="zh-CN"/>
        </w:rPr>
      </w:pPr>
      <w:r>
        <w:rPr>
          <w:rFonts w:hint="eastAsia" w:eastAsia="宋体" w:cs="宋体"/>
          <w:b/>
          <w:color w:val="auto"/>
          <w:kern w:val="2"/>
          <w:sz w:val="48"/>
          <w:szCs w:val="48"/>
          <w:highlight w:val="none"/>
          <w:u w:val="none"/>
          <w:lang w:eastAsia="zh-CN"/>
        </w:rPr>
        <w:t>从化区农村供水“三同五化”改造提升项目市政供水主管网工程</w:t>
      </w:r>
    </w:p>
    <w:p>
      <w:pPr>
        <w:pStyle w:val="35"/>
        <w:spacing w:line="360" w:lineRule="auto"/>
        <w:jc w:val="center"/>
        <w:rPr>
          <w:rFonts w:ascii="仿宋" w:hAnsi="仿宋" w:eastAsia="仿宋"/>
          <w:b/>
          <w:color w:val="auto"/>
          <w:sz w:val="44"/>
          <w:szCs w:val="44"/>
          <w:highlight w:val="none"/>
        </w:rPr>
      </w:pPr>
    </w:p>
    <w:p>
      <w:pPr>
        <w:pStyle w:val="35"/>
        <w:spacing w:line="360" w:lineRule="auto"/>
        <w:jc w:val="center"/>
        <w:rPr>
          <w:rFonts w:ascii="仿宋" w:hAnsi="仿宋" w:eastAsia="仿宋"/>
          <w:b/>
          <w:color w:val="auto"/>
          <w:sz w:val="44"/>
          <w:szCs w:val="44"/>
          <w:highlight w:val="none"/>
        </w:rPr>
      </w:pPr>
    </w:p>
    <w:p>
      <w:pPr>
        <w:pStyle w:val="35"/>
        <w:spacing w:line="360" w:lineRule="auto"/>
        <w:rPr>
          <w:rFonts w:ascii="仿宋" w:hAnsi="仿宋" w:eastAsia="仿宋"/>
          <w:b/>
          <w:color w:val="auto"/>
          <w:sz w:val="44"/>
          <w:szCs w:val="44"/>
          <w:highlight w:val="none"/>
        </w:rPr>
      </w:pPr>
    </w:p>
    <w:p>
      <w:pPr>
        <w:pStyle w:val="35"/>
        <w:spacing w:line="360" w:lineRule="auto"/>
        <w:rPr>
          <w:rFonts w:ascii="仿宋" w:hAnsi="仿宋" w:eastAsia="仿宋"/>
          <w:b/>
          <w:color w:val="auto"/>
          <w:sz w:val="44"/>
          <w:szCs w:val="44"/>
          <w:highlight w:val="none"/>
        </w:rPr>
      </w:pPr>
    </w:p>
    <w:p>
      <w:pPr>
        <w:spacing w:line="360" w:lineRule="auto"/>
        <w:jc w:val="center"/>
        <w:rPr>
          <w:rFonts w:ascii="仿宋_GB2312" w:hAnsi="宋体" w:eastAsia="仿宋_GB2312"/>
          <w:b/>
          <w:bCs/>
          <w:color w:val="auto"/>
          <w:spacing w:val="26"/>
          <w:sz w:val="110"/>
          <w:szCs w:val="110"/>
          <w:highlight w:val="none"/>
        </w:rPr>
      </w:pPr>
      <w:r>
        <w:rPr>
          <w:rFonts w:hint="eastAsia" w:ascii="仿宋_GB2312" w:hAnsi="宋体" w:eastAsia="仿宋_GB2312"/>
          <w:b/>
          <w:bCs/>
          <w:color w:val="auto"/>
          <w:spacing w:val="26"/>
          <w:sz w:val="110"/>
          <w:szCs w:val="110"/>
          <w:highlight w:val="none"/>
        </w:rPr>
        <w:t>招标文件</w:t>
      </w:r>
    </w:p>
    <w:p>
      <w:pPr>
        <w:pStyle w:val="35"/>
        <w:spacing w:line="360" w:lineRule="auto"/>
        <w:rPr>
          <w:rFonts w:ascii="仿宋" w:hAnsi="仿宋" w:eastAsia="仿宋"/>
          <w:b/>
          <w:color w:val="auto"/>
          <w:sz w:val="44"/>
          <w:szCs w:val="44"/>
          <w:highlight w:val="none"/>
        </w:rPr>
      </w:pPr>
    </w:p>
    <w:p>
      <w:pPr>
        <w:pStyle w:val="35"/>
        <w:spacing w:line="360" w:lineRule="auto"/>
        <w:rPr>
          <w:rFonts w:ascii="仿宋" w:hAnsi="仿宋" w:eastAsia="仿宋"/>
          <w:b/>
          <w:color w:val="auto"/>
          <w:sz w:val="44"/>
          <w:szCs w:val="44"/>
          <w:highlight w:val="none"/>
        </w:rPr>
      </w:pPr>
    </w:p>
    <w:p>
      <w:pPr>
        <w:pStyle w:val="35"/>
        <w:spacing w:line="360" w:lineRule="auto"/>
        <w:rPr>
          <w:rFonts w:ascii="仿宋" w:hAnsi="仿宋" w:eastAsia="仿宋"/>
          <w:b/>
          <w:color w:val="auto"/>
          <w:sz w:val="44"/>
          <w:szCs w:val="44"/>
          <w:highlight w:val="none"/>
        </w:rPr>
      </w:pPr>
    </w:p>
    <w:p>
      <w:pPr>
        <w:pStyle w:val="35"/>
        <w:spacing w:line="360" w:lineRule="auto"/>
        <w:rPr>
          <w:rFonts w:ascii="仿宋" w:hAnsi="仿宋" w:eastAsia="仿宋"/>
          <w:b/>
          <w:color w:val="auto"/>
          <w:sz w:val="44"/>
          <w:szCs w:val="44"/>
          <w:highlight w:val="none"/>
        </w:rPr>
      </w:pPr>
    </w:p>
    <w:p>
      <w:pPr>
        <w:spacing w:line="360" w:lineRule="auto"/>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招  标 单 位： </w:t>
      </w:r>
      <w:r>
        <w:rPr>
          <w:rFonts w:hint="eastAsia" w:ascii="仿宋_GB2312" w:hAnsi="宋体" w:eastAsia="仿宋_GB2312"/>
          <w:b/>
          <w:color w:val="auto"/>
          <w:sz w:val="30"/>
          <w:szCs w:val="30"/>
          <w:highlight w:val="none"/>
          <w:u w:val="single"/>
        </w:rPr>
        <w:t>广州从化自来水有限公司</w:t>
      </w:r>
    </w:p>
    <w:p>
      <w:pPr>
        <w:spacing w:line="360" w:lineRule="auto"/>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招标代理单位： </w:t>
      </w:r>
      <w:r>
        <w:rPr>
          <w:rFonts w:hint="eastAsia" w:ascii="仿宋_GB2312" w:hAnsi="宋体" w:eastAsia="仿宋_GB2312"/>
          <w:b/>
          <w:color w:val="auto"/>
          <w:sz w:val="30"/>
          <w:szCs w:val="30"/>
          <w:highlight w:val="none"/>
          <w:u w:val="single"/>
        </w:rPr>
        <w:t>广州市东建工程建设监理有限公司</w:t>
      </w:r>
    </w:p>
    <w:p>
      <w:pPr>
        <w:spacing w:line="360" w:lineRule="auto"/>
        <w:ind w:firstLine="602" w:firstLineChars="200"/>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日        期：</w:t>
      </w:r>
      <w:r>
        <w:rPr>
          <w:rFonts w:ascii="仿宋_GB2312" w:hAnsi="宋体" w:eastAsia="仿宋_GB2312"/>
          <w:b/>
          <w:color w:val="auto"/>
          <w:sz w:val="30"/>
          <w:szCs w:val="30"/>
          <w:highlight w:val="none"/>
        </w:rPr>
        <w:t xml:space="preserve"> 202</w:t>
      </w:r>
      <w:r>
        <w:rPr>
          <w:rFonts w:hint="eastAsia" w:ascii="仿宋_GB2312" w:hAnsi="宋体" w:eastAsia="仿宋_GB2312"/>
          <w:b/>
          <w:color w:val="auto"/>
          <w:sz w:val="30"/>
          <w:szCs w:val="30"/>
          <w:highlight w:val="none"/>
        </w:rPr>
        <w:t>3年</w:t>
      </w:r>
      <w:r>
        <w:rPr>
          <w:rFonts w:hint="eastAsia" w:ascii="仿宋_GB2312" w:hAnsi="宋体" w:eastAsia="仿宋_GB2312"/>
          <w:b/>
          <w:color w:val="auto"/>
          <w:sz w:val="30"/>
          <w:szCs w:val="30"/>
          <w:highlight w:val="none"/>
          <w:lang w:val="en-US" w:eastAsia="zh-CN"/>
        </w:rPr>
        <w:t>11</w:t>
      </w:r>
      <w:r>
        <w:rPr>
          <w:rFonts w:hint="eastAsia" w:ascii="仿宋_GB2312" w:hAnsi="宋体" w:eastAsia="仿宋_GB2312"/>
          <w:b/>
          <w:color w:val="auto"/>
          <w:sz w:val="30"/>
          <w:szCs w:val="30"/>
          <w:highlight w:val="none"/>
        </w:rPr>
        <w:t>月</w:t>
      </w:r>
    </w:p>
    <w:p>
      <w:pPr>
        <w:spacing w:line="400" w:lineRule="exact"/>
        <w:rPr>
          <w:color w:val="auto"/>
          <w:highlight w:val="none"/>
        </w:rPr>
      </w:pPr>
    </w:p>
    <w:p>
      <w:pPr>
        <w:pStyle w:val="17"/>
        <w:rPr>
          <w:color w:val="auto"/>
          <w:highlight w:val="none"/>
        </w:rPr>
      </w:pPr>
    </w:p>
    <w:p>
      <w:pPr>
        <w:rPr>
          <w:color w:val="auto"/>
          <w:highlight w:val="none"/>
        </w:rPr>
      </w:pPr>
    </w:p>
    <w:p>
      <w:pPr>
        <w:pStyle w:val="41"/>
        <w:ind w:firstLine="400"/>
        <w:rPr>
          <w:color w:val="auto"/>
          <w:highlight w:val="none"/>
        </w:rPr>
      </w:pPr>
    </w:p>
    <w:p>
      <w:pPr>
        <w:pStyle w:val="135"/>
        <w:spacing w:line="400" w:lineRule="exact"/>
        <w:jc w:val="center"/>
        <w:rPr>
          <w:color w:val="auto"/>
          <w:highlight w:val="none"/>
          <w:lang w:val="zh-CN"/>
        </w:rPr>
      </w:pPr>
      <w:bookmarkStart w:id="0" w:name="_Toc26605"/>
      <w:bookmarkEnd w:id="0"/>
      <w:r>
        <w:rPr>
          <w:color w:val="auto"/>
          <w:highlight w:val="none"/>
          <w:lang w:val="zh-CN"/>
        </w:rPr>
        <w:t>目录</w:t>
      </w:r>
    </w:p>
    <w:p>
      <w:pPr>
        <w:rPr>
          <w:color w:val="auto"/>
          <w:highlight w:val="none"/>
        </w:rPr>
      </w:pPr>
    </w:p>
    <w:p>
      <w:pPr>
        <w:pStyle w:val="29"/>
        <w:tabs>
          <w:tab w:val="right" w:leader="dot" w:pos="9638"/>
        </w:tabs>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highlight w:val="none"/>
        </w:rPr>
        <w:instrText xml:space="preserve"> HYPERLINK \l _Toc10553 </w:instrText>
      </w:r>
      <w:r>
        <w:rPr>
          <w:highlight w:val="none"/>
        </w:rPr>
        <w:fldChar w:fldCharType="separate"/>
      </w:r>
      <w:r>
        <w:rPr>
          <w:rFonts w:hint="eastAsia"/>
          <w:highlight w:val="none"/>
        </w:rPr>
        <w:t>第一章 招标公告</w:t>
      </w:r>
      <w:r>
        <w:tab/>
      </w:r>
      <w:r>
        <w:fldChar w:fldCharType="begin"/>
      </w:r>
      <w:r>
        <w:instrText xml:space="preserve"> PAGEREF _Toc10553 \h </w:instrText>
      </w:r>
      <w:r>
        <w:fldChar w:fldCharType="separate"/>
      </w:r>
      <w:r>
        <w:t>4</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_Toc12723 </w:instrText>
      </w:r>
      <w:r>
        <w:rPr>
          <w:highlight w:val="none"/>
        </w:rPr>
        <w:fldChar w:fldCharType="separate"/>
      </w:r>
      <w:r>
        <w:rPr>
          <w:rFonts w:hint="eastAsia"/>
          <w:highlight w:val="none"/>
        </w:rPr>
        <w:t>第二章投标人须知</w:t>
      </w:r>
      <w:r>
        <w:tab/>
      </w:r>
      <w:r>
        <w:fldChar w:fldCharType="begin"/>
      </w:r>
      <w:r>
        <w:instrText xml:space="preserve"> PAGEREF _Toc12723 \h </w:instrText>
      </w:r>
      <w:r>
        <w:fldChar w:fldCharType="separate"/>
      </w:r>
      <w:r>
        <w:t>5</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_Toc31484 </w:instrText>
      </w:r>
      <w:r>
        <w:rPr>
          <w:highlight w:val="none"/>
        </w:rPr>
        <w:fldChar w:fldCharType="separate"/>
      </w:r>
      <w:r>
        <w:rPr>
          <w:rFonts w:hint="eastAsia"/>
          <w:highlight w:val="none"/>
        </w:rPr>
        <w:t>第三章评标办法（综合评估法）</w:t>
      </w:r>
      <w:r>
        <w:tab/>
      </w:r>
      <w:r>
        <w:fldChar w:fldCharType="begin"/>
      </w:r>
      <w:r>
        <w:instrText xml:space="preserve"> PAGEREF _Toc31484 \h </w:instrText>
      </w:r>
      <w:r>
        <w:fldChar w:fldCharType="separate"/>
      </w:r>
      <w:r>
        <w:t>33</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_Toc17695 </w:instrText>
      </w:r>
      <w:r>
        <w:rPr>
          <w:highlight w:val="none"/>
        </w:rPr>
        <w:fldChar w:fldCharType="separate"/>
      </w:r>
      <w:r>
        <w:rPr>
          <w:rFonts w:hint="eastAsia"/>
          <w:highlight w:val="none"/>
        </w:rPr>
        <w:t>第四章合同条款</w:t>
      </w:r>
      <w:r>
        <w:tab/>
      </w:r>
      <w:r>
        <w:fldChar w:fldCharType="begin"/>
      </w:r>
      <w:r>
        <w:instrText xml:space="preserve"> PAGEREF _Toc17695 \h </w:instrText>
      </w:r>
      <w:r>
        <w:fldChar w:fldCharType="separate"/>
      </w:r>
      <w:r>
        <w:t>50</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_Toc8814 </w:instrText>
      </w:r>
      <w:r>
        <w:rPr>
          <w:highlight w:val="none"/>
        </w:rPr>
        <w:fldChar w:fldCharType="separate"/>
      </w:r>
      <w:r>
        <w:rPr>
          <w:rFonts w:hint="eastAsia"/>
          <w:highlight w:val="none"/>
        </w:rPr>
        <w:t>第五章工程量清单（工程量清单计价、综合单价承包）</w:t>
      </w:r>
      <w:r>
        <w:tab/>
      </w:r>
      <w:r>
        <w:fldChar w:fldCharType="begin"/>
      </w:r>
      <w:r>
        <w:instrText xml:space="preserve"> PAGEREF _Toc8814 \h </w:instrText>
      </w:r>
      <w:r>
        <w:fldChar w:fldCharType="separate"/>
      </w:r>
      <w:r>
        <w:t>51</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_Toc14621 </w:instrText>
      </w:r>
      <w:r>
        <w:rPr>
          <w:highlight w:val="none"/>
        </w:rPr>
        <w:fldChar w:fldCharType="separate"/>
      </w:r>
      <w:r>
        <w:rPr>
          <w:rFonts w:hint="eastAsia"/>
          <w:highlight w:val="none"/>
        </w:rPr>
        <w:t>第六章图纸及勘察资料</w:t>
      </w:r>
      <w:r>
        <w:tab/>
      </w:r>
      <w:r>
        <w:fldChar w:fldCharType="begin"/>
      </w:r>
      <w:r>
        <w:instrText xml:space="preserve"> PAGEREF _Toc14621 \h </w:instrText>
      </w:r>
      <w:r>
        <w:fldChar w:fldCharType="separate"/>
      </w:r>
      <w:r>
        <w:t>53</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_Toc30828 </w:instrText>
      </w:r>
      <w:r>
        <w:rPr>
          <w:highlight w:val="none"/>
        </w:rPr>
        <w:fldChar w:fldCharType="separate"/>
      </w:r>
      <w:r>
        <w:rPr>
          <w:rFonts w:hint="eastAsia"/>
          <w:highlight w:val="none"/>
        </w:rPr>
        <w:t>第七章技术标准和要求</w:t>
      </w:r>
      <w:r>
        <w:tab/>
      </w:r>
      <w:r>
        <w:fldChar w:fldCharType="begin"/>
      </w:r>
      <w:r>
        <w:instrText xml:space="preserve"> PAGEREF _Toc30828 \h </w:instrText>
      </w:r>
      <w:r>
        <w:fldChar w:fldCharType="separate"/>
      </w:r>
      <w:r>
        <w:t>54</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_Toc8318 </w:instrText>
      </w:r>
      <w:r>
        <w:rPr>
          <w:highlight w:val="none"/>
        </w:rPr>
        <w:fldChar w:fldCharType="separate"/>
      </w:r>
      <w:r>
        <w:rPr>
          <w:rFonts w:hint="eastAsia"/>
          <w:highlight w:val="none"/>
        </w:rPr>
        <w:t>第八章投标文件格式</w:t>
      </w:r>
      <w:r>
        <w:tab/>
      </w:r>
      <w:r>
        <w:fldChar w:fldCharType="begin"/>
      </w:r>
      <w:r>
        <w:instrText xml:space="preserve"> PAGEREF _Toc8318 \h </w:instrText>
      </w:r>
      <w:r>
        <w:fldChar w:fldCharType="separate"/>
      </w:r>
      <w:r>
        <w:t>55</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_Toc28027 </w:instrText>
      </w:r>
      <w:r>
        <w:rPr>
          <w:highlight w:val="none"/>
        </w:rPr>
        <w:fldChar w:fldCharType="separate"/>
      </w:r>
      <w:r>
        <w:rPr>
          <w:rFonts w:hint="eastAsia"/>
          <w:highlight w:val="none"/>
        </w:rPr>
        <w:t>第九章否决性条款汇总</w:t>
      </w:r>
      <w:r>
        <w:tab/>
      </w:r>
      <w:r>
        <w:fldChar w:fldCharType="begin"/>
      </w:r>
      <w:r>
        <w:instrText xml:space="preserve"> PAGEREF _Toc28027 \h </w:instrText>
      </w:r>
      <w:r>
        <w:fldChar w:fldCharType="separate"/>
      </w:r>
      <w:r>
        <w:t>83</w:t>
      </w:r>
      <w:r>
        <w:fldChar w:fldCharType="end"/>
      </w:r>
      <w:r>
        <w:rPr>
          <w:color w:val="auto"/>
          <w:highlight w:val="none"/>
        </w:rPr>
        <w:fldChar w:fldCharType="end"/>
      </w:r>
    </w:p>
    <w:p>
      <w:pPr>
        <w:pStyle w:val="29"/>
        <w:tabs>
          <w:tab w:val="right" w:leader="dot" w:pos="9638"/>
        </w:tabs>
      </w:pPr>
      <w:r>
        <w:rPr>
          <w:color w:val="auto"/>
          <w:highlight w:val="none"/>
        </w:rPr>
        <w:fldChar w:fldCharType="begin"/>
      </w:r>
      <w:r>
        <w:rPr>
          <w:highlight w:val="none"/>
        </w:rPr>
        <w:instrText xml:space="preserve"> HYPERLINK \l _Toc28933 </w:instrText>
      </w:r>
      <w:r>
        <w:rPr>
          <w:highlight w:val="none"/>
        </w:rPr>
        <w:fldChar w:fldCharType="separate"/>
      </w:r>
      <w:r>
        <w:rPr>
          <w:rFonts w:hint="eastAsia"/>
          <w:highlight w:val="none"/>
        </w:rPr>
        <w:t>第十章最高投标限价（招标控制价）</w:t>
      </w:r>
      <w:r>
        <w:tab/>
      </w:r>
      <w:r>
        <w:fldChar w:fldCharType="begin"/>
      </w:r>
      <w:r>
        <w:instrText xml:space="preserve"> PAGEREF _Toc28933 \h </w:instrText>
      </w:r>
      <w:r>
        <w:fldChar w:fldCharType="separate"/>
      </w:r>
      <w:r>
        <w:t>85</w:t>
      </w:r>
      <w:r>
        <w:fldChar w:fldCharType="end"/>
      </w:r>
      <w:r>
        <w:rPr>
          <w:color w:val="auto"/>
          <w:highlight w:val="none"/>
        </w:rPr>
        <w:fldChar w:fldCharType="end"/>
      </w:r>
    </w:p>
    <w:p>
      <w:pPr>
        <w:spacing w:line="400" w:lineRule="exact"/>
        <w:rPr>
          <w:color w:val="auto"/>
          <w:highlight w:val="none"/>
        </w:rPr>
      </w:pPr>
      <w:r>
        <w:rPr>
          <w:color w:val="auto"/>
          <w:highlight w:val="none"/>
        </w:rPr>
        <w:fldChar w:fldCharType="end"/>
      </w:r>
    </w:p>
    <w:p>
      <w:pPr>
        <w:spacing w:line="400" w:lineRule="exact"/>
        <w:rPr>
          <w:color w:val="auto"/>
          <w:highlight w:val="none"/>
        </w:rPr>
      </w:pPr>
    </w:p>
    <w:p>
      <w:pPr>
        <w:spacing w:line="400" w:lineRule="exact"/>
        <w:rPr>
          <w:rFonts w:ascii="宋体" w:hAnsi="宋体" w:cs="宋体"/>
          <w:color w:val="auto"/>
          <w:highlight w:val="none"/>
        </w:rPr>
      </w:pPr>
      <w:bookmarkStart w:id="1" w:name="_Toc21787625"/>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bookmarkEnd w:id="1"/>
    <w:p>
      <w:pPr>
        <w:pStyle w:val="2"/>
        <w:spacing w:line="400" w:lineRule="exact"/>
        <w:jc w:val="center"/>
        <w:rPr>
          <w:rFonts w:ascii="宋体" w:hAnsi="宋体" w:eastAsia="宋体" w:cs="宋体"/>
          <w:color w:val="auto"/>
          <w:highlight w:val="none"/>
        </w:rPr>
      </w:pPr>
      <w:r>
        <w:rPr>
          <w:rFonts w:ascii="宋体" w:hAnsi="宋体" w:eastAsia="宋体" w:cs="宋体"/>
          <w:color w:val="auto"/>
          <w:highlight w:val="none"/>
        </w:rPr>
        <w:br w:type="page"/>
      </w:r>
      <w:bookmarkStart w:id="2" w:name="_Toc10553"/>
      <w:r>
        <w:rPr>
          <w:rFonts w:hint="eastAsia"/>
          <w:color w:val="auto"/>
          <w:highlight w:val="none"/>
        </w:rPr>
        <w:t>第一章 招标公告</w:t>
      </w:r>
      <w:bookmarkEnd w:id="2"/>
    </w:p>
    <w:p>
      <w:pPr>
        <w:pStyle w:val="2"/>
        <w:spacing w:line="400" w:lineRule="exact"/>
        <w:jc w:val="center"/>
        <w:rPr>
          <w:rFonts w:ascii="宋体" w:hAnsi="宋体"/>
          <w:b w:val="0"/>
          <w:color w:val="auto"/>
          <w:sz w:val="24"/>
          <w:highlight w:val="none"/>
        </w:rPr>
      </w:pPr>
      <w:bookmarkStart w:id="3" w:name="_Toc6243"/>
      <w:bookmarkEnd w:id="3"/>
      <w:bookmarkStart w:id="4" w:name="_Toc3590"/>
      <w:r>
        <w:rPr>
          <w:rFonts w:hint="eastAsia" w:ascii="宋体" w:hAnsi="宋体" w:eastAsia="宋体" w:cs="宋体"/>
          <w:b w:val="0"/>
          <w:color w:val="auto"/>
          <w:highlight w:val="none"/>
        </w:rPr>
        <w:t>（另册）</w:t>
      </w:r>
      <w:bookmarkEnd w:id="4"/>
    </w:p>
    <w:p>
      <w:pPr>
        <w:pStyle w:val="21"/>
        <w:rPr>
          <w:color w:val="auto"/>
          <w:highlight w:val="none"/>
        </w:rPr>
      </w:pPr>
      <w:bookmarkStart w:id="5" w:name="_Toc21787637"/>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1"/>
        <w:rPr>
          <w:color w:val="auto"/>
          <w:highlight w:val="none"/>
        </w:rPr>
      </w:pPr>
    </w:p>
    <w:bookmarkEnd w:id="5"/>
    <w:p>
      <w:pPr>
        <w:pStyle w:val="2"/>
        <w:spacing w:line="400" w:lineRule="exact"/>
        <w:jc w:val="center"/>
        <w:rPr>
          <w:rFonts w:ascii="宋体" w:hAnsi="宋体"/>
          <w:color w:val="auto"/>
          <w:sz w:val="24"/>
          <w:highlight w:val="none"/>
        </w:rPr>
      </w:pPr>
      <w:r>
        <w:rPr>
          <w:color w:val="auto"/>
          <w:highlight w:val="none"/>
        </w:rPr>
        <w:br w:type="page"/>
      </w:r>
      <w:bookmarkStart w:id="6" w:name="_Toc12723"/>
      <w:r>
        <w:rPr>
          <w:rFonts w:hint="eastAsia"/>
          <w:color w:val="auto"/>
          <w:highlight w:val="none"/>
        </w:rPr>
        <w:t>第二章投标人须知</w:t>
      </w:r>
      <w:bookmarkEnd w:id="6"/>
    </w:p>
    <w:p>
      <w:pPr>
        <w:spacing w:line="400" w:lineRule="exact"/>
        <w:jc w:val="center"/>
        <w:outlineLvl w:val="2"/>
        <w:rPr>
          <w:rFonts w:ascii="黑体" w:hAnsi="黑体" w:eastAsia="黑体"/>
          <w:color w:val="auto"/>
          <w:sz w:val="28"/>
          <w:szCs w:val="27"/>
          <w:highlight w:val="none"/>
        </w:rPr>
      </w:pPr>
      <w:bookmarkStart w:id="7" w:name="_Toc31141"/>
      <w:bookmarkEnd w:id="7"/>
      <w:bookmarkStart w:id="8" w:name="_Toc4961"/>
      <w:bookmarkStart w:id="9" w:name="_Toc21787638"/>
      <w:r>
        <w:rPr>
          <w:rFonts w:hint="eastAsia" w:ascii="黑体" w:hAnsi="黑体" w:eastAsia="黑体"/>
          <w:color w:val="auto"/>
          <w:sz w:val="28"/>
          <w:szCs w:val="27"/>
          <w:highlight w:val="none"/>
        </w:rPr>
        <w:t>投标人须知前附表</w:t>
      </w:r>
      <w:bookmarkEnd w:id="8"/>
    </w:p>
    <w:tbl>
      <w:tblPr>
        <w:tblStyle w:val="42"/>
        <w:tblW w:w="0" w:type="auto"/>
        <w:tblInd w:w="0" w:type="dxa"/>
        <w:tblLayout w:type="fixed"/>
        <w:tblCellMar>
          <w:top w:w="0" w:type="dxa"/>
          <w:left w:w="108" w:type="dxa"/>
          <w:bottom w:w="0" w:type="dxa"/>
          <w:right w:w="108" w:type="dxa"/>
        </w:tblCellMar>
      </w:tblPr>
      <w:tblGrid>
        <w:gridCol w:w="1498"/>
        <w:gridCol w:w="2061"/>
        <w:gridCol w:w="6188"/>
      </w:tblGrid>
      <w:tr>
        <w:trPr>
          <w:tblHeader/>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b/>
                <w:color w:val="auto"/>
                <w:szCs w:val="21"/>
                <w:highlight w:val="none"/>
              </w:rPr>
            </w:pPr>
            <w:r>
              <w:rPr>
                <w:b/>
                <w:color w:val="auto"/>
                <w:szCs w:val="21"/>
                <w:highlight w:val="none"/>
              </w:rPr>
              <w:t>条款号</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b/>
                <w:color w:val="auto"/>
                <w:szCs w:val="21"/>
                <w:highlight w:val="none"/>
              </w:rPr>
            </w:pPr>
            <w:r>
              <w:rPr>
                <w:b/>
                <w:color w:val="auto"/>
                <w:szCs w:val="21"/>
                <w:highlight w:val="none"/>
              </w:rPr>
              <w:t>条款名称</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b/>
                <w:color w:val="auto"/>
                <w:szCs w:val="21"/>
                <w:highlight w:val="none"/>
              </w:rPr>
            </w:pPr>
            <w:r>
              <w:rPr>
                <w:b/>
                <w:color w:val="auto"/>
                <w:szCs w:val="21"/>
                <w:highlight w:val="none"/>
              </w:rPr>
              <w:t>编列内容</w:t>
            </w:r>
          </w:p>
        </w:tc>
      </w:tr>
      <w:tr>
        <w:tblPrEx>
          <w:tblCellMar>
            <w:top w:w="0" w:type="dxa"/>
            <w:left w:w="108" w:type="dxa"/>
            <w:bottom w:w="0" w:type="dxa"/>
            <w:right w:w="108" w:type="dxa"/>
          </w:tblCellMar>
        </w:tblPrEx>
        <w:trPr>
          <w:trHeight w:val="315"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1.1.2</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招标人</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contextualSpacing/>
              <w:rPr>
                <w:color w:val="auto"/>
                <w:szCs w:val="21"/>
                <w:highlight w:val="none"/>
              </w:rPr>
            </w:pPr>
            <w:r>
              <w:rPr>
                <w:rFonts w:hint="eastAsia"/>
                <w:color w:val="auto"/>
                <w:szCs w:val="21"/>
                <w:highlight w:val="none"/>
              </w:rPr>
              <w:t>名称：</w:t>
            </w:r>
            <w:r>
              <w:rPr>
                <w:rFonts w:hint="eastAsia"/>
                <w:color w:val="auto"/>
                <w:szCs w:val="21"/>
                <w:highlight w:val="none"/>
                <w:u w:val="single"/>
              </w:rPr>
              <w:t>广州从化自来水有限公司</w:t>
            </w:r>
          </w:p>
          <w:p>
            <w:pPr>
              <w:spacing w:before="120" w:beforeLines="50"/>
              <w:contextualSpacing/>
              <w:rPr>
                <w:color w:val="auto"/>
                <w:szCs w:val="21"/>
                <w:highlight w:val="none"/>
                <w:u w:val="single"/>
              </w:rPr>
            </w:pPr>
            <w:r>
              <w:rPr>
                <w:rFonts w:hint="eastAsia"/>
                <w:color w:val="auto"/>
                <w:szCs w:val="21"/>
                <w:highlight w:val="none"/>
              </w:rPr>
              <w:t>地址：</w:t>
            </w:r>
            <w:r>
              <w:rPr>
                <w:rFonts w:hint="eastAsia"/>
                <w:color w:val="auto"/>
                <w:szCs w:val="21"/>
                <w:highlight w:val="none"/>
                <w:u w:val="single"/>
              </w:rPr>
              <w:t>广州市从化区城郊街河滨北路402号</w:t>
            </w:r>
          </w:p>
          <w:p>
            <w:pPr>
              <w:spacing w:before="120" w:beforeLines="50"/>
              <w:contextualSpacing/>
              <w:rPr>
                <w:color w:val="auto"/>
                <w:szCs w:val="21"/>
                <w:highlight w:val="none"/>
              </w:rPr>
            </w:pPr>
            <w:r>
              <w:rPr>
                <w:rFonts w:hint="eastAsia"/>
                <w:color w:val="auto"/>
                <w:szCs w:val="21"/>
                <w:highlight w:val="none"/>
              </w:rPr>
              <w:t>联系人：</w:t>
            </w:r>
            <w:r>
              <w:rPr>
                <w:rFonts w:hint="eastAsia"/>
                <w:color w:val="auto"/>
                <w:szCs w:val="21"/>
                <w:highlight w:val="none"/>
                <w:u w:val="single"/>
              </w:rPr>
              <w:t>赵工</w:t>
            </w:r>
          </w:p>
          <w:p>
            <w:pPr>
              <w:spacing w:before="120" w:beforeLines="50"/>
              <w:contextualSpacing/>
              <w:rPr>
                <w:color w:val="auto"/>
                <w:szCs w:val="21"/>
                <w:highlight w:val="none"/>
              </w:rPr>
            </w:pPr>
            <w:r>
              <w:rPr>
                <w:rFonts w:hint="eastAsia"/>
                <w:color w:val="auto"/>
                <w:szCs w:val="21"/>
                <w:highlight w:val="none"/>
              </w:rPr>
              <w:t>电话：</w:t>
            </w:r>
            <w:r>
              <w:rPr>
                <w:rFonts w:hint="eastAsia"/>
                <w:color w:val="auto"/>
                <w:szCs w:val="21"/>
                <w:highlight w:val="none"/>
                <w:u w:val="single"/>
              </w:rPr>
              <w:t>13926130993、020-87920286</w:t>
            </w:r>
          </w:p>
        </w:tc>
      </w:tr>
      <w:tr>
        <w:tblPrEx>
          <w:tblCellMar>
            <w:top w:w="0" w:type="dxa"/>
            <w:left w:w="108" w:type="dxa"/>
            <w:bottom w:w="0" w:type="dxa"/>
            <w:right w:w="108" w:type="dxa"/>
          </w:tblCellMar>
        </w:tblPrEx>
        <w:trPr>
          <w:trHeight w:val="90"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1.1.3</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招标代理机构</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contextualSpacing/>
              <w:rPr>
                <w:color w:val="auto"/>
                <w:szCs w:val="21"/>
                <w:highlight w:val="none"/>
              </w:rPr>
            </w:pPr>
            <w:r>
              <w:rPr>
                <w:rFonts w:hint="eastAsia"/>
                <w:color w:val="auto"/>
                <w:szCs w:val="21"/>
                <w:highlight w:val="none"/>
              </w:rPr>
              <w:t>名称：</w:t>
            </w:r>
            <w:r>
              <w:rPr>
                <w:rFonts w:hint="eastAsia"/>
                <w:color w:val="auto"/>
                <w:szCs w:val="21"/>
                <w:highlight w:val="none"/>
                <w:u w:val="single"/>
              </w:rPr>
              <w:t>广州市东建工程建设监理有限公司</w:t>
            </w:r>
          </w:p>
          <w:p>
            <w:pPr>
              <w:spacing w:before="120" w:beforeLines="50"/>
              <w:contextualSpacing/>
              <w:rPr>
                <w:color w:val="auto"/>
                <w:szCs w:val="21"/>
                <w:highlight w:val="none"/>
              </w:rPr>
            </w:pPr>
            <w:r>
              <w:rPr>
                <w:rFonts w:hint="eastAsia"/>
                <w:color w:val="auto"/>
                <w:szCs w:val="21"/>
                <w:highlight w:val="none"/>
              </w:rPr>
              <w:t>地址：</w:t>
            </w:r>
            <w:r>
              <w:rPr>
                <w:rFonts w:hint="eastAsia"/>
                <w:color w:val="auto"/>
                <w:szCs w:val="21"/>
                <w:highlight w:val="none"/>
                <w:u w:val="single"/>
              </w:rPr>
              <w:t>广州市越秀区东风中路507号东建大厦首层</w:t>
            </w:r>
          </w:p>
          <w:p>
            <w:pPr>
              <w:spacing w:before="120" w:beforeLines="50"/>
              <w:contextualSpacing/>
              <w:rPr>
                <w:color w:val="auto"/>
                <w:szCs w:val="21"/>
                <w:highlight w:val="none"/>
                <w:u w:val="single"/>
              </w:rPr>
            </w:pPr>
            <w:r>
              <w:rPr>
                <w:rFonts w:hint="eastAsia"/>
                <w:color w:val="auto"/>
                <w:szCs w:val="21"/>
                <w:highlight w:val="none"/>
              </w:rPr>
              <w:t>联系人：</w:t>
            </w:r>
            <w:r>
              <w:rPr>
                <w:rFonts w:hint="eastAsia"/>
                <w:color w:val="auto"/>
                <w:szCs w:val="21"/>
                <w:highlight w:val="none"/>
                <w:u w:val="single"/>
              </w:rPr>
              <w:t>邱工</w:t>
            </w:r>
          </w:p>
          <w:p>
            <w:pPr>
              <w:spacing w:before="120" w:beforeLines="50"/>
              <w:contextualSpacing/>
              <w:rPr>
                <w:color w:val="auto"/>
                <w:szCs w:val="21"/>
                <w:highlight w:val="none"/>
              </w:rPr>
            </w:pPr>
            <w:r>
              <w:rPr>
                <w:rFonts w:hint="eastAsia"/>
                <w:color w:val="auto"/>
                <w:szCs w:val="21"/>
                <w:highlight w:val="none"/>
              </w:rPr>
              <w:t>电话：</w:t>
            </w:r>
            <w:r>
              <w:rPr>
                <w:rFonts w:hint="eastAsia"/>
                <w:color w:val="auto"/>
                <w:szCs w:val="21"/>
                <w:highlight w:val="none"/>
                <w:u w:val="single"/>
              </w:rPr>
              <w:t>020-83372591</w:t>
            </w:r>
          </w:p>
        </w:tc>
      </w:tr>
      <w:tr>
        <w:tblPrEx>
          <w:tblCellMar>
            <w:top w:w="0" w:type="dxa"/>
            <w:left w:w="108" w:type="dxa"/>
            <w:bottom w:w="0" w:type="dxa"/>
            <w:right w:w="108" w:type="dxa"/>
          </w:tblCellMar>
        </w:tblPrEx>
        <w:trPr>
          <w:trHeight w:val="567"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1.1.4</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项目名称</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rFonts w:hint="eastAsia" w:eastAsia="宋体"/>
                <w:color w:val="auto"/>
                <w:szCs w:val="21"/>
                <w:highlight w:val="none"/>
                <w:u w:val="single"/>
                <w:lang w:eastAsia="zh-CN"/>
              </w:rPr>
            </w:pPr>
            <w:r>
              <w:rPr>
                <w:rFonts w:hint="eastAsia"/>
                <w:color w:val="auto"/>
                <w:highlight w:val="none"/>
                <w:u w:val="single"/>
                <w:lang w:eastAsia="zh-CN"/>
              </w:rPr>
              <w:t>从化区农村供水“三同五化”改造提升项目市政供水主管网工程</w:t>
            </w:r>
          </w:p>
        </w:tc>
      </w:tr>
      <w:tr>
        <w:tblPrEx>
          <w:tblCellMar>
            <w:top w:w="0" w:type="dxa"/>
            <w:left w:w="108" w:type="dxa"/>
            <w:bottom w:w="0" w:type="dxa"/>
            <w:right w:w="108" w:type="dxa"/>
          </w:tblCellMar>
        </w:tblPrEx>
        <w:trPr>
          <w:trHeight w:val="556"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1.1.5</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建设地点</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color w:val="auto"/>
                <w:szCs w:val="21"/>
                <w:highlight w:val="none"/>
                <w:u w:val="single"/>
              </w:rPr>
            </w:pPr>
            <w:r>
              <w:rPr>
                <w:rFonts w:hint="eastAsia"/>
                <w:color w:val="auto"/>
                <w:highlight w:val="none"/>
                <w:u w:val="single"/>
              </w:rPr>
              <w:t>从化区鳌头镇、良口镇、温泉镇</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1.2.1</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资金来源</w:t>
            </w:r>
            <w:r>
              <w:rPr>
                <w:rFonts w:hint="eastAsia"/>
                <w:color w:val="auto"/>
                <w:szCs w:val="21"/>
                <w:highlight w:val="none"/>
              </w:rPr>
              <w:t>及比例</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color w:val="auto"/>
                <w:szCs w:val="21"/>
                <w:highlight w:val="none"/>
                <w:u w:val="single"/>
              </w:rPr>
            </w:pPr>
            <w:r>
              <w:rPr>
                <w:rFonts w:hint="eastAsia"/>
                <w:color w:val="auto"/>
                <w:highlight w:val="none"/>
                <w:u w:val="single"/>
              </w:rPr>
              <w:t>建设资金来自财政资金，项目出资比例为市财政、从化区财政按8：2比例出资</w:t>
            </w:r>
          </w:p>
        </w:tc>
      </w:tr>
      <w:tr>
        <w:tblPrEx>
          <w:tblCellMar>
            <w:top w:w="0" w:type="dxa"/>
            <w:left w:w="108" w:type="dxa"/>
            <w:bottom w:w="0" w:type="dxa"/>
            <w:right w:w="108" w:type="dxa"/>
          </w:tblCellMar>
        </w:tblPrEx>
        <w:trPr>
          <w:trHeight w:val="548"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1.3.</w:t>
            </w:r>
            <w:r>
              <w:rPr>
                <w:rFonts w:hint="eastAsia"/>
                <w:color w:val="auto"/>
                <w:szCs w:val="21"/>
                <w:highlight w:val="none"/>
              </w:rPr>
              <w:t>1</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招标范围</w:t>
            </w:r>
          </w:p>
        </w:tc>
        <w:tc>
          <w:tcPr>
            <w:tcW w:w="6188" w:type="dxa"/>
            <w:tcBorders>
              <w:top w:val="single" w:color="auto" w:sz="4" w:space="0"/>
              <w:left w:val="single" w:color="auto" w:sz="4" w:space="0"/>
              <w:bottom w:val="single" w:color="auto" w:sz="4" w:space="0"/>
              <w:right w:val="single" w:color="auto" w:sz="4" w:space="0"/>
            </w:tcBorders>
            <w:noWrap/>
          </w:tcPr>
          <w:p>
            <w:pPr>
              <w:spacing w:before="120" w:beforeLines="50" w:line="400" w:lineRule="exact"/>
              <w:contextualSpacing/>
              <w:rPr>
                <w:color w:val="auto"/>
                <w:szCs w:val="21"/>
                <w:highlight w:val="none"/>
              </w:rPr>
            </w:pPr>
            <w:r>
              <w:rPr>
                <w:rFonts w:hint="eastAsia"/>
                <w:color w:val="auto"/>
                <w:szCs w:val="21"/>
                <w:highlight w:val="none"/>
              </w:rPr>
              <w:t>详见</w:t>
            </w:r>
            <w:r>
              <w:rPr>
                <w:color w:val="auto"/>
                <w:szCs w:val="21"/>
                <w:highlight w:val="none"/>
              </w:rPr>
              <w:t>招标公告</w:t>
            </w:r>
          </w:p>
        </w:tc>
      </w:tr>
      <w:tr>
        <w:tblPrEx>
          <w:tblCellMar>
            <w:top w:w="0" w:type="dxa"/>
            <w:left w:w="108" w:type="dxa"/>
            <w:bottom w:w="0" w:type="dxa"/>
            <w:right w:w="108" w:type="dxa"/>
          </w:tblCellMar>
        </w:tblPrEx>
        <w:trPr>
          <w:trHeight w:val="599"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1.3.</w:t>
            </w:r>
            <w:r>
              <w:rPr>
                <w:rFonts w:hint="eastAsia"/>
                <w:color w:val="auto"/>
                <w:szCs w:val="21"/>
                <w:highlight w:val="none"/>
              </w:rPr>
              <w:t>2</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计划工期</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color w:val="auto"/>
                <w:szCs w:val="21"/>
                <w:highlight w:val="none"/>
                <w:u w:val="single"/>
              </w:rPr>
            </w:pPr>
            <w:r>
              <w:rPr>
                <w:rFonts w:hint="eastAsia"/>
                <w:color w:val="auto"/>
                <w:szCs w:val="21"/>
                <w:highlight w:val="none"/>
                <w:u w:val="single"/>
              </w:rPr>
              <w:t>计划工期：24个月。</w:t>
            </w:r>
          </w:p>
          <w:p>
            <w:pPr>
              <w:spacing w:before="120" w:beforeLines="50" w:line="400" w:lineRule="exact"/>
              <w:contextualSpacing/>
              <w:rPr>
                <w:color w:val="auto"/>
                <w:szCs w:val="21"/>
                <w:highlight w:val="none"/>
                <w:u w:val="single"/>
              </w:rPr>
            </w:pPr>
            <w:r>
              <w:rPr>
                <w:rFonts w:hint="eastAsia"/>
                <w:color w:val="auto"/>
                <w:szCs w:val="21"/>
                <w:highlight w:val="none"/>
                <w:u w:val="single"/>
              </w:rPr>
              <w:t>计划开工日期：    年      月    日</w:t>
            </w:r>
          </w:p>
          <w:p>
            <w:pPr>
              <w:spacing w:before="120" w:beforeLines="50" w:line="400" w:lineRule="exact"/>
              <w:contextualSpacing/>
              <w:rPr>
                <w:color w:val="auto"/>
                <w:szCs w:val="21"/>
                <w:highlight w:val="none"/>
                <w:u w:val="single"/>
              </w:rPr>
            </w:pPr>
            <w:r>
              <w:rPr>
                <w:rFonts w:hint="eastAsia"/>
                <w:color w:val="auto"/>
                <w:szCs w:val="21"/>
                <w:highlight w:val="none"/>
                <w:u w:val="single"/>
              </w:rPr>
              <w:t>计划竣工日期：    年      月    日</w:t>
            </w:r>
          </w:p>
        </w:tc>
      </w:tr>
      <w:tr>
        <w:tblPrEx>
          <w:tblCellMar>
            <w:top w:w="0" w:type="dxa"/>
            <w:left w:w="108" w:type="dxa"/>
            <w:bottom w:w="0" w:type="dxa"/>
            <w:right w:w="108" w:type="dxa"/>
          </w:tblCellMar>
        </w:tblPrEx>
        <w:trPr>
          <w:trHeight w:val="916"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1.3.3</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质量要求</w:t>
            </w:r>
          </w:p>
        </w:tc>
        <w:tc>
          <w:tcPr>
            <w:tcW w:w="6188" w:type="dxa"/>
            <w:tcBorders>
              <w:top w:val="single" w:color="auto" w:sz="4" w:space="0"/>
              <w:left w:val="single" w:color="auto" w:sz="4" w:space="0"/>
              <w:bottom w:val="single" w:color="auto" w:sz="4" w:space="0"/>
              <w:right w:val="single" w:color="auto" w:sz="4" w:space="0"/>
            </w:tcBorders>
            <w:noWrap/>
            <w:vAlign w:val="center"/>
          </w:tcPr>
          <w:p>
            <w:pPr>
              <w:pStyle w:val="16"/>
              <w:topLinePunct/>
              <w:adjustRightInd w:val="0"/>
              <w:snapToGrid w:val="0"/>
              <w:spacing w:line="36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☑合格</w:t>
            </w:r>
          </w:p>
          <w:p>
            <w:pPr>
              <w:pStyle w:val="16"/>
              <w:topLinePunct/>
              <w:adjustRightInd w:val="0"/>
              <w:snapToGrid w:val="0"/>
              <w:spacing w:line="360" w:lineRule="exact"/>
              <w:rPr>
                <w:color w:val="auto"/>
                <w:sz w:val="21"/>
                <w:szCs w:val="21"/>
                <w:highlight w:val="none"/>
              </w:rPr>
            </w:pPr>
            <w:r>
              <w:rPr>
                <w:rFonts w:hint="eastAsia" w:ascii="宋体" w:hAnsi="宋体" w:cs="宋体"/>
                <w:color w:val="auto"/>
                <w:kern w:val="2"/>
                <w:sz w:val="21"/>
                <w:szCs w:val="21"/>
                <w:highlight w:val="none"/>
              </w:rPr>
              <w:t>□优良</w:t>
            </w:r>
          </w:p>
        </w:tc>
      </w:tr>
      <w:tr>
        <w:tblPrEx>
          <w:tblCellMar>
            <w:top w:w="0" w:type="dxa"/>
            <w:left w:w="108" w:type="dxa"/>
            <w:bottom w:w="0" w:type="dxa"/>
            <w:right w:w="108" w:type="dxa"/>
          </w:tblCellMar>
        </w:tblPrEx>
        <w:trPr>
          <w:trHeight w:val="1054"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1.3.4</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承包方式</w:t>
            </w:r>
          </w:p>
        </w:tc>
        <w:tc>
          <w:tcPr>
            <w:tcW w:w="6188" w:type="dxa"/>
            <w:tcBorders>
              <w:top w:val="single" w:color="auto" w:sz="4" w:space="0"/>
              <w:left w:val="single" w:color="auto" w:sz="4" w:space="0"/>
              <w:bottom w:val="single" w:color="auto" w:sz="4" w:space="0"/>
              <w:right w:val="single" w:color="auto" w:sz="4" w:space="0"/>
            </w:tcBorders>
            <w:noWrap/>
            <w:vAlign w:val="center"/>
          </w:tcPr>
          <w:p>
            <w:pPr>
              <w:pStyle w:val="16"/>
              <w:topLinePunct/>
              <w:adjustRightInd w:val="0"/>
              <w:snapToGrid w:val="0"/>
              <w:spacing w:line="36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□固定总价</w:t>
            </w:r>
          </w:p>
          <w:p>
            <w:pPr>
              <w:pStyle w:val="16"/>
              <w:topLinePunct/>
              <w:adjustRightInd w:val="0"/>
              <w:snapToGrid w:val="0"/>
              <w:spacing w:line="360" w:lineRule="exact"/>
              <w:rPr>
                <w:rFonts w:ascii="宋体" w:hAnsi="宋体" w:cs="宋体"/>
                <w:color w:val="auto"/>
                <w:kern w:val="2"/>
                <w:sz w:val="21"/>
                <w:szCs w:val="21"/>
                <w:highlight w:val="none"/>
                <w:u w:val="singl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综合单价：</w:t>
            </w:r>
            <w:r>
              <w:rPr>
                <w:rFonts w:hint="eastAsia" w:ascii="宋体" w:hAnsi="宋体" w:cs="宋体"/>
                <w:color w:val="auto"/>
                <w:kern w:val="2"/>
                <w:sz w:val="21"/>
                <w:szCs w:val="21"/>
                <w:highlight w:val="none"/>
                <w:u w:val="single"/>
              </w:rPr>
              <w:t>由承包人按照本合同约定图纸范围内容实行工程量清单计价，综合单价承包、项目措施费包干。包括但不限于包工、包料、包工期、包质量、包安全、包文明施工,包承包范围内工程验收通过、包移交、包结算、包资料整理、包承包人应当购买的保险等。</w:t>
            </w:r>
          </w:p>
          <w:p>
            <w:pPr>
              <w:pStyle w:val="16"/>
              <w:topLinePunct/>
              <w:adjustRightInd w:val="0"/>
              <w:snapToGrid w:val="0"/>
              <w:spacing w:line="360" w:lineRule="exact"/>
              <w:rPr>
                <w:rFonts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 xml:space="preserve">□其他：                  </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1.4.1</w:t>
            </w:r>
          </w:p>
        </w:tc>
        <w:tc>
          <w:tcPr>
            <w:tcW w:w="2061" w:type="dxa"/>
            <w:tcBorders>
              <w:top w:val="single" w:color="auto" w:sz="4" w:space="0"/>
              <w:left w:val="single" w:color="auto" w:sz="4" w:space="0"/>
              <w:right w:val="single" w:color="auto" w:sz="4" w:space="0"/>
            </w:tcBorders>
            <w:noWrap/>
            <w:vAlign w:val="center"/>
          </w:tcPr>
          <w:p>
            <w:pPr>
              <w:spacing w:before="120" w:beforeLines="50"/>
              <w:contextualSpacing/>
              <w:jc w:val="left"/>
              <w:rPr>
                <w:color w:val="auto"/>
                <w:szCs w:val="21"/>
                <w:highlight w:val="none"/>
              </w:rPr>
            </w:pPr>
            <w:r>
              <w:rPr>
                <w:rFonts w:hint="eastAsia"/>
                <w:color w:val="auto"/>
                <w:szCs w:val="21"/>
                <w:highlight w:val="none"/>
              </w:rPr>
              <w:t>投标人资质条件、能力、信誉（须同招标公告一致）</w:t>
            </w:r>
          </w:p>
        </w:tc>
        <w:tc>
          <w:tcPr>
            <w:tcW w:w="6188" w:type="dxa"/>
            <w:tcBorders>
              <w:top w:val="single" w:color="auto" w:sz="4" w:space="0"/>
              <w:left w:val="single" w:color="auto" w:sz="4" w:space="0"/>
              <w:right w:val="single" w:color="auto" w:sz="4" w:space="0"/>
            </w:tcBorders>
            <w:noWrap/>
            <w:vAlign w:val="center"/>
          </w:tcPr>
          <w:p>
            <w:pPr>
              <w:pStyle w:val="8"/>
              <w:rPr>
                <w:rFonts w:ascii="Times New Roman" w:hAnsi="Times New Roman"/>
                <w:b w:val="0"/>
                <w:color w:val="auto"/>
                <w:kern w:val="2"/>
                <w:sz w:val="21"/>
                <w:szCs w:val="21"/>
                <w:highlight w:val="none"/>
              </w:rPr>
            </w:pPr>
            <w:r>
              <w:rPr>
                <w:rFonts w:hint="eastAsia" w:ascii="Times New Roman" w:hAnsi="Times New Roman"/>
                <w:b w:val="0"/>
                <w:color w:val="auto"/>
                <w:kern w:val="2"/>
                <w:sz w:val="21"/>
                <w:szCs w:val="21"/>
                <w:highlight w:val="none"/>
              </w:rPr>
              <w:t>详见</w:t>
            </w:r>
            <w:r>
              <w:rPr>
                <w:rFonts w:ascii="Times New Roman" w:hAnsi="Times New Roman"/>
                <w:b w:val="0"/>
                <w:color w:val="auto"/>
                <w:kern w:val="2"/>
                <w:sz w:val="21"/>
                <w:szCs w:val="21"/>
                <w:highlight w:val="none"/>
              </w:rPr>
              <w:t>招标公告</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1.4.2</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是否接受</w:t>
            </w:r>
          </w:p>
          <w:p>
            <w:pPr>
              <w:spacing w:before="120" w:beforeLines="50" w:line="400" w:lineRule="exact"/>
              <w:contextualSpacing/>
              <w:jc w:val="center"/>
              <w:rPr>
                <w:color w:val="auto"/>
                <w:szCs w:val="21"/>
                <w:highlight w:val="none"/>
              </w:rPr>
            </w:pPr>
            <w:bookmarkStart w:id="10" w:name="_Toc221950019"/>
            <w:r>
              <w:rPr>
                <w:rFonts w:hint="eastAsia"/>
                <w:color w:val="auto"/>
                <w:szCs w:val="21"/>
                <w:highlight w:val="none"/>
              </w:rPr>
              <w:t>联合体投标</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rFonts w:ascii="宋体" w:hAnsi="宋体" w:cs="宋体"/>
                <w:color w:val="auto"/>
                <w:szCs w:val="21"/>
                <w:highlight w:val="none"/>
              </w:rPr>
            </w:pPr>
            <w:r>
              <w:rPr>
                <w:rFonts w:hint="eastAsia" w:ascii="宋体" w:hAnsi="宋体" w:cs="宋体"/>
                <w:color w:val="auto"/>
                <w:szCs w:val="21"/>
                <w:highlight w:val="none"/>
              </w:rPr>
              <w:t>☑不接受</w:t>
            </w:r>
          </w:p>
          <w:p>
            <w:pPr>
              <w:spacing w:before="120" w:beforeLines="50" w:line="400" w:lineRule="exact"/>
              <w:contextualSpacing/>
              <w:rPr>
                <w:rFonts w:ascii="宋体" w:hAnsi="宋体" w:cs="宋体"/>
                <w:color w:val="auto"/>
                <w:szCs w:val="21"/>
                <w:highlight w:val="none"/>
              </w:rPr>
            </w:pPr>
            <w:bookmarkStart w:id="11" w:name="_Toc221950031"/>
            <w:bookmarkEnd w:id="11"/>
            <w:bookmarkStart w:id="12" w:name="_Toc221950037"/>
            <w:bookmarkEnd w:id="12"/>
            <w:r>
              <w:rPr>
                <w:rFonts w:hint="eastAsia" w:ascii="宋体" w:hAnsi="宋体" w:cs="宋体"/>
                <w:color w:val="auto"/>
                <w:szCs w:val="21"/>
                <w:highlight w:val="none"/>
              </w:rPr>
              <w:t>□接受，应满足下列要求：_________________</w:t>
            </w:r>
          </w:p>
          <w:bookmarkEnd w:id="10"/>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noWrap/>
            <w:vAlign w:val="center"/>
          </w:tcPr>
          <w:p>
            <w:pPr>
              <w:spacing w:line="440" w:lineRule="exact"/>
              <w:jc w:val="center"/>
              <w:rPr>
                <w:color w:val="auto"/>
                <w:szCs w:val="21"/>
                <w:highlight w:val="none"/>
              </w:rPr>
            </w:pPr>
            <w:bookmarkStart w:id="13" w:name="_Toc221950039"/>
            <w:r>
              <w:rPr>
                <w:rFonts w:hint="eastAsia"/>
                <w:color w:val="auto"/>
                <w:szCs w:val="21"/>
                <w:highlight w:val="none"/>
              </w:rPr>
              <w:t>1.4</w:t>
            </w:r>
          </w:p>
          <w:bookmarkEnd w:id="13"/>
        </w:tc>
        <w:tc>
          <w:tcPr>
            <w:tcW w:w="2061" w:type="dxa"/>
            <w:tcBorders>
              <w:top w:val="single" w:color="auto" w:sz="4" w:space="0"/>
              <w:left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bookmarkStart w:id="14" w:name="_Toc221950040"/>
            <w:r>
              <w:rPr>
                <w:rFonts w:hint="eastAsia"/>
                <w:color w:val="auto"/>
                <w:szCs w:val="21"/>
                <w:highlight w:val="none"/>
              </w:rPr>
              <w:t>资格审查方式</w:t>
            </w:r>
          </w:p>
        </w:tc>
        <w:tc>
          <w:tcPr>
            <w:tcW w:w="6188" w:type="dxa"/>
            <w:tcBorders>
              <w:top w:val="single" w:color="auto" w:sz="4" w:space="0"/>
              <w:left w:val="single" w:color="auto" w:sz="4" w:space="0"/>
              <w:right w:val="single" w:color="auto" w:sz="4" w:space="0"/>
            </w:tcBorders>
            <w:noWrap/>
            <w:vAlign w:val="center"/>
          </w:tcPr>
          <w:p>
            <w:pPr>
              <w:pStyle w:val="16"/>
              <w:topLinePunct/>
              <w:spacing w:before="120" w:beforeLines="50" w:after="0" w:line="400" w:lineRule="exact"/>
              <w:contextualSpacing/>
              <w:rPr>
                <w:rFonts w:ascii="宋体" w:hAnsi="宋体" w:cs="宋体"/>
                <w:color w:val="auto"/>
                <w:kern w:val="2"/>
                <w:sz w:val="21"/>
                <w:szCs w:val="21"/>
                <w:highlight w:val="none"/>
              </w:rPr>
            </w:pPr>
            <w:r>
              <w:rPr>
                <w:rFonts w:hint="eastAsia"/>
                <w:color w:val="auto"/>
                <w:kern w:val="2"/>
                <w:sz w:val="21"/>
                <w:szCs w:val="21"/>
                <w:highlight w:val="none"/>
              </w:rPr>
              <w:t>电子化资格后审</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1.</w:t>
            </w:r>
            <w:r>
              <w:rPr>
                <w:rFonts w:hint="eastAsia"/>
                <w:color w:val="auto"/>
                <w:szCs w:val="21"/>
                <w:highlight w:val="none"/>
              </w:rPr>
              <w:t>9</w:t>
            </w:r>
            <w:r>
              <w:rPr>
                <w:color w:val="auto"/>
                <w:szCs w:val="21"/>
                <w:highlight w:val="none"/>
              </w:rPr>
              <w:t>.1</w:t>
            </w:r>
          </w:p>
        </w:tc>
        <w:tc>
          <w:tcPr>
            <w:tcW w:w="2061" w:type="dxa"/>
            <w:tcBorders>
              <w:top w:val="single" w:color="auto" w:sz="4" w:space="0"/>
              <w:left w:val="single" w:color="auto" w:sz="4" w:space="0"/>
              <w:right w:val="single" w:color="auto" w:sz="4" w:space="0"/>
            </w:tcBorders>
            <w:noWrap/>
            <w:vAlign w:val="center"/>
          </w:tcPr>
          <w:p>
            <w:pPr>
              <w:spacing w:line="400" w:lineRule="exact"/>
              <w:jc w:val="center"/>
              <w:rPr>
                <w:color w:val="auto"/>
                <w:szCs w:val="21"/>
                <w:highlight w:val="none"/>
              </w:rPr>
            </w:pPr>
            <w:bookmarkStart w:id="15" w:name="_Toc221950041"/>
            <w:r>
              <w:rPr>
                <w:rFonts w:hint="eastAsia"/>
                <w:color w:val="auto"/>
                <w:szCs w:val="21"/>
                <w:highlight w:val="none"/>
              </w:rPr>
              <w:t>踏勘现场</w:t>
            </w:r>
          </w:p>
        </w:tc>
        <w:tc>
          <w:tcPr>
            <w:tcW w:w="6188" w:type="dxa"/>
            <w:tcBorders>
              <w:top w:val="single" w:color="auto" w:sz="4" w:space="0"/>
              <w:left w:val="single" w:color="auto" w:sz="4" w:space="0"/>
              <w:right w:val="single" w:color="auto" w:sz="4" w:space="0"/>
            </w:tcBorders>
            <w:noWrap/>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招标人不集中组织，由投标人自行踏勘；</w:t>
            </w:r>
          </w:p>
          <w:bookmarkEnd w:id="15"/>
          <w:p>
            <w:pPr>
              <w:spacing w:line="400" w:lineRule="exact"/>
              <w:rPr>
                <w:rFonts w:ascii="宋体" w:hAnsi="宋体" w:cs="宋体"/>
                <w:color w:val="auto"/>
                <w:szCs w:val="21"/>
                <w:highlight w:val="none"/>
              </w:rPr>
            </w:pPr>
            <w:bookmarkStart w:id="16" w:name="_Toc221950042"/>
            <w:bookmarkEnd w:id="16"/>
            <w:r>
              <w:rPr>
                <w:rFonts w:hint="eastAsia" w:ascii="宋体" w:hAnsi="宋体" w:cs="宋体"/>
                <w:color w:val="auto"/>
                <w:szCs w:val="21"/>
                <w:highlight w:val="none"/>
              </w:rPr>
              <w:t>时间：自</w:t>
            </w:r>
            <w:r>
              <w:rPr>
                <w:rFonts w:hint="eastAsia" w:ascii="宋体" w:hAnsi="宋体" w:cs="宋体"/>
                <w:color w:val="auto"/>
                <w:szCs w:val="21"/>
                <w:highlight w:val="none"/>
                <w:u w:val="single"/>
              </w:rPr>
              <w:t>本项目招标公告发布日</w:t>
            </w:r>
            <w:r>
              <w:rPr>
                <w:rFonts w:hint="eastAsia" w:ascii="宋体" w:hAnsi="宋体" w:cs="宋体"/>
                <w:color w:val="auto"/>
                <w:szCs w:val="21"/>
                <w:highlight w:val="none"/>
              </w:rPr>
              <w:t>起具备现场踏勘条件；</w:t>
            </w:r>
          </w:p>
          <w:p>
            <w:pPr>
              <w:spacing w:line="400" w:lineRule="exact"/>
              <w:rPr>
                <w:rFonts w:ascii="宋体" w:hAnsi="宋体" w:cs="宋体"/>
                <w:color w:val="auto"/>
                <w:szCs w:val="21"/>
                <w:highlight w:val="none"/>
              </w:rPr>
            </w:pPr>
            <w:bookmarkStart w:id="17" w:name="_Toc221950044"/>
            <w:bookmarkEnd w:id="17"/>
            <w:r>
              <w:rPr>
                <w:rFonts w:hint="eastAsia" w:ascii="宋体" w:hAnsi="宋体" w:cs="宋体"/>
                <w:color w:val="auto"/>
                <w:szCs w:val="21"/>
                <w:highlight w:val="none"/>
              </w:rPr>
              <w:t>现场详细地点：</w:t>
            </w:r>
            <w:r>
              <w:rPr>
                <w:rFonts w:hint="eastAsia" w:ascii="宋体" w:hAnsi="宋体" w:cs="宋体"/>
                <w:color w:val="auto"/>
                <w:szCs w:val="21"/>
                <w:highlight w:val="none"/>
                <w:u w:val="single"/>
              </w:rPr>
              <w:t>详见公告</w:t>
            </w:r>
          </w:p>
          <w:bookmarkEnd w:id="14"/>
        </w:tc>
      </w:tr>
      <w:tr>
        <w:tblPrEx>
          <w:tblCellMar>
            <w:top w:w="0" w:type="dxa"/>
            <w:left w:w="108" w:type="dxa"/>
            <w:bottom w:w="0" w:type="dxa"/>
            <w:right w:w="108" w:type="dxa"/>
          </w:tblCellMar>
        </w:tblPrEx>
        <w:trPr>
          <w:trHeight w:val="465"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1.11</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偏离</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color w:val="auto"/>
                <w:szCs w:val="21"/>
                <w:highlight w:val="none"/>
              </w:rPr>
            </w:pPr>
            <w:r>
              <w:rPr>
                <w:rFonts w:hint="eastAsia" w:ascii="宋体" w:hAnsi="宋体" w:cs="宋体"/>
                <w:color w:val="auto"/>
                <w:szCs w:val="21"/>
                <w:highlight w:val="none"/>
              </w:rPr>
              <w:t>☑</w:t>
            </w:r>
            <w:r>
              <w:rPr>
                <w:rFonts w:hint="eastAsia"/>
                <w:color w:val="auto"/>
                <w:szCs w:val="21"/>
                <w:highlight w:val="none"/>
              </w:rPr>
              <w:t>不允许</w:t>
            </w:r>
          </w:p>
          <w:p>
            <w:pPr>
              <w:spacing w:before="120" w:beforeLines="50" w:line="400" w:lineRule="exact"/>
              <w:contextualSpacing/>
              <w:rPr>
                <w:rFonts w:ascii="宋体" w:hAnsi="宋体" w:cs="宋体"/>
                <w:color w:val="auto"/>
                <w:szCs w:val="21"/>
                <w:highlight w:val="none"/>
              </w:rPr>
            </w:pPr>
            <w:r>
              <w:rPr>
                <w:rFonts w:hint="eastAsia"/>
                <w:color w:val="auto"/>
                <w:szCs w:val="21"/>
                <w:highlight w:val="none"/>
              </w:rPr>
              <w:t xml:space="preserve">□允许。偏离允许幅度及其处理方法： / </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2.2</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招标答疑</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1、方式：网上答疑；</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2、投标人质疑期限：在投标截止日期前 18日；</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3、招标人答疑期限：在投标截止日期前 15 日。</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4、网上答疑的相关事项详见招标文件2.2款；</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5、答疑纪要在广州公共资源交易中心网站的“招标答疑”专区发布。</w:t>
            </w:r>
          </w:p>
        </w:tc>
      </w:tr>
      <w:tr>
        <w:tblPrEx>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2.3</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contextualSpacing/>
              <w:jc w:val="left"/>
              <w:rPr>
                <w:color w:val="auto"/>
                <w:szCs w:val="21"/>
                <w:highlight w:val="none"/>
              </w:rPr>
            </w:pPr>
            <w:r>
              <w:rPr>
                <w:rFonts w:hint="eastAsia"/>
                <w:color w:val="auto"/>
                <w:szCs w:val="21"/>
                <w:highlight w:val="none"/>
              </w:rPr>
              <w:t>招标文件澄清和修改</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rPr>
                <w:rFonts w:ascii="宋体" w:hAnsi="宋体"/>
                <w:color w:val="auto"/>
                <w:szCs w:val="21"/>
                <w:highlight w:val="none"/>
              </w:rPr>
            </w:pPr>
            <w:r>
              <w:rPr>
                <w:rFonts w:hint="eastAsia" w:ascii="宋体" w:hAnsi="宋体"/>
                <w:color w:val="auto"/>
                <w:szCs w:val="21"/>
                <w:highlight w:val="none"/>
              </w:rPr>
              <w:t>招标文件的修改期限：在投标截止日期前</w:t>
            </w:r>
            <w:r>
              <w:rPr>
                <w:rFonts w:hint="eastAsia" w:ascii="宋体" w:hAnsi="宋体"/>
                <w:color w:val="auto"/>
                <w:szCs w:val="21"/>
                <w:highlight w:val="none"/>
                <w:u w:val="single"/>
              </w:rPr>
              <w:t>15</w:t>
            </w:r>
            <w:r>
              <w:rPr>
                <w:rFonts w:hint="eastAsia" w:ascii="宋体" w:hAnsi="宋体"/>
                <w:color w:val="auto"/>
                <w:szCs w:val="21"/>
                <w:highlight w:val="none"/>
              </w:rPr>
              <w:t xml:space="preserve"> 日</w:t>
            </w:r>
          </w:p>
        </w:tc>
      </w:tr>
      <w:tr>
        <w:tblPrEx>
          <w:tblCellMar>
            <w:top w:w="0" w:type="dxa"/>
            <w:left w:w="108" w:type="dxa"/>
            <w:bottom w:w="0" w:type="dxa"/>
            <w:right w:w="108" w:type="dxa"/>
          </w:tblCellMar>
        </w:tblPrEx>
        <w:trPr>
          <w:trHeight w:val="465"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3.1</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投标文件的组成</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color w:val="auto"/>
                <w:szCs w:val="21"/>
                <w:highlight w:val="none"/>
              </w:rPr>
            </w:pPr>
            <w:r>
              <w:rPr>
                <w:rFonts w:hint="eastAsia"/>
                <w:color w:val="auto"/>
                <w:szCs w:val="21"/>
                <w:highlight w:val="none"/>
              </w:rPr>
              <w:t>采用综合评估法一：投标文件由资格审查文件、商务文件和技术文件组成。</w:t>
            </w:r>
          </w:p>
        </w:tc>
      </w:tr>
      <w:tr>
        <w:tblPrEx>
          <w:tblCellMar>
            <w:top w:w="0" w:type="dxa"/>
            <w:left w:w="108" w:type="dxa"/>
            <w:bottom w:w="0" w:type="dxa"/>
            <w:right w:w="108" w:type="dxa"/>
          </w:tblCellMar>
        </w:tblPrEx>
        <w:trPr>
          <w:trHeight w:val="429"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3.2.3</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最高投标限价</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本工程最高投标限价为人民币（¥10657</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032749</w:t>
            </w:r>
            <w:r>
              <w:rPr>
                <w:rFonts w:hint="eastAsia" w:ascii="宋体" w:hAnsi="宋体" w:cs="宋体"/>
                <w:color w:val="auto"/>
                <w:szCs w:val="21"/>
                <w:highlight w:val="none"/>
                <w:u w:val="single"/>
                <w:lang w:val="en-US" w:eastAsia="zh-CN"/>
              </w:rPr>
              <w:t>万</w:t>
            </w:r>
            <w:r>
              <w:rPr>
                <w:rFonts w:hint="eastAsia" w:ascii="宋体" w:hAnsi="宋体" w:cs="宋体"/>
                <w:color w:val="auto"/>
                <w:szCs w:val="21"/>
                <w:highlight w:val="none"/>
                <w:u w:val="single"/>
              </w:rPr>
              <w:t>元）</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本工程投标总价应包含绿色施工安全防护措施费、暂列金额等非竞争性费用。本工程非竞争性费用总额为：9,221,491.60元，其中绿色施工安全防护措施费</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3,385,440.08元</w:t>
            </w:r>
            <w:r>
              <w:rPr>
                <w:rFonts w:hint="eastAsia" w:ascii="宋体" w:hAnsi="宋体" w:cs="宋体"/>
                <w:color w:val="auto"/>
                <w:szCs w:val="21"/>
                <w:highlight w:val="none"/>
                <w:u w:val="single"/>
                <w:lang w:eastAsia="zh-CN"/>
              </w:rPr>
              <w:t>，消纳费：1,584,104.72元</w:t>
            </w:r>
            <w:r>
              <w:rPr>
                <w:rFonts w:hint="eastAsia" w:ascii="宋体" w:hAnsi="宋体" w:cs="宋体"/>
                <w:color w:val="auto"/>
                <w:szCs w:val="21"/>
                <w:highlight w:val="none"/>
                <w:u w:val="single"/>
              </w:rPr>
              <w:t>，暂列金额为：4,251,946.80元。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其他详见招标控制价公布函，投标总价超过最高投标限价的投标文件将被拒绝。</w:t>
            </w:r>
          </w:p>
        </w:tc>
      </w:tr>
      <w:tr>
        <w:tblPrEx>
          <w:tblCellMar>
            <w:top w:w="0" w:type="dxa"/>
            <w:left w:w="108" w:type="dxa"/>
            <w:bottom w:w="0" w:type="dxa"/>
            <w:right w:w="108" w:type="dxa"/>
          </w:tblCellMar>
        </w:tblPrEx>
        <w:trPr>
          <w:trHeight w:val="429"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3.</w:t>
            </w:r>
            <w:r>
              <w:rPr>
                <w:rFonts w:hint="eastAsia"/>
                <w:color w:val="auto"/>
                <w:szCs w:val="21"/>
                <w:highlight w:val="none"/>
              </w:rPr>
              <w:t>2.</w:t>
            </w:r>
            <w:r>
              <w:rPr>
                <w:color w:val="auto"/>
                <w:szCs w:val="21"/>
                <w:highlight w:val="none"/>
              </w:rPr>
              <w:t>4</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highlight w:val="none"/>
              </w:rPr>
              <w:t>成本警示价</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rFonts w:ascii="宋体" w:hAnsi="宋体"/>
                <w:color w:val="auto"/>
                <w:szCs w:val="21"/>
                <w:highlight w:val="none"/>
              </w:rPr>
            </w:pPr>
            <w:r>
              <w:rPr>
                <w:rFonts w:hint="eastAsia" w:ascii="宋体" w:hAnsi="宋体" w:cs="宋体"/>
                <w:color w:val="auto"/>
                <w:szCs w:val="21"/>
                <w:highlight w:val="none"/>
              </w:rPr>
              <w:t>成本警示价为</w:t>
            </w:r>
            <w:r>
              <w:rPr>
                <w:rFonts w:hint="eastAsia" w:ascii="宋体" w:hAnsi="宋体" w:cs="宋体"/>
                <w:color w:val="auto"/>
                <w:szCs w:val="21"/>
                <w:highlight w:val="none"/>
                <w:u w:val="single"/>
              </w:rPr>
              <w:t>9804.470129万</w:t>
            </w:r>
            <w:r>
              <w:rPr>
                <w:rFonts w:hint="eastAsia" w:ascii="宋体" w:hAnsi="宋体" w:cs="宋体"/>
                <w:color w:val="auto"/>
                <w:szCs w:val="21"/>
                <w:highlight w:val="none"/>
              </w:rPr>
              <w:t>元。（招标控制价的</w:t>
            </w:r>
            <w:r>
              <w:rPr>
                <w:rFonts w:hint="eastAsia" w:ascii="宋体" w:hAnsi="宋体" w:cs="宋体"/>
                <w:color w:val="auto"/>
                <w:szCs w:val="21"/>
                <w:highlight w:val="none"/>
                <w:u w:val="single"/>
              </w:rPr>
              <w:t>92</w:t>
            </w:r>
            <w:r>
              <w:rPr>
                <w:rFonts w:hint="eastAsia" w:ascii="宋体" w:hAnsi="宋体" w:cs="宋体"/>
                <w:color w:val="auto"/>
                <w:szCs w:val="21"/>
                <w:highlight w:val="none"/>
              </w:rPr>
              <w:t>%设置为成本警示价）</w:t>
            </w:r>
            <w:r>
              <w:rPr>
                <w:rFonts w:hint="eastAsia" w:ascii="宋体" w:hAnsi="宋体" w:cs="宋体"/>
                <w:color w:val="auto"/>
                <w:szCs w:val="21"/>
                <w:highlight w:val="none"/>
                <w:u w:val="single"/>
              </w:rPr>
              <w:t>（</w:t>
            </w:r>
            <w:r>
              <w:rPr>
                <w:rFonts w:hint="eastAsia" w:ascii="宋体" w:hAnsi="宋体"/>
                <w:color w:val="auto"/>
                <w:szCs w:val="21"/>
                <w:highlight w:val="none"/>
                <w:u w:val="single"/>
              </w:rPr>
              <w:t>对低于该警示价的投标报价，投标人必须提供详细的施工组织设计、单价、措施性费用、单价分析表、主要材料价格表、投标人成本分析供评标委员会评审，由评标委员会判定其是否低于企业自身成本。）</w:t>
            </w:r>
          </w:p>
        </w:tc>
      </w:tr>
      <w:tr>
        <w:tblPrEx>
          <w:tblCellMar>
            <w:top w:w="0" w:type="dxa"/>
            <w:left w:w="108" w:type="dxa"/>
            <w:bottom w:w="0" w:type="dxa"/>
            <w:right w:w="108" w:type="dxa"/>
          </w:tblCellMar>
        </w:tblPrEx>
        <w:trPr>
          <w:trHeight w:val="70"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3.</w:t>
            </w:r>
            <w:r>
              <w:rPr>
                <w:rFonts w:hint="eastAsia"/>
                <w:color w:val="auto"/>
                <w:szCs w:val="21"/>
                <w:highlight w:val="none"/>
              </w:rPr>
              <w:t>3.1</w:t>
            </w:r>
          </w:p>
        </w:tc>
        <w:tc>
          <w:tcPr>
            <w:tcW w:w="2061" w:type="dxa"/>
            <w:tcBorders>
              <w:top w:val="single" w:color="auto" w:sz="4" w:space="0"/>
              <w:left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投标有效期</w:t>
            </w:r>
          </w:p>
        </w:tc>
        <w:tc>
          <w:tcPr>
            <w:tcW w:w="6188" w:type="dxa"/>
            <w:tcBorders>
              <w:top w:val="single" w:color="auto" w:sz="4" w:space="0"/>
              <w:left w:val="single" w:color="auto" w:sz="4" w:space="0"/>
              <w:right w:val="single" w:color="auto" w:sz="4" w:space="0"/>
            </w:tcBorders>
            <w:noWrap/>
            <w:vAlign w:val="center"/>
          </w:tcPr>
          <w:p>
            <w:pPr>
              <w:pStyle w:val="16"/>
              <w:topLinePunct/>
              <w:spacing w:before="120" w:beforeLines="50" w:after="0" w:line="400" w:lineRule="exact"/>
              <w:contextualSpacing/>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 xml:space="preserve">90 </w:t>
            </w:r>
            <w:r>
              <w:rPr>
                <w:rFonts w:hint="eastAsia" w:ascii="宋体" w:hAnsi="宋体" w:cs="宋体"/>
                <w:color w:val="auto"/>
                <w:kern w:val="2"/>
                <w:sz w:val="21"/>
                <w:szCs w:val="21"/>
                <w:highlight w:val="none"/>
              </w:rPr>
              <w:t>日历天（从投标截止之日计起）</w:t>
            </w:r>
          </w:p>
        </w:tc>
      </w:tr>
      <w:tr>
        <w:tblPrEx>
          <w:tblCellMar>
            <w:top w:w="0" w:type="dxa"/>
            <w:left w:w="108" w:type="dxa"/>
            <w:bottom w:w="0" w:type="dxa"/>
            <w:right w:w="108" w:type="dxa"/>
          </w:tblCellMar>
        </w:tblPrEx>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3.4</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投标保证金</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olor w:val="auto"/>
                <w:szCs w:val="21"/>
                <w:highlight w:val="none"/>
              </w:rPr>
            </w:pPr>
            <w:r>
              <w:rPr>
                <w:rFonts w:hint="eastAsia" w:ascii="宋体" w:hAnsi="宋体"/>
                <w:color w:val="auto"/>
                <w:szCs w:val="21"/>
                <w:highlight w:val="none"/>
              </w:rPr>
              <w:t>是否要求投标人递交投标保证金：</w:t>
            </w:r>
          </w:p>
          <w:p>
            <w:pPr>
              <w:spacing w:line="400" w:lineRule="exact"/>
              <w:rPr>
                <w:rFonts w:ascii="宋体" w:hAnsi="宋体"/>
                <w:color w:val="auto"/>
                <w:szCs w:val="21"/>
                <w:highlight w:val="none"/>
              </w:rPr>
            </w:pPr>
            <w:r>
              <w:rPr>
                <w:rFonts w:hint="eastAsia" w:ascii="宋体" w:hAnsi="宋体"/>
                <w:color w:val="auto"/>
                <w:szCs w:val="21"/>
                <w:highlight w:val="none"/>
              </w:rPr>
              <w:t>□要求，按以下方式递交：</w:t>
            </w:r>
          </w:p>
          <w:p>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广州公交资源交易平台代收</w:t>
            </w:r>
          </w:p>
          <w:p>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提供银行投标保函</w:t>
            </w:r>
          </w:p>
          <w:p>
            <w:pPr>
              <w:numPr>
                <w:ilvl w:val="0"/>
                <w:numId w:val="5"/>
              </w:numPr>
              <w:spacing w:line="400" w:lineRule="exact"/>
              <w:rPr>
                <w:rFonts w:ascii="宋体" w:hAnsi="宋体"/>
                <w:color w:val="auto"/>
                <w:szCs w:val="21"/>
                <w:highlight w:val="none"/>
              </w:rPr>
            </w:pPr>
            <w:r>
              <w:rPr>
                <w:rFonts w:hint="eastAsia" w:hAnsi="宋体"/>
                <w:color w:val="auto"/>
                <w:szCs w:val="21"/>
                <w:highlight w:val="none"/>
              </w:rPr>
              <w:t>投标保证保险</w:t>
            </w:r>
          </w:p>
          <w:p>
            <w:pPr>
              <w:spacing w:line="400" w:lineRule="exact"/>
              <w:rPr>
                <w:color w:val="auto"/>
                <w:szCs w:val="21"/>
                <w:highlight w:val="none"/>
              </w:rPr>
            </w:pPr>
            <w:r>
              <w:rPr>
                <w:rFonts w:hint="eastAsia"/>
                <w:color w:val="auto"/>
                <w:szCs w:val="21"/>
                <w:highlight w:val="none"/>
              </w:rPr>
              <w:t>投标保证金：</w:t>
            </w:r>
            <w:r>
              <w:rPr>
                <w:rFonts w:hint="eastAsia"/>
                <w:color w:val="auto"/>
                <w:szCs w:val="21"/>
                <w:highlight w:val="none"/>
                <w:u w:val="single"/>
              </w:rPr>
              <w:t xml:space="preserve">   </w:t>
            </w:r>
            <w:r>
              <w:rPr>
                <w:rFonts w:hint="eastAsia"/>
                <w:color w:val="auto"/>
                <w:szCs w:val="21"/>
                <w:highlight w:val="none"/>
              </w:rPr>
              <w:t>万元人民币；</w:t>
            </w:r>
          </w:p>
          <w:p>
            <w:pPr>
              <w:spacing w:line="400" w:lineRule="exact"/>
              <w:rPr>
                <w:rFonts w:hAnsi="宋体"/>
                <w:color w:val="auto"/>
                <w:szCs w:val="21"/>
                <w:highlight w:val="none"/>
              </w:rPr>
            </w:pPr>
            <w:r>
              <w:rPr>
                <w:rFonts w:hint="eastAsia"/>
                <w:color w:val="auto"/>
                <w:szCs w:val="21"/>
                <w:highlight w:val="none"/>
              </w:rPr>
              <w:t>缴纳时间：在投标截止前。</w:t>
            </w:r>
          </w:p>
          <w:p>
            <w:pPr>
              <w:spacing w:line="400" w:lineRule="exact"/>
              <w:rPr>
                <w:color w:val="auto"/>
                <w:szCs w:val="21"/>
                <w:highlight w:val="none"/>
              </w:rPr>
            </w:pPr>
            <w:r>
              <w:rPr>
                <w:rFonts w:hint="eastAsia" w:ascii="宋体" w:hAnsi="宋体" w:cs="宋体"/>
                <w:color w:val="auto"/>
                <w:szCs w:val="21"/>
                <w:highlight w:val="none"/>
              </w:rPr>
              <w:t>☑</w:t>
            </w:r>
            <w:r>
              <w:rPr>
                <w:rFonts w:hint="eastAsia"/>
                <w:color w:val="auto"/>
                <w:szCs w:val="21"/>
                <w:highlight w:val="none"/>
              </w:rPr>
              <w:t>不要求</w:t>
            </w:r>
          </w:p>
        </w:tc>
      </w:tr>
      <w:tr>
        <w:tblPrEx>
          <w:tblCellMar>
            <w:top w:w="0" w:type="dxa"/>
            <w:left w:w="108" w:type="dxa"/>
            <w:bottom w:w="0" w:type="dxa"/>
            <w:right w:w="108" w:type="dxa"/>
          </w:tblCellMar>
        </w:tblPrEx>
        <w:trPr>
          <w:trHeight w:val="1622"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3.</w:t>
            </w:r>
            <w:r>
              <w:rPr>
                <w:rFonts w:hint="eastAsia"/>
                <w:color w:val="auto"/>
                <w:szCs w:val="21"/>
                <w:highlight w:val="none"/>
              </w:rPr>
              <w:t>6</w:t>
            </w:r>
            <w:r>
              <w:rPr>
                <w:color w:val="auto"/>
                <w:szCs w:val="21"/>
                <w:highlight w:val="none"/>
              </w:rPr>
              <w:t>.3</w:t>
            </w:r>
          </w:p>
        </w:tc>
        <w:tc>
          <w:tcPr>
            <w:tcW w:w="2061"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签字或盖章要求</w:t>
            </w:r>
          </w:p>
        </w:tc>
        <w:tc>
          <w:tcPr>
            <w:tcW w:w="6188" w:type="dxa"/>
            <w:tcBorders>
              <w:top w:val="single" w:color="auto" w:sz="4" w:space="0"/>
              <w:left w:val="single" w:color="auto" w:sz="4" w:space="0"/>
              <w:right w:val="single" w:color="auto" w:sz="4" w:space="0"/>
            </w:tcBorders>
            <w:noWrap/>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投标文件格式规定盖单位章的页面必须盖单位章，规定法定代表人或授权委托人、项目负责人和技术负责人签字或盖章的页面必须签字或盖章。签字必须由本人在规定页面手写签名或签章后扫描上传。</w:t>
            </w:r>
          </w:p>
        </w:tc>
      </w:tr>
      <w:tr>
        <w:tblPrEx>
          <w:tblCellMar>
            <w:top w:w="0" w:type="dxa"/>
            <w:left w:w="108" w:type="dxa"/>
            <w:bottom w:w="0" w:type="dxa"/>
            <w:right w:w="108" w:type="dxa"/>
          </w:tblCellMar>
        </w:tblPrEx>
        <w:trPr>
          <w:trHeight w:val="484"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4.1.1</w:t>
            </w:r>
          </w:p>
        </w:tc>
        <w:tc>
          <w:tcPr>
            <w:tcW w:w="2061"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投标文件份数</w:t>
            </w:r>
          </w:p>
        </w:tc>
        <w:tc>
          <w:tcPr>
            <w:tcW w:w="618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left"/>
              <w:rPr>
                <w:color w:val="auto"/>
                <w:szCs w:val="21"/>
                <w:highlight w:val="none"/>
              </w:rPr>
            </w:pPr>
            <w:r>
              <w:rPr>
                <w:rFonts w:hint="eastAsia"/>
                <w:color w:val="auto"/>
                <w:szCs w:val="21"/>
                <w:highlight w:val="none"/>
              </w:rPr>
              <w:t>投标文件为含电子签章的加密电子投标文件1套。</w:t>
            </w:r>
          </w:p>
        </w:tc>
      </w:tr>
      <w:tr>
        <w:tblPrEx>
          <w:tblCellMar>
            <w:top w:w="0" w:type="dxa"/>
            <w:left w:w="108" w:type="dxa"/>
            <w:bottom w:w="0" w:type="dxa"/>
            <w:right w:w="108" w:type="dxa"/>
          </w:tblCellMar>
        </w:tblPrEx>
        <w:trPr>
          <w:trHeight w:val="1499"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4.2.1</w:t>
            </w:r>
          </w:p>
        </w:tc>
        <w:tc>
          <w:tcPr>
            <w:tcW w:w="2061"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投标文件的递交时间和地点</w:t>
            </w:r>
          </w:p>
        </w:tc>
        <w:tc>
          <w:tcPr>
            <w:tcW w:w="6188" w:type="dxa"/>
            <w:tcBorders>
              <w:top w:val="single" w:color="auto" w:sz="4" w:space="0"/>
              <w:left w:val="single" w:color="auto" w:sz="4" w:space="0"/>
              <w:right w:val="single" w:color="auto" w:sz="4" w:space="0"/>
            </w:tcBorders>
            <w:noWrap/>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1、递交方式：网上递交投标文件</w:t>
            </w:r>
          </w:p>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2、文件的递交截止时间：____年__月__日 __时__分。</w:t>
            </w:r>
          </w:p>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3、上述时间是否有改变，请密切留意招标答疑纪要的相关信息。</w:t>
            </w:r>
          </w:p>
        </w:tc>
      </w:tr>
      <w:tr>
        <w:tblPrEx>
          <w:tblCellMar>
            <w:top w:w="0" w:type="dxa"/>
            <w:left w:w="108" w:type="dxa"/>
            <w:bottom w:w="0" w:type="dxa"/>
            <w:right w:w="108" w:type="dxa"/>
          </w:tblCellMar>
        </w:tblPrEx>
        <w:trPr>
          <w:trHeight w:val="1280"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4.7</w:t>
            </w:r>
          </w:p>
        </w:tc>
        <w:tc>
          <w:tcPr>
            <w:tcW w:w="2061"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投标文件的解密</w:t>
            </w:r>
          </w:p>
        </w:tc>
        <w:tc>
          <w:tcPr>
            <w:tcW w:w="6188" w:type="dxa"/>
            <w:tcBorders>
              <w:top w:val="single" w:color="auto" w:sz="4" w:space="0"/>
              <w:left w:val="single" w:color="auto" w:sz="4" w:space="0"/>
              <w:right w:val="single" w:color="auto" w:sz="4" w:space="0"/>
            </w:tcBorders>
            <w:noWrap/>
            <w:vAlign w:val="center"/>
          </w:tcPr>
          <w:p>
            <w:pPr>
              <w:spacing w:line="400" w:lineRule="exact"/>
              <w:rPr>
                <w:rFonts w:ascii="宋体" w:hAnsi="宋体"/>
                <w:color w:val="auto"/>
                <w:szCs w:val="21"/>
                <w:highlight w:val="none"/>
              </w:rPr>
            </w:pPr>
            <w:r>
              <w:rPr>
                <w:rFonts w:hint="eastAsia" w:ascii="宋体" w:hAnsi="宋体"/>
                <w:color w:val="auto"/>
                <w:szCs w:val="21"/>
                <w:highlight w:val="none"/>
              </w:rPr>
              <w:t>在投标截止时间后</w:t>
            </w:r>
            <w:r>
              <w:rPr>
                <w:rFonts w:hint="eastAsia" w:ascii="宋体" w:hAnsi="宋体"/>
                <w:color w:val="auto"/>
                <w:szCs w:val="21"/>
                <w:highlight w:val="none"/>
                <w:u w:val="single"/>
              </w:rPr>
              <w:t xml:space="preserve"> 30 </w:t>
            </w:r>
            <w:r>
              <w:rPr>
                <w:rFonts w:hint="eastAsia" w:ascii="宋体" w:hAnsi="宋体"/>
                <w:color w:val="auto"/>
                <w:szCs w:val="21"/>
                <w:highlight w:val="none"/>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634"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5.1</w:t>
            </w:r>
          </w:p>
        </w:tc>
        <w:tc>
          <w:tcPr>
            <w:tcW w:w="2061"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开标时间和地点</w:t>
            </w:r>
          </w:p>
        </w:tc>
        <w:tc>
          <w:tcPr>
            <w:tcW w:w="6188" w:type="dxa"/>
            <w:tcBorders>
              <w:top w:val="single" w:color="auto" w:sz="4" w:space="0"/>
              <w:left w:val="single" w:color="auto" w:sz="4" w:space="0"/>
              <w:right w:val="single" w:color="auto" w:sz="4" w:space="0"/>
            </w:tcBorders>
            <w:noWrap/>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1、开标开始时间：____年__月__日 __时__分</w:t>
            </w:r>
          </w:p>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2、地点：广州公共资源交易中心</w:t>
            </w:r>
            <w:r>
              <w:rPr>
                <w:rFonts w:hint="eastAsia" w:ascii="宋体" w:hAnsi="宋体"/>
                <w:color w:val="auto"/>
                <w:szCs w:val="21"/>
                <w:highlight w:val="none"/>
                <w:u w:val="single"/>
                <w:lang w:val="en-US" w:eastAsia="zh-CN"/>
              </w:rPr>
              <w:t>从化交易部</w:t>
            </w:r>
            <w:bookmarkStart w:id="315" w:name="_GoBack"/>
            <w:bookmarkEnd w:id="315"/>
            <w:r>
              <w:rPr>
                <w:rFonts w:hint="eastAsia" w:ascii="宋体" w:hAnsi="宋体"/>
                <w:color w:val="auto"/>
                <w:szCs w:val="21"/>
                <w:highlight w:val="none"/>
                <w:u w:val="single"/>
              </w:rPr>
              <w:t>开标室。</w:t>
            </w:r>
          </w:p>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3、上述时间及地点是否有改变，请密切留意招标答疑纪要的相关信息。</w:t>
            </w:r>
          </w:p>
        </w:tc>
      </w:tr>
      <w:tr>
        <w:tblPrEx>
          <w:tblCellMar>
            <w:top w:w="0" w:type="dxa"/>
            <w:left w:w="108" w:type="dxa"/>
            <w:bottom w:w="0" w:type="dxa"/>
            <w:right w:w="108" w:type="dxa"/>
          </w:tblCellMar>
        </w:tblPrEx>
        <w:trPr>
          <w:trHeight w:val="634"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5.2</w:t>
            </w:r>
          </w:p>
        </w:tc>
        <w:tc>
          <w:tcPr>
            <w:tcW w:w="2061"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开标评标办法</w:t>
            </w:r>
          </w:p>
        </w:tc>
        <w:tc>
          <w:tcPr>
            <w:tcW w:w="6188" w:type="dxa"/>
            <w:tcBorders>
              <w:top w:val="single" w:color="auto" w:sz="4" w:space="0"/>
              <w:left w:val="single" w:color="auto" w:sz="4" w:space="0"/>
              <w:right w:val="single" w:color="auto" w:sz="4" w:space="0"/>
            </w:tcBorders>
            <w:noWrap/>
            <w:vAlign w:val="center"/>
          </w:tcPr>
          <w:p>
            <w:pPr>
              <w:spacing w:line="400" w:lineRule="exact"/>
              <w:rPr>
                <w:rFonts w:ascii="宋体" w:hAnsi="宋体"/>
                <w:color w:val="auto"/>
                <w:szCs w:val="21"/>
                <w:highlight w:val="none"/>
              </w:rPr>
            </w:pPr>
            <w:r>
              <w:rPr>
                <w:rFonts w:hint="eastAsia" w:ascii="宋体" w:hAnsi="宋体"/>
                <w:color w:val="auto"/>
                <w:szCs w:val="21"/>
                <w:highlight w:val="none"/>
              </w:rPr>
              <w:t>☑综合评估法一</w:t>
            </w:r>
          </w:p>
          <w:p>
            <w:pPr>
              <w:spacing w:line="400" w:lineRule="exact"/>
              <w:rPr>
                <w:rFonts w:ascii="宋体" w:hAnsi="宋体"/>
                <w:color w:val="auto"/>
                <w:szCs w:val="21"/>
                <w:highlight w:val="none"/>
              </w:rPr>
            </w:pPr>
            <w:r>
              <w:rPr>
                <w:rFonts w:hint="eastAsia" w:ascii="宋体" w:hAnsi="宋体"/>
                <w:color w:val="auto"/>
                <w:szCs w:val="21"/>
                <w:highlight w:val="none"/>
              </w:rPr>
              <w:t>□综合评估法二（以前叫：平均值法（一））</w:t>
            </w:r>
          </w:p>
          <w:p>
            <w:pPr>
              <w:spacing w:line="400" w:lineRule="exact"/>
              <w:rPr>
                <w:rFonts w:ascii="宋体" w:hAnsi="宋体"/>
                <w:color w:val="auto"/>
                <w:szCs w:val="21"/>
                <w:highlight w:val="none"/>
              </w:rPr>
            </w:pPr>
            <w:r>
              <w:rPr>
                <w:rFonts w:hint="eastAsia" w:ascii="宋体" w:hAnsi="宋体"/>
                <w:color w:val="auto"/>
                <w:szCs w:val="21"/>
                <w:highlight w:val="none"/>
              </w:rPr>
              <w:t>□综合评估法三（以前叫：平均值法（二））</w:t>
            </w:r>
          </w:p>
          <w:p>
            <w:pPr>
              <w:spacing w:line="400" w:lineRule="exact"/>
              <w:rPr>
                <w:rFonts w:ascii="宋体" w:hAnsi="宋体"/>
                <w:color w:val="auto"/>
                <w:szCs w:val="21"/>
                <w:highlight w:val="none"/>
              </w:rPr>
            </w:pPr>
            <w:r>
              <w:rPr>
                <w:rFonts w:hint="eastAsia" w:ascii="宋体" w:hAnsi="宋体"/>
                <w:color w:val="auto"/>
                <w:szCs w:val="21"/>
                <w:highlight w:val="none"/>
              </w:rPr>
              <w:t>□经评审的最低投标价法</w:t>
            </w:r>
          </w:p>
        </w:tc>
      </w:tr>
      <w:tr>
        <w:tblPrEx>
          <w:tblCellMar>
            <w:top w:w="0" w:type="dxa"/>
            <w:left w:w="108" w:type="dxa"/>
            <w:bottom w:w="0" w:type="dxa"/>
            <w:right w:w="108" w:type="dxa"/>
          </w:tblCellMar>
        </w:tblPrEx>
        <w:trPr>
          <w:trHeight w:val="995"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color w:val="auto"/>
                <w:szCs w:val="21"/>
                <w:highlight w:val="none"/>
              </w:rPr>
              <w:t>6.1.1</w:t>
            </w:r>
          </w:p>
        </w:tc>
        <w:tc>
          <w:tcPr>
            <w:tcW w:w="2061" w:type="dxa"/>
            <w:tcBorders>
              <w:top w:val="single" w:color="auto" w:sz="4" w:space="0"/>
              <w:left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评标委员会的组建</w:t>
            </w:r>
          </w:p>
        </w:tc>
        <w:tc>
          <w:tcPr>
            <w:tcW w:w="6188" w:type="dxa"/>
            <w:tcBorders>
              <w:top w:val="single" w:color="auto" w:sz="4" w:space="0"/>
              <w:left w:val="single" w:color="auto" w:sz="4" w:space="0"/>
              <w:right w:val="single" w:color="auto" w:sz="4" w:space="0"/>
            </w:tcBorders>
            <w:noWrap/>
            <w:vAlign w:val="center"/>
          </w:tcPr>
          <w:p>
            <w:pPr>
              <w:spacing w:before="120" w:beforeLines="50" w:line="400" w:lineRule="exact"/>
              <w:contextualSpacing/>
              <w:rPr>
                <w:color w:val="auto"/>
                <w:szCs w:val="21"/>
                <w:highlight w:val="none"/>
                <w:u w:val="single"/>
              </w:rPr>
            </w:pPr>
            <w:r>
              <w:rPr>
                <w:rFonts w:hint="eastAsia" w:ascii="宋体" w:hAnsi="宋体"/>
                <w:color w:val="auto"/>
                <w:szCs w:val="21"/>
                <w:highlight w:val="none"/>
                <w:u w:val="single"/>
              </w:rPr>
              <w:t>评标委员会由招标人依法组建。</w:t>
            </w:r>
          </w:p>
        </w:tc>
      </w:tr>
      <w:tr>
        <w:tblPrEx>
          <w:tblCellMar>
            <w:top w:w="0" w:type="dxa"/>
            <w:left w:w="108" w:type="dxa"/>
            <w:bottom w:w="0" w:type="dxa"/>
            <w:right w:w="108" w:type="dxa"/>
          </w:tblCellMar>
        </w:tblPrEx>
        <w:trPr>
          <w:trHeight w:val="634" w:hRule="atLeast"/>
        </w:trPr>
        <w:tc>
          <w:tcPr>
            <w:tcW w:w="1498" w:type="dxa"/>
            <w:tcBorders>
              <w:top w:val="single" w:color="auto" w:sz="4" w:space="0"/>
              <w:left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7.2.1</w:t>
            </w:r>
          </w:p>
        </w:tc>
        <w:tc>
          <w:tcPr>
            <w:tcW w:w="2061" w:type="dxa"/>
            <w:tcBorders>
              <w:top w:val="single" w:color="auto" w:sz="4" w:space="0"/>
              <w:left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rFonts w:hint="eastAsia"/>
                <w:color w:val="auto"/>
                <w:szCs w:val="21"/>
                <w:highlight w:val="none"/>
              </w:rPr>
              <w:t>中标候选人公示媒介</w:t>
            </w:r>
          </w:p>
        </w:tc>
        <w:tc>
          <w:tcPr>
            <w:tcW w:w="6188" w:type="dxa"/>
            <w:tcBorders>
              <w:top w:val="single" w:color="auto" w:sz="4" w:space="0"/>
              <w:left w:val="single" w:color="auto" w:sz="4" w:space="0"/>
              <w:right w:val="single" w:color="auto" w:sz="4" w:space="0"/>
            </w:tcBorders>
            <w:noWrap/>
            <w:vAlign w:val="center"/>
          </w:tcPr>
          <w:p>
            <w:pPr>
              <w:spacing w:before="120" w:beforeLines="50" w:line="360" w:lineRule="auto"/>
              <w:contextualSpacing/>
              <w:rPr>
                <w:color w:val="auto"/>
                <w:szCs w:val="21"/>
                <w:highlight w:val="none"/>
              </w:rPr>
            </w:pPr>
            <w:r>
              <w:rPr>
                <w:rFonts w:hint="eastAsia"/>
                <w:color w:val="auto"/>
                <w:szCs w:val="21"/>
                <w:highlight w:val="none"/>
                <w:u w:val="single"/>
              </w:rPr>
              <w:t>广州交易集团有限公司（广州公共资源交易中心）网站（http://www.gzggzy.cn/）、广东省招标投标监管网（http://zbtb.gd.gov.cn/login）、中国招标投标公共服务平台（网址：http://www.cebpubservice.com/） 。</w:t>
            </w:r>
          </w:p>
        </w:tc>
      </w:tr>
      <w:tr>
        <w:tblPrEx>
          <w:tblCellMar>
            <w:top w:w="0" w:type="dxa"/>
            <w:left w:w="108" w:type="dxa"/>
            <w:bottom w:w="0" w:type="dxa"/>
            <w:right w:w="108" w:type="dxa"/>
          </w:tblCellMar>
        </w:tblPrEx>
        <w:trPr>
          <w:trHeight w:val="880"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7.4.1</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center"/>
              <w:rPr>
                <w:color w:val="auto"/>
                <w:szCs w:val="21"/>
                <w:highlight w:val="none"/>
              </w:rPr>
            </w:pPr>
            <w:r>
              <w:rPr>
                <w:color w:val="auto"/>
                <w:szCs w:val="21"/>
                <w:highlight w:val="none"/>
              </w:rPr>
              <w:t>履约担保</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left"/>
              <w:rPr>
                <w:rFonts w:hint="eastAsia"/>
                <w:color w:val="auto"/>
                <w:szCs w:val="21"/>
                <w:highlight w:val="none"/>
                <w:u w:val="single"/>
              </w:rPr>
            </w:pPr>
            <w:r>
              <w:rPr>
                <w:rFonts w:hint="eastAsia"/>
                <w:color w:val="auto"/>
                <w:szCs w:val="21"/>
                <w:highlight w:val="none"/>
                <w:u w:val="single"/>
              </w:rPr>
              <w:t>履约保证金为中标价款的 10%。(注:招标人可以依法规规定自行调整比例)。</w:t>
            </w:r>
          </w:p>
          <w:p>
            <w:pPr>
              <w:spacing w:before="120" w:beforeLines="50" w:line="400" w:lineRule="exact"/>
              <w:contextualSpacing/>
              <w:jc w:val="left"/>
              <w:rPr>
                <w:rFonts w:hint="eastAsia"/>
                <w:color w:val="auto"/>
                <w:szCs w:val="21"/>
                <w:highlight w:val="none"/>
                <w:u w:val="single"/>
                <w:lang w:eastAsia="zh-CN"/>
              </w:rPr>
            </w:pPr>
            <w:r>
              <w:rPr>
                <w:rFonts w:hint="eastAsia"/>
                <w:color w:val="auto"/>
                <w:szCs w:val="21"/>
                <w:highlight w:val="none"/>
                <w:u w:val="single"/>
              </w:rPr>
              <w:t>要求按以下方式递交</w:t>
            </w:r>
            <w:r>
              <w:rPr>
                <w:rFonts w:hint="eastAsia"/>
                <w:color w:val="auto"/>
                <w:szCs w:val="21"/>
                <w:highlight w:val="none"/>
                <w:u w:val="single"/>
                <w:lang w:eastAsia="zh-CN"/>
              </w:rPr>
              <w:t>：</w:t>
            </w:r>
          </w:p>
          <w:p>
            <w:pPr>
              <w:spacing w:before="120" w:beforeLines="50" w:line="400" w:lineRule="exact"/>
              <w:contextualSpacing/>
              <w:jc w:val="left"/>
              <w:rPr>
                <w:rFonts w:hint="eastAsia"/>
                <w:color w:val="auto"/>
                <w:szCs w:val="21"/>
                <w:highlight w:val="none"/>
                <w:u w:val="single"/>
                <w:lang w:eastAsia="zh-CN"/>
              </w:rPr>
            </w:pPr>
            <w:r>
              <w:rPr>
                <w:rFonts w:hint="eastAsia"/>
                <w:color w:val="auto"/>
                <w:szCs w:val="21"/>
                <w:highlight w:val="none"/>
                <w:u w:val="single"/>
                <w:lang w:eastAsia="zh-CN"/>
              </w:rPr>
              <w:t>1.提供银行保函</w:t>
            </w:r>
          </w:p>
          <w:p>
            <w:pPr>
              <w:spacing w:before="120" w:beforeLines="50" w:line="400" w:lineRule="exact"/>
              <w:contextualSpacing/>
              <w:jc w:val="left"/>
              <w:rPr>
                <w:rFonts w:hint="eastAsia"/>
                <w:color w:val="auto"/>
                <w:szCs w:val="21"/>
                <w:highlight w:val="none"/>
                <w:u w:val="single"/>
                <w:lang w:eastAsia="zh-CN"/>
              </w:rPr>
            </w:pPr>
            <w:r>
              <w:rPr>
                <w:rFonts w:hint="eastAsia"/>
                <w:color w:val="auto"/>
                <w:szCs w:val="21"/>
                <w:highlight w:val="none"/>
                <w:u w:val="single"/>
                <w:lang w:eastAsia="zh-CN"/>
              </w:rPr>
              <w:t>2.提供担保保函。</w:t>
            </w:r>
          </w:p>
          <w:p>
            <w:pPr>
              <w:spacing w:before="120" w:beforeLines="50" w:line="400" w:lineRule="exact"/>
              <w:contextualSpacing/>
              <w:jc w:val="left"/>
              <w:rPr>
                <w:rFonts w:hint="eastAsia" w:eastAsia="宋体"/>
                <w:color w:val="auto"/>
                <w:szCs w:val="21"/>
                <w:highlight w:val="none"/>
                <w:u w:val="single"/>
                <w:lang w:eastAsia="zh-CN"/>
              </w:rPr>
            </w:pPr>
            <w:r>
              <w:rPr>
                <w:rFonts w:hint="eastAsia"/>
                <w:color w:val="auto"/>
                <w:szCs w:val="21"/>
                <w:highlight w:val="none"/>
                <w:u w:val="single"/>
                <w:lang w:eastAsia="zh-CN"/>
              </w:rPr>
              <w:t>3.提交保证保险。</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rPr>
            </w:pPr>
            <w:r>
              <w:rPr>
                <w:rFonts w:hint="eastAsia"/>
                <w:color w:val="auto"/>
                <w:szCs w:val="21"/>
                <w:highlight w:val="none"/>
              </w:rPr>
              <w:t>10</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left"/>
              <w:rPr>
                <w:color w:val="auto"/>
                <w:szCs w:val="21"/>
                <w:highlight w:val="none"/>
              </w:rPr>
            </w:pPr>
            <w:r>
              <w:rPr>
                <w:rFonts w:hint="eastAsia"/>
                <w:color w:val="auto"/>
                <w:szCs w:val="21"/>
                <w:highlight w:val="none"/>
              </w:rPr>
              <w:t>需要补充的其他内容</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rFonts w:ascii="宋体" w:hAnsi="宋体" w:cs="宋体"/>
                <w:color w:val="auto"/>
                <w:kern w:val="0"/>
                <w:szCs w:val="21"/>
                <w:highlight w:val="none"/>
                <w:lang w:val="zh-CN"/>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u w:val="single"/>
              </w:rPr>
            </w:pPr>
            <w:r>
              <w:rPr>
                <w:rFonts w:hint="eastAsia"/>
                <w:color w:val="auto"/>
                <w:szCs w:val="21"/>
                <w:highlight w:val="none"/>
                <w:u w:val="single"/>
              </w:rPr>
              <w:t>10.1</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left"/>
              <w:rPr>
                <w:color w:val="auto"/>
                <w:szCs w:val="21"/>
                <w:highlight w:val="none"/>
                <w:u w:val="single"/>
              </w:rPr>
            </w:pPr>
            <w:r>
              <w:rPr>
                <w:rFonts w:hint="eastAsia"/>
                <w:color w:val="auto"/>
                <w:szCs w:val="21"/>
                <w:highlight w:val="none"/>
                <w:u w:val="single"/>
              </w:rPr>
              <w:t>交易服务费</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rFonts w:ascii="宋体" w:hAnsi="宋体" w:cs="宋体"/>
                <w:color w:val="auto"/>
                <w:szCs w:val="21"/>
                <w:highlight w:val="none"/>
                <w:u w:val="single"/>
              </w:rPr>
            </w:pPr>
            <w:r>
              <w:rPr>
                <w:rFonts w:hint="eastAsia" w:ascii="宋体" w:hAnsi="宋体" w:cs="宋体"/>
                <w:color w:val="auto"/>
                <w:szCs w:val="21"/>
                <w:highlight w:val="none"/>
                <w:u w:val="single"/>
              </w:rPr>
              <w:t>中标候选公示后，由中标人向广州公共资源交易中心缴纳交易服务费、向广州公共资源交易中心索取发票，并在取得发票后及时告知招标代理。（该交易服务费为中标金额的0.9‰，具体收费标准中标人可以在广州公共资源交易中心网站查阅，如有变更以广州公共资源交易中心最新发布的标准为准）。</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u w:val="single"/>
              </w:rPr>
            </w:pPr>
            <w:r>
              <w:rPr>
                <w:rFonts w:hint="eastAsia"/>
                <w:color w:val="auto"/>
                <w:szCs w:val="21"/>
                <w:highlight w:val="none"/>
                <w:u w:val="single"/>
              </w:rPr>
              <w:t>10.2</w:t>
            </w:r>
          </w:p>
        </w:tc>
        <w:tc>
          <w:tcPr>
            <w:tcW w:w="2061"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jc w:val="left"/>
              <w:rPr>
                <w:color w:val="auto"/>
                <w:szCs w:val="21"/>
                <w:highlight w:val="none"/>
                <w:u w:val="single"/>
              </w:rPr>
            </w:pPr>
            <w:r>
              <w:rPr>
                <w:rFonts w:hint="eastAsia"/>
                <w:color w:val="auto"/>
                <w:szCs w:val="21"/>
                <w:highlight w:val="none"/>
                <w:u w:val="single"/>
              </w:rPr>
              <w:t>招标代理费</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400" w:lineRule="exact"/>
              <w:contextualSpacing/>
              <w:rPr>
                <w:rFonts w:ascii="宋体" w:hAnsi="宋体" w:cs="宋体"/>
                <w:color w:val="auto"/>
                <w:szCs w:val="21"/>
                <w:highlight w:val="none"/>
                <w:u w:val="single"/>
              </w:rPr>
            </w:pPr>
            <w:r>
              <w:rPr>
                <w:rFonts w:hint="eastAsia" w:ascii="宋体" w:hAnsi="宋体" w:cs="宋体"/>
                <w:color w:val="auto"/>
                <w:szCs w:val="21"/>
                <w:highlight w:val="none"/>
                <w:u w:val="single"/>
              </w:rPr>
              <w:t>本项目招标代理费在办理中标通知书后，由委托人5天内一次性缴纳招标代理服务费。以《中标通知书》确定的中标价作为收费的计算基数，按差额定率累进法计算。</w:t>
            </w:r>
          </w:p>
        </w:tc>
      </w:tr>
      <w:tr>
        <w:tblPrEx>
          <w:tblCellMar>
            <w:top w:w="0" w:type="dxa"/>
            <w:left w:w="108" w:type="dxa"/>
            <w:bottom w:w="0" w:type="dxa"/>
            <w:right w:w="108" w:type="dxa"/>
          </w:tblCellMar>
        </w:tblPrEx>
        <w:trPr>
          <w:trHeight w:val="844" w:hRule="atLeast"/>
        </w:trPr>
        <w:tc>
          <w:tcPr>
            <w:tcW w:w="1498" w:type="dxa"/>
            <w:tcBorders>
              <w:top w:val="single" w:color="auto" w:sz="4" w:space="0"/>
              <w:left w:val="single" w:color="auto" w:sz="4" w:space="0"/>
              <w:bottom w:val="single" w:color="auto" w:sz="4" w:space="0"/>
              <w:right w:val="single" w:color="auto" w:sz="4" w:space="0"/>
            </w:tcBorders>
            <w:noWrap/>
            <w:vAlign w:val="center"/>
          </w:tcPr>
          <w:p>
            <w:pPr>
              <w:spacing w:before="120" w:beforeLines="50" w:line="360" w:lineRule="auto"/>
              <w:contextualSpacing/>
              <w:jc w:val="center"/>
              <w:rPr>
                <w:color w:val="auto"/>
                <w:szCs w:val="21"/>
                <w:highlight w:val="none"/>
                <w:u w:val="single"/>
              </w:rPr>
            </w:pPr>
            <w:r>
              <w:rPr>
                <w:rFonts w:hint="eastAsia"/>
                <w:color w:val="auto"/>
                <w:szCs w:val="21"/>
                <w:highlight w:val="none"/>
                <w:u w:val="single"/>
              </w:rPr>
              <w:t>10.3</w:t>
            </w:r>
          </w:p>
        </w:tc>
        <w:tc>
          <w:tcPr>
            <w:tcW w:w="2061" w:type="dxa"/>
            <w:tcBorders>
              <w:top w:val="single" w:color="auto" w:sz="4" w:space="0"/>
              <w:left w:val="single" w:color="auto" w:sz="4" w:space="0"/>
              <w:bottom w:val="single" w:color="auto" w:sz="4" w:space="0"/>
              <w:right w:val="single" w:color="auto" w:sz="4" w:space="0"/>
            </w:tcBorders>
            <w:noWrap/>
            <w:vAlign w:val="center"/>
          </w:tcPr>
          <w:p>
            <w:pPr>
              <w:pStyle w:val="144"/>
              <w:rPr>
                <w:color w:val="auto"/>
                <w:highlight w:val="none"/>
                <w:u w:val="single"/>
              </w:rPr>
            </w:pPr>
            <w:r>
              <w:rPr>
                <w:rFonts w:hint="eastAsia"/>
                <w:color w:val="auto"/>
                <w:highlight w:val="none"/>
                <w:u w:val="single"/>
              </w:rPr>
              <w:t>突发情况的补救</w:t>
            </w:r>
          </w:p>
        </w:tc>
        <w:tc>
          <w:tcPr>
            <w:tcW w:w="6188" w:type="dxa"/>
            <w:tcBorders>
              <w:top w:val="single" w:color="auto" w:sz="4" w:space="0"/>
              <w:left w:val="single" w:color="auto" w:sz="4" w:space="0"/>
              <w:bottom w:val="single" w:color="auto" w:sz="4" w:space="0"/>
              <w:right w:val="single" w:color="auto" w:sz="4" w:space="0"/>
            </w:tcBorders>
            <w:noWrap/>
            <w:vAlign w:val="center"/>
          </w:tcPr>
          <w:p>
            <w:pPr>
              <w:spacing w:line="380" w:lineRule="exact"/>
              <w:rPr>
                <w:color w:val="auto"/>
                <w:highlight w:val="none"/>
                <w:u w:val="single"/>
              </w:rPr>
            </w:pPr>
            <w:r>
              <w:rPr>
                <w:rFonts w:hint="eastAsia"/>
                <w:color w:val="auto"/>
                <w:highlight w:val="none"/>
                <w:u w:val="single"/>
              </w:rPr>
              <w:t>提交投标文件U盘备用：</w:t>
            </w:r>
          </w:p>
          <w:p>
            <w:pPr>
              <w:spacing w:line="380" w:lineRule="exact"/>
              <w:rPr>
                <w:rFonts w:ascii="宋体" w:hAnsi="宋体" w:cs="Courier New"/>
                <w:color w:val="auto"/>
                <w:szCs w:val="21"/>
                <w:highlight w:val="none"/>
                <w:u w:val="single"/>
              </w:rPr>
            </w:pPr>
            <w:r>
              <w:rPr>
                <w:rFonts w:hint="eastAsia"/>
                <w:color w:val="auto"/>
                <w:highlight w:val="none"/>
                <w:u w:val="single"/>
              </w:rPr>
              <w:t>投标人可制作非加密的电子投标文件（PDF格式）刻入U盘（1份），在投标须知前附表第5.1项规定的时间、地点提交备用。刻录好的投标文件U盘密封在密封袋中，并在封口处加盖投标人单位公章。密封袋上应写明项目名称和招标人名</w:t>
            </w:r>
            <w:r>
              <w:rPr>
                <w:color w:val="auto"/>
                <w:highlight w:val="none"/>
                <w:u w:val="single"/>
              </w:rPr>
              <w:tab/>
            </w:r>
            <w:r>
              <w:rPr>
                <w:rFonts w:hint="eastAsia"/>
                <w:color w:val="auto"/>
                <w:highlight w:val="none"/>
                <w:u w:val="single"/>
              </w:rPr>
              <w:t>称。递交的U盘不得加密。U盘无法读取或导入的，则视为未提交备用投标文件U盘。如果投标人没有按规定通过交易平台网上递交电子投标文件的，不再读取提交的U盘。投标人也可不提交备用U盘。</w:t>
            </w:r>
          </w:p>
        </w:tc>
      </w:tr>
    </w:tbl>
    <w:p>
      <w:pPr>
        <w:spacing w:line="400" w:lineRule="exact"/>
        <w:rPr>
          <w:rFonts w:ascii="黑体" w:hAnsi="黑体" w:eastAsia="黑体"/>
          <w:color w:val="auto"/>
          <w:sz w:val="28"/>
          <w:szCs w:val="27"/>
          <w:highlight w:val="none"/>
        </w:rPr>
      </w:pPr>
      <w:r>
        <w:rPr>
          <w:color w:val="auto"/>
          <w:highlight w:val="none"/>
        </w:rPr>
        <w:br w:type="page"/>
      </w:r>
    </w:p>
    <w:bookmarkEnd w:id="9"/>
    <w:p>
      <w:pPr>
        <w:spacing w:line="400" w:lineRule="exact"/>
        <w:jc w:val="center"/>
        <w:outlineLvl w:val="2"/>
        <w:rPr>
          <w:rFonts w:ascii="黑体" w:hAnsi="黑体" w:eastAsia="黑体"/>
          <w:color w:val="auto"/>
          <w:sz w:val="28"/>
          <w:szCs w:val="27"/>
          <w:highlight w:val="none"/>
        </w:rPr>
      </w:pPr>
      <w:bookmarkStart w:id="18" w:name="_Toc27372"/>
      <w:bookmarkEnd w:id="18"/>
      <w:bookmarkStart w:id="19" w:name="_Toc32618"/>
      <w:r>
        <w:rPr>
          <w:rFonts w:hint="eastAsia" w:ascii="黑体" w:hAnsi="黑体" w:eastAsia="黑体"/>
          <w:color w:val="auto"/>
          <w:sz w:val="28"/>
          <w:szCs w:val="27"/>
          <w:highlight w:val="none"/>
        </w:rPr>
        <w:t>投标须知修改表</w:t>
      </w:r>
      <w:bookmarkEnd w:id="19"/>
    </w:p>
    <w:p>
      <w:pPr>
        <w:pStyle w:val="40"/>
        <w:spacing w:line="390" w:lineRule="exact"/>
        <w:rPr>
          <w:rFonts w:ascii="宋体" w:hAnsi="宋体" w:eastAsia="宋体"/>
          <w:color w:val="auto"/>
          <w:sz w:val="24"/>
          <w:szCs w:val="24"/>
          <w:highlight w:val="none"/>
        </w:rPr>
      </w:pPr>
      <w:r>
        <w:rPr>
          <w:rFonts w:hint="eastAsia" w:ascii="宋体" w:hAnsi="宋体" w:eastAsia="宋体"/>
          <w:b/>
          <w:color w:val="auto"/>
          <w:sz w:val="24"/>
          <w:szCs w:val="24"/>
          <w:highlight w:val="none"/>
        </w:rPr>
        <w:t>本投标须知使用</w:t>
      </w:r>
      <w:r>
        <w:rPr>
          <w:rFonts w:hint="eastAsia" w:ascii="仿宋_GB2312" w:hAnsi="宋体" w:eastAsia="仿宋_GB2312"/>
          <w:b/>
          <w:color w:val="auto"/>
          <w:sz w:val="24"/>
          <w:szCs w:val="24"/>
          <w:highlight w:val="none"/>
        </w:rPr>
        <w:t>SWZB2019-01试行版</w:t>
      </w:r>
      <w:r>
        <w:rPr>
          <w:rFonts w:hint="eastAsia" w:ascii="宋体" w:hAnsi="宋体" w:eastAsia="宋体"/>
          <w:b/>
          <w:color w:val="auto"/>
          <w:sz w:val="24"/>
          <w:szCs w:val="24"/>
          <w:highlight w:val="none"/>
        </w:rPr>
        <w:t>招标文件范本的投标须知通用条款，与该通用条款不同之处，均在本表中列明，并以现文为准，原文不再有效。</w:t>
      </w:r>
      <w:r>
        <w:rPr>
          <w:rFonts w:hint="eastAsia" w:ascii="宋体" w:hAnsi="宋体" w:eastAsia="宋体"/>
          <w:b/>
          <w:bCs/>
          <w:color w:val="auto"/>
          <w:sz w:val="24"/>
          <w:szCs w:val="24"/>
          <w:highlight w:val="none"/>
        </w:rPr>
        <w:t>本招标文件范本请投标人自行到广州市水务局网站（网址：</w:t>
      </w:r>
      <w:r>
        <w:rPr>
          <w:rFonts w:ascii="宋体" w:hAnsi="宋体" w:eastAsia="宋体"/>
          <w:b/>
          <w:bCs/>
          <w:color w:val="auto"/>
          <w:sz w:val="24"/>
          <w:szCs w:val="24"/>
          <w:highlight w:val="none"/>
        </w:rPr>
        <w:t>http://www.gzwater.gov.cn</w:t>
      </w:r>
      <w:r>
        <w:rPr>
          <w:rFonts w:hint="eastAsia" w:ascii="宋体" w:hAnsi="宋体" w:eastAsia="宋体"/>
          <w:b/>
          <w:bCs/>
          <w:color w:val="auto"/>
          <w:sz w:val="24"/>
          <w:szCs w:val="24"/>
          <w:highlight w:val="none"/>
        </w:rPr>
        <w:t>）下载查阅。</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 1.4                     修改类型：修改</w:t>
      </w:r>
    </w:p>
    <w:p>
      <w:pPr>
        <w:pBdr>
          <w:bottom w:val="single" w:color="auto" w:sz="6" w:space="1"/>
        </w:pBdr>
        <w:spacing w:line="390" w:lineRule="exact"/>
        <w:ind w:firstLine="540" w:firstLineChars="224"/>
        <w:rPr>
          <w:rFonts w:ascii="宋体" w:hAnsi="宋体"/>
          <w:b/>
          <w:color w:val="auto"/>
          <w:kern w:val="0"/>
          <w:sz w:val="24"/>
          <w:szCs w:val="24"/>
          <w:highlight w:val="none"/>
        </w:rPr>
      </w:pPr>
      <w:r>
        <w:rPr>
          <w:rFonts w:hint="eastAsia" w:ascii="宋体" w:hAnsi="宋体"/>
          <w:b/>
          <w:color w:val="auto"/>
          <w:kern w:val="0"/>
          <w:sz w:val="24"/>
          <w:szCs w:val="24"/>
          <w:highlight w:val="none"/>
        </w:rPr>
        <w:t>原文：1.4投标人资格要求</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1.4.1</w:t>
      </w:r>
      <w:r>
        <w:rPr>
          <w:rFonts w:hint="eastAsia" w:ascii="宋体" w:hAnsi="宋体"/>
          <w:bCs/>
          <w:color w:val="auto"/>
          <w:sz w:val="24"/>
          <w:highlight w:val="none"/>
        </w:rPr>
        <w:t>投标人应具备承担本项目施工的资质条件、能力和信誉。</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 xml:space="preserve">（1）资质条件：见投标人须知前附表； </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（2）项目负责人资格：见投标人须知前附表；</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（3）其他要求：</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olor w:val="auto"/>
          <w:sz w:val="24"/>
          <w:szCs w:val="24"/>
          <w:highlight w:val="none"/>
        </w:rPr>
        <w:tab/>
      </w:r>
      <w:r>
        <w:rPr>
          <w:rFonts w:hint="eastAsia" w:ascii="宋体" w:hAnsi="宋体"/>
          <w:color w:val="auto"/>
          <w:sz w:val="24"/>
          <w:szCs w:val="24"/>
          <w:highlight w:val="none"/>
        </w:rPr>
        <w:t>投标人必须具备独立法人资格，具有有效的安全生产许可证。</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olor w:val="auto"/>
          <w:sz w:val="24"/>
          <w:szCs w:val="24"/>
          <w:highlight w:val="none"/>
        </w:rPr>
        <w:tab/>
      </w:r>
      <w:r>
        <w:rPr>
          <w:rFonts w:hint="eastAsia" w:ascii="宋体" w:hAnsi="宋体"/>
          <w:color w:val="auto"/>
          <w:sz w:val="24"/>
          <w:szCs w:val="24"/>
          <w:highlight w:val="none"/>
        </w:rPr>
        <w:t>项目负责人持有有效的安全培训考核合格证（B类）。安全培训考核合格证的颁发部门见投标人须知前附表。</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olor w:val="auto"/>
          <w:sz w:val="24"/>
          <w:szCs w:val="24"/>
          <w:highlight w:val="none"/>
        </w:rPr>
        <w:tab/>
      </w:r>
      <w:r>
        <w:rPr>
          <w:rFonts w:hint="eastAsia" w:ascii="宋体" w:hAnsi="宋体"/>
          <w:color w:val="auto"/>
          <w:sz w:val="24"/>
          <w:szCs w:val="24"/>
          <w:highlight w:val="none"/>
        </w:rPr>
        <w:t>专职安全员具有有效的安全培训考核合格证（C证）。安全培训考核合格证的颁发部门见投标人须知前附表。</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d）业绩要求：根据工程规模和特点设置。</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e)其他要求详见投标人须知前附表。</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1.4.2 本招标项目是否接受联合体投标以招标公告为准。</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1.4.3 投标人不得存在下列情形之一：</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（2）为本次招标项目前期准备提供设计或咨询服务的；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（3）为本次招标项目的监理人；</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（4）为本次招标项目的代建人；</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 xml:space="preserve">（5）为本次招标项目提供招标代理服务的； </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（6）与本次招标项目的监理人或代建人或招标代理机构同为一个法定代表人的；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（7）与本次招标项目的监理人或代建人或招标代理机构相互控股或参股的；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（8）与本次招标项目的监理人或代建人或招标代理机构相互任职或工作的；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（9）被责令停业的；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（10）被暂停或取消投标资格的；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（11）财产被接管或冻结的；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（12）单位负责人为同一人或者存在控股、管理关系的不同单位，同时参加本招标项目投标。</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（13）投标人、投标人主要负责人及拟投入人员在招标投标、合同履行、安全事故方面因违反有关法律、法规规定受到相关行政管理部门的行政处罚，被取消投标资格的。</w:t>
      </w:r>
    </w:p>
    <w:p>
      <w:pPr>
        <w:pBdr>
          <w:bottom w:val="single" w:color="auto" w:sz="6" w:space="1"/>
        </w:pBdr>
        <w:spacing w:line="390" w:lineRule="exact"/>
        <w:ind w:firstLine="540" w:firstLineChars="224"/>
        <w:rPr>
          <w:rFonts w:ascii="宋体" w:hAnsi="宋体"/>
          <w:b/>
          <w:color w:val="auto"/>
          <w:kern w:val="0"/>
          <w:sz w:val="24"/>
          <w:szCs w:val="24"/>
          <w:highlight w:val="none"/>
        </w:rPr>
      </w:pPr>
      <w:r>
        <w:rPr>
          <w:rFonts w:hint="eastAsia" w:ascii="宋体" w:hAnsi="宋体"/>
          <w:b/>
          <w:color w:val="auto"/>
          <w:kern w:val="0"/>
          <w:sz w:val="24"/>
          <w:szCs w:val="24"/>
          <w:highlight w:val="none"/>
        </w:rPr>
        <w:t xml:space="preserve">现文:1.4 投标人资格要求 </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1.4.1</w:t>
      </w:r>
      <w:r>
        <w:rPr>
          <w:rFonts w:hint="eastAsia" w:ascii="宋体" w:hAnsi="宋体"/>
          <w:bCs/>
          <w:color w:val="auto"/>
          <w:sz w:val="24"/>
          <w:highlight w:val="none"/>
        </w:rPr>
        <w:t>投标人应具备承担本项目施工的资质条件、能力和信誉。</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rPr>
        <w:t>（1）资质条件：</w:t>
      </w:r>
      <w:r>
        <w:rPr>
          <w:rFonts w:hint="eastAsia" w:ascii="宋体" w:hAnsi="宋体"/>
          <w:color w:val="auto"/>
          <w:sz w:val="24"/>
          <w:szCs w:val="24"/>
          <w:highlight w:val="none"/>
          <w:u w:val="single"/>
        </w:rPr>
        <w:t xml:space="preserve">详见本项目招标公告； </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rPr>
        <w:t>（2）项目负责人资格：</w:t>
      </w:r>
      <w:r>
        <w:rPr>
          <w:rFonts w:hint="eastAsia" w:ascii="宋体" w:hAnsi="宋体"/>
          <w:color w:val="auto"/>
          <w:sz w:val="24"/>
          <w:szCs w:val="24"/>
          <w:highlight w:val="none"/>
          <w:u w:val="single"/>
        </w:rPr>
        <w:t>详见本项目招标公告；</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（3）其他要求：</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rPr>
        <w:t>a)</w:t>
      </w:r>
      <w:r>
        <w:rPr>
          <w:rFonts w:hint="eastAsia" w:ascii="宋体" w:hAnsi="宋体"/>
          <w:color w:val="auto"/>
          <w:sz w:val="24"/>
          <w:szCs w:val="24"/>
          <w:highlight w:val="none"/>
        </w:rPr>
        <w:tab/>
      </w:r>
      <w:r>
        <w:rPr>
          <w:rFonts w:hint="eastAsia" w:ascii="宋体" w:hAnsi="宋体"/>
          <w:color w:val="auto"/>
          <w:sz w:val="24"/>
          <w:szCs w:val="24"/>
          <w:highlight w:val="none"/>
        </w:rPr>
        <w:t>投标人必须具备独立法人资格，具有有效的安全生产许可证。</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b）项目负责人持有在有效期内建设行政主管部门颁发的安全培训考核合格证（B类）或建筑施工企业项目负责人安全生产考核合格证书。</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c）专职安全员具有在有效期内建设行政主管部门颁发的安全考核合格证书（C类）或建筑施工企业专职安全生产管理人员安全生产考核合格证书（C3），专职安全员和项目负责人不得为同一人。</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d）投标申请人须保证授权的委托代理人及项目部主要组成人员（项目负责人、专职安全员）均为本单位的正式职工，必须具有离投标截止时间最近1个月（时间为：2023年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在本单位交纳的社保证明文件（以加盖社会保险基金管理中心印章的《投保单》或《社会保险参保人员证明》资料为准）。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1.4.2 本招标项目不接受联合体投标。</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1.4.3 投标人不得存在下列情形之一：</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（2）为本次招标项目前期准备提供设计或咨询服务的；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（3）为本次招标项目的监理人；</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（4）为本次招标项目的代建人；</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 xml:space="preserve">（5）为本次招标项目提供招标代理服务的； </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（6）与本次招标项目的监理人或代建人或招标代理机构同为一个法定代表人的；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（7）与本次招标项目的监理人或代建人或招标代理机构相互控股或参股的；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（8）与本次招标项目的监理人或代建人或招标代理机构相互任职或工作的；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（9）被责令停业的；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（10）被暂停或取消投标资格的；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（11）财产被接管或冻结的；</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（12）单位负责人为同一人或者存在控股、管理关系的不同单位，同时参加本招标项目投标。</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（13）投标人、投标人主要负责人及拟投入人员在招标投标、合同履行、安全事故方面因违反有关法律、法规规定受到相关行政管理部门的行政处罚，被取消投标资格的。</w:t>
      </w:r>
    </w:p>
    <w:p>
      <w:pPr>
        <w:pBdr>
          <w:bottom w:val="single" w:color="auto" w:sz="6" w:space="1"/>
        </w:pBd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（14）被“信用广州”网站纳入失信联合惩戒名单（失信黑名单）。</w:t>
      </w:r>
    </w:p>
    <w:p>
      <w:pPr>
        <w:pBdr>
          <w:bottom w:val="single" w:color="auto" w:sz="6" w:space="1"/>
        </w:pBd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u w:val="single"/>
        </w:rPr>
        <w:t>1.4.4投标文件中投标人声明有按招标文件要求提交且有项目负责人、技术负责人签字。</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条款号：2.1.1                    修改类型：修改</w:t>
      </w:r>
    </w:p>
    <w:p>
      <w:pPr>
        <w:spacing w:line="390" w:lineRule="exact"/>
        <w:ind w:firstLine="482" w:firstLineChars="200"/>
        <w:contextualSpacing/>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ascii="宋体" w:hAnsi="宋体"/>
          <w:bCs/>
          <w:color w:val="auto"/>
          <w:sz w:val="24"/>
          <w:highlight w:val="none"/>
        </w:rPr>
        <w:t>2.</w:t>
      </w:r>
      <w:r>
        <w:rPr>
          <w:rFonts w:hint="eastAsia" w:ascii="宋体" w:hAnsi="宋体"/>
          <w:bCs/>
          <w:color w:val="auto"/>
          <w:sz w:val="24"/>
          <w:highlight w:val="none"/>
        </w:rPr>
        <w:t>1</w:t>
      </w:r>
      <w:r>
        <w:rPr>
          <w:rFonts w:ascii="宋体" w:hAnsi="宋体"/>
          <w:bCs/>
          <w:color w:val="auto"/>
          <w:sz w:val="24"/>
          <w:highlight w:val="none"/>
        </w:rPr>
        <w:t xml:space="preserve">.1 </w:t>
      </w:r>
      <w:r>
        <w:rPr>
          <w:rFonts w:hint="eastAsia" w:ascii="宋体" w:hAnsi="宋体"/>
          <w:bCs/>
          <w:color w:val="auto"/>
          <w:sz w:val="24"/>
          <w:highlight w:val="none"/>
        </w:rPr>
        <w:t>本招标文件包括下列文件，以及所有按本须知第 7 条发出的澄清或修改和按本须知第 8 条发出的招标答疑会会议纪要：</w:t>
      </w:r>
    </w:p>
    <w:p>
      <w:pPr>
        <w:pBdr>
          <w:bottom w:val="single" w:color="auto" w:sz="6" w:space="1"/>
        </w:pBdr>
        <w:spacing w:line="390" w:lineRule="exact"/>
        <w:ind w:firstLine="540" w:firstLineChars="224"/>
        <w:rPr>
          <w:rFonts w:ascii="宋体" w:hAnsi="宋体"/>
          <w:bCs/>
          <w:color w:val="auto"/>
          <w:sz w:val="24"/>
          <w:highlight w:val="none"/>
        </w:rPr>
      </w:pPr>
      <w:r>
        <w:rPr>
          <w:rFonts w:hint="eastAsia" w:ascii="宋体" w:hAnsi="宋体"/>
          <w:b/>
          <w:bCs/>
          <w:color w:val="auto"/>
          <w:sz w:val="24"/>
          <w:szCs w:val="24"/>
          <w:highlight w:val="none"/>
        </w:rPr>
        <w:t>现文：</w:t>
      </w:r>
      <w:r>
        <w:rPr>
          <w:rFonts w:hint="eastAsia" w:ascii="宋体" w:hAnsi="宋体"/>
          <w:bCs/>
          <w:color w:val="auto"/>
          <w:sz w:val="24"/>
          <w:highlight w:val="none"/>
        </w:rPr>
        <w:t>2.1.1 本招标文件包括下列文件，以及所有按本须知第</w:t>
      </w:r>
      <w:r>
        <w:rPr>
          <w:rFonts w:hint="eastAsia" w:ascii="宋体" w:hAnsi="宋体"/>
          <w:bCs/>
          <w:color w:val="auto"/>
          <w:sz w:val="24"/>
          <w:highlight w:val="none"/>
          <w:u w:val="single"/>
        </w:rPr>
        <w:t xml:space="preserve"> 2.3 </w:t>
      </w:r>
      <w:r>
        <w:rPr>
          <w:rFonts w:hint="eastAsia" w:ascii="宋体" w:hAnsi="宋体"/>
          <w:bCs/>
          <w:color w:val="auto"/>
          <w:sz w:val="24"/>
          <w:highlight w:val="none"/>
        </w:rPr>
        <w:t>条发出的澄清或修改和按本须知第</w:t>
      </w:r>
      <w:r>
        <w:rPr>
          <w:rFonts w:hint="eastAsia" w:ascii="宋体" w:hAnsi="宋体"/>
          <w:bCs/>
          <w:color w:val="auto"/>
          <w:sz w:val="24"/>
          <w:highlight w:val="none"/>
          <w:u w:val="single"/>
        </w:rPr>
        <w:t xml:space="preserve"> 2.2 </w:t>
      </w:r>
      <w:r>
        <w:rPr>
          <w:rFonts w:hint="eastAsia" w:ascii="宋体" w:hAnsi="宋体"/>
          <w:bCs/>
          <w:color w:val="auto"/>
          <w:sz w:val="24"/>
          <w:highlight w:val="none"/>
        </w:rPr>
        <w:t>条发出的招标答疑会会议纪要：</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条款号：2.2.1                    修改类型：修改</w:t>
      </w:r>
    </w:p>
    <w:p>
      <w:pPr>
        <w:spacing w:line="400" w:lineRule="exact"/>
        <w:ind w:firstLine="482" w:firstLineChars="200"/>
        <w:contextualSpacing/>
        <w:rPr>
          <w:rFonts w:ascii="宋体" w:hAnsi="宋体"/>
          <w:bCs/>
          <w:color w:val="auto"/>
          <w:sz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ascii="宋体" w:hAnsi="宋体"/>
          <w:bCs/>
          <w:color w:val="auto"/>
          <w:sz w:val="24"/>
          <w:highlight w:val="none"/>
        </w:rPr>
        <w:t xml:space="preserve">2.2.1 </w:t>
      </w:r>
      <w:r>
        <w:rPr>
          <w:rFonts w:hint="eastAsia" w:ascii="宋体" w:hAnsi="宋体"/>
          <w:bCs/>
          <w:color w:val="auto"/>
          <w:sz w:val="24"/>
          <w:highlight w:val="none"/>
        </w:rPr>
        <w:t>招标答疑采用网上答疑方式进行。投标人若对招标文件（包括招标图纸、清单、招标控制价）有疑问的，可在规定的时间内通过广州公共资源交易中心网站凭密码进入提问区域将问题提交给招标人或招标代理人，提交问题时一律不得署名。</w:t>
      </w:r>
    </w:p>
    <w:p>
      <w:pPr>
        <w:spacing w:line="400" w:lineRule="exact"/>
        <w:ind w:firstLine="480" w:firstLineChars="200"/>
        <w:contextualSpacing/>
        <w:rPr>
          <w:rFonts w:ascii="宋体" w:hAnsi="宋体"/>
          <w:color w:val="auto"/>
          <w:sz w:val="24"/>
          <w:szCs w:val="24"/>
          <w:highlight w:val="none"/>
        </w:rPr>
      </w:pPr>
      <w:r>
        <w:rPr>
          <w:rFonts w:hint="eastAsia" w:ascii="宋体" w:hAnsi="宋体"/>
          <w:bCs/>
          <w:color w:val="auto"/>
          <w:sz w:val="24"/>
          <w:highlight w:val="none"/>
        </w:rPr>
        <w:t>网上答疑的操作指南为：登陆广州公共资源交易中心网站→进入“项目招标答疑”专区→通过项目编号或名称找到所需的项目→在上述的答疑时间内点击“提问” →输入密码（密码为：＿）进入到提问区域→无记名或匿名提出问题以及查看所有的问题。</w:t>
      </w:r>
    </w:p>
    <w:p>
      <w:pPr>
        <w:spacing w:line="400" w:lineRule="exact"/>
        <w:rPr>
          <w:rFonts w:ascii="宋体" w:hAnsi="宋体"/>
          <w:bCs/>
          <w:color w:val="auto"/>
          <w:sz w:val="24"/>
          <w:highlight w:val="none"/>
          <w:u w:val="single"/>
        </w:rPr>
      </w:pPr>
      <w:r>
        <w:rPr>
          <w:rFonts w:hint="eastAsia" w:ascii="宋体" w:hAnsi="宋体"/>
          <w:b/>
          <w:bCs/>
          <w:color w:val="auto"/>
          <w:sz w:val="24"/>
          <w:szCs w:val="24"/>
          <w:highlight w:val="none"/>
        </w:rPr>
        <w:t>现文：</w:t>
      </w:r>
      <w:r>
        <w:rPr>
          <w:rFonts w:hint="eastAsia" w:ascii="宋体" w:hAnsi="宋体"/>
          <w:bCs/>
          <w:color w:val="auto"/>
          <w:sz w:val="24"/>
          <w:highlight w:val="none"/>
        </w:rPr>
        <w:t>2.2.1</w:t>
      </w:r>
      <w:r>
        <w:rPr>
          <w:rFonts w:hint="eastAsia" w:ascii="宋体" w:hAnsi="宋体"/>
          <w:bCs/>
          <w:color w:val="auto"/>
          <w:sz w:val="24"/>
          <w:highlight w:val="none"/>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ind w:firstLine="600" w:firstLineChars="250"/>
        <w:rPr>
          <w:rFonts w:ascii="宋体" w:hAnsi="宋体"/>
          <w:bCs/>
          <w:color w:val="auto"/>
          <w:sz w:val="24"/>
          <w:highlight w:val="none"/>
          <w:u w:val="single"/>
        </w:rPr>
      </w:pPr>
      <w:r>
        <w:rPr>
          <w:rFonts w:hint="eastAsia" w:ascii="宋体" w:hAnsi="宋体"/>
          <w:bCs/>
          <w:color w:val="auto"/>
          <w:sz w:val="24"/>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pBdr>
          <w:bottom w:val="single" w:color="auto" w:sz="6" w:space="1"/>
        </w:pBdr>
        <w:spacing w:line="390" w:lineRule="exact"/>
        <w:rPr>
          <w:rFonts w:ascii="宋体" w:hAnsi="宋体"/>
          <w:bCs/>
          <w:color w:val="auto"/>
          <w:sz w:val="24"/>
          <w:highlight w:val="none"/>
        </w:rPr>
      </w:pP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条款号：2.2.2                    修改类型：修改</w:t>
      </w:r>
    </w:p>
    <w:p>
      <w:pPr>
        <w:spacing w:line="390" w:lineRule="exact"/>
        <w:ind w:firstLine="482" w:firstLineChars="200"/>
        <w:contextualSpacing/>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ascii="宋体" w:hAnsi="宋体"/>
          <w:bCs/>
          <w:color w:val="auto"/>
          <w:sz w:val="24"/>
          <w:highlight w:val="none"/>
        </w:rPr>
        <w:t>2.</w:t>
      </w:r>
      <w:r>
        <w:rPr>
          <w:rFonts w:hint="eastAsia" w:ascii="宋体" w:hAnsi="宋体"/>
          <w:bCs/>
          <w:color w:val="auto"/>
          <w:sz w:val="24"/>
          <w:highlight w:val="none"/>
        </w:rPr>
        <w:t>2</w:t>
      </w:r>
      <w:r>
        <w:rPr>
          <w:rFonts w:ascii="宋体" w:hAnsi="宋体"/>
          <w:bCs/>
          <w:color w:val="auto"/>
          <w:sz w:val="24"/>
          <w:highlight w:val="none"/>
        </w:rPr>
        <w:t>.</w:t>
      </w:r>
      <w:r>
        <w:rPr>
          <w:rFonts w:hint="eastAsia" w:ascii="宋体" w:hAnsi="宋体"/>
          <w:bCs/>
          <w:color w:val="auto"/>
          <w:sz w:val="24"/>
          <w:highlight w:val="none"/>
        </w:rPr>
        <w:t>2投标人应在投标截止时间前15日停止质疑。招标人应在投标截止时间7日前解答投标人对招标文件提出的疑问，形成答疑纪要，在交易中心网站“招标答疑”专区发布。</w:t>
      </w:r>
    </w:p>
    <w:p>
      <w:pPr>
        <w:pBdr>
          <w:bottom w:val="single" w:color="auto" w:sz="6" w:space="1"/>
        </w:pBdr>
        <w:spacing w:line="390" w:lineRule="exact"/>
        <w:ind w:firstLine="540" w:firstLineChars="224"/>
        <w:rPr>
          <w:rFonts w:ascii="宋体" w:hAnsi="宋体"/>
          <w:bCs/>
          <w:color w:val="auto"/>
          <w:sz w:val="24"/>
          <w:highlight w:val="none"/>
        </w:rPr>
      </w:pPr>
      <w:r>
        <w:rPr>
          <w:rFonts w:hint="eastAsia" w:ascii="宋体" w:hAnsi="宋体"/>
          <w:b/>
          <w:bCs/>
          <w:color w:val="auto"/>
          <w:sz w:val="24"/>
          <w:szCs w:val="24"/>
          <w:highlight w:val="none"/>
        </w:rPr>
        <w:t>现文：</w:t>
      </w:r>
      <w:r>
        <w:rPr>
          <w:rFonts w:hint="eastAsia" w:ascii="宋体" w:hAnsi="宋体"/>
          <w:bCs/>
          <w:color w:val="auto"/>
          <w:sz w:val="24"/>
          <w:highlight w:val="none"/>
        </w:rPr>
        <w:t>2.2.2投标人应在投标截止时间前</w:t>
      </w:r>
      <w:r>
        <w:rPr>
          <w:rFonts w:hint="eastAsia" w:ascii="宋体" w:hAnsi="宋体"/>
          <w:bCs/>
          <w:color w:val="auto"/>
          <w:sz w:val="24"/>
          <w:highlight w:val="none"/>
          <w:u w:val="single"/>
        </w:rPr>
        <w:t>18日</w:t>
      </w:r>
      <w:r>
        <w:rPr>
          <w:rFonts w:hint="eastAsia" w:ascii="宋体" w:hAnsi="宋体"/>
          <w:bCs/>
          <w:color w:val="auto"/>
          <w:sz w:val="24"/>
          <w:highlight w:val="none"/>
        </w:rPr>
        <w:t>停止质疑。招标人应在投标截止时间</w:t>
      </w:r>
      <w:r>
        <w:rPr>
          <w:rFonts w:hint="eastAsia" w:ascii="宋体" w:hAnsi="宋体"/>
          <w:bCs/>
          <w:color w:val="auto"/>
          <w:sz w:val="24"/>
          <w:highlight w:val="none"/>
          <w:u w:val="single"/>
        </w:rPr>
        <w:t>15日</w:t>
      </w:r>
      <w:r>
        <w:rPr>
          <w:rFonts w:hint="eastAsia" w:ascii="宋体" w:hAnsi="宋体"/>
          <w:bCs/>
          <w:color w:val="auto"/>
          <w:sz w:val="24"/>
          <w:highlight w:val="none"/>
        </w:rPr>
        <w:t>前解答投标人对招标文件提出的疑问，形成答疑纪要，在交易中心网站“招标答疑”专区发布。</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条款号：3.1.1                     修改类型：修改</w:t>
      </w:r>
    </w:p>
    <w:p>
      <w:pPr>
        <w:spacing w:line="390" w:lineRule="exact"/>
        <w:ind w:firstLine="540" w:firstLineChars="224"/>
        <w:rPr>
          <w:rFonts w:ascii="宋体" w:hAnsi="宋体"/>
          <w:bCs/>
          <w:color w:val="auto"/>
          <w:kern w:val="0"/>
          <w:sz w:val="24"/>
          <w:szCs w:val="24"/>
          <w:highlight w:val="none"/>
        </w:rPr>
      </w:pPr>
      <w:r>
        <w:rPr>
          <w:rFonts w:hint="eastAsia" w:ascii="宋体" w:hAnsi="宋体"/>
          <w:b/>
          <w:color w:val="auto"/>
          <w:kern w:val="0"/>
          <w:sz w:val="24"/>
          <w:szCs w:val="24"/>
          <w:highlight w:val="none"/>
        </w:rPr>
        <w:t>原文：</w:t>
      </w:r>
      <w:r>
        <w:rPr>
          <w:rFonts w:hint="eastAsia" w:ascii="宋体" w:hAnsi="宋体"/>
          <w:bCs/>
          <w:color w:val="auto"/>
          <w:kern w:val="0"/>
          <w:sz w:val="24"/>
          <w:szCs w:val="24"/>
          <w:highlight w:val="none"/>
        </w:rPr>
        <w:t>3.1.1 投标文件应包括下列内容：</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（1）投标函及投标函附录；</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（2）法定代表人身份证明或附有法定代表人身份证明的授权委托书；</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（3）联合体协议书（非联合体不提交）；</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（4）投标保证金（投标保函原件单独提交，投标文件中为原件复印件）；</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（5）已标价工程量清单（采用综合评估法三的，不用提交）；</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（6）施工组织设计（不要求技术标的可不编制，提交施工组织设计要点）；</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（7）项目管理机构；</w:t>
      </w:r>
    </w:p>
    <w:p>
      <w:pPr>
        <w:spacing w:line="390" w:lineRule="exact"/>
        <w:ind w:firstLine="537" w:firstLineChars="224"/>
        <w:rPr>
          <w:rFonts w:ascii="宋体" w:hAnsi="宋体"/>
          <w:bCs/>
          <w:color w:val="auto"/>
          <w:kern w:val="0"/>
          <w:sz w:val="24"/>
          <w:szCs w:val="24"/>
          <w:highlight w:val="none"/>
        </w:rPr>
      </w:pPr>
      <w:r>
        <w:rPr>
          <w:rFonts w:hint="eastAsia" w:ascii="宋体" w:hAnsi="宋体"/>
          <w:bCs/>
          <w:color w:val="auto"/>
          <w:kern w:val="0"/>
          <w:sz w:val="24"/>
          <w:szCs w:val="24"/>
          <w:highlight w:val="none"/>
        </w:rPr>
        <w:t>（8）资格审查资料；</w:t>
      </w:r>
    </w:p>
    <w:p>
      <w:pPr>
        <w:spacing w:line="390" w:lineRule="exact"/>
        <w:ind w:firstLine="537" w:firstLineChars="224"/>
        <w:rPr>
          <w:rFonts w:ascii="宋体" w:hAnsi="宋体"/>
          <w:bCs/>
          <w:color w:val="auto"/>
          <w:sz w:val="24"/>
          <w:szCs w:val="24"/>
          <w:highlight w:val="none"/>
        </w:rPr>
      </w:pPr>
      <w:r>
        <w:rPr>
          <w:rFonts w:hint="eastAsia" w:ascii="宋体" w:hAnsi="宋体"/>
          <w:bCs/>
          <w:color w:val="auto"/>
          <w:kern w:val="0"/>
          <w:sz w:val="24"/>
          <w:szCs w:val="24"/>
          <w:highlight w:val="none"/>
        </w:rPr>
        <w:t>（9）其他应提交的材料。</w:t>
      </w:r>
    </w:p>
    <w:p>
      <w:pPr>
        <w:spacing w:line="390" w:lineRule="exact"/>
        <w:ind w:firstLine="540" w:firstLineChars="224"/>
        <w:rPr>
          <w:rFonts w:ascii="宋体" w:hAnsi="宋体"/>
          <w:b/>
          <w:color w:val="auto"/>
          <w:kern w:val="0"/>
          <w:sz w:val="24"/>
          <w:szCs w:val="24"/>
          <w:highlight w:val="none"/>
        </w:rPr>
      </w:pPr>
      <w:r>
        <w:rPr>
          <w:rFonts w:hint="eastAsia" w:ascii="宋体" w:hAnsi="宋体"/>
          <w:b/>
          <w:color w:val="auto"/>
          <w:kern w:val="0"/>
          <w:sz w:val="24"/>
          <w:szCs w:val="24"/>
          <w:highlight w:val="none"/>
        </w:rPr>
        <w:t>现文：3.1投标文件的组成</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投标文件应包括下列内容：</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（1）投标函及投标函附录</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（2）法定代表人身份证明</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（3）授权委托书</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（4）已标价工程量清单</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（5）施工组织设计</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（6）项目管理机构</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（7）资格审查资料</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（8）其他应提交的材料</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 3.2.2                      修改类型：删除</w:t>
      </w:r>
    </w:p>
    <w:p>
      <w:pPr>
        <w:pBdr>
          <w:bottom w:val="single" w:color="auto" w:sz="6" w:space="1"/>
        </w:pBdr>
        <w:spacing w:line="390" w:lineRule="exact"/>
        <w:ind w:firstLine="540" w:firstLineChars="224"/>
        <w:rPr>
          <w:rFonts w:ascii="宋体" w:hAnsi="宋体"/>
          <w:bCs/>
          <w:color w:val="auto"/>
          <w:sz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3.2.2采用综合评估法三的，投标人在投标截止时间前修改投标函中的投标报价总额，并根据评标办法列明的方法重新计算投标报价下浮率。此修改须符合本章第 4.3款的有关要求。</w:t>
      </w:r>
    </w:p>
    <w:p>
      <w:pPr>
        <w:pStyle w:val="40"/>
        <w:spacing w:after="0" w:line="390" w:lineRule="exact"/>
        <w:ind w:firstLine="422" w:firstLineChars="200"/>
        <w:rPr>
          <w:rFonts w:ascii="宋体" w:hAnsi="宋体" w:eastAsia="宋体"/>
          <w:b/>
          <w:bCs/>
          <w:color w:val="auto"/>
          <w:kern w:val="2"/>
          <w:sz w:val="21"/>
          <w:szCs w:val="21"/>
          <w:highlight w:val="none"/>
        </w:rPr>
      </w:pPr>
      <w:r>
        <w:rPr>
          <w:rFonts w:hint="eastAsia" w:ascii="宋体" w:hAnsi="宋体" w:eastAsia="宋体"/>
          <w:b/>
          <w:bCs/>
          <w:color w:val="auto"/>
          <w:kern w:val="2"/>
          <w:sz w:val="21"/>
          <w:szCs w:val="21"/>
          <w:highlight w:val="none"/>
        </w:rPr>
        <w:t>条款号：3.2.3                        修改类型：修改</w:t>
      </w:r>
    </w:p>
    <w:p>
      <w:pPr>
        <w:pStyle w:val="40"/>
        <w:spacing w:after="0" w:line="390" w:lineRule="exact"/>
        <w:ind w:firstLine="482" w:firstLineChars="200"/>
        <w:rPr>
          <w:rFonts w:ascii="宋体" w:hAnsi="宋体"/>
          <w:color w:val="auto"/>
          <w:sz w:val="24"/>
          <w:szCs w:val="24"/>
          <w:highlight w:val="none"/>
        </w:rPr>
      </w:pPr>
      <w:r>
        <w:rPr>
          <w:rFonts w:hint="eastAsia" w:ascii="宋体" w:hAnsi="宋体" w:eastAsia="宋体"/>
          <w:b/>
          <w:bCs/>
          <w:color w:val="auto"/>
          <w:sz w:val="24"/>
          <w:highlight w:val="none"/>
        </w:rPr>
        <w:t>原文</w:t>
      </w:r>
      <w:r>
        <w:rPr>
          <w:rFonts w:hint="eastAsia" w:ascii="宋体" w:hAnsi="宋体" w:eastAsia="宋体"/>
          <w:color w:val="auto"/>
          <w:sz w:val="24"/>
          <w:highlight w:val="none"/>
        </w:rPr>
        <w:t>：</w:t>
      </w:r>
      <w:r>
        <w:rPr>
          <w:rFonts w:hint="eastAsia" w:ascii="宋体" w:hAnsi="宋体" w:eastAsia="宋体"/>
          <w:color w:val="auto"/>
          <w:kern w:val="2"/>
          <w:sz w:val="24"/>
          <w:szCs w:val="24"/>
          <w:highlight w:val="none"/>
        </w:rPr>
        <w:t>3.2.3投标人的投标报价不得超过最高投标限价，最高投标限价见投标人须知前附表。</w:t>
      </w:r>
    </w:p>
    <w:p>
      <w:pPr>
        <w:pBdr>
          <w:bottom w:val="single" w:color="auto" w:sz="6" w:space="1"/>
        </w:pBdr>
        <w:spacing w:line="390" w:lineRule="exact"/>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3.2.3</w:t>
      </w:r>
      <w:r>
        <w:rPr>
          <w:rFonts w:hint="eastAsia" w:ascii="宋体" w:hAnsi="宋体"/>
          <w:color w:val="auto"/>
          <w:sz w:val="24"/>
          <w:szCs w:val="24"/>
          <w:highlight w:val="none"/>
          <w:u w:val="single"/>
        </w:rPr>
        <w:t>投标人的投标报价不得超过最高投标限价，非竞争性费用应按招标文件规定的金额填报，最高投标限价及非竞争性费用见投标人须知前附表。</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条款号：3.3.1                      修改类型：修改</w:t>
      </w:r>
    </w:p>
    <w:p>
      <w:pPr>
        <w:pStyle w:val="40"/>
        <w:spacing w:after="0" w:line="390" w:lineRule="exact"/>
        <w:ind w:firstLine="482" w:firstLineChars="200"/>
        <w:rPr>
          <w:rFonts w:ascii="宋体" w:hAnsi="宋体"/>
          <w:color w:val="auto"/>
          <w:sz w:val="24"/>
          <w:szCs w:val="24"/>
          <w:highlight w:val="none"/>
        </w:rPr>
      </w:pPr>
      <w:r>
        <w:rPr>
          <w:rFonts w:hint="eastAsia" w:ascii="宋体" w:hAnsi="宋体" w:eastAsia="宋体"/>
          <w:b/>
          <w:bCs/>
          <w:color w:val="auto"/>
          <w:sz w:val="24"/>
          <w:highlight w:val="none"/>
        </w:rPr>
        <w:t>原文</w:t>
      </w:r>
      <w:r>
        <w:rPr>
          <w:rFonts w:hint="eastAsia" w:ascii="宋体" w:hAnsi="宋体"/>
          <w:color w:val="auto"/>
          <w:sz w:val="24"/>
          <w:szCs w:val="24"/>
          <w:highlight w:val="none"/>
        </w:rPr>
        <w:t>：</w:t>
      </w:r>
      <w:r>
        <w:rPr>
          <w:rFonts w:hint="eastAsia" w:ascii="宋体" w:hAnsi="宋体" w:eastAsia="宋体"/>
          <w:color w:val="auto"/>
          <w:kern w:val="2"/>
          <w:sz w:val="24"/>
          <w:szCs w:val="24"/>
          <w:highlight w:val="none"/>
        </w:rPr>
        <w:t>3.3.1除投标人须知前附表另外有规定外，投标有效期为60天。</w:t>
      </w:r>
    </w:p>
    <w:p>
      <w:pPr>
        <w:pBdr>
          <w:bottom w:val="single" w:color="auto" w:sz="6" w:space="1"/>
        </w:pBdr>
        <w:spacing w:line="39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3.3.1除投标人须知前附表另外有规定外，投标有效期为</w:t>
      </w:r>
      <w:r>
        <w:rPr>
          <w:rFonts w:hint="eastAsia" w:ascii="宋体" w:hAnsi="宋体"/>
          <w:color w:val="auto"/>
          <w:sz w:val="24"/>
          <w:szCs w:val="24"/>
          <w:highlight w:val="none"/>
          <w:u w:val="single"/>
        </w:rPr>
        <w:t>90</w:t>
      </w:r>
      <w:r>
        <w:rPr>
          <w:rFonts w:hint="eastAsia" w:ascii="宋体" w:hAnsi="宋体"/>
          <w:color w:val="auto"/>
          <w:sz w:val="24"/>
          <w:szCs w:val="24"/>
          <w:highlight w:val="none"/>
        </w:rPr>
        <w:t>天。</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条款号：3.4                       修改类型：修改</w:t>
      </w:r>
    </w:p>
    <w:p>
      <w:pPr>
        <w:pBdr>
          <w:bottom w:val="single" w:color="auto" w:sz="6" w:space="1"/>
        </w:pBdr>
        <w:spacing w:line="39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：3.4 投标保证金</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文件中扫描上传。</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3.4.2投标保证金委托广州公共资源交易中心代收的形式，收取办法如下：</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（1）招标人委托广州公共资源交易中心具体实施保证金的收取和退还工作</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（2）所有投标保证金必须由投标单位的银行基本账户转出。</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（3）投标保证金的缴纳情况以广州公共资源交易中心数据库记录的信息为准。</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（4）缴费的操作详见广州公共资源交易中心公布的《投标人基本账户保证金操作指引》。</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3.4.2招标人收取的，由招标人在前附表中明确具体要求。</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3.4.3要求提交投标保证金的,投标人不按本章第3.4.1项要求提交投标保证金的，评标委员会将否决其投标。</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3.4.4 招标人与中标人签订合同后5个工作日内，向未中标的投标人和中标人退还投标保证金。</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3.4.5 有下列情形之一的，投标保证金将不予退还： </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（1）投标人在规定的投标有效期内撤销或修改其投标文件；</w:t>
      </w:r>
    </w:p>
    <w:p>
      <w:pPr>
        <w:pBdr>
          <w:bottom w:val="single" w:color="auto" w:sz="6" w:space="1"/>
        </w:pBdr>
        <w:spacing w:line="3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（2）中标人在收到中标通知书后，无正当理由拒签合同协议书或未按招标文件规定提交履约担保。</w:t>
      </w:r>
    </w:p>
    <w:p>
      <w:pPr>
        <w:spacing w:line="390" w:lineRule="exact"/>
        <w:ind w:firstLine="540" w:firstLineChars="224"/>
        <w:rPr>
          <w:rFonts w:ascii="宋体" w:hAnsi="宋体"/>
          <w:b/>
          <w:color w:val="auto"/>
          <w:kern w:val="0"/>
          <w:sz w:val="24"/>
          <w:szCs w:val="24"/>
          <w:highlight w:val="none"/>
        </w:rPr>
      </w:pPr>
      <w:r>
        <w:rPr>
          <w:rFonts w:hint="eastAsia" w:ascii="宋体" w:hAnsi="宋体"/>
          <w:b/>
          <w:color w:val="auto"/>
          <w:kern w:val="0"/>
          <w:sz w:val="24"/>
          <w:szCs w:val="24"/>
          <w:highlight w:val="none"/>
        </w:rPr>
        <w:t>现文：</w:t>
      </w:r>
      <w:r>
        <w:rPr>
          <w:rFonts w:hint="eastAsia" w:ascii="宋体" w:hAnsi="宋体"/>
          <w:color w:val="auto"/>
          <w:sz w:val="24"/>
          <w:szCs w:val="24"/>
          <w:highlight w:val="none"/>
        </w:rPr>
        <w:t xml:space="preserve">3.4 </w:t>
      </w:r>
      <w:r>
        <w:rPr>
          <w:rFonts w:hint="eastAsia" w:ascii="宋体" w:hAnsi="宋体"/>
          <w:color w:val="auto"/>
          <w:sz w:val="24"/>
          <w:szCs w:val="24"/>
          <w:highlight w:val="none"/>
          <w:u w:val="single"/>
        </w:rPr>
        <w:t>投标保证金：本项目不</w:t>
      </w:r>
      <w:r>
        <w:rPr>
          <w:rFonts w:hint="eastAsia" w:ascii="宋体" w:hAnsi="宋体"/>
          <w:color w:val="auto"/>
          <w:szCs w:val="21"/>
          <w:highlight w:val="none"/>
          <w:u w:val="single"/>
        </w:rPr>
        <w:t>要求投标人递交投标保证金。</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 3.5                       修改类型：修改</w:t>
      </w:r>
    </w:p>
    <w:p>
      <w:pPr>
        <w:spacing w:line="390" w:lineRule="exact"/>
        <w:ind w:firstLine="540" w:firstLineChars="224"/>
        <w:rPr>
          <w:rFonts w:ascii="宋体" w:hAnsi="宋体"/>
          <w:color w:val="auto"/>
          <w:sz w:val="24"/>
          <w:szCs w:val="24"/>
          <w:highlight w:val="none"/>
        </w:rPr>
      </w:pPr>
      <w:r>
        <w:rPr>
          <w:rFonts w:hint="eastAsia" w:ascii="宋体" w:hAnsi="宋体"/>
          <w:b/>
          <w:color w:val="auto"/>
          <w:kern w:val="0"/>
          <w:sz w:val="24"/>
          <w:szCs w:val="24"/>
          <w:highlight w:val="none"/>
        </w:rPr>
        <w:t>原文：3.5资格审查资料</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3.5.1 “投标人基本情况表”应附投标人营业执照副本、资质证书副本和安全生产许可证等材料的复印件。</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3.5.2 项目负责人建造师证和安全培训考核合格证（B证）复印件。</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3.5.3专职安全员安全培训考核合格证（C证）复印件。</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3.5.4 “近年完成的类似项目情况表”应附中标通知书、合同协议书以及合同工程完工证书（或工程竣工证书副本）的复印件。每张表格只填写一个项目，并标明序号。</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3.5.6 投标人须知前附表规定接受联合体投标的，本章第3.5.1项至第3.5.5项规定的表格和资料应包括联合体各方相关情况。</w:t>
      </w:r>
    </w:p>
    <w:p>
      <w:pPr>
        <w:spacing w:line="39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3.5.7资审要求的其他材料。</w:t>
      </w:r>
    </w:p>
    <w:p>
      <w:pPr>
        <w:spacing w:line="390" w:lineRule="exact"/>
        <w:ind w:firstLine="540" w:firstLineChars="224"/>
        <w:rPr>
          <w:rFonts w:ascii="宋体" w:hAnsi="宋体"/>
          <w:b/>
          <w:color w:val="auto"/>
          <w:kern w:val="0"/>
          <w:sz w:val="24"/>
          <w:szCs w:val="24"/>
          <w:highlight w:val="none"/>
        </w:rPr>
      </w:pPr>
      <w:r>
        <w:rPr>
          <w:rFonts w:hint="eastAsia" w:ascii="宋体" w:hAnsi="宋体"/>
          <w:b/>
          <w:color w:val="auto"/>
          <w:kern w:val="0"/>
          <w:sz w:val="24"/>
          <w:szCs w:val="24"/>
          <w:highlight w:val="none"/>
        </w:rPr>
        <w:t>现文：3.5资格审查资料</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3.5.1投标人声明；</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3.5.2法定代表人证明书、法定代表人签字或盖章的本投标文件授权委托证明书；</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3.5.3“投标人基本情况表”应附投标人企业营业执照、企业资质证书和建筑施工企业安全生产许可证等；</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3.5.4项目负责人的建造师证、在有效期内建设行政主管部门颁发的安全培训考核合格证（B类）或建筑施工企业项目负责人安全生产考核合格证书；</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3.5.5专职安全员须具有在有效期内建设行政主管部门颁发的安全考核合格证书（C类）或建筑施工企业专职安全生产管理人员安全生产考核合格证书（C3）</w:t>
      </w:r>
      <w:r>
        <w:rPr>
          <w:rFonts w:hint="eastAsia" w:ascii="宋体" w:hAnsi="宋体" w:cs="宋体"/>
          <w:color w:val="auto"/>
          <w:kern w:val="0"/>
          <w:sz w:val="24"/>
          <w:szCs w:val="24"/>
          <w:highlight w:val="none"/>
          <w:u w:val="single"/>
        </w:rPr>
        <w:t>；</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3.5.6授权的委托代理人及项目部主要组成人员（项目负责人、专职安全员）在本单位交纳的社保证明文件（以加盖社会保险基金管理中心印章的《投保单》或《社会保险参保人员证明》资料为准）。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390" w:lineRule="exact"/>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3.5.7资审要求的其他材料。</w:t>
      </w:r>
    </w:p>
    <w:p>
      <w:pPr>
        <w:pBdr>
          <w:bottom w:val="single" w:color="auto" w:sz="6" w:space="1"/>
        </w:pBdr>
        <w:spacing w:line="390" w:lineRule="exact"/>
        <w:ind w:firstLine="600" w:firstLineChars="250"/>
        <w:rPr>
          <w:rFonts w:ascii="宋体" w:hAnsi="宋体" w:eastAsia="等线" w:cs="宋体"/>
          <w:b/>
          <w:color w:val="auto"/>
          <w:sz w:val="24"/>
          <w:szCs w:val="24"/>
          <w:highlight w:val="none"/>
          <w:u w:val="single"/>
        </w:rPr>
      </w:pPr>
      <w:r>
        <w:rPr>
          <w:rFonts w:hint="eastAsia" w:ascii="宋体" w:hAnsi="宋体" w:eastAsia="等线" w:cs="宋体"/>
          <w:b/>
          <w:color w:val="auto"/>
          <w:sz w:val="24"/>
          <w:szCs w:val="24"/>
          <w:highlight w:val="none"/>
          <w:u w:val="single"/>
        </w:rPr>
        <w:t>注：上述资料除“投标人声明”、“法定代表人证明书、法定代表人签字或盖章的本投标文件授权委托证明书”及“社保证明文件”之外，投标人的企业资质证书、企业营业执照、企业安全生产许可证、项目负责人相关证书、安全员安全培训考核合格证或打印页等证书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w:t>
      </w:r>
      <w:r>
        <w:rPr>
          <w:rFonts w:ascii="宋体" w:hAnsi="宋体"/>
          <w:b/>
          <w:bCs/>
          <w:color w:val="auto"/>
          <w:szCs w:val="21"/>
          <w:highlight w:val="none"/>
        </w:rPr>
        <w:t xml:space="preserve">3.6.4                    </w:t>
      </w:r>
      <w:r>
        <w:rPr>
          <w:rFonts w:hint="eastAsia" w:ascii="宋体" w:hAnsi="宋体"/>
          <w:b/>
          <w:bCs/>
          <w:color w:val="auto"/>
          <w:szCs w:val="21"/>
          <w:highlight w:val="none"/>
        </w:rPr>
        <w:t>修改类型：修改</w:t>
      </w:r>
    </w:p>
    <w:p>
      <w:pPr>
        <w:spacing w:line="390" w:lineRule="exact"/>
        <w:ind w:firstLine="540" w:firstLineChars="224"/>
        <w:rPr>
          <w:rFonts w:ascii="宋体" w:hAnsi="宋体"/>
          <w:color w:val="auto"/>
          <w:sz w:val="24"/>
          <w:highlight w:val="none"/>
        </w:rPr>
      </w:pPr>
      <w:r>
        <w:rPr>
          <w:rFonts w:hint="eastAsia" w:ascii="宋体" w:hAnsi="宋体"/>
          <w:b/>
          <w:bCs/>
          <w:color w:val="auto"/>
          <w:sz w:val="24"/>
          <w:szCs w:val="24"/>
          <w:highlight w:val="none"/>
        </w:rPr>
        <w:t>原文：</w:t>
      </w:r>
      <w:r>
        <w:rPr>
          <w:rFonts w:hint="eastAsia" w:ascii="宋体" w:hAnsi="宋体"/>
          <w:color w:val="auto"/>
          <w:sz w:val="24"/>
          <w:highlight w:val="none"/>
        </w:rPr>
        <w:t>除工程量清单报价表相关的内容、《投标函附录》外，投标文件的其他内容均以电子文件（纸质原件的扫描件）编制，其格式要求详见第八章投标文件格式说明。</w:t>
      </w:r>
    </w:p>
    <w:p>
      <w:pPr>
        <w:spacing w:line="390" w:lineRule="exact"/>
        <w:ind w:firstLine="537" w:firstLineChars="224"/>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826135</wp:posOffset>
                </wp:positionV>
                <wp:extent cx="5372100" cy="0"/>
                <wp:effectExtent l="0" t="4445" r="0" b="5080"/>
                <wp:wrapNone/>
                <wp:docPr id="1" name="直接连接符 6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直接连接符 65" o:spid="_x0000_s1026" o:spt="20" style="position:absolute;left:0pt;margin-left:0pt;margin-top:65.05pt;height:0pt;width:423pt;z-index:251659264;mso-width-relative:page;mso-height-relative:page;" filled="f" stroked="t" coordsize="21600,21600" o:gfxdata="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DQ2P1AAAAAgBAAAPAAAAAAAAAAEAIAAAACIAAABkcnMvZG93bnJldi54bWxQSwECFAAUAAAA&#10;CACHTuJAN3bk9isCAABWBAAADgAAAAAAAAABACAAAAAjAQAAZHJzL2Uyb0RvYy54bWxQSwUGAAAA&#10;AAYABgBZAQAAwAUAAAAA&#10;">
                <v:fill on="f" focussize="0,0"/>
                <v:stroke color="#000000" joinstyle="round"/>
                <v:imagedata o:title=""/>
                <o:lock v:ext="edit" aspectratio="f"/>
              </v:line>
            </w:pict>
          </mc:Fallback>
        </mc:AlternateContent>
      </w:r>
      <w:r>
        <w:rPr>
          <w:rFonts w:hint="eastAsia" w:ascii="宋体" w:hAnsi="宋体"/>
          <w:b/>
          <w:bCs/>
          <w:color w:val="auto"/>
          <w:sz w:val="24"/>
          <w:szCs w:val="24"/>
          <w:highlight w:val="none"/>
        </w:rPr>
        <w:t>现文：</w:t>
      </w:r>
      <w:r>
        <w:rPr>
          <w:rFonts w:hint="eastAsia" w:ascii="宋体" w:hAnsi="宋体"/>
          <w:color w:val="auto"/>
          <w:sz w:val="24"/>
          <w:highlight w:val="none"/>
        </w:rPr>
        <w:t>除工程量清单报价表相关的内容、《投标函》及《投标函附录》外，投标文件的其他内容均以电子文件（纸质原件的扫描件）编制，其格式要求详见第八章投标文件格式说明。</w:t>
      </w:r>
    </w:p>
    <w:p>
      <w:pPr>
        <w:spacing w:line="390" w:lineRule="exact"/>
        <w:ind w:firstLine="514" w:firstLineChars="244"/>
        <w:rPr>
          <w:rFonts w:ascii="宋体" w:hAnsi="宋体"/>
          <w:b/>
          <w:bCs/>
          <w:color w:val="auto"/>
          <w:szCs w:val="21"/>
          <w:highlight w:val="none"/>
        </w:rPr>
      </w:pPr>
      <w:r>
        <w:rPr>
          <w:rFonts w:hint="eastAsia" w:ascii="宋体" w:hAnsi="宋体"/>
          <w:b/>
          <w:bCs/>
          <w:color w:val="auto"/>
          <w:szCs w:val="21"/>
          <w:highlight w:val="none"/>
        </w:rPr>
        <w:t>条款号：</w:t>
      </w:r>
      <w:r>
        <w:rPr>
          <w:rFonts w:ascii="宋体" w:hAnsi="宋体"/>
          <w:b/>
          <w:bCs/>
          <w:color w:val="auto"/>
          <w:szCs w:val="21"/>
          <w:highlight w:val="none"/>
        </w:rPr>
        <w:t xml:space="preserve">4.3.2            </w:t>
      </w:r>
      <w:r>
        <w:rPr>
          <w:rFonts w:hint="eastAsia" w:ascii="宋体" w:hAnsi="宋体"/>
          <w:b/>
          <w:bCs/>
          <w:color w:val="auto"/>
          <w:szCs w:val="21"/>
          <w:highlight w:val="none"/>
        </w:rPr>
        <w:t xml:space="preserve">       修改类型：修改</w:t>
      </w:r>
    </w:p>
    <w:p>
      <w:pPr>
        <w:spacing w:line="390" w:lineRule="exact"/>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4.3.2招标人可按本须知第2.4条规定以招标文件修改的方式，酌情延长递交投标文件的截止时间。在此情况下，投标人的所有权利和义务以及投标人受制约的截止时间，均以延长后新的投标截止时间为准。</w:t>
      </w:r>
    </w:p>
    <w:p>
      <w:pPr>
        <w:spacing w:line="390" w:lineRule="exact"/>
        <w:ind w:firstLine="588" w:firstLineChars="244"/>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4.3.2招标人可按本须知第2.</w:t>
      </w:r>
      <w:r>
        <w:rPr>
          <w:rFonts w:ascii="宋体" w:hAnsi="宋体"/>
          <w:color w:val="auto"/>
          <w:sz w:val="24"/>
          <w:szCs w:val="24"/>
          <w:highlight w:val="none"/>
        </w:rPr>
        <w:t>3</w:t>
      </w:r>
      <w:r>
        <w:rPr>
          <w:rFonts w:hint="eastAsia" w:ascii="宋体" w:hAnsi="宋体"/>
          <w:color w:val="auto"/>
          <w:sz w:val="24"/>
          <w:szCs w:val="24"/>
          <w:highlight w:val="none"/>
        </w:rPr>
        <w:t>条规定以招标文件修改的方式，酌情延长递交投标文件的截止时间。在此情况下，投标人的所有权利和义务以及投标人受制约的截止时间，均以延长后新的投标截止时间为准。</w:t>
      </w:r>
    </w:p>
    <w:p>
      <w:pPr>
        <w:spacing w:line="390" w:lineRule="exact"/>
        <w:ind w:firstLine="585" w:firstLineChars="244"/>
        <w:rPr>
          <w:rFonts w:ascii="宋体" w:hAnsi="宋体"/>
          <w:b/>
          <w:bCs/>
          <w:color w:val="auto"/>
          <w:szCs w:val="21"/>
          <w:highlight w:val="none"/>
        </w:rPr>
      </w:pPr>
      <w:r>
        <w:rPr>
          <w:rFonts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6985</wp:posOffset>
                </wp:positionV>
                <wp:extent cx="5372100" cy="0"/>
                <wp:effectExtent l="0" t="4445" r="0" b="5080"/>
                <wp:wrapNone/>
                <wp:docPr id="2" name="直接连接符 6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a:graphicData>
                </a:graphic>
              </wp:anchor>
            </w:drawing>
          </mc:Choice>
          <mc:Fallback>
            <w:pict>
              <v:line id="直接连接符 65" o:spid="_x0000_s1026" o:spt="20" style="position:absolute;left:0pt;margin-left:3.75pt;margin-top:0.55pt;height:0pt;width:423pt;z-index:251660288;mso-width-relative:page;mso-height-relative:page;" filled="f" stroked="t" coordsize="21600,21600" o:gfxdata="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Z9czz0gAAAAUBAAAPAAAAAAAAAAEAIAAAACIAAABkcnMvZG93bnJldi54bWxQSwECFAAUAAAA&#10;CACHTuJAZTaiVC0CAABWBAAADgAAAAAAAAABACAAAAAhAQAAZHJzL2Uyb0RvYy54bWxQSwUGAAAA&#10;AAYABgBZAQAAwAUAAAAA&#10;">
                <v:fill on="f" focussize="0,0"/>
                <v:stroke color="#000000" joinstyle="round"/>
                <v:imagedata o:title=""/>
                <o:lock v:ext="edit" aspectratio="f"/>
              </v:line>
            </w:pict>
          </mc:Fallback>
        </mc:AlternateContent>
      </w:r>
      <w:r>
        <w:rPr>
          <w:rFonts w:hint="eastAsia" w:ascii="宋体" w:hAnsi="宋体"/>
          <w:b/>
          <w:bCs/>
          <w:color w:val="auto"/>
          <w:szCs w:val="21"/>
          <w:highlight w:val="none"/>
        </w:rPr>
        <w:t>条款号：</w:t>
      </w:r>
      <w:r>
        <w:rPr>
          <w:rFonts w:ascii="宋体" w:hAnsi="宋体"/>
          <w:b/>
          <w:bCs/>
          <w:color w:val="auto"/>
          <w:szCs w:val="21"/>
          <w:highlight w:val="none"/>
        </w:rPr>
        <w:t>4.</w:t>
      </w:r>
      <w:r>
        <w:rPr>
          <w:rFonts w:hint="eastAsia" w:ascii="宋体" w:hAnsi="宋体"/>
          <w:b/>
          <w:bCs/>
          <w:color w:val="auto"/>
          <w:szCs w:val="21"/>
          <w:highlight w:val="none"/>
        </w:rPr>
        <w:t>5</w:t>
      </w:r>
      <w:r>
        <w:rPr>
          <w:rFonts w:ascii="宋体" w:hAnsi="宋体"/>
          <w:b/>
          <w:bCs/>
          <w:color w:val="auto"/>
          <w:szCs w:val="21"/>
          <w:highlight w:val="none"/>
        </w:rPr>
        <w:t>.</w:t>
      </w:r>
      <w:r>
        <w:rPr>
          <w:rFonts w:hint="eastAsia" w:ascii="宋体" w:hAnsi="宋体"/>
          <w:b/>
          <w:bCs/>
          <w:color w:val="auto"/>
          <w:szCs w:val="21"/>
          <w:highlight w:val="none"/>
        </w:rPr>
        <w:t>1</w:t>
      </w:r>
      <w:r>
        <w:rPr>
          <w:rFonts w:ascii="宋体" w:hAnsi="宋体"/>
          <w:b/>
          <w:bCs/>
          <w:color w:val="auto"/>
          <w:szCs w:val="21"/>
          <w:highlight w:val="none"/>
        </w:rPr>
        <w:t xml:space="preserve">            </w:t>
      </w:r>
      <w:r>
        <w:rPr>
          <w:rFonts w:hint="eastAsia" w:ascii="宋体" w:hAnsi="宋体"/>
          <w:b/>
          <w:bCs/>
          <w:color w:val="auto"/>
          <w:szCs w:val="21"/>
          <w:highlight w:val="none"/>
        </w:rPr>
        <w:t xml:space="preserve">       修改类型：修改</w:t>
      </w:r>
    </w:p>
    <w:p>
      <w:pPr>
        <w:spacing w:line="390" w:lineRule="exact"/>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4.5.1投标人在递交投标文件以后，在规定的投标截止时间之前，可以撤回或替换已递交的投标文件。</w:t>
      </w:r>
    </w:p>
    <w:p>
      <w:pPr>
        <w:pBdr>
          <w:bottom w:val="single" w:color="auto" w:sz="6" w:space="1"/>
        </w:pBdr>
        <w:spacing w:line="390" w:lineRule="exact"/>
        <w:ind w:firstLine="540" w:firstLineChars="224"/>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4.5.1</w:t>
      </w:r>
      <w:r>
        <w:rPr>
          <w:rFonts w:hint="eastAsia" w:ascii="宋体" w:hAnsi="宋体"/>
          <w:color w:val="auto"/>
          <w:sz w:val="24"/>
          <w:szCs w:val="24"/>
          <w:highlight w:val="none"/>
          <w:u w:val="single"/>
        </w:rPr>
        <w:t>投标人在递交投标文件以后，在规定的投标截止时间之前，可以撤回或替换已递交的投标文件。投标截止时间前未完成投标文件传输的，视为投标人撤回投标文件。</w:t>
      </w:r>
    </w:p>
    <w:p>
      <w:pPr>
        <w:spacing w:line="390" w:lineRule="exact"/>
        <w:ind w:firstLine="517" w:firstLineChars="245"/>
        <w:rPr>
          <w:rFonts w:ascii="宋体" w:hAnsi="宋体"/>
          <w:b/>
          <w:bCs/>
          <w:color w:val="auto"/>
          <w:szCs w:val="21"/>
          <w:highlight w:val="none"/>
        </w:rPr>
      </w:pPr>
      <w:r>
        <w:rPr>
          <w:rFonts w:hint="eastAsia" w:ascii="宋体" w:hAnsi="宋体"/>
          <w:b/>
          <w:bCs/>
          <w:color w:val="auto"/>
          <w:szCs w:val="21"/>
          <w:highlight w:val="none"/>
        </w:rPr>
        <w:t>条款号：4.7.1                     修改类型：修改</w:t>
      </w:r>
    </w:p>
    <w:p>
      <w:pPr>
        <w:tabs>
          <w:tab w:val="left" w:pos="105"/>
        </w:tabs>
        <w:spacing w:line="390" w:lineRule="exact"/>
        <w:ind w:firstLine="482" w:firstLineChars="200"/>
        <w:rPr>
          <w:rFonts w:ascii="宋体" w:hAnsi="宋体"/>
          <w:color w:val="auto"/>
          <w:sz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hint="eastAsia" w:ascii="宋体" w:hAnsi="宋体"/>
          <w:color w:val="auto"/>
          <w:sz w:val="24"/>
          <w:highlight w:val="none"/>
        </w:rPr>
        <w:t>4.7.1</w:t>
      </w:r>
      <w:r>
        <w:rPr>
          <w:rFonts w:hint="eastAsia"/>
          <w:color w:val="auto"/>
          <w:sz w:val="24"/>
          <w:highlight w:val="none"/>
        </w:rPr>
        <w:t>在投标截止时间后分钟内为投标人投标文件解密时间</w:t>
      </w:r>
      <w:r>
        <w:rPr>
          <w:rFonts w:hint="eastAsia"/>
          <w:b/>
          <w:bCs/>
          <w:color w:val="auto"/>
          <w:sz w:val="24"/>
          <w:highlight w:val="none"/>
        </w:rPr>
        <w:t>（注：由招标人自行选择60分钟或30分钟）</w:t>
      </w:r>
      <w:r>
        <w:rPr>
          <w:rFonts w:hint="eastAsia"/>
          <w:color w:val="auto"/>
          <w:sz w:val="24"/>
          <w:highlight w:val="none"/>
        </w:rPr>
        <w:t>，投标人通过广州公共资源交易平台对已递交的电子投标文件进行解密。</w:t>
      </w:r>
    </w:p>
    <w:p>
      <w:pPr>
        <w:pBdr>
          <w:bottom w:val="single" w:color="auto" w:sz="6" w:space="1"/>
        </w:pBdr>
        <w:spacing w:line="390" w:lineRule="exact"/>
        <w:ind w:firstLine="602" w:firstLineChars="250"/>
        <w:rPr>
          <w:rFonts w:ascii="宋体" w:hAnsi="宋体"/>
          <w:b/>
          <w:bCs/>
          <w:color w:val="auto"/>
          <w:sz w:val="24"/>
          <w:szCs w:val="24"/>
          <w:highlight w:val="none"/>
        </w:rPr>
      </w:pPr>
      <w:r>
        <w:rPr>
          <w:rFonts w:hint="eastAsia" w:ascii="宋体" w:hAnsi="宋体"/>
          <w:b/>
          <w:bCs/>
          <w:color w:val="auto"/>
          <w:sz w:val="24"/>
          <w:szCs w:val="24"/>
          <w:highlight w:val="none"/>
        </w:rPr>
        <w:t>现文：</w:t>
      </w:r>
    </w:p>
    <w:p>
      <w:pPr>
        <w:pBdr>
          <w:bottom w:val="single" w:color="auto" w:sz="6" w:space="1"/>
        </w:pBdr>
        <w:spacing w:line="390" w:lineRule="exact"/>
        <w:ind w:firstLine="600" w:firstLineChars="250"/>
        <w:rPr>
          <w:color w:val="auto"/>
          <w:sz w:val="24"/>
          <w:highlight w:val="none"/>
        </w:rPr>
      </w:pPr>
      <w:r>
        <w:rPr>
          <w:rFonts w:hint="eastAsia" w:ascii="宋体" w:hAnsi="宋体"/>
          <w:color w:val="auto"/>
          <w:sz w:val="24"/>
          <w:highlight w:val="none"/>
        </w:rPr>
        <w:t>4.7.1</w:t>
      </w:r>
      <w:r>
        <w:rPr>
          <w:rFonts w:hint="eastAsia"/>
          <w:color w:val="auto"/>
          <w:sz w:val="24"/>
          <w:highlight w:val="none"/>
        </w:rPr>
        <w:t>在投标截止时间后</w:t>
      </w:r>
      <w:r>
        <w:rPr>
          <w:rFonts w:hint="eastAsia"/>
          <w:color w:val="auto"/>
          <w:sz w:val="24"/>
          <w:highlight w:val="none"/>
          <w:u w:val="single"/>
        </w:rPr>
        <w:t>30</w:t>
      </w:r>
      <w:r>
        <w:rPr>
          <w:rFonts w:hint="eastAsia"/>
          <w:color w:val="auto"/>
          <w:sz w:val="24"/>
          <w:highlight w:val="none"/>
        </w:rPr>
        <w:t>分钟内为投标人投标文件解密时间</w:t>
      </w:r>
      <w:r>
        <w:rPr>
          <w:rFonts w:hint="eastAsia"/>
          <w:b/>
          <w:bCs/>
          <w:color w:val="auto"/>
          <w:sz w:val="24"/>
          <w:highlight w:val="none"/>
        </w:rPr>
        <w:t>（注：由招标人自行选择60分钟或30分钟）</w:t>
      </w:r>
      <w:r>
        <w:rPr>
          <w:rFonts w:hint="eastAsia"/>
          <w:color w:val="auto"/>
          <w:sz w:val="24"/>
          <w:highlight w:val="none"/>
        </w:rPr>
        <w:t>，投标人通过广州公共资源交易平台对已递交的电子投标文件进行解密。</w:t>
      </w:r>
    </w:p>
    <w:p>
      <w:pPr>
        <w:pBdr>
          <w:bottom w:val="single" w:color="auto" w:sz="6" w:space="1"/>
        </w:pBdr>
        <w:spacing w:line="390" w:lineRule="exact"/>
        <w:ind w:firstLine="720" w:firstLineChars="300"/>
        <w:rPr>
          <w:color w:val="auto"/>
          <w:sz w:val="24"/>
          <w:highlight w:val="none"/>
          <w:u w:val="single"/>
        </w:rPr>
      </w:pPr>
      <w:r>
        <w:rPr>
          <w:rFonts w:hint="eastAsia" w:ascii="宋体" w:hAnsi="宋体"/>
          <w:color w:val="auto"/>
          <w:sz w:val="24"/>
          <w:highlight w:val="none"/>
          <w:u w:val="single"/>
        </w:rPr>
        <w:t>4.7.2</w:t>
      </w:r>
      <w:r>
        <w:rPr>
          <w:rFonts w:hint="eastAsia"/>
          <w:color w:val="auto"/>
          <w:sz w:val="24"/>
          <w:highlight w:val="none"/>
          <w:u w:val="single"/>
        </w:rPr>
        <w:t>电子投标文件解密应按照广州公共资源交易平台关于全流程电子化项目的相关指南进行操作。</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条款号：5.1                        修改类型：修改</w:t>
      </w:r>
    </w:p>
    <w:p>
      <w:pPr>
        <w:spacing w:line="390" w:lineRule="exact"/>
        <w:ind w:firstLine="482" w:firstLineChars="200"/>
        <w:jc w:val="left"/>
        <w:rPr>
          <w:rFonts w:ascii="宋体" w:hAnsi="宋体"/>
          <w:color w:val="auto"/>
          <w:sz w:val="22"/>
          <w:szCs w:val="21"/>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hint="eastAsia"/>
          <w:color w:val="auto"/>
          <w:sz w:val="24"/>
          <w:highlight w:val="none"/>
        </w:rPr>
        <w:t>5.1开标时间和地点</w:t>
      </w:r>
    </w:p>
    <w:p>
      <w:pPr>
        <w:pBdr>
          <w:bottom w:val="single" w:color="auto" w:sz="6" w:space="1"/>
        </w:pBdr>
        <w:spacing w:line="390" w:lineRule="exact"/>
        <w:ind w:firstLine="480" w:firstLineChars="200"/>
        <w:rPr>
          <w:color w:val="auto"/>
          <w:sz w:val="24"/>
          <w:highlight w:val="none"/>
        </w:rPr>
      </w:pPr>
      <w:r>
        <w:rPr>
          <w:rFonts w:hint="eastAsia"/>
          <w:color w:val="auto"/>
          <w:sz w:val="24"/>
          <w:highlight w:val="none"/>
        </w:rPr>
        <w:t>投标人在本章第 4.2.1 款规定的投标截止时间（开标时间）和投标人须知前附表规定的地点公开开标，并邀请所有投标人的法定代表人或其委托代理人准时参加。</w:t>
      </w:r>
    </w:p>
    <w:p>
      <w:pPr>
        <w:pBdr>
          <w:bottom w:val="single" w:color="auto" w:sz="6" w:space="1"/>
        </w:pBdr>
        <w:spacing w:line="390" w:lineRule="exact"/>
        <w:ind w:firstLine="602" w:firstLineChars="250"/>
        <w:rPr>
          <w:color w:val="auto"/>
          <w:sz w:val="24"/>
          <w:highlight w:val="none"/>
        </w:rPr>
      </w:pPr>
      <w:r>
        <w:rPr>
          <w:rFonts w:hint="eastAsia" w:ascii="宋体" w:hAnsi="宋体"/>
          <w:b/>
          <w:bCs/>
          <w:color w:val="auto"/>
          <w:sz w:val="24"/>
          <w:szCs w:val="24"/>
          <w:highlight w:val="none"/>
        </w:rPr>
        <w:t>现文：</w:t>
      </w:r>
      <w:r>
        <w:rPr>
          <w:rFonts w:hint="eastAsia"/>
          <w:color w:val="auto"/>
          <w:sz w:val="24"/>
          <w:highlight w:val="none"/>
        </w:rPr>
        <w:t>5.1开标时间和地点</w:t>
      </w:r>
    </w:p>
    <w:p>
      <w:pPr>
        <w:pBdr>
          <w:bottom w:val="single" w:color="auto" w:sz="6" w:space="1"/>
        </w:pBdr>
        <w:spacing w:line="390" w:lineRule="exact"/>
        <w:ind w:firstLine="480" w:firstLineChars="200"/>
        <w:rPr>
          <w:rFonts w:ascii="宋体" w:hAnsi="宋体" w:eastAsia="等线" w:cs="宋体"/>
          <w:b/>
          <w:color w:val="auto"/>
          <w:sz w:val="24"/>
          <w:szCs w:val="24"/>
          <w:highlight w:val="none"/>
          <w:u w:val="single"/>
        </w:rPr>
      </w:pPr>
      <w:r>
        <w:rPr>
          <w:rFonts w:hint="eastAsia"/>
          <w:color w:val="auto"/>
          <w:sz w:val="24"/>
          <w:highlight w:val="none"/>
          <w:u w:val="single"/>
        </w:rPr>
        <w:t>投标人在本章第4.2.1款规定的投标截止时间（开标时间）和投标人须知前附表规定的地点公开开标，并邀请所有投标人的法定代表人或其委托代理人准时参加。若投标人不派代表出席开标会，其投标文件在开标现场的投标人或招标人代表、招标代理机构代表及交易中心代表见证下公开开启、解密、公布，并视同该投标人认可开标结果。截标后，开标开始时间因故推迟的，相关评标信息仍以原定的开标开始时间的信息为准。</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条款号：5.2.3                        修改类型：修改</w:t>
      </w:r>
    </w:p>
    <w:p>
      <w:pPr>
        <w:pBdr>
          <w:bottom w:val="single" w:color="auto" w:sz="6" w:space="1"/>
        </w:pBdr>
        <w:spacing w:line="390" w:lineRule="exact"/>
        <w:ind w:firstLine="482" w:firstLineChars="200"/>
        <w:rPr>
          <w:color w:val="auto"/>
          <w:sz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hint="eastAsia"/>
          <w:color w:val="auto"/>
          <w:sz w:val="24"/>
          <w:highlight w:val="none"/>
        </w:rPr>
        <w:t>5.2.3招标人在招标文件要求的递交投标文件截止时间前收到的投标文件，在开标前未完成投标人解密的，其视为投标人放弃投标。</w:t>
      </w:r>
    </w:p>
    <w:p>
      <w:pPr>
        <w:pBdr>
          <w:bottom w:val="single" w:color="auto" w:sz="6" w:space="1"/>
        </w:pBdr>
        <w:spacing w:line="390" w:lineRule="exact"/>
        <w:ind w:firstLine="602" w:firstLineChars="250"/>
        <w:rPr>
          <w:rFonts w:ascii="宋体" w:hAnsi="宋体" w:eastAsia="等线" w:cs="宋体"/>
          <w:b/>
          <w:color w:val="auto"/>
          <w:sz w:val="24"/>
          <w:szCs w:val="24"/>
          <w:highlight w:val="none"/>
          <w:u w:val="single"/>
        </w:rPr>
      </w:pPr>
      <w:r>
        <w:rPr>
          <w:rFonts w:hint="eastAsia" w:ascii="宋体" w:hAnsi="宋体"/>
          <w:b/>
          <w:bCs/>
          <w:color w:val="auto"/>
          <w:sz w:val="24"/>
          <w:szCs w:val="24"/>
          <w:highlight w:val="none"/>
        </w:rPr>
        <w:t>现文：</w:t>
      </w:r>
      <w:r>
        <w:rPr>
          <w:rFonts w:hint="eastAsia"/>
          <w:color w:val="auto"/>
          <w:sz w:val="24"/>
          <w:highlight w:val="none"/>
        </w:rPr>
        <w:t>5.2.3招标人在招标文件要求的递交投标文件截止时间前收到的投标文件，</w:t>
      </w:r>
      <w:r>
        <w:rPr>
          <w:rFonts w:hint="eastAsia"/>
          <w:color w:val="auto"/>
          <w:sz w:val="24"/>
          <w:highlight w:val="none"/>
          <w:u w:val="single"/>
        </w:rPr>
        <w:t>投标人在递交投标文件截止时间后30分钟内未完成投标人解密的，其视为投标人放弃投标。</w:t>
      </w:r>
    </w:p>
    <w:p>
      <w:pPr>
        <w:spacing w:line="39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条款号：5.3.4                       修改类型：增加</w:t>
      </w:r>
    </w:p>
    <w:p>
      <w:pPr>
        <w:pBdr>
          <w:bottom w:val="single" w:color="auto" w:sz="6" w:space="1"/>
        </w:pBdr>
        <w:spacing w:line="390" w:lineRule="exact"/>
        <w:ind w:firstLine="482" w:firstLineChars="200"/>
        <w:rPr>
          <w:color w:val="auto"/>
          <w:sz w:val="24"/>
          <w:highlight w:val="none"/>
          <w:u w:val="single"/>
        </w:rPr>
      </w:pPr>
      <w:r>
        <w:rPr>
          <w:rFonts w:hint="eastAsia" w:ascii="宋体" w:hAnsi="宋体"/>
          <w:b/>
          <w:bCs/>
          <w:color w:val="auto"/>
          <w:sz w:val="24"/>
          <w:szCs w:val="24"/>
          <w:highlight w:val="none"/>
        </w:rPr>
        <w:t>现文：</w:t>
      </w:r>
      <w:r>
        <w:rPr>
          <w:rFonts w:hint="eastAsia"/>
          <w:color w:val="auto"/>
          <w:sz w:val="24"/>
          <w:highlight w:val="none"/>
          <w:u w:val="single"/>
        </w:rPr>
        <w:t>5.3.4招标人需将开标异议提交给评标委员会评审确认时，评标委员会须进行评审确认，不得以任何理由拒绝。</w:t>
      </w:r>
    </w:p>
    <w:p>
      <w:pPr>
        <w:spacing w:line="39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条款号：7.2.2                        修改类型：修改</w:t>
      </w:r>
    </w:p>
    <w:p>
      <w:pPr>
        <w:spacing w:line="390" w:lineRule="exact"/>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：7.2.2中标候选人公示时，招标人将同时公示中标候选人的投标文件商务部分文件的所有内容（包括人员、业绩、奖项等资料）。</w:t>
      </w:r>
    </w:p>
    <w:p>
      <w:pPr>
        <w:pBdr>
          <w:bottom w:val="single" w:color="auto" w:sz="6" w:space="1"/>
        </w:pBdr>
        <w:spacing w:line="390" w:lineRule="exact"/>
        <w:ind w:firstLine="540" w:firstLineChars="224"/>
        <w:rPr>
          <w:rFonts w:ascii="宋体" w:hAnsi="宋体"/>
          <w:b/>
          <w:bCs/>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olor w:val="auto"/>
          <w:sz w:val="24"/>
          <w:szCs w:val="24"/>
          <w:highlight w:val="none"/>
        </w:rPr>
        <w:t>7.2.2中标候选人公示时，招标人将同时公示中标候选人的投标文件商务部分文件的所有内容（包括人员、业绩、奖项等资料）。</w:t>
      </w:r>
      <w:r>
        <w:rPr>
          <w:rFonts w:hint="eastAsia" w:ascii="宋体" w:hAnsi="宋体"/>
          <w:color w:val="auto"/>
          <w:sz w:val="24"/>
          <w:szCs w:val="24"/>
          <w:highlight w:val="none"/>
          <w:u w:val="single"/>
        </w:rPr>
        <w:t>中标候选人在收到招标代理通知后需提供一份 PDF 格式电子文档给招标人用于中标候选人公示，PDF 格式电子文档需为已覆盖个人隐私的投标文件商务部分文件（包括人员、业绩、奖项等资料），所提供的投标文件商务部分文件内容需与投标时所有内容一致，报价清单、施工方案等涉及商业秘密的内容不需要提供。</w:t>
      </w:r>
    </w:p>
    <w:p>
      <w:pPr>
        <w:pBdr>
          <w:bottom w:val="single" w:color="auto" w:sz="6" w:space="1"/>
        </w:pBdr>
        <w:spacing w:line="390" w:lineRule="exact"/>
        <w:rPr>
          <w:rFonts w:ascii="宋体" w:hAnsi="宋体"/>
          <w:color w:val="auto"/>
          <w:sz w:val="24"/>
          <w:szCs w:val="24"/>
          <w:highlight w:val="none"/>
        </w:rPr>
      </w:pPr>
    </w:p>
    <w:p>
      <w:pPr>
        <w:spacing w:line="390" w:lineRule="exact"/>
        <w:rPr>
          <w:rFonts w:ascii="宋体" w:hAnsi="宋体"/>
          <w:color w:val="auto"/>
          <w:sz w:val="24"/>
          <w:szCs w:val="24"/>
          <w:highlight w:val="none"/>
        </w:rPr>
      </w:pPr>
      <w:r>
        <w:rPr>
          <w:rFonts w:hint="eastAsia" w:ascii="宋体" w:hAnsi="宋体"/>
          <w:color w:val="auto"/>
          <w:sz w:val="24"/>
          <w:szCs w:val="24"/>
          <w:highlight w:val="none"/>
        </w:rPr>
        <w:t>注：以上修改，仅限于本范本中有可供选择条款的情形。</w:t>
      </w:r>
    </w:p>
    <w:p>
      <w:pPr>
        <w:spacing w:line="390" w:lineRule="exact"/>
        <w:jc w:val="right"/>
        <w:rPr>
          <w:rFonts w:ascii="宋体" w:hAnsi="宋体"/>
          <w:color w:val="auto"/>
          <w:sz w:val="24"/>
          <w:szCs w:val="24"/>
          <w:highlight w:val="none"/>
        </w:rPr>
      </w:pPr>
      <w:r>
        <w:rPr>
          <w:rFonts w:hint="eastAsia" w:ascii="宋体" w:hAnsi="宋体"/>
          <w:color w:val="auto"/>
          <w:sz w:val="24"/>
          <w:szCs w:val="24"/>
          <w:highlight w:val="none"/>
        </w:rPr>
        <w:t>（以下无正文）</w:t>
      </w:r>
    </w:p>
    <w:p>
      <w:pPr>
        <w:spacing w:line="400" w:lineRule="exact"/>
        <w:jc w:val="center"/>
        <w:outlineLvl w:val="2"/>
        <w:rPr>
          <w:rFonts w:ascii="黑体" w:hAnsi="黑体" w:eastAsia="黑体"/>
          <w:color w:val="auto"/>
          <w:sz w:val="28"/>
          <w:szCs w:val="27"/>
          <w:highlight w:val="none"/>
        </w:rPr>
      </w:pPr>
      <w:bookmarkStart w:id="20" w:name="_Toc21787640"/>
      <w:bookmarkEnd w:id="20"/>
      <w:bookmarkStart w:id="21" w:name="_Toc28017"/>
      <w:bookmarkEnd w:id="21"/>
      <w:r>
        <w:rPr>
          <w:rFonts w:hint="eastAsia" w:ascii="黑体" w:hAnsi="黑体" w:eastAsia="黑体"/>
          <w:color w:val="auto"/>
          <w:sz w:val="28"/>
          <w:szCs w:val="27"/>
          <w:highlight w:val="none"/>
        </w:rPr>
        <w:br w:type="page"/>
      </w:r>
      <w:bookmarkStart w:id="22" w:name="_Toc25218"/>
      <w:r>
        <w:rPr>
          <w:rFonts w:hint="eastAsia" w:ascii="黑体" w:hAnsi="黑体" w:eastAsia="黑体"/>
          <w:color w:val="auto"/>
          <w:sz w:val="28"/>
          <w:szCs w:val="27"/>
          <w:highlight w:val="none"/>
        </w:rPr>
        <w:t>投标须知通用条款</w:t>
      </w:r>
      <w:bookmarkEnd w:id="22"/>
    </w:p>
    <w:p>
      <w:pPr>
        <w:jc w:val="center"/>
        <w:outlineLvl w:val="3"/>
        <w:rPr>
          <w:rFonts w:ascii="仿宋" w:hAnsi="仿宋" w:eastAsia="仿宋"/>
          <w:b/>
          <w:color w:val="auto"/>
          <w:sz w:val="30"/>
          <w:szCs w:val="30"/>
          <w:highlight w:val="none"/>
        </w:rPr>
      </w:pPr>
      <w:bookmarkStart w:id="23" w:name="_Toc85505512"/>
      <w:bookmarkEnd w:id="23"/>
      <w:bookmarkStart w:id="24" w:name="_Toc262229163"/>
      <w:bookmarkEnd w:id="24"/>
      <w:bookmarkStart w:id="25" w:name="_Toc101777612"/>
      <w:bookmarkEnd w:id="25"/>
      <w:r>
        <w:rPr>
          <w:rFonts w:hint="eastAsia" w:ascii="仿宋" w:hAnsi="仿宋" w:eastAsia="仿宋"/>
          <w:b/>
          <w:color w:val="auto"/>
          <w:sz w:val="30"/>
          <w:szCs w:val="30"/>
          <w:highlight w:val="none"/>
        </w:rPr>
        <w:t>（一）总则</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1.1 项目概况</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 本招标项目招标人：见投标人须知前附表。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1.1.3 本标段招标代理机构：见投标人须知前附表。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1.1.4 本招标项目名称：见投标人须知前附表。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1.1.5 本标段建设地点：见投标人须知前附表。</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1.2 资金来源和落实情况</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1.2.1 本招标项目的资金来源及出资比例：见投标人须知前附表。</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1.3 招标范围、计划工期和质量要求</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1.3.1 本次招标范围：见投标人须知前附表。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1.3.2 本标段的计划工期：见投标人须知前附表。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1.3.3 本标段的质量要求：见投标人须知前附表。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1.3.4 本招标项目的承包方式：见投标人须知前附表。</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1.4 投标人资格要求</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1.4.1投标人应具备承担本项目施工的资质条件、能力和信誉。</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（1）资质条件：</w:t>
      </w:r>
      <w:r>
        <w:rPr>
          <w:rFonts w:hint="eastAsia" w:ascii="宋体" w:hAnsi="宋体"/>
          <w:bCs/>
          <w:color w:val="auto"/>
          <w:sz w:val="24"/>
          <w:highlight w:val="none"/>
          <w:u w:val="single"/>
        </w:rPr>
        <w:t xml:space="preserve">详见本项目招标公告； </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rPr>
        <w:t>（2）项目负责人资格：</w:t>
      </w:r>
      <w:r>
        <w:rPr>
          <w:rFonts w:hint="eastAsia" w:ascii="宋体" w:hAnsi="宋体"/>
          <w:bCs/>
          <w:color w:val="auto"/>
          <w:sz w:val="24"/>
          <w:highlight w:val="none"/>
          <w:u w:val="single"/>
        </w:rPr>
        <w:t>详见本项目招标公告；</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（3）其他要求：</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a)</w:t>
      </w:r>
      <w:r>
        <w:rPr>
          <w:rFonts w:hint="eastAsia" w:ascii="宋体" w:hAnsi="宋体"/>
          <w:bCs/>
          <w:color w:val="auto"/>
          <w:sz w:val="24"/>
          <w:highlight w:val="none"/>
        </w:rPr>
        <w:tab/>
      </w:r>
      <w:r>
        <w:rPr>
          <w:rFonts w:hint="eastAsia" w:ascii="宋体" w:hAnsi="宋体"/>
          <w:bCs/>
          <w:color w:val="auto"/>
          <w:sz w:val="24"/>
          <w:highlight w:val="none"/>
        </w:rPr>
        <w:t>投标人必须具备独立法人资格，具有有效的安全生产许可证。</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b）项目负责人持有在有效期内建设行政主管部门颁发的安全培训考核合格证（B类）或建筑施工企业项目负责人安全生产考核合格证书。</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c）专职安全员具有在有效期内建设行政主管部门颁发的安全考核合格证书（C类）或建筑施工企业专职安全生产管理人员安全生产考核合格证书（C3），专职安全员和项目负责人不得为同一人。</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d）投标申请人须保证授权的委托代理人及项目部主要组成人员（项目负责人、专职安全员）均为本单位的正式职工，必须具有离投标截止时间最近1个月（时间为：2023年</w:t>
      </w:r>
      <w:r>
        <w:rPr>
          <w:rFonts w:hint="eastAsia" w:ascii="宋体" w:hAnsi="宋体"/>
          <w:color w:val="auto"/>
          <w:sz w:val="24"/>
          <w:szCs w:val="24"/>
          <w:highlight w:val="none"/>
          <w:u w:val="single"/>
          <w:lang w:val="en-US" w:eastAsia="zh-CN"/>
        </w:rPr>
        <w:t>10</w:t>
      </w:r>
      <w:r>
        <w:rPr>
          <w:rFonts w:hint="eastAsia" w:ascii="宋体" w:hAnsi="宋体"/>
          <w:bCs/>
          <w:color w:val="auto"/>
          <w:sz w:val="24"/>
          <w:highlight w:val="none"/>
          <w:u w:val="single"/>
        </w:rPr>
        <w:t>月）在本单位交纳的社保证明文件（以加盖社会保险基金管理中心印章的《投保单》或《社会保险参保人员证明》资料为准）。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1.4.2 本招标项目不接受联合体投标。</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1.4.3 投标人不得存在下列情形之一：</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（1）为招标人不具有独立法人资格的附属机构（单位）；</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（2）为本次招标项目前期准备提供设计或咨询服务的；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（3）为本次招标项目的监理人；</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（4）为本次招标项目的代建人；</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（5）为本次招标项目提供招标代理服务的；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（6）与本次招标项目的监理人或代建人或招标代理机构同为一个法定代表人的；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（7）与本次招标项目的监理人或代建人或招标代理机构相互控股或参股的；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（8）与本次招标项目的监理人或代建人或招标代理机构相互任职或工作的；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（9）被责令停业的；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（10）被暂停或取消投标资格的；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（11）财产被接管或冻结的；</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（12）单位负责人为同一人或者存在控股、管理关系的不同单位，同时参加本招标项目投标。</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（14）被“信用广州”网站纳入失信联合惩戒名单（失信黑名单）。</w:t>
      </w:r>
    </w:p>
    <w:p>
      <w:pPr>
        <w:spacing w:line="360" w:lineRule="auto"/>
        <w:ind w:left="479" w:leftChars="228"/>
        <w:rPr>
          <w:rFonts w:ascii="宋体" w:hAnsi="宋体"/>
          <w:b/>
          <w:bCs/>
          <w:color w:val="auto"/>
          <w:kern w:val="0"/>
          <w:sz w:val="24"/>
          <w:szCs w:val="24"/>
          <w:highlight w:val="none"/>
        </w:rPr>
      </w:pPr>
      <w:r>
        <w:rPr>
          <w:rFonts w:hint="eastAsia" w:ascii="宋体" w:hAnsi="宋体"/>
          <w:bCs/>
          <w:color w:val="auto"/>
          <w:sz w:val="24"/>
          <w:highlight w:val="none"/>
          <w:u w:val="single"/>
        </w:rPr>
        <w:t>1.4.4投标文件中投标人声明有按招标文件要求提交且有项目负责人、技术负责人签字。</w:t>
      </w:r>
      <w:r>
        <w:rPr>
          <w:rFonts w:hint="eastAsia" w:ascii="宋体" w:hAnsi="宋体"/>
          <w:b/>
          <w:bCs/>
          <w:color w:val="auto"/>
          <w:kern w:val="0"/>
          <w:sz w:val="24"/>
          <w:szCs w:val="24"/>
          <w:highlight w:val="none"/>
        </w:rPr>
        <w:t>1.5 费用承担</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投标人准备和参加投标活动发生的费用自理。</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1.6 保密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参与招标投标活动的各方应对招标文件和投标文件中的商业和技术等秘密保密，违者应对由此造成的后果承担法律责任。 </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1.7 语言文字</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除专用术语外，与招标投标有关的语言均使用中文。必要时专用术语应附有中文注释。</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1.8 计量单位</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所有计量均采用中华人民共和国法定计量单位。</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1.9 踏勘现场</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1.9.1 投标人按投标人须知前附表规定的时间、地点自行踏勘项目现场。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1.9.2 投标人踏勘现场发生的费用自理。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1.9.3 除招标人的原因外，投标人自行负责在踏勘现场中所发生的人员伤亡和财产损失。</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1.10投标预备会</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1.10.2 投标人应在投标人须知前附表规定的时间前，在交易中心网站上提出须澄清的问题。</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1.11 偏离</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投标人须知前附表允许投标文件偏离招标文件某些要求的，偏离应当符合招标文件规定的偏离范围和幅度。</w:t>
      </w:r>
    </w:p>
    <w:p>
      <w:pPr>
        <w:jc w:val="center"/>
        <w:outlineLvl w:val="3"/>
        <w:rPr>
          <w:rFonts w:ascii="仿宋" w:hAnsi="仿宋" w:eastAsia="仿宋"/>
          <w:b/>
          <w:color w:val="auto"/>
          <w:sz w:val="30"/>
          <w:szCs w:val="30"/>
          <w:highlight w:val="none"/>
        </w:rPr>
      </w:pPr>
      <w:bookmarkStart w:id="26" w:name="_Toc262229164"/>
      <w:bookmarkEnd w:id="26"/>
      <w:r>
        <w:rPr>
          <w:rFonts w:hint="eastAsia" w:ascii="仿宋" w:hAnsi="仿宋" w:eastAsia="仿宋"/>
          <w:b/>
          <w:color w:val="auto"/>
          <w:sz w:val="30"/>
          <w:szCs w:val="30"/>
          <w:highlight w:val="none"/>
        </w:rPr>
        <w:t>（二）招标文件</w:t>
      </w:r>
    </w:p>
    <w:p>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2.1 招标文件的组成</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2.1.1 本招标文件包括下列文件，以及所有按本须知第</w:t>
      </w:r>
      <w:r>
        <w:rPr>
          <w:rFonts w:hint="eastAsia" w:ascii="宋体" w:hAnsi="宋体"/>
          <w:bCs/>
          <w:color w:val="auto"/>
          <w:sz w:val="24"/>
          <w:highlight w:val="none"/>
          <w:u w:val="single"/>
        </w:rPr>
        <w:t xml:space="preserve"> 2.3 </w:t>
      </w:r>
      <w:r>
        <w:rPr>
          <w:rFonts w:hint="eastAsia" w:ascii="宋体" w:hAnsi="宋体"/>
          <w:bCs/>
          <w:color w:val="auto"/>
          <w:sz w:val="24"/>
          <w:highlight w:val="none"/>
        </w:rPr>
        <w:t>条发出的澄清或修改和按本须知第</w:t>
      </w:r>
      <w:r>
        <w:rPr>
          <w:rFonts w:hint="eastAsia" w:ascii="宋体" w:hAnsi="宋体"/>
          <w:bCs/>
          <w:color w:val="auto"/>
          <w:sz w:val="24"/>
          <w:highlight w:val="none"/>
          <w:u w:val="single"/>
        </w:rPr>
        <w:t xml:space="preserve"> 2.2 </w:t>
      </w:r>
      <w:r>
        <w:rPr>
          <w:rFonts w:hint="eastAsia" w:ascii="宋体" w:hAnsi="宋体"/>
          <w:bCs/>
          <w:color w:val="auto"/>
          <w:sz w:val="24"/>
          <w:highlight w:val="none"/>
        </w:rPr>
        <w:t>条发出的招标答疑会会议纪要：</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（1）招标公告（或投标邀请书）；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（2）投标人须知；</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（3）评标办法；</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（4）合同条款及格式；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（5）工程量清单（采用综合评估法三的，应为与</w:t>
      </w:r>
      <w:r>
        <w:rPr>
          <w:rFonts w:hint="eastAsia" w:ascii="宋体" w:hAnsi="宋体"/>
          <w:color w:val="auto"/>
          <w:sz w:val="24"/>
          <w:highlight w:val="none"/>
        </w:rPr>
        <w:t>最高投标限价相对应的</w:t>
      </w:r>
      <w:r>
        <w:rPr>
          <w:rFonts w:hint="eastAsia" w:ascii="宋体" w:hAnsi="宋体"/>
          <w:bCs/>
          <w:color w:val="auto"/>
          <w:sz w:val="24"/>
          <w:highlight w:val="none"/>
        </w:rPr>
        <w:t xml:space="preserve">已标价工程量清单）；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（7）技术标准和要求；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（8）投标文件格式；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否决性条款汇总.</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w:t>
      </w:r>
      <w:r>
        <w:rPr>
          <w:rFonts w:hint="eastAsia" w:ascii="宋体" w:hAnsi="宋体"/>
          <w:bCs/>
          <w:color w:val="auto"/>
          <w:sz w:val="24"/>
          <w:szCs w:val="24"/>
          <w:highlight w:val="none"/>
        </w:rPr>
        <w:t>最高投标限价（招标控制价）</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（11）投标人须知前附表规定的其他材料。</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2.1.2根据本章第1.10款、第2.2款和第2.3款对招标文件所作的澄清、修改，构成招标文件的组成部分。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2.1.3招标人（或委托招标代理机构）使用广东省内依法设立的电子认证服务机构签发的电子签章认证证书对电子形式的招标文件进行电子签名及电子签章。该电子签章对招标人手写签名或者盖章同等的法律效力。</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2.1.5</w:t>
      </w:r>
      <w:r>
        <w:rPr>
          <w:rFonts w:hint="eastAsia" w:ascii="宋体" w:hAnsi="宋体"/>
          <w:bCs/>
          <w:color w:val="auto"/>
          <w:sz w:val="24"/>
          <w:highlight w:val="none"/>
        </w:rPr>
        <w:t>招标人应在招标文件中明确投标文件主要内容编制的格式要求。</w:t>
      </w:r>
    </w:p>
    <w:p>
      <w:pPr>
        <w:widowControl/>
        <w:snapToGrid w:val="0"/>
        <w:spacing w:line="360" w:lineRule="auto"/>
        <w:ind w:firstLine="482" w:firstLineChars="200"/>
        <w:jc w:val="left"/>
        <w:rPr>
          <w:rFonts w:ascii="宋体" w:hAnsi="宋体"/>
          <w:color w:val="auto"/>
          <w:sz w:val="24"/>
          <w:highlight w:val="none"/>
        </w:rPr>
      </w:pPr>
      <w:r>
        <w:rPr>
          <w:rFonts w:hint="eastAsia" w:ascii="宋体" w:hAnsi="宋体"/>
          <w:b/>
          <w:bCs/>
          <w:color w:val="auto"/>
          <w:sz w:val="24"/>
          <w:highlight w:val="none"/>
        </w:rPr>
        <w:t>2.2招标答疑</w:t>
      </w:r>
    </w:p>
    <w:p>
      <w:pPr>
        <w:pStyle w:val="40"/>
        <w:spacing w:after="0" w:line="360" w:lineRule="auto"/>
        <w:ind w:firstLine="480" w:firstLineChars="200"/>
        <w:rPr>
          <w:rFonts w:ascii="宋体" w:hAnsi="宋体" w:eastAsia="宋体"/>
          <w:color w:val="auto"/>
          <w:sz w:val="24"/>
          <w:szCs w:val="21"/>
          <w:highlight w:val="none"/>
          <w:u w:val="single"/>
        </w:rPr>
      </w:pPr>
      <w:r>
        <w:rPr>
          <w:rFonts w:hint="eastAsia" w:ascii="宋体" w:hAnsi="宋体" w:eastAsia="宋体"/>
          <w:color w:val="auto"/>
          <w:sz w:val="24"/>
          <w:szCs w:val="21"/>
          <w:highlight w:val="none"/>
          <w:u w:val="single"/>
        </w:rPr>
        <w:t>2.2.1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360" w:lineRule="auto"/>
        <w:ind w:firstLine="480" w:firstLineChars="200"/>
        <w:rPr>
          <w:rFonts w:ascii="宋体" w:hAnsi="宋体"/>
          <w:color w:val="auto"/>
          <w:sz w:val="24"/>
          <w:highlight w:val="none"/>
        </w:rPr>
      </w:pPr>
      <w:r>
        <w:rPr>
          <w:rFonts w:hint="eastAsia" w:ascii="宋体" w:hAnsi="宋体"/>
          <w:color w:val="auto"/>
          <w:sz w:val="24"/>
          <w:szCs w:val="21"/>
          <w:highlight w:val="none"/>
          <w:u w:val="single"/>
        </w:rPr>
        <w:t>网上答疑的操作指南为：登陆广州公共资源交易中心网站→登录“投标人系统”→招标答疑提问→通过项目编号或名称找到所需的项目</w:t>
      </w:r>
      <w:r>
        <w:rPr>
          <w:rFonts w:hint="eastAsia" w:ascii="宋体" w:hAnsi="宋体"/>
          <w:color w:val="auto"/>
          <w:sz w:val="24"/>
          <w:szCs w:val="21"/>
          <w:highlight w:val="none"/>
        </w:rPr>
        <w:t>→在上述的答疑时间内点击“答疑提问或回复情况”→提出问题以及查看所有的问题。</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2.2.2投标人应在投标截止时间前</w:t>
      </w:r>
      <w:r>
        <w:rPr>
          <w:rFonts w:hint="eastAsia" w:ascii="宋体" w:hAnsi="宋体" w:eastAsia="宋体"/>
          <w:color w:val="auto"/>
          <w:sz w:val="24"/>
          <w:highlight w:val="none"/>
          <w:u w:val="single"/>
        </w:rPr>
        <w:t>18</w:t>
      </w:r>
      <w:r>
        <w:rPr>
          <w:rFonts w:hint="eastAsia" w:ascii="宋体" w:hAnsi="宋体" w:eastAsia="宋体"/>
          <w:color w:val="auto"/>
          <w:sz w:val="24"/>
          <w:highlight w:val="none"/>
        </w:rPr>
        <w:t>日停止质疑。招标人应在投标截止时间</w:t>
      </w:r>
      <w:r>
        <w:rPr>
          <w:rFonts w:hint="eastAsia" w:ascii="宋体" w:hAnsi="宋体" w:eastAsia="宋体"/>
          <w:color w:val="auto"/>
          <w:sz w:val="24"/>
          <w:highlight w:val="none"/>
          <w:u w:val="single"/>
        </w:rPr>
        <w:t>15</w:t>
      </w:r>
      <w:r>
        <w:rPr>
          <w:rFonts w:hint="eastAsia" w:ascii="宋体" w:hAnsi="宋体" w:eastAsia="宋体"/>
          <w:color w:val="auto"/>
          <w:sz w:val="24"/>
          <w:highlight w:val="none"/>
        </w:rPr>
        <w:t>日前解答投标人对招标文件提出的疑问，形成答疑纪要，在交易中心网站“招标答疑”专区发布。</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2.2.3招标答疑纪要一经在广州公共资源交易中心网站发布，视作已发放给所有投标人。</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2.2.4招标答疑纪要为招标文件的一部分。</w:t>
      </w:r>
      <w:r>
        <w:rPr>
          <w:rFonts w:hint="eastAsia" w:ascii="宋体" w:hAnsi="宋体" w:eastAsia="宋体"/>
          <w:color w:val="auto"/>
          <w:sz w:val="24"/>
          <w:szCs w:val="24"/>
          <w:highlight w:val="none"/>
        </w:rPr>
        <w:t>投标人可在广州公共资源交易中心网站浏览、下载招标答疑纪要。</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2.2.5若招标答疑纪要与招标文件有矛盾时，以</w:t>
      </w:r>
      <w:r>
        <w:rPr>
          <w:rFonts w:hint="eastAsia" w:ascii="宋体" w:hAnsi="宋体" w:eastAsia="宋体"/>
          <w:color w:val="auto"/>
          <w:sz w:val="24"/>
          <w:szCs w:val="24"/>
          <w:highlight w:val="none"/>
        </w:rPr>
        <w:t>广州公共资源交易中心网站</w:t>
      </w:r>
      <w:r>
        <w:rPr>
          <w:rFonts w:hint="eastAsia" w:ascii="宋体" w:hAnsi="宋体" w:eastAsia="宋体"/>
          <w:color w:val="auto"/>
          <w:sz w:val="24"/>
          <w:highlight w:val="none"/>
        </w:rPr>
        <w:t>最后发布的答疑纪要为准。</w:t>
      </w:r>
    </w:p>
    <w:p>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2.3</w:t>
      </w:r>
      <w:r>
        <w:rPr>
          <w:rFonts w:ascii="宋体" w:hAnsi="宋体"/>
          <w:b/>
          <w:color w:val="auto"/>
          <w:sz w:val="24"/>
          <w:szCs w:val="24"/>
          <w:highlight w:val="none"/>
        </w:rPr>
        <w:t>招标文件的</w:t>
      </w:r>
      <w:r>
        <w:rPr>
          <w:rFonts w:hint="eastAsia" w:ascii="宋体" w:hAnsi="宋体"/>
          <w:b/>
          <w:color w:val="auto"/>
          <w:sz w:val="24"/>
          <w:szCs w:val="24"/>
          <w:highlight w:val="none"/>
        </w:rPr>
        <w:t>澄清与</w:t>
      </w:r>
      <w:r>
        <w:rPr>
          <w:rFonts w:ascii="宋体" w:hAnsi="宋体"/>
          <w:b/>
          <w:color w:val="auto"/>
          <w:sz w:val="24"/>
          <w:szCs w:val="24"/>
          <w:highlight w:val="none"/>
        </w:rPr>
        <w:t>修改</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2.3.2投标人应及时通过广州公共资源交易中心网站浏览、下载招标文件修改。</w:t>
      </w:r>
    </w:p>
    <w:p>
      <w:pPr>
        <w:pStyle w:val="40"/>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2.3.3招标文件的澄清或修改在广州公共资源交易中心网站发布。招标文件的澄清或修改一经在广州公共资源交易中心网站发布，视作已发放给所有投标人。</w:t>
      </w:r>
    </w:p>
    <w:p>
      <w:pPr>
        <w:pStyle w:val="40"/>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2.3.4招标文件的澄清、修改作为招标文件的组成部分，具有约束作用。</w:t>
      </w:r>
    </w:p>
    <w:p>
      <w:pPr>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2.3.5招标文件的澄清、修改均以广州公共资源交易中心网站</w:t>
      </w:r>
      <w:r>
        <w:rPr>
          <w:rFonts w:hint="eastAsia" w:ascii="宋体" w:hAnsi="宋体"/>
          <w:color w:val="auto"/>
          <w:sz w:val="24"/>
          <w:szCs w:val="24"/>
          <w:highlight w:val="none"/>
        </w:rPr>
        <w:t>发布</w:t>
      </w:r>
      <w:r>
        <w:rPr>
          <w:rFonts w:hint="eastAsia" w:ascii="宋体" w:hAnsi="宋体"/>
          <w:color w:val="auto"/>
          <w:sz w:val="24"/>
          <w:highlight w:val="none"/>
        </w:rPr>
        <w:t>的内容为准。当招标文件的澄清、修改在同一内容的表述不一致时，以广州公共资源交易中心网站最后发布的内容为准。</w:t>
      </w:r>
    </w:p>
    <w:p>
      <w:pPr>
        <w:jc w:val="center"/>
        <w:outlineLvl w:val="3"/>
        <w:rPr>
          <w:rFonts w:ascii="宋体" w:hAnsi="宋体"/>
          <w:b/>
          <w:color w:val="auto"/>
          <w:sz w:val="30"/>
          <w:szCs w:val="30"/>
          <w:highlight w:val="none"/>
        </w:rPr>
      </w:pPr>
      <w:bookmarkStart w:id="27" w:name="_Toc101777614"/>
      <w:bookmarkEnd w:id="27"/>
      <w:bookmarkStart w:id="28" w:name="_Toc262229165"/>
      <w:bookmarkEnd w:id="28"/>
      <w:r>
        <w:rPr>
          <w:rFonts w:hint="eastAsia" w:ascii="宋体" w:hAnsi="宋体"/>
          <w:b/>
          <w:color w:val="auto"/>
          <w:sz w:val="30"/>
          <w:szCs w:val="30"/>
          <w:highlight w:val="none"/>
        </w:rPr>
        <w:t>（三）投标文件的编制</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 投标文件的组成</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3.1.1投标文件应包括下列内容：</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（1）投标函及投标函附录</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（2）法定代表人身份证明</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（3）授权委托书</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（4）已标价工程量清单</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（5）施工组织设计</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（6）项目管理机构</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（7）资格审查资料</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（8）其他应提交的材料</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 投标报价</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3.2.1 投标人应按第五章“工程量清单”的要求填写相应表格。（此条不适用于综合评估法三）</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40"/>
        <w:spacing w:after="0" w:line="360" w:lineRule="auto"/>
        <w:ind w:firstLine="480" w:firstLineChars="200"/>
        <w:rPr>
          <w:rFonts w:ascii="宋体" w:hAnsi="宋体" w:eastAsia="宋体"/>
          <w:strike/>
          <w:dstrike w:val="0"/>
          <w:color w:val="auto"/>
          <w:sz w:val="24"/>
          <w:highlight w:val="none"/>
        </w:rPr>
      </w:pPr>
      <w:r>
        <w:rPr>
          <w:rFonts w:hint="eastAsia" w:ascii="宋体" w:hAnsi="宋体" w:eastAsia="宋体"/>
          <w:strike/>
          <w:dstrike w:val="0"/>
          <w:color w:val="auto"/>
          <w:sz w:val="24"/>
          <w:highlight w:val="none"/>
        </w:rPr>
        <w:t>3.2.2采用综合评估法三的，投标人在投标截止时间前修改投标函中的投标报价总额，并根据评标办法列明的方法重新计算投标报价下浮率。此修改须符合本章第4.3款的有关要求。</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3.2.3</w:t>
      </w:r>
      <w:r>
        <w:rPr>
          <w:rFonts w:hint="eastAsia" w:ascii="宋体" w:hAnsi="宋体" w:eastAsia="宋体"/>
          <w:color w:val="auto"/>
          <w:sz w:val="24"/>
          <w:highlight w:val="none"/>
          <w:u w:val="single"/>
        </w:rPr>
        <w:t>投标人的投标报价不得超过最高投标限价，非竞争性费用应按招标文件规定的金额填报，最高投标限价及非竞争性费用见投标人须知前附表。</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 投标有效期</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3.3.1 除投标人须知前附表另有规定外，投标有效期为</w:t>
      </w:r>
      <w:r>
        <w:rPr>
          <w:rFonts w:hint="eastAsia" w:ascii="宋体" w:hAnsi="宋体" w:eastAsia="宋体"/>
          <w:color w:val="auto"/>
          <w:sz w:val="24"/>
          <w:highlight w:val="none"/>
          <w:u w:val="single"/>
          <w:lang w:val="en-US" w:eastAsia="zh-CN"/>
        </w:rPr>
        <w:t>90</w:t>
      </w:r>
      <w:r>
        <w:rPr>
          <w:rFonts w:hint="eastAsia" w:ascii="宋体" w:hAnsi="宋体" w:eastAsia="宋体"/>
          <w:color w:val="auto"/>
          <w:sz w:val="24"/>
          <w:highlight w:val="none"/>
        </w:rPr>
        <w:t>天。</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3.3.2在投标有效期内，投标人撤销或修改其投标文件的，应承担招标文件和法律规定的责任。</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0"/>
        <w:spacing w:after="0" w:line="360" w:lineRule="auto"/>
        <w:ind w:firstLine="482" w:firstLineChars="200"/>
        <w:rPr>
          <w:rFonts w:ascii="宋体" w:hAnsi="宋体" w:eastAsia="宋体"/>
          <w:color w:val="auto"/>
          <w:sz w:val="24"/>
          <w:highlight w:val="none"/>
          <w:u w:val="single"/>
        </w:rPr>
      </w:pPr>
      <w:r>
        <w:rPr>
          <w:rFonts w:hint="eastAsia" w:ascii="宋体" w:hAnsi="宋体" w:eastAsia="宋体"/>
          <w:b/>
          <w:bCs/>
          <w:color w:val="auto"/>
          <w:sz w:val="24"/>
          <w:highlight w:val="none"/>
          <w:u w:val="single"/>
        </w:rPr>
        <w:t>3.4 投标保证金：本项目不要求投标人递交投标保证金。</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3.5资格审查资料</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3.5.1投标人声明；</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3.5.2法定代表人证明书、法定代表人签字或盖章的本投标文件授权委托证明书；</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3.5.3“投标人基本情况表”应附投标人企业营业执照、企业资质证书和建筑施工企业安全生产许可证等；</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3.5.4项目负责人的建造师证、在有效期内建设行政主管部门颁发的安全培训考核合格证（B类）或建筑施工企业项目负责人安全生产考核合格证书；</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3.5.5专职安全员须具有在有效期内建设行政主管部门颁发的安全考核合格证书（C类）或建筑施工企业专职安全生产管理人员安全生产考核合格证书（C3）；</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3.5.6授权的委托代理人及项目部主要组成人员（项目负责人、专职安全员）在本单位交纳的社保证明文件（以加盖社会保险基金管理中心印章的《投保单》或《社会保险参保人员证明》资料为准）。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3.5.7资审要求的其他材料。</w:t>
      </w:r>
    </w:p>
    <w:p>
      <w:pPr>
        <w:pStyle w:val="40"/>
        <w:spacing w:after="0" w:line="360" w:lineRule="auto"/>
        <w:ind w:firstLine="480" w:firstLineChars="200"/>
        <w:rPr>
          <w:rFonts w:ascii="宋体" w:hAnsi="宋体" w:eastAsia="宋体"/>
          <w:color w:val="auto"/>
          <w:sz w:val="24"/>
          <w:highlight w:val="none"/>
          <w:u w:val="single"/>
        </w:rPr>
      </w:pPr>
      <w:r>
        <w:rPr>
          <w:rFonts w:hint="eastAsia" w:ascii="等线" w:hAnsi="等线" w:eastAsia="等线" w:cs="等线"/>
          <w:b/>
          <w:bCs/>
          <w:color w:val="auto"/>
          <w:sz w:val="24"/>
          <w:highlight w:val="none"/>
          <w:u w:val="single"/>
        </w:rPr>
        <w:t>注：上述资料除“投标人声明”、“法定代表人证明书、法定代表人签字或盖章的本投标文件授权委托证明书”及“社保证明文件”之外，投标人的企业资质证书、企业营业执照、企业安全生产许可证、项目负责人相关证书、安全员安全培训考核合格证或打印页等证书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3.6 投标文件的编制</w:t>
      </w:r>
    </w:p>
    <w:p>
      <w:pPr>
        <w:pStyle w:val="4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color w:val="auto"/>
          <w:sz w:val="24"/>
          <w:szCs w:val="24"/>
          <w:highlight w:val="none"/>
        </w:rPr>
      </w:pPr>
      <w:r>
        <w:rPr>
          <w:rFonts w:hint="eastAsia" w:ascii="宋体" w:hAnsi="宋体"/>
          <w:color w:val="auto"/>
          <w:sz w:val="24"/>
          <w:szCs w:val="24"/>
          <w:highlight w:val="none"/>
        </w:rPr>
        <w:t>3.6.2投标人应使用广州市水务工程（给排水专业）的投标文件管理软件进行投标文件的合成、电子签名</w:t>
      </w:r>
      <w:r>
        <w:rPr>
          <w:rFonts w:hint="eastAsia" w:ascii="宋体" w:hAnsi="宋体" w:cs="仿宋_GB2312"/>
          <w:color w:val="auto"/>
          <w:sz w:val="24"/>
          <w:szCs w:val="24"/>
          <w:highlight w:val="none"/>
        </w:rPr>
        <w:t>、电子签章及加密打包工作，所有电子投标文件不能进行压缩处理。电子投标文件统一采用网络上传的形式，投标人需登录交易中心网站投标人服务区在投标截止时间前完整上传至交易中心的电子评标系统。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40"/>
        <w:spacing w:after="0" w:line="360" w:lineRule="auto"/>
        <w:ind w:firstLine="480" w:firstLineChars="200"/>
        <w:rPr>
          <w:rFonts w:ascii="宋体" w:hAnsi="宋体" w:eastAsia="宋体"/>
          <w:bCs/>
          <w:color w:val="auto"/>
          <w:kern w:val="2"/>
          <w:sz w:val="24"/>
          <w:szCs w:val="24"/>
          <w:highlight w:val="none"/>
        </w:rPr>
      </w:pPr>
      <w:r>
        <w:rPr>
          <w:rFonts w:hint="eastAsia" w:ascii="宋体" w:hAnsi="宋体" w:eastAsia="宋体"/>
          <w:color w:val="auto"/>
          <w:sz w:val="24"/>
          <w:szCs w:val="24"/>
          <w:highlight w:val="none"/>
        </w:rPr>
        <w:t>3.6.3</w:t>
      </w:r>
      <w:r>
        <w:rPr>
          <w:rFonts w:hint="eastAsia" w:ascii="宋体" w:hAnsi="宋体" w:eastAsia="宋体"/>
          <w:bCs/>
          <w:color w:val="auto"/>
          <w:sz w:val="24"/>
          <w:szCs w:val="24"/>
          <w:highlight w:val="none"/>
        </w:rPr>
        <w:t>投标人应使用依法设立的电子认证服务提供者签发的电子</w:t>
      </w:r>
      <w:r>
        <w:rPr>
          <w:rFonts w:hint="eastAsia" w:ascii="宋体" w:hAnsi="宋体" w:eastAsia="宋体" w:cs="仿宋_GB2312"/>
          <w:color w:val="auto"/>
          <w:sz w:val="24"/>
          <w:szCs w:val="24"/>
          <w:highlight w:val="none"/>
        </w:rPr>
        <w:t>签章</w:t>
      </w:r>
      <w:r>
        <w:rPr>
          <w:rFonts w:hint="eastAsia" w:ascii="宋体" w:hAnsi="宋体" w:eastAsia="宋体"/>
          <w:bCs/>
          <w:color w:val="auto"/>
          <w:sz w:val="24"/>
          <w:szCs w:val="24"/>
          <w:highlight w:val="none"/>
        </w:rPr>
        <w:t>认证证书对电子投标文件进行</w:t>
      </w:r>
      <w:r>
        <w:rPr>
          <w:rFonts w:hint="eastAsia" w:ascii="宋体" w:hAnsi="宋体" w:eastAsia="宋体" w:cs="仿宋_GB2312"/>
          <w:color w:val="auto"/>
          <w:sz w:val="24"/>
          <w:szCs w:val="24"/>
          <w:highlight w:val="none"/>
        </w:rPr>
        <w:t>电子签章</w:t>
      </w:r>
      <w:r>
        <w:rPr>
          <w:rFonts w:hint="eastAsia" w:ascii="宋体" w:hAnsi="宋体" w:eastAsia="宋体"/>
          <w:bCs/>
          <w:color w:val="auto"/>
          <w:sz w:val="24"/>
          <w:szCs w:val="24"/>
          <w:highlight w:val="none"/>
        </w:rPr>
        <w:t>。该</w:t>
      </w:r>
      <w:r>
        <w:rPr>
          <w:rFonts w:hint="eastAsia" w:ascii="宋体" w:hAnsi="宋体" w:eastAsia="宋体" w:cs="仿宋_GB2312"/>
          <w:color w:val="auto"/>
          <w:sz w:val="24"/>
          <w:szCs w:val="24"/>
          <w:highlight w:val="none"/>
        </w:rPr>
        <w:t>电子签章</w:t>
      </w:r>
      <w:r>
        <w:rPr>
          <w:rFonts w:hint="eastAsia" w:ascii="宋体" w:hAnsi="宋体" w:eastAsia="宋体"/>
          <w:bCs/>
          <w:color w:val="auto"/>
          <w:kern w:val="2"/>
          <w:sz w:val="24"/>
          <w:szCs w:val="24"/>
          <w:highlight w:val="none"/>
        </w:rPr>
        <w:t>与盖单位章具有同等的法律效力。</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3.6.4</w:t>
      </w:r>
      <w:r>
        <w:rPr>
          <w:rFonts w:hint="eastAsia" w:ascii="宋体" w:hAnsi="宋体"/>
          <w:bCs/>
          <w:color w:val="auto"/>
          <w:sz w:val="24"/>
          <w:szCs w:val="24"/>
          <w:highlight w:val="none"/>
          <w:u w:val="single"/>
        </w:rPr>
        <w:t>除工程量清单报价表相关的内容、《投标函》及《投标函附录》外，投标文件的其他内容均以电子文件（纸质原件的扫描件）编制，其格式要求详见第八章投标文件格式说明。</w:t>
      </w:r>
    </w:p>
    <w:p>
      <w:pPr>
        <w:pStyle w:val="40"/>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3.6.5</w:t>
      </w:r>
      <w:r>
        <w:rPr>
          <w:rFonts w:hint="eastAsia" w:ascii="宋体" w:hAnsi="宋体" w:eastAsia="宋体"/>
          <w:bCs/>
          <w:color w:val="auto"/>
          <w:sz w:val="24"/>
          <w:szCs w:val="24"/>
          <w:highlight w:val="none"/>
        </w:rPr>
        <w:t>投标文件应按上述的编排要求编制。如因不按上述编排要求编制而所引起系统无法检索、读取相关信息时，其后果将由投标人自行承担。</w:t>
      </w:r>
    </w:p>
    <w:p>
      <w:pPr>
        <w:pStyle w:val="40"/>
        <w:spacing w:after="0" w:line="360" w:lineRule="auto"/>
        <w:ind w:firstLine="480" w:firstLineChars="200"/>
        <w:rPr>
          <w:rFonts w:ascii="宋体" w:hAnsi="宋体" w:eastAsia="宋体"/>
          <w:i/>
          <w:color w:val="auto"/>
          <w:sz w:val="24"/>
          <w:highlight w:val="none"/>
        </w:rPr>
      </w:pPr>
      <w:r>
        <w:rPr>
          <w:rFonts w:hint="eastAsia" w:ascii="宋体" w:hAnsi="宋体" w:eastAsia="宋体"/>
          <w:i/>
          <w:color w:val="auto"/>
          <w:sz w:val="24"/>
          <w:highlight w:val="none"/>
        </w:rPr>
        <w:t>（</w:t>
      </w:r>
      <w:r>
        <w:rPr>
          <w:rFonts w:hint="eastAsia" w:ascii="宋体" w:hAnsi="宋体" w:eastAsia="宋体"/>
          <w:i/>
          <w:color w:val="auto"/>
          <w:szCs w:val="21"/>
          <w:highlight w:val="none"/>
        </w:rPr>
        <w:t>给排水项目投标文件按交易中心的投标文件制作工具编制</w:t>
      </w:r>
      <w:r>
        <w:rPr>
          <w:rFonts w:hint="eastAsia" w:ascii="宋体" w:hAnsi="宋体" w:eastAsia="宋体"/>
          <w:i/>
          <w:color w:val="auto"/>
          <w:sz w:val="24"/>
          <w:highlight w:val="none"/>
        </w:rPr>
        <w:t>）</w:t>
      </w:r>
    </w:p>
    <w:p>
      <w:pPr>
        <w:pStyle w:val="40"/>
        <w:spacing w:after="0" w:line="360" w:lineRule="auto"/>
        <w:ind w:firstLine="482" w:firstLineChars="200"/>
        <w:rPr>
          <w:rFonts w:ascii="宋体" w:hAnsi="宋体" w:eastAsia="宋体"/>
          <w:b/>
          <w:bCs/>
          <w:color w:val="auto"/>
          <w:sz w:val="24"/>
          <w:highlight w:val="none"/>
        </w:rPr>
      </w:pPr>
    </w:p>
    <w:p>
      <w:pPr>
        <w:jc w:val="center"/>
        <w:outlineLvl w:val="3"/>
        <w:rPr>
          <w:rFonts w:ascii="宋体" w:hAnsi="宋体"/>
          <w:b/>
          <w:color w:val="auto"/>
          <w:sz w:val="30"/>
          <w:szCs w:val="30"/>
          <w:highlight w:val="none"/>
        </w:rPr>
      </w:pPr>
      <w:bookmarkStart w:id="29" w:name="_Toc101777615"/>
      <w:bookmarkEnd w:id="29"/>
      <w:bookmarkStart w:id="30" w:name="_Toc262229166"/>
      <w:bookmarkEnd w:id="30"/>
      <w:r>
        <w:rPr>
          <w:rFonts w:hint="eastAsia" w:ascii="宋体" w:hAnsi="宋体"/>
          <w:b/>
          <w:color w:val="auto"/>
          <w:sz w:val="30"/>
          <w:szCs w:val="30"/>
          <w:highlight w:val="none"/>
        </w:rPr>
        <w:t>（四）投标文件的递交</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 xml:space="preserve">4.1 </w:t>
      </w:r>
      <w:r>
        <w:rPr>
          <w:rFonts w:hint="eastAsia" w:ascii="宋体" w:hAnsi="宋体" w:eastAsia="宋体"/>
          <w:b/>
          <w:color w:val="auto"/>
          <w:sz w:val="24"/>
          <w:szCs w:val="24"/>
          <w:highlight w:val="none"/>
        </w:rPr>
        <w:t>投标文件的包封、密封和标志</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4.1.1投标文件的密封要求：投标人应使用</w:t>
      </w:r>
      <w:r>
        <w:rPr>
          <w:rFonts w:hint="eastAsia" w:ascii="宋体" w:hAnsi="宋体"/>
          <w:color w:val="auto"/>
          <w:sz w:val="24"/>
          <w:szCs w:val="24"/>
          <w:highlight w:val="none"/>
        </w:rPr>
        <w:t>广州市水务工程（给排水专业）的投标文件管理软件</w:t>
      </w:r>
      <w:r>
        <w:rPr>
          <w:rFonts w:hint="eastAsia" w:ascii="宋体" w:hAnsi="宋体"/>
          <w:color w:val="auto"/>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1"/>
          <w:highlight w:val="none"/>
        </w:rPr>
        <w:t>4.1.2投标文件的电子签章要求： 电子投标文件必须包含完整的投标人电子签章</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4.2投标文件的递交和接收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4.2.1投标人代表应按投标须知前附表所规定的时间和地点向招标人递交投标文件。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4.2.2投标人应凭以下资料递交投标文件：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（1）使用制作该投标文件的投标人电子签章认证证书；</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（2）投标人应使用制作该投标文件的电子签章认证证书递交投标文件。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highlight w:val="none"/>
        </w:rPr>
        <w:t>.3</w:t>
      </w:r>
      <w:r>
        <w:rPr>
          <w:rFonts w:hint="eastAsia" w:ascii="宋体" w:hAnsi="宋体"/>
          <w:color w:val="auto"/>
          <w:sz w:val="24"/>
          <w:szCs w:val="24"/>
          <w:highlight w:val="none"/>
        </w:rPr>
        <w:t>若出现以下情况，招标人将拒绝接收投标文件：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（2）投标文件未按招标文件要求进行电子签章，并进行加密的；</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（3）电子投标文件中投标人电子签章不完整的；</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（4）电子投标文件损坏或格式不正确的；</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（5）电子投标文件未加密的。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highlight w:val="none"/>
        </w:rPr>
        <w:t xml:space="preserve">.4 </w:t>
      </w:r>
      <w:r>
        <w:rPr>
          <w:rFonts w:hint="eastAsia" w:ascii="宋体" w:hAnsi="宋体"/>
          <w:color w:val="auto"/>
          <w:sz w:val="24"/>
          <w:szCs w:val="24"/>
          <w:highlight w:val="none"/>
        </w:rPr>
        <w:t>投标截止前，招标人拒绝接收符合条件的投标文件，投标人可向招标监督机构投诉。</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hint="eastAsia" w:ascii="宋体" w:hAnsi="宋体"/>
          <w:b/>
          <w:bCs/>
          <w:color w:val="auto"/>
          <w:sz w:val="24"/>
          <w:highlight w:val="none"/>
        </w:rPr>
        <w:t>投标文件递交的截止时间</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4.3.2招标人可按本须知第2.3条规定以招标文件修改的方式，酌情延长递交投标文件的截止时间。在此情况下，投标人的所有权利和义务以及投标人受制约的截止时间，均以延长后新的投标截止时间为准。</w:t>
      </w:r>
    </w:p>
    <w:p>
      <w:pPr>
        <w:spacing w:line="360" w:lineRule="auto"/>
        <w:rPr>
          <w:rFonts w:ascii="宋体" w:hAnsi="宋体"/>
          <w:color w:val="auto"/>
          <w:sz w:val="24"/>
          <w:highlight w:val="none"/>
        </w:rPr>
      </w:pPr>
      <w:r>
        <w:rPr>
          <w:rFonts w:hint="eastAsia" w:ascii="宋体" w:hAnsi="宋体"/>
          <w:color w:val="auto"/>
          <w:sz w:val="24"/>
          <w:szCs w:val="24"/>
          <w:highlight w:val="none"/>
        </w:rPr>
        <w:t xml:space="preserve">    4.3</w:t>
      </w:r>
      <w:r>
        <w:rPr>
          <w:rFonts w:hint="eastAsia" w:ascii="宋体" w:hAnsi="宋体"/>
          <w:color w:val="auto"/>
          <w:sz w:val="24"/>
          <w:highlight w:val="none"/>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4.4</w:t>
      </w:r>
      <w:r>
        <w:rPr>
          <w:rFonts w:hint="eastAsia" w:ascii="宋体" w:hAnsi="宋体"/>
          <w:b/>
          <w:bCs/>
          <w:color w:val="auto"/>
          <w:sz w:val="24"/>
          <w:highlight w:val="none"/>
        </w:rPr>
        <w:t xml:space="preserve"> 迟交的投标文件</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4.4</w:t>
      </w:r>
      <w:r>
        <w:rPr>
          <w:rFonts w:hint="eastAsia" w:ascii="宋体" w:hAnsi="宋体"/>
          <w:color w:val="auto"/>
          <w:sz w:val="24"/>
          <w:highlight w:val="none"/>
        </w:rPr>
        <w:t>.1投标截止时间到达后，电子评标系统将不允许投标人上传投标文件。</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4.5</w:t>
      </w:r>
      <w:r>
        <w:rPr>
          <w:rFonts w:hint="eastAsia" w:ascii="宋体" w:hAnsi="宋体"/>
          <w:b/>
          <w:bCs/>
          <w:color w:val="auto"/>
          <w:sz w:val="24"/>
          <w:highlight w:val="none"/>
        </w:rPr>
        <w:t xml:space="preserve"> 投标文件的补充、修改与撤回</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4.5.1投标人在递交投标文件以后，在规定的投标截止时间之前，可以撤回或替换已递交的投标文件。投标截止时间前未完成投标文件传输的，视为投标人撤回投标文件。</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.3 在投标截止时间之后，投标人不得补充、修改和更换投标文件。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4.6</w:t>
      </w:r>
      <w:r>
        <w:rPr>
          <w:rFonts w:hint="eastAsia" w:ascii="宋体" w:hAnsi="宋体"/>
          <w:b/>
          <w:color w:val="auto"/>
          <w:sz w:val="24"/>
          <w:highlight w:val="none"/>
        </w:rPr>
        <w:t xml:space="preserve"> 投标信息录入</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4.6</w:t>
      </w:r>
      <w:r>
        <w:rPr>
          <w:rFonts w:hint="eastAsia" w:ascii="宋体" w:hAnsi="宋体"/>
          <w:color w:val="auto"/>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4.7</w:t>
      </w:r>
      <w:r>
        <w:rPr>
          <w:rFonts w:hint="eastAsia" w:ascii="宋体" w:hAnsi="宋体"/>
          <w:b/>
          <w:color w:val="auto"/>
          <w:sz w:val="24"/>
          <w:highlight w:val="none"/>
        </w:rPr>
        <w:t xml:space="preserve"> 投标文件的解密</w:t>
      </w:r>
    </w:p>
    <w:p>
      <w:pPr>
        <w:tabs>
          <w:tab w:val="left" w:pos="105"/>
        </w:tabs>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4.7.1在投标截止时间后30分钟内为投标人投标文件解密时间（注：由招标人自行选择60分钟或30分钟），投标人通过广州公共资源交易平台对已递交的电子投标文件进行解密。</w:t>
      </w:r>
    </w:p>
    <w:p>
      <w:pPr>
        <w:pStyle w:val="17"/>
        <w:spacing w:line="360" w:lineRule="auto"/>
        <w:ind w:firstLine="480" w:firstLineChars="200"/>
        <w:rPr>
          <w:color w:val="auto"/>
          <w:highlight w:val="none"/>
          <w:u w:val="single"/>
        </w:rPr>
      </w:pPr>
      <w:r>
        <w:rPr>
          <w:rFonts w:hint="eastAsia" w:ascii="宋体" w:hAnsi="宋体"/>
          <w:color w:val="auto"/>
          <w:sz w:val="24"/>
          <w:szCs w:val="24"/>
          <w:highlight w:val="none"/>
          <w:u w:val="single"/>
        </w:rPr>
        <w:t>4.7.2电子投标文件解密应按照广州公共资源交易平台关于全流程电子化项目的相关指南进行操作。</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（五）开标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5.1 开标时间和地点</w:t>
      </w:r>
    </w:p>
    <w:p>
      <w:pPr>
        <w:tabs>
          <w:tab w:val="left" w:pos="105"/>
        </w:tabs>
        <w:spacing w:line="360" w:lineRule="auto"/>
        <w:ind w:firstLine="480" w:firstLineChars="200"/>
        <w:rPr>
          <w:rFonts w:ascii="宋体" w:hAnsi="宋体" w:cs="仿宋_GB2312"/>
          <w:color w:val="auto"/>
          <w:sz w:val="24"/>
          <w:szCs w:val="24"/>
          <w:highlight w:val="none"/>
          <w:u w:val="single"/>
        </w:rPr>
      </w:pPr>
      <w:r>
        <w:rPr>
          <w:rFonts w:hint="eastAsia" w:ascii="宋体" w:hAnsi="宋体" w:cs="仿宋_GB2312"/>
          <w:color w:val="auto"/>
          <w:sz w:val="24"/>
          <w:szCs w:val="24"/>
          <w:highlight w:val="none"/>
          <w:u w:val="single"/>
        </w:rPr>
        <w:t>投标人在本章第4.2.1款规定的投标截止时间（开标时间）和投标人须知前附表规定的地点公开开标，并邀请所有投标人的法定代表人或其委托代理人准时参加。若投标人不派代表出席开标会，其投标文件在开标现场的投标人或招标人代表、招标代理机构代表及交易中心代表见证下公开开启、解密、公布，并视同该投标人认可开标结果。截标后，开标开始时间因故推迟的，相关评标信息仍以原定的开标开始时间的信息为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5.2 开标程序</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5.2.2唱标前公开摇取评标基准价下浮率（下浮率取值范围在2%~5%，按0.5%设定级差）（</w:t>
      </w:r>
      <w:r>
        <w:rPr>
          <w:rFonts w:hint="eastAsia" w:ascii="宋体" w:hAnsi="宋体"/>
          <w:color w:val="auto"/>
          <w:sz w:val="24"/>
          <w:szCs w:val="24"/>
          <w:highlight w:val="none"/>
        </w:rPr>
        <w:t>经评审的最低投标价法</w:t>
      </w:r>
      <w:r>
        <w:rPr>
          <w:rFonts w:hint="eastAsia" w:ascii="宋体" w:hAnsi="宋体" w:cs="仿宋_GB2312"/>
          <w:color w:val="auto"/>
          <w:sz w:val="24"/>
          <w:szCs w:val="24"/>
          <w:highlight w:val="none"/>
        </w:rPr>
        <w:t>不需要摇评标基准价下浮率）。</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5.2.3 招标人在招标文件要求的递交投标文件截止时间前收到的投标文件，在开标前未完成投标人解密的，其</w:t>
      </w:r>
      <w:r>
        <w:rPr>
          <w:rFonts w:hint="eastAsia" w:ascii="宋体" w:hAnsi="宋体"/>
          <w:color w:val="auto"/>
          <w:sz w:val="24"/>
          <w:szCs w:val="24"/>
          <w:highlight w:val="none"/>
        </w:rPr>
        <w:t>视为投标人放弃投标。</w:t>
      </w:r>
    </w:p>
    <w:p>
      <w:pPr>
        <w:tabs>
          <w:tab w:val="left" w:pos="105"/>
        </w:tabs>
        <w:spacing w:line="360" w:lineRule="auto"/>
        <w:ind w:firstLine="480" w:firstLineChars="200"/>
        <w:rPr>
          <w:rFonts w:ascii="宋体" w:hAnsi="宋体" w:cs="仿宋_GB2312"/>
          <w:color w:val="auto"/>
          <w:sz w:val="24"/>
          <w:szCs w:val="24"/>
          <w:highlight w:val="none"/>
          <w:u w:val="single"/>
        </w:rPr>
      </w:pPr>
      <w:r>
        <w:rPr>
          <w:rFonts w:hint="eastAsia" w:ascii="宋体" w:hAnsi="宋体" w:cs="仿宋_GB2312"/>
          <w:color w:val="auto"/>
          <w:sz w:val="24"/>
          <w:szCs w:val="24"/>
          <w:highlight w:val="none"/>
          <w:u w:val="single"/>
        </w:rPr>
        <w:t>5.2.3招标人在招标文件要求的递交投标文件截止时间前收到的投标文件，投标人在递交投标文件截止时间后30分钟内未完成投标人解密的，其视为投标人放弃投标。</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5.2.5招标人完成解密后按开标记录表规定的内容进行唱标。</w:t>
      </w:r>
    </w:p>
    <w:p>
      <w:pPr>
        <w:pStyle w:val="40"/>
        <w:spacing w:after="0" w:line="360" w:lineRule="auto"/>
        <w:ind w:firstLine="480" w:firstLineChars="200"/>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5.2.6参加</w:t>
      </w:r>
      <w:r>
        <w:rPr>
          <w:rFonts w:ascii="宋体" w:hAnsi="宋体" w:eastAsia="宋体" w:cs="仿宋_GB2312"/>
          <w:color w:val="auto"/>
          <w:kern w:val="2"/>
          <w:sz w:val="24"/>
          <w:szCs w:val="24"/>
          <w:highlight w:val="none"/>
        </w:rPr>
        <w:t>在线开标的</w:t>
      </w:r>
      <w:r>
        <w:rPr>
          <w:rFonts w:hint="eastAsia" w:ascii="宋体" w:hAnsi="宋体" w:eastAsia="宋体" w:cs="仿宋_GB2312"/>
          <w:color w:val="auto"/>
          <w:kern w:val="2"/>
          <w:sz w:val="24"/>
          <w:szCs w:val="24"/>
          <w:highlight w:val="none"/>
        </w:rPr>
        <w:t>投标人对开标结果有异议的，应当在唱标</w:t>
      </w:r>
      <w:r>
        <w:rPr>
          <w:rFonts w:ascii="宋体" w:hAnsi="宋体" w:eastAsia="宋体" w:cs="仿宋_GB2312"/>
          <w:color w:val="auto"/>
          <w:kern w:val="2"/>
          <w:sz w:val="24"/>
          <w:szCs w:val="24"/>
          <w:highlight w:val="none"/>
        </w:rPr>
        <w:t>结束后</w:t>
      </w:r>
      <w:r>
        <w:rPr>
          <w:rFonts w:hint="eastAsia" w:ascii="宋体" w:hAnsi="宋体" w:eastAsia="宋体" w:cs="仿宋_GB2312"/>
          <w:color w:val="auto"/>
          <w:kern w:val="2"/>
          <w:sz w:val="24"/>
          <w:szCs w:val="24"/>
          <w:highlight w:val="none"/>
        </w:rPr>
        <w:t>的规定</w:t>
      </w:r>
      <w:r>
        <w:rPr>
          <w:rFonts w:ascii="宋体" w:hAnsi="宋体" w:eastAsia="宋体" w:cs="仿宋_GB2312"/>
          <w:color w:val="auto"/>
          <w:kern w:val="2"/>
          <w:sz w:val="24"/>
          <w:szCs w:val="24"/>
          <w:highlight w:val="none"/>
        </w:rPr>
        <w:t>时间内</w:t>
      </w:r>
      <w:r>
        <w:rPr>
          <w:rFonts w:hint="eastAsia" w:ascii="宋体" w:hAnsi="宋体" w:eastAsia="宋体" w:cs="仿宋_GB2312"/>
          <w:color w:val="auto"/>
          <w:kern w:val="2"/>
          <w:sz w:val="24"/>
          <w:szCs w:val="24"/>
          <w:highlight w:val="none"/>
        </w:rPr>
        <w:t>、</w:t>
      </w:r>
      <w:r>
        <w:rPr>
          <w:rFonts w:ascii="宋体" w:hAnsi="宋体" w:eastAsia="宋体" w:cs="仿宋_GB2312"/>
          <w:color w:val="auto"/>
          <w:kern w:val="2"/>
          <w:sz w:val="24"/>
          <w:szCs w:val="24"/>
          <w:highlight w:val="none"/>
        </w:rPr>
        <w:t>使用单位数字证书登录交易平台后通过交易平台提出。</w:t>
      </w:r>
      <w:r>
        <w:rPr>
          <w:rFonts w:hint="eastAsia" w:ascii="宋体" w:hAnsi="宋体" w:eastAsia="宋体" w:cs="仿宋_GB2312"/>
          <w:color w:val="auto"/>
          <w:kern w:val="2"/>
          <w:sz w:val="24"/>
          <w:szCs w:val="24"/>
          <w:highlight w:val="none"/>
        </w:rPr>
        <w:t>招标人</w:t>
      </w:r>
      <w:r>
        <w:rPr>
          <w:rFonts w:ascii="宋体" w:hAnsi="宋体" w:eastAsia="宋体" w:cs="仿宋_GB2312"/>
          <w:color w:val="auto"/>
          <w:kern w:val="2"/>
          <w:sz w:val="24"/>
          <w:szCs w:val="24"/>
          <w:highlight w:val="none"/>
        </w:rPr>
        <w:t>授权招标代理机构</w:t>
      </w:r>
      <w:r>
        <w:rPr>
          <w:rFonts w:hint="eastAsia" w:ascii="宋体" w:hAnsi="宋体" w:eastAsia="宋体" w:cs="仿宋_GB2312"/>
          <w:color w:val="auto"/>
          <w:kern w:val="2"/>
          <w:sz w:val="24"/>
          <w:szCs w:val="24"/>
          <w:highlight w:val="none"/>
        </w:rPr>
        <w:t>工作</w:t>
      </w:r>
      <w:r>
        <w:rPr>
          <w:rFonts w:ascii="宋体" w:hAnsi="宋体" w:eastAsia="宋体" w:cs="仿宋_GB2312"/>
          <w:color w:val="auto"/>
          <w:kern w:val="2"/>
          <w:sz w:val="24"/>
          <w:szCs w:val="24"/>
          <w:highlight w:val="none"/>
        </w:rPr>
        <w:t>人员使用</w:t>
      </w:r>
      <w:r>
        <w:rPr>
          <w:rFonts w:hint="eastAsia" w:ascii="宋体" w:hAnsi="宋体" w:eastAsia="宋体" w:cs="仿宋_GB2312"/>
          <w:color w:val="auto"/>
          <w:kern w:val="2"/>
          <w:sz w:val="24"/>
          <w:szCs w:val="24"/>
          <w:highlight w:val="none"/>
        </w:rPr>
        <w:t>招标</w:t>
      </w:r>
      <w:r>
        <w:rPr>
          <w:rFonts w:ascii="宋体" w:hAnsi="宋体" w:eastAsia="宋体" w:cs="仿宋_GB2312"/>
          <w:color w:val="auto"/>
          <w:kern w:val="2"/>
          <w:sz w:val="24"/>
          <w:szCs w:val="24"/>
          <w:highlight w:val="none"/>
        </w:rPr>
        <w:t>代理机构数字证书登录交易平台答复异议，异议答复是招标人真实意</w:t>
      </w:r>
      <w:r>
        <w:rPr>
          <w:rFonts w:hint="eastAsia" w:ascii="宋体" w:hAnsi="宋体" w:eastAsia="宋体" w:cs="仿宋_GB2312"/>
          <w:color w:val="auto"/>
          <w:kern w:val="2"/>
          <w:sz w:val="24"/>
          <w:szCs w:val="24"/>
          <w:highlight w:val="none"/>
        </w:rPr>
        <w:t>思表示</w:t>
      </w:r>
      <w:r>
        <w:rPr>
          <w:rFonts w:ascii="宋体" w:hAnsi="宋体" w:eastAsia="宋体" w:cs="仿宋_GB2312"/>
          <w:color w:val="auto"/>
          <w:kern w:val="2"/>
          <w:sz w:val="24"/>
          <w:szCs w:val="24"/>
          <w:highlight w:val="none"/>
        </w:rPr>
        <w:t>。</w:t>
      </w:r>
      <w:r>
        <w:rPr>
          <w:rFonts w:hint="eastAsia" w:ascii="宋体" w:hAnsi="宋体" w:eastAsia="宋体" w:cs="仿宋_GB2312"/>
          <w:color w:val="auto"/>
          <w:kern w:val="2"/>
          <w:sz w:val="24"/>
          <w:szCs w:val="24"/>
          <w:highlight w:val="none"/>
        </w:rPr>
        <w:t>未答复</w:t>
      </w:r>
      <w:r>
        <w:rPr>
          <w:rFonts w:ascii="宋体" w:hAnsi="宋体" w:eastAsia="宋体" w:cs="仿宋_GB2312"/>
          <w:color w:val="auto"/>
          <w:kern w:val="2"/>
          <w:sz w:val="24"/>
          <w:szCs w:val="24"/>
          <w:highlight w:val="none"/>
        </w:rPr>
        <w:t>的，开标程序不得结束。</w:t>
      </w:r>
    </w:p>
    <w:p>
      <w:pPr>
        <w:pStyle w:val="40"/>
        <w:spacing w:after="0" w:line="360" w:lineRule="auto"/>
        <w:ind w:firstLine="523" w:firstLineChars="218"/>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5.2.7投标人</w:t>
      </w:r>
      <w:r>
        <w:rPr>
          <w:rFonts w:ascii="宋体" w:hAnsi="宋体" w:eastAsia="宋体" w:cs="仿宋_GB2312"/>
          <w:color w:val="auto"/>
          <w:kern w:val="2"/>
          <w:sz w:val="24"/>
          <w:szCs w:val="24"/>
          <w:highlight w:val="none"/>
        </w:rPr>
        <w:t>未参加开标或在规定的时间内未提出异议的，视为对开标无异议。</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5.2.8参与开标的招标人、招标代理、投标人及有关人员对开标记录表进行签字确认。</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5.2.9投标人没有按要求提供投标保证金的，其投标无效，不参与排序和资格审查。</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5.3 开标异议</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5.3.1投标人对开标有异议的，应当在开标现场提出，招标人当场作出答复，并制作记录。</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tabs>
          <w:tab w:val="left" w:pos="105"/>
        </w:tabs>
        <w:spacing w:line="360" w:lineRule="auto"/>
        <w:ind w:firstLine="480" w:firstLineChars="200"/>
        <w:rPr>
          <w:rFonts w:ascii="宋体" w:hAnsi="宋体" w:cs="仿宋_GB2312"/>
          <w:color w:val="auto"/>
          <w:sz w:val="24"/>
          <w:szCs w:val="24"/>
          <w:highlight w:val="none"/>
          <w:u w:val="single"/>
        </w:rPr>
      </w:pPr>
      <w:r>
        <w:rPr>
          <w:rFonts w:hint="eastAsia" w:ascii="宋体" w:hAnsi="宋体" w:cs="仿宋_GB2312"/>
          <w:color w:val="auto"/>
          <w:sz w:val="24"/>
          <w:szCs w:val="24"/>
          <w:highlight w:val="none"/>
          <w:u w:val="single"/>
        </w:rPr>
        <w:t>5.3.4招标人需将开标异议提交给评标委员会评审确认时，评标委员会须进行评审确认，不得以任何理由拒绝</w:t>
      </w:r>
    </w:p>
    <w:p>
      <w:pPr>
        <w:tabs>
          <w:tab w:val="left" w:pos="105"/>
        </w:tabs>
        <w:spacing w:line="360" w:lineRule="auto"/>
        <w:ind w:firstLine="482" w:firstLineChars="200"/>
        <w:rPr>
          <w:rFonts w:ascii="宋体" w:hAnsi="宋体" w:cs="仿宋_GB2312"/>
          <w:b/>
          <w:color w:val="auto"/>
          <w:sz w:val="24"/>
          <w:szCs w:val="24"/>
          <w:highlight w:val="none"/>
        </w:rPr>
      </w:pPr>
      <w:r>
        <w:rPr>
          <w:rFonts w:ascii="宋体" w:hAnsi="宋体" w:cs="仿宋_GB2312"/>
          <w:b/>
          <w:color w:val="auto"/>
          <w:sz w:val="24"/>
          <w:szCs w:val="24"/>
          <w:highlight w:val="none"/>
        </w:rPr>
        <w:t>5.4开标时，出现下列情形之一的，不参与资格审查和评标：</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.1未成功递交投标文件的；</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.2因投标人原因造成投标文件未解密的；</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.3未按招标文件要求提供投标保证金的；</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w:t>
      </w:r>
      <w:r>
        <w:rPr>
          <w:rFonts w:hint="eastAsia" w:ascii="宋体" w:hAnsi="宋体" w:cs="仿宋_GB2312"/>
          <w:color w:val="auto"/>
          <w:sz w:val="24"/>
          <w:szCs w:val="24"/>
          <w:highlight w:val="none"/>
        </w:rPr>
        <w:t>4</w:t>
      </w:r>
      <w:r>
        <w:rPr>
          <w:rFonts w:ascii="宋体" w:hAnsi="宋体" w:cs="仿宋_GB2312"/>
          <w:color w:val="auto"/>
          <w:sz w:val="24"/>
          <w:szCs w:val="24"/>
          <w:highlight w:val="none"/>
        </w:rPr>
        <w:t>两个（含两个）以上的投标人加密打包投标文件电脑机器码一致的；</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w:t>
      </w:r>
      <w:r>
        <w:rPr>
          <w:rFonts w:hint="eastAsia" w:ascii="宋体" w:hAnsi="宋体" w:cs="仿宋_GB2312"/>
          <w:color w:val="auto"/>
          <w:sz w:val="24"/>
          <w:szCs w:val="24"/>
          <w:highlight w:val="none"/>
        </w:rPr>
        <w:t>5</w:t>
      </w:r>
      <w:r>
        <w:rPr>
          <w:rFonts w:ascii="宋体" w:hAnsi="宋体" w:cs="仿宋_GB2312"/>
          <w:color w:val="auto"/>
          <w:sz w:val="24"/>
          <w:szCs w:val="24"/>
          <w:highlight w:val="none"/>
        </w:rPr>
        <w:t>项目负责人和安全员为同一人的；</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w:t>
      </w:r>
      <w:r>
        <w:rPr>
          <w:rFonts w:hint="eastAsia" w:ascii="宋体" w:hAnsi="宋体" w:cs="仿宋_GB2312"/>
          <w:color w:val="auto"/>
          <w:sz w:val="24"/>
          <w:szCs w:val="24"/>
          <w:highlight w:val="none"/>
        </w:rPr>
        <w:t>6</w:t>
      </w:r>
      <w:r>
        <w:rPr>
          <w:rFonts w:ascii="宋体" w:hAnsi="宋体" w:cs="仿宋_GB2312"/>
          <w:color w:val="auto"/>
          <w:sz w:val="24"/>
          <w:szCs w:val="24"/>
          <w:highlight w:val="none"/>
        </w:rPr>
        <w:t>投标文件中的投标人企业名称、项目负责人、专职安全员与投标登记时的信息不一致的。</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（六）评标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6.1 评标委员会</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6.1.2 评标委员会成员有下列情形之一的，应当回避：</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（2）项目主管部门或者行政监督部门的人员；</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（3）与投标人有经济利益关系，可能影响对投标公正评审的；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（4）曾因在招标、评标以及其他与招标投标有关活动中从事违法行为而受过行政处罚或刑事处罚的。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（5）与投标人有其他利害关系。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6.2 评标原则</w:t>
      </w:r>
      <w:r>
        <w:rPr>
          <w:rFonts w:hint="eastAsia" w:ascii="宋体" w:hAnsi="宋体"/>
          <w:b/>
          <w:color w:val="auto"/>
          <w:sz w:val="24"/>
          <w:highlight w:val="none"/>
        </w:rPr>
        <w:tab/>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评标活动遵循公平、公正、科学和择优的原则。</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6.3 评标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（七）合同授予</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7.1 定标方式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招标人根据评标委员会推荐的中标候选人确定中标人，评标委员会推荐中标候选人的人数为3个。</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7.2 中标候选人公示</w:t>
      </w:r>
    </w:p>
    <w:p>
      <w:pPr>
        <w:spacing w:line="360" w:lineRule="auto"/>
        <w:ind w:firstLine="480" w:firstLineChars="200"/>
        <w:jc w:val="left"/>
        <w:rPr>
          <w:color w:val="auto"/>
          <w:sz w:val="24"/>
          <w:highlight w:val="none"/>
        </w:rPr>
      </w:pPr>
      <w:r>
        <w:rPr>
          <w:rFonts w:hint="eastAsia"/>
          <w:color w:val="auto"/>
          <w:sz w:val="24"/>
          <w:highlight w:val="none"/>
        </w:rPr>
        <w:t>7.2.1招标人在《投标人须知前附表》规定的媒介公示中标候选人，公示期为三天，最后一天应为工作日。</w:t>
      </w:r>
    </w:p>
    <w:p>
      <w:pPr>
        <w:snapToGrid w:val="0"/>
        <w:spacing w:line="360" w:lineRule="auto"/>
        <w:ind w:firstLine="480" w:firstLineChars="200"/>
        <w:rPr>
          <w:color w:val="auto"/>
          <w:sz w:val="24"/>
          <w:highlight w:val="none"/>
          <w:u w:val="single"/>
        </w:rPr>
      </w:pPr>
      <w:r>
        <w:rPr>
          <w:rFonts w:hint="eastAsia"/>
          <w:color w:val="auto"/>
          <w:sz w:val="24"/>
          <w:highlight w:val="none"/>
          <w:u w:val="single"/>
        </w:rPr>
        <w:t>7.2.2中标候选人公示时，招标人将同时公示中标候选人的投标文件商务部分文件的所有内容（包括人员、业绩、奖项等资料）。中标候选人在收到招标代理通知后需提供一份 PDF 格式电子文档给招标人用于中标候选人公示，PDF 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napToGrid w:val="0"/>
        <w:spacing w:line="360" w:lineRule="auto"/>
        <w:ind w:firstLine="480" w:firstLineChars="200"/>
        <w:rPr>
          <w:color w:val="auto"/>
          <w:sz w:val="24"/>
          <w:highlight w:val="none"/>
        </w:rPr>
      </w:pPr>
      <w:r>
        <w:rPr>
          <w:rFonts w:hint="eastAsia"/>
          <w:color w:val="auto"/>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7.3 中标通知</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在法规规定的时间内，招标人以书面形式向中标人发出中标通知书。</w:t>
      </w:r>
      <w:r>
        <w:rPr>
          <w:rFonts w:hint="eastAsia"/>
          <w:color w:val="auto"/>
          <w:sz w:val="24"/>
          <w:highlight w:val="none"/>
        </w:rPr>
        <w:t>在</w:t>
      </w:r>
      <w:r>
        <w:rPr>
          <w:rFonts w:hint="eastAsia" w:ascii="宋体" w:hAnsi="宋体"/>
          <w:color w:val="auto"/>
          <w:sz w:val="24"/>
          <w:szCs w:val="24"/>
          <w:highlight w:val="none"/>
        </w:rPr>
        <w:t>广州公共资源交易网</w:t>
      </w:r>
      <w:r>
        <w:rPr>
          <w:rFonts w:hint="eastAsia"/>
          <w:color w:val="auto"/>
          <w:sz w:val="24"/>
          <w:highlight w:val="none"/>
        </w:rPr>
        <w:t>发布中标信息，视同将中标结果通知未中标的投标人。</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7.4 履约担保</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3%。</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7.5 签订合同</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7.5.2 发出中标通知书后，招标人无正当理由拒签合同的，招标人向中标人退还投标保证金；给中标人造成损失的，还应当赔偿损失。</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（八）重新招标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8.1 重新招标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有下列情形之一的，招标人将重新招标；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（1）投标截止时间止，投标人少于3个的；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（2）经评标委员会评审后否决所有投标的；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（3）资审合格的投标人少于3家或经评审有效标少于3家的；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（4）同意延长投标有效期的投标人少于3个的；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（5）中标候选人均未与招标人签订合同的。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hint="eastAsia"/>
          <w:color w:val="auto"/>
          <w:sz w:val="24"/>
          <w:highlight w:val="none"/>
        </w:rPr>
        <w:t>当N个标段同时招标且不允许兼中时，若有效投标人不足N+2家，则重新组织招标</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（九）纪律和监督</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9.1对招标人的纪律要求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9.2 对投标人的纪律要求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9.3 对评标委员会成员的纪律要求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9.4 对与评标活动有关的工作人员的纪律要求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9.5 投诉</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（十）需要补充的其他内容</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10.1</w:t>
      </w:r>
      <w:r>
        <w:rPr>
          <w:rFonts w:hint="eastAsia" w:ascii="宋体" w:hAnsi="宋体"/>
          <w:color w:val="auto"/>
          <w:sz w:val="24"/>
          <w:highlight w:val="none"/>
        </w:rPr>
        <w:t>需要补充的其他内容：见投标人须知前附表。</w:t>
      </w:r>
    </w:p>
    <w:p>
      <w:pPr>
        <w:spacing w:line="400" w:lineRule="exact"/>
        <w:ind w:firstLine="537" w:firstLineChars="224"/>
        <w:rPr>
          <w:rFonts w:ascii="宋体" w:hAnsi="宋体"/>
          <w:color w:val="auto"/>
          <w:sz w:val="24"/>
          <w:szCs w:val="24"/>
          <w:highlight w:val="none"/>
          <w:u w:val="single"/>
        </w:rPr>
      </w:pPr>
    </w:p>
    <w:p>
      <w:pPr>
        <w:spacing w:line="400" w:lineRule="exact"/>
        <w:jc w:val="left"/>
        <w:outlineLvl w:val="2"/>
        <w:rPr>
          <w:color w:val="auto"/>
          <w:sz w:val="24"/>
          <w:highlight w:val="none"/>
        </w:rPr>
        <w:sectPr>
          <w:footerReference r:id="rId3" w:type="default"/>
          <w:pgSz w:w="11906" w:h="16838"/>
          <w:pgMar w:top="1134" w:right="1134" w:bottom="1134" w:left="1134" w:header="851" w:footer="737" w:gutter="0"/>
          <w:pgNumType w:start="1"/>
          <w:cols w:space="720" w:num="1"/>
          <w:docGrid w:linePitch="312" w:charSpace="0"/>
        </w:sectPr>
      </w:pPr>
    </w:p>
    <w:p>
      <w:pPr>
        <w:spacing w:line="400" w:lineRule="exact"/>
        <w:jc w:val="left"/>
        <w:outlineLvl w:val="2"/>
        <w:rPr>
          <w:rFonts w:ascii="黑体" w:hAnsi="黑体" w:eastAsia="黑体"/>
          <w:color w:val="auto"/>
          <w:sz w:val="28"/>
          <w:szCs w:val="27"/>
          <w:highlight w:val="none"/>
        </w:rPr>
      </w:pPr>
      <w:bookmarkStart w:id="31" w:name="_Toc21787683"/>
      <w:bookmarkEnd w:id="31"/>
      <w:bookmarkStart w:id="32" w:name="_Toc29187"/>
      <w:bookmarkEnd w:id="32"/>
      <w:bookmarkStart w:id="33" w:name="_Toc29773"/>
      <w:r>
        <w:rPr>
          <w:rFonts w:hint="eastAsia" w:ascii="黑体" w:hAnsi="黑体" w:eastAsia="黑体"/>
          <w:color w:val="auto"/>
          <w:sz w:val="28"/>
          <w:szCs w:val="27"/>
          <w:highlight w:val="none"/>
        </w:rPr>
        <w:t>附件1：开标记录表</w:t>
      </w:r>
      <w:bookmarkEnd w:id="33"/>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（项目名称）开标记录表</w:t>
      </w:r>
    </w:p>
    <w:p>
      <w:pPr>
        <w:spacing w:line="400" w:lineRule="exact"/>
        <w:rPr>
          <w:rFonts w:ascii="宋体" w:hAnsi="宋体"/>
          <w:color w:val="auto"/>
          <w:highlight w:val="none"/>
        </w:rPr>
      </w:pPr>
      <w:r>
        <w:rPr>
          <w:rFonts w:hint="eastAsia" w:ascii="宋体" w:hAnsi="宋体"/>
          <w:color w:val="auto"/>
          <w:szCs w:val="21"/>
          <w:highlight w:val="none"/>
        </w:rPr>
        <w:t>评标基准价下浮率：                开标时间：  年   月   日   时  分</w:t>
      </w:r>
    </w:p>
    <w:tbl>
      <w:tblPr>
        <w:tblStyle w:val="42"/>
        <w:tblW w:w="0" w:type="auto"/>
        <w:tblInd w:w="0" w:type="dxa"/>
        <w:tblLayout w:type="fixed"/>
        <w:tblCellMar>
          <w:top w:w="0" w:type="dxa"/>
          <w:left w:w="108" w:type="dxa"/>
          <w:bottom w:w="0" w:type="dxa"/>
          <w:right w:w="108" w:type="dxa"/>
        </w:tblCellMar>
      </w:tblPr>
      <w:tblGrid>
        <w:gridCol w:w="392"/>
        <w:gridCol w:w="2126"/>
        <w:gridCol w:w="851"/>
        <w:gridCol w:w="1134"/>
        <w:gridCol w:w="1278"/>
        <w:gridCol w:w="1418"/>
        <w:gridCol w:w="991"/>
        <w:gridCol w:w="1134"/>
        <w:gridCol w:w="1132"/>
        <w:gridCol w:w="1132"/>
        <w:gridCol w:w="1172"/>
        <w:gridCol w:w="1564"/>
      </w:tblGrid>
      <w:tr>
        <w:tblPrEx>
          <w:tblCellMar>
            <w:top w:w="0" w:type="dxa"/>
            <w:left w:w="108" w:type="dxa"/>
            <w:bottom w:w="0" w:type="dxa"/>
            <w:right w:w="108" w:type="dxa"/>
          </w:tblCellMar>
        </w:tblPrEx>
        <w:trPr>
          <w:trHeight w:val="2003" w:hRule="atLeast"/>
        </w:trPr>
        <w:tc>
          <w:tcPr>
            <w:tcW w:w="392"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2126"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投标人</w:t>
            </w:r>
          </w:p>
        </w:tc>
        <w:tc>
          <w:tcPr>
            <w:tcW w:w="851"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解密情况</w:t>
            </w:r>
          </w:p>
        </w:tc>
        <w:tc>
          <w:tcPr>
            <w:tcW w:w="1134"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投标保证金</w:t>
            </w:r>
          </w:p>
        </w:tc>
        <w:tc>
          <w:tcPr>
            <w:tcW w:w="1278"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投标报价（元）</w:t>
            </w:r>
          </w:p>
        </w:tc>
        <w:tc>
          <w:tcPr>
            <w:tcW w:w="1418"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标准</w:t>
            </w:r>
          </w:p>
        </w:tc>
        <w:tc>
          <w:tcPr>
            <w:tcW w:w="991"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u w:val="single"/>
              </w:rPr>
            </w:pPr>
            <w:r>
              <w:rPr>
                <w:rFonts w:ascii="宋体" w:hAnsi="宋体"/>
                <w:color w:val="auto"/>
                <w:szCs w:val="21"/>
                <w:highlight w:val="none"/>
                <w:u w:val="single"/>
              </w:rPr>
              <w:t>工期</w:t>
            </w:r>
            <w:r>
              <w:rPr>
                <w:rFonts w:hint="eastAsia" w:ascii="宋体" w:hAnsi="宋体"/>
                <w:color w:val="auto"/>
                <w:szCs w:val="21"/>
                <w:highlight w:val="none"/>
                <w:u w:val="single"/>
              </w:rPr>
              <w:t>（日历天）</w:t>
            </w:r>
          </w:p>
        </w:tc>
        <w:tc>
          <w:tcPr>
            <w:tcW w:w="1134"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项目负责人投报登记时</w:t>
            </w:r>
          </w:p>
        </w:tc>
        <w:tc>
          <w:tcPr>
            <w:tcW w:w="1132"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项目负责人投标时</w:t>
            </w:r>
          </w:p>
        </w:tc>
        <w:tc>
          <w:tcPr>
            <w:tcW w:w="1132"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专职安全员投报登记时</w:t>
            </w:r>
          </w:p>
        </w:tc>
        <w:tc>
          <w:tcPr>
            <w:tcW w:w="1172"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专职安全员投标时</w:t>
            </w:r>
          </w:p>
        </w:tc>
        <w:tc>
          <w:tcPr>
            <w:tcW w:w="1564" w:type="dxa"/>
            <w:tcBorders>
              <w:top w:val="single" w:color="auto" w:sz="4" w:space="0"/>
              <w:left w:val="single" w:color="auto" w:sz="4" w:space="0"/>
              <w:right w:val="single" w:color="auto" w:sz="4" w:space="0"/>
            </w:tcBorders>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39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172"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r>
      <w:tr>
        <w:tblPrEx>
          <w:tblCellMar>
            <w:top w:w="0" w:type="dxa"/>
            <w:left w:w="108" w:type="dxa"/>
            <w:bottom w:w="0" w:type="dxa"/>
            <w:right w:w="108" w:type="dxa"/>
          </w:tblCellMar>
        </w:tblPrEx>
        <w:tc>
          <w:tcPr>
            <w:tcW w:w="5781"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宋体" w:hAnsi="宋体"/>
                <w:color w:val="auto"/>
                <w:szCs w:val="21"/>
                <w:highlight w:val="none"/>
              </w:rPr>
            </w:pPr>
            <w:r>
              <w:rPr>
                <w:rFonts w:ascii="宋体" w:hAnsi="宋体"/>
                <w:color w:val="auto"/>
                <w:szCs w:val="21"/>
                <w:highlight w:val="none"/>
              </w:rPr>
              <w:t>招标人编制</w:t>
            </w:r>
            <w:r>
              <w:rPr>
                <w:rFonts w:hint="eastAsia" w:ascii="宋体" w:hAnsi="宋体"/>
                <w:color w:val="auto"/>
                <w:szCs w:val="21"/>
                <w:highlight w:val="none"/>
              </w:rPr>
              <w:t>最高投标限价（单位：元）</w:t>
            </w:r>
          </w:p>
        </w:tc>
        <w:tc>
          <w:tcPr>
            <w:tcW w:w="8543" w:type="dxa"/>
            <w:gridSpan w:val="7"/>
            <w:tcBorders>
              <w:top w:val="single" w:color="auto" w:sz="4" w:space="0"/>
              <w:left w:val="single" w:color="auto" w:sz="4" w:space="0"/>
              <w:bottom w:val="single" w:color="auto" w:sz="4" w:space="0"/>
              <w:right w:val="single" w:color="auto" w:sz="4" w:space="0"/>
            </w:tcBorders>
            <w:noWrap/>
          </w:tcPr>
          <w:p>
            <w:pPr>
              <w:spacing w:line="400" w:lineRule="exact"/>
              <w:jc w:val="left"/>
              <w:rPr>
                <w:rFonts w:ascii="宋体" w:hAnsi="宋体"/>
                <w:color w:val="auto"/>
                <w:szCs w:val="21"/>
                <w:highlight w:val="none"/>
              </w:rPr>
            </w:pPr>
          </w:p>
        </w:tc>
      </w:tr>
    </w:tbl>
    <w:p>
      <w:pPr>
        <w:spacing w:line="400" w:lineRule="exact"/>
        <w:rPr>
          <w:color w:val="auto"/>
          <w:highlight w:val="none"/>
        </w:rPr>
      </w:pPr>
    </w:p>
    <w:p>
      <w:pPr>
        <w:spacing w:line="400" w:lineRule="exact"/>
        <w:rPr>
          <w:color w:val="auto"/>
          <w:highlight w:val="none"/>
          <w:u w:val="single"/>
        </w:rPr>
      </w:pPr>
      <w:r>
        <w:rPr>
          <w:rFonts w:hint="eastAsia"/>
          <w:color w:val="auto"/>
          <w:highlight w:val="none"/>
        </w:rPr>
        <w:t>招标人代表：            记录人：</w:t>
      </w:r>
    </w:p>
    <w:p>
      <w:pPr>
        <w:spacing w:line="400" w:lineRule="exact"/>
        <w:jc w:val="right"/>
        <w:rPr>
          <w:color w:val="auto"/>
          <w:highlight w:val="none"/>
          <w:u w:val="single"/>
        </w:rPr>
      </w:pPr>
      <w:r>
        <w:rPr>
          <w:rFonts w:hint="eastAsia"/>
          <w:color w:val="auto"/>
          <w:highlight w:val="none"/>
        </w:rPr>
        <w:t>年    月    日</w:t>
      </w:r>
    </w:p>
    <w:p>
      <w:pPr>
        <w:spacing w:line="400" w:lineRule="exact"/>
        <w:jc w:val="center"/>
        <w:rPr>
          <w:rFonts w:ascii="宋体" w:hAnsi="宋体"/>
          <w:b/>
          <w:color w:val="auto"/>
          <w:sz w:val="32"/>
          <w:szCs w:val="32"/>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注：本表为参考格式，以广州公共资源交易中心系统为准。</w:t>
      </w:r>
    </w:p>
    <w:p>
      <w:pPr>
        <w:spacing w:line="400" w:lineRule="exact"/>
        <w:rPr>
          <w:rFonts w:ascii="宋体" w:hAnsi="宋体"/>
          <w:color w:val="auto"/>
          <w:szCs w:val="21"/>
          <w:highlight w:val="none"/>
        </w:rPr>
        <w:sectPr>
          <w:pgSz w:w="16838" w:h="11906" w:orient="landscape"/>
          <w:pgMar w:top="1134" w:right="1134" w:bottom="1134" w:left="1134" w:header="851" w:footer="992" w:gutter="0"/>
          <w:cols w:space="720" w:num="1"/>
          <w:docGrid w:linePitch="312" w:charSpace="0"/>
        </w:sectPr>
      </w:pPr>
    </w:p>
    <w:p>
      <w:pPr>
        <w:spacing w:line="400" w:lineRule="exact"/>
        <w:jc w:val="left"/>
        <w:outlineLvl w:val="2"/>
        <w:rPr>
          <w:rFonts w:ascii="黑体" w:hAnsi="黑体" w:eastAsia="黑体"/>
          <w:color w:val="auto"/>
          <w:sz w:val="28"/>
          <w:szCs w:val="27"/>
          <w:highlight w:val="none"/>
        </w:rPr>
      </w:pPr>
      <w:bookmarkStart w:id="34" w:name="_Toc15267"/>
      <w:r>
        <w:rPr>
          <w:rFonts w:hint="eastAsia" w:ascii="黑体" w:hAnsi="黑体" w:eastAsia="黑体"/>
          <w:color w:val="auto"/>
          <w:sz w:val="28"/>
          <w:szCs w:val="27"/>
          <w:highlight w:val="none"/>
        </w:rPr>
        <w:t>附件2：抽取评标基准价的下浮率记录表</w:t>
      </w:r>
      <w:bookmarkEnd w:id="34"/>
    </w:p>
    <w:p>
      <w:pPr>
        <w:spacing w:line="400" w:lineRule="exact"/>
        <w:rPr>
          <w:rFonts w:ascii="宋体" w:hAnsi="宋体"/>
          <w:b/>
          <w:color w:val="auto"/>
          <w:szCs w:val="21"/>
          <w:highlight w:val="none"/>
        </w:rPr>
      </w:pPr>
    </w:p>
    <w:p>
      <w:pPr>
        <w:tabs>
          <w:tab w:val="left" w:pos="720"/>
        </w:tabs>
        <w:snapToGrid w:val="0"/>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抽取评标基准价的下浮率记录表</w:t>
      </w:r>
    </w:p>
    <w:p>
      <w:pPr>
        <w:tabs>
          <w:tab w:val="left" w:pos="720"/>
        </w:tabs>
        <w:snapToGrid w:val="0"/>
        <w:spacing w:line="400" w:lineRule="exact"/>
        <w:jc w:val="left"/>
        <w:rPr>
          <w:rFonts w:ascii="宋体" w:hAnsi="宋体"/>
          <w:color w:val="auto"/>
          <w:sz w:val="24"/>
          <w:highlight w:val="none"/>
        </w:rPr>
      </w:pPr>
      <w:r>
        <w:rPr>
          <w:rFonts w:hint="eastAsia" w:ascii="宋体" w:hAnsi="宋体"/>
          <w:color w:val="auto"/>
          <w:sz w:val="24"/>
          <w:highlight w:val="none"/>
        </w:rPr>
        <w:t>项目名称：</w:t>
      </w:r>
    </w:p>
    <w:p>
      <w:pPr>
        <w:tabs>
          <w:tab w:val="left" w:pos="720"/>
        </w:tabs>
        <w:snapToGrid w:val="0"/>
        <w:spacing w:line="400" w:lineRule="exact"/>
        <w:jc w:val="left"/>
        <w:rPr>
          <w:rFonts w:ascii="宋体" w:hAnsi="宋体"/>
          <w:color w:val="auto"/>
          <w:sz w:val="24"/>
          <w:highlight w:val="none"/>
        </w:rPr>
      </w:pPr>
      <w:r>
        <w:rPr>
          <w:rFonts w:hint="eastAsia" w:ascii="宋体" w:hAnsi="宋体"/>
          <w:color w:val="auto"/>
          <w:sz w:val="24"/>
          <w:highlight w:val="none"/>
        </w:rPr>
        <w:t>开标地点：</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ign w:val="center"/>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球号</w:t>
            </w:r>
          </w:p>
        </w:tc>
        <w:tc>
          <w:tcPr>
            <w:tcW w:w="1534" w:type="dxa"/>
            <w:noWrap/>
            <w:vAlign w:val="center"/>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代表下浮率（%）</w:t>
            </w:r>
          </w:p>
        </w:tc>
        <w:tc>
          <w:tcPr>
            <w:tcW w:w="1619" w:type="dxa"/>
            <w:noWrap/>
            <w:vAlign w:val="center"/>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摇出球号</w:t>
            </w:r>
          </w:p>
        </w:tc>
        <w:tc>
          <w:tcPr>
            <w:tcW w:w="4261" w:type="dxa"/>
            <w:noWrap/>
            <w:vAlign w:val="center"/>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2</w:t>
            </w:r>
          </w:p>
        </w:tc>
        <w:tc>
          <w:tcPr>
            <w:tcW w:w="1619" w:type="dxa"/>
            <w:vMerge w:val="restart"/>
            <w:noWrap/>
          </w:tcPr>
          <w:p>
            <w:pPr>
              <w:tabs>
                <w:tab w:val="left" w:pos="720"/>
              </w:tabs>
              <w:snapToGrid w:val="0"/>
              <w:spacing w:line="400" w:lineRule="exact"/>
              <w:jc w:val="center"/>
              <w:rPr>
                <w:rFonts w:ascii="宋体" w:hAnsi="宋体"/>
                <w:color w:val="auto"/>
                <w:sz w:val="24"/>
                <w:highlight w:val="none"/>
              </w:rPr>
            </w:pPr>
          </w:p>
        </w:tc>
        <w:tc>
          <w:tcPr>
            <w:tcW w:w="4261" w:type="dxa"/>
            <w:vMerge w:val="restart"/>
            <w:noWrap/>
          </w:tcPr>
          <w:p>
            <w:pPr>
              <w:tabs>
                <w:tab w:val="left" w:pos="720"/>
              </w:tabs>
              <w:snapToGrid w:val="0"/>
              <w:spacing w:line="400" w:lineRule="exact"/>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2.5</w:t>
            </w:r>
          </w:p>
        </w:tc>
        <w:tc>
          <w:tcPr>
            <w:tcW w:w="1619" w:type="dxa"/>
            <w:vMerge w:val="continue"/>
            <w:noWrap/>
          </w:tcPr>
          <w:p>
            <w:pPr>
              <w:tabs>
                <w:tab w:val="left" w:pos="720"/>
              </w:tabs>
              <w:snapToGrid w:val="0"/>
              <w:spacing w:line="400" w:lineRule="exact"/>
              <w:jc w:val="center"/>
              <w:rPr>
                <w:rFonts w:ascii="宋体" w:hAnsi="宋体"/>
                <w:color w:val="auto"/>
                <w:sz w:val="24"/>
                <w:highlight w:val="none"/>
              </w:rPr>
            </w:pPr>
          </w:p>
        </w:tc>
        <w:tc>
          <w:tcPr>
            <w:tcW w:w="4261" w:type="dxa"/>
            <w:vMerge w:val="continue"/>
            <w:noWrap/>
          </w:tcPr>
          <w:p>
            <w:pPr>
              <w:tabs>
                <w:tab w:val="left" w:pos="720"/>
              </w:tabs>
              <w:snapToGrid w:val="0"/>
              <w:spacing w:line="400" w:lineRule="exact"/>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3</w:t>
            </w:r>
          </w:p>
        </w:tc>
        <w:tc>
          <w:tcPr>
            <w:tcW w:w="1619" w:type="dxa"/>
            <w:vMerge w:val="continue"/>
            <w:noWrap/>
          </w:tcPr>
          <w:p>
            <w:pPr>
              <w:tabs>
                <w:tab w:val="left" w:pos="720"/>
              </w:tabs>
              <w:snapToGrid w:val="0"/>
              <w:spacing w:line="400" w:lineRule="exact"/>
              <w:jc w:val="center"/>
              <w:rPr>
                <w:rFonts w:ascii="宋体" w:hAnsi="宋体"/>
                <w:color w:val="auto"/>
                <w:sz w:val="24"/>
                <w:highlight w:val="none"/>
              </w:rPr>
            </w:pPr>
          </w:p>
        </w:tc>
        <w:tc>
          <w:tcPr>
            <w:tcW w:w="4261" w:type="dxa"/>
            <w:vMerge w:val="continue"/>
            <w:noWrap/>
          </w:tcPr>
          <w:p>
            <w:pPr>
              <w:tabs>
                <w:tab w:val="left" w:pos="720"/>
              </w:tabs>
              <w:snapToGrid w:val="0"/>
              <w:spacing w:line="400" w:lineRule="exact"/>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3.5</w:t>
            </w:r>
          </w:p>
        </w:tc>
        <w:tc>
          <w:tcPr>
            <w:tcW w:w="1619" w:type="dxa"/>
            <w:vMerge w:val="continue"/>
            <w:noWrap/>
          </w:tcPr>
          <w:p>
            <w:pPr>
              <w:tabs>
                <w:tab w:val="left" w:pos="720"/>
              </w:tabs>
              <w:snapToGrid w:val="0"/>
              <w:spacing w:line="400" w:lineRule="exact"/>
              <w:jc w:val="center"/>
              <w:rPr>
                <w:rFonts w:ascii="宋体" w:hAnsi="宋体"/>
                <w:color w:val="auto"/>
                <w:sz w:val="24"/>
                <w:highlight w:val="none"/>
              </w:rPr>
            </w:pPr>
          </w:p>
        </w:tc>
        <w:tc>
          <w:tcPr>
            <w:tcW w:w="4261" w:type="dxa"/>
            <w:vMerge w:val="continue"/>
            <w:noWrap/>
          </w:tcPr>
          <w:p>
            <w:pPr>
              <w:tabs>
                <w:tab w:val="left" w:pos="720"/>
              </w:tabs>
              <w:snapToGrid w:val="0"/>
              <w:spacing w:line="400" w:lineRule="exact"/>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4</w:t>
            </w:r>
          </w:p>
        </w:tc>
        <w:tc>
          <w:tcPr>
            <w:tcW w:w="1619" w:type="dxa"/>
            <w:vMerge w:val="continue"/>
            <w:noWrap/>
          </w:tcPr>
          <w:p>
            <w:pPr>
              <w:tabs>
                <w:tab w:val="left" w:pos="720"/>
              </w:tabs>
              <w:snapToGrid w:val="0"/>
              <w:spacing w:line="400" w:lineRule="exact"/>
              <w:jc w:val="center"/>
              <w:rPr>
                <w:rFonts w:ascii="宋体" w:hAnsi="宋体"/>
                <w:color w:val="auto"/>
                <w:sz w:val="24"/>
                <w:highlight w:val="none"/>
              </w:rPr>
            </w:pPr>
          </w:p>
        </w:tc>
        <w:tc>
          <w:tcPr>
            <w:tcW w:w="4261" w:type="dxa"/>
            <w:vMerge w:val="continue"/>
            <w:noWrap/>
          </w:tcPr>
          <w:p>
            <w:pPr>
              <w:tabs>
                <w:tab w:val="left" w:pos="720"/>
              </w:tabs>
              <w:snapToGrid w:val="0"/>
              <w:spacing w:line="400" w:lineRule="exact"/>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4.5</w:t>
            </w:r>
          </w:p>
        </w:tc>
        <w:tc>
          <w:tcPr>
            <w:tcW w:w="1619" w:type="dxa"/>
            <w:vMerge w:val="continue"/>
            <w:noWrap/>
          </w:tcPr>
          <w:p>
            <w:pPr>
              <w:tabs>
                <w:tab w:val="left" w:pos="720"/>
              </w:tabs>
              <w:snapToGrid w:val="0"/>
              <w:spacing w:line="400" w:lineRule="exact"/>
              <w:jc w:val="center"/>
              <w:rPr>
                <w:rFonts w:ascii="宋体" w:hAnsi="宋体"/>
                <w:color w:val="auto"/>
                <w:sz w:val="24"/>
                <w:highlight w:val="none"/>
              </w:rPr>
            </w:pPr>
          </w:p>
        </w:tc>
        <w:tc>
          <w:tcPr>
            <w:tcW w:w="4261" w:type="dxa"/>
            <w:vMerge w:val="continue"/>
            <w:noWrap/>
          </w:tcPr>
          <w:p>
            <w:pPr>
              <w:tabs>
                <w:tab w:val="left" w:pos="720"/>
              </w:tabs>
              <w:snapToGrid w:val="0"/>
              <w:spacing w:line="400" w:lineRule="exact"/>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tcPr>
          <w:p>
            <w:pPr>
              <w:tabs>
                <w:tab w:val="left" w:pos="720"/>
              </w:tabs>
              <w:snapToGrid w:val="0"/>
              <w:spacing w:line="400" w:lineRule="exact"/>
              <w:jc w:val="center"/>
              <w:rPr>
                <w:rFonts w:ascii="宋体" w:hAnsi="宋体"/>
                <w:color w:val="auto"/>
                <w:sz w:val="24"/>
                <w:highlight w:val="none"/>
              </w:rPr>
            </w:pPr>
          </w:p>
        </w:tc>
        <w:tc>
          <w:tcPr>
            <w:tcW w:w="1534" w:type="dxa"/>
            <w:noWrap/>
          </w:tcPr>
          <w:p>
            <w:pPr>
              <w:tabs>
                <w:tab w:val="left" w:pos="720"/>
              </w:tabs>
              <w:snapToGrid w:val="0"/>
              <w:spacing w:line="400" w:lineRule="exact"/>
              <w:jc w:val="center"/>
              <w:rPr>
                <w:rFonts w:ascii="宋体" w:hAnsi="宋体"/>
                <w:color w:val="auto"/>
                <w:sz w:val="24"/>
                <w:highlight w:val="none"/>
              </w:rPr>
            </w:pPr>
            <w:r>
              <w:rPr>
                <w:rFonts w:hint="eastAsia" w:ascii="宋体" w:hAnsi="宋体"/>
                <w:color w:val="auto"/>
                <w:sz w:val="24"/>
                <w:highlight w:val="none"/>
              </w:rPr>
              <w:t>5</w:t>
            </w:r>
          </w:p>
        </w:tc>
        <w:tc>
          <w:tcPr>
            <w:tcW w:w="1619" w:type="dxa"/>
            <w:vMerge w:val="continue"/>
            <w:noWrap/>
          </w:tcPr>
          <w:p>
            <w:pPr>
              <w:tabs>
                <w:tab w:val="left" w:pos="720"/>
              </w:tabs>
              <w:snapToGrid w:val="0"/>
              <w:spacing w:line="400" w:lineRule="exact"/>
              <w:jc w:val="center"/>
              <w:rPr>
                <w:rFonts w:ascii="宋体" w:hAnsi="宋体"/>
                <w:color w:val="auto"/>
                <w:sz w:val="24"/>
                <w:highlight w:val="none"/>
              </w:rPr>
            </w:pPr>
          </w:p>
        </w:tc>
        <w:tc>
          <w:tcPr>
            <w:tcW w:w="4261" w:type="dxa"/>
            <w:vMerge w:val="continue"/>
            <w:noWrap/>
          </w:tcPr>
          <w:p>
            <w:pPr>
              <w:tabs>
                <w:tab w:val="left" w:pos="720"/>
              </w:tabs>
              <w:snapToGrid w:val="0"/>
              <w:spacing w:line="400" w:lineRule="exact"/>
              <w:jc w:val="center"/>
              <w:rPr>
                <w:rFonts w:ascii="宋体" w:hAnsi="宋体"/>
                <w:color w:val="auto"/>
                <w:sz w:val="24"/>
                <w:highlight w:val="none"/>
              </w:rPr>
            </w:pPr>
          </w:p>
        </w:tc>
      </w:tr>
    </w:tbl>
    <w:p>
      <w:pPr>
        <w:spacing w:line="400" w:lineRule="exact"/>
        <w:rPr>
          <w:rFonts w:ascii="宋体" w:hAnsi="宋体"/>
          <w:b/>
          <w:color w:val="auto"/>
          <w:szCs w:val="21"/>
          <w:highlight w:val="none"/>
        </w:rPr>
      </w:pPr>
      <w:r>
        <w:rPr>
          <w:rFonts w:hint="eastAsia" w:ascii="宋体" w:hAnsi="宋体"/>
          <w:b/>
          <w:color w:val="auto"/>
          <w:szCs w:val="21"/>
          <w:highlight w:val="none"/>
        </w:rPr>
        <w:t>注：1、计算评标基准价的下浮率从2%、2.5%、3%、3.5%、4%、4.5%、5%中随机抽取</w:t>
      </w:r>
    </w:p>
    <w:p>
      <w:pPr>
        <w:spacing w:line="400" w:lineRule="exact"/>
        <w:rPr>
          <w:rFonts w:ascii="宋体" w:hAnsi="宋体"/>
          <w:color w:val="auto"/>
          <w:szCs w:val="21"/>
          <w:highlight w:val="none"/>
        </w:rPr>
      </w:pPr>
      <w:r>
        <w:rPr>
          <w:rFonts w:hint="eastAsia" w:ascii="宋体" w:hAnsi="宋体"/>
          <w:b/>
          <w:color w:val="auto"/>
          <w:szCs w:val="21"/>
          <w:highlight w:val="none"/>
        </w:rPr>
        <w:t xml:space="preserve">    2、球号根据广州公共资源交易平台提供号球填写，如提供的球为1、2、3、4、5、6、7，则按从小到大的顺序对应填写1、2、3、4、5、6、7；如提供的球号2、2.5、3、3.5、4、4.5、5，则对应填写2、2.5、3、3.5、4、4.5、5。</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 xml:space="preserve">监督人：             </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 xml:space="preserve">招标代理记录人：              </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 xml:space="preserve">招标代理唱标人:               </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 xml:space="preserve">见证人员:              </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 xml:space="preserve"> 日期:     年  月  日</w:t>
      </w:r>
    </w:p>
    <w:p>
      <w:pPr>
        <w:spacing w:line="400" w:lineRule="exact"/>
        <w:rPr>
          <w:color w:val="auto"/>
          <w:szCs w:val="21"/>
          <w:highlight w:val="none"/>
        </w:rPr>
      </w:pPr>
      <w:r>
        <w:rPr>
          <w:rFonts w:ascii="宋体" w:hAnsi="宋体"/>
          <w:color w:val="auto"/>
          <w:szCs w:val="21"/>
          <w:highlight w:val="none"/>
        </w:rPr>
        <w:br w:type="page"/>
      </w:r>
    </w:p>
    <w:p>
      <w:pPr>
        <w:spacing w:line="400" w:lineRule="exact"/>
        <w:jc w:val="left"/>
        <w:outlineLvl w:val="2"/>
        <w:rPr>
          <w:rFonts w:ascii="黑体" w:hAnsi="黑体" w:eastAsia="黑体"/>
          <w:color w:val="auto"/>
          <w:sz w:val="28"/>
          <w:szCs w:val="27"/>
          <w:highlight w:val="none"/>
        </w:rPr>
      </w:pPr>
      <w:bookmarkStart w:id="35" w:name="_Toc21787684"/>
      <w:bookmarkEnd w:id="35"/>
      <w:bookmarkStart w:id="36" w:name="_Toc21081"/>
      <w:bookmarkEnd w:id="36"/>
      <w:bookmarkStart w:id="37" w:name="_Toc9642"/>
      <w:r>
        <w:rPr>
          <w:rFonts w:ascii="黑体" w:hAnsi="黑体" w:eastAsia="黑体"/>
          <w:color w:val="auto"/>
          <w:sz w:val="28"/>
          <w:szCs w:val="27"/>
          <w:highlight w:val="none"/>
        </w:rPr>
        <w:t>附</w:t>
      </w:r>
      <w:r>
        <w:rPr>
          <w:rFonts w:hint="eastAsia" w:ascii="黑体" w:hAnsi="黑体" w:eastAsia="黑体"/>
          <w:color w:val="auto"/>
          <w:sz w:val="28"/>
          <w:szCs w:val="27"/>
          <w:highlight w:val="none"/>
        </w:rPr>
        <w:t>件3</w:t>
      </w:r>
      <w:r>
        <w:rPr>
          <w:rFonts w:ascii="黑体" w:hAnsi="黑体" w:eastAsia="黑体"/>
          <w:color w:val="auto"/>
          <w:sz w:val="28"/>
          <w:szCs w:val="27"/>
          <w:highlight w:val="none"/>
        </w:rPr>
        <w:t>：问题澄清通知</w:t>
      </w:r>
      <w:bookmarkEnd w:id="37"/>
    </w:p>
    <w:p>
      <w:pPr>
        <w:spacing w:line="400" w:lineRule="exact"/>
        <w:jc w:val="center"/>
        <w:rPr>
          <w:color w:val="auto"/>
          <w:szCs w:val="21"/>
          <w:highlight w:val="none"/>
        </w:rPr>
      </w:pPr>
    </w:p>
    <w:p>
      <w:pPr>
        <w:spacing w:line="400" w:lineRule="exact"/>
        <w:jc w:val="center"/>
        <w:rPr>
          <w:rFonts w:ascii="宋体" w:hAnsi="宋体"/>
          <w:b/>
          <w:color w:val="auto"/>
          <w:sz w:val="36"/>
          <w:szCs w:val="28"/>
          <w:highlight w:val="none"/>
        </w:rPr>
      </w:pPr>
      <w:r>
        <w:rPr>
          <w:rFonts w:ascii="宋体" w:hAnsi="宋体"/>
          <w:b/>
          <w:color w:val="auto"/>
          <w:sz w:val="36"/>
          <w:szCs w:val="28"/>
          <w:highlight w:val="none"/>
        </w:rPr>
        <w:t>问题澄清通知</w:t>
      </w:r>
    </w:p>
    <w:p>
      <w:pPr>
        <w:spacing w:line="400" w:lineRule="exact"/>
        <w:jc w:val="center"/>
        <w:rPr>
          <w:rFonts w:ascii="宋体" w:hAnsi="宋体"/>
          <w:color w:val="auto"/>
          <w:szCs w:val="21"/>
          <w:highlight w:val="none"/>
        </w:rPr>
      </w:pPr>
      <w:r>
        <w:rPr>
          <w:rFonts w:ascii="宋体" w:hAnsi="宋体"/>
          <w:color w:val="auto"/>
          <w:szCs w:val="21"/>
          <w:highlight w:val="none"/>
        </w:rPr>
        <w:t>编号：</w:t>
      </w:r>
      <w:r>
        <w:rPr>
          <w:rFonts w:hint="eastAsia" w:ascii="宋体" w:hAnsi="宋体"/>
          <w:color w:val="auto"/>
          <w:szCs w:val="21"/>
          <w:highlight w:val="none"/>
        </w:rPr>
        <w:t>__________________________</w:t>
      </w:r>
    </w:p>
    <w:p>
      <w:pPr>
        <w:spacing w:line="400" w:lineRule="exact"/>
        <w:rPr>
          <w:rFonts w:ascii="宋体" w:hAnsi="宋体"/>
          <w:color w:val="auto"/>
          <w:szCs w:val="21"/>
          <w:highlight w:val="none"/>
        </w:rPr>
      </w:pPr>
    </w:p>
    <w:p>
      <w:pPr>
        <w:spacing w:line="400" w:lineRule="exact"/>
        <w:rPr>
          <w:rFonts w:ascii="宋体" w:hAnsi="宋体"/>
          <w:color w:val="auto"/>
          <w:sz w:val="24"/>
          <w:szCs w:val="21"/>
          <w:highlight w:val="none"/>
        </w:rPr>
      </w:pPr>
      <w:r>
        <w:rPr>
          <w:rFonts w:ascii="宋体" w:hAnsi="宋体"/>
          <w:color w:val="auto"/>
          <w:sz w:val="24"/>
          <w:szCs w:val="21"/>
          <w:highlight w:val="none"/>
        </w:rPr>
        <w:t>（投标人名称）：</w:t>
      </w:r>
    </w:p>
    <w:p>
      <w:pPr>
        <w:spacing w:line="400" w:lineRule="exact"/>
        <w:rPr>
          <w:rFonts w:ascii="宋体" w:hAnsi="宋体"/>
          <w:color w:val="auto"/>
          <w:szCs w:val="21"/>
          <w:highlight w:val="none"/>
        </w:rPr>
      </w:pPr>
    </w:p>
    <w:p>
      <w:pPr>
        <w:snapToGrid w:val="0"/>
        <w:spacing w:line="40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rPr>
        <w:t>（项目名称）招标的评标委员会，对你方的投标文件进行了仔细的审查，现需你方对下列问题以书面形式予以澄清：</w:t>
      </w:r>
    </w:p>
    <w:p>
      <w:pPr>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1.</w:t>
      </w:r>
    </w:p>
    <w:p>
      <w:pPr>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2.</w:t>
      </w:r>
    </w:p>
    <w:p>
      <w:pPr>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w:t>
      </w:r>
    </w:p>
    <w:p>
      <w:pPr>
        <w:spacing w:line="400" w:lineRule="exact"/>
        <w:rPr>
          <w:rFonts w:ascii="宋体" w:hAnsi="宋体"/>
          <w:color w:val="auto"/>
          <w:sz w:val="24"/>
          <w:szCs w:val="24"/>
          <w:highlight w:val="none"/>
        </w:rPr>
      </w:pPr>
      <w:bookmarkStart w:id="38" w:name="_Toc332641307"/>
      <w:bookmarkEnd w:id="38"/>
      <w:bookmarkStart w:id="39" w:name="_Toc144974549"/>
      <w:bookmarkEnd w:id="39"/>
      <w:bookmarkStart w:id="40" w:name="_Toc246996968"/>
      <w:bookmarkEnd w:id="40"/>
      <w:bookmarkStart w:id="41" w:name="_Toc152045582"/>
      <w:bookmarkEnd w:id="41"/>
      <w:bookmarkStart w:id="42" w:name="_Toc179632600"/>
      <w:bookmarkEnd w:id="42"/>
      <w:bookmarkStart w:id="43" w:name="_Toc359263253"/>
      <w:bookmarkEnd w:id="43"/>
      <w:bookmarkStart w:id="44" w:name="_Toc246996225"/>
      <w:bookmarkEnd w:id="44"/>
      <w:bookmarkStart w:id="45" w:name="_Toc152042359"/>
      <w:bookmarkEnd w:id="45"/>
      <w:bookmarkStart w:id="46" w:name="_Toc247085740"/>
      <w:bookmarkEnd w:id="46"/>
      <w:r>
        <w:rPr>
          <w:rFonts w:ascii="宋体" w:hAnsi="宋体"/>
          <w:color w:val="auto"/>
          <w:sz w:val="24"/>
          <w:szCs w:val="24"/>
          <w:highlight w:val="none"/>
        </w:rPr>
        <w:t>　　请将上述问题的澄清于年月日时前递交至（详细地址）</w:t>
      </w:r>
      <w:r>
        <w:rPr>
          <w:rFonts w:hint="eastAsia" w:ascii="宋体" w:hAnsi="宋体"/>
          <w:color w:val="auto"/>
          <w:sz w:val="24"/>
          <w:szCs w:val="24"/>
          <w:highlight w:val="none"/>
        </w:rPr>
        <w:t>或传真至（传真号码）。采用传真方式的，应在</w:t>
      </w:r>
      <w:r>
        <w:rPr>
          <w:rFonts w:ascii="宋体" w:hAnsi="宋体"/>
          <w:color w:val="auto"/>
          <w:sz w:val="24"/>
          <w:szCs w:val="24"/>
          <w:highlight w:val="none"/>
        </w:rPr>
        <w:t>年月日</w:t>
      </w:r>
      <w:r>
        <w:rPr>
          <w:rFonts w:hint="eastAsia" w:ascii="宋体" w:hAnsi="宋体"/>
          <w:color w:val="auto"/>
          <w:sz w:val="24"/>
          <w:szCs w:val="24"/>
          <w:highlight w:val="none"/>
        </w:rPr>
        <w:t>时前将原件递交至</w:t>
      </w:r>
      <w:r>
        <w:rPr>
          <w:rFonts w:ascii="宋体" w:hAnsi="宋体"/>
          <w:color w:val="auto"/>
          <w:sz w:val="24"/>
          <w:szCs w:val="24"/>
          <w:highlight w:val="none"/>
        </w:rPr>
        <w:t>（详细地址）。</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招标人或招标代理机构</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盖章</w:t>
      </w:r>
      <w:r>
        <w:rPr>
          <w:rFonts w:ascii="宋体" w:hAnsi="宋体"/>
          <w:color w:val="auto"/>
          <w:sz w:val="24"/>
          <w:szCs w:val="24"/>
          <w:highlight w:val="none"/>
          <w:u w:val="single"/>
        </w:rPr>
        <w:t>）</w:t>
      </w:r>
    </w:p>
    <w:p>
      <w:pPr>
        <w:spacing w:line="400" w:lineRule="exact"/>
        <w:ind w:firstLine="6840" w:firstLineChars="2850"/>
        <w:jc w:val="left"/>
        <w:rPr>
          <w:rFonts w:ascii="宋体" w:hAnsi="宋体"/>
          <w:color w:val="auto"/>
          <w:sz w:val="24"/>
          <w:szCs w:val="24"/>
          <w:highlight w:val="none"/>
        </w:rPr>
      </w:pPr>
      <w:r>
        <w:rPr>
          <w:rFonts w:ascii="宋体" w:hAnsi="宋体"/>
          <w:color w:val="auto"/>
          <w:sz w:val="24"/>
          <w:szCs w:val="24"/>
          <w:highlight w:val="none"/>
        </w:rPr>
        <w:t>年 月 日</w:t>
      </w: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spacing w:line="400" w:lineRule="exact"/>
        <w:jc w:val="left"/>
        <w:outlineLvl w:val="2"/>
        <w:rPr>
          <w:rFonts w:ascii="黑体" w:hAnsi="黑体" w:eastAsia="黑体"/>
          <w:color w:val="auto"/>
          <w:sz w:val="28"/>
          <w:szCs w:val="27"/>
          <w:highlight w:val="none"/>
        </w:rPr>
      </w:pPr>
    </w:p>
    <w:p>
      <w:pPr>
        <w:pStyle w:val="40"/>
        <w:rPr>
          <w:color w:val="auto"/>
          <w:highlight w:val="none"/>
        </w:rPr>
      </w:pPr>
    </w:p>
    <w:p>
      <w:pPr>
        <w:spacing w:line="400" w:lineRule="exact"/>
        <w:jc w:val="left"/>
        <w:outlineLvl w:val="2"/>
        <w:rPr>
          <w:rFonts w:ascii="黑体" w:hAnsi="黑体" w:eastAsia="黑体"/>
          <w:color w:val="auto"/>
          <w:sz w:val="28"/>
          <w:szCs w:val="27"/>
          <w:highlight w:val="none"/>
        </w:rPr>
      </w:pPr>
    </w:p>
    <w:p>
      <w:pPr>
        <w:spacing w:line="360" w:lineRule="auto"/>
        <w:jc w:val="left"/>
        <w:outlineLvl w:val="2"/>
        <w:rPr>
          <w:rFonts w:ascii="黑体" w:hAnsi="黑体" w:eastAsia="黑体"/>
          <w:color w:val="auto"/>
          <w:sz w:val="28"/>
          <w:szCs w:val="27"/>
          <w:highlight w:val="none"/>
        </w:rPr>
      </w:pPr>
      <w:bookmarkStart w:id="47" w:name="_Toc17643"/>
      <w:r>
        <w:rPr>
          <w:rFonts w:ascii="黑体" w:hAnsi="黑体" w:eastAsia="黑体"/>
          <w:color w:val="auto"/>
          <w:sz w:val="28"/>
          <w:szCs w:val="27"/>
          <w:highlight w:val="none"/>
        </w:rPr>
        <w:t>附</w:t>
      </w:r>
      <w:r>
        <w:rPr>
          <w:rFonts w:hint="eastAsia" w:ascii="黑体" w:hAnsi="黑体" w:eastAsia="黑体"/>
          <w:color w:val="auto"/>
          <w:sz w:val="28"/>
          <w:szCs w:val="27"/>
          <w:highlight w:val="none"/>
        </w:rPr>
        <w:t>件4</w:t>
      </w:r>
      <w:r>
        <w:rPr>
          <w:rFonts w:ascii="黑体" w:hAnsi="黑体" w:eastAsia="黑体"/>
          <w:color w:val="auto"/>
          <w:sz w:val="28"/>
          <w:szCs w:val="27"/>
          <w:highlight w:val="none"/>
        </w:rPr>
        <w:t>：</w:t>
      </w:r>
      <w:r>
        <w:rPr>
          <w:rFonts w:hint="eastAsia" w:ascii="黑体" w:hAnsi="黑体" w:eastAsia="黑体"/>
          <w:color w:val="auto"/>
          <w:sz w:val="28"/>
          <w:szCs w:val="27"/>
          <w:highlight w:val="none"/>
        </w:rPr>
        <w:t>问题的澄清</w:t>
      </w:r>
      <w:bookmarkEnd w:id="47"/>
    </w:p>
    <w:p>
      <w:pPr>
        <w:spacing w:line="400" w:lineRule="exact"/>
        <w:jc w:val="center"/>
        <w:rPr>
          <w:rFonts w:ascii="黑体" w:eastAsia="黑体"/>
          <w:color w:val="auto"/>
          <w:sz w:val="28"/>
          <w:szCs w:val="28"/>
          <w:highlight w:val="none"/>
        </w:rPr>
      </w:pPr>
    </w:p>
    <w:p>
      <w:pPr>
        <w:spacing w:line="360" w:lineRule="auto"/>
        <w:jc w:val="center"/>
        <w:rPr>
          <w:rFonts w:ascii="宋体" w:hAnsi="宋体"/>
          <w:b/>
          <w:color w:val="auto"/>
          <w:sz w:val="36"/>
          <w:szCs w:val="24"/>
          <w:highlight w:val="none"/>
        </w:rPr>
      </w:pPr>
      <w:r>
        <w:rPr>
          <w:rFonts w:hint="eastAsia" w:ascii="宋体" w:hAnsi="宋体"/>
          <w:b/>
          <w:color w:val="auto"/>
          <w:sz w:val="36"/>
          <w:szCs w:val="24"/>
          <w:highlight w:val="none"/>
        </w:rPr>
        <w:t>问题的澄清</w:t>
      </w: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编号：_____________________</w:t>
      </w:r>
    </w:p>
    <w:p>
      <w:pPr>
        <w:spacing w:line="360" w:lineRule="auto"/>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项目名称）招标评标委员会：</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问题澄清通知（编号：</w:t>
      </w:r>
      <w:r>
        <w:rPr>
          <w:rFonts w:ascii="宋体" w:hAnsi="宋体"/>
          <w:color w:val="auto"/>
          <w:sz w:val="24"/>
          <w:highlight w:val="none"/>
          <w:u w:val="single"/>
        </w:rPr>
        <w:t xml:space="preserve">        </w:t>
      </w:r>
      <w:r>
        <w:rPr>
          <w:rFonts w:hint="eastAsia" w:ascii="宋体" w:hAnsi="宋体"/>
          <w:color w:val="auto"/>
          <w:sz w:val="24"/>
          <w:highlight w:val="none"/>
        </w:rPr>
        <w:t>______</w:t>
      </w:r>
      <w:r>
        <w:rPr>
          <w:rFonts w:ascii="宋体" w:hAnsi="宋体"/>
          <w:color w:val="auto"/>
          <w:sz w:val="24"/>
          <w:highlight w:val="none"/>
        </w:rPr>
        <w:t>）已收悉，现澄清如下：</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p>
    <w:p>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p>
    <w:p>
      <w:pPr>
        <w:snapToGrid w:val="0"/>
        <w:spacing w:line="360" w:lineRule="auto"/>
        <w:ind w:firstLine="480" w:firstLineChars="200"/>
        <w:rPr>
          <w:rFonts w:ascii="宋体" w:hAnsi="宋体"/>
          <w:color w:val="auto"/>
          <w:sz w:val="24"/>
          <w:highlight w:val="none"/>
        </w:rPr>
      </w:pPr>
    </w:p>
    <w:p>
      <w:pPr>
        <w:snapToGrid w:val="0"/>
        <w:spacing w:line="360" w:lineRule="auto"/>
        <w:ind w:firstLine="480" w:firstLineChars="200"/>
        <w:rPr>
          <w:rFonts w:ascii="宋体" w:hAnsi="宋体"/>
          <w:color w:val="auto"/>
          <w:sz w:val="24"/>
          <w:highlight w:val="none"/>
        </w:rPr>
      </w:pP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p>
    <w:p>
      <w:pPr>
        <w:spacing w:line="440" w:lineRule="exact"/>
        <w:jc w:val="right"/>
        <w:rPr>
          <w:rFonts w:ascii="宋体" w:hAnsi="宋体"/>
          <w:color w:val="auto"/>
          <w:sz w:val="24"/>
          <w:szCs w:val="24"/>
          <w:highlight w:val="none"/>
        </w:rPr>
      </w:pPr>
      <w:r>
        <w:rPr>
          <w:rFonts w:ascii="宋体" w:hAnsi="宋体"/>
          <w:color w:val="auto"/>
          <w:sz w:val="24"/>
          <w:szCs w:val="24"/>
          <w:highlight w:val="none"/>
        </w:rPr>
        <w:t>投标人：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（盖单位章）</w:t>
      </w:r>
    </w:p>
    <w:p>
      <w:pPr>
        <w:spacing w:line="440" w:lineRule="exact"/>
        <w:jc w:val="right"/>
        <w:rPr>
          <w:rFonts w:ascii="宋体" w:hAnsi="宋体"/>
          <w:color w:val="auto"/>
          <w:sz w:val="24"/>
          <w:szCs w:val="24"/>
          <w:highlight w:val="none"/>
        </w:rPr>
      </w:pPr>
      <w:r>
        <w:rPr>
          <w:rFonts w:ascii="宋体" w:hAnsi="宋体"/>
          <w:color w:val="auto"/>
          <w:sz w:val="24"/>
          <w:szCs w:val="24"/>
          <w:highlight w:val="none"/>
        </w:rPr>
        <w:t>法定代表人或其委托代理人：</w:t>
      </w:r>
      <w:r>
        <w:rPr>
          <w:rFonts w:ascii="宋体" w:hAnsi="宋体"/>
          <w:color w:val="auto"/>
          <w:sz w:val="24"/>
          <w:szCs w:val="24"/>
          <w:highlight w:val="none"/>
          <w:u w:val="single"/>
        </w:rPr>
        <w:t xml:space="preserve">          </w:t>
      </w:r>
      <w:r>
        <w:rPr>
          <w:rFonts w:ascii="宋体" w:hAnsi="宋体"/>
          <w:color w:val="auto"/>
          <w:sz w:val="24"/>
          <w:szCs w:val="24"/>
          <w:highlight w:val="none"/>
        </w:rPr>
        <w:t>（签字）</w:t>
      </w: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p>
    <w:p>
      <w:pPr>
        <w:spacing w:line="400" w:lineRule="exact"/>
        <w:rPr>
          <w:rFonts w:ascii="宋体" w:hAnsi="宋体"/>
          <w:color w:val="auto"/>
          <w:sz w:val="24"/>
          <w:szCs w:val="24"/>
          <w:highlight w:val="none"/>
        </w:rPr>
      </w:pPr>
    </w:p>
    <w:p>
      <w:pPr>
        <w:spacing w:line="400" w:lineRule="exact"/>
        <w:ind w:firstLine="6840" w:firstLineChars="2850"/>
        <w:jc w:val="left"/>
        <w:rPr>
          <w:rFonts w:ascii="宋体" w:hAnsi="宋体"/>
          <w:color w:val="auto"/>
          <w:sz w:val="24"/>
          <w:szCs w:val="24"/>
          <w:highlight w:val="none"/>
        </w:rPr>
      </w:pPr>
    </w:p>
    <w:p>
      <w:pPr>
        <w:spacing w:line="400" w:lineRule="exact"/>
        <w:jc w:val="left"/>
        <w:outlineLvl w:val="2"/>
        <w:rPr>
          <w:rFonts w:ascii="黑体" w:hAnsi="黑体" w:eastAsia="黑体"/>
          <w:color w:val="auto"/>
          <w:sz w:val="28"/>
          <w:szCs w:val="27"/>
          <w:highlight w:val="none"/>
        </w:rPr>
      </w:pPr>
      <w:bookmarkStart w:id="48" w:name="_Toc359263254"/>
      <w:bookmarkEnd w:id="48"/>
      <w:bookmarkStart w:id="49" w:name="_Toc246996969"/>
      <w:bookmarkEnd w:id="49"/>
      <w:bookmarkStart w:id="50" w:name="_Toc246996226"/>
      <w:bookmarkEnd w:id="50"/>
      <w:bookmarkStart w:id="51" w:name="_Toc144974550"/>
      <w:bookmarkEnd w:id="51"/>
      <w:bookmarkStart w:id="52" w:name="_Toc21787685"/>
      <w:bookmarkEnd w:id="52"/>
      <w:bookmarkStart w:id="53" w:name="_Toc247085741"/>
      <w:bookmarkEnd w:id="53"/>
      <w:bookmarkStart w:id="54" w:name="_Toc179632601"/>
      <w:bookmarkEnd w:id="54"/>
      <w:bookmarkStart w:id="55" w:name="_Toc152045583"/>
      <w:bookmarkEnd w:id="55"/>
      <w:bookmarkStart w:id="56" w:name="_Toc152042360"/>
      <w:bookmarkEnd w:id="56"/>
      <w:bookmarkStart w:id="57" w:name="_Toc332641308"/>
      <w:bookmarkEnd w:id="57"/>
      <w:bookmarkStart w:id="58" w:name="_Toc28646"/>
      <w:bookmarkEnd w:id="58"/>
      <w:r>
        <w:rPr>
          <w:color w:val="auto"/>
          <w:sz w:val="24"/>
          <w:highlight w:val="none"/>
        </w:rPr>
        <w:br w:type="page"/>
      </w:r>
      <w:bookmarkStart w:id="59" w:name="_Toc14039"/>
      <w:r>
        <w:rPr>
          <w:rFonts w:hint="eastAsia" w:ascii="黑体" w:hAnsi="黑体" w:eastAsia="黑体"/>
          <w:color w:val="auto"/>
          <w:sz w:val="28"/>
          <w:szCs w:val="27"/>
          <w:highlight w:val="none"/>
        </w:rPr>
        <w:t>附件5：中标通知书</w:t>
      </w:r>
      <w:bookmarkEnd w:id="59"/>
    </w:p>
    <w:p>
      <w:pPr>
        <w:spacing w:line="400" w:lineRule="exact"/>
        <w:rPr>
          <w:color w:val="auto"/>
          <w:sz w:val="24"/>
          <w:highlight w:val="none"/>
        </w:rPr>
      </w:pPr>
    </w:p>
    <w:p>
      <w:pPr>
        <w:spacing w:line="400" w:lineRule="exact"/>
        <w:ind w:firstLine="480" w:firstLineChars="200"/>
        <w:jc w:val="left"/>
        <w:rPr>
          <w:color w:val="auto"/>
          <w:sz w:val="24"/>
          <w:highlight w:val="none"/>
        </w:rPr>
      </w:pPr>
      <w:r>
        <w:rPr>
          <w:rFonts w:hint="eastAsia"/>
          <w:color w:val="auto"/>
          <w:sz w:val="24"/>
          <w:szCs w:val="21"/>
          <w:highlight w:val="none"/>
          <w:u w:val="single"/>
        </w:rPr>
        <w:t>（注：中标通知书采用广州公共资源交易平台规定的格式）</w:t>
      </w:r>
    </w:p>
    <w:p>
      <w:pPr>
        <w:pStyle w:val="2"/>
        <w:spacing w:line="400" w:lineRule="exact"/>
        <w:jc w:val="center"/>
        <w:rPr>
          <w:color w:val="auto"/>
          <w:highlight w:val="none"/>
        </w:rPr>
      </w:pPr>
      <w:bookmarkStart w:id="60" w:name="_Toc21787686"/>
      <w:bookmarkEnd w:id="60"/>
      <w:r>
        <w:rPr>
          <w:color w:val="auto"/>
          <w:sz w:val="24"/>
          <w:highlight w:val="none"/>
        </w:rPr>
        <w:br w:type="page"/>
      </w:r>
      <w:bookmarkStart w:id="61" w:name="_Toc31484"/>
      <w:r>
        <w:rPr>
          <w:rFonts w:hint="eastAsia"/>
          <w:color w:val="auto"/>
          <w:highlight w:val="none"/>
        </w:rPr>
        <w:t>第三章评标办法（综合评估法）</w:t>
      </w:r>
      <w:bookmarkEnd w:id="61"/>
    </w:p>
    <w:p>
      <w:pPr>
        <w:spacing w:line="400" w:lineRule="exact"/>
        <w:ind w:firstLine="560" w:firstLineChars="200"/>
        <w:jc w:val="center"/>
        <w:outlineLvl w:val="1"/>
        <w:rPr>
          <w:rFonts w:ascii="黑体" w:hAnsi="黑体" w:eastAsia="黑体"/>
          <w:color w:val="auto"/>
          <w:sz w:val="28"/>
          <w:szCs w:val="27"/>
          <w:highlight w:val="none"/>
        </w:rPr>
      </w:pPr>
      <w:bookmarkStart w:id="62" w:name="_Toc21787687"/>
      <w:bookmarkEnd w:id="62"/>
      <w:bookmarkStart w:id="63" w:name="_Toc23599"/>
      <w:bookmarkEnd w:id="63"/>
      <w:bookmarkStart w:id="64" w:name="_Toc1541"/>
      <w:r>
        <w:rPr>
          <w:rFonts w:hint="eastAsia" w:ascii="黑体" w:hAnsi="黑体" w:eastAsia="黑体"/>
          <w:color w:val="auto"/>
          <w:sz w:val="28"/>
          <w:szCs w:val="27"/>
          <w:highlight w:val="none"/>
        </w:rPr>
        <w:t>评标办法修改表</w:t>
      </w:r>
      <w:bookmarkEnd w:id="64"/>
    </w:p>
    <w:p>
      <w:pPr>
        <w:pStyle w:val="40"/>
        <w:spacing w:after="0" w:line="400" w:lineRule="exact"/>
        <w:rPr>
          <w:rFonts w:ascii="宋体" w:hAnsi="宋体" w:eastAsia="宋体"/>
          <w:b/>
          <w:color w:val="auto"/>
          <w:sz w:val="24"/>
          <w:szCs w:val="21"/>
          <w:highlight w:val="none"/>
        </w:rPr>
      </w:pPr>
      <w:r>
        <w:rPr>
          <w:rFonts w:hint="eastAsia" w:ascii="宋体" w:hAnsi="宋体" w:eastAsia="宋体"/>
          <w:b/>
          <w:color w:val="auto"/>
          <w:sz w:val="24"/>
          <w:highlight w:val="none"/>
        </w:rPr>
        <w:t>本修改表是对评标及定标办法</w:t>
      </w:r>
      <w:r>
        <w:rPr>
          <w:rFonts w:hint="eastAsia" w:ascii="宋体" w:hAnsi="宋体" w:eastAsia="宋体"/>
          <w:b/>
          <w:color w:val="auto"/>
          <w:sz w:val="24"/>
          <w:szCs w:val="21"/>
          <w:highlight w:val="none"/>
        </w:rPr>
        <w:t>通用条款的修改，与该通用条款不同之处，均在本表中列明，并以现文为准，原文不再有效。</w:t>
      </w:r>
    </w:p>
    <w:p>
      <w:pPr>
        <w:pStyle w:val="40"/>
        <w:spacing w:after="0" w:line="400" w:lineRule="exact"/>
        <w:rPr>
          <w:rFonts w:ascii="宋体" w:hAnsi="宋体" w:eastAsia="宋体"/>
          <w:b/>
          <w:color w:val="auto"/>
          <w:sz w:val="24"/>
          <w:szCs w:val="21"/>
          <w:highlight w:val="none"/>
        </w:rPr>
      </w:pPr>
    </w:p>
    <w:p>
      <w:pPr>
        <w:pBdr>
          <w:bottom w:val="single" w:color="auto" w:sz="6" w:space="1"/>
        </w:pBdr>
        <w:spacing w:line="400" w:lineRule="exact"/>
        <w:ind w:firstLine="517" w:firstLineChars="245"/>
        <w:rPr>
          <w:rFonts w:ascii="宋体" w:hAnsi="宋体"/>
          <w:color w:val="auto"/>
          <w:sz w:val="24"/>
          <w:szCs w:val="21"/>
          <w:highlight w:val="none"/>
        </w:rPr>
      </w:pPr>
      <w:bookmarkStart w:id="65" w:name="_Toc262229169"/>
      <w:bookmarkEnd w:id="65"/>
      <w:bookmarkStart w:id="66" w:name="_Toc155150493"/>
      <w:bookmarkEnd w:id="66"/>
      <w:bookmarkStart w:id="67" w:name="_Toc359263257"/>
      <w:bookmarkEnd w:id="67"/>
      <w:r>
        <w:rPr>
          <w:rFonts w:hint="eastAsia" w:ascii="宋体" w:hAnsi="宋体"/>
          <w:b/>
          <w:bCs/>
          <w:color w:val="auto"/>
          <w:szCs w:val="21"/>
          <w:highlight w:val="none"/>
        </w:rPr>
        <w:t>条款号：方法一：综合评估法一       修改类型：修改</w:t>
      </w:r>
    </w:p>
    <w:p>
      <w:pPr>
        <w:pBdr>
          <w:bottom w:val="single" w:color="auto" w:sz="6" w:space="1"/>
        </w:pBdr>
        <w:spacing w:line="400" w:lineRule="exact"/>
        <w:ind w:firstLine="540" w:firstLineChars="224"/>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：详见原文方法一：综合评估法一</w:t>
      </w:r>
    </w:p>
    <w:p>
      <w:pPr>
        <w:pBdr>
          <w:bottom w:val="single" w:color="auto" w:sz="6" w:space="1"/>
        </w:pBdr>
        <w:spacing w:line="400" w:lineRule="exact"/>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 xml:space="preserve">现文: </w:t>
      </w:r>
      <w:r>
        <w:rPr>
          <w:rFonts w:hint="eastAsia" w:ascii="宋体" w:hAnsi="宋体"/>
          <w:color w:val="auto"/>
          <w:sz w:val="24"/>
          <w:szCs w:val="21"/>
          <w:highlight w:val="none"/>
        </w:rPr>
        <w:t>详见现文方法一：综合评估法一</w:t>
      </w:r>
    </w:p>
    <w:p>
      <w:pPr>
        <w:spacing w:line="40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 w:val="22"/>
          <w:szCs w:val="21"/>
          <w:highlight w:val="none"/>
        </w:rPr>
        <w:t>方法二、三、四</w:t>
      </w:r>
      <w:r>
        <w:rPr>
          <w:rFonts w:hint="eastAsia" w:ascii="宋体" w:hAnsi="宋体"/>
          <w:b/>
          <w:bCs/>
          <w:color w:val="auto"/>
          <w:szCs w:val="21"/>
          <w:highlight w:val="none"/>
        </w:rPr>
        <w:t xml:space="preserve">             修改类型：删除</w:t>
      </w:r>
    </w:p>
    <w:p>
      <w:pPr>
        <w:pBdr>
          <w:bottom w:val="single" w:color="auto" w:sz="6" w:space="1"/>
        </w:pBd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：方法二：综合评估法二（需要编制技术文件）、方法三：综合评估法三（不需要编制技术文件）、方法四：经评审的最低投标价法</w:t>
      </w:r>
    </w:p>
    <w:p>
      <w:pPr>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条款号：评标办法前附表              修改类型：修改</w:t>
      </w:r>
    </w:p>
    <w:p>
      <w:pPr>
        <w:pBdr>
          <w:bottom w:val="single" w:color="auto" w:sz="6" w:space="1"/>
        </w:pBd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：详见原范本《评标办法前附表》</w:t>
      </w:r>
    </w:p>
    <w:p>
      <w:pPr>
        <w:pBdr>
          <w:bottom w:val="single" w:color="auto" w:sz="6" w:space="1"/>
        </w:pBd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lang w:val="en-US" w:eastAsia="zh-CN"/>
        </w:rPr>
        <w:t>现</w:t>
      </w:r>
      <w:r>
        <w:rPr>
          <w:rFonts w:hint="eastAsia" w:ascii="宋体" w:hAnsi="宋体"/>
          <w:b/>
          <w:bCs/>
          <w:color w:val="auto"/>
          <w:sz w:val="24"/>
          <w:szCs w:val="21"/>
          <w:highlight w:val="none"/>
        </w:rPr>
        <w:t>文</w:t>
      </w:r>
      <w:r>
        <w:rPr>
          <w:rFonts w:hint="eastAsia" w:ascii="宋体" w:hAnsi="宋体"/>
          <w:color w:val="auto"/>
          <w:sz w:val="24"/>
          <w:szCs w:val="21"/>
          <w:highlight w:val="none"/>
        </w:rPr>
        <w:t>：详见本招标文件《评标办法前附表》</w:t>
      </w:r>
    </w:p>
    <w:p>
      <w:pPr>
        <w:spacing w:line="40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条款号：1.评标方法                      修改类型：修改</w:t>
      </w:r>
    </w:p>
    <w:p>
      <w:pPr>
        <w:spacing w:line="400" w:lineRule="exact"/>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原文：1.评标方法</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spacing w:line="400" w:lineRule="exact"/>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现文：1.评标方法</w:t>
      </w:r>
    </w:p>
    <w:p>
      <w:pPr>
        <w:pBdr>
          <w:bottom w:val="single" w:color="auto" w:sz="6" w:space="1"/>
        </w:pBdr>
        <w:spacing w:line="400" w:lineRule="exact"/>
        <w:ind w:firstLine="537" w:firstLineChars="224"/>
        <w:rPr>
          <w:rFonts w:ascii="宋体" w:hAnsi="宋体"/>
          <w:color w:val="auto"/>
          <w:sz w:val="24"/>
          <w:szCs w:val="21"/>
          <w:highlight w:val="none"/>
          <w:u w:val="single"/>
        </w:rPr>
      </w:pPr>
      <w:r>
        <w:rPr>
          <w:rFonts w:hint="eastAsia" w:ascii="宋体" w:hAnsi="宋体"/>
          <w:color w:val="auto"/>
          <w:sz w:val="24"/>
          <w:szCs w:val="21"/>
          <w:highlight w:val="none"/>
        </w:rPr>
        <w:t>本次评标采用综合评估法。评标委员会对满足招标文件实质性要求的投标文件，按照本章第2.2款规定的评分标准进行打分，并按得分由高到低顺序推荐中标候选人。</w:t>
      </w:r>
      <w:r>
        <w:rPr>
          <w:rFonts w:hint="eastAsia" w:ascii="宋体" w:hAnsi="宋体"/>
          <w:color w:val="auto"/>
          <w:sz w:val="24"/>
          <w:szCs w:val="21"/>
          <w:highlight w:val="none"/>
          <w:u w:val="single"/>
        </w:rPr>
        <w:t>总得分相同的，商务评审得分高的投标人排序为先；若商务评审得分也相同，诚信得分高的投标人排序为先；若诚信得分、商务评审得分均相同，则由评委通过记名投标表决（不得弃权），以“少数服从多数”的原则确定排序。</w:t>
      </w:r>
    </w:p>
    <w:p>
      <w:pPr>
        <w:spacing w:line="400" w:lineRule="exact"/>
        <w:ind w:firstLine="472" w:firstLineChars="224"/>
        <w:rPr>
          <w:rFonts w:ascii="宋体" w:hAnsi="宋体"/>
          <w:b/>
          <w:bCs/>
          <w:color w:val="auto"/>
          <w:sz w:val="28"/>
          <w:szCs w:val="28"/>
          <w:highlight w:val="none"/>
        </w:rPr>
      </w:pPr>
      <w:r>
        <w:rPr>
          <w:rFonts w:hint="eastAsia" w:ascii="宋体" w:hAnsi="宋体"/>
          <w:b/>
          <w:bCs/>
          <w:color w:val="auto"/>
          <w:szCs w:val="21"/>
          <w:highlight w:val="none"/>
        </w:rPr>
        <w:t>条款号：2.2.3 评标基准价计算            修改类型：修改</w:t>
      </w:r>
    </w:p>
    <w:p>
      <w:pP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：2.2.3 评标基准价计算</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评标基准价可按以下方式确定（招标人以下两种方式任选一）：</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方式一：以全部或随机抽取的有效投标报价的算术平均值按随机抽取的评标基准价下浮率（2～5%，0.5一个级别）下浮作为评标基准价。具体确定方法如下：</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a、当有效投标报价的投标人少于或等于5个时，取全部有效投标报价的算术平均按随机抽取的评标基准价下浮率（2～5%，0.5一个级别）下浮作为评标基准价。</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方式二：以有效投标报价的算术平均值按随机抽取的评标基准价下浮率（2～5%，0.5一个级别）下浮作为评标基准价。</w:t>
      </w:r>
    </w:p>
    <w:p>
      <w:pPr>
        <w:spacing w:line="400" w:lineRule="exact"/>
        <w:ind w:firstLine="537" w:firstLineChars="224"/>
        <w:rPr>
          <w:rFonts w:ascii="宋体" w:hAnsi="宋体"/>
          <w:color w:val="auto"/>
          <w:sz w:val="24"/>
          <w:szCs w:val="21"/>
          <w:highlight w:val="none"/>
        </w:rPr>
      </w:pPr>
      <w:r>
        <w:rPr>
          <w:rFonts w:hint="eastAsia" w:ascii="宋体" w:hAnsi="宋体"/>
          <w:color w:val="auto"/>
          <w:sz w:val="24"/>
          <w:szCs w:val="21"/>
          <w:highlight w:val="none"/>
        </w:rPr>
        <w:t>在首次评标过程中，投标人未被发现存在串通投标、弄虚作假、行贿等情形的，无论是否重评，经确定的评标基准价不变。</w:t>
      </w:r>
    </w:p>
    <w:p>
      <w:pPr>
        <w:pBdr>
          <w:bottom w:val="single" w:color="auto" w:sz="6" w:space="1"/>
        </w:pBdr>
        <w:spacing w:line="400" w:lineRule="exact"/>
        <w:ind w:firstLine="540" w:firstLineChars="224"/>
        <w:rPr>
          <w:rFonts w:ascii="宋体" w:hAnsi="宋体"/>
          <w:color w:val="auto"/>
          <w:sz w:val="24"/>
          <w:szCs w:val="21"/>
          <w:highlight w:val="none"/>
          <w:u w:val="single"/>
        </w:rPr>
      </w:pPr>
      <w:r>
        <w:rPr>
          <w:rFonts w:hint="eastAsia" w:ascii="宋体" w:hAnsi="宋体"/>
          <w:b/>
          <w:bCs/>
          <w:color w:val="auto"/>
          <w:sz w:val="24"/>
          <w:szCs w:val="21"/>
          <w:highlight w:val="none"/>
        </w:rPr>
        <w:t>现文：</w:t>
      </w:r>
      <w:r>
        <w:rPr>
          <w:rFonts w:hint="eastAsia" w:ascii="宋体" w:hAnsi="宋体"/>
          <w:color w:val="auto"/>
          <w:sz w:val="24"/>
          <w:szCs w:val="21"/>
          <w:highlight w:val="none"/>
          <w:u w:val="single"/>
        </w:rPr>
        <w:t>2.2.3 评标基准价计算</w:t>
      </w:r>
    </w:p>
    <w:p>
      <w:pPr>
        <w:pBdr>
          <w:bottom w:val="single" w:color="auto" w:sz="6" w:space="1"/>
        </w:pBdr>
        <w:spacing w:line="400" w:lineRule="exact"/>
        <w:ind w:firstLine="537" w:firstLineChars="224"/>
        <w:rPr>
          <w:rFonts w:ascii="宋体" w:hAnsi="宋体"/>
          <w:color w:val="auto"/>
          <w:sz w:val="24"/>
          <w:szCs w:val="21"/>
          <w:highlight w:val="none"/>
          <w:u w:val="single"/>
        </w:rPr>
      </w:pPr>
      <w:r>
        <w:rPr>
          <w:rFonts w:hint="eastAsia" w:ascii="宋体" w:hAnsi="宋体"/>
          <w:color w:val="auto"/>
          <w:sz w:val="24"/>
          <w:szCs w:val="21"/>
          <w:highlight w:val="none"/>
          <w:u w:val="single"/>
        </w:rPr>
        <w:t>以通过初步评审的投标人位于[成本警示价，最高投标限价]区间的投标报价为有效投标报价，有效投标报价的算术平均值按随机抽取的评标基准价下浮率（2～5%，0.5一个级别）下浮作为评标基准价。最高投标限价的92%设置为成本警示价，具体确定方法如下：</w:t>
      </w:r>
    </w:p>
    <w:p>
      <w:pPr>
        <w:pBdr>
          <w:bottom w:val="single" w:color="auto" w:sz="6" w:space="1"/>
        </w:pBdr>
        <w:spacing w:line="400" w:lineRule="exact"/>
        <w:ind w:firstLine="537" w:firstLineChars="224"/>
        <w:rPr>
          <w:rFonts w:ascii="宋体" w:hAnsi="宋体"/>
          <w:color w:val="auto"/>
          <w:sz w:val="24"/>
          <w:szCs w:val="21"/>
          <w:highlight w:val="none"/>
          <w:u w:val="single"/>
        </w:rPr>
      </w:pPr>
      <w:r>
        <w:rPr>
          <w:rFonts w:hint="eastAsia" w:ascii="宋体" w:hAnsi="宋体"/>
          <w:color w:val="auto"/>
          <w:sz w:val="24"/>
          <w:szCs w:val="21"/>
          <w:highlight w:val="none"/>
          <w:u w:val="single"/>
        </w:rPr>
        <w:t>a、当有效投标报价的投标人少于或等于5个时，取全部有效投标报价的算术平均按随机抽取的评标基准价下浮率（2～5%，0.5一个级别）下浮作为评标基准价。</w:t>
      </w:r>
    </w:p>
    <w:p>
      <w:pPr>
        <w:pBdr>
          <w:bottom w:val="single" w:color="auto" w:sz="6" w:space="1"/>
        </w:pBdr>
        <w:spacing w:line="400" w:lineRule="exact"/>
        <w:ind w:firstLine="537" w:firstLineChars="224"/>
        <w:rPr>
          <w:rFonts w:ascii="宋体" w:hAnsi="宋体"/>
          <w:color w:val="auto"/>
          <w:sz w:val="24"/>
          <w:szCs w:val="21"/>
          <w:highlight w:val="none"/>
          <w:u w:val="single"/>
        </w:rPr>
      </w:pPr>
      <w:r>
        <w:rPr>
          <w:rFonts w:hint="eastAsia" w:ascii="宋体" w:hAnsi="宋体"/>
          <w:color w:val="auto"/>
          <w:sz w:val="24"/>
          <w:szCs w:val="21"/>
          <w:highlight w:val="none"/>
          <w:u w:val="single"/>
        </w:rPr>
        <w:t>b、当有效投标报价的投标人为6至10个时，从全部有效投标报价中去掉一个最大值和最小值，其他有效投标报价的算术平均值按随机抽取的评标基准价下浮率（2～5%，0.5一个级别）下浮作为评标基准价。</w:t>
      </w:r>
    </w:p>
    <w:p>
      <w:pPr>
        <w:pBdr>
          <w:bottom w:val="single" w:color="auto" w:sz="6" w:space="1"/>
        </w:pBdr>
        <w:spacing w:line="400" w:lineRule="exact"/>
        <w:ind w:firstLine="537" w:firstLineChars="224"/>
        <w:rPr>
          <w:rFonts w:ascii="宋体" w:hAnsi="宋体"/>
          <w:color w:val="auto"/>
          <w:sz w:val="24"/>
          <w:szCs w:val="21"/>
          <w:highlight w:val="none"/>
          <w:u w:val="single"/>
        </w:rPr>
      </w:pPr>
      <w:r>
        <w:rPr>
          <w:rFonts w:hint="eastAsia" w:ascii="宋体" w:hAnsi="宋体"/>
          <w:color w:val="auto"/>
          <w:sz w:val="24"/>
          <w:szCs w:val="21"/>
          <w:highlight w:val="none"/>
          <w:u w:val="single"/>
        </w:rPr>
        <w:t>c、当有效投标报价的投标人大于10个时，随机抽取10个有效投标报价并从中去掉一个最大值和最小值后计算算术平均值，该平均值按随机抽取的评标基准价下浮率（2～5%，0.5一个级别）下浮作为评标基准价。</w:t>
      </w:r>
    </w:p>
    <w:p>
      <w:pPr>
        <w:pBdr>
          <w:bottom w:val="single" w:color="auto" w:sz="6" w:space="1"/>
        </w:pBdr>
        <w:spacing w:line="400" w:lineRule="exact"/>
        <w:ind w:firstLine="537" w:firstLineChars="224"/>
        <w:rPr>
          <w:rFonts w:ascii="宋体" w:hAnsi="宋体"/>
          <w:color w:val="auto"/>
          <w:sz w:val="24"/>
          <w:szCs w:val="21"/>
          <w:highlight w:val="none"/>
          <w:u w:val="single"/>
        </w:rPr>
      </w:pPr>
      <w:r>
        <w:rPr>
          <w:rFonts w:hint="eastAsia" w:ascii="宋体" w:hAnsi="宋体"/>
          <w:color w:val="auto"/>
          <w:sz w:val="24"/>
          <w:szCs w:val="21"/>
          <w:highlight w:val="none"/>
          <w:u w:val="single"/>
        </w:rPr>
        <w:t>投标报价低于成本警示线的不参与评标基准价计算，在首次评标过程中，投标人未被发现存在串通投标、弄虚作假、行贿等情形的，无论是否重评，经确定的评标基准价不变。</w:t>
      </w:r>
    </w:p>
    <w:p>
      <w:pPr>
        <w:spacing w:line="48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条款号：3.2.1             修改类型：修改</w:t>
      </w:r>
    </w:p>
    <w:p>
      <w:pPr>
        <w:spacing w:line="360" w:lineRule="auto"/>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：3.2.1 评标委员会按本章第2.2款规定的量化因素和分值进行打分，并计算出综合评估得分。</w:t>
      </w:r>
    </w:p>
    <w:p>
      <w:pP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（3）按本章第2.2.5（3）目规定的评审因素和分值对投标报价计算出得分C；</w:t>
      </w:r>
    </w:p>
    <w:p>
      <w:pP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（4）按本章第2.2.5（4）目规定的评审因素和分值对诚信评价计算出得分D；</w:t>
      </w:r>
    </w:p>
    <w:p>
      <w:pPr>
        <w:spacing w:line="360" w:lineRule="auto"/>
        <w:ind w:firstLine="540" w:firstLineChars="224"/>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rPr>
        <w:t>：3.2.1评标委员会按本章第2.2款规定的量化因素和分值进行打分，并计算出综合评估得分。</w:t>
      </w:r>
    </w:p>
    <w:p>
      <w:pP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（1）按本章第2.2.5（1）目规定的评审因素和分值对技术部分计算出得分A；技术部分得分为</w:t>
      </w:r>
      <w:r>
        <w:rPr>
          <w:rFonts w:hint="eastAsia" w:ascii="宋体" w:hAnsi="宋体"/>
          <w:color w:val="auto"/>
          <w:sz w:val="24"/>
          <w:highlight w:val="none"/>
          <w:u w:val="single"/>
        </w:rPr>
        <w:t>评标专家打分的平均值</w:t>
      </w:r>
      <w:r>
        <w:rPr>
          <w:rFonts w:hint="eastAsia" w:ascii="宋体" w:hAnsi="宋体"/>
          <w:color w:val="auto"/>
          <w:sz w:val="24"/>
          <w:szCs w:val="21"/>
          <w:highlight w:val="none"/>
        </w:rPr>
        <w:t>。</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（2）按本章第2.2.5（2）目规定的评审因素和分值对商务部分计算出得分B；商务部分得分为评标专家打分的平均值。</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（3）按本章第2.2.5（3）目规定的评审因素和分值对投标报价计算出得分C；</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（4）按本章第2.2.5（4）目规定的评审因素和分值对诚信评价计算出得分D；</w:t>
      </w:r>
    </w:p>
    <w:p>
      <w:pPr>
        <w:pBdr>
          <w:bottom w:val="single" w:color="auto" w:sz="6" w:space="1"/>
        </w:pBdr>
        <w:rPr>
          <w:rFonts w:ascii="宋体" w:hAnsi="宋体"/>
          <w:color w:val="auto"/>
          <w:sz w:val="11"/>
          <w:szCs w:val="8"/>
          <w:highlight w:val="none"/>
          <w:u w:val="single"/>
        </w:rPr>
      </w:pPr>
    </w:p>
    <w:p>
      <w:pPr>
        <w:spacing w:line="40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条款号：3.2.3                          修改类型：修改</w:t>
      </w:r>
    </w:p>
    <w:p>
      <w:pP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w:t>
      </w:r>
      <w:r>
        <w:rPr>
          <w:rFonts w:hint="eastAsia" w:ascii="宋体" w:hAnsi="宋体"/>
          <w:color w:val="auto"/>
          <w:sz w:val="24"/>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w:t>
      </w:r>
      <w:r>
        <w:rPr>
          <w:rFonts w:ascii="宋体" w:hAnsi="宋体"/>
          <w:color w:val="auto"/>
          <w:sz w:val="24"/>
          <w:highlight w:val="none"/>
        </w:rPr>
        <w:t>）</w:t>
      </w:r>
      <w:r>
        <w:rPr>
          <w:rFonts w:hint="eastAsia" w:ascii="宋体" w:hAnsi="宋体"/>
          <w:color w:val="auto"/>
          <w:sz w:val="24"/>
          <w:highlight w:val="none"/>
        </w:rPr>
        <w:t>×得分权重+投标报价得分(C) ×得分权重+诚信评价分（D）×得分权重。</w:t>
      </w:r>
    </w:p>
    <w:p>
      <w:pPr>
        <w:pBdr>
          <w:bottom w:val="single" w:color="auto" w:sz="6" w:space="1"/>
        </w:pBdr>
        <w:spacing w:line="400" w:lineRule="exact"/>
        <w:ind w:firstLine="540" w:firstLineChars="224"/>
        <w:rPr>
          <w:rFonts w:ascii="宋体" w:hAnsi="宋体"/>
          <w:color w:val="auto"/>
          <w:sz w:val="24"/>
          <w:szCs w:val="21"/>
          <w:highlight w:val="none"/>
          <w:u w:val="single"/>
        </w:rPr>
      </w:pPr>
      <w:r>
        <w:rPr>
          <w:rFonts w:hint="eastAsia" w:ascii="宋体" w:hAnsi="宋体"/>
          <w:b/>
          <w:bCs/>
          <w:color w:val="auto"/>
          <w:sz w:val="24"/>
          <w:szCs w:val="21"/>
          <w:highlight w:val="none"/>
        </w:rPr>
        <w:t>现文：</w:t>
      </w:r>
      <w:r>
        <w:rPr>
          <w:rFonts w:hint="eastAsia" w:ascii="宋体" w:hAnsi="宋体"/>
          <w:color w:val="auto"/>
          <w:sz w:val="24"/>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w:t>
      </w:r>
      <w:r>
        <w:rPr>
          <w:rFonts w:hint="eastAsia" w:ascii="宋体" w:hAnsi="宋体"/>
          <w:color w:val="auto"/>
          <w:sz w:val="24"/>
          <w:szCs w:val="21"/>
          <w:highlight w:val="none"/>
          <w:u w:val="single"/>
        </w:rPr>
        <w:t>商务评审得分高的投标人排序为先；若商务评审得分也相同，诚信得分高的投标人排序为先；若诚信得分、商务评审得分均相同，则由评委通过记名投标表决（不得弃权），以“少数服从多数”的原则确定排序。</w:t>
      </w:r>
      <w:r>
        <w:rPr>
          <w:rFonts w:hint="eastAsia" w:ascii="宋体" w:hAnsi="宋体"/>
          <w:color w:val="auto"/>
          <w:sz w:val="24"/>
          <w:highlight w:val="none"/>
        </w:rPr>
        <w:t>计分采用百分制，得分计算方法：</w:t>
      </w:r>
      <w:r>
        <w:rPr>
          <w:rFonts w:hint="eastAsia" w:ascii="宋体" w:hAnsi="宋体"/>
          <w:color w:val="auto"/>
          <w:sz w:val="24"/>
          <w:szCs w:val="21"/>
          <w:highlight w:val="none"/>
          <w:u w:val="single"/>
        </w:rPr>
        <w:t>投标人</w:t>
      </w:r>
      <w:r>
        <w:rPr>
          <w:rFonts w:hint="eastAsia" w:ascii="宋体" w:hAnsi="宋体"/>
          <w:color w:val="auto"/>
          <w:sz w:val="24"/>
          <w:highlight w:val="none"/>
          <w:u w:val="single"/>
        </w:rPr>
        <w:t>总得分=技术部分得分（A）×2%+商务部分得分（B</w:t>
      </w:r>
      <w:r>
        <w:rPr>
          <w:rFonts w:ascii="宋体" w:hAnsi="宋体"/>
          <w:color w:val="auto"/>
          <w:sz w:val="24"/>
          <w:highlight w:val="none"/>
          <w:u w:val="single"/>
        </w:rPr>
        <w:t>）</w:t>
      </w:r>
      <w:r>
        <w:rPr>
          <w:rFonts w:hint="eastAsia" w:ascii="宋体" w:hAnsi="宋体"/>
          <w:color w:val="auto"/>
          <w:sz w:val="24"/>
          <w:highlight w:val="none"/>
          <w:u w:val="single"/>
        </w:rPr>
        <w:t>×1</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%+投标报价得分(C) ×</w:t>
      </w:r>
      <w:r>
        <w:rPr>
          <w:rFonts w:hint="eastAsia" w:ascii="宋体" w:hAnsi="宋体"/>
          <w:color w:val="auto"/>
          <w:sz w:val="24"/>
          <w:highlight w:val="none"/>
          <w:u w:val="single"/>
          <w:lang w:val="en-US" w:eastAsia="zh-CN"/>
        </w:rPr>
        <w:t>80</w:t>
      </w:r>
      <w:r>
        <w:rPr>
          <w:rFonts w:hint="eastAsia" w:ascii="宋体" w:hAnsi="宋体"/>
          <w:color w:val="auto"/>
          <w:sz w:val="24"/>
          <w:highlight w:val="none"/>
          <w:u w:val="single"/>
        </w:rPr>
        <w:t>%+诚信评价分（D）×5%。</w:t>
      </w:r>
    </w:p>
    <w:p>
      <w:pPr>
        <w:spacing w:line="40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条款号：4.1                          修改类型：修改</w:t>
      </w:r>
    </w:p>
    <w:p>
      <w:pP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：4.1 投标人诚信评价分取自本项目招标公告第 1 天所在季度的上一季度广州市水务工程企业信息库及诚信中心网站（http://121.8.226.19/gzswcx/index.jsp）中的“诚信排名&gt;&gt;施工—给排水(或水利)”中“诚信综合评价”分，未入库企业或在广州市水务工程企业信息库及诚信中心网中尚无诚信排名“施工－给排水（或水利）”得分的投标人，其诚信评价分按 40 分计算。</w:t>
      </w:r>
    </w:p>
    <w:p>
      <w:pPr>
        <w:pBdr>
          <w:bottom w:val="single" w:color="auto" w:sz="6" w:space="1"/>
        </w:pBdr>
        <w:spacing w:line="400" w:lineRule="exact"/>
        <w:ind w:firstLine="540" w:firstLineChars="224"/>
        <w:rPr>
          <w:rFonts w:ascii="宋体" w:hAnsi="宋体"/>
          <w:color w:val="auto"/>
          <w:sz w:val="24"/>
          <w:szCs w:val="21"/>
          <w:highlight w:val="none"/>
          <w:u w:val="single"/>
        </w:rPr>
      </w:pPr>
      <w:r>
        <w:rPr>
          <w:rFonts w:hint="eastAsia" w:ascii="宋体" w:hAnsi="宋体"/>
          <w:b/>
          <w:bCs/>
          <w:color w:val="auto"/>
          <w:sz w:val="24"/>
          <w:szCs w:val="21"/>
          <w:highlight w:val="none"/>
        </w:rPr>
        <w:t>现文：</w:t>
      </w:r>
      <w:r>
        <w:rPr>
          <w:rFonts w:hint="eastAsia" w:ascii="宋体" w:hAnsi="宋体"/>
          <w:color w:val="auto"/>
          <w:sz w:val="24"/>
          <w:szCs w:val="21"/>
          <w:highlight w:val="none"/>
        </w:rPr>
        <w:t>4.1</w:t>
      </w:r>
      <w:r>
        <w:rPr>
          <w:rFonts w:hint="eastAsia"/>
          <w:color w:val="auto"/>
          <w:kern w:val="0"/>
          <w:sz w:val="24"/>
          <w:szCs w:val="24"/>
          <w:highlight w:val="none"/>
          <w:u w:val="single"/>
        </w:rPr>
        <w:t>投标人诚信评价分取自本项目招标公告发布第一天所在季度的上一季度广州市水务工程建设管理数字化监管平台网站（http://112.94.68.142:8012/#/website）中的“企业诚信排名&gt;&gt;施工—给排水”中“诚信综合评价”分，未入库企业或在广州市水务工程企业库及</w:t>
      </w:r>
      <w:r>
        <w:rPr>
          <w:rFonts w:hint="eastAsia"/>
          <w:color w:val="auto"/>
          <w:kern w:val="0"/>
          <w:sz w:val="24"/>
          <w:szCs w:val="24"/>
          <w:highlight w:val="none"/>
        </w:rPr>
        <w:t>诚信评价系统网中尚无诚信排名“施工－给排水”得分的投标人，其诚信评价分按80分计算。</w:t>
      </w:r>
    </w:p>
    <w:p>
      <w:pPr>
        <w:spacing w:line="400" w:lineRule="exact"/>
        <w:ind w:firstLine="525" w:firstLineChars="249"/>
        <w:rPr>
          <w:rFonts w:ascii="宋体" w:hAnsi="宋体"/>
          <w:b/>
          <w:bCs/>
          <w:color w:val="auto"/>
          <w:szCs w:val="21"/>
          <w:highlight w:val="none"/>
        </w:rPr>
      </w:pPr>
      <w:r>
        <w:rPr>
          <w:rFonts w:hint="eastAsia" w:ascii="宋体" w:hAnsi="宋体"/>
          <w:b/>
          <w:bCs/>
          <w:color w:val="auto"/>
          <w:szCs w:val="21"/>
          <w:highlight w:val="none"/>
        </w:rPr>
        <w:t>条款号：</w:t>
      </w:r>
      <w:r>
        <w:rPr>
          <w:rFonts w:ascii="宋体" w:hAnsi="宋体"/>
          <w:b/>
          <w:bCs/>
          <w:color w:val="auto"/>
          <w:szCs w:val="21"/>
          <w:highlight w:val="none"/>
        </w:rPr>
        <w:t>4.2</w:t>
      </w:r>
      <w:r>
        <w:rPr>
          <w:rFonts w:hint="eastAsia" w:ascii="宋体" w:hAnsi="宋体"/>
          <w:b/>
          <w:bCs/>
          <w:color w:val="auto"/>
          <w:szCs w:val="21"/>
          <w:highlight w:val="none"/>
        </w:rPr>
        <w:t xml:space="preserve">                          修改类型：删除</w:t>
      </w:r>
    </w:p>
    <w:p>
      <w:pPr>
        <w:pBdr>
          <w:bottom w:val="single" w:color="auto" w:sz="6" w:space="1"/>
        </w:pBd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4.2两个或者两个以上水务建设市场主体组成联合体投标时，按联合体中诚信评价得分低的市场主体作为联合体的诚信评价得分。</w:t>
      </w:r>
    </w:p>
    <w:p>
      <w:pPr>
        <w:spacing w:line="400" w:lineRule="exact"/>
        <w:ind w:firstLine="472" w:firstLineChars="224"/>
        <w:rPr>
          <w:rFonts w:ascii="宋体" w:hAnsi="宋体"/>
          <w:b/>
          <w:bCs/>
          <w:color w:val="auto"/>
          <w:szCs w:val="21"/>
          <w:highlight w:val="none"/>
        </w:rPr>
      </w:pPr>
      <w:r>
        <w:rPr>
          <w:rFonts w:hint="eastAsia" w:ascii="宋体" w:hAnsi="宋体"/>
          <w:b/>
          <w:bCs/>
          <w:color w:val="auto"/>
          <w:szCs w:val="21"/>
          <w:highlight w:val="none"/>
        </w:rPr>
        <w:t>条款号：5.3                          修改类型：增加</w:t>
      </w:r>
    </w:p>
    <w:p>
      <w:pPr>
        <w:pBdr>
          <w:bottom w:val="single" w:color="auto" w:sz="6" w:space="1"/>
        </w:pBdr>
        <w:spacing w:line="400" w:lineRule="exact"/>
        <w:ind w:firstLine="540" w:firstLineChars="224"/>
        <w:rPr>
          <w:rFonts w:ascii="宋体" w:hAnsi="宋体"/>
          <w:color w:val="auto"/>
          <w:sz w:val="24"/>
          <w:szCs w:val="21"/>
          <w:highlight w:val="none"/>
        </w:rPr>
      </w:pPr>
      <w:r>
        <w:rPr>
          <w:rFonts w:hint="eastAsia" w:ascii="宋体" w:hAnsi="宋体"/>
          <w:b/>
          <w:bCs/>
          <w:color w:val="auto"/>
          <w:sz w:val="24"/>
          <w:szCs w:val="21"/>
          <w:highlight w:val="none"/>
        </w:rPr>
        <w:t>现文：</w:t>
      </w:r>
      <w:r>
        <w:rPr>
          <w:rFonts w:ascii="宋体" w:hAnsi="宋体"/>
          <w:color w:val="auto"/>
          <w:sz w:val="24"/>
          <w:szCs w:val="24"/>
          <w:highlight w:val="none"/>
          <w:u w:val="single"/>
        </w:rPr>
        <w:t>若广州公共资源交易中心当天无法解除评审故障，</w:t>
      </w:r>
      <w:r>
        <w:rPr>
          <w:rFonts w:hint="eastAsia" w:ascii="宋体" w:hAnsi="宋体"/>
          <w:color w:val="auto"/>
          <w:sz w:val="24"/>
          <w:szCs w:val="24"/>
          <w:highlight w:val="none"/>
          <w:u w:val="single"/>
        </w:rPr>
        <w:t>由评标委员会开启投标人递交的全部投标文件备用U盘，并按U盘内容进行评审。</w:t>
      </w:r>
    </w:p>
    <w:p>
      <w:pPr>
        <w:pStyle w:val="17"/>
        <w:ind w:firstLine="470" w:firstLineChars="196"/>
        <w:rPr>
          <w:rFonts w:ascii="宋体" w:hAnsi="宋体"/>
          <w:color w:val="auto"/>
          <w:sz w:val="24"/>
          <w:szCs w:val="21"/>
          <w:highlight w:val="none"/>
        </w:rPr>
      </w:pPr>
      <w:r>
        <w:rPr>
          <w:rFonts w:hint="eastAsia" w:ascii="宋体" w:hAnsi="宋体"/>
          <w:color w:val="auto"/>
          <w:sz w:val="24"/>
          <w:szCs w:val="21"/>
          <w:highlight w:val="none"/>
        </w:rPr>
        <w:t>注：以上修改，仅限于本范本中有可供选择条款的情形。</w:t>
      </w:r>
    </w:p>
    <w:p>
      <w:pPr>
        <w:spacing w:line="400" w:lineRule="exact"/>
        <w:rPr>
          <w:rFonts w:ascii="宋体" w:hAnsi="宋体"/>
          <w:color w:val="auto"/>
          <w:sz w:val="24"/>
          <w:highlight w:val="none"/>
        </w:rPr>
      </w:pPr>
      <w:r>
        <w:rPr>
          <w:rFonts w:hint="eastAsia" w:ascii="宋体" w:hAnsi="宋体"/>
          <w:color w:val="auto"/>
          <w:sz w:val="24"/>
          <w:szCs w:val="21"/>
          <w:highlight w:val="none"/>
        </w:rPr>
        <w:t>（以下无正文）</w:t>
      </w:r>
    </w:p>
    <w:p>
      <w:pPr>
        <w:spacing w:line="400" w:lineRule="exact"/>
        <w:jc w:val="center"/>
        <w:outlineLvl w:val="2"/>
        <w:rPr>
          <w:rFonts w:ascii="黑体" w:hAnsi="黑体" w:eastAsia="黑体"/>
          <w:color w:val="auto"/>
          <w:sz w:val="28"/>
          <w:szCs w:val="27"/>
          <w:highlight w:val="none"/>
        </w:rPr>
      </w:pPr>
      <w:bookmarkStart w:id="68" w:name="_Toc29477"/>
      <w:bookmarkEnd w:id="68"/>
      <w:bookmarkStart w:id="69" w:name="_Toc21787688"/>
      <w:bookmarkEnd w:id="69"/>
      <w:r>
        <w:rPr>
          <w:rFonts w:ascii="宋体" w:hAnsi="宋体"/>
          <w:color w:val="auto"/>
          <w:sz w:val="24"/>
          <w:szCs w:val="21"/>
          <w:highlight w:val="none"/>
        </w:rPr>
        <w:br w:type="page"/>
      </w:r>
      <w:bookmarkStart w:id="70" w:name="_Toc12014"/>
      <w:r>
        <w:rPr>
          <w:rFonts w:hint="eastAsia" w:ascii="黑体" w:hAnsi="黑体" w:eastAsia="黑体"/>
          <w:color w:val="auto"/>
          <w:sz w:val="28"/>
          <w:szCs w:val="27"/>
          <w:highlight w:val="none"/>
        </w:rPr>
        <w:t>方法一：综合评估法一</w:t>
      </w:r>
      <w:bookmarkEnd w:id="70"/>
    </w:p>
    <w:p>
      <w:pPr>
        <w:wordWrap w:val="0"/>
        <w:spacing w:line="400" w:lineRule="exact"/>
        <w:ind w:firstLine="537" w:firstLineChars="224"/>
        <w:rPr>
          <w:rFonts w:ascii="宋体" w:hAnsi="宋体"/>
          <w:color w:val="auto"/>
          <w:sz w:val="24"/>
          <w:szCs w:val="21"/>
          <w:highlight w:val="none"/>
        </w:rPr>
      </w:pPr>
      <w:bookmarkStart w:id="71" w:name="_Toc21787689"/>
    </w:p>
    <w:bookmarkEnd w:id="71"/>
    <w:p>
      <w:pPr>
        <w:spacing w:line="400" w:lineRule="exact"/>
        <w:ind w:firstLine="560" w:firstLineChars="200"/>
        <w:jc w:val="center"/>
        <w:outlineLvl w:val="1"/>
        <w:rPr>
          <w:rFonts w:ascii="黑体" w:hAnsi="黑体" w:eastAsia="黑体"/>
          <w:color w:val="auto"/>
          <w:sz w:val="28"/>
          <w:szCs w:val="27"/>
          <w:highlight w:val="none"/>
        </w:rPr>
      </w:pPr>
      <w:bookmarkStart w:id="72" w:name="_Toc30927"/>
      <w:bookmarkEnd w:id="72"/>
      <w:bookmarkStart w:id="73" w:name="_Toc9431"/>
      <w:r>
        <w:rPr>
          <w:rFonts w:hint="eastAsia" w:ascii="黑体" w:hAnsi="黑体" w:eastAsia="黑体"/>
          <w:color w:val="auto"/>
          <w:sz w:val="28"/>
          <w:szCs w:val="27"/>
          <w:highlight w:val="none"/>
        </w:rPr>
        <w:t>评标办法前附表</w:t>
      </w:r>
      <w:bookmarkEnd w:id="73"/>
    </w:p>
    <w:tbl>
      <w:tblPr>
        <w:tblStyle w:val="42"/>
        <w:tblW w:w="100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309"/>
        <w:gridCol w:w="1642"/>
        <w:gridCol w:w="436"/>
        <w:gridCol w:w="48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985" w:type="dxa"/>
            <w:gridSpan w:val="2"/>
            <w:tcBorders>
              <w:top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条款号</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评审因素</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676" w:type="dxa"/>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highlight w:val="none"/>
              </w:rPr>
            </w:pPr>
            <w:r>
              <w:rPr>
                <w:rFonts w:hint="eastAsia"/>
                <w:b/>
                <w:color w:val="auto"/>
                <w:highlight w:val="none"/>
              </w:rPr>
              <w:t>初步评审</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676"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2.1.</w:t>
            </w:r>
            <w:r>
              <w:rPr>
                <w:rFonts w:hint="eastAsia"/>
                <w:color w:val="auto"/>
                <w:szCs w:val="21"/>
                <w:highlight w:val="none"/>
              </w:rPr>
              <w:t>1</w:t>
            </w:r>
          </w:p>
        </w:tc>
        <w:tc>
          <w:tcPr>
            <w:tcW w:w="1309"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资格评审标准（营业执照、安全生产许可证、资质等级、项目负责人资格、安全员等信息取自交易中心信息库，其他在投标文件中提交）</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投标人声明签字盖章</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highlight w:val="none"/>
              </w:rPr>
              <w:t>法定代表人、项目负责人、技术负责人签字或签章及加盖单位公章（签字和盖章要求见《投标人须知前附表》第3.6.3条）；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营业执照</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安全生产许可证</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资质等级</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项目负责人</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安全生产考核合格证</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项目负责人及专职安全员具备建设行政主管部门颁发的有效安全生产考核合格证；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社保要求</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符合本项目招标公告的规定；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76"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top w:val="single" w:color="auto" w:sz="4" w:space="0"/>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szCs w:val="21"/>
                <w:highlight w:val="none"/>
              </w:rPr>
              <w:t>不是联合体投标</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6"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2.1.</w:t>
            </w:r>
            <w:r>
              <w:rPr>
                <w:rFonts w:hint="eastAsia"/>
                <w:color w:val="auto"/>
                <w:szCs w:val="21"/>
                <w:highlight w:val="none"/>
              </w:rPr>
              <w:t>2</w:t>
            </w:r>
          </w:p>
        </w:tc>
        <w:tc>
          <w:tcPr>
            <w:tcW w:w="1309"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形式评审标准</w:t>
            </w:r>
          </w:p>
        </w:tc>
        <w:tc>
          <w:tcPr>
            <w:tcW w:w="2078" w:type="dxa"/>
            <w:gridSpan w:val="2"/>
            <w:tcBorders>
              <w:top w:val="single" w:color="auto" w:sz="4" w:space="0"/>
              <w:left w:val="single" w:color="auto" w:sz="4" w:space="0"/>
              <w:bottom w:val="single" w:color="auto" w:sz="4" w:space="0"/>
              <w:right w:val="single" w:color="auto" w:sz="4" w:space="0"/>
            </w:tcBorders>
            <w:noWrap/>
          </w:tcPr>
          <w:p>
            <w:pPr>
              <w:spacing w:line="360" w:lineRule="exact"/>
              <w:jc w:val="center"/>
              <w:rPr>
                <w:color w:val="auto"/>
                <w:szCs w:val="21"/>
                <w:highlight w:val="none"/>
              </w:rPr>
            </w:pPr>
            <w:r>
              <w:rPr>
                <w:rFonts w:hint="eastAsia"/>
                <w:color w:val="auto"/>
                <w:highlight w:val="none"/>
              </w:rPr>
              <w:t>投标人参加投标的意思表达清楚，投标人代表被授权有效</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u w:val="single"/>
              </w:rPr>
            </w:pPr>
            <w:r>
              <w:rPr>
                <w:rFonts w:hint="eastAsia"/>
                <w:color w:val="auto"/>
                <w:highlight w:val="none"/>
                <w:u w:val="single"/>
              </w:rPr>
              <w:t>投标人声明、投标人廉洁承诺书、法定代表人身份证明；委托投标的还应提供授权委托书；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投标人名称</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与营业执照、资质证书</w:t>
            </w:r>
            <w:r>
              <w:rPr>
                <w:rFonts w:hint="eastAsia"/>
                <w:color w:val="auto"/>
                <w:szCs w:val="21"/>
                <w:highlight w:val="none"/>
              </w:rPr>
              <w:t>、安全生产许可证</w:t>
            </w:r>
            <w:r>
              <w:rPr>
                <w:color w:val="auto"/>
                <w:szCs w:val="21"/>
                <w:highlight w:val="none"/>
              </w:rPr>
              <w:t>一致</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投标函签字盖章</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u w:val="single"/>
              </w:rPr>
            </w:pPr>
            <w:r>
              <w:rPr>
                <w:rFonts w:hint="eastAsia"/>
                <w:color w:val="auto"/>
                <w:highlight w:val="none"/>
                <w:u w:val="single"/>
              </w:rPr>
              <w:t>按第八章投标文件格式提供及加盖单位公章（签字和盖章要求见《投标人须知前附表》第3.6.3条）；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highlight w:val="none"/>
              </w:rPr>
              <w:t>投标文件格式</w:t>
            </w:r>
          </w:p>
        </w:tc>
        <w:tc>
          <w:tcPr>
            <w:tcW w:w="5968" w:type="dxa"/>
            <w:gridSpan w:val="2"/>
            <w:tcBorders>
              <w:top w:val="single" w:color="auto" w:sz="4" w:space="0"/>
              <w:left w:val="single" w:color="auto" w:sz="4" w:space="0"/>
              <w:bottom w:val="single" w:color="auto" w:sz="4" w:space="0"/>
              <w:right w:val="single" w:color="auto" w:sz="4" w:space="0"/>
            </w:tcBorders>
            <w:noWrap/>
          </w:tcPr>
          <w:p>
            <w:pPr>
              <w:spacing w:line="360" w:lineRule="exact"/>
              <w:jc w:val="center"/>
              <w:rPr>
                <w:color w:val="auto"/>
                <w:szCs w:val="21"/>
                <w:highlight w:val="none"/>
              </w:rPr>
            </w:pPr>
            <w:r>
              <w:rPr>
                <w:rFonts w:hint="eastAsia"/>
                <w:color w:val="auto"/>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highlight w:val="none"/>
              </w:rPr>
            </w:pPr>
            <w:r>
              <w:rPr>
                <w:rFonts w:hint="eastAsia"/>
                <w:color w:val="auto"/>
                <w:highlight w:val="none"/>
              </w:rPr>
              <w:t>报价唯一</w:t>
            </w:r>
          </w:p>
        </w:tc>
        <w:tc>
          <w:tcPr>
            <w:tcW w:w="5968" w:type="dxa"/>
            <w:gridSpan w:val="2"/>
            <w:tcBorders>
              <w:top w:val="single" w:color="auto" w:sz="4" w:space="0"/>
              <w:left w:val="single" w:color="auto" w:sz="4" w:space="0"/>
              <w:bottom w:val="single" w:color="auto" w:sz="4" w:space="0"/>
              <w:right w:val="single" w:color="auto" w:sz="4" w:space="0"/>
            </w:tcBorders>
            <w:noWrap/>
          </w:tcPr>
          <w:p>
            <w:pPr>
              <w:spacing w:line="360" w:lineRule="exact"/>
              <w:jc w:val="center"/>
              <w:rPr>
                <w:color w:val="auto"/>
                <w:szCs w:val="21"/>
                <w:highlight w:val="none"/>
              </w:rPr>
            </w:pPr>
            <w:r>
              <w:rPr>
                <w:rFonts w:hint="eastAsia"/>
                <w:color w:val="auto"/>
                <w:highlight w:val="none"/>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2.1.3</w:t>
            </w:r>
          </w:p>
        </w:tc>
        <w:tc>
          <w:tcPr>
            <w:tcW w:w="1309"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响应性评审标准</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投标报价</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符合第</w:t>
            </w:r>
            <w:r>
              <w:rPr>
                <w:rFonts w:hint="eastAsia"/>
                <w:color w:val="auto"/>
                <w:szCs w:val="21"/>
                <w:highlight w:val="none"/>
              </w:rPr>
              <w:t>二</w:t>
            </w:r>
            <w:r>
              <w:rPr>
                <w:color w:val="auto"/>
                <w:szCs w:val="21"/>
                <w:highlight w:val="none"/>
              </w:rPr>
              <w:t>章“投标人须知”第</w:t>
            </w:r>
            <w:r>
              <w:rPr>
                <w:rFonts w:hint="eastAsia"/>
                <w:color w:val="auto"/>
                <w:szCs w:val="21"/>
                <w:highlight w:val="none"/>
              </w:rPr>
              <w:t>3</w:t>
            </w:r>
            <w:r>
              <w:rPr>
                <w:color w:val="auto"/>
                <w:szCs w:val="21"/>
                <w:highlight w:val="none"/>
              </w:rPr>
              <w:t>.</w:t>
            </w:r>
            <w:r>
              <w:rPr>
                <w:rFonts w:hint="eastAsia"/>
                <w:color w:val="auto"/>
                <w:szCs w:val="21"/>
                <w:highlight w:val="none"/>
              </w:rPr>
              <w:t>2</w:t>
            </w:r>
            <w:r>
              <w:rPr>
                <w:color w:val="auto"/>
                <w:szCs w:val="21"/>
                <w:highlight w:val="none"/>
              </w:rPr>
              <w:t>.</w:t>
            </w:r>
            <w:r>
              <w:rPr>
                <w:rFonts w:hint="eastAsia"/>
                <w:color w:val="auto"/>
                <w:szCs w:val="21"/>
                <w:highlight w:val="none"/>
              </w:rPr>
              <w:t>3</w:t>
            </w:r>
            <w:r>
              <w:rPr>
                <w:color w:val="auto"/>
                <w:szCs w:val="21"/>
                <w:highlight w:val="none"/>
              </w:rPr>
              <w:t>项规定</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ascii="宋体" w:hAnsi="宋体"/>
                <w:color w:val="auto"/>
                <w:szCs w:val="21"/>
                <w:highlight w:val="none"/>
              </w:rPr>
              <w:t>工期</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符合第</w:t>
            </w:r>
            <w:r>
              <w:rPr>
                <w:rFonts w:hint="eastAsia"/>
                <w:color w:val="auto"/>
                <w:szCs w:val="21"/>
                <w:highlight w:val="none"/>
              </w:rPr>
              <w:t>二</w:t>
            </w:r>
            <w:r>
              <w:rPr>
                <w:color w:val="auto"/>
                <w:szCs w:val="21"/>
                <w:highlight w:val="none"/>
              </w:rPr>
              <w:t>章“投标人须知”第1.3.2项规定</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工程质量</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符合第</w:t>
            </w:r>
            <w:r>
              <w:rPr>
                <w:rFonts w:hint="eastAsia"/>
                <w:color w:val="auto"/>
                <w:szCs w:val="21"/>
                <w:highlight w:val="none"/>
              </w:rPr>
              <w:t>二</w:t>
            </w:r>
            <w:r>
              <w:rPr>
                <w:color w:val="auto"/>
                <w:szCs w:val="21"/>
                <w:highlight w:val="none"/>
              </w:rPr>
              <w:t>章“投标人须知”第1.3.3项规定</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投标有效期</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符合第</w:t>
            </w:r>
            <w:r>
              <w:rPr>
                <w:rFonts w:hint="eastAsia"/>
                <w:color w:val="auto"/>
                <w:szCs w:val="21"/>
                <w:highlight w:val="none"/>
              </w:rPr>
              <w:t>二</w:t>
            </w:r>
            <w:r>
              <w:rPr>
                <w:color w:val="auto"/>
                <w:szCs w:val="21"/>
                <w:highlight w:val="none"/>
              </w:rPr>
              <w:t>章“投标人须知”第3.3.1项规定</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投标保证金</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符合第</w:t>
            </w:r>
            <w:r>
              <w:rPr>
                <w:rFonts w:hint="eastAsia"/>
                <w:color w:val="auto"/>
                <w:szCs w:val="21"/>
                <w:highlight w:val="none"/>
              </w:rPr>
              <w:t>二</w:t>
            </w:r>
            <w:r>
              <w:rPr>
                <w:color w:val="auto"/>
                <w:szCs w:val="21"/>
                <w:highlight w:val="none"/>
              </w:rPr>
              <w:t>章“投标人须知”第3.4</w:t>
            </w:r>
            <w:r>
              <w:rPr>
                <w:rFonts w:hint="eastAsia"/>
                <w:color w:val="auto"/>
                <w:szCs w:val="21"/>
                <w:highlight w:val="none"/>
              </w:rPr>
              <w:t>项</w:t>
            </w:r>
            <w:r>
              <w:rPr>
                <w:color w:val="auto"/>
                <w:szCs w:val="21"/>
                <w:highlight w:val="none"/>
              </w:rPr>
              <w:t>规定</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已标价工程量清单</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符合第</w:t>
            </w:r>
            <w:r>
              <w:rPr>
                <w:rFonts w:hint="eastAsia"/>
                <w:color w:val="auto"/>
                <w:szCs w:val="21"/>
                <w:highlight w:val="none"/>
              </w:rPr>
              <w:t>五</w:t>
            </w:r>
            <w:r>
              <w:rPr>
                <w:color w:val="auto"/>
                <w:szCs w:val="21"/>
                <w:highlight w:val="none"/>
              </w:rPr>
              <w:t>章“工程量清单”给出的范围及数量</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5" w:type="dxa"/>
            <w:gridSpan w:val="2"/>
            <w:tcBorders>
              <w:top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条款号</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条款内容</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985" w:type="dxa"/>
            <w:gridSpan w:val="2"/>
            <w:tcBorders>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b/>
                <w:color w:val="auto"/>
                <w:szCs w:val="21"/>
                <w:highlight w:val="none"/>
              </w:rPr>
              <w:t>2.2.1</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综合评估得分</w:t>
            </w:r>
            <w:r>
              <w:rPr>
                <w:color w:val="auto"/>
                <w:szCs w:val="21"/>
                <w:highlight w:val="none"/>
              </w:rPr>
              <w:t>构成</w:t>
            </w:r>
          </w:p>
          <w:p>
            <w:pPr>
              <w:spacing w:line="360" w:lineRule="exact"/>
              <w:jc w:val="center"/>
              <w:rPr>
                <w:color w:val="auto"/>
                <w:szCs w:val="21"/>
                <w:highlight w:val="none"/>
              </w:rPr>
            </w:pPr>
            <w:r>
              <w:rPr>
                <w:color w:val="auto"/>
                <w:szCs w:val="21"/>
                <w:highlight w:val="none"/>
              </w:rPr>
              <w:t>(总分100分)</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numPr>
                <w:ilvl w:val="0"/>
                <w:numId w:val="6"/>
              </w:numPr>
              <w:spacing w:line="360" w:lineRule="exact"/>
              <w:jc w:val="left"/>
              <w:rPr>
                <w:color w:val="auto"/>
                <w:szCs w:val="21"/>
                <w:highlight w:val="none"/>
              </w:rPr>
            </w:pPr>
            <w:r>
              <w:rPr>
                <w:rFonts w:hint="eastAsia"/>
                <w:color w:val="auto"/>
                <w:szCs w:val="21"/>
                <w:highlight w:val="none"/>
              </w:rPr>
              <w:t>商务评审权重：</w:t>
            </w:r>
            <w:r>
              <w:rPr>
                <w:rFonts w:hint="eastAsia"/>
                <w:color w:val="auto"/>
                <w:szCs w:val="21"/>
                <w:highlight w:val="none"/>
                <w:lang w:val="en-US" w:eastAsia="zh-CN"/>
              </w:rPr>
              <w:t>13</w:t>
            </w:r>
            <w:r>
              <w:rPr>
                <w:rFonts w:hint="eastAsia"/>
                <w:color w:val="auto"/>
                <w:szCs w:val="21"/>
                <w:highlight w:val="none"/>
              </w:rPr>
              <w:t>%</w:t>
            </w:r>
          </w:p>
          <w:p>
            <w:pPr>
              <w:numPr>
                <w:ilvl w:val="0"/>
                <w:numId w:val="6"/>
              </w:numPr>
              <w:spacing w:line="360" w:lineRule="exact"/>
              <w:jc w:val="left"/>
              <w:rPr>
                <w:color w:val="auto"/>
                <w:szCs w:val="21"/>
                <w:highlight w:val="none"/>
              </w:rPr>
            </w:pPr>
            <w:r>
              <w:rPr>
                <w:rFonts w:hint="eastAsia"/>
                <w:color w:val="auto"/>
                <w:szCs w:val="21"/>
                <w:highlight w:val="none"/>
              </w:rPr>
              <w:t>技术评审权重：2%</w:t>
            </w:r>
          </w:p>
          <w:p>
            <w:pPr>
              <w:numPr>
                <w:ilvl w:val="0"/>
                <w:numId w:val="6"/>
              </w:numPr>
              <w:spacing w:line="360" w:lineRule="exact"/>
              <w:jc w:val="left"/>
              <w:rPr>
                <w:color w:val="auto"/>
                <w:szCs w:val="21"/>
                <w:highlight w:val="none"/>
              </w:rPr>
            </w:pPr>
            <w:r>
              <w:rPr>
                <w:rFonts w:hint="eastAsia"/>
                <w:color w:val="auto"/>
                <w:szCs w:val="21"/>
                <w:highlight w:val="none"/>
              </w:rPr>
              <w:t>投标报价权重：</w:t>
            </w:r>
            <w:r>
              <w:rPr>
                <w:rFonts w:hint="eastAsia"/>
                <w:color w:val="auto"/>
                <w:szCs w:val="21"/>
                <w:highlight w:val="none"/>
                <w:lang w:val="en-US" w:eastAsia="zh-CN"/>
              </w:rPr>
              <w:t>80</w:t>
            </w:r>
            <w:r>
              <w:rPr>
                <w:rFonts w:hint="eastAsia"/>
                <w:color w:val="auto"/>
                <w:szCs w:val="21"/>
                <w:highlight w:val="none"/>
              </w:rPr>
              <w:t>%</w:t>
            </w:r>
          </w:p>
          <w:p>
            <w:pPr>
              <w:numPr>
                <w:ilvl w:val="255"/>
                <w:numId w:val="0"/>
              </w:numPr>
              <w:spacing w:line="360" w:lineRule="exact"/>
              <w:ind w:firstLine="420" w:firstLineChars="200"/>
              <w:jc w:val="left"/>
              <w:rPr>
                <w:color w:val="auto"/>
                <w:szCs w:val="21"/>
                <w:highlight w:val="none"/>
              </w:rPr>
            </w:pPr>
            <w:r>
              <w:rPr>
                <w:rFonts w:hint="eastAsia"/>
                <w:color w:val="auto"/>
                <w:szCs w:val="21"/>
                <w:highlight w:val="none"/>
              </w:rPr>
              <w:t>上述三项评审得分总和占综合评估得分权重95%；（注：复杂和大型工程项目采用综合评分法的，价格权重不少于60%，其他工程的施工招标采用综合评分法的，价格权重不少于80%。）</w:t>
            </w:r>
          </w:p>
          <w:p>
            <w:pPr>
              <w:numPr>
                <w:ilvl w:val="0"/>
                <w:numId w:val="6"/>
              </w:numPr>
              <w:spacing w:line="360" w:lineRule="exact"/>
              <w:jc w:val="left"/>
              <w:rPr>
                <w:color w:val="auto"/>
                <w:szCs w:val="21"/>
                <w:highlight w:val="none"/>
              </w:rPr>
            </w:pPr>
            <w:r>
              <w:rPr>
                <w:rFonts w:hint="eastAsia"/>
                <w:color w:val="auto"/>
                <w:szCs w:val="21"/>
                <w:highlight w:val="none"/>
              </w:rPr>
              <w:t>诚信得分占综合评估得分权重：5% 。</w:t>
            </w:r>
          </w:p>
          <w:p>
            <w:pPr>
              <w:spacing w:line="360" w:lineRule="exact"/>
              <w:jc w:val="left"/>
              <w:rPr>
                <w:color w:val="auto"/>
                <w:szCs w:val="21"/>
                <w:highlight w:val="none"/>
              </w:rPr>
            </w:pPr>
            <w:r>
              <w:rPr>
                <w:rFonts w:hint="eastAsia"/>
                <w:color w:val="auto"/>
                <w:szCs w:val="21"/>
                <w:highlight w:val="none"/>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985" w:type="dxa"/>
            <w:gridSpan w:val="2"/>
            <w:tcBorders>
              <w:top w:val="nil"/>
              <w:bottom w:val="single" w:color="auto" w:sz="4" w:space="0"/>
              <w:right w:val="single" w:color="auto" w:sz="4" w:space="0"/>
            </w:tcBorders>
            <w:noWrap/>
            <w:vAlign w:val="center"/>
          </w:tcPr>
          <w:p>
            <w:pPr>
              <w:spacing w:line="360" w:lineRule="exact"/>
              <w:jc w:val="center"/>
              <w:rPr>
                <w:b/>
                <w:color w:val="auto"/>
                <w:szCs w:val="21"/>
                <w:highlight w:val="none"/>
              </w:rPr>
            </w:pPr>
            <w:r>
              <w:rPr>
                <w:rFonts w:hint="eastAsia"/>
                <w:b/>
                <w:color w:val="auto"/>
                <w:szCs w:val="21"/>
                <w:highlight w:val="none"/>
              </w:rPr>
              <w:t>2.2.3</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rPr>
            </w:pPr>
            <w:r>
              <w:rPr>
                <w:rFonts w:hint="eastAsia"/>
                <w:color w:val="auto"/>
                <w:szCs w:val="21"/>
                <w:highlight w:val="none"/>
              </w:rPr>
              <w:t>评标基准价计算方法</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color w:val="auto"/>
                <w:szCs w:val="21"/>
                <w:highlight w:val="none"/>
                <w:u w:val="single"/>
              </w:rPr>
            </w:pPr>
            <w:r>
              <w:rPr>
                <w:rFonts w:hint="eastAsia"/>
                <w:color w:val="auto"/>
                <w:szCs w:val="21"/>
                <w:highlight w:val="none"/>
                <w:u w:val="single"/>
              </w:rPr>
              <w:t>以通过初步评审的投标人位于[成本警示价，最高投标限价</w:t>
            </w:r>
            <w:r>
              <w:rPr>
                <w:color w:val="auto"/>
                <w:szCs w:val="21"/>
                <w:highlight w:val="none"/>
                <w:u w:val="single"/>
              </w:rPr>
              <w:t>]</w:t>
            </w:r>
            <w:r>
              <w:rPr>
                <w:rFonts w:hint="eastAsia"/>
                <w:color w:val="auto"/>
                <w:szCs w:val="21"/>
                <w:highlight w:val="none"/>
                <w:u w:val="single"/>
              </w:rPr>
              <w:t>区间的投标报价为有效投标报价，有效投标报价的算术平均值按随机抽取的评标基准价下浮率（</w:t>
            </w:r>
            <w:r>
              <w:rPr>
                <w:color w:val="auto"/>
                <w:szCs w:val="21"/>
                <w:highlight w:val="none"/>
                <w:u w:val="single"/>
              </w:rPr>
              <w:t>2</w:t>
            </w:r>
            <w:r>
              <w:rPr>
                <w:rFonts w:hint="eastAsia"/>
                <w:color w:val="auto"/>
                <w:szCs w:val="21"/>
                <w:highlight w:val="none"/>
                <w:u w:val="single"/>
              </w:rPr>
              <w:t>～</w:t>
            </w:r>
            <w:r>
              <w:rPr>
                <w:color w:val="auto"/>
                <w:szCs w:val="21"/>
                <w:highlight w:val="none"/>
                <w:u w:val="single"/>
              </w:rPr>
              <w:t>5%</w:t>
            </w:r>
            <w:r>
              <w:rPr>
                <w:rFonts w:hint="eastAsia"/>
                <w:color w:val="auto"/>
                <w:szCs w:val="21"/>
                <w:highlight w:val="none"/>
                <w:u w:val="single"/>
              </w:rPr>
              <w:t>，</w:t>
            </w:r>
            <w:r>
              <w:rPr>
                <w:color w:val="auto"/>
                <w:szCs w:val="21"/>
                <w:highlight w:val="none"/>
                <w:u w:val="single"/>
              </w:rPr>
              <w:t>0.5</w:t>
            </w:r>
            <w:r>
              <w:rPr>
                <w:rFonts w:hint="eastAsia"/>
                <w:color w:val="auto"/>
                <w:szCs w:val="21"/>
                <w:highlight w:val="none"/>
                <w:u w:val="single"/>
              </w:rPr>
              <w:t>一个级别）下浮作为评标基准价。最高投标限价的</w:t>
            </w:r>
            <w:r>
              <w:rPr>
                <w:color w:val="auto"/>
                <w:szCs w:val="21"/>
                <w:highlight w:val="none"/>
                <w:u w:val="single"/>
              </w:rPr>
              <w:t>92%</w:t>
            </w:r>
            <w:r>
              <w:rPr>
                <w:rFonts w:hint="eastAsia"/>
                <w:color w:val="auto"/>
                <w:szCs w:val="21"/>
                <w:highlight w:val="none"/>
                <w:u w:val="single"/>
              </w:rPr>
              <w:t>设置为成本警示价，具体确定方法如下：</w:t>
            </w:r>
          </w:p>
          <w:p>
            <w:pPr>
              <w:spacing w:line="360" w:lineRule="exact"/>
              <w:jc w:val="left"/>
              <w:rPr>
                <w:color w:val="auto"/>
                <w:szCs w:val="21"/>
                <w:highlight w:val="none"/>
                <w:u w:val="single"/>
              </w:rPr>
            </w:pPr>
            <w:r>
              <w:rPr>
                <w:color w:val="auto"/>
                <w:szCs w:val="21"/>
                <w:highlight w:val="none"/>
                <w:u w:val="single"/>
              </w:rPr>
              <w:t>a</w:t>
            </w:r>
            <w:r>
              <w:rPr>
                <w:rFonts w:hint="eastAsia"/>
                <w:color w:val="auto"/>
                <w:szCs w:val="21"/>
                <w:highlight w:val="none"/>
                <w:u w:val="single"/>
              </w:rPr>
              <w:t>、当有效投标报价的投标人少于或等于</w:t>
            </w:r>
            <w:r>
              <w:rPr>
                <w:color w:val="auto"/>
                <w:szCs w:val="21"/>
                <w:highlight w:val="none"/>
                <w:u w:val="single"/>
              </w:rPr>
              <w:t>5</w:t>
            </w:r>
            <w:r>
              <w:rPr>
                <w:rFonts w:hint="eastAsia"/>
                <w:color w:val="auto"/>
                <w:szCs w:val="21"/>
                <w:highlight w:val="none"/>
                <w:u w:val="single"/>
              </w:rPr>
              <w:t>个时，取全部有效投标报价的算术平均按随机抽取的评标基准价下浮率（</w:t>
            </w:r>
            <w:r>
              <w:rPr>
                <w:color w:val="auto"/>
                <w:szCs w:val="21"/>
                <w:highlight w:val="none"/>
                <w:u w:val="single"/>
              </w:rPr>
              <w:t>2</w:t>
            </w:r>
            <w:r>
              <w:rPr>
                <w:rFonts w:hint="eastAsia"/>
                <w:color w:val="auto"/>
                <w:szCs w:val="21"/>
                <w:highlight w:val="none"/>
                <w:u w:val="single"/>
              </w:rPr>
              <w:t>～</w:t>
            </w:r>
            <w:r>
              <w:rPr>
                <w:color w:val="auto"/>
                <w:szCs w:val="21"/>
                <w:highlight w:val="none"/>
                <w:u w:val="single"/>
              </w:rPr>
              <w:t>5%</w:t>
            </w:r>
            <w:r>
              <w:rPr>
                <w:rFonts w:hint="eastAsia"/>
                <w:color w:val="auto"/>
                <w:szCs w:val="21"/>
                <w:highlight w:val="none"/>
                <w:u w:val="single"/>
              </w:rPr>
              <w:t>，</w:t>
            </w:r>
            <w:r>
              <w:rPr>
                <w:color w:val="auto"/>
                <w:szCs w:val="21"/>
                <w:highlight w:val="none"/>
                <w:u w:val="single"/>
              </w:rPr>
              <w:t>0.5</w:t>
            </w:r>
            <w:r>
              <w:rPr>
                <w:rFonts w:hint="eastAsia"/>
                <w:color w:val="auto"/>
                <w:szCs w:val="21"/>
                <w:highlight w:val="none"/>
                <w:u w:val="single"/>
              </w:rPr>
              <w:t>一个级别）下浮作为评标基准价。</w:t>
            </w:r>
          </w:p>
          <w:p>
            <w:pPr>
              <w:spacing w:line="360" w:lineRule="exact"/>
              <w:jc w:val="left"/>
              <w:rPr>
                <w:color w:val="auto"/>
                <w:szCs w:val="21"/>
                <w:highlight w:val="none"/>
                <w:u w:val="single"/>
              </w:rPr>
            </w:pPr>
            <w:r>
              <w:rPr>
                <w:color w:val="auto"/>
                <w:szCs w:val="21"/>
                <w:highlight w:val="none"/>
                <w:u w:val="single"/>
              </w:rPr>
              <w:t>b</w:t>
            </w:r>
            <w:r>
              <w:rPr>
                <w:rFonts w:hint="eastAsia"/>
                <w:color w:val="auto"/>
                <w:szCs w:val="21"/>
                <w:highlight w:val="none"/>
                <w:u w:val="single"/>
              </w:rPr>
              <w:t>、当有效投标报价的投标人为</w:t>
            </w:r>
            <w:r>
              <w:rPr>
                <w:color w:val="auto"/>
                <w:szCs w:val="21"/>
                <w:highlight w:val="none"/>
                <w:u w:val="single"/>
              </w:rPr>
              <w:t>6</w:t>
            </w:r>
            <w:r>
              <w:rPr>
                <w:rFonts w:hint="eastAsia"/>
                <w:color w:val="auto"/>
                <w:szCs w:val="21"/>
                <w:highlight w:val="none"/>
                <w:u w:val="single"/>
              </w:rPr>
              <w:t>至</w:t>
            </w:r>
            <w:r>
              <w:rPr>
                <w:color w:val="auto"/>
                <w:szCs w:val="21"/>
                <w:highlight w:val="none"/>
                <w:u w:val="single"/>
              </w:rPr>
              <w:t>10</w:t>
            </w:r>
            <w:r>
              <w:rPr>
                <w:rFonts w:hint="eastAsia"/>
                <w:color w:val="auto"/>
                <w:szCs w:val="21"/>
                <w:highlight w:val="none"/>
                <w:u w:val="single"/>
              </w:rPr>
              <w:t>个时，从全部有效投标报价中去掉一个最大值和最小值，其他有效投标报价的算术平均值按随机抽取的评标基准价下浮率（</w:t>
            </w:r>
            <w:r>
              <w:rPr>
                <w:color w:val="auto"/>
                <w:szCs w:val="21"/>
                <w:highlight w:val="none"/>
                <w:u w:val="single"/>
              </w:rPr>
              <w:t>2</w:t>
            </w:r>
            <w:r>
              <w:rPr>
                <w:rFonts w:hint="eastAsia"/>
                <w:color w:val="auto"/>
                <w:szCs w:val="21"/>
                <w:highlight w:val="none"/>
                <w:u w:val="single"/>
              </w:rPr>
              <w:t>～</w:t>
            </w:r>
            <w:r>
              <w:rPr>
                <w:color w:val="auto"/>
                <w:szCs w:val="21"/>
                <w:highlight w:val="none"/>
                <w:u w:val="single"/>
              </w:rPr>
              <w:t>5%</w:t>
            </w:r>
            <w:r>
              <w:rPr>
                <w:rFonts w:hint="eastAsia"/>
                <w:color w:val="auto"/>
                <w:szCs w:val="21"/>
                <w:highlight w:val="none"/>
                <w:u w:val="single"/>
              </w:rPr>
              <w:t>，</w:t>
            </w:r>
            <w:r>
              <w:rPr>
                <w:color w:val="auto"/>
                <w:szCs w:val="21"/>
                <w:highlight w:val="none"/>
                <w:u w:val="single"/>
              </w:rPr>
              <w:t>0.5</w:t>
            </w:r>
            <w:r>
              <w:rPr>
                <w:rFonts w:hint="eastAsia"/>
                <w:color w:val="auto"/>
                <w:szCs w:val="21"/>
                <w:highlight w:val="none"/>
                <w:u w:val="single"/>
              </w:rPr>
              <w:t>一个级别）下浮作为评标基准价。</w:t>
            </w:r>
          </w:p>
          <w:p>
            <w:pPr>
              <w:spacing w:line="360" w:lineRule="exact"/>
              <w:jc w:val="left"/>
              <w:rPr>
                <w:color w:val="auto"/>
                <w:szCs w:val="21"/>
                <w:highlight w:val="none"/>
                <w:u w:val="single"/>
              </w:rPr>
            </w:pPr>
            <w:r>
              <w:rPr>
                <w:color w:val="auto"/>
                <w:szCs w:val="21"/>
                <w:highlight w:val="none"/>
                <w:u w:val="single"/>
              </w:rPr>
              <w:t>c</w:t>
            </w:r>
            <w:r>
              <w:rPr>
                <w:rFonts w:hint="eastAsia"/>
                <w:color w:val="auto"/>
                <w:szCs w:val="21"/>
                <w:highlight w:val="none"/>
                <w:u w:val="single"/>
              </w:rPr>
              <w:t>、当有效投标报价的投标人大于</w:t>
            </w:r>
            <w:r>
              <w:rPr>
                <w:color w:val="auto"/>
                <w:szCs w:val="21"/>
                <w:highlight w:val="none"/>
                <w:u w:val="single"/>
              </w:rPr>
              <w:t>10</w:t>
            </w:r>
            <w:r>
              <w:rPr>
                <w:rFonts w:hint="eastAsia"/>
                <w:color w:val="auto"/>
                <w:szCs w:val="21"/>
                <w:highlight w:val="none"/>
                <w:u w:val="single"/>
              </w:rPr>
              <w:t>个时，随机抽取</w:t>
            </w:r>
            <w:r>
              <w:rPr>
                <w:color w:val="auto"/>
                <w:szCs w:val="21"/>
                <w:highlight w:val="none"/>
                <w:u w:val="single"/>
              </w:rPr>
              <w:t>10</w:t>
            </w:r>
            <w:r>
              <w:rPr>
                <w:rFonts w:hint="eastAsia"/>
                <w:color w:val="auto"/>
                <w:szCs w:val="21"/>
                <w:highlight w:val="none"/>
                <w:u w:val="single"/>
              </w:rPr>
              <w:t>个有效投标报价并从中去掉一个最大值和最小值后计算算术平均值，该平均值按随机抽取的评标基准价下浮率（</w:t>
            </w:r>
            <w:r>
              <w:rPr>
                <w:color w:val="auto"/>
                <w:szCs w:val="21"/>
                <w:highlight w:val="none"/>
                <w:u w:val="single"/>
              </w:rPr>
              <w:t>2</w:t>
            </w:r>
            <w:r>
              <w:rPr>
                <w:rFonts w:hint="eastAsia"/>
                <w:color w:val="auto"/>
                <w:szCs w:val="21"/>
                <w:highlight w:val="none"/>
                <w:u w:val="single"/>
              </w:rPr>
              <w:t>～</w:t>
            </w:r>
            <w:r>
              <w:rPr>
                <w:color w:val="auto"/>
                <w:szCs w:val="21"/>
                <w:highlight w:val="none"/>
                <w:u w:val="single"/>
              </w:rPr>
              <w:t>5%</w:t>
            </w:r>
            <w:r>
              <w:rPr>
                <w:rFonts w:hint="eastAsia"/>
                <w:color w:val="auto"/>
                <w:szCs w:val="21"/>
                <w:highlight w:val="none"/>
                <w:u w:val="single"/>
              </w:rPr>
              <w:t>，</w:t>
            </w:r>
            <w:r>
              <w:rPr>
                <w:color w:val="auto"/>
                <w:szCs w:val="21"/>
                <w:highlight w:val="none"/>
                <w:u w:val="single"/>
              </w:rPr>
              <w:t>0.5</w:t>
            </w:r>
            <w:r>
              <w:rPr>
                <w:rFonts w:hint="eastAsia"/>
                <w:color w:val="auto"/>
                <w:szCs w:val="21"/>
                <w:highlight w:val="none"/>
                <w:u w:val="single"/>
              </w:rPr>
              <w:t>一个级别）下浮作为评标基准价。</w:t>
            </w:r>
          </w:p>
          <w:p>
            <w:pPr>
              <w:spacing w:line="360" w:lineRule="exact"/>
              <w:jc w:val="left"/>
              <w:rPr>
                <w:color w:val="auto"/>
                <w:szCs w:val="21"/>
                <w:highlight w:val="none"/>
              </w:rPr>
            </w:pPr>
            <w:r>
              <w:rPr>
                <w:rFonts w:hint="eastAsia"/>
                <w:color w:val="auto"/>
                <w:szCs w:val="21"/>
                <w:highlight w:val="none"/>
                <w:u w:val="single"/>
              </w:rPr>
              <w:t>投标报价低于成本警示线的不参与评标基准价计算，在首次评标过程中，投标人未被发现存在串通投标、弄虚作假、行贿等情形的，无论是否重评，经确定的评标基准价不变。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985" w:type="dxa"/>
            <w:gridSpan w:val="2"/>
            <w:tcBorders>
              <w:top w:val="nil"/>
              <w:bottom w:val="single" w:color="auto" w:sz="4" w:space="0"/>
              <w:right w:val="single" w:color="auto" w:sz="4" w:space="0"/>
            </w:tcBorders>
            <w:noWrap/>
            <w:vAlign w:val="center"/>
          </w:tcPr>
          <w:p>
            <w:pPr>
              <w:spacing w:line="360" w:lineRule="exact"/>
              <w:jc w:val="center"/>
              <w:rPr>
                <w:b/>
                <w:color w:val="auto"/>
                <w:szCs w:val="21"/>
                <w:highlight w:val="none"/>
              </w:rPr>
            </w:pPr>
            <w:r>
              <w:rPr>
                <w:rFonts w:hint="eastAsia"/>
                <w:b/>
                <w:color w:val="auto"/>
                <w:szCs w:val="21"/>
                <w:highlight w:val="none"/>
              </w:rPr>
              <w:t>2.2.4</w:t>
            </w:r>
          </w:p>
        </w:tc>
        <w:tc>
          <w:tcPr>
            <w:tcW w:w="207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rFonts w:hint="eastAsia"/>
                <w:color w:val="auto"/>
                <w:szCs w:val="21"/>
                <w:highlight w:val="none"/>
              </w:rPr>
              <w:t>投标报价偏差率计算公式</w:t>
            </w:r>
          </w:p>
        </w:tc>
        <w:tc>
          <w:tcPr>
            <w:tcW w:w="5968"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rFonts w:hint="eastAsia"/>
                <w:color w:val="auto"/>
                <w:szCs w:val="21"/>
                <w:highlight w:val="none"/>
              </w:rPr>
              <w:t>偏差率=（投标报价-评标基准价）/评标基准价</w:t>
            </w:r>
            <w:r>
              <w:rPr>
                <w:rFonts w:hint="eastAsia" w:ascii="宋体" w:hAnsi="宋体"/>
                <w:color w:val="auto"/>
                <w:szCs w:val="21"/>
                <w:highlight w:val="none"/>
              </w:rPr>
              <w:t>×</w:t>
            </w:r>
            <w:r>
              <w:rPr>
                <w:rFonts w:hint="eastAsia"/>
                <w:color w:val="auto"/>
                <w:szCs w:val="21"/>
                <w:highlight w:val="none"/>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985" w:type="dxa"/>
            <w:gridSpan w:val="2"/>
            <w:tcBorders>
              <w:top w:val="nil"/>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条款号</w:t>
            </w: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评分因素</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b/>
                <w:color w:val="auto"/>
                <w:szCs w:val="21"/>
                <w:highlight w:val="none"/>
              </w:rPr>
              <w:t>评分标准</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b/>
                <w:color w:val="auto"/>
                <w:szCs w:val="21"/>
                <w:highlight w:val="none"/>
              </w:rPr>
            </w:pPr>
            <w:r>
              <w:rPr>
                <w:rFonts w:hint="eastAsia"/>
                <w:b/>
                <w:color w:val="auto"/>
                <w:szCs w:val="21"/>
                <w:highlight w:val="none"/>
              </w:rPr>
              <w:t>计分方法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color w:val="auto"/>
                <w:szCs w:val="21"/>
                <w:highlight w:val="none"/>
              </w:rPr>
              <w:t>2.2.</w:t>
            </w:r>
            <w:r>
              <w:rPr>
                <w:rFonts w:hint="eastAsia"/>
                <w:color w:val="auto"/>
                <w:szCs w:val="21"/>
                <w:highlight w:val="none"/>
              </w:rPr>
              <w:t>5</w:t>
            </w:r>
            <w:r>
              <w:rPr>
                <w:color w:val="auto"/>
                <w:szCs w:val="21"/>
                <w:highlight w:val="none"/>
              </w:rPr>
              <w:t>(</w:t>
            </w:r>
            <w:r>
              <w:rPr>
                <w:rFonts w:hint="eastAsia"/>
                <w:color w:val="auto"/>
                <w:szCs w:val="21"/>
                <w:highlight w:val="none"/>
              </w:rPr>
              <w:t>1</w:t>
            </w:r>
            <w:r>
              <w:rPr>
                <w:color w:val="auto"/>
                <w:szCs w:val="21"/>
                <w:highlight w:val="none"/>
              </w:rPr>
              <w:t>)</w:t>
            </w:r>
          </w:p>
        </w:tc>
        <w:tc>
          <w:tcPr>
            <w:tcW w:w="1309" w:type="dxa"/>
            <w:vMerge w:val="restart"/>
            <w:tcBorders>
              <w:top w:val="single" w:color="auto" w:sz="4" w:space="0"/>
              <w:right w:val="single" w:color="auto" w:sz="4" w:space="0"/>
            </w:tcBorders>
            <w:noWrap/>
            <w:vAlign w:val="center"/>
          </w:tcPr>
          <w:p>
            <w:pPr>
              <w:spacing w:line="360" w:lineRule="exact"/>
              <w:jc w:val="center"/>
              <w:rPr>
                <w:color w:val="auto"/>
                <w:szCs w:val="21"/>
                <w:highlight w:val="none"/>
              </w:rPr>
            </w:pPr>
            <w:r>
              <w:rPr>
                <w:rFonts w:hint="eastAsia" w:ascii="宋体" w:hAnsi="宋体" w:cs="宋体"/>
                <w:color w:val="auto"/>
                <w:szCs w:val="21"/>
                <w:highlight w:val="none"/>
              </w:rPr>
              <w:t>技术评审（100分）权重2%</w:t>
            </w: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施工组织设计内容完整性和编制水平</w:t>
            </w:r>
          </w:p>
          <w:p>
            <w:pPr>
              <w:spacing w:line="360" w:lineRule="auto"/>
              <w:jc w:val="center"/>
              <w:rPr>
                <w:color w:val="auto"/>
                <w:szCs w:val="21"/>
                <w:highlight w:val="none"/>
              </w:rPr>
            </w:pPr>
            <w:r>
              <w:rPr>
                <w:rFonts w:hint="eastAsia" w:ascii="宋体" w:hAnsi="宋体" w:cs="宋体"/>
                <w:color w:val="auto"/>
                <w:szCs w:val="21"/>
                <w:highlight w:val="none"/>
              </w:rPr>
              <w:t>（10分）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u w:val="none"/>
              </w:rPr>
            </w:pPr>
            <w:r>
              <w:rPr>
                <w:rFonts w:hint="eastAsia" w:ascii="宋体" w:hAnsi="宋体" w:cs="宋体"/>
                <w:color w:val="auto"/>
                <w:szCs w:val="21"/>
                <w:highlight w:val="none"/>
                <w:u w:val="none"/>
              </w:rPr>
              <w:t>施工组织设计结构完整、措施详细，编制思路清晰、层次清楚，内容严谨全面。有指导性、针对性、可操作性，符合规范，各投标人横向评比按等级打分。优得</w:t>
            </w:r>
            <w:r>
              <w:rPr>
                <w:rFonts w:ascii="宋体" w:hAnsi="宋体" w:cs="宋体"/>
                <w:color w:val="auto"/>
                <w:szCs w:val="21"/>
                <w:highlight w:val="none"/>
                <w:u w:val="none"/>
              </w:rPr>
              <w:t>10</w:t>
            </w:r>
            <w:r>
              <w:rPr>
                <w:rFonts w:hint="eastAsia" w:ascii="宋体" w:hAnsi="宋体" w:cs="宋体"/>
                <w:color w:val="auto"/>
                <w:szCs w:val="21"/>
                <w:highlight w:val="none"/>
                <w:u w:val="none"/>
              </w:rPr>
              <w:t>分，良得</w:t>
            </w:r>
            <w:r>
              <w:rPr>
                <w:rFonts w:ascii="宋体" w:hAnsi="宋体" w:cs="宋体"/>
                <w:color w:val="auto"/>
                <w:szCs w:val="21"/>
                <w:highlight w:val="none"/>
                <w:u w:val="none"/>
              </w:rPr>
              <w:t>9</w:t>
            </w:r>
            <w:r>
              <w:rPr>
                <w:rFonts w:hint="eastAsia" w:ascii="宋体" w:hAnsi="宋体" w:cs="宋体"/>
                <w:color w:val="auto"/>
                <w:szCs w:val="21"/>
                <w:highlight w:val="none"/>
                <w:u w:val="none"/>
              </w:rPr>
              <w:t>分，一般得</w:t>
            </w:r>
            <w:r>
              <w:rPr>
                <w:rFonts w:ascii="宋体" w:hAnsi="宋体" w:cs="宋体"/>
                <w:color w:val="auto"/>
                <w:szCs w:val="21"/>
                <w:highlight w:val="none"/>
                <w:u w:val="none"/>
              </w:rPr>
              <w:t>8</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Cs w:val="21"/>
                <w:highlight w:val="none"/>
              </w:rPr>
            </w:pPr>
            <w:r>
              <w:rPr>
                <w:rFonts w:hint="eastAsia" w:ascii="宋体" w:hAnsi="宋体" w:cs="宋体"/>
                <w:color w:val="auto"/>
                <w:szCs w:val="21"/>
                <w:highlight w:val="none"/>
              </w:rPr>
              <w:t>施工方案与技术措施的合理性、科学性与可行性（15分）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u w:val="none"/>
              </w:rPr>
            </w:pPr>
            <w:r>
              <w:rPr>
                <w:rFonts w:hint="eastAsia" w:ascii="宋体" w:hAnsi="宋体" w:cs="宋体"/>
                <w:color w:val="auto"/>
                <w:szCs w:val="21"/>
                <w:highlight w:val="none"/>
                <w:u w:val="none"/>
              </w:rPr>
              <w:t>结合现场实际情况，针对性提出及编制的施工方案，包括但不限于项目管理目标、施工部署安排、重点部位及特殊工艺施工技术等，技术措施合理、科学与可行。各投标人横向评比按等级打分。优得</w:t>
            </w:r>
            <w:r>
              <w:rPr>
                <w:rFonts w:ascii="宋体" w:hAnsi="宋体" w:cs="宋体"/>
                <w:color w:val="auto"/>
                <w:szCs w:val="21"/>
                <w:highlight w:val="none"/>
                <w:u w:val="none"/>
              </w:rPr>
              <w:t>15</w:t>
            </w:r>
            <w:r>
              <w:rPr>
                <w:rFonts w:hint="eastAsia" w:ascii="宋体" w:hAnsi="宋体" w:cs="宋体"/>
                <w:color w:val="auto"/>
                <w:szCs w:val="21"/>
                <w:highlight w:val="none"/>
                <w:u w:val="none"/>
              </w:rPr>
              <w:t>分，良得</w:t>
            </w:r>
            <w:r>
              <w:rPr>
                <w:rFonts w:ascii="宋体" w:hAnsi="宋体" w:cs="宋体"/>
                <w:color w:val="auto"/>
                <w:szCs w:val="21"/>
                <w:highlight w:val="none"/>
                <w:u w:val="none"/>
              </w:rPr>
              <w:t>14</w:t>
            </w:r>
            <w:r>
              <w:rPr>
                <w:rFonts w:hint="eastAsia" w:ascii="宋体" w:hAnsi="宋体" w:cs="宋体"/>
                <w:color w:val="auto"/>
                <w:szCs w:val="21"/>
                <w:highlight w:val="none"/>
                <w:u w:val="none"/>
              </w:rPr>
              <w:t>分，一般得</w:t>
            </w:r>
            <w:r>
              <w:rPr>
                <w:rFonts w:ascii="宋体" w:hAnsi="宋体" w:cs="宋体"/>
                <w:color w:val="auto"/>
                <w:szCs w:val="21"/>
                <w:highlight w:val="none"/>
                <w:u w:val="none"/>
              </w:rPr>
              <w:t>13</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质量管理体系与措施</w:t>
            </w:r>
          </w:p>
          <w:p>
            <w:pPr>
              <w:spacing w:line="360" w:lineRule="auto"/>
              <w:jc w:val="center"/>
              <w:rPr>
                <w:color w:val="auto"/>
                <w:szCs w:val="21"/>
                <w:highlight w:val="none"/>
              </w:rPr>
            </w:pPr>
            <w:r>
              <w:rPr>
                <w:rFonts w:hint="eastAsia" w:ascii="宋体" w:hAnsi="宋体" w:cs="宋体"/>
                <w:color w:val="auto"/>
                <w:szCs w:val="21"/>
                <w:highlight w:val="none"/>
              </w:rPr>
              <w:t>（15分）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u w:val="none"/>
              </w:rPr>
            </w:pPr>
            <w:r>
              <w:rPr>
                <w:rFonts w:hint="eastAsia" w:ascii="宋体" w:hAnsi="宋体" w:cs="宋体"/>
                <w:color w:val="auto"/>
                <w:szCs w:val="21"/>
                <w:highlight w:val="none"/>
                <w:u w:val="none"/>
              </w:rPr>
              <w:t>根据本工程的质量目标，针对项目的重点、难点等实际情况，从质量保证体系、质量管理机构、专业实施能力保证等方面提出详细的质量保证措施。质量管理体系完善、质量保证措施得当，各投标人横向评比按等级打分。优得</w:t>
            </w:r>
            <w:r>
              <w:rPr>
                <w:rFonts w:ascii="宋体" w:hAnsi="宋体" w:cs="宋体"/>
                <w:color w:val="auto"/>
                <w:szCs w:val="21"/>
                <w:highlight w:val="none"/>
                <w:u w:val="none"/>
              </w:rPr>
              <w:t>15</w:t>
            </w:r>
            <w:r>
              <w:rPr>
                <w:rFonts w:hint="eastAsia" w:ascii="宋体" w:hAnsi="宋体" w:cs="宋体"/>
                <w:color w:val="auto"/>
                <w:szCs w:val="21"/>
                <w:highlight w:val="none"/>
                <w:u w:val="none"/>
              </w:rPr>
              <w:t>分，良得</w:t>
            </w:r>
            <w:r>
              <w:rPr>
                <w:rFonts w:ascii="宋体" w:hAnsi="宋体" w:cs="宋体"/>
                <w:color w:val="auto"/>
                <w:szCs w:val="21"/>
                <w:highlight w:val="none"/>
                <w:u w:val="none"/>
              </w:rPr>
              <w:t>14</w:t>
            </w:r>
            <w:r>
              <w:rPr>
                <w:rFonts w:hint="eastAsia" w:ascii="宋体" w:hAnsi="宋体" w:cs="宋体"/>
                <w:color w:val="auto"/>
                <w:szCs w:val="21"/>
                <w:highlight w:val="none"/>
                <w:u w:val="none"/>
              </w:rPr>
              <w:t>分，一般得</w:t>
            </w:r>
            <w:r>
              <w:rPr>
                <w:rFonts w:ascii="宋体" w:hAnsi="宋体" w:cs="宋体"/>
                <w:color w:val="auto"/>
                <w:szCs w:val="21"/>
                <w:highlight w:val="none"/>
                <w:u w:val="none"/>
              </w:rPr>
              <w:t>13</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安全管理体系与措施</w:t>
            </w:r>
          </w:p>
          <w:p>
            <w:pPr>
              <w:pStyle w:val="17"/>
              <w:spacing w:line="360" w:lineRule="auto"/>
              <w:jc w:val="center"/>
              <w:rPr>
                <w:color w:val="auto"/>
                <w:szCs w:val="21"/>
                <w:highlight w:val="none"/>
              </w:rPr>
            </w:pPr>
            <w:r>
              <w:rPr>
                <w:rFonts w:hint="eastAsia" w:ascii="宋体" w:hAnsi="宋体" w:cs="宋体"/>
                <w:color w:val="auto"/>
                <w:kern w:val="2"/>
                <w:sz w:val="21"/>
                <w:szCs w:val="21"/>
                <w:highlight w:val="none"/>
              </w:rPr>
              <w:t>（15分）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color w:val="auto"/>
                <w:szCs w:val="21"/>
                <w:highlight w:val="none"/>
                <w:u w:val="none"/>
              </w:rPr>
            </w:pPr>
            <w:r>
              <w:rPr>
                <w:rFonts w:hint="eastAsia" w:ascii="宋体" w:hAnsi="宋体" w:cs="宋体"/>
                <w:color w:val="auto"/>
                <w:szCs w:val="21"/>
                <w:highlight w:val="none"/>
                <w:u w:val="none"/>
              </w:rPr>
              <w:t>根据项目特点提出安全管理体系与措施</w:t>
            </w:r>
            <w:r>
              <w:rPr>
                <w:rFonts w:hint="eastAsia" w:ascii="宋体" w:hAnsi="宋体" w:cs="宋体"/>
                <w:color w:val="auto"/>
                <w:spacing w:val="-10"/>
                <w:szCs w:val="21"/>
                <w:highlight w:val="none"/>
                <w:u w:val="none"/>
              </w:rPr>
              <w:t>，</w:t>
            </w:r>
            <w:r>
              <w:rPr>
                <w:rFonts w:hint="eastAsia" w:ascii="宋体" w:hAnsi="宋体" w:cs="宋体"/>
                <w:color w:val="auto"/>
                <w:spacing w:val="-10"/>
                <w:kern w:val="0"/>
                <w:szCs w:val="21"/>
                <w:highlight w:val="none"/>
                <w:u w:val="none"/>
              </w:rPr>
              <w:t>针对性强，对本项目安全文明施工的重点难点分析透彻，</w:t>
            </w:r>
            <w:r>
              <w:rPr>
                <w:rFonts w:hint="eastAsia" w:ascii="宋体" w:hAnsi="宋体" w:cs="宋体"/>
                <w:color w:val="auto"/>
                <w:szCs w:val="21"/>
                <w:highlight w:val="none"/>
                <w:u w:val="none"/>
              </w:rPr>
              <w:t>安全管理体系完善、安全保证措施得当，各投标人横向评比按等级打分。优得</w:t>
            </w:r>
            <w:r>
              <w:rPr>
                <w:rFonts w:ascii="宋体" w:hAnsi="宋体" w:cs="宋体"/>
                <w:color w:val="auto"/>
                <w:szCs w:val="21"/>
                <w:highlight w:val="none"/>
                <w:u w:val="none"/>
              </w:rPr>
              <w:t>15</w:t>
            </w:r>
            <w:r>
              <w:rPr>
                <w:rFonts w:hint="eastAsia" w:ascii="宋体" w:hAnsi="宋体" w:cs="宋体"/>
                <w:color w:val="auto"/>
                <w:szCs w:val="21"/>
                <w:highlight w:val="none"/>
                <w:u w:val="none"/>
              </w:rPr>
              <w:t>分，良得</w:t>
            </w:r>
            <w:r>
              <w:rPr>
                <w:rFonts w:ascii="宋体" w:hAnsi="宋体" w:cs="宋体"/>
                <w:color w:val="auto"/>
                <w:szCs w:val="21"/>
                <w:highlight w:val="none"/>
                <w:u w:val="none"/>
              </w:rPr>
              <w:t>14</w:t>
            </w:r>
            <w:r>
              <w:rPr>
                <w:rFonts w:hint="eastAsia" w:ascii="宋体" w:hAnsi="宋体" w:cs="宋体"/>
                <w:color w:val="auto"/>
                <w:szCs w:val="21"/>
                <w:highlight w:val="none"/>
                <w:u w:val="none"/>
              </w:rPr>
              <w:t>分，一般得</w:t>
            </w:r>
            <w:r>
              <w:rPr>
                <w:rFonts w:ascii="宋体" w:hAnsi="宋体" w:cs="宋体"/>
                <w:color w:val="auto"/>
                <w:szCs w:val="21"/>
                <w:highlight w:val="none"/>
                <w:u w:val="none"/>
              </w:rPr>
              <w:t>13</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环境保护管理体系与措施</w:t>
            </w:r>
          </w:p>
          <w:p>
            <w:pPr>
              <w:pStyle w:val="17"/>
              <w:spacing w:line="360" w:lineRule="auto"/>
              <w:jc w:val="center"/>
              <w:rPr>
                <w:color w:val="auto"/>
                <w:szCs w:val="21"/>
                <w:highlight w:val="none"/>
              </w:rPr>
            </w:pPr>
            <w:r>
              <w:rPr>
                <w:rFonts w:hint="eastAsia" w:ascii="宋体" w:hAnsi="宋体" w:cs="宋体"/>
                <w:color w:val="auto"/>
                <w:kern w:val="2"/>
                <w:sz w:val="21"/>
                <w:szCs w:val="21"/>
                <w:highlight w:val="none"/>
              </w:rPr>
              <w:t>（15分）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color w:val="auto"/>
                <w:szCs w:val="21"/>
                <w:highlight w:val="none"/>
                <w:u w:val="none"/>
              </w:rPr>
            </w:pPr>
            <w:r>
              <w:rPr>
                <w:rFonts w:hint="eastAsia" w:ascii="宋体" w:hAnsi="宋体" w:cs="宋体"/>
                <w:color w:val="auto"/>
                <w:spacing w:val="-10"/>
                <w:szCs w:val="21"/>
                <w:highlight w:val="none"/>
                <w:u w:val="none"/>
              </w:rPr>
              <w:t>根据本工程的质量目标，针对项目的重点、难点等实际情况，提出</w:t>
            </w:r>
            <w:r>
              <w:rPr>
                <w:rFonts w:hint="eastAsia" w:ascii="宋体" w:hAnsi="宋体" w:cs="宋体"/>
                <w:color w:val="auto"/>
                <w:szCs w:val="21"/>
                <w:highlight w:val="none"/>
                <w:u w:val="none"/>
              </w:rPr>
              <w:t>环境保护管理体系</w:t>
            </w:r>
            <w:r>
              <w:rPr>
                <w:rFonts w:hint="eastAsia" w:ascii="宋体" w:hAnsi="宋体" w:cs="宋体"/>
                <w:color w:val="auto"/>
                <w:spacing w:val="-10"/>
                <w:szCs w:val="21"/>
                <w:highlight w:val="none"/>
                <w:u w:val="none"/>
              </w:rPr>
              <w:t>及</w:t>
            </w:r>
            <w:r>
              <w:rPr>
                <w:rFonts w:hint="eastAsia" w:ascii="宋体" w:hAnsi="宋体" w:cs="宋体"/>
                <w:color w:val="auto"/>
                <w:szCs w:val="21"/>
                <w:highlight w:val="none"/>
                <w:u w:val="none"/>
              </w:rPr>
              <w:t>相关保证措施。环境保护管理体系完善、环境保护管理措施得当，各投标人横向评比按等级打分。优得</w:t>
            </w:r>
            <w:r>
              <w:rPr>
                <w:rFonts w:ascii="宋体" w:hAnsi="宋体" w:cs="宋体"/>
                <w:color w:val="auto"/>
                <w:szCs w:val="21"/>
                <w:highlight w:val="none"/>
                <w:u w:val="none"/>
              </w:rPr>
              <w:t>15</w:t>
            </w:r>
            <w:r>
              <w:rPr>
                <w:rFonts w:hint="eastAsia" w:ascii="宋体" w:hAnsi="宋体" w:cs="宋体"/>
                <w:color w:val="auto"/>
                <w:szCs w:val="21"/>
                <w:highlight w:val="none"/>
                <w:u w:val="none"/>
              </w:rPr>
              <w:t>分，良得</w:t>
            </w:r>
            <w:r>
              <w:rPr>
                <w:rFonts w:ascii="宋体" w:hAnsi="宋体" w:cs="宋体"/>
                <w:color w:val="auto"/>
                <w:szCs w:val="21"/>
                <w:highlight w:val="none"/>
                <w:u w:val="none"/>
              </w:rPr>
              <w:t>14</w:t>
            </w:r>
            <w:r>
              <w:rPr>
                <w:rFonts w:hint="eastAsia" w:ascii="宋体" w:hAnsi="宋体" w:cs="宋体"/>
                <w:color w:val="auto"/>
                <w:szCs w:val="21"/>
                <w:highlight w:val="none"/>
                <w:u w:val="none"/>
              </w:rPr>
              <w:t>分，一般得</w:t>
            </w:r>
            <w:r>
              <w:rPr>
                <w:rFonts w:ascii="宋体" w:hAnsi="宋体" w:cs="宋体"/>
                <w:color w:val="auto"/>
                <w:szCs w:val="21"/>
                <w:highlight w:val="none"/>
                <w:u w:val="none"/>
              </w:rPr>
              <w:t>13</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rPr>
            </w:pPr>
          </w:p>
        </w:tc>
        <w:tc>
          <w:tcPr>
            <w:tcW w:w="1309" w:type="dxa"/>
            <w:vMerge w:val="continue"/>
            <w:tcBorders>
              <w:right w:val="single" w:color="auto" w:sz="4" w:space="0"/>
            </w:tcBorders>
            <w:noWrap/>
            <w:vAlign w:val="center"/>
          </w:tcPr>
          <w:p>
            <w:pPr>
              <w:spacing w:line="360" w:lineRule="exact"/>
              <w:jc w:val="center"/>
              <w:rPr>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工程建设进度计划与措施</w:t>
            </w:r>
          </w:p>
          <w:p>
            <w:pPr>
              <w:spacing w:line="360" w:lineRule="auto"/>
              <w:jc w:val="center"/>
              <w:rPr>
                <w:color w:val="auto"/>
                <w:szCs w:val="21"/>
                <w:highlight w:val="none"/>
              </w:rPr>
            </w:pPr>
            <w:r>
              <w:rPr>
                <w:rFonts w:hint="eastAsia" w:ascii="宋体" w:hAnsi="宋体" w:cs="宋体"/>
                <w:color w:val="auto"/>
                <w:szCs w:val="21"/>
                <w:highlight w:val="none"/>
              </w:rPr>
              <w:t>（15分）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color w:val="auto"/>
                <w:szCs w:val="21"/>
                <w:highlight w:val="none"/>
                <w:u w:val="none"/>
              </w:rPr>
            </w:pPr>
            <w:r>
              <w:rPr>
                <w:rFonts w:hint="eastAsia" w:ascii="宋体" w:hAnsi="宋体" w:cs="宋体"/>
                <w:color w:val="auto"/>
                <w:szCs w:val="21"/>
                <w:highlight w:val="none"/>
                <w:u w:val="none"/>
              </w:rPr>
              <w:t>工程建设进度满足招标文件要求，关键线路清晰、准确、完整，计划编制合理、可行，关键节点的控制措施合理，各投标人横向评比按等级打分。优得</w:t>
            </w:r>
            <w:r>
              <w:rPr>
                <w:rFonts w:ascii="宋体" w:hAnsi="宋体" w:cs="宋体"/>
                <w:color w:val="auto"/>
                <w:szCs w:val="21"/>
                <w:highlight w:val="none"/>
                <w:u w:val="none"/>
              </w:rPr>
              <w:t>15</w:t>
            </w:r>
            <w:r>
              <w:rPr>
                <w:rFonts w:hint="eastAsia" w:ascii="宋体" w:hAnsi="宋体" w:cs="宋体"/>
                <w:color w:val="auto"/>
                <w:szCs w:val="21"/>
                <w:highlight w:val="none"/>
                <w:u w:val="none"/>
              </w:rPr>
              <w:t>分，良得</w:t>
            </w:r>
            <w:r>
              <w:rPr>
                <w:rFonts w:ascii="宋体" w:hAnsi="宋体" w:cs="宋体"/>
                <w:color w:val="auto"/>
                <w:szCs w:val="21"/>
                <w:highlight w:val="none"/>
                <w:u w:val="none"/>
              </w:rPr>
              <w:t>14</w:t>
            </w:r>
            <w:r>
              <w:rPr>
                <w:rFonts w:hint="eastAsia" w:ascii="宋体" w:hAnsi="宋体" w:cs="宋体"/>
                <w:color w:val="auto"/>
                <w:szCs w:val="21"/>
                <w:highlight w:val="none"/>
                <w:u w:val="none"/>
              </w:rPr>
              <w:t>分，一般得</w:t>
            </w:r>
            <w:r>
              <w:rPr>
                <w:rFonts w:ascii="宋体" w:hAnsi="宋体" w:cs="宋体"/>
                <w:color w:val="auto"/>
                <w:szCs w:val="21"/>
                <w:highlight w:val="none"/>
                <w:u w:val="none"/>
              </w:rPr>
              <w:t>13</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bottom w:val="single" w:color="auto" w:sz="4" w:space="0"/>
              <w:right w:val="single" w:color="auto" w:sz="4" w:space="0"/>
            </w:tcBorders>
            <w:noWrap/>
            <w:vAlign w:val="center"/>
          </w:tcPr>
          <w:p>
            <w:pPr>
              <w:spacing w:line="360" w:lineRule="exact"/>
              <w:jc w:val="center"/>
              <w:rPr>
                <w:color w:val="auto"/>
                <w:szCs w:val="21"/>
                <w:highlight w:val="none"/>
              </w:rPr>
            </w:pPr>
          </w:p>
        </w:tc>
        <w:tc>
          <w:tcPr>
            <w:tcW w:w="1309" w:type="dxa"/>
            <w:vMerge w:val="continue"/>
            <w:tcBorders>
              <w:bottom w:val="single" w:color="auto" w:sz="4" w:space="0"/>
              <w:right w:val="single" w:color="auto" w:sz="4" w:space="0"/>
            </w:tcBorders>
            <w:noWrap/>
            <w:vAlign w:val="center"/>
          </w:tcPr>
          <w:p>
            <w:pPr>
              <w:spacing w:line="360" w:lineRule="exact"/>
              <w:jc w:val="center"/>
              <w:rPr>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color w:val="auto"/>
                <w:szCs w:val="21"/>
                <w:highlight w:val="none"/>
              </w:rPr>
            </w:pPr>
            <w:r>
              <w:rPr>
                <w:rFonts w:hint="eastAsia" w:ascii="宋体" w:hAnsi="宋体" w:cs="宋体"/>
                <w:color w:val="auto"/>
                <w:szCs w:val="21"/>
                <w:highlight w:val="none"/>
              </w:rPr>
              <w:t>资源配备计划（15分）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color w:val="auto"/>
                <w:szCs w:val="21"/>
                <w:highlight w:val="none"/>
                <w:u w:val="none"/>
              </w:rPr>
            </w:pPr>
            <w:r>
              <w:rPr>
                <w:rFonts w:hint="eastAsia" w:ascii="宋体" w:hAnsi="宋体" w:cs="宋体"/>
                <w:color w:val="auto"/>
                <w:szCs w:val="21"/>
                <w:highlight w:val="none"/>
                <w:u w:val="none"/>
              </w:rPr>
              <w:t>劳动力、材料、机械设备等配置计划完善合理、科学可行，各投标人横向评比按等级打分。优得</w:t>
            </w:r>
            <w:r>
              <w:rPr>
                <w:rFonts w:ascii="宋体" w:hAnsi="宋体" w:cs="宋体"/>
                <w:color w:val="auto"/>
                <w:szCs w:val="21"/>
                <w:highlight w:val="none"/>
                <w:u w:val="none"/>
              </w:rPr>
              <w:t>15</w:t>
            </w:r>
            <w:r>
              <w:rPr>
                <w:rFonts w:hint="eastAsia" w:ascii="宋体" w:hAnsi="宋体" w:cs="宋体"/>
                <w:color w:val="auto"/>
                <w:szCs w:val="21"/>
                <w:highlight w:val="none"/>
                <w:u w:val="none"/>
              </w:rPr>
              <w:t>分，良得</w:t>
            </w:r>
            <w:r>
              <w:rPr>
                <w:rFonts w:ascii="宋体" w:hAnsi="宋体" w:cs="宋体"/>
                <w:color w:val="auto"/>
                <w:szCs w:val="21"/>
                <w:highlight w:val="none"/>
                <w:u w:val="none"/>
              </w:rPr>
              <w:t>14</w:t>
            </w:r>
            <w:r>
              <w:rPr>
                <w:rFonts w:hint="eastAsia" w:ascii="宋体" w:hAnsi="宋体" w:cs="宋体"/>
                <w:color w:val="auto"/>
                <w:szCs w:val="21"/>
                <w:highlight w:val="none"/>
                <w:u w:val="none"/>
              </w:rPr>
              <w:t>分，一般得</w:t>
            </w:r>
            <w:r>
              <w:rPr>
                <w:rFonts w:ascii="宋体" w:hAnsi="宋体" w:cs="宋体"/>
                <w:color w:val="auto"/>
                <w:szCs w:val="21"/>
                <w:highlight w:val="none"/>
                <w:u w:val="none"/>
              </w:rPr>
              <w:t>13</w:t>
            </w:r>
            <w:r>
              <w:rPr>
                <w:rFonts w:hint="eastAsia" w:ascii="宋体" w:hAnsi="宋体" w:cs="宋体"/>
                <w:color w:val="auto"/>
                <w:szCs w:val="21"/>
                <w:highlight w:val="none"/>
                <w:u w:val="none"/>
              </w:rPr>
              <w:t>分，没有提供的得</w:t>
            </w:r>
            <w:r>
              <w:rPr>
                <w:rFonts w:ascii="宋体" w:hAnsi="宋体" w:cs="宋体"/>
                <w:color w:val="auto"/>
                <w:szCs w:val="21"/>
                <w:highlight w:val="none"/>
                <w:u w:val="none"/>
              </w:rPr>
              <w:t>0</w:t>
            </w:r>
            <w:r>
              <w:rPr>
                <w:rFonts w:hint="eastAsia" w:ascii="宋体" w:hAnsi="宋体" w:cs="宋体"/>
                <w:color w:val="auto"/>
                <w:szCs w:val="21"/>
                <w:highlight w:val="none"/>
                <w:u w:val="none"/>
              </w:rPr>
              <w:t>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676" w:type="dxa"/>
            <w:vMerge w:val="restart"/>
            <w:tcBorders>
              <w:top w:val="single" w:color="auto" w:sz="4" w:space="0"/>
              <w:right w:val="single" w:color="auto" w:sz="4" w:space="0"/>
            </w:tcBorders>
            <w:noWrap/>
            <w:vAlign w:val="center"/>
          </w:tcPr>
          <w:p>
            <w:pPr>
              <w:spacing w:line="360" w:lineRule="exact"/>
              <w:jc w:val="center"/>
              <w:rPr>
                <w:color w:val="auto"/>
                <w:szCs w:val="21"/>
                <w:highlight w:val="none"/>
                <w:u w:val="single"/>
              </w:rPr>
            </w:pPr>
            <w:r>
              <w:rPr>
                <w:color w:val="auto"/>
                <w:szCs w:val="21"/>
                <w:highlight w:val="none"/>
                <w:u w:val="single"/>
              </w:rPr>
              <w:t>2.2.</w:t>
            </w:r>
            <w:r>
              <w:rPr>
                <w:rFonts w:hint="eastAsia"/>
                <w:color w:val="auto"/>
                <w:szCs w:val="21"/>
                <w:highlight w:val="none"/>
                <w:u w:val="single"/>
              </w:rPr>
              <w:t>5(</w:t>
            </w:r>
            <w:r>
              <w:rPr>
                <w:color w:val="auto"/>
                <w:szCs w:val="21"/>
                <w:highlight w:val="none"/>
                <w:u w:val="single"/>
              </w:rPr>
              <w:t>2</w:t>
            </w:r>
            <w:r>
              <w:rPr>
                <w:rFonts w:hint="eastAsia"/>
                <w:color w:val="auto"/>
                <w:szCs w:val="21"/>
                <w:highlight w:val="none"/>
                <w:u w:val="single"/>
              </w:rPr>
              <w:t>)</w:t>
            </w:r>
          </w:p>
        </w:tc>
        <w:tc>
          <w:tcPr>
            <w:tcW w:w="1309" w:type="dxa"/>
            <w:vMerge w:val="restart"/>
            <w:tcBorders>
              <w:top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（100分）</w:t>
            </w:r>
          </w:p>
          <w:p>
            <w:pPr>
              <w:spacing w:line="360" w:lineRule="exact"/>
              <w:jc w:val="center"/>
              <w:rPr>
                <w:color w:val="auto"/>
                <w:szCs w:val="21"/>
                <w:highlight w:val="none"/>
                <w:u w:val="single"/>
              </w:rPr>
            </w:pPr>
            <w:r>
              <w:rPr>
                <w:rFonts w:hint="eastAsia" w:ascii="宋体" w:hAnsi="宋体" w:cs="宋体"/>
                <w:color w:val="auto"/>
                <w:szCs w:val="21"/>
                <w:highlight w:val="none"/>
              </w:rPr>
              <w:t>权重1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组织机构及主要管理人员</w:t>
            </w:r>
          </w:p>
          <w:p>
            <w:pPr>
              <w:pStyle w:val="17"/>
              <w:jc w:val="center"/>
              <w:rPr>
                <w:color w:val="auto"/>
                <w:szCs w:val="21"/>
                <w:highlight w:val="none"/>
                <w:u w:val="single"/>
              </w:rPr>
            </w:pPr>
            <w:r>
              <w:rPr>
                <w:rFonts w:hint="eastAsia" w:ascii="宋体" w:hAnsi="宋体" w:cs="宋体"/>
                <w:color w:val="auto"/>
                <w:kern w:val="2"/>
                <w:sz w:val="21"/>
                <w:szCs w:val="21"/>
                <w:highlight w:val="none"/>
              </w:rPr>
              <w:t>（20分）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bCs/>
                <w:color w:val="auto"/>
                <w:szCs w:val="21"/>
                <w:highlight w:val="none"/>
                <w:u w:val="none"/>
              </w:rPr>
            </w:pPr>
            <w:r>
              <w:rPr>
                <w:rFonts w:hint="eastAsia" w:ascii="宋体" w:hAnsi="宋体" w:cs="宋体"/>
                <w:bCs/>
                <w:color w:val="auto"/>
                <w:szCs w:val="21"/>
                <w:highlight w:val="none"/>
                <w:u w:val="none"/>
              </w:rPr>
              <w:t>（</w:t>
            </w:r>
            <w:r>
              <w:rPr>
                <w:rFonts w:ascii="宋体" w:hAnsi="宋体" w:cs="宋体"/>
                <w:bCs/>
                <w:color w:val="auto"/>
                <w:szCs w:val="21"/>
                <w:highlight w:val="none"/>
                <w:u w:val="none"/>
              </w:rPr>
              <w:t>1</w:t>
            </w:r>
            <w:r>
              <w:rPr>
                <w:rFonts w:hint="eastAsia" w:ascii="宋体" w:hAnsi="宋体" w:cs="宋体"/>
                <w:bCs/>
                <w:color w:val="auto"/>
                <w:szCs w:val="21"/>
                <w:highlight w:val="none"/>
                <w:u w:val="none"/>
              </w:rPr>
              <w:t>）技术负责人（</w:t>
            </w:r>
            <w:r>
              <w:rPr>
                <w:rFonts w:ascii="宋体" w:hAnsi="宋体" w:cs="宋体"/>
                <w:bCs/>
                <w:color w:val="auto"/>
                <w:szCs w:val="21"/>
                <w:highlight w:val="none"/>
                <w:u w:val="none"/>
              </w:rPr>
              <w:t>4</w:t>
            </w:r>
            <w:r>
              <w:rPr>
                <w:rFonts w:hint="eastAsia" w:ascii="宋体" w:hAnsi="宋体" w:cs="宋体"/>
                <w:bCs/>
                <w:color w:val="auto"/>
                <w:szCs w:val="21"/>
                <w:highlight w:val="none"/>
                <w:u w:val="none"/>
              </w:rPr>
              <w:t>分）：具备市政类相关专业高级工程师（或以上职称）的，得</w:t>
            </w:r>
            <w:r>
              <w:rPr>
                <w:rFonts w:ascii="宋体" w:hAnsi="宋体" w:cs="宋体"/>
                <w:bCs/>
                <w:color w:val="auto"/>
                <w:szCs w:val="21"/>
                <w:highlight w:val="none"/>
                <w:u w:val="none"/>
              </w:rPr>
              <w:t>4</w:t>
            </w:r>
            <w:r>
              <w:rPr>
                <w:rFonts w:hint="eastAsia" w:ascii="宋体" w:hAnsi="宋体" w:cs="宋体"/>
                <w:bCs/>
                <w:color w:val="auto"/>
                <w:szCs w:val="21"/>
                <w:highlight w:val="none"/>
                <w:u w:val="none"/>
              </w:rPr>
              <w:t>分；具备市政类相关专业工程师职称的，得</w:t>
            </w:r>
            <w:r>
              <w:rPr>
                <w:rFonts w:ascii="宋体" w:hAnsi="宋体" w:cs="宋体"/>
                <w:bCs/>
                <w:color w:val="auto"/>
                <w:szCs w:val="21"/>
                <w:highlight w:val="none"/>
                <w:u w:val="none"/>
              </w:rPr>
              <w:t>2</w:t>
            </w:r>
            <w:r>
              <w:rPr>
                <w:rFonts w:hint="eastAsia" w:ascii="宋体" w:hAnsi="宋体" w:cs="宋体"/>
                <w:bCs/>
                <w:color w:val="auto"/>
                <w:szCs w:val="21"/>
                <w:highlight w:val="none"/>
                <w:u w:val="none"/>
              </w:rPr>
              <w:t>分。</w:t>
            </w:r>
          </w:p>
          <w:p>
            <w:pPr>
              <w:spacing w:line="360" w:lineRule="auto"/>
              <w:jc w:val="left"/>
              <w:rPr>
                <w:rFonts w:ascii="宋体" w:hAnsi="宋体" w:cs="宋体"/>
                <w:bCs/>
                <w:color w:val="auto"/>
                <w:szCs w:val="21"/>
                <w:highlight w:val="none"/>
                <w:u w:val="none"/>
              </w:rPr>
            </w:pPr>
            <w:r>
              <w:rPr>
                <w:rFonts w:hint="eastAsia" w:ascii="宋体" w:hAnsi="宋体" w:cs="宋体"/>
                <w:bCs/>
                <w:color w:val="auto"/>
                <w:szCs w:val="21"/>
                <w:highlight w:val="none"/>
                <w:u w:val="none"/>
              </w:rPr>
              <w:t>（</w:t>
            </w:r>
            <w:r>
              <w:rPr>
                <w:rFonts w:ascii="宋体" w:hAnsi="宋体" w:cs="宋体"/>
                <w:bCs/>
                <w:color w:val="auto"/>
                <w:szCs w:val="21"/>
                <w:highlight w:val="none"/>
                <w:u w:val="none"/>
              </w:rPr>
              <w:t>2</w:t>
            </w:r>
            <w:r>
              <w:rPr>
                <w:rFonts w:hint="eastAsia" w:ascii="宋体" w:hAnsi="宋体" w:cs="宋体"/>
                <w:bCs/>
                <w:color w:val="auto"/>
                <w:szCs w:val="21"/>
                <w:highlight w:val="none"/>
                <w:u w:val="none"/>
              </w:rPr>
              <w:t>）其他人员（</w:t>
            </w:r>
            <w:r>
              <w:rPr>
                <w:rFonts w:ascii="宋体" w:hAnsi="宋体" w:cs="宋体"/>
                <w:bCs/>
                <w:color w:val="auto"/>
                <w:szCs w:val="21"/>
                <w:highlight w:val="none"/>
                <w:u w:val="none"/>
              </w:rPr>
              <w:t>16</w:t>
            </w:r>
            <w:r>
              <w:rPr>
                <w:rFonts w:hint="eastAsia" w:ascii="宋体" w:hAnsi="宋体" w:cs="宋体"/>
                <w:bCs/>
                <w:color w:val="auto"/>
                <w:szCs w:val="21"/>
                <w:highlight w:val="none"/>
                <w:u w:val="none"/>
              </w:rPr>
              <w:t>分）：除项目负责人、技术负责人、专职安全员外，拟投入本项目的其他专业人员配置合理，其中配备有给排水类相关专业高级工程师（或以上职称）、测量类相关专业高级工程师（或以上职称）、机械类相关专业高级工程师（或以上职称）、材料类相关专业高级工程师（或以上职称），配备齐全且满足要求的，得</w:t>
            </w:r>
            <w:r>
              <w:rPr>
                <w:rFonts w:ascii="宋体" w:hAnsi="宋体" w:cs="宋体"/>
                <w:bCs/>
                <w:color w:val="auto"/>
                <w:szCs w:val="21"/>
                <w:highlight w:val="none"/>
                <w:u w:val="none"/>
              </w:rPr>
              <w:t>16</w:t>
            </w:r>
            <w:r>
              <w:rPr>
                <w:rFonts w:hint="eastAsia" w:ascii="宋体" w:hAnsi="宋体" w:cs="宋体"/>
                <w:bCs/>
                <w:color w:val="auto"/>
                <w:szCs w:val="21"/>
                <w:highlight w:val="none"/>
                <w:u w:val="none"/>
              </w:rPr>
              <w:t>分，不满足要求的不得分。</w:t>
            </w:r>
          </w:p>
          <w:p>
            <w:pPr>
              <w:spacing w:line="360" w:lineRule="auto"/>
              <w:jc w:val="left"/>
              <w:rPr>
                <w:color w:val="auto"/>
                <w:szCs w:val="21"/>
                <w:highlight w:val="none"/>
                <w:u w:val="none"/>
              </w:rPr>
            </w:pPr>
            <w:r>
              <w:rPr>
                <w:rFonts w:hint="eastAsia" w:ascii="宋体" w:hAnsi="宋体" w:cs="宋体"/>
                <w:bCs/>
                <w:color w:val="auto"/>
                <w:szCs w:val="21"/>
                <w:highlight w:val="none"/>
                <w:u w:val="none"/>
              </w:rPr>
              <w:t>注：</w:t>
            </w:r>
            <w:r>
              <w:rPr>
                <w:rFonts w:hint="eastAsia" w:ascii="宋体" w:hAnsi="宋体" w:eastAsia="宋体" w:cs="宋体"/>
                <w:bCs/>
                <w:color w:val="auto"/>
                <w:szCs w:val="21"/>
                <w:highlight w:val="none"/>
                <w:u w:val="none"/>
              </w:rPr>
              <w:t>项目负责人、技术负责人</w:t>
            </w:r>
            <w:r>
              <w:rPr>
                <w:rFonts w:hint="eastAsia" w:ascii="宋体" w:hAnsi="宋体" w:eastAsia="宋体" w:cs="宋体"/>
                <w:bCs/>
                <w:color w:val="auto"/>
                <w:szCs w:val="21"/>
                <w:highlight w:val="none"/>
                <w:u w:val="none"/>
                <w:lang w:eastAsia="zh-CN"/>
              </w:rPr>
              <w:t>、</w:t>
            </w:r>
            <w:r>
              <w:rPr>
                <w:rFonts w:hint="eastAsia" w:ascii="宋体" w:hAnsi="宋体" w:eastAsia="宋体" w:cs="宋体"/>
                <w:bCs/>
                <w:color w:val="auto"/>
                <w:szCs w:val="21"/>
                <w:highlight w:val="none"/>
                <w:u w:val="none"/>
              </w:rPr>
              <w:t>专职安全员、其他专业负责人</w:t>
            </w:r>
            <w:r>
              <w:rPr>
                <w:rFonts w:hint="eastAsia" w:ascii="宋体" w:hAnsi="宋体" w:eastAsia="宋体" w:cs="宋体"/>
                <w:bCs/>
                <w:color w:val="auto"/>
                <w:szCs w:val="21"/>
                <w:highlight w:val="none"/>
                <w:u w:val="none"/>
                <w:lang w:eastAsia="zh-CN"/>
              </w:rPr>
              <w:t>不得兼任，</w:t>
            </w:r>
            <w:r>
              <w:rPr>
                <w:rFonts w:hint="eastAsia" w:ascii="宋体" w:hAnsi="宋体" w:cs="宋体"/>
                <w:bCs/>
                <w:color w:val="auto"/>
                <w:szCs w:val="21"/>
                <w:highlight w:val="none"/>
                <w:u w:val="none"/>
              </w:rPr>
              <w:t>需提供上述人员的身份证、职称证及</w:t>
            </w:r>
            <w:r>
              <w:rPr>
                <w:rFonts w:ascii="宋体" w:hAnsi="宋体" w:cs="宋体"/>
                <w:bCs/>
                <w:color w:val="auto"/>
                <w:szCs w:val="21"/>
                <w:highlight w:val="none"/>
                <w:u w:val="none"/>
              </w:rPr>
              <w:t>2023</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10</w:t>
            </w:r>
            <w:r>
              <w:rPr>
                <w:rFonts w:hint="eastAsia" w:ascii="宋体" w:hAnsi="宋体" w:cs="宋体"/>
                <w:bCs/>
                <w:color w:val="auto"/>
                <w:szCs w:val="21"/>
                <w:highlight w:val="none"/>
                <w:u w:val="none"/>
              </w:rPr>
              <w:t>月在本单位交纳的社保证明文件的扫描件。</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309"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pacing w:val="1"/>
                <w:kern w:val="0"/>
                <w:szCs w:val="21"/>
                <w:highlight w:val="none"/>
              </w:rPr>
            </w:pPr>
            <w:r>
              <w:rPr>
                <w:rFonts w:hint="eastAsia" w:ascii="宋体" w:hAnsi="宋体" w:cs="宋体"/>
                <w:color w:val="auto"/>
                <w:spacing w:val="1"/>
                <w:kern w:val="0"/>
                <w:szCs w:val="21"/>
                <w:highlight w:val="none"/>
              </w:rPr>
              <w:t>企业业绩</w:t>
            </w:r>
          </w:p>
          <w:p>
            <w:pPr>
              <w:spacing w:line="360" w:lineRule="auto"/>
              <w:jc w:val="center"/>
              <w:rPr>
                <w:color w:val="auto"/>
                <w:highlight w:val="none"/>
                <w:u w:val="single"/>
              </w:rPr>
            </w:pPr>
            <w:r>
              <w:rPr>
                <w:rFonts w:hint="eastAsia" w:ascii="宋体" w:hAnsi="宋体" w:cs="宋体"/>
                <w:color w:val="auto"/>
                <w:szCs w:val="21"/>
                <w:highlight w:val="none"/>
              </w:rPr>
              <w:t>（10分）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bCs/>
                <w:color w:val="auto"/>
                <w:szCs w:val="21"/>
                <w:highlight w:val="none"/>
                <w:u w:val="none"/>
              </w:rPr>
            </w:pPr>
            <w:r>
              <w:rPr>
                <w:rFonts w:hint="eastAsia" w:ascii="宋体" w:hAnsi="宋体" w:cs="宋体"/>
                <w:bCs/>
                <w:color w:val="auto"/>
                <w:szCs w:val="21"/>
                <w:highlight w:val="none"/>
                <w:u w:val="none"/>
              </w:rPr>
              <w:t>投标人自</w:t>
            </w:r>
            <w:r>
              <w:rPr>
                <w:rFonts w:ascii="宋体" w:hAnsi="宋体" w:cs="宋体"/>
                <w:bCs/>
                <w:color w:val="auto"/>
                <w:szCs w:val="21"/>
                <w:highlight w:val="none"/>
                <w:u w:val="none"/>
              </w:rPr>
              <w:t>2020</w:t>
            </w:r>
            <w:r>
              <w:rPr>
                <w:rFonts w:hint="eastAsia" w:ascii="宋体" w:hAnsi="宋体" w:cs="宋体"/>
                <w:bCs/>
                <w:color w:val="auto"/>
                <w:szCs w:val="21"/>
                <w:highlight w:val="none"/>
                <w:u w:val="none"/>
              </w:rPr>
              <w:t>年</w:t>
            </w:r>
            <w:r>
              <w:rPr>
                <w:rFonts w:ascii="宋体" w:hAnsi="宋体" w:cs="宋体"/>
                <w:bCs/>
                <w:color w:val="auto"/>
                <w:szCs w:val="21"/>
                <w:highlight w:val="none"/>
                <w:u w:val="none"/>
              </w:rPr>
              <w:t>1</w:t>
            </w:r>
            <w:r>
              <w:rPr>
                <w:rFonts w:hint="eastAsia" w:ascii="宋体" w:hAnsi="宋体" w:cs="宋体"/>
                <w:bCs/>
                <w:color w:val="auto"/>
                <w:szCs w:val="21"/>
                <w:highlight w:val="none"/>
                <w:u w:val="none"/>
              </w:rPr>
              <w:t>月</w:t>
            </w:r>
            <w:r>
              <w:rPr>
                <w:rFonts w:ascii="宋体" w:hAnsi="宋体" w:cs="宋体"/>
                <w:bCs/>
                <w:color w:val="auto"/>
                <w:szCs w:val="21"/>
                <w:highlight w:val="none"/>
                <w:u w:val="none"/>
              </w:rPr>
              <w:t>1</w:t>
            </w:r>
            <w:r>
              <w:rPr>
                <w:rFonts w:hint="eastAsia" w:ascii="宋体" w:hAnsi="宋体" w:cs="宋体"/>
                <w:bCs/>
                <w:color w:val="auto"/>
                <w:szCs w:val="21"/>
                <w:highlight w:val="none"/>
                <w:u w:val="none"/>
              </w:rPr>
              <w:t>日至今，完成过质量合格且工程造价大于或等于</w:t>
            </w:r>
            <w:r>
              <w:rPr>
                <w:rFonts w:ascii="宋体" w:hAnsi="宋体" w:cs="宋体"/>
                <w:bCs/>
                <w:color w:val="auto"/>
                <w:szCs w:val="21"/>
                <w:highlight w:val="none"/>
                <w:u w:val="none"/>
              </w:rPr>
              <w:t>6500</w:t>
            </w:r>
            <w:r>
              <w:rPr>
                <w:rFonts w:hint="eastAsia" w:ascii="宋体" w:hAnsi="宋体" w:cs="宋体"/>
                <w:bCs/>
                <w:color w:val="auto"/>
                <w:szCs w:val="21"/>
                <w:highlight w:val="none"/>
                <w:u w:val="none"/>
              </w:rPr>
              <w:t>万元的市政公用工程施工总承包业绩，每</w:t>
            </w:r>
            <w:r>
              <w:rPr>
                <w:rFonts w:hint="eastAsia" w:ascii="宋体" w:hAnsi="宋体" w:cs="宋体"/>
                <w:color w:val="auto"/>
                <w:szCs w:val="21"/>
                <w:highlight w:val="none"/>
                <w:u w:val="none"/>
              </w:rPr>
              <w:t>个</w:t>
            </w:r>
            <w:r>
              <w:rPr>
                <w:rFonts w:hint="eastAsia" w:ascii="宋体" w:hAnsi="宋体" w:cs="宋体"/>
                <w:bCs/>
                <w:color w:val="auto"/>
                <w:szCs w:val="21"/>
                <w:highlight w:val="none"/>
                <w:u w:val="none"/>
              </w:rPr>
              <w:t>得</w:t>
            </w:r>
            <w:r>
              <w:rPr>
                <w:rFonts w:ascii="宋体" w:hAnsi="宋体" w:cs="宋体"/>
                <w:bCs/>
                <w:color w:val="auto"/>
                <w:szCs w:val="21"/>
                <w:highlight w:val="none"/>
                <w:u w:val="none"/>
              </w:rPr>
              <w:t>1</w:t>
            </w:r>
            <w:r>
              <w:rPr>
                <w:rFonts w:hint="eastAsia" w:ascii="宋体" w:hAnsi="宋体" w:cs="宋体"/>
                <w:bCs/>
                <w:color w:val="auto"/>
                <w:szCs w:val="21"/>
                <w:highlight w:val="none"/>
                <w:u w:val="none"/>
              </w:rPr>
              <w:t>分，本项最高得</w:t>
            </w:r>
            <w:r>
              <w:rPr>
                <w:rFonts w:ascii="宋体" w:hAnsi="宋体" w:cs="宋体"/>
                <w:bCs/>
                <w:color w:val="auto"/>
                <w:szCs w:val="21"/>
                <w:highlight w:val="none"/>
                <w:u w:val="none"/>
              </w:rPr>
              <w:t>10</w:t>
            </w:r>
            <w:r>
              <w:rPr>
                <w:rFonts w:hint="eastAsia" w:ascii="宋体" w:hAnsi="宋体" w:cs="宋体"/>
                <w:bCs/>
                <w:color w:val="auto"/>
                <w:szCs w:val="21"/>
                <w:highlight w:val="none"/>
                <w:u w:val="none"/>
              </w:rPr>
              <w:t>分。</w:t>
            </w:r>
          </w:p>
          <w:p>
            <w:pPr>
              <w:spacing w:line="360" w:lineRule="auto"/>
              <w:jc w:val="left"/>
              <w:rPr>
                <w:color w:val="auto"/>
                <w:highlight w:val="none"/>
                <w:u w:val="none"/>
              </w:rPr>
            </w:pPr>
            <w:r>
              <w:rPr>
                <w:rFonts w:hint="eastAsia" w:ascii="宋体" w:hAnsi="宋体" w:cs="宋体"/>
                <w:bCs/>
                <w:color w:val="auto"/>
                <w:szCs w:val="21"/>
                <w:highlight w:val="none"/>
                <w:u w:val="none"/>
              </w:rPr>
              <w:t>注：业绩证明材料需提供中标通知书、合同关键页及验收证明文件扫描件。如以上资料不全的，则相应的业绩不予计分，业绩时间认定以验收证明文件时间为准，金额以合同（不含补充协议）为准。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309"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rPr>
              <w:t>企业工程获奖（20分）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投标人承建的市政公用工程自</w:t>
            </w:r>
            <w:r>
              <w:rPr>
                <w:rFonts w:ascii="宋体" w:hAnsi="宋体" w:cs="宋体"/>
                <w:color w:val="auto"/>
                <w:szCs w:val="21"/>
                <w:highlight w:val="none"/>
                <w:u w:val="none"/>
              </w:rPr>
              <w:t>2020</w:t>
            </w:r>
            <w:r>
              <w:rPr>
                <w:rFonts w:hint="eastAsia" w:ascii="宋体" w:hAnsi="宋体" w:cs="宋体"/>
                <w:color w:val="auto"/>
                <w:szCs w:val="21"/>
                <w:highlight w:val="none"/>
                <w:u w:val="none"/>
              </w:rPr>
              <w:t>年</w:t>
            </w:r>
            <w:r>
              <w:rPr>
                <w:rFonts w:ascii="宋体" w:hAnsi="宋体" w:cs="宋体"/>
                <w:color w:val="auto"/>
                <w:szCs w:val="21"/>
                <w:highlight w:val="none"/>
                <w:u w:val="none"/>
              </w:rPr>
              <w:t>1</w:t>
            </w:r>
            <w:r>
              <w:rPr>
                <w:rFonts w:hint="eastAsia" w:ascii="宋体" w:hAnsi="宋体" w:cs="宋体"/>
                <w:color w:val="auto"/>
                <w:szCs w:val="21"/>
                <w:highlight w:val="none"/>
                <w:u w:val="none"/>
              </w:rPr>
              <w:t>月</w:t>
            </w:r>
            <w:r>
              <w:rPr>
                <w:rFonts w:ascii="宋体" w:hAnsi="宋体" w:cs="宋体"/>
                <w:color w:val="auto"/>
                <w:szCs w:val="21"/>
                <w:highlight w:val="none"/>
                <w:u w:val="none"/>
              </w:rPr>
              <w:t>1</w:t>
            </w:r>
            <w:r>
              <w:rPr>
                <w:rFonts w:hint="eastAsia" w:ascii="宋体" w:hAnsi="宋体" w:cs="宋体"/>
                <w:color w:val="auto"/>
                <w:szCs w:val="21"/>
                <w:highlight w:val="none"/>
                <w:u w:val="none"/>
              </w:rPr>
              <w:t>日至今，</w:t>
            </w:r>
          </w:p>
          <w:p>
            <w:pPr>
              <w:spacing w:line="360" w:lineRule="auto"/>
              <w:jc w:val="left"/>
              <w:rPr>
                <w:rFonts w:ascii="宋体" w:hAnsi="宋体" w:cs="宋体"/>
                <w:color w:val="auto"/>
                <w:szCs w:val="21"/>
                <w:highlight w:val="none"/>
                <w:u w:val="none"/>
              </w:rPr>
            </w:pPr>
            <w:r>
              <w:rPr>
                <w:rFonts w:ascii="宋体" w:hAnsi="宋体" w:cs="宋体"/>
                <w:color w:val="auto"/>
                <w:szCs w:val="21"/>
                <w:highlight w:val="none"/>
                <w:u w:val="none"/>
              </w:rPr>
              <w:t>1、</w:t>
            </w:r>
            <w:r>
              <w:rPr>
                <w:rFonts w:hint="eastAsia" w:ascii="宋体" w:hAnsi="宋体" w:cs="宋体"/>
                <w:color w:val="auto"/>
                <w:szCs w:val="21"/>
                <w:highlight w:val="none"/>
                <w:u w:val="none"/>
              </w:rPr>
              <w:t>获得过国家级工程质量奖的，每个得</w:t>
            </w:r>
            <w:r>
              <w:rPr>
                <w:rFonts w:ascii="宋体" w:hAnsi="宋体" w:cs="宋体"/>
                <w:color w:val="auto"/>
                <w:szCs w:val="21"/>
                <w:highlight w:val="none"/>
                <w:u w:val="none"/>
              </w:rPr>
              <w:t>4</w:t>
            </w:r>
            <w:r>
              <w:rPr>
                <w:rFonts w:hint="eastAsia" w:ascii="宋体" w:hAnsi="宋体" w:cs="宋体"/>
                <w:color w:val="auto"/>
                <w:szCs w:val="21"/>
                <w:highlight w:val="none"/>
                <w:u w:val="none"/>
              </w:rPr>
              <w:t>分，最高得</w:t>
            </w:r>
            <w:r>
              <w:rPr>
                <w:rFonts w:ascii="宋体" w:hAnsi="宋体" w:cs="宋体"/>
                <w:color w:val="auto"/>
                <w:szCs w:val="21"/>
                <w:highlight w:val="none"/>
                <w:u w:val="none"/>
              </w:rPr>
              <w:t>20</w:t>
            </w:r>
            <w:r>
              <w:rPr>
                <w:rFonts w:hint="eastAsia" w:ascii="宋体" w:hAnsi="宋体" w:cs="宋体"/>
                <w:color w:val="auto"/>
                <w:szCs w:val="21"/>
                <w:highlight w:val="none"/>
                <w:u w:val="none"/>
              </w:rPr>
              <w:t>分；</w:t>
            </w:r>
          </w:p>
          <w:p>
            <w:pPr>
              <w:spacing w:line="360" w:lineRule="auto"/>
              <w:jc w:val="left"/>
              <w:rPr>
                <w:rFonts w:ascii="宋体" w:hAnsi="宋体" w:cs="宋体"/>
                <w:color w:val="auto"/>
                <w:szCs w:val="21"/>
                <w:highlight w:val="none"/>
                <w:u w:val="none"/>
              </w:rPr>
            </w:pPr>
            <w:r>
              <w:rPr>
                <w:rFonts w:ascii="宋体" w:hAnsi="宋体" w:cs="宋体"/>
                <w:color w:val="auto"/>
                <w:szCs w:val="21"/>
                <w:highlight w:val="none"/>
                <w:u w:val="none"/>
              </w:rPr>
              <w:t>2、</w:t>
            </w:r>
            <w:r>
              <w:rPr>
                <w:rFonts w:hint="eastAsia" w:ascii="宋体" w:hAnsi="宋体" w:cs="宋体"/>
                <w:color w:val="auto"/>
                <w:szCs w:val="21"/>
                <w:highlight w:val="none"/>
                <w:u w:val="none"/>
              </w:rPr>
              <w:t>获得过省级工程质量奖的，每个得</w:t>
            </w:r>
            <w:r>
              <w:rPr>
                <w:rFonts w:ascii="宋体" w:hAnsi="宋体" w:cs="宋体"/>
                <w:color w:val="auto"/>
                <w:szCs w:val="21"/>
                <w:highlight w:val="none"/>
                <w:u w:val="none"/>
              </w:rPr>
              <w:t>2</w:t>
            </w:r>
            <w:r>
              <w:rPr>
                <w:rFonts w:hint="eastAsia" w:ascii="宋体" w:hAnsi="宋体" w:cs="宋体"/>
                <w:color w:val="auto"/>
                <w:szCs w:val="21"/>
                <w:highlight w:val="none"/>
                <w:u w:val="none"/>
              </w:rPr>
              <w:t>分，最高得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spacing w:line="360" w:lineRule="auto"/>
              <w:jc w:val="left"/>
              <w:rPr>
                <w:rFonts w:ascii="宋体" w:hAnsi="宋体" w:cs="宋体"/>
                <w:color w:val="auto"/>
                <w:szCs w:val="21"/>
                <w:highlight w:val="none"/>
                <w:u w:val="none"/>
              </w:rPr>
            </w:pPr>
            <w:r>
              <w:rPr>
                <w:rFonts w:ascii="宋体" w:hAnsi="宋体" w:cs="宋体"/>
                <w:color w:val="auto"/>
                <w:szCs w:val="21"/>
                <w:highlight w:val="none"/>
                <w:u w:val="none"/>
              </w:rPr>
              <w:t>3、</w:t>
            </w:r>
            <w:r>
              <w:rPr>
                <w:rFonts w:hint="eastAsia" w:ascii="宋体" w:hAnsi="宋体" w:cs="宋体"/>
                <w:color w:val="auto"/>
                <w:szCs w:val="21"/>
                <w:highlight w:val="none"/>
                <w:u w:val="none"/>
              </w:rPr>
              <w:t>获得过市级工程质量奖的，每个得</w:t>
            </w:r>
            <w:r>
              <w:rPr>
                <w:rFonts w:ascii="宋体" w:hAnsi="宋体" w:cs="宋体"/>
                <w:color w:val="auto"/>
                <w:szCs w:val="21"/>
                <w:highlight w:val="none"/>
                <w:u w:val="none"/>
              </w:rPr>
              <w:t>1</w:t>
            </w:r>
            <w:r>
              <w:rPr>
                <w:rFonts w:hint="eastAsia" w:ascii="宋体" w:hAnsi="宋体" w:cs="宋体"/>
                <w:color w:val="auto"/>
                <w:szCs w:val="21"/>
                <w:highlight w:val="none"/>
                <w:u w:val="none"/>
              </w:rPr>
              <w:t>分，最高得</w:t>
            </w:r>
            <w:r>
              <w:rPr>
                <w:rFonts w:ascii="宋体" w:hAnsi="宋体" w:cs="宋体"/>
                <w:color w:val="auto"/>
                <w:szCs w:val="21"/>
                <w:highlight w:val="none"/>
                <w:u w:val="none"/>
              </w:rPr>
              <w:t>5</w:t>
            </w:r>
            <w:r>
              <w:rPr>
                <w:rFonts w:hint="eastAsia" w:ascii="宋体" w:hAnsi="宋体" w:cs="宋体"/>
                <w:color w:val="auto"/>
                <w:szCs w:val="21"/>
                <w:highlight w:val="none"/>
                <w:u w:val="none"/>
              </w:rPr>
              <w:t>分。</w:t>
            </w:r>
          </w:p>
          <w:p>
            <w:pPr>
              <w:spacing w:line="360" w:lineRule="auto"/>
              <w:jc w:val="left"/>
              <w:rPr>
                <w:rFonts w:ascii="宋体" w:hAnsi="宋体" w:cs="宋体"/>
                <w:color w:val="auto"/>
                <w:szCs w:val="21"/>
                <w:highlight w:val="none"/>
                <w:u w:val="none"/>
              </w:rPr>
            </w:pPr>
            <w:r>
              <w:rPr>
                <w:rFonts w:hint="eastAsia" w:ascii="宋体" w:hAnsi="宋体" w:cs="宋体"/>
                <w:bCs/>
                <w:color w:val="auto"/>
                <w:szCs w:val="21"/>
                <w:highlight w:val="none"/>
                <w:u w:val="none"/>
              </w:rPr>
              <w:t>本项最高得</w:t>
            </w:r>
            <w:r>
              <w:rPr>
                <w:rFonts w:ascii="宋体" w:hAnsi="宋体" w:cs="宋体"/>
                <w:bCs/>
                <w:color w:val="auto"/>
                <w:szCs w:val="21"/>
                <w:highlight w:val="none"/>
                <w:u w:val="none"/>
              </w:rPr>
              <w:t>20</w:t>
            </w:r>
            <w:r>
              <w:rPr>
                <w:rFonts w:hint="eastAsia" w:ascii="宋体" w:hAnsi="宋体" w:cs="宋体"/>
                <w:bCs/>
                <w:color w:val="auto"/>
                <w:szCs w:val="21"/>
                <w:highlight w:val="none"/>
                <w:u w:val="none"/>
              </w:rPr>
              <w:t>分。</w:t>
            </w:r>
          </w:p>
          <w:p>
            <w:pPr>
              <w:pStyle w:val="40"/>
              <w:spacing w:line="360" w:lineRule="auto"/>
              <w:ind w:firstLine="0"/>
              <w:rPr>
                <w:color w:val="auto"/>
                <w:highlight w:val="none"/>
                <w:u w:val="none"/>
              </w:rPr>
            </w:pPr>
            <w:r>
              <w:rPr>
                <w:rFonts w:hint="eastAsia" w:ascii="宋体" w:hAnsi="宋体" w:eastAsia="宋体" w:cs="宋体"/>
                <w:color w:val="auto"/>
                <w:kern w:val="2"/>
                <w:sz w:val="21"/>
                <w:szCs w:val="21"/>
                <w:highlight w:val="none"/>
                <w:u w:val="none"/>
              </w:rPr>
              <w:t>注：国家级工程质量奖项包括：中国建设工程鲁班奖、国家优质工程（金质奖）、国家优质工程（银质奖）、国家优质工程奖、中国土木工程詹天佑奖。省市级奖项是指由建设行政主管部门或行业协会颁发的工程质量奖项，不包含安全文明示范工地、技术创新、</w:t>
            </w:r>
            <w:r>
              <w:rPr>
                <w:rFonts w:ascii="宋体" w:hAnsi="宋体" w:eastAsia="宋体" w:cs="宋体"/>
                <w:color w:val="auto"/>
                <w:kern w:val="2"/>
                <w:sz w:val="21"/>
                <w:szCs w:val="21"/>
                <w:highlight w:val="none"/>
                <w:u w:val="none"/>
              </w:rPr>
              <w:t>QC</w:t>
            </w:r>
            <w:r>
              <w:rPr>
                <w:rFonts w:hint="eastAsia" w:ascii="宋体" w:hAnsi="宋体" w:eastAsia="宋体" w:cs="宋体"/>
                <w:color w:val="auto"/>
                <w:kern w:val="2"/>
                <w:sz w:val="21"/>
                <w:szCs w:val="21"/>
                <w:highlight w:val="none"/>
                <w:u w:val="none"/>
              </w:rPr>
              <w:t>成果、科技进步及技术应用类等奖项。仅计算作为承建单位获奖，参建单位获奖不予计算；多个项目获奖或单个项目获得多个奖项的，以最高奖项为准，只算一个获奖情况，不累加；时间以获奖证书上载明时间为准，投标人需提供获奖证书扫描件以供评审</w:t>
            </w:r>
            <w:r>
              <w:rPr>
                <w:rFonts w:hint="eastAsia" w:ascii="宋体" w:hAnsi="宋体" w:eastAsia="宋体" w:cs="宋体"/>
                <w:color w:val="auto"/>
                <w:sz w:val="21"/>
                <w:szCs w:val="21"/>
                <w:highlight w:val="none"/>
                <w:u w:val="none"/>
              </w:rPr>
              <w:t>。</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309"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pacing w:val="1"/>
                <w:kern w:val="0"/>
                <w:szCs w:val="21"/>
                <w:highlight w:val="none"/>
              </w:rPr>
            </w:pPr>
            <w:r>
              <w:rPr>
                <w:rFonts w:hint="eastAsia" w:ascii="宋体" w:hAnsi="宋体" w:cs="宋体"/>
                <w:color w:val="auto"/>
                <w:spacing w:val="1"/>
                <w:kern w:val="0"/>
                <w:szCs w:val="21"/>
                <w:highlight w:val="none"/>
              </w:rPr>
              <w:t>财务状况</w:t>
            </w:r>
          </w:p>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pacing w:val="1"/>
                <w:kern w:val="0"/>
                <w:szCs w:val="21"/>
                <w:highlight w:val="none"/>
              </w:rPr>
              <w:t>（10分）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投标人至今获得过税务部门颁发的“纳税信用</w:t>
            </w:r>
            <w:r>
              <w:rPr>
                <w:rFonts w:ascii="宋体" w:hAnsi="宋体" w:cs="宋体"/>
                <w:color w:val="auto"/>
                <w:szCs w:val="21"/>
                <w:highlight w:val="none"/>
                <w:u w:val="none"/>
              </w:rPr>
              <w:t>A</w:t>
            </w:r>
            <w:r>
              <w:rPr>
                <w:rFonts w:hint="eastAsia" w:ascii="宋体" w:hAnsi="宋体" w:cs="宋体"/>
                <w:color w:val="auto"/>
                <w:szCs w:val="21"/>
                <w:highlight w:val="none"/>
                <w:u w:val="none"/>
              </w:rPr>
              <w:t>级纳税人”荣誉情况（须含</w:t>
            </w:r>
            <w:r>
              <w:rPr>
                <w:rFonts w:ascii="宋体" w:hAnsi="宋体" w:cs="宋体"/>
                <w:color w:val="auto"/>
                <w:szCs w:val="21"/>
                <w:highlight w:val="none"/>
                <w:u w:val="none"/>
              </w:rPr>
              <w:t>2022</w:t>
            </w:r>
            <w:r>
              <w:rPr>
                <w:rFonts w:hint="eastAsia" w:ascii="宋体" w:hAnsi="宋体" w:cs="宋体"/>
                <w:color w:val="auto"/>
                <w:szCs w:val="21"/>
                <w:highlight w:val="none"/>
                <w:u w:val="none"/>
              </w:rPr>
              <w:t>年）：</w:t>
            </w:r>
          </w:p>
          <w:p>
            <w:pPr>
              <w:pStyle w:val="138"/>
              <w:numPr>
                <w:ilvl w:val="0"/>
                <w:numId w:val="7"/>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连续</w:t>
            </w:r>
            <w:r>
              <w:rPr>
                <w:rFonts w:ascii="宋体" w:hAnsi="宋体" w:cs="宋体"/>
                <w:color w:val="auto"/>
                <w:szCs w:val="21"/>
                <w:highlight w:val="none"/>
                <w:u w:val="none"/>
              </w:rPr>
              <w:t>8</w:t>
            </w:r>
            <w:r>
              <w:rPr>
                <w:rFonts w:hint="eastAsia" w:ascii="宋体" w:hAnsi="宋体" w:cs="宋体"/>
                <w:color w:val="auto"/>
                <w:szCs w:val="21"/>
                <w:highlight w:val="none"/>
                <w:u w:val="none"/>
              </w:rPr>
              <w:t>年或以上年度获得的，得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pStyle w:val="138"/>
              <w:numPr>
                <w:ilvl w:val="0"/>
                <w:numId w:val="7"/>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连续</w:t>
            </w:r>
            <w:r>
              <w:rPr>
                <w:rFonts w:ascii="宋体" w:hAnsi="宋体" w:cs="宋体"/>
                <w:color w:val="auto"/>
                <w:szCs w:val="21"/>
                <w:highlight w:val="none"/>
                <w:u w:val="none"/>
              </w:rPr>
              <w:t>5</w:t>
            </w:r>
            <w:r>
              <w:rPr>
                <w:rFonts w:hint="eastAsia" w:ascii="宋体" w:hAnsi="宋体" w:cs="宋体"/>
                <w:color w:val="auto"/>
                <w:szCs w:val="21"/>
                <w:highlight w:val="none"/>
                <w:u w:val="none"/>
              </w:rPr>
              <w:t>至</w:t>
            </w:r>
            <w:r>
              <w:rPr>
                <w:rFonts w:ascii="宋体" w:hAnsi="宋体" w:cs="宋体"/>
                <w:color w:val="auto"/>
                <w:szCs w:val="21"/>
                <w:highlight w:val="none"/>
                <w:u w:val="none"/>
              </w:rPr>
              <w:t>7</w:t>
            </w:r>
            <w:r>
              <w:rPr>
                <w:rFonts w:hint="eastAsia" w:ascii="宋体" w:hAnsi="宋体" w:cs="宋体"/>
                <w:color w:val="auto"/>
                <w:szCs w:val="21"/>
                <w:highlight w:val="none"/>
                <w:u w:val="none"/>
              </w:rPr>
              <w:t>年获得的，得</w:t>
            </w:r>
            <w:r>
              <w:rPr>
                <w:rFonts w:ascii="宋体" w:hAnsi="宋体" w:cs="宋体"/>
                <w:color w:val="auto"/>
                <w:szCs w:val="21"/>
                <w:highlight w:val="none"/>
                <w:u w:val="none"/>
              </w:rPr>
              <w:t>5</w:t>
            </w:r>
            <w:r>
              <w:rPr>
                <w:rFonts w:hint="eastAsia" w:ascii="宋体" w:hAnsi="宋体" w:cs="宋体"/>
                <w:color w:val="auto"/>
                <w:szCs w:val="21"/>
                <w:highlight w:val="none"/>
                <w:u w:val="none"/>
              </w:rPr>
              <w:t>分；</w:t>
            </w:r>
          </w:p>
          <w:p>
            <w:pPr>
              <w:pStyle w:val="138"/>
              <w:numPr>
                <w:ilvl w:val="0"/>
                <w:numId w:val="7"/>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连续</w:t>
            </w:r>
            <w:r>
              <w:rPr>
                <w:rFonts w:ascii="宋体" w:hAnsi="宋体" w:cs="宋体"/>
                <w:color w:val="auto"/>
                <w:szCs w:val="21"/>
                <w:highlight w:val="none"/>
                <w:u w:val="none"/>
              </w:rPr>
              <w:t>2</w:t>
            </w:r>
            <w:r>
              <w:rPr>
                <w:rFonts w:hint="eastAsia" w:ascii="宋体" w:hAnsi="宋体" w:cs="宋体"/>
                <w:color w:val="auto"/>
                <w:szCs w:val="21"/>
                <w:highlight w:val="none"/>
                <w:u w:val="none"/>
              </w:rPr>
              <w:t>至</w:t>
            </w:r>
            <w:r>
              <w:rPr>
                <w:rFonts w:ascii="宋体" w:hAnsi="宋体" w:cs="宋体"/>
                <w:color w:val="auto"/>
                <w:szCs w:val="21"/>
                <w:highlight w:val="none"/>
                <w:u w:val="none"/>
              </w:rPr>
              <w:t>4</w:t>
            </w:r>
            <w:r>
              <w:rPr>
                <w:rFonts w:hint="eastAsia" w:ascii="宋体" w:hAnsi="宋体" w:cs="宋体"/>
                <w:color w:val="auto"/>
                <w:szCs w:val="21"/>
                <w:highlight w:val="none"/>
                <w:u w:val="none"/>
              </w:rPr>
              <w:t>年获得的，得</w:t>
            </w:r>
            <w:r>
              <w:rPr>
                <w:rFonts w:ascii="宋体" w:hAnsi="宋体" w:cs="宋体"/>
                <w:color w:val="auto"/>
                <w:szCs w:val="21"/>
                <w:highlight w:val="none"/>
                <w:u w:val="none"/>
              </w:rPr>
              <w:t>1</w:t>
            </w:r>
            <w:r>
              <w:rPr>
                <w:rFonts w:hint="eastAsia" w:ascii="宋体" w:hAnsi="宋体" w:cs="宋体"/>
                <w:color w:val="auto"/>
                <w:szCs w:val="21"/>
                <w:highlight w:val="none"/>
                <w:u w:val="none"/>
              </w:rPr>
              <w:t>分。</w:t>
            </w:r>
          </w:p>
          <w:p>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其他情况不得分，本项最高得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wordWrap w:val="0"/>
              <w:spacing w:line="360" w:lineRule="auto"/>
              <w:jc w:val="left"/>
              <w:rPr>
                <w:color w:val="auto"/>
                <w:highlight w:val="none"/>
                <w:u w:val="none"/>
              </w:rPr>
            </w:pPr>
            <w:r>
              <w:rPr>
                <w:rFonts w:hint="eastAsia" w:ascii="宋体" w:hAnsi="宋体" w:cs="宋体"/>
                <w:color w:val="auto"/>
                <w:szCs w:val="21"/>
                <w:highlight w:val="none"/>
                <w:u w:val="none"/>
              </w:rPr>
              <w:t>注：“纳税信用</w:t>
            </w:r>
            <w:r>
              <w:rPr>
                <w:rFonts w:ascii="宋体" w:hAnsi="宋体" w:cs="宋体"/>
                <w:color w:val="auto"/>
                <w:szCs w:val="21"/>
                <w:highlight w:val="none"/>
                <w:u w:val="none"/>
              </w:rPr>
              <w:t>A</w:t>
            </w:r>
            <w:r>
              <w:rPr>
                <w:rFonts w:hint="eastAsia" w:ascii="宋体" w:hAnsi="宋体" w:cs="宋体"/>
                <w:color w:val="auto"/>
                <w:szCs w:val="21"/>
                <w:highlight w:val="none"/>
                <w:u w:val="none"/>
              </w:rPr>
              <w:t>级纳税人”须提供国家税务总局查询网页（</w:t>
            </w:r>
            <w:r>
              <w:rPr>
                <w:rFonts w:ascii="宋体" w:hAnsi="宋体" w:cs="宋体"/>
                <w:color w:val="auto"/>
                <w:szCs w:val="21"/>
                <w:highlight w:val="none"/>
                <w:u w:val="none"/>
              </w:rPr>
              <w:t>http://www.chinatax.gov.cn/</w:t>
            </w:r>
            <w:r>
              <w:rPr>
                <w:rFonts w:hint="eastAsia" w:ascii="宋体" w:hAnsi="宋体" w:cs="宋体"/>
                <w:color w:val="auto"/>
                <w:szCs w:val="21"/>
                <w:highlight w:val="none"/>
                <w:u w:val="none"/>
              </w:rPr>
              <w:t>）信息截图。时间以国家税务总局网站纳税信用信息查询结果的网页截图公布的评价年度为准，上述资料显示的企业全称须与投标单位名称一致，否则不得分。没有提供上述证明材料或不符合条件的不得分；只计算投标人自身，不计算投标人的子公司、分公司及分支机构。</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309" w:type="dxa"/>
            <w:vMerge w:val="continue"/>
            <w:tcBorders>
              <w:right w:val="single" w:color="auto" w:sz="4" w:space="0"/>
            </w:tcBorders>
            <w:noWrap/>
            <w:vAlign w:val="center"/>
          </w:tcPr>
          <w:p>
            <w:pPr>
              <w:spacing w:line="360" w:lineRule="exact"/>
              <w:jc w:val="center"/>
              <w:rPr>
                <w:color w:val="auto"/>
                <w:szCs w:val="21"/>
                <w:highlight w:val="none"/>
                <w:u w:val="singl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pacing w:val="1"/>
                <w:kern w:val="0"/>
                <w:szCs w:val="21"/>
                <w:highlight w:val="none"/>
              </w:rPr>
            </w:pPr>
            <w:r>
              <w:rPr>
                <w:rFonts w:hint="eastAsia" w:ascii="宋体" w:hAnsi="宋体" w:cs="宋体"/>
                <w:color w:val="auto"/>
                <w:spacing w:val="1"/>
                <w:kern w:val="0"/>
                <w:szCs w:val="21"/>
                <w:highlight w:val="none"/>
              </w:rPr>
              <w:t>质量管理体系</w:t>
            </w:r>
          </w:p>
          <w:p>
            <w:pPr>
              <w:snapToGrid w:val="0"/>
              <w:spacing w:line="360" w:lineRule="auto"/>
              <w:jc w:val="center"/>
              <w:rPr>
                <w:rFonts w:ascii="宋体" w:hAnsi="宋体" w:cs="宋体"/>
                <w:color w:val="auto"/>
                <w:szCs w:val="21"/>
                <w:highlight w:val="none"/>
                <w:u w:val="single"/>
              </w:rPr>
            </w:pPr>
            <w:r>
              <w:rPr>
                <w:rFonts w:hint="eastAsia" w:ascii="宋体" w:hAnsi="宋体" w:cs="宋体"/>
                <w:color w:val="auto"/>
                <w:spacing w:val="1"/>
                <w:kern w:val="0"/>
                <w:szCs w:val="21"/>
                <w:highlight w:val="none"/>
              </w:rPr>
              <w:t>（10分）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投标人自</w:t>
            </w:r>
            <w:r>
              <w:rPr>
                <w:rFonts w:ascii="宋体" w:hAnsi="宋体" w:cs="宋体"/>
                <w:color w:val="auto"/>
                <w:szCs w:val="21"/>
                <w:highlight w:val="none"/>
                <w:u w:val="none"/>
              </w:rPr>
              <w:t>2020</w:t>
            </w:r>
            <w:r>
              <w:rPr>
                <w:rFonts w:hint="eastAsia" w:ascii="宋体" w:hAnsi="宋体" w:cs="宋体"/>
                <w:color w:val="auto"/>
                <w:szCs w:val="21"/>
                <w:highlight w:val="none"/>
                <w:u w:val="none"/>
              </w:rPr>
              <w:t>年</w:t>
            </w:r>
            <w:r>
              <w:rPr>
                <w:rFonts w:ascii="宋体" w:hAnsi="宋体" w:cs="宋体"/>
                <w:color w:val="auto"/>
                <w:szCs w:val="21"/>
                <w:highlight w:val="none"/>
                <w:u w:val="none"/>
              </w:rPr>
              <w:t>1</w:t>
            </w:r>
            <w:r>
              <w:rPr>
                <w:rFonts w:hint="eastAsia" w:ascii="宋体" w:hAnsi="宋体" w:cs="宋体"/>
                <w:color w:val="auto"/>
                <w:szCs w:val="21"/>
                <w:highlight w:val="none"/>
                <w:u w:val="none"/>
              </w:rPr>
              <w:t>月</w:t>
            </w:r>
            <w:r>
              <w:rPr>
                <w:rFonts w:ascii="宋体" w:hAnsi="宋体" w:cs="宋体"/>
                <w:color w:val="auto"/>
                <w:szCs w:val="21"/>
                <w:highlight w:val="none"/>
                <w:u w:val="none"/>
              </w:rPr>
              <w:t>1</w:t>
            </w:r>
            <w:r>
              <w:rPr>
                <w:rFonts w:hint="eastAsia" w:ascii="宋体" w:hAnsi="宋体" w:cs="宋体"/>
                <w:color w:val="auto"/>
                <w:szCs w:val="21"/>
                <w:highlight w:val="none"/>
                <w:u w:val="none"/>
              </w:rPr>
              <w:t>日至今，获得体系认证证书（体系认证证书指：质量管理体系认证证书、职业健康安全管理体系认证证书、环境管理体系认证证书、工程质量评价体系认证证书、工程施工安全标准化体系认证证书、服务质量评价体系认证证书、履约能力评价体系认证证书）情况：</w:t>
            </w:r>
          </w:p>
          <w:p>
            <w:pPr>
              <w:pStyle w:val="138"/>
              <w:numPr>
                <w:ilvl w:val="0"/>
                <w:numId w:val="8"/>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同时获得以上</w:t>
            </w:r>
            <w:r>
              <w:rPr>
                <w:rFonts w:ascii="宋体" w:hAnsi="宋体" w:cs="宋体"/>
                <w:color w:val="auto"/>
                <w:szCs w:val="21"/>
                <w:highlight w:val="none"/>
                <w:u w:val="none"/>
              </w:rPr>
              <w:t>7</w:t>
            </w:r>
            <w:r>
              <w:rPr>
                <w:rFonts w:hint="eastAsia" w:ascii="宋体" w:hAnsi="宋体" w:cs="宋体"/>
                <w:color w:val="auto"/>
                <w:szCs w:val="21"/>
                <w:highlight w:val="none"/>
                <w:u w:val="none"/>
              </w:rPr>
              <w:t>项体系认证证书且在有效期内的，得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pStyle w:val="138"/>
              <w:numPr>
                <w:ilvl w:val="0"/>
                <w:numId w:val="8"/>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同时获得以上任意</w:t>
            </w:r>
            <w:r>
              <w:rPr>
                <w:rFonts w:ascii="宋体" w:hAnsi="宋体" w:cs="宋体"/>
                <w:color w:val="auto"/>
                <w:szCs w:val="21"/>
                <w:highlight w:val="none"/>
                <w:u w:val="none"/>
              </w:rPr>
              <w:t>5-6</w:t>
            </w:r>
            <w:r>
              <w:rPr>
                <w:rFonts w:hint="eastAsia" w:ascii="宋体" w:hAnsi="宋体" w:cs="宋体"/>
                <w:color w:val="auto"/>
                <w:szCs w:val="21"/>
                <w:highlight w:val="none"/>
                <w:u w:val="none"/>
              </w:rPr>
              <w:t>项体系认证证书且在有效期内的，得</w:t>
            </w:r>
            <w:r>
              <w:rPr>
                <w:rFonts w:ascii="宋体" w:hAnsi="宋体" w:cs="宋体"/>
                <w:color w:val="auto"/>
                <w:szCs w:val="21"/>
                <w:highlight w:val="none"/>
                <w:u w:val="none"/>
              </w:rPr>
              <w:t>5</w:t>
            </w:r>
            <w:r>
              <w:rPr>
                <w:rFonts w:hint="eastAsia" w:ascii="宋体" w:hAnsi="宋体" w:cs="宋体"/>
                <w:color w:val="auto"/>
                <w:szCs w:val="21"/>
                <w:highlight w:val="none"/>
                <w:u w:val="none"/>
              </w:rPr>
              <w:t>分；</w:t>
            </w:r>
          </w:p>
          <w:p>
            <w:pPr>
              <w:pStyle w:val="138"/>
              <w:numPr>
                <w:ilvl w:val="0"/>
                <w:numId w:val="8"/>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同时获得以上任意</w:t>
            </w:r>
            <w:r>
              <w:rPr>
                <w:rFonts w:ascii="宋体" w:hAnsi="宋体" w:cs="宋体"/>
                <w:color w:val="auto"/>
                <w:szCs w:val="21"/>
                <w:highlight w:val="none"/>
                <w:u w:val="none"/>
              </w:rPr>
              <w:t>3-4</w:t>
            </w:r>
            <w:r>
              <w:rPr>
                <w:rFonts w:hint="eastAsia" w:ascii="宋体" w:hAnsi="宋体" w:cs="宋体"/>
                <w:color w:val="auto"/>
                <w:szCs w:val="21"/>
                <w:highlight w:val="none"/>
                <w:u w:val="none"/>
              </w:rPr>
              <w:t>项体系认证证书且在有效期内的，得</w:t>
            </w:r>
            <w:r>
              <w:rPr>
                <w:rFonts w:ascii="宋体" w:hAnsi="宋体" w:cs="宋体"/>
                <w:color w:val="auto"/>
                <w:szCs w:val="21"/>
                <w:highlight w:val="none"/>
                <w:u w:val="none"/>
              </w:rPr>
              <w:t>1</w:t>
            </w:r>
            <w:r>
              <w:rPr>
                <w:rFonts w:hint="eastAsia" w:ascii="宋体" w:hAnsi="宋体" w:cs="宋体"/>
                <w:color w:val="auto"/>
                <w:szCs w:val="21"/>
                <w:highlight w:val="none"/>
                <w:u w:val="none"/>
              </w:rPr>
              <w:t>分。</w:t>
            </w:r>
          </w:p>
          <w:p>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其他情况不得分，本项最高得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wordWrap w:val="0"/>
              <w:spacing w:line="360" w:lineRule="auto"/>
              <w:jc w:val="left"/>
              <w:rPr>
                <w:color w:val="auto"/>
                <w:highlight w:val="none"/>
                <w:u w:val="none"/>
              </w:rPr>
            </w:pPr>
            <w:r>
              <w:rPr>
                <w:rFonts w:hint="eastAsia" w:ascii="宋体" w:hAnsi="宋体" w:cs="宋体"/>
                <w:color w:val="auto"/>
                <w:szCs w:val="21"/>
                <w:highlight w:val="none"/>
                <w:u w:val="none"/>
              </w:rPr>
              <w:t>注：体系认证证书在有效期内的才可计算得分，须同时提供在有效期内的证书扫描件和国家认证认可监督管理委员会官方网站（</w:t>
            </w:r>
            <w:r>
              <w:rPr>
                <w:rFonts w:ascii="宋体" w:hAnsi="宋体" w:cs="宋体"/>
                <w:color w:val="auto"/>
                <w:szCs w:val="21"/>
                <w:highlight w:val="none"/>
                <w:u w:val="none"/>
              </w:rPr>
              <w:t>www.cnca.gov.cn</w:t>
            </w:r>
            <w:r>
              <w:rPr>
                <w:rFonts w:hint="eastAsia" w:ascii="宋体" w:hAnsi="宋体" w:cs="宋体"/>
                <w:color w:val="auto"/>
                <w:szCs w:val="21"/>
                <w:highlight w:val="none"/>
                <w:u w:val="none"/>
              </w:rPr>
              <w:t>）查询页的截图，未提上述资料或不满足要求的不计分。只计算投标人自身，不计算投标人的子公司、分公司及分支机构。</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tcBorders>
              <w:right w:val="single" w:color="auto" w:sz="4" w:space="0"/>
            </w:tcBorders>
            <w:noWrap/>
            <w:vAlign w:val="center"/>
          </w:tcPr>
          <w:p>
            <w:pPr>
              <w:spacing w:line="360" w:lineRule="exact"/>
              <w:jc w:val="center"/>
              <w:rPr>
                <w:color w:val="auto"/>
                <w:szCs w:val="21"/>
                <w:highlight w:val="none"/>
                <w:u w:val="single"/>
              </w:rPr>
            </w:pPr>
          </w:p>
        </w:tc>
        <w:tc>
          <w:tcPr>
            <w:tcW w:w="1309" w:type="dxa"/>
            <w:tcBorders>
              <w:right w:val="single" w:color="auto" w:sz="4" w:space="0"/>
            </w:tcBorders>
            <w:noWrap/>
            <w:vAlign w:val="center"/>
          </w:tcPr>
          <w:p>
            <w:pPr>
              <w:spacing w:line="360" w:lineRule="exact"/>
              <w:jc w:val="center"/>
              <w:rPr>
                <w:color w:val="auto"/>
                <w:szCs w:val="21"/>
                <w:highlight w:val="none"/>
                <w:u w:val="singl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pacing w:val="1"/>
                <w:kern w:val="0"/>
                <w:szCs w:val="21"/>
                <w:highlight w:val="none"/>
                <w:lang w:eastAsia="zh-TW"/>
              </w:rPr>
            </w:pPr>
            <w:r>
              <w:rPr>
                <w:rFonts w:hint="eastAsia" w:ascii="宋体" w:hAnsi="宋体" w:cs="宋体"/>
                <w:color w:val="auto"/>
                <w:spacing w:val="1"/>
                <w:kern w:val="0"/>
                <w:szCs w:val="21"/>
                <w:highlight w:val="none"/>
              </w:rPr>
              <w:t>工程研发能力（10分）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color w:val="auto"/>
                <w:szCs w:val="21"/>
                <w:highlight w:val="none"/>
                <w:u w:val="none"/>
              </w:rPr>
            </w:pPr>
            <w:r>
              <w:rPr>
                <w:rFonts w:hint="eastAsia" w:ascii="宋体" w:hAnsi="宋体" w:cs="宋体"/>
                <w:color w:val="auto"/>
                <w:szCs w:val="21"/>
                <w:highlight w:val="none"/>
                <w:u w:val="none"/>
              </w:rPr>
              <w:t>投标人自</w:t>
            </w:r>
            <w:r>
              <w:rPr>
                <w:rFonts w:ascii="宋体" w:hAnsi="宋体" w:cs="宋体"/>
                <w:color w:val="auto"/>
                <w:szCs w:val="21"/>
                <w:highlight w:val="none"/>
                <w:u w:val="none"/>
              </w:rPr>
              <w:t>2020</w:t>
            </w:r>
            <w:r>
              <w:rPr>
                <w:rFonts w:hint="eastAsia" w:ascii="宋体" w:hAnsi="宋体" w:cs="宋体"/>
                <w:color w:val="auto"/>
                <w:szCs w:val="21"/>
                <w:highlight w:val="none"/>
                <w:u w:val="none"/>
              </w:rPr>
              <w:t>年</w:t>
            </w:r>
            <w:r>
              <w:rPr>
                <w:rFonts w:ascii="宋体" w:hAnsi="宋体" w:cs="宋体"/>
                <w:color w:val="auto"/>
                <w:szCs w:val="21"/>
                <w:highlight w:val="none"/>
                <w:u w:val="none"/>
              </w:rPr>
              <w:t>1</w:t>
            </w:r>
            <w:r>
              <w:rPr>
                <w:rFonts w:hint="eastAsia" w:ascii="宋体" w:hAnsi="宋体" w:cs="宋体"/>
                <w:color w:val="auto"/>
                <w:szCs w:val="21"/>
                <w:highlight w:val="none"/>
                <w:u w:val="none"/>
              </w:rPr>
              <w:t>月</w:t>
            </w:r>
            <w:r>
              <w:rPr>
                <w:rFonts w:ascii="宋体" w:hAnsi="宋体" w:cs="宋体"/>
                <w:color w:val="auto"/>
                <w:szCs w:val="21"/>
                <w:highlight w:val="none"/>
                <w:u w:val="none"/>
              </w:rPr>
              <w:t>1</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Hans"/>
              </w:rPr>
              <w:t>至今</w:t>
            </w:r>
            <w:r>
              <w:rPr>
                <w:rFonts w:hint="eastAsia" w:ascii="宋体" w:hAnsi="宋体" w:cs="宋体"/>
                <w:color w:val="auto"/>
                <w:szCs w:val="21"/>
                <w:highlight w:val="none"/>
                <w:u w:val="none"/>
              </w:rPr>
              <w:t>，</w:t>
            </w:r>
          </w:p>
          <w:p>
            <w:pPr>
              <w:pStyle w:val="138"/>
              <w:numPr>
                <w:ilvl w:val="0"/>
                <w:numId w:val="9"/>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获得国务院或国家级建设行政主管部门或工程协会颁发的市政类国家级科学技术奖励证书的，每个得</w:t>
            </w:r>
            <w:r>
              <w:rPr>
                <w:rFonts w:ascii="宋体" w:hAnsi="宋体" w:cs="宋体"/>
                <w:color w:val="auto"/>
                <w:szCs w:val="21"/>
                <w:highlight w:val="none"/>
                <w:u w:val="none"/>
              </w:rPr>
              <w:t>2</w:t>
            </w:r>
            <w:r>
              <w:rPr>
                <w:rFonts w:hint="eastAsia" w:ascii="宋体" w:hAnsi="宋体" w:cs="宋体"/>
                <w:color w:val="auto"/>
                <w:szCs w:val="21"/>
                <w:highlight w:val="none"/>
                <w:u w:val="none"/>
              </w:rPr>
              <w:t>分，最高得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pStyle w:val="138"/>
              <w:numPr>
                <w:ilvl w:val="0"/>
                <w:numId w:val="9"/>
              </w:numPr>
              <w:spacing w:line="360" w:lineRule="auto"/>
              <w:ind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获得省级或市级建设行政主管部门或工程协会颁发的市政类省级或市级科学技术奖励证书的，每个得</w:t>
            </w:r>
            <w:r>
              <w:rPr>
                <w:rFonts w:ascii="宋体" w:hAnsi="宋体" w:cs="宋体"/>
                <w:color w:val="auto"/>
                <w:szCs w:val="21"/>
                <w:highlight w:val="none"/>
                <w:u w:val="none"/>
              </w:rPr>
              <w:t>1</w:t>
            </w:r>
            <w:r>
              <w:rPr>
                <w:rFonts w:hint="eastAsia" w:ascii="宋体" w:hAnsi="宋体" w:cs="宋体"/>
                <w:color w:val="auto"/>
                <w:szCs w:val="21"/>
                <w:highlight w:val="none"/>
                <w:u w:val="none"/>
              </w:rPr>
              <w:t>分，最高得</w:t>
            </w:r>
            <w:r>
              <w:rPr>
                <w:rFonts w:ascii="宋体" w:hAnsi="宋体" w:cs="宋体"/>
                <w:color w:val="auto"/>
                <w:szCs w:val="21"/>
                <w:highlight w:val="none"/>
                <w:u w:val="none"/>
              </w:rPr>
              <w:t>5</w:t>
            </w:r>
            <w:r>
              <w:rPr>
                <w:rFonts w:hint="eastAsia" w:ascii="宋体" w:hAnsi="宋体" w:cs="宋体"/>
                <w:color w:val="auto"/>
                <w:szCs w:val="21"/>
                <w:highlight w:val="none"/>
                <w:u w:val="none"/>
              </w:rPr>
              <w:t>分；</w:t>
            </w:r>
          </w:p>
          <w:p>
            <w:pPr>
              <w:pStyle w:val="138"/>
              <w:spacing w:line="360" w:lineRule="auto"/>
              <w:ind w:left="0" w:leftChars="0" w:firstLine="0" w:firstLineChars="0"/>
              <w:jc w:val="left"/>
              <w:rPr>
                <w:rFonts w:ascii="宋体" w:hAnsi="宋体" w:cs="宋体"/>
                <w:color w:val="auto"/>
                <w:szCs w:val="21"/>
                <w:highlight w:val="none"/>
                <w:u w:val="none"/>
              </w:rPr>
            </w:pPr>
            <w:r>
              <w:rPr>
                <w:rFonts w:hint="eastAsia" w:ascii="宋体" w:hAnsi="宋体" w:cs="宋体"/>
                <w:color w:val="auto"/>
                <w:szCs w:val="21"/>
                <w:highlight w:val="none"/>
                <w:u w:val="none"/>
              </w:rPr>
              <w:t>本项最高得</w:t>
            </w:r>
            <w:r>
              <w:rPr>
                <w:rFonts w:ascii="宋体" w:hAnsi="宋体" w:cs="宋体"/>
                <w:color w:val="auto"/>
                <w:szCs w:val="21"/>
                <w:highlight w:val="none"/>
                <w:u w:val="none"/>
              </w:rPr>
              <w:t>10</w:t>
            </w:r>
            <w:r>
              <w:rPr>
                <w:rFonts w:hint="eastAsia" w:ascii="宋体" w:hAnsi="宋体" w:cs="宋体"/>
                <w:color w:val="auto"/>
                <w:szCs w:val="21"/>
                <w:highlight w:val="none"/>
                <w:u w:val="none"/>
              </w:rPr>
              <w:t>分。</w:t>
            </w:r>
          </w:p>
          <w:p>
            <w:pPr>
              <w:wordWrap w:val="0"/>
              <w:spacing w:line="360" w:lineRule="auto"/>
              <w:jc w:val="left"/>
              <w:rPr>
                <w:color w:val="auto"/>
                <w:highlight w:val="none"/>
                <w:u w:val="none"/>
              </w:rPr>
            </w:pPr>
            <w:r>
              <w:rPr>
                <w:rFonts w:hint="eastAsia" w:ascii="宋体" w:hAnsi="宋体" w:cs="宋体"/>
                <w:color w:val="auto"/>
                <w:szCs w:val="21"/>
                <w:highlight w:val="none"/>
                <w:u w:val="none"/>
              </w:rPr>
              <w:t>注</w:t>
            </w:r>
            <w:r>
              <w:rPr>
                <w:rFonts w:ascii="宋体" w:hAnsi="宋体" w:cs="宋体"/>
                <w:color w:val="auto"/>
                <w:szCs w:val="21"/>
                <w:highlight w:val="none"/>
                <w:u w:val="none"/>
              </w:rPr>
              <w:t>:</w:t>
            </w:r>
            <w:r>
              <w:rPr>
                <w:rFonts w:hint="eastAsia" w:ascii="宋体" w:hAnsi="宋体" w:cs="宋体"/>
                <w:color w:val="auto"/>
                <w:szCs w:val="21"/>
                <w:highlight w:val="none"/>
                <w:u w:val="none"/>
              </w:rPr>
              <w:t>市政类国家级科学技术奖是指国务院或国家级建设行政主管部门或工程协会颁发的工程科学技术奖项，包含“国家科学技术进步奖”或“全国市政工程科学技术奖”等；市政类省级或市级科学技术奖是指省级或市级建设行政主管部门或工程协会颁发的工程科学技术奖项；须提供获奖证书扫描件，时间以证书颁发时间为准，同一项目获得多个奖项的，该项目获奖只按其中一个奖项所在最高级别计算一次分数，不得重复计算；其中协会颁发的奖项，要求发证协会必须经民政部门依法登记成立，且提供其在“中国社会组织公共服务平台”网站（</w:t>
            </w:r>
            <w:r>
              <w:rPr>
                <w:rFonts w:ascii="宋体" w:hAnsi="宋体" w:cs="宋体"/>
                <w:color w:val="auto"/>
                <w:szCs w:val="21"/>
                <w:highlight w:val="none"/>
                <w:u w:val="none"/>
              </w:rPr>
              <w:t>https://chinanpo.mca.gov.cn/</w:t>
            </w:r>
            <w:r>
              <w:rPr>
                <w:rFonts w:hint="eastAsia" w:ascii="宋体" w:hAnsi="宋体" w:cs="宋体"/>
                <w:color w:val="auto"/>
                <w:szCs w:val="21"/>
                <w:highlight w:val="none"/>
                <w:u w:val="none"/>
              </w:rPr>
              <w:t>）查询结果的网页打印页；只计算投标人自身，不计算投标人的子公司、分公司及分支机构，未提上述资料或不满足要求的不计分。</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6" w:type="dxa"/>
            <w:tcBorders>
              <w:right w:val="single" w:color="auto" w:sz="4" w:space="0"/>
            </w:tcBorders>
            <w:noWrap/>
            <w:vAlign w:val="center"/>
          </w:tcPr>
          <w:p>
            <w:pPr>
              <w:spacing w:line="360" w:lineRule="exact"/>
              <w:jc w:val="center"/>
              <w:rPr>
                <w:color w:val="auto"/>
                <w:szCs w:val="21"/>
                <w:highlight w:val="none"/>
                <w:u w:val="single"/>
              </w:rPr>
            </w:pPr>
          </w:p>
        </w:tc>
        <w:tc>
          <w:tcPr>
            <w:tcW w:w="1309" w:type="dxa"/>
            <w:tcBorders>
              <w:right w:val="single" w:color="auto" w:sz="4" w:space="0"/>
            </w:tcBorders>
            <w:noWrap/>
            <w:vAlign w:val="center"/>
          </w:tcPr>
          <w:p>
            <w:pPr>
              <w:spacing w:line="360" w:lineRule="exact"/>
              <w:jc w:val="center"/>
              <w:rPr>
                <w:color w:val="auto"/>
                <w:szCs w:val="21"/>
                <w:highlight w:val="none"/>
                <w:u w:val="single"/>
              </w:rPr>
            </w:pPr>
          </w:p>
        </w:tc>
        <w:tc>
          <w:tcPr>
            <w:tcW w:w="164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auto"/>
                <w:spacing w:val="1"/>
                <w:kern w:val="0"/>
                <w:szCs w:val="21"/>
                <w:highlight w:val="none"/>
              </w:rPr>
            </w:pPr>
            <w:r>
              <w:rPr>
                <w:rFonts w:hint="eastAsia" w:ascii="宋体" w:hAnsi="宋体" w:cs="宋体"/>
                <w:color w:val="auto"/>
                <w:spacing w:val="1"/>
                <w:kern w:val="0"/>
                <w:szCs w:val="21"/>
                <w:highlight w:val="none"/>
              </w:rPr>
              <w:t>第三方评价</w:t>
            </w:r>
          </w:p>
          <w:p>
            <w:pPr>
              <w:snapToGrid w:val="0"/>
              <w:spacing w:line="360" w:lineRule="auto"/>
              <w:jc w:val="center"/>
              <w:rPr>
                <w:rFonts w:ascii="宋体" w:hAnsi="宋体" w:cs="宋体"/>
                <w:color w:val="auto"/>
                <w:szCs w:val="21"/>
                <w:highlight w:val="none"/>
                <w:lang w:eastAsia="zh-TW"/>
              </w:rPr>
            </w:pPr>
            <w:r>
              <w:rPr>
                <w:rFonts w:hint="eastAsia" w:ascii="宋体" w:hAnsi="宋体" w:cs="宋体"/>
                <w:color w:val="auto"/>
                <w:spacing w:val="1"/>
                <w:kern w:val="0"/>
                <w:szCs w:val="21"/>
                <w:highlight w:val="none"/>
              </w:rPr>
              <w:t>（20分）</w:t>
            </w:r>
          </w:p>
        </w:tc>
        <w:tc>
          <w:tcPr>
            <w:tcW w:w="527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投标人</w:t>
            </w:r>
            <w:r>
              <w:rPr>
                <w:rFonts w:hint="eastAsia" w:ascii="宋体" w:hAnsi="宋体" w:cs="宋体"/>
                <w:color w:val="auto"/>
                <w:highlight w:val="none"/>
              </w:rPr>
              <w:t>至今</w:t>
            </w:r>
            <w:r>
              <w:rPr>
                <w:rFonts w:hint="eastAsia" w:ascii="宋体" w:hAnsi="宋体" w:cs="宋体"/>
                <w:color w:val="auto"/>
                <w:highlight w:val="none"/>
                <w:lang w:val="en-US" w:eastAsia="zh-CN"/>
              </w:rPr>
              <w:t>连续</w:t>
            </w:r>
            <w:r>
              <w:rPr>
                <w:rFonts w:hint="eastAsia" w:ascii="宋体" w:hAnsi="宋体" w:cs="宋体"/>
                <w:color w:val="auto"/>
                <w:highlight w:val="none"/>
              </w:rPr>
              <w:t>获得</w:t>
            </w:r>
            <w:r>
              <w:rPr>
                <w:rFonts w:hint="eastAsia" w:ascii="宋体" w:hAnsi="宋体" w:cs="宋体"/>
                <w:color w:val="auto"/>
                <w:szCs w:val="21"/>
                <w:highlight w:val="none"/>
              </w:rPr>
              <w:t>省级或以上</w:t>
            </w:r>
            <w:r>
              <w:rPr>
                <w:rFonts w:hint="eastAsia" w:ascii="宋体" w:hAnsi="宋体" w:cs="宋体"/>
                <w:color w:val="auto"/>
                <w:kern w:val="0"/>
                <w:szCs w:val="21"/>
                <w:highlight w:val="none"/>
                <w:lang w:bidi="ar"/>
              </w:rPr>
              <w:t>政府部门或</w:t>
            </w:r>
            <w:r>
              <w:rPr>
                <w:rFonts w:hint="eastAsia" w:ascii="宋体" w:hAnsi="宋体" w:cs="宋体"/>
                <w:color w:val="auto"/>
                <w:highlight w:val="none"/>
              </w:rPr>
              <w:t>市政</w:t>
            </w:r>
            <w:r>
              <w:rPr>
                <w:rFonts w:hint="eastAsia" w:ascii="宋体" w:hAnsi="宋体" w:cs="宋体"/>
                <w:color w:val="auto"/>
                <w:szCs w:val="21"/>
                <w:highlight w:val="none"/>
              </w:rPr>
              <w:t>行业协会颁发的</w:t>
            </w:r>
            <w:r>
              <w:rPr>
                <w:rFonts w:hint="eastAsia" w:ascii="宋体" w:hAnsi="宋体" w:eastAsia="宋体" w:cs="宋体"/>
                <w:color w:val="auto"/>
                <w:szCs w:val="21"/>
                <w:highlight w:val="none"/>
                <w:lang w:val="en-US" w:eastAsia="zh-CN"/>
              </w:rPr>
              <w:t>诚信评价或企业信用等级评价证书</w:t>
            </w:r>
            <w:r>
              <w:rPr>
                <w:rFonts w:hint="eastAsia" w:ascii="宋体" w:hAnsi="宋体" w:cs="宋体"/>
                <w:color w:val="auto"/>
                <w:szCs w:val="21"/>
                <w:highlight w:val="none"/>
                <w:lang w:val="en-US" w:eastAsia="zh-CN"/>
              </w:rPr>
              <w:t>情况：</w:t>
            </w:r>
          </w:p>
          <w:p>
            <w:pPr>
              <w:spacing w:line="360" w:lineRule="auto"/>
              <w:jc w:val="left"/>
              <w:rPr>
                <w:rFonts w:hint="default"/>
                <w:color w:val="auto"/>
                <w:highlight w:val="none"/>
                <w:lang w:val="en-US" w:eastAsia="zh-CN"/>
              </w:rPr>
            </w:pPr>
            <w:r>
              <w:rPr>
                <w:rFonts w:hint="eastAsia" w:ascii="宋体" w:hAnsi="宋体" w:cs="宋体"/>
                <w:color w:val="auto"/>
                <w:szCs w:val="21"/>
                <w:highlight w:val="none"/>
                <w:lang w:val="en-US" w:eastAsia="zh-CN"/>
              </w:rPr>
              <w:t>1、连续两次获得</w:t>
            </w:r>
            <w:r>
              <w:rPr>
                <w:rFonts w:ascii="宋体" w:hAnsi="宋体" w:cs="宋体"/>
                <w:color w:val="auto"/>
                <w:szCs w:val="21"/>
                <w:highlight w:val="none"/>
              </w:rPr>
              <w:t>AAAAA</w:t>
            </w:r>
            <w:r>
              <w:rPr>
                <w:rFonts w:hint="eastAsia" w:ascii="宋体" w:hAnsi="宋体" w:cs="宋体"/>
                <w:color w:val="auto"/>
                <w:szCs w:val="21"/>
                <w:highlight w:val="none"/>
              </w:rPr>
              <w:t>级</w:t>
            </w:r>
            <w:r>
              <w:rPr>
                <w:rFonts w:hint="eastAsia" w:ascii="宋体" w:hAnsi="宋体" w:cs="宋体"/>
                <w:color w:val="auto"/>
                <w:szCs w:val="21"/>
                <w:highlight w:val="none"/>
                <w:lang w:val="en-US" w:eastAsia="zh-CN"/>
              </w:rPr>
              <w:t>的，得20分；</w:t>
            </w:r>
          </w:p>
          <w:p>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2、连续两次获得</w:t>
            </w:r>
            <w:r>
              <w:rPr>
                <w:rFonts w:ascii="宋体" w:hAnsi="宋体" w:cs="宋体"/>
                <w:color w:val="auto"/>
                <w:szCs w:val="21"/>
                <w:highlight w:val="none"/>
              </w:rPr>
              <w:t>AAAA</w:t>
            </w:r>
            <w:r>
              <w:rPr>
                <w:rFonts w:hint="eastAsia" w:ascii="宋体" w:hAnsi="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的，得10分；</w:t>
            </w:r>
          </w:p>
          <w:p>
            <w:pPr>
              <w:spacing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3、连续两次获得</w:t>
            </w:r>
            <w:r>
              <w:rPr>
                <w:rFonts w:ascii="宋体" w:hAnsi="宋体" w:cs="宋体"/>
                <w:color w:val="auto"/>
                <w:szCs w:val="21"/>
                <w:highlight w:val="none"/>
              </w:rPr>
              <w:t>AAA</w:t>
            </w:r>
            <w:r>
              <w:rPr>
                <w:rFonts w:hint="eastAsia" w:ascii="宋体" w:hAnsi="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的，得5分；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其他情况不得分，</w:t>
            </w:r>
            <w:r>
              <w:rPr>
                <w:rFonts w:hint="eastAsia" w:ascii="宋体" w:hAnsi="宋体" w:cs="宋体"/>
                <w:color w:val="auto"/>
                <w:szCs w:val="21"/>
                <w:highlight w:val="none"/>
                <w:lang w:val="en-US" w:eastAsia="zh-CN"/>
              </w:rPr>
              <w:t>按最高等级计算一次分数，</w:t>
            </w:r>
            <w:r>
              <w:rPr>
                <w:rFonts w:hint="eastAsia" w:ascii="宋体" w:hAnsi="宋体" w:cs="宋体"/>
                <w:color w:val="auto"/>
                <w:szCs w:val="21"/>
                <w:highlight w:val="none"/>
              </w:rPr>
              <w:t>本项最高得</w:t>
            </w:r>
            <w:r>
              <w:rPr>
                <w:rFonts w:ascii="宋体" w:hAnsi="宋体" w:cs="宋体"/>
                <w:color w:val="auto"/>
                <w:szCs w:val="21"/>
                <w:highlight w:val="none"/>
              </w:rPr>
              <w:t>20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highlight w:val="none"/>
              </w:rPr>
              <w:t>注：最后一次获得的评价证书须在有效期内</w:t>
            </w:r>
            <w:r>
              <w:rPr>
                <w:rFonts w:hint="eastAsia" w:ascii="宋体" w:hAnsi="宋体" w:cs="宋体"/>
                <w:color w:val="auto"/>
                <w:highlight w:val="none"/>
                <w:lang w:eastAsia="zh-CN"/>
              </w:rPr>
              <w:t>，</w:t>
            </w:r>
            <w:r>
              <w:rPr>
                <w:rFonts w:hint="eastAsia" w:ascii="宋体" w:hAnsi="宋体" w:cs="宋体"/>
                <w:color w:val="auto"/>
                <w:highlight w:val="none"/>
              </w:rPr>
              <w:t>须提供相关证书扫描件</w:t>
            </w:r>
            <w:r>
              <w:rPr>
                <w:rFonts w:hint="eastAsia" w:ascii="宋体" w:hAnsi="宋体" w:cs="宋体"/>
                <w:color w:val="auto"/>
                <w:highlight w:val="none"/>
                <w:lang w:val="en-US" w:eastAsia="zh-CN"/>
              </w:rPr>
              <w:t>以及</w:t>
            </w:r>
            <w:r>
              <w:rPr>
                <w:rFonts w:hint="eastAsia" w:ascii="宋体" w:hAnsi="宋体" w:cs="宋体"/>
                <w:color w:val="auto"/>
                <w:highlight w:val="none"/>
              </w:rPr>
              <w:t>省级或以上政府部门</w:t>
            </w:r>
            <w:r>
              <w:rPr>
                <w:rFonts w:hint="eastAsia" w:ascii="宋体" w:hAnsi="宋体" w:cs="宋体"/>
                <w:color w:val="auto"/>
                <w:szCs w:val="21"/>
                <w:highlight w:val="none"/>
              </w:rPr>
              <w:t>或市政行业协会网站公示的文件截图，时间以证书颁发时间为准，未提上述资料或不满足要求的不计分。只计算投标人自身，不计算投标人的子公司、分公司及分支机构。</w:t>
            </w:r>
          </w:p>
        </w:tc>
        <w:tc>
          <w:tcPr>
            <w:tcW w:w="1134" w:type="dxa"/>
            <w:tcBorders>
              <w:top w:val="single" w:color="auto" w:sz="4" w:space="0"/>
              <w:left w:val="single" w:color="auto" w:sz="4" w:space="0"/>
              <w:right w:val="single" w:color="auto" w:sz="4" w:space="0"/>
            </w:tcBorders>
            <w:noWrap/>
            <w:vAlign w:val="center"/>
          </w:tcPr>
          <w:p>
            <w:pPr>
              <w:spacing w:line="360" w:lineRule="exact"/>
              <w:rPr>
                <w:color w:val="auto"/>
                <w:szCs w:val="21"/>
                <w:highlight w:val="none"/>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6" w:hRule="atLeast"/>
        </w:trPr>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u w:val="single"/>
              </w:rPr>
            </w:pPr>
            <w:r>
              <w:rPr>
                <w:color w:val="auto"/>
                <w:szCs w:val="21"/>
                <w:highlight w:val="none"/>
                <w:u w:val="single"/>
              </w:rPr>
              <w:t>2.2.</w:t>
            </w:r>
            <w:r>
              <w:rPr>
                <w:rFonts w:hint="eastAsia"/>
                <w:color w:val="auto"/>
                <w:szCs w:val="21"/>
                <w:highlight w:val="none"/>
                <w:u w:val="single"/>
              </w:rPr>
              <w:t>5(3)</w:t>
            </w:r>
          </w:p>
        </w:tc>
        <w:tc>
          <w:tcPr>
            <w:tcW w:w="1309"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u w:val="single"/>
              </w:rPr>
            </w:pPr>
            <w:r>
              <w:rPr>
                <w:rFonts w:hint="eastAsia"/>
                <w:color w:val="auto"/>
                <w:szCs w:val="21"/>
                <w:highlight w:val="none"/>
                <w:u w:val="single"/>
              </w:rPr>
              <w:t>投标报价评审</w:t>
            </w:r>
          </w:p>
        </w:tc>
        <w:tc>
          <w:tcPr>
            <w:tcW w:w="8046"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jc w:val="left"/>
              <w:rPr>
                <w:color w:val="auto"/>
                <w:szCs w:val="21"/>
                <w:highlight w:val="none"/>
                <w:u w:val="none"/>
              </w:rPr>
            </w:pPr>
            <w:r>
              <w:rPr>
                <w:rFonts w:hint="eastAsia"/>
                <w:color w:val="auto"/>
                <w:highlight w:val="none"/>
                <w:u w:val="none"/>
              </w:rPr>
              <w:t>投标报价等于评标基准价的得</w:t>
            </w:r>
            <w:r>
              <w:rPr>
                <w:color w:val="auto"/>
                <w:highlight w:val="none"/>
                <w:u w:val="none"/>
              </w:rPr>
              <w:t>100</w:t>
            </w:r>
            <w:r>
              <w:rPr>
                <w:rFonts w:hint="eastAsia"/>
                <w:color w:val="auto"/>
                <w:highlight w:val="none"/>
                <w:u w:val="none"/>
              </w:rPr>
              <w:t>分，投标报价比评标基准价每高</w:t>
            </w:r>
            <w:r>
              <w:rPr>
                <w:color w:val="auto"/>
                <w:highlight w:val="none"/>
                <w:u w:val="none"/>
              </w:rPr>
              <w:t>1%</w:t>
            </w:r>
            <w:r>
              <w:rPr>
                <w:rFonts w:hint="eastAsia"/>
                <w:color w:val="auto"/>
                <w:highlight w:val="none"/>
                <w:u w:val="none"/>
              </w:rPr>
              <w:t>扣</w:t>
            </w:r>
            <w:r>
              <w:rPr>
                <w:color w:val="auto"/>
                <w:highlight w:val="none"/>
                <w:u w:val="none"/>
              </w:rPr>
              <w:t>0.2</w:t>
            </w:r>
            <w:r>
              <w:rPr>
                <w:rFonts w:hint="eastAsia"/>
                <w:color w:val="auto"/>
                <w:highlight w:val="none"/>
                <w:u w:val="none"/>
              </w:rPr>
              <w:t>分，每低</w:t>
            </w:r>
            <w:r>
              <w:rPr>
                <w:color w:val="auto"/>
                <w:highlight w:val="none"/>
                <w:u w:val="none"/>
              </w:rPr>
              <w:t>1%</w:t>
            </w:r>
            <w:r>
              <w:rPr>
                <w:rFonts w:hint="eastAsia"/>
                <w:color w:val="auto"/>
                <w:highlight w:val="none"/>
                <w:u w:val="none"/>
              </w:rPr>
              <w:t>扣</w:t>
            </w:r>
            <w:r>
              <w:rPr>
                <w:color w:val="auto"/>
                <w:highlight w:val="none"/>
                <w:u w:val="none"/>
              </w:rPr>
              <w:t>0.1</w:t>
            </w:r>
            <w:r>
              <w:rPr>
                <w:rFonts w:hint="eastAsia"/>
                <w:color w:val="auto"/>
                <w:highlight w:val="none"/>
                <w:u w:val="none"/>
              </w:rPr>
              <w:t>分，扣至</w:t>
            </w:r>
            <w:r>
              <w:rPr>
                <w:color w:val="auto"/>
                <w:highlight w:val="none"/>
                <w:u w:val="none"/>
              </w:rPr>
              <w:t>0</w:t>
            </w:r>
            <w:r>
              <w:rPr>
                <w:rFonts w:hint="eastAsia"/>
                <w:color w:val="auto"/>
                <w:highlight w:val="none"/>
                <w:u w:val="none"/>
              </w:rPr>
              <w:t>分为止。投标报价偏差率</w:t>
            </w:r>
            <w:r>
              <w:rPr>
                <w:color w:val="auto"/>
                <w:highlight w:val="none"/>
                <w:u w:val="none"/>
              </w:rPr>
              <w:t>=</w:t>
            </w:r>
            <w:r>
              <w:rPr>
                <w:rFonts w:hint="eastAsia"/>
                <w:color w:val="auto"/>
                <w:highlight w:val="none"/>
                <w:u w:val="none"/>
              </w:rPr>
              <w:t>（投标报价</w:t>
            </w:r>
            <w:r>
              <w:rPr>
                <w:color w:val="auto"/>
                <w:highlight w:val="none"/>
                <w:u w:val="none"/>
              </w:rPr>
              <w:t>-</w:t>
            </w:r>
            <w:r>
              <w:rPr>
                <w:rFonts w:hint="eastAsia"/>
                <w:color w:val="auto"/>
                <w:highlight w:val="none"/>
                <w:u w:val="none"/>
              </w:rPr>
              <w:t>评标基准价）</w:t>
            </w:r>
            <w:r>
              <w:rPr>
                <w:color w:val="auto"/>
                <w:highlight w:val="none"/>
                <w:u w:val="none"/>
              </w:rPr>
              <w:t>/</w:t>
            </w:r>
            <w:r>
              <w:rPr>
                <w:rFonts w:hint="eastAsia"/>
                <w:color w:val="auto"/>
                <w:highlight w:val="none"/>
                <w:u w:val="none"/>
              </w:rPr>
              <w:t>评标基准价×</w:t>
            </w:r>
            <w:r>
              <w:rPr>
                <w:color w:val="auto"/>
                <w:highlight w:val="none"/>
                <w:u w:val="none"/>
              </w:rPr>
              <w:t>100%</w:t>
            </w:r>
            <w:r>
              <w:rPr>
                <w:rFonts w:hint="eastAsia"/>
                <w:color w:val="auto"/>
                <w:highlight w:val="none"/>
                <w:u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6" w:hRule="atLeast"/>
        </w:trPr>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u w:val="single"/>
              </w:rPr>
            </w:pPr>
            <w:r>
              <w:rPr>
                <w:color w:val="auto"/>
                <w:szCs w:val="21"/>
                <w:highlight w:val="none"/>
                <w:u w:val="single"/>
              </w:rPr>
              <w:t>2.2.</w:t>
            </w:r>
            <w:r>
              <w:rPr>
                <w:rFonts w:hint="eastAsia"/>
                <w:color w:val="auto"/>
                <w:szCs w:val="21"/>
                <w:highlight w:val="none"/>
                <w:u w:val="single"/>
              </w:rPr>
              <w:t>5(4)</w:t>
            </w:r>
          </w:p>
        </w:tc>
        <w:tc>
          <w:tcPr>
            <w:tcW w:w="1309"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color w:val="auto"/>
                <w:szCs w:val="21"/>
                <w:highlight w:val="none"/>
                <w:u w:val="single"/>
              </w:rPr>
            </w:pPr>
            <w:r>
              <w:rPr>
                <w:rFonts w:hint="eastAsia"/>
                <w:color w:val="auto"/>
                <w:szCs w:val="21"/>
                <w:highlight w:val="none"/>
                <w:u w:val="single"/>
              </w:rPr>
              <w:t>诚信得分评审</w:t>
            </w:r>
          </w:p>
        </w:tc>
        <w:tc>
          <w:tcPr>
            <w:tcW w:w="8046"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rPr>
                <w:color w:val="auto"/>
                <w:szCs w:val="21"/>
                <w:highlight w:val="none"/>
                <w:u w:val="none"/>
              </w:rPr>
            </w:pPr>
            <w:r>
              <w:rPr>
                <w:rFonts w:hint="eastAsia" w:ascii="宋体" w:hAnsi="宋体" w:cs="宋体"/>
                <w:color w:val="auto"/>
                <w:szCs w:val="21"/>
                <w:highlight w:val="none"/>
                <w:u w:val="none"/>
              </w:rPr>
              <w:t>投标人诚信评价分取自本项目招标公告发布第一天所在季度的上一季度广州市水务工程建设管理数字化监管平台网站（</w:t>
            </w:r>
            <w:r>
              <w:rPr>
                <w:rFonts w:ascii="宋体" w:hAnsi="宋体" w:cs="宋体"/>
                <w:color w:val="auto"/>
                <w:szCs w:val="21"/>
                <w:highlight w:val="none"/>
                <w:u w:val="none"/>
              </w:rPr>
              <w:t>http://112.94.68.142:8012/#/website</w:t>
            </w:r>
            <w:r>
              <w:rPr>
                <w:rFonts w:hint="eastAsia" w:ascii="宋体" w:hAnsi="宋体" w:cs="宋体"/>
                <w:color w:val="auto"/>
                <w:szCs w:val="21"/>
                <w:highlight w:val="none"/>
                <w:u w:val="none"/>
              </w:rPr>
              <w:t>）中的“企业诚信排名</w:t>
            </w:r>
            <w:r>
              <w:rPr>
                <w:rFonts w:ascii="宋体" w:hAnsi="宋体" w:cs="宋体"/>
                <w:color w:val="auto"/>
                <w:szCs w:val="21"/>
                <w:highlight w:val="none"/>
                <w:u w:val="none"/>
              </w:rPr>
              <w:t>&gt;&gt;</w:t>
            </w:r>
            <w:r>
              <w:rPr>
                <w:rFonts w:hint="eastAsia" w:ascii="宋体" w:hAnsi="宋体" w:cs="宋体"/>
                <w:color w:val="auto"/>
                <w:szCs w:val="21"/>
                <w:highlight w:val="none"/>
                <w:u w:val="none"/>
              </w:rPr>
              <w:t>施工—给排水”中“诚信综合评价”分，未入库企业或在广州市水务工程企业库及诚信评价系统网中尚无诚信排名“施工－给排水”得分的投标人，其诚信评价分按</w:t>
            </w:r>
            <w:r>
              <w:rPr>
                <w:rFonts w:ascii="宋体" w:hAnsi="宋体" w:cs="宋体"/>
                <w:color w:val="auto"/>
                <w:szCs w:val="21"/>
                <w:highlight w:val="none"/>
                <w:u w:val="none"/>
              </w:rPr>
              <w:t>80</w:t>
            </w:r>
            <w:r>
              <w:rPr>
                <w:rFonts w:hint="eastAsia" w:ascii="宋体" w:hAnsi="宋体" w:cs="宋体"/>
                <w:color w:val="auto"/>
                <w:szCs w:val="21"/>
                <w:highlight w:val="none"/>
                <w:u w:val="none"/>
              </w:rPr>
              <w:t>分计算。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3" w:hRule="atLeast"/>
        </w:trPr>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auto"/>
                <w:szCs w:val="21"/>
                <w:highlight w:val="none"/>
              </w:rPr>
            </w:pPr>
            <w:r>
              <w:rPr>
                <w:rFonts w:hint="eastAsia"/>
                <w:color w:val="auto"/>
                <w:szCs w:val="21"/>
                <w:highlight w:val="none"/>
              </w:rPr>
              <w:t>3.2.3</w:t>
            </w:r>
          </w:p>
        </w:tc>
        <w:tc>
          <w:tcPr>
            <w:tcW w:w="1309"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投标人最终得分的计算方法</w:t>
            </w:r>
          </w:p>
        </w:tc>
        <w:tc>
          <w:tcPr>
            <w:tcW w:w="8046"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exact"/>
              <w:rPr>
                <w:color w:val="auto"/>
                <w:szCs w:val="21"/>
                <w:highlight w:val="none"/>
              </w:rPr>
            </w:pPr>
            <w:r>
              <w:rPr>
                <w:rFonts w:hint="eastAsia" w:ascii="宋体" w:hAnsi="宋体"/>
                <w:color w:val="auto"/>
                <w:szCs w:val="21"/>
                <w:highlight w:val="none"/>
                <w:u w:val="none"/>
              </w:rPr>
              <w:t>计算方法参见本章</w:t>
            </w:r>
            <w:r>
              <w:rPr>
                <w:rFonts w:ascii="宋体" w:hAnsi="宋体"/>
                <w:color w:val="auto"/>
                <w:szCs w:val="21"/>
                <w:highlight w:val="none"/>
                <w:u w:val="none"/>
              </w:rPr>
              <w:t>3.2.3</w:t>
            </w:r>
            <w:r>
              <w:rPr>
                <w:rFonts w:hint="eastAsia" w:ascii="宋体" w:hAnsi="宋体"/>
                <w:color w:val="auto"/>
                <w:szCs w:val="21"/>
                <w:highlight w:val="none"/>
                <w:u w:val="none"/>
              </w:rPr>
              <w:t>。</w:t>
            </w:r>
          </w:p>
        </w:tc>
      </w:tr>
    </w:tbl>
    <w:p>
      <w:pPr>
        <w:pStyle w:val="40"/>
        <w:spacing w:after="0" w:line="360" w:lineRule="auto"/>
        <w:ind w:firstLine="400" w:firstLineChars="200"/>
        <w:rPr>
          <w:rFonts w:ascii="宋体" w:hAnsi="宋体" w:eastAsia="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b/>
          <w:bCs/>
          <w:color w:val="auto"/>
          <w:sz w:val="24"/>
          <w:szCs w:val="24"/>
          <w:highlight w:val="none"/>
        </w:rPr>
        <w:t>1. 评标方法</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本次评标采用综合评估法。评标委员会对满足招标文件实质性要求的投标文件，按照本章第2.2款规定的评分标准进行打分，并按得分由高到低顺序推荐中标候选人。总得分相同的，商务评审得分高的投标人排序为先；若商务评审得分也相同，诚信得分高的投标人排序为先；若诚信得分、商务评审得分均相同，则由评委通过记名投标表决（不得弃权），以“少数服从多数”的原则确定排序。</w:t>
      </w:r>
    </w:p>
    <w:p>
      <w:pPr>
        <w:pStyle w:val="40"/>
        <w:spacing w:after="0" w:line="360" w:lineRule="auto"/>
        <w:ind w:firstLine="482" w:firstLineChars="200"/>
        <w:rPr>
          <w:rFonts w:ascii="宋体" w:hAnsi="宋体" w:eastAsia="宋体"/>
          <w:b/>
          <w:bCs/>
          <w:color w:val="auto"/>
          <w:sz w:val="24"/>
          <w:szCs w:val="24"/>
          <w:highlight w:val="none"/>
        </w:rPr>
      </w:pPr>
      <w:bookmarkStart w:id="74" w:name="_Toc179632619"/>
      <w:bookmarkEnd w:id="74"/>
      <w:bookmarkStart w:id="75" w:name="_Toc144974568"/>
      <w:bookmarkEnd w:id="75"/>
      <w:bookmarkStart w:id="76" w:name="_Toc152045601"/>
      <w:bookmarkEnd w:id="76"/>
      <w:bookmarkStart w:id="77" w:name="_Toc152042378"/>
      <w:bookmarkEnd w:id="77"/>
      <w:r>
        <w:rPr>
          <w:rFonts w:hint="eastAsia" w:ascii="宋体" w:hAnsi="宋体" w:eastAsia="宋体"/>
          <w:b/>
          <w:bCs/>
          <w:color w:val="auto"/>
          <w:sz w:val="24"/>
          <w:szCs w:val="24"/>
          <w:highlight w:val="none"/>
        </w:rPr>
        <w:t>2. 评审标准</w:t>
      </w:r>
    </w:p>
    <w:p>
      <w:pPr>
        <w:spacing w:line="360" w:lineRule="auto"/>
        <w:ind w:firstLine="480" w:firstLineChars="200"/>
        <w:rPr>
          <w:rFonts w:ascii="宋体" w:hAnsi="宋体"/>
          <w:color w:val="auto"/>
          <w:sz w:val="24"/>
          <w:highlight w:val="none"/>
        </w:rPr>
      </w:pPr>
      <w:bookmarkStart w:id="78" w:name="_Toc179632620"/>
      <w:bookmarkEnd w:id="78"/>
      <w:bookmarkStart w:id="79" w:name="_Toc144974569"/>
      <w:bookmarkEnd w:id="79"/>
      <w:bookmarkStart w:id="80" w:name="_Toc152042379"/>
      <w:bookmarkEnd w:id="80"/>
      <w:bookmarkStart w:id="81" w:name="_Toc152045602"/>
      <w:bookmarkEnd w:id="81"/>
      <w:r>
        <w:rPr>
          <w:rFonts w:hint="eastAsia" w:ascii="宋体" w:hAnsi="宋体"/>
          <w:color w:val="auto"/>
          <w:sz w:val="24"/>
          <w:highlight w:val="none"/>
        </w:rPr>
        <w:t>2.1 初步评审标准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 资格评审标准：见评标办法前附表。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2.1.2 形式评审标准：见评标办法前附表。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2.1.3 响应性评审标准：见评标办法前附表。</w:t>
      </w:r>
    </w:p>
    <w:p>
      <w:pPr>
        <w:spacing w:line="360" w:lineRule="auto"/>
        <w:ind w:firstLine="480" w:firstLineChars="200"/>
        <w:rPr>
          <w:rFonts w:ascii="宋体" w:hAnsi="宋体"/>
          <w:color w:val="auto"/>
          <w:sz w:val="24"/>
          <w:highlight w:val="none"/>
        </w:rPr>
      </w:pPr>
      <w:bookmarkStart w:id="82" w:name="_Toc179632621"/>
      <w:bookmarkEnd w:id="82"/>
      <w:bookmarkStart w:id="83" w:name="_Toc144974570"/>
      <w:bookmarkEnd w:id="83"/>
      <w:bookmarkStart w:id="84" w:name="_Toc152042380"/>
      <w:bookmarkEnd w:id="84"/>
      <w:bookmarkStart w:id="85" w:name="_Toc152045603"/>
      <w:bookmarkEnd w:id="85"/>
      <w:r>
        <w:rPr>
          <w:rFonts w:hint="eastAsia" w:ascii="宋体" w:hAnsi="宋体"/>
          <w:color w:val="auto"/>
          <w:sz w:val="24"/>
          <w:highlight w:val="none"/>
        </w:rPr>
        <w:t>2.2 分值构成与评分标准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2.2.1 分值构成</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（1）技术部分：见评标办法前附表；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（2）商务部分：见评标办法前附表；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（3）投标报价：见评标办法前附表；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（4）诚信得分：见评标办法前附表；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2.2.2有效投标报价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3</w:t>
      </w:r>
      <w:r>
        <w:rPr>
          <w:rFonts w:hint="eastAsia" w:ascii="宋体" w:hAnsi="宋体"/>
          <w:color w:val="auto"/>
          <w:sz w:val="24"/>
          <w:highlight w:val="none"/>
        </w:rPr>
        <w:t xml:space="preserve"> 评标基准价计算</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以通过初步评审的投标人位于[成本警示价，最高投标限价]区间的投标报价为有效投标报价，有效投标报价的算术平均值按随机抽取的评标基准价下浮率（2～5%，0.5一个级别）下浮作为评标基准价。最高投标限价的92%设置为成本警示价，具体确定方法如下：</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投标报价低于成本警示线的不参与评标基准价计算，在首次评标过程中，投标人未被发现存在串通投标、弄虚作假、行贿等情形的，无论是否重评，经确定的评标基准价不变。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4</w:t>
      </w:r>
      <w:r>
        <w:rPr>
          <w:rFonts w:hint="eastAsia" w:ascii="宋体" w:hAnsi="宋体"/>
          <w:color w:val="auto"/>
          <w:sz w:val="24"/>
          <w:highlight w:val="none"/>
        </w:rPr>
        <w:t xml:space="preserve"> 投标报价的得分计算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5</w:t>
      </w:r>
      <w:r>
        <w:rPr>
          <w:rFonts w:hint="eastAsia" w:ascii="宋体" w:hAnsi="宋体"/>
          <w:color w:val="auto"/>
          <w:sz w:val="24"/>
          <w:highlight w:val="none"/>
        </w:rPr>
        <w:t xml:space="preserve"> 评分标准</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（1）技术部分评分标准：见评标办法前附表</w:t>
      </w:r>
      <w:r>
        <w:rPr>
          <w:rFonts w:hint="eastAsia" w:ascii="宋体" w:hAnsi="宋体"/>
          <w:color w:val="auto"/>
          <w:sz w:val="24"/>
          <w:highlight w:val="none"/>
          <w:u w:val="singl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（2）商务部分评分标准：见评标办法前附表；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（3）投标报价评分标准：见评标办法前附表；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（4）诚信得分评分标准：见评标办法前附表；</w:t>
      </w:r>
    </w:p>
    <w:p>
      <w:pPr>
        <w:pStyle w:val="40"/>
        <w:spacing w:after="0" w:line="360" w:lineRule="auto"/>
        <w:ind w:firstLine="482" w:firstLineChars="200"/>
        <w:rPr>
          <w:rFonts w:ascii="宋体" w:hAnsi="宋体" w:eastAsia="宋体"/>
          <w:b/>
          <w:bCs/>
          <w:color w:val="auto"/>
          <w:sz w:val="24"/>
          <w:szCs w:val="24"/>
          <w:highlight w:val="none"/>
        </w:rPr>
      </w:pPr>
      <w:bookmarkStart w:id="86" w:name="_Toc152045604"/>
      <w:bookmarkEnd w:id="86"/>
      <w:bookmarkStart w:id="87" w:name="_Toc179632622"/>
      <w:bookmarkEnd w:id="87"/>
      <w:bookmarkStart w:id="88" w:name="_Toc152042381"/>
      <w:bookmarkEnd w:id="88"/>
      <w:bookmarkStart w:id="89" w:name="_Toc144974571"/>
      <w:bookmarkEnd w:id="89"/>
      <w:r>
        <w:rPr>
          <w:rFonts w:hint="eastAsia" w:ascii="宋体" w:hAnsi="宋体" w:eastAsia="宋体"/>
          <w:b/>
          <w:bCs/>
          <w:color w:val="auto"/>
          <w:sz w:val="24"/>
          <w:szCs w:val="24"/>
          <w:highlight w:val="none"/>
        </w:rPr>
        <w:t>3. 评标程序</w:t>
      </w:r>
    </w:p>
    <w:p>
      <w:pPr>
        <w:spacing w:line="360" w:lineRule="auto"/>
        <w:ind w:firstLine="480" w:firstLineChars="200"/>
        <w:rPr>
          <w:rFonts w:ascii="宋体" w:hAnsi="宋体"/>
          <w:color w:val="auto"/>
          <w:sz w:val="24"/>
          <w:highlight w:val="none"/>
        </w:rPr>
      </w:pPr>
      <w:bookmarkStart w:id="90" w:name="_Toc152042382"/>
      <w:bookmarkEnd w:id="90"/>
      <w:bookmarkStart w:id="91" w:name="_Toc152045605"/>
      <w:bookmarkEnd w:id="91"/>
      <w:bookmarkStart w:id="92" w:name="_Toc179632623"/>
      <w:bookmarkEnd w:id="92"/>
      <w:bookmarkStart w:id="93" w:name="_Toc144974572"/>
      <w:bookmarkEnd w:id="93"/>
      <w:r>
        <w:rPr>
          <w:rFonts w:hint="eastAsia" w:ascii="宋体" w:hAnsi="宋体"/>
          <w:color w:val="auto"/>
          <w:sz w:val="24"/>
          <w:highlight w:val="none"/>
        </w:rPr>
        <w:t>3.1 初步评审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3.1.2 投标人有以下情形之一的，评标委员会应当否决其投标。：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（1）第二章“投标人须知”第1.4.3项规定的任何一种情形的；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（2）串通投标或弄虚作假或有其他违法行为的；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（3）不按评标委员会要求澄清、说明或补正的。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color w:val="auto"/>
          <w:sz w:val="24"/>
          <w:highlight w:val="none"/>
        </w:rPr>
      </w:pPr>
      <w:bookmarkStart w:id="94" w:name="_Toc152042383"/>
      <w:bookmarkEnd w:id="94"/>
      <w:r>
        <w:rPr>
          <w:rFonts w:hint="eastAsia" w:ascii="宋体" w:hAnsi="宋体"/>
          <w:color w:val="auto"/>
          <w:sz w:val="24"/>
          <w:highlight w:val="none"/>
        </w:rPr>
        <w:t>（1）投标文件中的大写金额与小写金额不一致的，以大写金额为准；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宋体" w:hAnsi="宋体"/>
          <w:color w:val="auto"/>
          <w:sz w:val="24"/>
          <w:highlight w:val="none"/>
        </w:rPr>
      </w:pPr>
      <w:bookmarkStart w:id="95" w:name="_Toc179632624"/>
      <w:bookmarkEnd w:id="95"/>
      <w:bookmarkStart w:id="96" w:name="_Toc144974573"/>
      <w:bookmarkEnd w:id="96"/>
      <w:bookmarkStart w:id="97" w:name="_Toc152045606"/>
      <w:bookmarkEnd w:id="97"/>
      <w:bookmarkStart w:id="98" w:name="_Toc152042384"/>
      <w:bookmarkEnd w:id="98"/>
      <w:r>
        <w:rPr>
          <w:rFonts w:hint="eastAsia" w:ascii="宋体" w:hAnsi="宋体"/>
          <w:color w:val="auto"/>
          <w:sz w:val="24"/>
          <w:highlight w:val="none"/>
        </w:rPr>
        <w:t>3.2 详细评审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3.2.1 评标委员会按本章第2.2款规定的量化因素和分值进行打分，并计算出综合评估得分。</w:t>
      </w:r>
    </w:p>
    <w:p>
      <w:pP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（1）按本章第2.2.5（1）目规定的评审因素和分值对技术部分计算出得分A；技术部分得分为</w:t>
      </w:r>
      <w:r>
        <w:rPr>
          <w:rFonts w:hint="eastAsia" w:ascii="宋体" w:hAnsi="宋体"/>
          <w:color w:val="auto"/>
          <w:sz w:val="24"/>
          <w:highlight w:val="none"/>
          <w:u w:val="single"/>
        </w:rPr>
        <w:t>评标专家打分的平均值</w:t>
      </w:r>
      <w:r>
        <w:rPr>
          <w:rFonts w:hint="eastAsia" w:ascii="宋体" w:hAnsi="宋体"/>
          <w:color w:val="auto"/>
          <w:sz w:val="24"/>
          <w:szCs w:val="21"/>
          <w:highlight w:val="none"/>
        </w:rPr>
        <w:t>。</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（2）按本章第2.2.5（2）目规定的评审因素和分值对商务部分计算出得分B；商务部分得分为评标专家打分的平均值。</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（3）按本章第2.2.5（3）目规定的评审因素和分值对投标报价计算出得分C；</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（4）按本章第2.2.5（4）目规定的评审因素和分值对诚信评价计算出得分D；</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3.2.2 评分分值计算保留小数点后两位，小数点后第三位“四舍五入”。</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3.2.3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商务评审得分高的投标人排序为先；若商务评审得分也相同，诚信得分高的投标人排序为先；若诚信得分、商务评审得分均相同，则由评委通过记名投标表决（不得弃权），以“少数服从多数”的原则确定排序。计分采用百分制，得分计算方法：投标人总得分=技术部分得分（A）×2%+商务部分得分（B）×1</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%+投标报价得分(C) ×</w:t>
      </w:r>
      <w:r>
        <w:rPr>
          <w:rFonts w:hint="eastAsia" w:ascii="宋体" w:hAnsi="宋体"/>
          <w:color w:val="auto"/>
          <w:sz w:val="24"/>
          <w:highlight w:val="none"/>
          <w:u w:val="single"/>
          <w:lang w:val="en-US" w:eastAsia="zh-CN"/>
        </w:rPr>
        <w:t>80</w:t>
      </w:r>
      <w:r>
        <w:rPr>
          <w:rFonts w:hint="eastAsia" w:ascii="宋体" w:hAnsi="宋体"/>
          <w:color w:val="auto"/>
          <w:sz w:val="24"/>
          <w:highlight w:val="none"/>
          <w:u w:val="single"/>
        </w:rPr>
        <w:t>%+诚信评价分（D）×5%。</w:t>
      </w:r>
    </w:p>
    <w:p>
      <w:pPr>
        <w:spacing w:line="360" w:lineRule="auto"/>
        <w:ind w:firstLine="480" w:firstLineChars="200"/>
        <w:rPr>
          <w:rFonts w:ascii="宋体" w:hAnsi="宋体"/>
          <w:color w:val="auto"/>
          <w:sz w:val="24"/>
          <w:highlight w:val="none"/>
        </w:rPr>
      </w:pPr>
      <w:bookmarkStart w:id="99" w:name="_Toc152042385"/>
      <w:bookmarkEnd w:id="99"/>
      <w:bookmarkStart w:id="100" w:name="_Toc179632625"/>
      <w:bookmarkEnd w:id="100"/>
      <w:bookmarkStart w:id="101" w:name="_Toc144974575"/>
      <w:bookmarkEnd w:id="101"/>
      <w:bookmarkStart w:id="102" w:name="_Toc152045607"/>
      <w:bookmarkEnd w:id="102"/>
      <w:r>
        <w:rPr>
          <w:rFonts w:hint="eastAsia" w:ascii="宋体" w:hAnsi="宋体"/>
          <w:color w:val="auto"/>
          <w:sz w:val="24"/>
          <w:highlight w:val="none"/>
        </w:rPr>
        <w:t>3.3 投标文件的澄清和补正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color w:val="auto"/>
          <w:sz w:val="24"/>
          <w:highlight w:val="none"/>
        </w:rPr>
      </w:pPr>
      <w:bookmarkStart w:id="103" w:name="_Toc152042386"/>
      <w:bookmarkEnd w:id="103"/>
      <w:bookmarkStart w:id="104" w:name="_Toc144974576"/>
      <w:bookmarkEnd w:id="104"/>
      <w:bookmarkStart w:id="105" w:name="_Toc179632626"/>
      <w:bookmarkEnd w:id="105"/>
      <w:bookmarkStart w:id="106" w:name="_Toc152045608"/>
      <w:bookmarkEnd w:id="106"/>
      <w:r>
        <w:rPr>
          <w:rFonts w:hint="eastAsia" w:ascii="宋体" w:hAnsi="宋体"/>
          <w:color w:val="auto"/>
          <w:sz w:val="24"/>
          <w:highlight w:val="none"/>
        </w:rPr>
        <w:t>3.4 评标结果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3.4.2 评标委员会完成评标后，应当向招标人提交书面评标报告。</w:t>
      </w:r>
    </w:p>
    <w:p>
      <w:pPr>
        <w:pStyle w:val="40"/>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4. </w:t>
      </w:r>
      <w:r>
        <w:rPr>
          <w:rFonts w:ascii="宋体" w:hAnsi="宋体" w:eastAsia="宋体"/>
          <w:b/>
          <w:color w:val="auto"/>
          <w:sz w:val="24"/>
          <w:szCs w:val="24"/>
          <w:highlight w:val="none"/>
        </w:rPr>
        <w:t>诚信评价</w:t>
      </w:r>
      <w:r>
        <w:rPr>
          <w:rFonts w:hint="eastAsia" w:ascii="宋体" w:hAnsi="宋体" w:eastAsia="宋体"/>
          <w:b/>
          <w:bCs/>
          <w:color w:val="auto"/>
          <w:sz w:val="24"/>
          <w:szCs w:val="24"/>
          <w:highlight w:val="none"/>
        </w:rPr>
        <w:t>分</w:t>
      </w:r>
    </w:p>
    <w:p>
      <w:pPr>
        <w:spacing w:line="360" w:lineRule="auto"/>
        <w:ind w:firstLine="480" w:firstLineChars="200"/>
        <w:rPr>
          <w:rFonts w:ascii="宋体" w:hAnsi="宋体"/>
          <w:color w:val="auto"/>
          <w:sz w:val="24"/>
          <w:szCs w:val="24"/>
          <w:highlight w:val="none"/>
          <w:u w:val="single"/>
        </w:rPr>
      </w:pPr>
      <w:r>
        <w:rPr>
          <w:rFonts w:hint="eastAsia"/>
          <w:color w:val="auto"/>
          <w:kern w:val="0"/>
          <w:sz w:val="24"/>
          <w:szCs w:val="24"/>
          <w:highlight w:val="none"/>
          <w:u w:val="single"/>
        </w:rPr>
        <w:t>4.1</w:t>
      </w:r>
      <w:r>
        <w:rPr>
          <w:rFonts w:hint="eastAsia" w:ascii="宋体" w:hAnsi="宋体"/>
          <w:color w:val="auto"/>
          <w:sz w:val="24"/>
          <w:highlight w:val="none"/>
          <w:u w:val="single"/>
        </w:rPr>
        <w:t>投标人诚信评价分取自本项目招标公告发布第一天所在季度的上一季度广州市水务工程建设管理数字化监管平台网站（http://112.94.68.142:8012/#/website）中的“企业诚信排名&gt;&gt;施工—给排水”中“诚信综合评价”分，未入库企业或在广州市水务工程企业库及诚信评价系统网中尚无诚信排名“施工－给排水”得分的投标人，其诚信评价分按80分计算。</w:t>
      </w:r>
    </w:p>
    <w:p>
      <w:pPr>
        <w:widowControl/>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5.评标应急预案</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5.1</w:t>
      </w:r>
      <w:r>
        <w:rPr>
          <w:rFonts w:ascii="宋体" w:hAnsi="宋体" w:cs="宋体"/>
          <w:color w:val="auto"/>
          <w:kern w:val="0"/>
          <w:sz w:val="24"/>
          <w:szCs w:val="24"/>
          <w:highlight w:val="none"/>
        </w:rPr>
        <w:t>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ascii="宋体" w:hAnsi="宋体" w:cs="宋体"/>
          <w:color w:val="auto"/>
          <w:kern w:val="0"/>
          <w:sz w:val="24"/>
          <w:szCs w:val="24"/>
          <w:highlight w:val="none"/>
        </w:rPr>
        <w:t>在电子评标过程中，无论遇到任何系统异常或故障，评标委员会均应出具评标报告。</w:t>
      </w:r>
    </w:p>
    <w:p>
      <w:pPr>
        <w:spacing w:line="400" w:lineRule="exact"/>
        <w:ind w:firstLine="480" w:firstLineChars="2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5.3若广州公共资源交易中心当天无法解除评审故障，由评标委员会开启投标人递交的全部投标文件备用U盘，并按U盘内容进行评审。</w:t>
      </w:r>
    </w:p>
    <w:p>
      <w:pPr>
        <w:spacing w:line="400" w:lineRule="exact"/>
        <w:ind w:firstLine="480" w:firstLineChars="200"/>
        <w:jc w:val="left"/>
        <w:rPr>
          <w:rFonts w:ascii="宋体" w:hAnsi="宋体" w:cs="宋体"/>
          <w:color w:val="auto"/>
          <w:kern w:val="0"/>
          <w:sz w:val="24"/>
          <w:szCs w:val="24"/>
          <w:highlight w:val="none"/>
          <w:u w:val="single"/>
        </w:rPr>
        <w:sectPr>
          <w:pgSz w:w="11906" w:h="16838"/>
          <w:pgMar w:top="1134" w:right="1134" w:bottom="1134" w:left="1134" w:header="851" w:footer="737" w:gutter="0"/>
          <w:cols w:space="720" w:num="1"/>
          <w:docGrid w:linePitch="312" w:charSpace="0"/>
        </w:sectPr>
      </w:pP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平均值法评标基准价计算表（适用于直接选取）</w:t>
      </w:r>
    </w:p>
    <w:p>
      <w:pPr>
        <w:spacing w:line="360" w:lineRule="auto"/>
        <w:rPr>
          <w:rFonts w:ascii="宋体" w:hAnsi="宋体"/>
          <w:b/>
          <w:color w:val="auto"/>
          <w:szCs w:val="21"/>
          <w:highlight w:val="none"/>
        </w:rPr>
      </w:pPr>
      <w:r>
        <w:rPr>
          <w:rFonts w:hint="eastAsia" w:ascii="宋体" w:hAnsi="宋体"/>
          <w:b/>
          <w:color w:val="auto"/>
          <w:szCs w:val="21"/>
          <w:highlight w:val="none"/>
        </w:rPr>
        <w:t>工程名称：                                                                                       最高投标限价：元</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946" w:type="dxa"/>
            <w:noWrap/>
            <w:vAlign w:val="center"/>
          </w:tcPr>
          <w:p>
            <w:pPr>
              <w:jc w:val="center"/>
              <w:rPr>
                <w:rFonts w:ascii="宋体" w:hAnsi="宋体"/>
                <w:color w:val="auto"/>
                <w:szCs w:val="21"/>
                <w:highlight w:val="none"/>
              </w:rPr>
            </w:pPr>
            <w:r>
              <w:rPr>
                <w:rFonts w:hint="eastAsia" w:ascii="宋体" w:hAnsi="宋体"/>
                <w:color w:val="auto"/>
                <w:szCs w:val="21"/>
                <w:highlight w:val="none"/>
              </w:rPr>
              <w:t>投标人名称</w:t>
            </w:r>
          </w:p>
        </w:tc>
        <w:tc>
          <w:tcPr>
            <w:tcW w:w="1350" w:type="dxa"/>
            <w:noWrap/>
          </w:tcPr>
          <w:p>
            <w:pPr>
              <w:jc w:val="center"/>
              <w:rPr>
                <w:rFonts w:ascii="宋体" w:hAnsi="宋体"/>
                <w:color w:val="auto"/>
                <w:szCs w:val="21"/>
                <w:highlight w:val="none"/>
              </w:rPr>
            </w:pPr>
            <w:r>
              <w:rPr>
                <w:rFonts w:hint="eastAsia" w:ascii="宋体" w:hAnsi="宋体"/>
                <w:color w:val="auto"/>
                <w:szCs w:val="21"/>
                <w:highlight w:val="none"/>
              </w:rPr>
              <w:t>投标价C</w:t>
            </w:r>
          </w:p>
        </w:tc>
        <w:tc>
          <w:tcPr>
            <w:tcW w:w="1620" w:type="dxa"/>
            <w:noWrap/>
            <w:vAlign w:val="center"/>
          </w:tcPr>
          <w:p>
            <w:pPr>
              <w:jc w:val="center"/>
              <w:rPr>
                <w:rFonts w:ascii="宋体" w:hAnsi="宋体"/>
                <w:color w:val="auto"/>
                <w:szCs w:val="21"/>
                <w:highlight w:val="none"/>
              </w:rPr>
            </w:pPr>
            <w:r>
              <w:rPr>
                <w:rFonts w:hint="eastAsia" w:ascii="宋体" w:hAnsi="宋体"/>
                <w:color w:val="auto"/>
                <w:szCs w:val="21"/>
                <w:highlight w:val="none"/>
              </w:rPr>
              <w:t>是否参与评标基准价的计算【是/否】</w:t>
            </w:r>
          </w:p>
        </w:tc>
        <w:tc>
          <w:tcPr>
            <w:tcW w:w="1440" w:type="dxa"/>
            <w:noWrap/>
          </w:tcPr>
          <w:p>
            <w:pPr>
              <w:rPr>
                <w:rFonts w:ascii="宋体" w:hAnsi="宋体"/>
                <w:color w:val="auto"/>
                <w:szCs w:val="21"/>
                <w:highlight w:val="none"/>
              </w:rPr>
            </w:pPr>
            <w:r>
              <w:rPr>
                <w:rFonts w:hint="eastAsia" w:ascii="宋体" w:hAnsi="宋体"/>
                <w:color w:val="auto"/>
                <w:szCs w:val="21"/>
                <w:highlight w:val="none"/>
              </w:rPr>
              <w:t>计算评标基准价的下浮率X</w:t>
            </w:r>
          </w:p>
        </w:tc>
        <w:tc>
          <w:tcPr>
            <w:tcW w:w="5834" w:type="dxa"/>
            <w:noWrap/>
            <w:vAlign w:val="center"/>
          </w:tcPr>
          <w:p>
            <w:pPr>
              <w:jc w:val="center"/>
              <w:rPr>
                <w:rFonts w:ascii="宋体" w:hAnsi="宋体"/>
                <w:color w:val="auto"/>
                <w:szCs w:val="21"/>
                <w:highlight w:val="none"/>
              </w:rPr>
            </w:pPr>
            <w:r>
              <w:rPr>
                <w:rFonts w:hint="eastAsia" w:ascii="宋体" w:hAnsi="宋体"/>
                <w:color w:val="auto"/>
                <w:szCs w:val="21"/>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restart"/>
            <w:noWrap/>
          </w:tcPr>
          <w:p>
            <w:pPr>
              <w:spacing w:line="560" w:lineRule="exact"/>
              <w:rPr>
                <w:rFonts w:ascii="黑体" w:eastAsia="黑体"/>
                <w:color w:val="auto"/>
                <w:szCs w:val="21"/>
                <w:highlight w:val="none"/>
              </w:rPr>
            </w:pPr>
          </w:p>
        </w:tc>
        <w:tc>
          <w:tcPr>
            <w:tcW w:w="5834" w:type="dxa"/>
            <w:vMerge w:val="restart"/>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noWrap/>
          </w:tcPr>
          <w:p>
            <w:pPr>
              <w:spacing w:line="560" w:lineRule="exact"/>
              <w:rPr>
                <w:rFonts w:ascii="黑体" w:eastAsia="黑体"/>
                <w:color w:val="auto"/>
                <w:szCs w:val="21"/>
                <w:highlight w:val="none"/>
              </w:rPr>
            </w:pPr>
          </w:p>
        </w:tc>
        <w:tc>
          <w:tcPr>
            <w:tcW w:w="2946" w:type="dxa"/>
            <w:noWrap/>
          </w:tcPr>
          <w:p>
            <w:pPr>
              <w:spacing w:line="560" w:lineRule="exact"/>
              <w:rPr>
                <w:rFonts w:ascii="黑体" w:eastAsia="黑体"/>
                <w:color w:val="auto"/>
                <w:szCs w:val="21"/>
                <w:highlight w:val="none"/>
              </w:rPr>
            </w:pPr>
          </w:p>
        </w:tc>
        <w:tc>
          <w:tcPr>
            <w:tcW w:w="1350" w:type="dxa"/>
            <w:noWrap/>
          </w:tcPr>
          <w:p>
            <w:pPr>
              <w:spacing w:line="560" w:lineRule="exact"/>
              <w:rPr>
                <w:rFonts w:ascii="黑体" w:eastAsia="黑体"/>
                <w:color w:val="auto"/>
                <w:szCs w:val="21"/>
                <w:highlight w:val="none"/>
              </w:rPr>
            </w:pPr>
          </w:p>
        </w:tc>
        <w:tc>
          <w:tcPr>
            <w:tcW w:w="1620" w:type="dxa"/>
            <w:noWrap/>
          </w:tcPr>
          <w:p>
            <w:pPr>
              <w:spacing w:line="560" w:lineRule="exact"/>
              <w:rPr>
                <w:rFonts w:ascii="黑体" w:eastAsia="黑体"/>
                <w:color w:val="auto"/>
                <w:szCs w:val="21"/>
                <w:highlight w:val="none"/>
              </w:rPr>
            </w:pPr>
          </w:p>
        </w:tc>
        <w:tc>
          <w:tcPr>
            <w:tcW w:w="1440" w:type="dxa"/>
            <w:vMerge w:val="continue"/>
            <w:noWrap/>
          </w:tcPr>
          <w:p>
            <w:pPr>
              <w:spacing w:line="560" w:lineRule="exact"/>
              <w:rPr>
                <w:rFonts w:ascii="黑体" w:eastAsia="黑体"/>
                <w:color w:val="auto"/>
                <w:szCs w:val="21"/>
                <w:highlight w:val="none"/>
              </w:rPr>
            </w:pPr>
          </w:p>
        </w:tc>
        <w:tc>
          <w:tcPr>
            <w:tcW w:w="5834" w:type="dxa"/>
            <w:vMerge w:val="continue"/>
            <w:noWrap/>
          </w:tcPr>
          <w:p>
            <w:pPr>
              <w:spacing w:line="560" w:lineRule="exact"/>
              <w:rPr>
                <w:rFonts w:ascii="黑体" w:eastAsia="黑体"/>
                <w:color w:val="auto"/>
                <w:szCs w:val="21"/>
                <w:highlight w:val="none"/>
              </w:rPr>
            </w:pPr>
          </w:p>
        </w:tc>
      </w:tr>
    </w:tbl>
    <w:p>
      <w:pPr>
        <w:rPr>
          <w:rFonts w:ascii="宋体" w:hAnsi="宋体"/>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 xml:space="preserve"> 以</w:t>
      </w:r>
      <w:r>
        <w:rPr>
          <w:rFonts w:hint="eastAsia" w:ascii="宋体" w:hAnsi="宋体"/>
          <w:b/>
          <w:color w:val="auto"/>
          <w:szCs w:val="21"/>
          <w:highlight w:val="none"/>
        </w:rPr>
        <w:t>有效</w:t>
      </w:r>
      <w:r>
        <w:rPr>
          <w:rFonts w:ascii="宋体" w:hAnsi="宋体"/>
          <w:b/>
          <w:color w:val="auto"/>
          <w:szCs w:val="21"/>
          <w:highlight w:val="none"/>
        </w:rPr>
        <w:t>投标价为基础计算并</w:t>
      </w:r>
      <w:r>
        <w:rPr>
          <w:rFonts w:hint="eastAsia" w:ascii="宋体" w:hAnsi="宋体"/>
          <w:b/>
          <w:color w:val="auto"/>
          <w:szCs w:val="21"/>
          <w:highlight w:val="none"/>
        </w:rPr>
        <w:t>根据抽取的计算评标基准价的下浮率下浮后</w:t>
      </w:r>
      <w:r>
        <w:rPr>
          <w:rFonts w:ascii="宋体" w:hAnsi="宋体"/>
          <w:b/>
          <w:color w:val="auto"/>
          <w:szCs w:val="21"/>
          <w:highlight w:val="none"/>
        </w:rPr>
        <w:t>确定评标基准价</w:t>
      </w:r>
      <w:r>
        <w:rPr>
          <w:rFonts w:hint="eastAsia" w:ascii="宋体" w:hAnsi="宋体"/>
          <w:b/>
          <w:color w:val="auto"/>
          <w:szCs w:val="21"/>
          <w:highlight w:val="none"/>
        </w:rPr>
        <w:t>。</w:t>
      </w:r>
    </w:p>
    <w:p>
      <w:pPr>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使用此表时，对于已经确定为无效报价的，不得在本计算表中列出。</w:t>
      </w:r>
    </w:p>
    <w:p>
      <w:pPr>
        <w:rPr>
          <w:rFonts w:ascii="宋体" w:hAnsi="宋体"/>
          <w:color w:val="auto"/>
          <w:kern w:val="0"/>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highlight w:val="none"/>
        </w:rPr>
        <w:t>日期：   年   月  日</w:t>
      </w:r>
    </w:p>
    <w:p>
      <w:pPr>
        <w:rPr>
          <w:rFonts w:ascii="宋体" w:hAnsi="宋体"/>
          <w:color w:val="auto"/>
          <w:kern w:val="0"/>
          <w:highlight w:val="none"/>
        </w:rPr>
      </w:pPr>
    </w:p>
    <w:p>
      <w:pPr>
        <w:rPr>
          <w:rFonts w:ascii="黑体" w:hAnsi="黑体" w:eastAsia="黑体"/>
          <w:color w:val="auto"/>
          <w:sz w:val="32"/>
          <w:szCs w:val="27"/>
          <w:highlight w:val="none"/>
        </w:rPr>
        <w:sectPr>
          <w:pgSz w:w="16838" w:h="11906" w:orient="landscape"/>
          <w:pgMar w:top="1134" w:right="1134" w:bottom="1134" w:left="1134" w:header="851" w:footer="992" w:gutter="0"/>
          <w:cols w:space="720" w:num="1"/>
          <w:docGrid w:linePitch="312" w:charSpace="0"/>
        </w:sectPr>
      </w:pPr>
    </w:p>
    <w:p>
      <w:pPr>
        <w:spacing w:line="400" w:lineRule="exact"/>
        <w:jc w:val="center"/>
        <w:rPr>
          <w:rFonts w:ascii="宋体" w:hAnsi="宋体"/>
          <w:b/>
          <w:color w:val="auto"/>
          <w:sz w:val="36"/>
          <w:szCs w:val="36"/>
          <w:highlight w:val="none"/>
        </w:rPr>
      </w:pPr>
    </w:p>
    <w:p>
      <w:pPr>
        <w:spacing w:line="400" w:lineRule="exact"/>
        <w:jc w:val="center"/>
        <w:rPr>
          <w:rFonts w:ascii="宋体" w:hAnsi="宋体"/>
          <w:b/>
          <w:color w:val="auto"/>
          <w:sz w:val="36"/>
          <w:szCs w:val="36"/>
          <w:highlight w:val="none"/>
        </w:rPr>
      </w:pPr>
      <w:r>
        <w:rPr>
          <w:rFonts w:hint="eastAsia" w:ascii="宋体" w:hAnsi="宋体"/>
          <w:b/>
          <w:color w:val="auto"/>
          <w:sz w:val="36"/>
          <w:szCs w:val="36"/>
          <w:highlight w:val="none"/>
        </w:rPr>
        <w:t>诚信评价分表</w:t>
      </w:r>
    </w:p>
    <w:p>
      <w:pPr>
        <w:spacing w:line="400" w:lineRule="exact"/>
        <w:ind w:firstLine="708" w:firstLineChars="336"/>
        <w:rPr>
          <w:rFonts w:ascii="宋体" w:hAnsi="宋体"/>
          <w:b/>
          <w:color w:val="auto"/>
          <w:szCs w:val="21"/>
          <w:highlight w:val="none"/>
        </w:rPr>
      </w:pPr>
      <w:r>
        <w:rPr>
          <w:rFonts w:hint="eastAsia" w:ascii="宋体" w:hAnsi="宋体"/>
          <w:b/>
          <w:color w:val="auto"/>
          <w:szCs w:val="21"/>
          <w:highlight w:val="none"/>
        </w:rPr>
        <w:t>项目编号：</w:t>
      </w:r>
    </w:p>
    <w:p>
      <w:pPr>
        <w:spacing w:line="400" w:lineRule="exact"/>
        <w:ind w:firstLine="708" w:firstLineChars="336"/>
        <w:rPr>
          <w:rFonts w:ascii="宋体" w:hAnsi="宋体"/>
          <w:b/>
          <w:color w:val="auto"/>
          <w:szCs w:val="21"/>
          <w:highlight w:val="none"/>
        </w:rPr>
      </w:pPr>
      <w:r>
        <w:rPr>
          <w:rFonts w:hint="eastAsia" w:ascii="宋体" w:hAnsi="宋体"/>
          <w:b/>
          <w:color w:val="auto"/>
          <w:szCs w:val="21"/>
          <w:highlight w:val="none"/>
        </w:rPr>
        <w:t>项目名称：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开标序号</w:t>
            </w:r>
          </w:p>
        </w:tc>
        <w:tc>
          <w:tcPr>
            <w:tcW w:w="378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投标人</w:t>
            </w:r>
          </w:p>
        </w:tc>
        <w:tc>
          <w:tcPr>
            <w:tcW w:w="144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诚信类别</w:t>
            </w:r>
          </w:p>
        </w:tc>
        <w:tc>
          <w:tcPr>
            <w:tcW w:w="234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3780" w:type="dxa"/>
            <w:noWrap/>
          </w:tcPr>
          <w:p>
            <w:pPr>
              <w:spacing w:line="400" w:lineRule="exact"/>
              <w:rPr>
                <w:rFonts w:ascii="宋体" w:hAnsi="宋体"/>
                <w:color w:val="auto"/>
                <w:szCs w:val="21"/>
                <w:highlight w:val="none"/>
              </w:rPr>
            </w:pPr>
          </w:p>
        </w:tc>
        <w:tc>
          <w:tcPr>
            <w:tcW w:w="1440" w:type="dxa"/>
            <w:vMerge w:val="restart"/>
            <w:noWrap/>
            <w:vAlign w:val="center"/>
          </w:tcPr>
          <w:p>
            <w:pPr>
              <w:spacing w:line="400" w:lineRule="exact"/>
              <w:rPr>
                <w:rFonts w:ascii="宋体" w:hAnsi="宋体" w:eastAsia="等线"/>
                <w:color w:val="auto"/>
                <w:szCs w:val="21"/>
                <w:highlight w:val="none"/>
              </w:rPr>
            </w:pPr>
            <w:r>
              <w:rPr>
                <w:rFonts w:hint="eastAsia" w:ascii="宋体" w:hAnsi="宋体"/>
                <w:color w:val="auto"/>
                <w:szCs w:val="21"/>
                <w:highlight w:val="none"/>
              </w:rPr>
              <w:t>施工-给排水</w:t>
            </w: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jc w:val="center"/>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jc w:val="center"/>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jc w:val="center"/>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jc w:val="center"/>
              <w:rPr>
                <w:rFonts w:ascii="宋体" w:hAnsi="宋体"/>
                <w:color w:val="auto"/>
                <w:szCs w:val="21"/>
                <w:highlight w:val="none"/>
              </w:rPr>
            </w:pPr>
          </w:p>
        </w:tc>
        <w:tc>
          <w:tcPr>
            <w:tcW w:w="2340" w:type="dxa"/>
            <w:noWrap/>
          </w:tcPr>
          <w:p>
            <w:pPr>
              <w:widowControl/>
              <w:spacing w:line="400" w:lineRule="exact"/>
              <w:jc w:val="left"/>
              <w:rPr>
                <w:rFonts w:ascii="宋体" w:hAnsi="宋体"/>
                <w:color w:val="auto"/>
                <w:szCs w:val="21"/>
                <w:highlight w:val="none"/>
              </w:rPr>
            </w:pPr>
          </w:p>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6</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7</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noWrap/>
            <w:vAlign w:val="center"/>
          </w:tcPr>
          <w:p>
            <w:pPr>
              <w:spacing w:line="400" w:lineRule="exact"/>
              <w:jc w:val="center"/>
              <w:rPr>
                <w:rFonts w:ascii="宋体" w:hAnsi="宋体"/>
                <w:color w:val="auto"/>
                <w:szCs w:val="21"/>
                <w:highlight w:val="none"/>
              </w:rPr>
            </w:pPr>
          </w:p>
        </w:tc>
        <w:tc>
          <w:tcPr>
            <w:tcW w:w="3780" w:type="dxa"/>
            <w:noWrap/>
          </w:tcPr>
          <w:p>
            <w:pPr>
              <w:spacing w:line="400" w:lineRule="exact"/>
              <w:rPr>
                <w:rFonts w:ascii="宋体" w:hAnsi="宋体"/>
                <w:color w:val="auto"/>
                <w:szCs w:val="21"/>
                <w:highlight w:val="none"/>
              </w:rPr>
            </w:pPr>
          </w:p>
        </w:tc>
        <w:tc>
          <w:tcPr>
            <w:tcW w:w="1440" w:type="dxa"/>
            <w:vMerge w:val="continue"/>
            <w:noWrap/>
          </w:tcPr>
          <w:p>
            <w:pPr>
              <w:spacing w:line="400" w:lineRule="exact"/>
              <w:rPr>
                <w:rFonts w:ascii="宋体" w:hAnsi="宋体"/>
                <w:color w:val="auto"/>
                <w:szCs w:val="21"/>
                <w:highlight w:val="none"/>
              </w:rPr>
            </w:pPr>
          </w:p>
        </w:tc>
        <w:tc>
          <w:tcPr>
            <w:tcW w:w="2340" w:type="dxa"/>
            <w:noWrap/>
          </w:tcPr>
          <w:p>
            <w:pPr>
              <w:spacing w:line="400" w:lineRule="exact"/>
              <w:rPr>
                <w:rFonts w:ascii="宋体" w:hAnsi="宋体"/>
                <w:color w:val="auto"/>
                <w:szCs w:val="21"/>
                <w:highlight w:val="none"/>
              </w:rPr>
            </w:pPr>
          </w:p>
        </w:tc>
      </w:tr>
    </w:tbl>
    <w:p>
      <w:pPr>
        <w:spacing w:line="400" w:lineRule="exact"/>
        <w:ind w:firstLine="630" w:firstLineChars="300"/>
        <w:rPr>
          <w:rFonts w:ascii="宋体" w:hAnsi="宋体"/>
          <w:color w:val="auto"/>
          <w:kern w:val="0"/>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highlight w:val="none"/>
        </w:rPr>
        <w:t>日期：   年   月  日</w:t>
      </w:r>
    </w:p>
    <w:p>
      <w:pPr>
        <w:pageBreakBefore/>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总得分及排序表</w:t>
      </w:r>
    </w:p>
    <w:p>
      <w:pPr>
        <w:spacing w:line="360" w:lineRule="auto"/>
        <w:rPr>
          <w:rFonts w:ascii="宋体" w:hAnsi="宋体"/>
          <w:b/>
          <w:color w:val="auto"/>
          <w:szCs w:val="21"/>
          <w:highlight w:val="none"/>
        </w:rPr>
      </w:pPr>
      <w:r>
        <w:rPr>
          <w:rFonts w:hint="eastAsia" w:ascii="宋体" w:hAnsi="宋体"/>
          <w:b/>
          <w:color w:val="auto"/>
          <w:szCs w:val="21"/>
          <w:highlight w:val="none"/>
        </w:rPr>
        <w:t>工程名称：</w:t>
      </w:r>
    </w:p>
    <w:tbl>
      <w:tblPr>
        <w:tblStyle w:val="42"/>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962"/>
        <w:gridCol w:w="1457"/>
        <w:gridCol w:w="1542"/>
        <w:gridCol w:w="993"/>
        <w:gridCol w:w="1017"/>
        <w:gridCol w:w="902"/>
        <w:gridCol w:w="90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62" w:type="dxa"/>
            <w:noWrap/>
            <w:vAlign w:val="center"/>
          </w:tcPr>
          <w:p>
            <w:pPr>
              <w:jc w:val="center"/>
              <w:rPr>
                <w:rFonts w:ascii="宋体" w:hAnsi="宋体"/>
                <w:color w:val="auto"/>
                <w:szCs w:val="21"/>
                <w:highlight w:val="none"/>
              </w:rPr>
            </w:pPr>
            <w:r>
              <w:rPr>
                <w:rFonts w:hint="eastAsia" w:ascii="宋体" w:hAnsi="宋体"/>
                <w:color w:val="auto"/>
                <w:szCs w:val="21"/>
                <w:highlight w:val="none"/>
              </w:rPr>
              <w:t>投标人名称</w:t>
            </w:r>
          </w:p>
        </w:tc>
        <w:tc>
          <w:tcPr>
            <w:tcW w:w="1457" w:type="dxa"/>
            <w:noWrap/>
            <w:vAlign w:val="center"/>
          </w:tcPr>
          <w:p>
            <w:pPr>
              <w:jc w:val="center"/>
              <w:rPr>
                <w:rFonts w:ascii="宋体" w:hAnsi="宋体"/>
                <w:color w:val="auto"/>
                <w:szCs w:val="21"/>
                <w:highlight w:val="none"/>
              </w:rPr>
            </w:pPr>
            <w:r>
              <w:rPr>
                <w:rFonts w:hint="eastAsia" w:ascii="宋体" w:hAnsi="宋体"/>
                <w:color w:val="auto"/>
                <w:szCs w:val="21"/>
                <w:highlight w:val="none"/>
              </w:rPr>
              <w:t>投标价C（元）</w:t>
            </w:r>
          </w:p>
        </w:tc>
        <w:tc>
          <w:tcPr>
            <w:tcW w:w="1542" w:type="dxa"/>
            <w:noWrap/>
            <w:vAlign w:val="center"/>
          </w:tcPr>
          <w:p>
            <w:pPr>
              <w:jc w:val="center"/>
              <w:rPr>
                <w:rFonts w:ascii="宋体" w:hAnsi="宋体"/>
                <w:color w:val="auto"/>
                <w:szCs w:val="21"/>
                <w:highlight w:val="none"/>
              </w:rPr>
            </w:pPr>
            <w:r>
              <w:rPr>
                <w:rFonts w:hint="eastAsia" w:ascii="宋体" w:hAnsi="宋体"/>
                <w:color w:val="auto"/>
                <w:szCs w:val="21"/>
                <w:highlight w:val="none"/>
              </w:rPr>
              <w:t>评标基准价（元）</w:t>
            </w:r>
          </w:p>
        </w:tc>
        <w:tc>
          <w:tcPr>
            <w:tcW w:w="993" w:type="dxa"/>
            <w:noWrap/>
            <w:vAlign w:val="center"/>
          </w:tcPr>
          <w:p>
            <w:pPr>
              <w:jc w:val="center"/>
              <w:rPr>
                <w:rFonts w:ascii="宋体" w:hAnsi="宋体"/>
                <w:color w:val="auto"/>
                <w:szCs w:val="21"/>
                <w:highlight w:val="none"/>
              </w:rPr>
            </w:pPr>
            <w:r>
              <w:rPr>
                <w:rFonts w:hint="eastAsia" w:ascii="宋体" w:hAnsi="宋体"/>
                <w:color w:val="auto"/>
                <w:szCs w:val="21"/>
                <w:highlight w:val="none"/>
              </w:rPr>
              <w:t>偏差</w:t>
            </w:r>
          </w:p>
        </w:tc>
        <w:tc>
          <w:tcPr>
            <w:tcW w:w="1017" w:type="dxa"/>
            <w:noWrap/>
            <w:vAlign w:val="center"/>
          </w:tcPr>
          <w:p>
            <w:pPr>
              <w:jc w:val="center"/>
              <w:rPr>
                <w:rFonts w:ascii="宋体" w:hAnsi="宋体"/>
                <w:color w:val="auto"/>
                <w:szCs w:val="21"/>
                <w:highlight w:val="none"/>
              </w:rPr>
            </w:pPr>
            <w:r>
              <w:rPr>
                <w:rFonts w:hint="eastAsia" w:ascii="宋体" w:hAnsi="宋体"/>
                <w:color w:val="auto"/>
                <w:szCs w:val="21"/>
                <w:highlight w:val="none"/>
              </w:rPr>
              <w:t>投标报价分</w:t>
            </w:r>
          </w:p>
        </w:tc>
        <w:tc>
          <w:tcPr>
            <w:tcW w:w="902" w:type="dxa"/>
            <w:noWrap/>
            <w:vAlign w:val="center"/>
          </w:tcPr>
          <w:p>
            <w:pPr>
              <w:jc w:val="center"/>
              <w:rPr>
                <w:rFonts w:ascii="宋体" w:hAnsi="宋体"/>
                <w:color w:val="auto"/>
                <w:szCs w:val="21"/>
                <w:highlight w:val="none"/>
              </w:rPr>
            </w:pPr>
            <w:r>
              <w:rPr>
                <w:rFonts w:hint="eastAsia" w:ascii="宋体" w:hAnsi="宋体"/>
                <w:color w:val="auto"/>
                <w:szCs w:val="21"/>
                <w:highlight w:val="none"/>
              </w:rPr>
              <w:t>诚信评价分</w:t>
            </w:r>
          </w:p>
        </w:tc>
        <w:tc>
          <w:tcPr>
            <w:tcW w:w="902" w:type="dxa"/>
            <w:noWrap/>
            <w:vAlign w:val="center"/>
          </w:tcPr>
          <w:p>
            <w:pPr>
              <w:jc w:val="center"/>
              <w:rPr>
                <w:rFonts w:ascii="宋体" w:hAnsi="宋体"/>
                <w:color w:val="auto"/>
                <w:szCs w:val="21"/>
                <w:highlight w:val="none"/>
              </w:rPr>
            </w:pPr>
            <w:r>
              <w:rPr>
                <w:rFonts w:hint="eastAsia" w:ascii="宋体" w:hAnsi="宋体"/>
                <w:color w:val="auto"/>
                <w:szCs w:val="21"/>
                <w:highlight w:val="none"/>
              </w:rPr>
              <w:t>总得分</w:t>
            </w:r>
          </w:p>
        </w:tc>
        <w:tc>
          <w:tcPr>
            <w:tcW w:w="902" w:type="dxa"/>
            <w:noWrap/>
            <w:vAlign w:val="center"/>
          </w:tcPr>
          <w:p>
            <w:pPr>
              <w:jc w:val="center"/>
              <w:rPr>
                <w:rFonts w:ascii="宋体" w:hAnsi="宋体"/>
                <w:color w:val="auto"/>
                <w:szCs w:val="21"/>
                <w:highlight w:val="none"/>
              </w:rPr>
            </w:pPr>
            <w:r>
              <w:rPr>
                <w:rFonts w:hint="eastAsia" w:ascii="宋体" w:hAnsi="宋体"/>
                <w:color w:val="auto"/>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restart"/>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tcPr>
          <w:p>
            <w:pPr>
              <w:spacing w:line="560" w:lineRule="exact"/>
              <w:rPr>
                <w:rFonts w:ascii="黑体" w:eastAsia="黑体"/>
                <w:color w:val="auto"/>
                <w:szCs w:val="21"/>
                <w:highlight w:val="none"/>
              </w:rPr>
            </w:pPr>
          </w:p>
        </w:tc>
        <w:tc>
          <w:tcPr>
            <w:tcW w:w="1962" w:type="dxa"/>
            <w:noWrap/>
          </w:tcPr>
          <w:p>
            <w:pPr>
              <w:spacing w:line="560" w:lineRule="exact"/>
              <w:rPr>
                <w:rFonts w:ascii="黑体" w:eastAsia="黑体"/>
                <w:color w:val="auto"/>
                <w:szCs w:val="21"/>
                <w:highlight w:val="none"/>
              </w:rPr>
            </w:pPr>
          </w:p>
        </w:tc>
        <w:tc>
          <w:tcPr>
            <w:tcW w:w="1457" w:type="dxa"/>
            <w:noWrap/>
          </w:tcPr>
          <w:p>
            <w:pPr>
              <w:spacing w:line="560" w:lineRule="exact"/>
              <w:rPr>
                <w:rFonts w:ascii="黑体" w:eastAsia="黑体"/>
                <w:color w:val="auto"/>
                <w:szCs w:val="21"/>
                <w:highlight w:val="none"/>
              </w:rPr>
            </w:pPr>
          </w:p>
        </w:tc>
        <w:tc>
          <w:tcPr>
            <w:tcW w:w="1542" w:type="dxa"/>
            <w:vMerge w:val="continue"/>
            <w:noWrap/>
          </w:tcPr>
          <w:p>
            <w:pPr>
              <w:spacing w:line="560" w:lineRule="exact"/>
              <w:rPr>
                <w:rFonts w:ascii="黑体" w:eastAsia="黑体"/>
                <w:color w:val="auto"/>
                <w:szCs w:val="21"/>
                <w:highlight w:val="none"/>
              </w:rPr>
            </w:pPr>
          </w:p>
        </w:tc>
        <w:tc>
          <w:tcPr>
            <w:tcW w:w="993" w:type="dxa"/>
            <w:noWrap/>
          </w:tcPr>
          <w:p>
            <w:pPr>
              <w:spacing w:line="560" w:lineRule="exact"/>
              <w:rPr>
                <w:rFonts w:ascii="黑体" w:eastAsia="黑体"/>
                <w:color w:val="auto"/>
                <w:szCs w:val="21"/>
                <w:highlight w:val="none"/>
              </w:rPr>
            </w:pPr>
          </w:p>
        </w:tc>
        <w:tc>
          <w:tcPr>
            <w:tcW w:w="1017"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c>
          <w:tcPr>
            <w:tcW w:w="902" w:type="dxa"/>
            <w:noWrap/>
          </w:tcPr>
          <w:p>
            <w:pPr>
              <w:spacing w:line="560" w:lineRule="exact"/>
              <w:rPr>
                <w:rFonts w:ascii="黑体" w:eastAsia="黑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 xml:space="preserve">评标委员会全体评委签名：                              </w:t>
      </w:r>
      <w:r>
        <w:rPr>
          <w:rFonts w:hint="eastAsia" w:ascii="宋体" w:hAnsi="宋体"/>
          <w:color w:val="auto"/>
          <w:kern w:val="0"/>
          <w:highlight w:val="none"/>
        </w:rPr>
        <w:t>日期：   年   月  日</w:t>
      </w:r>
    </w:p>
    <w:p>
      <w:pPr>
        <w:rPr>
          <w:color w:val="auto"/>
          <w:highlight w:val="none"/>
        </w:rPr>
      </w:pPr>
    </w:p>
    <w:p>
      <w:pPr>
        <w:rPr>
          <w:rFonts w:ascii="黑体" w:hAnsi="黑体" w:eastAsia="黑体"/>
          <w:color w:val="auto"/>
          <w:sz w:val="32"/>
          <w:szCs w:val="27"/>
          <w:highlight w:val="none"/>
        </w:rPr>
      </w:pPr>
    </w:p>
    <w:p>
      <w:pPr>
        <w:pageBreakBefore/>
        <w:spacing w:line="360" w:lineRule="auto"/>
        <w:jc w:val="center"/>
        <w:outlineLvl w:val="1"/>
        <w:rPr>
          <w:rFonts w:ascii="黑体" w:hAnsi="黑体" w:eastAsia="黑体"/>
          <w:color w:val="auto"/>
          <w:sz w:val="32"/>
          <w:szCs w:val="27"/>
          <w:highlight w:val="none"/>
        </w:rPr>
        <w:sectPr>
          <w:pgSz w:w="11906" w:h="16838"/>
          <w:pgMar w:top="1134" w:right="1134" w:bottom="1134" w:left="1134" w:header="851" w:footer="992" w:gutter="0"/>
          <w:cols w:space="720" w:num="1"/>
          <w:docGrid w:linePitch="312" w:charSpace="0"/>
        </w:sectPr>
      </w:pPr>
    </w:p>
    <w:p>
      <w:pPr>
        <w:spacing w:line="400" w:lineRule="exact"/>
        <w:rPr>
          <w:rFonts w:ascii="宋体" w:hAnsi="宋体"/>
          <w:color w:val="auto"/>
          <w:szCs w:val="21"/>
          <w:highlight w:val="none"/>
        </w:rPr>
      </w:pPr>
    </w:p>
    <w:p>
      <w:pPr>
        <w:pStyle w:val="2"/>
        <w:spacing w:line="400" w:lineRule="exact"/>
        <w:jc w:val="center"/>
        <w:rPr>
          <w:color w:val="auto"/>
          <w:highlight w:val="none"/>
        </w:rPr>
      </w:pPr>
      <w:bookmarkStart w:id="107" w:name="_Toc21787745"/>
      <w:bookmarkEnd w:id="107"/>
      <w:bookmarkStart w:id="108" w:name="_Toc17695"/>
      <w:r>
        <w:rPr>
          <w:rFonts w:hint="eastAsia"/>
          <w:color w:val="auto"/>
          <w:highlight w:val="none"/>
        </w:rPr>
        <w:t>第四章合同条款</w:t>
      </w:r>
      <w:bookmarkEnd w:id="108"/>
    </w:p>
    <w:p>
      <w:pPr>
        <w:rPr>
          <w:color w:val="auto"/>
          <w:highlight w:val="none"/>
        </w:rPr>
      </w:pPr>
    </w:p>
    <w:p>
      <w:pPr>
        <w:spacing w:line="400" w:lineRule="exact"/>
        <w:jc w:val="center"/>
        <w:rPr>
          <w:rFonts w:ascii="黑体" w:hAnsi="黑体" w:eastAsia="黑体"/>
          <w:color w:val="auto"/>
          <w:sz w:val="32"/>
          <w:szCs w:val="27"/>
          <w:highlight w:val="none"/>
        </w:rPr>
      </w:pPr>
      <w:r>
        <w:rPr>
          <w:rFonts w:hint="eastAsia" w:ascii="黑体" w:hAnsi="黑体" w:eastAsia="黑体"/>
          <w:color w:val="auto"/>
          <w:sz w:val="32"/>
          <w:szCs w:val="27"/>
          <w:highlight w:val="none"/>
        </w:rPr>
        <w:t>(另册)</w:t>
      </w:r>
    </w:p>
    <w:p>
      <w:pPr>
        <w:spacing w:line="400" w:lineRule="exact"/>
        <w:jc w:val="left"/>
        <w:rPr>
          <w:color w:val="auto"/>
          <w:sz w:val="24"/>
          <w:highlight w:val="none"/>
        </w:rPr>
      </w:pPr>
    </w:p>
    <w:p>
      <w:pPr>
        <w:pStyle w:val="2"/>
        <w:spacing w:line="400" w:lineRule="exact"/>
        <w:jc w:val="center"/>
        <w:rPr>
          <w:color w:val="auto"/>
          <w:sz w:val="24"/>
          <w:highlight w:val="none"/>
        </w:rPr>
      </w:pPr>
      <w:bookmarkStart w:id="109" w:name="_Toc21787746"/>
      <w:bookmarkEnd w:id="109"/>
      <w:r>
        <w:rPr>
          <w:color w:val="auto"/>
          <w:sz w:val="24"/>
          <w:highlight w:val="none"/>
        </w:rPr>
        <w:br w:type="page"/>
      </w:r>
      <w:bookmarkStart w:id="110" w:name="_Toc8814"/>
      <w:r>
        <w:rPr>
          <w:rFonts w:hint="eastAsia"/>
          <w:color w:val="auto"/>
          <w:highlight w:val="none"/>
        </w:rPr>
        <w:t>第五章工程量清单（工程量清单计价、综合单价承包）</w:t>
      </w:r>
      <w:bookmarkEnd w:id="110"/>
    </w:p>
    <w:p>
      <w:pPr>
        <w:pStyle w:val="3"/>
        <w:numPr>
          <w:ilvl w:val="0"/>
          <w:numId w:val="1"/>
        </w:numPr>
        <w:spacing w:line="400" w:lineRule="exact"/>
        <w:jc w:val="center"/>
        <w:rPr>
          <w:color w:val="auto"/>
          <w:highlight w:val="none"/>
        </w:rPr>
      </w:pPr>
      <w:bookmarkStart w:id="111" w:name="_Toc13575"/>
      <w:bookmarkEnd w:id="111"/>
      <w:bookmarkStart w:id="112" w:name="_Toc21787747"/>
      <w:bookmarkEnd w:id="112"/>
      <w:bookmarkStart w:id="113" w:name="_Toc17279"/>
      <w:r>
        <w:rPr>
          <w:rFonts w:hint="eastAsia"/>
          <w:color w:val="auto"/>
          <w:highlight w:val="none"/>
        </w:rPr>
        <w:t>工程量清单说明</w:t>
      </w:r>
      <w:bookmarkEnd w:id="113"/>
    </w:p>
    <w:p>
      <w:pPr>
        <w:spacing w:line="360" w:lineRule="auto"/>
        <w:ind w:firstLine="480" w:firstLineChars="200"/>
        <w:rPr>
          <w:rFonts w:ascii="宋体" w:hAnsi="宋体"/>
          <w:i/>
          <w:color w:val="auto"/>
          <w:sz w:val="24"/>
          <w:highlight w:val="none"/>
        </w:rPr>
      </w:pPr>
      <w:r>
        <w:rPr>
          <w:rFonts w:hint="eastAsia" w:ascii="宋体" w:hAnsi="宋体"/>
          <w:i/>
          <w:color w:val="auto"/>
          <w:sz w:val="24"/>
          <w:highlight w:val="none"/>
        </w:rPr>
        <w:t>（说明：本说明内容仅供参考，招标人可以根据项目情况修改。）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本工程量清单是根据招标文件中包括的、有合同约束力的图纸以及有关工程量清单的国家标准、行业标准、合同条款中约定的工程量计算规则编制。工程量清单应与投标须知、合同条款、技术条款和图纸等招标文件一起参照阅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本招标工程承包方式为工程量清单计价，综合单价承包。招标文件提供的工程量清单中的工程量为参考工程量，投标报价时以工程量清单中所列项目及工程量为计算依据，结算时以实际完成工程量进行计算。工程量清单中的每一子目须填入单价或价格，且只允许有一个报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 除合同另有规定外，《已标价的工程量清单》中的单价和合价包括完成该项目所需要的一切工作内容而发生的所有直接费、间接费、其它费用、税金等全部费用和要求获得的利润以及应由承包人承担的义务、责任和风险所发生的一切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符合合同规定的全部费用和利润都应包括在工程量清单所列的各项目中，如投标人认为合同规定应由其承担而在工程量清单中未详细列出的项目，其费用和利润应包括在其它有关项目的单价和合价中。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 《已标价的工程量清单》中的“单价”和“合价”栏均由投标人填报。投标人还应填报投标报价汇总表，并在其结尾处填写投标总报价。报价货币为人民币。对工程量清单表中发包人未列出工程量的项目，亦应填报单价和合价。若投标人对某些项目未填报单价和合价，则认为已包括在其它项目的单价和合价以及投标总报价内。</w:t>
      </w:r>
    </w:p>
    <w:p>
      <w:pPr>
        <w:spacing w:line="400" w:lineRule="exact"/>
        <w:ind w:firstLine="480" w:firstLineChars="200"/>
        <w:jc w:val="left"/>
        <w:rPr>
          <w:color w:val="auto"/>
          <w:sz w:val="24"/>
          <w:highlight w:val="none"/>
        </w:rPr>
      </w:pPr>
      <w:r>
        <w:rPr>
          <w:rFonts w:hint="eastAsia" w:ascii="宋体" w:hAnsi="宋体"/>
          <w:color w:val="auto"/>
          <w:sz w:val="24"/>
          <w:highlight w:val="none"/>
        </w:rPr>
        <w:t>1.6 工程量清单中各项目的工作内容和要求及其计量和支付的规定详见《技术条款》有关部分。投标人投标时可据此复核工程量清单中的工程量，但中标后《技术条款》中有关计量和支付的规定不能改变《已标价的工程量清单》中的工程量，只能作为计算工程进度款的方法。</w:t>
      </w:r>
    </w:p>
    <w:p>
      <w:pPr>
        <w:spacing w:line="400" w:lineRule="exact"/>
        <w:jc w:val="left"/>
        <w:rPr>
          <w:color w:val="auto"/>
          <w:sz w:val="24"/>
          <w:highlight w:val="none"/>
        </w:rPr>
      </w:pPr>
    </w:p>
    <w:p>
      <w:pPr>
        <w:spacing w:line="400" w:lineRule="exact"/>
        <w:jc w:val="left"/>
        <w:rPr>
          <w:color w:val="auto"/>
          <w:sz w:val="24"/>
          <w:highlight w:val="none"/>
        </w:rPr>
      </w:pPr>
    </w:p>
    <w:p>
      <w:pPr>
        <w:spacing w:line="400" w:lineRule="exact"/>
        <w:jc w:val="center"/>
        <w:rPr>
          <w:color w:val="auto"/>
          <w:sz w:val="24"/>
          <w:highlight w:val="none"/>
        </w:rPr>
      </w:pPr>
      <w:r>
        <w:rPr>
          <w:color w:val="auto"/>
          <w:sz w:val="24"/>
          <w:highlight w:val="none"/>
        </w:rPr>
        <w:br w:type="page"/>
      </w:r>
    </w:p>
    <w:p>
      <w:pPr>
        <w:pStyle w:val="3"/>
        <w:numPr>
          <w:ilvl w:val="0"/>
          <w:numId w:val="1"/>
        </w:numPr>
        <w:spacing w:line="400" w:lineRule="exact"/>
        <w:jc w:val="center"/>
        <w:rPr>
          <w:color w:val="auto"/>
          <w:highlight w:val="none"/>
        </w:rPr>
      </w:pPr>
      <w:bookmarkStart w:id="114" w:name="_Toc21787748"/>
      <w:bookmarkEnd w:id="114"/>
      <w:bookmarkStart w:id="115" w:name="_Toc23354"/>
      <w:bookmarkEnd w:id="115"/>
      <w:bookmarkStart w:id="116" w:name="_Toc6915"/>
      <w:r>
        <w:rPr>
          <w:rFonts w:hint="eastAsia"/>
          <w:color w:val="auto"/>
          <w:highlight w:val="none"/>
        </w:rPr>
        <w:t>投标报价说明</w:t>
      </w:r>
      <w:bookmarkEnd w:id="116"/>
    </w:p>
    <w:p>
      <w:pPr>
        <w:spacing w:line="400" w:lineRule="exact"/>
        <w:jc w:val="center"/>
        <w:rPr>
          <w:color w:val="auto"/>
          <w:sz w:val="24"/>
          <w:highlight w:val="none"/>
        </w:rPr>
      </w:pPr>
      <w:r>
        <w:rPr>
          <w:rFonts w:hint="eastAsia"/>
          <w:color w:val="auto"/>
          <w:sz w:val="24"/>
          <w:highlight w:val="none"/>
        </w:rPr>
        <w:t>（如有另册）</w:t>
      </w:r>
    </w:p>
    <w:p>
      <w:pPr>
        <w:pStyle w:val="3"/>
        <w:numPr>
          <w:ilvl w:val="0"/>
          <w:numId w:val="1"/>
        </w:numPr>
        <w:spacing w:line="400" w:lineRule="exact"/>
        <w:jc w:val="center"/>
        <w:rPr>
          <w:color w:val="auto"/>
          <w:highlight w:val="none"/>
        </w:rPr>
      </w:pPr>
      <w:bookmarkStart w:id="117" w:name="_Toc21787749"/>
      <w:bookmarkEnd w:id="117"/>
      <w:bookmarkStart w:id="118" w:name="_Toc8684"/>
      <w:bookmarkEnd w:id="118"/>
      <w:bookmarkStart w:id="119" w:name="_Toc29505"/>
      <w:r>
        <w:rPr>
          <w:rFonts w:hint="eastAsia"/>
          <w:color w:val="auto"/>
          <w:highlight w:val="none"/>
        </w:rPr>
        <w:t>其他说明</w:t>
      </w:r>
      <w:bookmarkEnd w:id="119"/>
    </w:p>
    <w:p>
      <w:pPr>
        <w:spacing w:line="400" w:lineRule="exact"/>
        <w:ind w:left="420"/>
        <w:jc w:val="center"/>
        <w:rPr>
          <w:color w:val="auto"/>
          <w:sz w:val="24"/>
          <w:highlight w:val="none"/>
        </w:rPr>
      </w:pPr>
      <w:r>
        <w:rPr>
          <w:rFonts w:hint="eastAsia"/>
          <w:color w:val="auto"/>
          <w:sz w:val="24"/>
          <w:highlight w:val="none"/>
        </w:rPr>
        <w:t>（如有另册）</w:t>
      </w:r>
    </w:p>
    <w:p>
      <w:pPr>
        <w:spacing w:line="400" w:lineRule="exact"/>
        <w:jc w:val="center"/>
        <w:rPr>
          <w:color w:val="auto"/>
          <w:sz w:val="24"/>
          <w:highlight w:val="none"/>
        </w:rPr>
      </w:pPr>
    </w:p>
    <w:p>
      <w:pPr>
        <w:pStyle w:val="3"/>
        <w:numPr>
          <w:ilvl w:val="0"/>
          <w:numId w:val="1"/>
        </w:numPr>
        <w:spacing w:line="400" w:lineRule="exact"/>
        <w:jc w:val="center"/>
        <w:rPr>
          <w:color w:val="auto"/>
          <w:highlight w:val="none"/>
        </w:rPr>
      </w:pPr>
      <w:bookmarkStart w:id="120" w:name="_Toc21787750"/>
      <w:bookmarkEnd w:id="120"/>
      <w:bookmarkStart w:id="121" w:name="_Toc32297"/>
      <w:bookmarkEnd w:id="121"/>
      <w:bookmarkStart w:id="122" w:name="_Toc24917"/>
      <w:r>
        <w:rPr>
          <w:rFonts w:hint="eastAsia"/>
          <w:color w:val="auto"/>
          <w:highlight w:val="none"/>
        </w:rPr>
        <w:t>工程量清单</w:t>
      </w:r>
      <w:bookmarkEnd w:id="122"/>
    </w:p>
    <w:p>
      <w:pPr>
        <w:spacing w:line="400" w:lineRule="exact"/>
        <w:ind w:left="420"/>
        <w:jc w:val="center"/>
        <w:rPr>
          <w:color w:val="auto"/>
          <w:sz w:val="24"/>
          <w:highlight w:val="none"/>
        </w:rPr>
      </w:pPr>
      <w:r>
        <w:rPr>
          <w:rFonts w:hint="eastAsia"/>
          <w:color w:val="auto"/>
          <w:sz w:val="24"/>
          <w:highlight w:val="none"/>
        </w:rPr>
        <w:t>（另册）</w:t>
      </w:r>
    </w:p>
    <w:p>
      <w:pPr>
        <w:spacing w:line="400" w:lineRule="exact"/>
        <w:jc w:val="left"/>
        <w:rPr>
          <w:color w:val="auto"/>
          <w:sz w:val="24"/>
          <w:highlight w:val="none"/>
        </w:rPr>
      </w:pPr>
    </w:p>
    <w:p>
      <w:pPr>
        <w:spacing w:line="400" w:lineRule="exact"/>
        <w:jc w:val="left"/>
        <w:rPr>
          <w:color w:val="auto"/>
          <w:sz w:val="24"/>
          <w:highlight w:val="none"/>
        </w:rPr>
      </w:pPr>
    </w:p>
    <w:p>
      <w:pPr>
        <w:spacing w:line="400" w:lineRule="exact"/>
        <w:jc w:val="left"/>
        <w:rPr>
          <w:color w:val="auto"/>
          <w:sz w:val="24"/>
          <w:highlight w:val="none"/>
        </w:rPr>
      </w:pPr>
    </w:p>
    <w:p>
      <w:pPr>
        <w:pStyle w:val="2"/>
        <w:spacing w:line="400" w:lineRule="exact"/>
        <w:jc w:val="center"/>
        <w:rPr>
          <w:color w:val="auto"/>
          <w:sz w:val="24"/>
          <w:highlight w:val="none"/>
        </w:rPr>
      </w:pPr>
      <w:bookmarkStart w:id="123" w:name="_Toc21787756"/>
      <w:bookmarkEnd w:id="123"/>
      <w:r>
        <w:rPr>
          <w:color w:val="auto"/>
          <w:sz w:val="24"/>
          <w:highlight w:val="none"/>
        </w:rPr>
        <w:br w:type="page"/>
      </w:r>
      <w:bookmarkStart w:id="124" w:name="_Toc14621"/>
      <w:r>
        <w:rPr>
          <w:rFonts w:hint="eastAsia"/>
          <w:color w:val="auto"/>
          <w:highlight w:val="none"/>
        </w:rPr>
        <w:t>第六章图纸及勘察资料</w:t>
      </w:r>
      <w:bookmarkEnd w:id="124"/>
    </w:p>
    <w:p>
      <w:pPr>
        <w:spacing w:line="400" w:lineRule="exact"/>
        <w:jc w:val="left"/>
        <w:rPr>
          <w:color w:val="auto"/>
          <w:sz w:val="24"/>
          <w:highlight w:val="none"/>
        </w:rPr>
      </w:pPr>
      <w:r>
        <w:rPr>
          <w:rFonts w:hint="eastAsia" w:ascii="宋体" w:hAnsi="宋体"/>
          <w:color w:val="auto"/>
          <w:szCs w:val="21"/>
          <w:highlight w:val="none"/>
        </w:rPr>
        <w:t>本章由招标人自行制定，另册。</w:t>
      </w:r>
    </w:p>
    <w:p>
      <w:pPr>
        <w:spacing w:line="400" w:lineRule="exact"/>
        <w:jc w:val="left"/>
        <w:rPr>
          <w:color w:val="auto"/>
          <w:sz w:val="24"/>
          <w:highlight w:val="none"/>
        </w:rPr>
      </w:pPr>
    </w:p>
    <w:p>
      <w:pPr>
        <w:pStyle w:val="2"/>
        <w:spacing w:line="400" w:lineRule="exact"/>
        <w:jc w:val="center"/>
        <w:rPr>
          <w:color w:val="auto"/>
          <w:sz w:val="24"/>
          <w:highlight w:val="none"/>
        </w:rPr>
      </w:pPr>
      <w:bookmarkStart w:id="125" w:name="_Toc21787757"/>
      <w:bookmarkEnd w:id="125"/>
      <w:r>
        <w:rPr>
          <w:color w:val="auto"/>
          <w:sz w:val="24"/>
          <w:highlight w:val="none"/>
        </w:rPr>
        <w:br w:type="page"/>
      </w:r>
      <w:bookmarkStart w:id="126" w:name="_Toc30828"/>
      <w:r>
        <w:rPr>
          <w:rFonts w:hint="eastAsia"/>
          <w:color w:val="auto"/>
          <w:highlight w:val="none"/>
        </w:rPr>
        <w:t>第七章技术标准和要求</w:t>
      </w:r>
      <w:bookmarkEnd w:id="126"/>
    </w:p>
    <w:p>
      <w:pPr>
        <w:spacing w:line="400" w:lineRule="exact"/>
        <w:jc w:val="left"/>
        <w:rPr>
          <w:rFonts w:ascii="宋体" w:hAnsi="宋体"/>
          <w:color w:val="auto"/>
          <w:sz w:val="24"/>
          <w:highlight w:val="none"/>
        </w:rPr>
      </w:pPr>
    </w:p>
    <w:p>
      <w:pPr>
        <w:pStyle w:val="2"/>
        <w:spacing w:line="400" w:lineRule="exact"/>
        <w:jc w:val="center"/>
        <w:rPr>
          <w:color w:val="auto"/>
          <w:sz w:val="24"/>
          <w:highlight w:val="none"/>
        </w:rPr>
      </w:pPr>
      <w:bookmarkStart w:id="127" w:name="_Toc21787758"/>
      <w:bookmarkEnd w:id="127"/>
      <w:r>
        <w:rPr>
          <w:rFonts w:hint="eastAsia"/>
          <w:color w:val="auto"/>
          <w:kern w:val="0"/>
          <w:sz w:val="44"/>
          <w:highlight w:val="none"/>
          <w:lang w:val="zh-CN"/>
        </w:rPr>
        <w:br w:type="page"/>
      </w:r>
      <w:bookmarkStart w:id="128" w:name="_Toc8318"/>
      <w:r>
        <w:rPr>
          <w:rFonts w:hint="eastAsia"/>
          <w:color w:val="auto"/>
          <w:highlight w:val="none"/>
        </w:rPr>
        <w:t>第八章投标文件格式</w:t>
      </w:r>
      <w:bookmarkEnd w:id="12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《投标函附录》内容按以下表述填写。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投标总工期：“＿日历天”或“按招标文件的要求”；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工程质量标准：“按招标文件的要求”；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保修期限： “按《建设工程质量管理条例》规定”。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1.3工程量清单报价表</w:t>
      </w:r>
      <w:r>
        <w:rPr>
          <w:color w:val="auto"/>
          <w:sz w:val="24"/>
          <w:szCs w:val="24"/>
          <w:highlight w:val="none"/>
        </w:rPr>
        <w:t>工程量清单报价表应使用符合广东省标准《建设工程政府投资项目造价数据标准（DBJ/T15-145-2018）》及后续版本的有关规定</w:t>
      </w:r>
      <w:r>
        <w:rPr>
          <w:rFonts w:hint="eastAsia" w:ascii="宋体" w:hAnsi="宋体"/>
          <w:color w:val="auto"/>
          <w:sz w:val="24"/>
          <w:szCs w:val="24"/>
          <w:highlight w:val="none"/>
        </w:rPr>
        <w:t>的</w:t>
      </w:r>
      <w:r>
        <w:rPr>
          <w:rFonts w:ascii="宋体" w:hAnsi="宋体"/>
          <w:color w:val="auto"/>
          <w:sz w:val="24"/>
          <w:szCs w:val="24"/>
          <w:highlight w:val="none"/>
        </w:rPr>
        <w:t>cos</w:t>
      </w:r>
      <w:r>
        <w:rPr>
          <w:rFonts w:hint="eastAsia" w:ascii="宋体" w:hAnsi="宋体"/>
          <w:color w:val="auto"/>
          <w:sz w:val="24"/>
          <w:szCs w:val="24"/>
          <w:highlight w:val="none"/>
        </w:rPr>
        <w:t>文件</w:t>
      </w:r>
      <w:r>
        <w:rPr>
          <w:rFonts w:hint="eastAsia"/>
          <w:color w:val="auto"/>
          <w:sz w:val="24"/>
          <w:szCs w:val="24"/>
          <w:highlight w:val="none"/>
        </w:rPr>
        <w:t>或者投标文件编制工具要求的文件格式，</w:t>
      </w:r>
      <w:r>
        <w:rPr>
          <w:rFonts w:hint="eastAsia" w:ascii="宋体" w:hAnsi="宋体"/>
          <w:color w:val="auto"/>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投标人为联合体投标时，应按以下规定填写。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1.4.1投标人在广州公共资源交易中心信息登记时，必须将联合体的所有成员单位的全称填写完整。</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1.4.2投标人在编制工程量清单时应只填写主体单位全称，且要求填写的全称与广州公共资源交易中心登记名称完全一致。</w:t>
      </w:r>
    </w:p>
    <w:p>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1.5投标文件中要求盖单位章的，均以盖电子签章为准。要求规定法定代表人或授权委托人、项目负责人和技术负责人签字或盖章的页面必须签字或盖章。签字必须由本人在规定页面手写签名或签章后扫描上传。</w:t>
      </w:r>
    </w:p>
    <w:p>
      <w:pPr>
        <w:spacing w:line="400" w:lineRule="exact"/>
        <w:jc w:val="left"/>
        <w:rPr>
          <w:color w:val="auto"/>
          <w:sz w:val="24"/>
          <w:highlight w:val="none"/>
        </w:rPr>
      </w:pPr>
      <w:r>
        <w:rPr>
          <w:color w:val="auto"/>
          <w:sz w:val="24"/>
          <w:highlight w:val="none"/>
        </w:rPr>
        <w:br w:type="page"/>
      </w:r>
    </w:p>
    <w:p>
      <w:pPr>
        <w:spacing w:line="400" w:lineRule="exact"/>
        <w:rPr>
          <w:color w:val="auto"/>
          <w:sz w:val="35"/>
          <w:szCs w:val="35"/>
          <w:highlight w:val="none"/>
        </w:rPr>
      </w:pPr>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p>
    <w:p>
      <w:pPr>
        <w:spacing w:line="400" w:lineRule="exact"/>
        <w:ind w:firstLine="2970" w:firstLineChars="1100"/>
        <w:rPr>
          <w:rFonts w:eastAsia="黑体"/>
          <w:color w:val="auto"/>
          <w:sz w:val="19"/>
          <w:szCs w:val="19"/>
          <w:highlight w:val="none"/>
        </w:rPr>
      </w:pPr>
      <w:r>
        <w:rPr>
          <w:rFonts w:hint="eastAsia" w:eastAsia="黑体"/>
          <w:color w:val="auto"/>
          <w:sz w:val="27"/>
          <w:szCs w:val="27"/>
          <w:highlight w:val="none"/>
          <w:u w:val="single"/>
        </w:rPr>
        <w:t xml:space="preserve">                         </w:t>
      </w:r>
      <w:r>
        <w:rPr>
          <w:rFonts w:hint="eastAsia" w:eastAsia="黑体"/>
          <w:color w:val="auto"/>
          <w:sz w:val="27"/>
          <w:szCs w:val="27"/>
          <w:highlight w:val="none"/>
        </w:rPr>
        <w:t>（项目名称）</w:t>
      </w:r>
    </w:p>
    <w:p>
      <w:pPr>
        <w:spacing w:line="400" w:lineRule="exact"/>
        <w:rPr>
          <w:rFonts w:eastAsia="黑体"/>
          <w:color w:val="auto"/>
          <w:sz w:val="19"/>
          <w:szCs w:val="19"/>
          <w:highlight w:val="none"/>
        </w:rPr>
      </w:pPr>
    </w:p>
    <w:p>
      <w:pPr>
        <w:spacing w:line="400" w:lineRule="exact"/>
        <w:jc w:val="center"/>
        <w:rPr>
          <w:rFonts w:eastAsia="黑体"/>
          <w:color w:val="auto"/>
          <w:sz w:val="42"/>
          <w:szCs w:val="42"/>
          <w:highlight w:val="none"/>
        </w:rPr>
      </w:pPr>
      <w:r>
        <w:rPr>
          <w:rFonts w:eastAsia="黑体"/>
          <w:color w:val="auto"/>
          <w:sz w:val="42"/>
          <w:szCs w:val="42"/>
          <w:highlight w:val="none"/>
        </w:rPr>
        <w:t>投标文件</w:t>
      </w: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rPr>
          <w:rFonts w:eastAsia="黑体"/>
          <w:color w:val="auto"/>
          <w:sz w:val="27"/>
          <w:szCs w:val="27"/>
          <w:highlight w:val="none"/>
        </w:rPr>
      </w:pPr>
    </w:p>
    <w:p>
      <w:pPr>
        <w:spacing w:line="400" w:lineRule="exact"/>
        <w:jc w:val="center"/>
        <w:rPr>
          <w:rFonts w:eastAsia="黑体"/>
          <w:color w:val="auto"/>
          <w:sz w:val="27"/>
          <w:szCs w:val="27"/>
          <w:highlight w:val="none"/>
        </w:rPr>
      </w:pPr>
      <w:r>
        <w:rPr>
          <w:rFonts w:eastAsia="黑体"/>
          <w:color w:val="auto"/>
          <w:sz w:val="27"/>
          <w:szCs w:val="27"/>
          <w:highlight w:val="none"/>
        </w:rPr>
        <w:t>投标人：</w:t>
      </w:r>
      <w:r>
        <w:rPr>
          <w:rFonts w:hint="eastAsia" w:eastAsia="黑体"/>
          <w:color w:val="auto"/>
          <w:sz w:val="27"/>
          <w:szCs w:val="27"/>
          <w:highlight w:val="none"/>
          <w:u w:val="single"/>
        </w:rPr>
        <w:t xml:space="preserve">                 </w:t>
      </w:r>
      <w:r>
        <w:rPr>
          <w:rFonts w:eastAsia="黑体"/>
          <w:color w:val="auto"/>
          <w:sz w:val="27"/>
          <w:szCs w:val="27"/>
          <w:highlight w:val="none"/>
        </w:rPr>
        <w:t>（盖单位章）</w:t>
      </w:r>
    </w:p>
    <w:p>
      <w:pPr>
        <w:spacing w:line="400" w:lineRule="exact"/>
        <w:jc w:val="center"/>
        <w:rPr>
          <w:rFonts w:eastAsia="黑体"/>
          <w:color w:val="auto"/>
          <w:sz w:val="27"/>
          <w:szCs w:val="27"/>
          <w:highlight w:val="none"/>
          <w:u w:val="single"/>
        </w:rPr>
      </w:pPr>
    </w:p>
    <w:p>
      <w:pPr>
        <w:spacing w:line="400" w:lineRule="exact"/>
        <w:jc w:val="center"/>
        <w:rPr>
          <w:rFonts w:eastAsia="黑体"/>
          <w:color w:val="auto"/>
          <w:sz w:val="27"/>
          <w:szCs w:val="27"/>
          <w:highlight w:val="none"/>
        </w:rPr>
      </w:pPr>
      <w:bookmarkStart w:id="129" w:name="_Toc359263272"/>
      <w:bookmarkEnd w:id="129"/>
      <w:r>
        <w:rPr>
          <w:rFonts w:hint="eastAsia" w:eastAsia="黑体"/>
          <w:color w:val="auto"/>
          <w:sz w:val="27"/>
          <w:szCs w:val="27"/>
          <w:highlight w:val="none"/>
          <w:u w:val="single"/>
        </w:rPr>
        <w:t xml:space="preserve">      </w:t>
      </w:r>
      <w:r>
        <w:rPr>
          <w:rFonts w:eastAsia="黑体"/>
          <w:color w:val="auto"/>
          <w:sz w:val="27"/>
          <w:szCs w:val="27"/>
          <w:highlight w:val="none"/>
        </w:rPr>
        <w:t>年</w:t>
      </w:r>
      <w:r>
        <w:rPr>
          <w:rFonts w:hint="eastAsia" w:eastAsia="黑体"/>
          <w:color w:val="auto"/>
          <w:sz w:val="27"/>
          <w:szCs w:val="27"/>
          <w:highlight w:val="none"/>
          <w:u w:val="single"/>
        </w:rPr>
        <w:t xml:space="preserve">     </w:t>
      </w:r>
      <w:r>
        <w:rPr>
          <w:rFonts w:eastAsia="黑体"/>
          <w:color w:val="auto"/>
          <w:sz w:val="27"/>
          <w:szCs w:val="27"/>
          <w:highlight w:val="none"/>
        </w:rPr>
        <w:t>月</w:t>
      </w:r>
      <w:r>
        <w:rPr>
          <w:rFonts w:hint="eastAsia" w:eastAsia="黑体"/>
          <w:color w:val="auto"/>
          <w:sz w:val="27"/>
          <w:szCs w:val="27"/>
          <w:highlight w:val="none"/>
          <w:u w:val="single"/>
        </w:rPr>
        <w:t xml:space="preserve">     </w:t>
      </w:r>
      <w:r>
        <w:rPr>
          <w:rFonts w:eastAsia="黑体"/>
          <w:color w:val="auto"/>
          <w:sz w:val="27"/>
          <w:szCs w:val="27"/>
          <w:highlight w:val="none"/>
        </w:rPr>
        <w:t>日</w:t>
      </w:r>
    </w:p>
    <w:p>
      <w:pPr>
        <w:spacing w:line="400" w:lineRule="exact"/>
        <w:jc w:val="center"/>
        <w:rPr>
          <w:rFonts w:eastAsia="黑体"/>
          <w:color w:val="auto"/>
          <w:sz w:val="27"/>
          <w:szCs w:val="27"/>
          <w:highlight w:val="none"/>
        </w:rPr>
      </w:pPr>
    </w:p>
    <w:p>
      <w:pPr>
        <w:pStyle w:val="3"/>
        <w:numPr>
          <w:ilvl w:val="0"/>
          <w:numId w:val="0"/>
        </w:numPr>
        <w:spacing w:line="400" w:lineRule="exact"/>
        <w:rPr>
          <w:color w:val="auto"/>
          <w:sz w:val="27"/>
          <w:szCs w:val="27"/>
          <w:highlight w:val="none"/>
        </w:rPr>
      </w:pPr>
      <w:bookmarkStart w:id="130" w:name="_Toc5000"/>
      <w:bookmarkEnd w:id="130"/>
      <w:bookmarkStart w:id="131" w:name="_Toc2172"/>
      <w:r>
        <w:rPr>
          <w:color w:val="auto"/>
          <w:sz w:val="27"/>
          <w:szCs w:val="27"/>
          <w:highlight w:val="none"/>
        </w:rPr>
        <w:br w:type="column"/>
      </w:r>
      <w:bookmarkEnd w:id="131"/>
    </w:p>
    <w:p>
      <w:pPr>
        <w:spacing w:line="400" w:lineRule="exact"/>
        <w:jc w:val="center"/>
        <w:outlineLvl w:val="2"/>
        <w:rPr>
          <w:rFonts w:ascii="黑体" w:hAnsi="黑体" w:eastAsia="黑体"/>
          <w:color w:val="auto"/>
          <w:sz w:val="28"/>
          <w:szCs w:val="27"/>
          <w:highlight w:val="none"/>
        </w:rPr>
      </w:pPr>
      <w:bookmarkStart w:id="132" w:name="_Toc21787760"/>
      <w:bookmarkEnd w:id="132"/>
      <w:bookmarkStart w:id="133" w:name="_Toc30829"/>
      <w:bookmarkEnd w:id="133"/>
      <w:bookmarkStart w:id="134" w:name="_Toc296602591"/>
      <w:bookmarkEnd w:id="134"/>
      <w:bookmarkStart w:id="135" w:name="_Toc359263273"/>
      <w:bookmarkEnd w:id="135"/>
      <w:bookmarkStart w:id="136" w:name="_Toc14679"/>
      <w:r>
        <w:rPr>
          <w:rFonts w:hint="eastAsia" w:ascii="黑体" w:hAnsi="黑体" w:eastAsia="黑体"/>
          <w:color w:val="auto"/>
          <w:sz w:val="28"/>
          <w:szCs w:val="27"/>
          <w:highlight w:val="none"/>
        </w:rPr>
        <w:t>目   录</w:t>
      </w:r>
      <w:r>
        <w:rPr>
          <w:rFonts w:hint="eastAsia" w:ascii="华文宋体" w:hAnsi="华文宋体" w:eastAsia="华文宋体"/>
          <w:color w:val="auto"/>
          <w:szCs w:val="21"/>
          <w:highlight w:val="none"/>
        </w:rPr>
        <w:t>（可加上二级目录）</w:t>
      </w:r>
      <w:bookmarkEnd w:id="136"/>
    </w:p>
    <w:p>
      <w:pPr>
        <w:spacing w:line="400" w:lineRule="exact"/>
        <w:rPr>
          <w:color w:val="auto"/>
          <w:sz w:val="20"/>
          <w:szCs w:val="20"/>
          <w:highlight w:val="none"/>
        </w:rPr>
      </w:pPr>
    </w:p>
    <w:p>
      <w:pPr>
        <w:spacing w:line="400" w:lineRule="exact"/>
        <w:rPr>
          <w:rFonts w:ascii="黑体" w:eastAsia="黑体"/>
          <w:color w:val="auto"/>
          <w:sz w:val="27"/>
          <w:szCs w:val="27"/>
          <w:highlight w:val="none"/>
          <w:u w:val="single"/>
        </w:rPr>
      </w:pPr>
      <w:r>
        <w:rPr>
          <w:rFonts w:hint="eastAsia" w:ascii="黑体" w:eastAsia="黑体"/>
          <w:color w:val="auto"/>
          <w:sz w:val="27"/>
          <w:szCs w:val="27"/>
          <w:highlight w:val="none"/>
          <w:u w:val="single"/>
        </w:rPr>
        <w:t>一、投标函及投标函附录</w:t>
      </w:r>
    </w:p>
    <w:p>
      <w:pPr>
        <w:spacing w:line="400" w:lineRule="exact"/>
        <w:rPr>
          <w:rFonts w:ascii="黑体" w:eastAsia="黑体"/>
          <w:color w:val="auto"/>
          <w:sz w:val="27"/>
          <w:szCs w:val="27"/>
          <w:highlight w:val="none"/>
          <w:u w:val="single"/>
        </w:rPr>
      </w:pPr>
      <w:bookmarkStart w:id="137" w:name="_Toc359263274"/>
      <w:bookmarkEnd w:id="137"/>
      <w:r>
        <w:rPr>
          <w:rFonts w:hint="eastAsia" w:ascii="黑体" w:eastAsia="黑体"/>
          <w:color w:val="auto"/>
          <w:sz w:val="27"/>
          <w:szCs w:val="27"/>
          <w:highlight w:val="none"/>
          <w:u w:val="single"/>
        </w:rPr>
        <w:t>二、法定代表人身份证明</w:t>
      </w:r>
    </w:p>
    <w:p>
      <w:pPr>
        <w:spacing w:line="400" w:lineRule="exact"/>
        <w:rPr>
          <w:rFonts w:ascii="黑体" w:eastAsia="黑体"/>
          <w:color w:val="auto"/>
          <w:sz w:val="27"/>
          <w:szCs w:val="27"/>
          <w:highlight w:val="none"/>
          <w:u w:val="single"/>
        </w:rPr>
      </w:pPr>
      <w:r>
        <w:rPr>
          <w:rFonts w:hint="eastAsia" w:ascii="黑体" w:eastAsia="黑体"/>
          <w:color w:val="auto"/>
          <w:sz w:val="27"/>
          <w:szCs w:val="27"/>
          <w:highlight w:val="none"/>
          <w:u w:val="single"/>
        </w:rPr>
        <w:t>三、授权委托书</w:t>
      </w:r>
    </w:p>
    <w:p>
      <w:pPr>
        <w:spacing w:line="400" w:lineRule="exact"/>
        <w:rPr>
          <w:rFonts w:ascii="黑体" w:eastAsia="黑体"/>
          <w:color w:val="auto"/>
          <w:sz w:val="27"/>
          <w:szCs w:val="27"/>
          <w:highlight w:val="none"/>
          <w:u w:val="single"/>
        </w:rPr>
      </w:pPr>
      <w:r>
        <w:rPr>
          <w:rFonts w:hint="eastAsia" w:ascii="黑体" w:eastAsia="黑体"/>
          <w:color w:val="auto"/>
          <w:sz w:val="27"/>
          <w:szCs w:val="27"/>
          <w:highlight w:val="none"/>
          <w:u w:val="single"/>
        </w:rPr>
        <w:t>四、已标价工程量清单</w:t>
      </w:r>
    </w:p>
    <w:p>
      <w:pPr>
        <w:spacing w:line="400" w:lineRule="exact"/>
        <w:rPr>
          <w:rFonts w:ascii="黑体" w:eastAsia="黑体"/>
          <w:color w:val="auto"/>
          <w:sz w:val="27"/>
          <w:szCs w:val="27"/>
          <w:highlight w:val="none"/>
          <w:u w:val="single"/>
        </w:rPr>
      </w:pPr>
      <w:r>
        <w:rPr>
          <w:rFonts w:hint="eastAsia" w:ascii="黑体" w:eastAsia="黑体"/>
          <w:color w:val="auto"/>
          <w:sz w:val="27"/>
          <w:szCs w:val="27"/>
          <w:highlight w:val="none"/>
          <w:u w:val="single"/>
        </w:rPr>
        <w:t>五、施工组织设计</w:t>
      </w:r>
    </w:p>
    <w:p>
      <w:pPr>
        <w:spacing w:line="400" w:lineRule="exact"/>
        <w:rPr>
          <w:color w:val="auto"/>
          <w:highlight w:val="none"/>
          <w:u w:val="single"/>
        </w:rPr>
      </w:pPr>
      <w:r>
        <w:rPr>
          <w:rFonts w:hint="eastAsia" w:ascii="黑体" w:eastAsia="黑体"/>
          <w:color w:val="auto"/>
          <w:sz w:val="27"/>
          <w:szCs w:val="27"/>
          <w:highlight w:val="none"/>
          <w:u w:val="single"/>
        </w:rPr>
        <w:t>六、项目管理机构</w:t>
      </w:r>
    </w:p>
    <w:p>
      <w:pPr>
        <w:spacing w:line="400" w:lineRule="exact"/>
        <w:rPr>
          <w:rFonts w:ascii="黑体" w:eastAsia="黑体"/>
          <w:color w:val="auto"/>
          <w:sz w:val="27"/>
          <w:szCs w:val="27"/>
          <w:highlight w:val="none"/>
          <w:u w:val="single"/>
        </w:rPr>
      </w:pPr>
      <w:r>
        <w:rPr>
          <w:rFonts w:hint="eastAsia" w:ascii="黑体" w:eastAsia="黑体"/>
          <w:color w:val="auto"/>
          <w:sz w:val="27"/>
          <w:szCs w:val="27"/>
          <w:highlight w:val="none"/>
          <w:u w:val="single"/>
        </w:rPr>
        <w:t>七、资格审查资料</w:t>
      </w:r>
    </w:p>
    <w:p>
      <w:pPr>
        <w:spacing w:line="400" w:lineRule="exact"/>
        <w:rPr>
          <w:rFonts w:ascii="黑体" w:eastAsia="黑体"/>
          <w:color w:val="auto"/>
          <w:sz w:val="27"/>
          <w:szCs w:val="27"/>
          <w:highlight w:val="none"/>
          <w:u w:val="single"/>
        </w:rPr>
      </w:pPr>
      <w:r>
        <w:rPr>
          <w:rFonts w:hint="eastAsia" w:ascii="黑体" w:eastAsia="黑体"/>
          <w:color w:val="auto"/>
          <w:sz w:val="27"/>
          <w:szCs w:val="27"/>
          <w:highlight w:val="none"/>
          <w:u w:val="single"/>
        </w:rPr>
        <w:t>八、其他应提交的材料</w:t>
      </w:r>
    </w:p>
    <w:p>
      <w:pPr>
        <w:spacing w:line="480" w:lineRule="auto"/>
        <w:jc w:val="center"/>
        <w:outlineLvl w:val="2"/>
        <w:rPr>
          <w:rFonts w:ascii="黑体" w:hAnsi="黑体" w:eastAsia="黑体"/>
          <w:color w:val="auto"/>
          <w:sz w:val="28"/>
          <w:szCs w:val="27"/>
          <w:highlight w:val="none"/>
        </w:rPr>
      </w:pPr>
      <w:bookmarkStart w:id="138" w:name="_Toc21787761"/>
      <w:bookmarkEnd w:id="138"/>
      <w:bookmarkStart w:id="139" w:name="_Toc14049"/>
      <w:bookmarkEnd w:id="139"/>
      <w:bookmarkStart w:id="140" w:name="_Toc221951911"/>
      <w:r>
        <w:rPr>
          <w:color w:val="auto"/>
          <w:sz w:val="24"/>
          <w:highlight w:val="none"/>
        </w:rPr>
        <w:br w:type="page"/>
      </w:r>
      <w:bookmarkStart w:id="141" w:name="_Toc4086"/>
      <w:r>
        <w:rPr>
          <w:rFonts w:ascii="黑体" w:hAnsi="黑体" w:eastAsia="黑体"/>
          <w:color w:val="auto"/>
          <w:sz w:val="28"/>
          <w:szCs w:val="27"/>
          <w:highlight w:val="none"/>
        </w:rPr>
        <w:t>一、投标函及投标函附录</w:t>
      </w:r>
      <w:bookmarkEnd w:id="141"/>
    </w:p>
    <w:bookmarkEnd w:id="140"/>
    <w:p>
      <w:pPr>
        <w:spacing w:line="400" w:lineRule="exact"/>
        <w:outlineLvl w:val="3"/>
        <w:rPr>
          <w:rFonts w:ascii="宋体" w:hAnsi="宋体"/>
          <w:b/>
          <w:color w:val="auto"/>
          <w:sz w:val="24"/>
          <w:szCs w:val="31"/>
          <w:highlight w:val="none"/>
        </w:rPr>
      </w:pPr>
      <w:bookmarkStart w:id="142" w:name="_Toc144974858"/>
      <w:bookmarkEnd w:id="142"/>
      <w:bookmarkStart w:id="143" w:name="_Toc168476319"/>
      <w:bookmarkEnd w:id="143"/>
      <w:bookmarkStart w:id="144" w:name="_Toc168475916"/>
      <w:bookmarkEnd w:id="144"/>
      <w:bookmarkStart w:id="145" w:name="_Toc221951927"/>
      <w:bookmarkEnd w:id="145"/>
      <w:r>
        <w:rPr>
          <w:rFonts w:ascii="宋体" w:hAnsi="宋体"/>
          <w:b/>
          <w:color w:val="auto"/>
          <w:sz w:val="24"/>
          <w:szCs w:val="31"/>
          <w:highlight w:val="none"/>
        </w:rPr>
        <w:t>（一）投标函</w:t>
      </w:r>
    </w:p>
    <w:p>
      <w:pPr>
        <w:spacing w:line="400" w:lineRule="exact"/>
        <w:rPr>
          <w:color w:val="auto"/>
          <w:sz w:val="19"/>
          <w:szCs w:val="19"/>
          <w:highlight w:val="none"/>
        </w:rPr>
      </w:pPr>
    </w:p>
    <w:p>
      <w:pPr>
        <w:spacing w:line="400" w:lineRule="exact"/>
        <w:rPr>
          <w:rFonts w:ascii="宋体" w:hAnsi="宋体"/>
          <w:color w:val="auto"/>
          <w:szCs w:val="21"/>
          <w:highlight w:val="none"/>
        </w:rPr>
      </w:pPr>
      <w:bookmarkStart w:id="146" w:name="_Toc221951928"/>
      <w:bookmarkEnd w:id="146"/>
      <w:r>
        <w:rPr>
          <w:rFonts w:ascii="宋体" w:hAnsi="宋体"/>
          <w:color w:val="auto"/>
          <w:szCs w:val="21"/>
          <w:highlight w:val="none"/>
        </w:rPr>
        <w:t>（</w:t>
      </w:r>
      <w:r>
        <w:rPr>
          <w:rFonts w:hint="eastAsia" w:ascii="宋体" w:hAnsi="宋体"/>
          <w:color w:val="auto"/>
          <w:szCs w:val="21"/>
          <w:highlight w:val="none"/>
        </w:rPr>
        <w:t>招标人名称</w:t>
      </w:r>
      <w:r>
        <w:rPr>
          <w:rFonts w:ascii="宋体" w:hAnsi="宋体"/>
          <w:color w:val="auto"/>
          <w:szCs w:val="21"/>
          <w:highlight w:val="none"/>
        </w:rPr>
        <w:t>）：</w:t>
      </w:r>
    </w:p>
    <w:p>
      <w:pPr>
        <w:spacing w:line="400" w:lineRule="exact"/>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bookmarkStart w:id="147" w:name="_Toc221951929"/>
      <w:r>
        <w:rPr>
          <w:rFonts w:hint="eastAsia" w:ascii="宋体" w:hAnsi="宋体"/>
          <w:color w:val="auto"/>
          <w:szCs w:val="21"/>
          <w:highlight w:val="none"/>
        </w:rPr>
        <w:t>1．我方已仔细研究了</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招标文件的全部内容，愿意以人民币（大写）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元）的投标总报价，工期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日历天，按合同约定实施和完成承包工程，修补工程中的任何缺陷，工程质量达到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2．我方承诺在投标有效期</w:t>
      </w:r>
      <w:r>
        <w:rPr>
          <w:rFonts w:hint="eastAsia" w:ascii="宋体" w:hAnsi="宋体"/>
          <w:color w:val="auto"/>
          <w:szCs w:val="21"/>
          <w:highlight w:val="none"/>
          <w:u w:val="single"/>
        </w:rPr>
        <w:t xml:space="preserve">        </w:t>
      </w:r>
      <w:r>
        <w:rPr>
          <w:rFonts w:hint="eastAsia" w:ascii="宋体" w:hAnsi="宋体"/>
          <w:color w:val="auto"/>
          <w:szCs w:val="21"/>
          <w:highlight w:val="none"/>
        </w:rPr>
        <w:t>天内不补充、修改、替代或撤回本投标文件。</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3．随同本投标函提交投标保证金一份，金额为人民币（大写）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4．如我方中标：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（1）我方承诺在收到中标通知书后，在中标通知书规定的期限内与你方签订合同。</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（2）随同本投标函递交的投标函附录属于合同文件的组成部分。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（3）我方承诺按照招标文件规定向你方递交履约担保。</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（4）我方承诺在合同约定的期限内完成并移交全部合同工程。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5．我方在此声明，所递交的投标文件及有关资料内容完整、真实和准确，且不存在第二章“投标人须知”第1.4.2和第1.4.3项规定的任何一种情形。</w:t>
      </w:r>
    </w:p>
    <w:bookmarkEnd w:id="147"/>
    <w:p>
      <w:pPr>
        <w:spacing w:line="400" w:lineRule="exac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（其他补充说明）</w:t>
      </w:r>
      <w:r>
        <w:rPr>
          <w:rFonts w:hint="eastAsia" w:ascii="宋体" w:hAnsi="宋体"/>
          <w:color w:val="auto"/>
          <w:szCs w:val="21"/>
          <w:highlight w:val="none"/>
        </w:rPr>
        <w:t>。</w:t>
      </w:r>
    </w:p>
    <w:p>
      <w:pPr>
        <w:spacing w:line="400" w:lineRule="exact"/>
        <w:ind w:firstLine="3675" w:firstLineChars="1750"/>
        <w:rPr>
          <w:rFonts w:ascii="宋体" w:hAnsi="宋体"/>
          <w:color w:val="auto"/>
          <w:szCs w:val="21"/>
          <w:highlight w:val="none"/>
        </w:rPr>
      </w:pPr>
      <w:bookmarkStart w:id="148" w:name="_Toc221951939"/>
      <w:bookmarkEnd w:id="148"/>
      <w:r>
        <w:rPr>
          <w:rFonts w:ascii="宋体" w:hAnsi="宋体"/>
          <w:color w:val="auto"/>
          <w:szCs w:val="21"/>
          <w:highlight w:val="none"/>
        </w:rPr>
        <w:t>投 标 人：</w:t>
      </w:r>
      <w:r>
        <w:rPr>
          <w:rFonts w:hint="eastAsia" w:ascii="宋体" w:hAnsi="宋体"/>
          <w:color w:val="auto"/>
          <w:szCs w:val="21"/>
          <w:highlight w:val="none"/>
          <w:u w:val="single"/>
        </w:rPr>
        <w:t xml:space="preserve">                     </w:t>
      </w:r>
      <w:r>
        <w:rPr>
          <w:rFonts w:ascii="宋体" w:hAnsi="宋体"/>
          <w:color w:val="auto"/>
          <w:szCs w:val="21"/>
          <w:highlight w:val="none"/>
        </w:rPr>
        <w:t>（盖单位章）</w:t>
      </w:r>
    </w:p>
    <w:p>
      <w:pPr>
        <w:spacing w:line="400" w:lineRule="exact"/>
        <w:ind w:firstLine="3675" w:firstLineChars="1750"/>
        <w:rPr>
          <w:rFonts w:ascii="宋体" w:hAnsi="宋体"/>
          <w:color w:val="auto"/>
          <w:szCs w:val="21"/>
          <w:highlight w:val="none"/>
          <w:u w:val="single"/>
        </w:rPr>
      </w:pPr>
      <w:bookmarkStart w:id="149" w:name="_Toc221951941"/>
      <w:bookmarkEnd w:id="149"/>
      <w:r>
        <w:rPr>
          <w:rFonts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u w:val="single"/>
        </w:rPr>
      </w:pPr>
      <w:r>
        <w:rPr>
          <w:rFonts w:ascii="宋体" w:hAnsi="宋体"/>
          <w:color w:val="auto"/>
          <w:szCs w:val="21"/>
          <w:highlight w:val="none"/>
        </w:rPr>
        <w:t>网址：</w:t>
      </w:r>
      <w:r>
        <w:rPr>
          <w:rFonts w:hint="eastAsia"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u w:val="single"/>
        </w:rPr>
      </w:pPr>
      <w:r>
        <w:rPr>
          <w:rFonts w:ascii="宋体" w:hAnsi="宋体"/>
          <w:color w:val="auto"/>
          <w:szCs w:val="21"/>
          <w:highlight w:val="none"/>
        </w:rPr>
        <w:t>电话：</w:t>
      </w:r>
      <w:r>
        <w:rPr>
          <w:rFonts w:hint="eastAsia"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u w:val="single"/>
        </w:rPr>
      </w:pPr>
      <w:bookmarkStart w:id="150" w:name="_Toc221951944"/>
      <w:bookmarkEnd w:id="150"/>
      <w:r>
        <w:rPr>
          <w:rFonts w:ascii="宋体" w:hAnsi="宋体"/>
          <w:color w:val="auto"/>
          <w:szCs w:val="21"/>
          <w:highlight w:val="none"/>
        </w:rPr>
        <w:t>传真：</w:t>
      </w:r>
      <w:r>
        <w:rPr>
          <w:rFonts w:hint="eastAsia"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rPr>
      </w:pPr>
      <w:bookmarkStart w:id="151" w:name="_Toc221951945"/>
      <w:bookmarkEnd w:id="151"/>
      <w:r>
        <w:rPr>
          <w:rFonts w:ascii="宋体" w:hAnsi="宋体"/>
          <w:color w:val="auto"/>
          <w:szCs w:val="21"/>
          <w:highlight w:val="none"/>
        </w:rPr>
        <w:t>邮政编码：</w:t>
      </w:r>
      <w:r>
        <w:rPr>
          <w:rFonts w:hint="eastAsia" w:ascii="宋体" w:hAnsi="宋体"/>
          <w:color w:val="auto"/>
          <w:szCs w:val="21"/>
          <w:highlight w:val="none"/>
          <w:u w:val="single"/>
        </w:rPr>
        <w:t xml:space="preserve">                     </w:t>
      </w:r>
    </w:p>
    <w:p>
      <w:pPr>
        <w:spacing w:line="400" w:lineRule="exact"/>
        <w:ind w:firstLine="4725" w:firstLineChars="2250"/>
        <w:jc w:val="right"/>
        <w:rPr>
          <w:rFonts w:ascii="宋体" w:hAnsi="宋体"/>
          <w:color w:val="auto"/>
          <w:szCs w:val="21"/>
          <w:highlight w:val="none"/>
        </w:rPr>
      </w:pPr>
      <w:r>
        <w:rPr>
          <w:rFonts w:ascii="宋体" w:hAnsi="宋体"/>
          <w:color w:val="auto"/>
          <w:szCs w:val="21"/>
          <w:highlight w:val="none"/>
          <w:u w:val="single"/>
        </w:rPr>
        <w:t>_____</w:t>
      </w:r>
      <w:r>
        <w:rPr>
          <w:rFonts w:ascii="宋体" w:hAnsi="宋体"/>
          <w:color w:val="auto"/>
          <w:szCs w:val="21"/>
          <w:highlight w:val="none"/>
        </w:rPr>
        <w:t>年</w:t>
      </w:r>
      <w:r>
        <w:rPr>
          <w:rFonts w:ascii="宋体" w:hAnsi="宋体"/>
          <w:color w:val="auto"/>
          <w:szCs w:val="21"/>
          <w:highlight w:val="none"/>
          <w:u w:val="single"/>
        </w:rPr>
        <w:t>____</w:t>
      </w:r>
      <w:r>
        <w:rPr>
          <w:rFonts w:ascii="宋体" w:hAnsi="宋体"/>
          <w:color w:val="auto"/>
          <w:szCs w:val="21"/>
          <w:highlight w:val="none"/>
        </w:rPr>
        <w:t>月__</w:t>
      </w:r>
      <w:r>
        <w:rPr>
          <w:rFonts w:ascii="宋体" w:hAnsi="宋体"/>
          <w:color w:val="auto"/>
          <w:szCs w:val="21"/>
          <w:highlight w:val="none"/>
          <w:u w:val="single"/>
        </w:rPr>
        <w:t>__</w:t>
      </w:r>
      <w:r>
        <w:rPr>
          <w:rFonts w:ascii="宋体" w:hAnsi="宋体"/>
          <w:color w:val="auto"/>
          <w:szCs w:val="21"/>
          <w:highlight w:val="none"/>
        </w:rPr>
        <w:t>日</w:t>
      </w:r>
    </w:p>
    <w:p>
      <w:pPr>
        <w:spacing w:line="400" w:lineRule="exact"/>
        <w:jc w:val="center"/>
        <w:rPr>
          <w:rFonts w:ascii="宋体" w:hAnsi="宋体"/>
          <w:color w:val="auto"/>
          <w:szCs w:val="21"/>
          <w:highlight w:val="none"/>
        </w:rPr>
      </w:pPr>
    </w:p>
    <w:p>
      <w:pPr>
        <w:pStyle w:val="17"/>
        <w:rPr>
          <w:color w:val="auto"/>
          <w:highlight w:val="none"/>
        </w:rPr>
      </w:pPr>
    </w:p>
    <w:p>
      <w:pPr>
        <w:rPr>
          <w:color w:val="auto"/>
          <w:highlight w:val="none"/>
        </w:rPr>
      </w:pPr>
    </w:p>
    <w:p>
      <w:pPr>
        <w:pStyle w:val="17"/>
        <w:rPr>
          <w:color w:val="auto"/>
          <w:highlight w:val="none"/>
        </w:rPr>
      </w:pPr>
    </w:p>
    <w:p>
      <w:pPr>
        <w:spacing w:line="400" w:lineRule="exact"/>
        <w:jc w:val="center"/>
        <w:rPr>
          <w:rFonts w:ascii="宋体" w:hAnsi="宋体"/>
          <w:color w:val="auto"/>
          <w:szCs w:val="21"/>
          <w:highlight w:val="none"/>
        </w:rPr>
      </w:pPr>
    </w:p>
    <w:p>
      <w:pPr>
        <w:pStyle w:val="17"/>
        <w:rPr>
          <w:color w:val="auto"/>
          <w:highlight w:val="none"/>
        </w:rPr>
      </w:pPr>
    </w:p>
    <w:p>
      <w:pPr>
        <w:rPr>
          <w:color w:val="auto"/>
          <w:highlight w:val="none"/>
        </w:rPr>
      </w:pPr>
    </w:p>
    <w:p>
      <w:pPr>
        <w:pStyle w:val="17"/>
        <w:rPr>
          <w:color w:val="auto"/>
          <w:highlight w:val="none"/>
        </w:rPr>
      </w:pPr>
    </w:p>
    <w:p>
      <w:pPr>
        <w:pStyle w:val="17"/>
        <w:rPr>
          <w:color w:val="auto"/>
          <w:highlight w:val="none"/>
        </w:rPr>
      </w:pPr>
    </w:p>
    <w:p>
      <w:pPr>
        <w:pStyle w:val="17"/>
        <w:rPr>
          <w:color w:val="auto"/>
          <w:highlight w:val="none"/>
        </w:rPr>
      </w:pPr>
    </w:p>
    <w:p>
      <w:pPr>
        <w:rPr>
          <w:color w:val="auto"/>
          <w:highlight w:val="none"/>
        </w:rPr>
      </w:pPr>
    </w:p>
    <w:p>
      <w:pPr>
        <w:spacing w:line="400" w:lineRule="exact"/>
        <w:rPr>
          <w:rFonts w:ascii="宋体" w:hAnsi="宋体" w:cs="宋体"/>
          <w:b/>
          <w:bCs/>
          <w:color w:val="auto"/>
          <w:sz w:val="36"/>
          <w:szCs w:val="36"/>
          <w:highlight w:val="none"/>
          <w:lang w:val="zh-CN"/>
        </w:rPr>
      </w:pPr>
      <w:bookmarkStart w:id="152" w:name="_Toc168475917"/>
      <w:bookmarkStart w:id="153" w:name="_Toc144974859"/>
      <w:bookmarkStart w:id="154" w:name="_Toc221951947"/>
      <w:bookmarkStart w:id="155" w:name="_Toc168476320"/>
      <w:r>
        <w:rPr>
          <w:rFonts w:ascii="宋体" w:hAnsi="宋体"/>
          <w:b/>
          <w:color w:val="auto"/>
          <w:sz w:val="24"/>
          <w:szCs w:val="31"/>
          <w:highlight w:val="none"/>
        </w:rPr>
        <w:t>（二）</w:t>
      </w:r>
      <w:r>
        <w:rPr>
          <w:rFonts w:ascii="黑体" w:hAnsi="黑体" w:eastAsia="黑体"/>
          <w:color w:val="auto"/>
          <w:sz w:val="28"/>
          <w:szCs w:val="27"/>
          <w:highlight w:val="none"/>
        </w:rPr>
        <w:t>投标函附录</w:t>
      </w:r>
      <w:r>
        <w:rPr>
          <w:rFonts w:hint="eastAsia" w:ascii="黑体" w:hAnsi="黑体" w:eastAsia="黑体"/>
          <w:color w:val="auto"/>
          <w:szCs w:val="21"/>
          <w:highlight w:val="none"/>
        </w:rPr>
        <w:t>（</w:t>
      </w:r>
      <w:r>
        <w:rPr>
          <w:rFonts w:hint="eastAsia" w:ascii="宋体" w:hAnsi="宋体"/>
          <w:color w:val="auto"/>
          <w:szCs w:val="21"/>
          <w:highlight w:val="none"/>
        </w:rPr>
        <w:t>适用于不采用综合评估法三的情形</w:t>
      </w:r>
      <w:r>
        <w:rPr>
          <w:rFonts w:hint="eastAsia" w:ascii="黑体" w:hAnsi="黑体" w:eastAsia="黑体"/>
          <w:color w:val="auto"/>
          <w:szCs w:val="21"/>
          <w:highlight w:val="none"/>
        </w:rPr>
        <w:t>）</w:t>
      </w:r>
    </w:p>
    <w:p>
      <w:pPr>
        <w:autoSpaceDE w:val="0"/>
        <w:autoSpaceDN w:val="0"/>
        <w:adjustRightInd w:val="0"/>
        <w:jc w:val="center"/>
        <w:rPr>
          <w:rFonts w:ascii="宋体" w:hAnsi="宋体"/>
          <w:bCs/>
          <w:color w:val="auto"/>
          <w:sz w:val="52"/>
          <w:szCs w:val="52"/>
          <w:highlight w:val="none"/>
        </w:rPr>
      </w:pPr>
      <w:r>
        <w:rPr>
          <w:rFonts w:hint="eastAsia" w:ascii="宋体" w:hAnsi="宋体" w:cs="宋体"/>
          <w:color w:val="auto"/>
          <w:sz w:val="24"/>
          <w:szCs w:val="24"/>
          <w:highlight w:val="none"/>
          <w:lang w:val="zh-CN"/>
        </w:rPr>
        <w:t>投标日期：   年  月  日</w:t>
      </w:r>
    </w:p>
    <w:tbl>
      <w:tblPr>
        <w:tblStyle w:val="42"/>
        <w:tblpPr w:leftFromText="180" w:rightFromText="180" w:vertAnchor="text" w:horzAnchor="margin"/>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color w:val="auto"/>
                <w:highlight w:val="none"/>
              </w:rPr>
              <w:t>绿色施工安全防护措施费</w:t>
            </w:r>
            <w:r>
              <w:rPr>
                <w:rFonts w:hint="eastAsia" w:ascii="宋体" w:hAnsi="宋体" w:cs="宋体"/>
                <w:bCs/>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0" w:firstLineChars="196"/>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建造师的注册编号或小型项目负责人的证书编号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35" w:firstLineChars="98"/>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委派的安全员</w:t>
            </w: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安全生产考核</w:t>
            </w:r>
          </w:p>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olor w:val="auto"/>
                <w:sz w:val="24"/>
                <w:szCs w:val="24"/>
                <w:highlight w:val="none"/>
              </w:rPr>
              <w:t>合格证（C类）编号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bl>
    <w:p>
      <w:pPr>
        <w:autoSpaceDE w:val="0"/>
        <w:autoSpaceDN w:val="0"/>
        <w:adjustRightInd w:val="0"/>
        <w:rPr>
          <w:rFonts w:ascii="宋体" w:hAnsi="宋体" w:cs="宋体"/>
          <w:color w:val="auto"/>
          <w:sz w:val="24"/>
          <w:szCs w:val="24"/>
          <w:highlight w:val="none"/>
          <w:lang w:val="zh-CN"/>
        </w:rPr>
      </w:pPr>
      <w:r>
        <w:rPr>
          <w:rFonts w:hint="eastAsia" w:ascii="宋体" w:hAnsi="宋体" w:cs="宋体"/>
          <w:color w:val="auto"/>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bookmarkEnd w:id="152"/>
    <w:bookmarkEnd w:id="153"/>
    <w:bookmarkEnd w:id="154"/>
    <w:bookmarkEnd w:id="155"/>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zh-CN"/>
        </w:rPr>
        <w:t>.本投标函附录由投标文件管理软件生成，投标人可直接在上面填写相关内容。</w:t>
      </w:r>
    </w:p>
    <w:p>
      <w:pPr>
        <w:spacing w:line="400" w:lineRule="exact"/>
        <w:jc w:val="center"/>
        <w:rPr>
          <w:rFonts w:eastAsia="黑体"/>
          <w:color w:val="auto"/>
          <w:sz w:val="19"/>
          <w:szCs w:val="19"/>
          <w:highlight w:val="none"/>
        </w:rPr>
      </w:pPr>
    </w:p>
    <w:p>
      <w:pPr>
        <w:spacing w:line="400" w:lineRule="exact"/>
        <w:rPr>
          <w:rFonts w:eastAsia="黑体"/>
          <w:color w:val="auto"/>
          <w:sz w:val="19"/>
          <w:szCs w:val="19"/>
          <w:highlight w:val="none"/>
        </w:rPr>
      </w:pPr>
    </w:p>
    <w:p>
      <w:pPr>
        <w:spacing w:line="400" w:lineRule="exact"/>
        <w:jc w:val="center"/>
        <w:rPr>
          <w:rFonts w:eastAsia="黑体"/>
          <w:color w:val="auto"/>
          <w:sz w:val="19"/>
          <w:szCs w:val="19"/>
          <w:highlight w:val="none"/>
        </w:rPr>
      </w:pPr>
    </w:p>
    <w:p>
      <w:pPr>
        <w:spacing w:line="400" w:lineRule="exact"/>
        <w:jc w:val="center"/>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2"/>
        <w:rPr>
          <w:rFonts w:ascii="黑体" w:hAnsi="黑体" w:eastAsia="黑体"/>
          <w:color w:val="auto"/>
          <w:sz w:val="28"/>
          <w:szCs w:val="27"/>
          <w:highlight w:val="none"/>
        </w:rPr>
      </w:pPr>
      <w:bookmarkStart w:id="156" w:name="_Toc30094"/>
      <w:bookmarkEnd w:id="156"/>
      <w:bookmarkStart w:id="157" w:name="_Toc21787762"/>
      <w:bookmarkEnd w:id="157"/>
      <w:bookmarkStart w:id="158" w:name="_Toc9592"/>
      <w:r>
        <w:rPr>
          <w:rFonts w:ascii="黑体" w:hAnsi="黑体" w:eastAsia="黑体"/>
          <w:color w:val="auto"/>
          <w:sz w:val="28"/>
          <w:szCs w:val="27"/>
          <w:highlight w:val="none"/>
        </w:rPr>
        <w:t>二、法定代表人身份证明</w:t>
      </w:r>
      <w:bookmarkEnd w:id="158"/>
    </w:p>
    <w:p>
      <w:pPr>
        <w:spacing w:line="400" w:lineRule="exact"/>
        <w:rPr>
          <w:color w:val="auto"/>
          <w:sz w:val="19"/>
          <w:szCs w:val="19"/>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u w:val="single"/>
        </w:rPr>
      </w:pPr>
      <w:r>
        <w:rPr>
          <w:rFonts w:ascii="宋体" w:hAnsi="宋体"/>
          <w:color w:val="auto"/>
          <w:szCs w:val="21"/>
          <w:highlight w:val="none"/>
        </w:rPr>
        <w:t>投标人名称：</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ascii="宋体" w:hAnsi="宋体"/>
          <w:color w:val="auto"/>
          <w:szCs w:val="21"/>
          <w:highlight w:val="none"/>
        </w:rPr>
        <w:t>单位性质：</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rPr>
      </w:pPr>
      <w:r>
        <w:rPr>
          <w:rFonts w:ascii="宋体" w:hAnsi="宋体"/>
          <w:color w:val="auto"/>
          <w:szCs w:val="21"/>
          <w:highlight w:val="none"/>
        </w:rPr>
        <w:t>成立时间：</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pPr>
        <w:spacing w:line="400" w:lineRule="exact"/>
        <w:rPr>
          <w:rFonts w:ascii="宋体" w:hAnsi="宋体"/>
          <w:color w:val="auto"/>
          <w:szCs w:val="21"/>
          <w:highlight w:val="none"/>
        </w:rPr>
      </w:pPr>
      <w:r>
        <w:rPr>
          <w:rFonts w:ascii="宋体" w:hAnsi="宋体"/>
          <w:color w:val="auto"/>
          <w:szCs w:val="21"/>
          <w:highlight w:val="none"/>
        </w:rPr>
        <w:t>经营期限：</w:t>
      </w:r>
    </w:p>
    <w:p>
      <w:pPr>
        <w:spacing w:line="400" w:lineRule="exact"/>
        <w:rPr>
          <w:rFonts w:ascii="宋体" w:hAnsi="宋体"/>
          <w:color w:val="auto"/>
          <w:szCs w:val="21"/>
          <w:highlight w:val="none"/>
        </w:rPr>
      </w:pPr>
      <w:bookmarkStart w:id="159" w:name="_Toc144974860"/>
      <w:bookmarkEnd w:id="159"/>
      <w:bookmarkStart w:id="160" w:name="_Toc168475918"/>
      <w:bookmarkEnd w:id="160"/>
      <w:bookmarkStart w:id="161" w:name="_Toc221952015"/>
      <w:bookmarkEnd w:id="161"/>
      <w:bookmarkStart w:id="162" w:name="_Toc359263282"/>
      <w:bookmarkEnd w:id="162"/>
      <w:bookmarkStart w:id="163" w:name="_Toc222032730"/>
      <w:bookmarkEnd w:id="163"/>
      <w:bookmarkStart w:id="164" w:name="_Toc229305421"/>
      <w:bookmarkEnd w:id="164"/>
      <w:bookmarkStart w:id="165" w:name="_Toc168476321"/>
      <w:bookmarkEnd w:id="165"/>
      <w:bookmarkStart w:id="166" w:name="_Toc221952013"/>
      <w:bookmarkEnd w:id="166"/>
      <w:bookmarkStart w:id="167" w:name="_Toc259524415"/>
      <w:bookmarkEnd w:id="167"/>
      <w:bookmarkStart w:id="168" w:name="_Toc222029561"/>
      <w:bookmarkEnd w:id="168"/>
      <w:bookmarkStart w:id="169" w:name="_Toc222033912"/>
      <w:bookmarkEnd w:id="169"/>
      <w:bookmarkStart w:id="170" w:name="_Toc222031063"/>
      <w:bookmarkEnd w:id="170"/>
      <w:bookmarkStart w:id="171" w:name="_Toc221952014"/>
      <w:bookmarkEnd w:id="171"/>
      <w:r>
        <w:rPr>
          <w:rFonts w:ascii="宋体" w:hAnsi="宋体"/>
          <w:color w:val="auto"/>
          <w:szCs w:val="21"/>
          <w:highlight w:val="none"/>
        </w:rPr>
        <w:t>姓名：</w:t>
      </w:r>
      <w:r>
        <w:rPr>
          <w:rFonts w:hint="eastAsia" w:ascii="宋体" w:hAnsi="宋体"/>
          <w:color w:val="auto"/>
          <w:szCs w:val="21"/>
          <w:highlight w:val="none"/>
          <w:u w:val="single"/>
        </w:rPr>
        <w:t xml:space="preserve">      </w:t>
      </w:r>
      <w:r>
        <w:rPr>
          <w:rFonts w:ascii="宋体" w:hAnsi="宋体"/>
          <w:color w:val="auto"/>
          <w:szCs w:val="21"/>
          <w:highlight w:val="none"/>
        </w:rPr>
        <w:t>性别：</w:t>
      </w:r>
      <w:r>
        <w:rPr>
          <w:rFonts w:hint="eastAsia" w:ascii="宋体" w:hAnsi="宋体"/>
          <w:color w:val="auto"/>
          <w:szCs w:val="21"/>
          <w:highlight w:val="none"/>
          <w:u w:val="single"/>
        </w:rPr>
        <w:t xml:space="preserve">      </w:t>
      </w:r>
      <w:r>
        <w:rPr>
          <w:rFonts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为</w:t>
      </w:r>
      <w:r>
        <w:rPr>
          <w:rFonts w:hint="eastAsia" w:ascii="宋体" w:hAnsi="宋体"/>
          <w:color w:val="auto"/>
          <w:szCs w:val="21"/>
          <w:highlight w:val="none"/>
          <w:u w:val="single"/>
        </w:rPr>
        <w:t xml:space="preserve">      </w:t>
      </w:r>
      <w:r>
        <w:rPr>
          <w:rFonts w:ascii="宋体" w:hAnsi="宋体"/>
          <w:color w:val="auto"/>
          <w:szCs w:val="21"/>
          <w:highlight w:val="none"/>
          <w:u w:val="single"/>
        </w:rPr>
        <w:t>(投标人名称)</w:t>
      </w:r>
      <w:r>
        <w:rPr>
          <w:rFonts w:hint="eastAsia" w:ascii="宋体" w:hAnsi="宋体"/>
          <w:color w:val="auto"/>
          <w:szCs w:val="21"/>
          <w:highlight w:val="none"/>
          <w:u w:val="single"/>
        </w:rPr>
        <w:t xml:space="preserve">        </w:t>
      </w:r>
      <w:r>
        <w:rPr>
          <w:rFonts w:ascii="宋体" w:hAnsi="宋体"/>
          <w:color w:val="auto"/>
          <w:szCs w:val="21"/>
          <w:highlight w:val="none"/>
        </w:rPr>
        <w:t>的法定代表人。</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特此证明。</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ascii="宋体" w:hAnsi="宋体"/>
          <w:color w:val="auto"/>
          <w:szCs w:val="21"/>
          <w:highlight w:val="none"/>
        </w:rPr>
        <w:t>附：法定代表人身份证正反面彩色扫描件。</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jc w:val="right"/>
        <w:rPr>
          <w:rFonts w:ascii="宋体" w:hAnsi="宋体"/>
          <w:color w:val="auto"/>
          <w:szCs w:val="21"/>
          <w:highlight w:val="none"/>
        </w:rPr>
      </w:pPr>
      <w:bookmarkStart w:id="172" w:name="_Toc221952016"/>
      <w:bookmarkEnd w:id="172"/>
      <w:r>
        <w:rPr>
          <w:rFonts w:ascii="宋体" w:hAnsi="宋体"/>
          <w:color w:val="auto"/>
          <w:szCs w:val="21"/>
          <w:highlight w:val="none"/>
        </w:rPr>
        <w:t>投标人：（盖单位章）</w:t>
      </w:r>
    </w:p>
    <w:p>
      <w:pPr>
        <w:spacing w:line="400" w:lineRule="exact"/>
        <w:jc w:val="right"/>
        <w:rPr>
          <w:rFonts w:ascii="宋体" w:hAnsi="宋体"/>
          <w:color w:val="auto"/>
          <w:szCs w:val="21"/>
          <w:highlight w:val="none"/>
        </w:rPr>
      </w:pPr>
    </w:p>
    <w:p>
      <w:pPr>
        <w:spacing w:line="400" w:lineRule="exact"/>
        <w:ind w:right="105"/>
        <w:jc w:val="right"/>
        <w:rPr>
          <w:rFonts w:ascii="宋体" w:hAnsi="宋体"/>
          <w:color w:val="auto"/>
          <w:szCs w:val="21"/>
          <w:highlight w:val="none"/>
        </w:rPr>
      </w:pPr>
      <w:bookmarkStart w:id="173" w:name="_Toc221952017"/>
      <w:r>
        <w:rPr>
          <w:rFonts w:ascii="宋体" w:hAnsi="宋体"/>
          <w:color w:val="auto"/>
          <w:szCs w:val="21"/>
          <w:highlight w:val="none"/>
        </w:rPr>
        <w:t xml:space="preserve">年月 日 </w:t>
      </w:r>
    </w:p>
    <w:p>
      <w:pPr>
        <w:spacing w:line="400" w:lineRule="exact"/>
        <w:jc w:val="center"/>
        <w:rPr>
          <w:rFonts w:eastAsia="黑体"/>
          <w:color w:val="auto"/>
          <w:sz w:val="19"/>
          <w:szCs w:val="19"/>
          <w:highlight w:val="none"/>
        </w:rPr>
      </w:pPr>
      <w:r>
        <w:rPr>
          <w:rFonts w:ascii="宋体" w:hAnsi="宋体"/>
          <w:color w:val="auto"/>
          <w:szCs w:val="21"/>
          <w:highlight w:val="none"/>
        </w:rPr>
        <w:br w:type="page"/>
      </w:r>
    </w:p>
    <w:p>
      <w:pPr>
        <w:spacing w:line="400" w:lineRule="exact"/>
        <w:jc w:val="center"/>
        <w:outlineLvl w:val="2"/>
        <w:rPr>
          <w:rFonts w:ascii="黑体" w:hAnsi="黑体" w:eastAsia="黑体"/>
          <w:color w:val="auto"/>
          <w:sz w:val="28"/>
          <w:szCs w:val="27"/>
          <w:highlight w:val="none"/>
        </w:rPr>
      </w:pPr>
      <w:bookmarkStart w:id="174" w:name="_Toc18198"/>
      <w:bookmarkEnd w:id="174"/>
      <w:bookmarkStart w:id="175" w:name="_Toc21787763"/>
      <w:bookmarkEnd w:id="175"/>
      <w:bookmarkStart w:id="176" w:name="_Toc23046"/>
      <w:r>
        <w:rPr>
          <w:rFonts w:hint="eastAsia" w:ascii="黑体" w:hAnsi="黑体" w:eastAsia="黑体"/>
          <w:color w:val="auto"/>
          <w:sz w:val="28"/>
          <w:szCs w:val="27"/>
          <w:highlight w:val="none"/>
        </w:rPr>
        <w:t>三</w:t>
      </w:r>
      <w:r>
        <w:rPr>
          <w:rFonts w:ascii="黑体" w:hAnsi="黑体" w:eastAsia="黑体"/>
          <w:color w:val="auto"/>
          <w:sz w:val="28"/>
          <w:szCs w:val="27"/>
          <w:highlight w:val="none"/>
        </w:rPr>
        <w:t>、授权委托书</w:t>
      </w:r>
      <w:bookmarkEnd w:id="176"/>
    </w:p>
    <w:p>
      <w:pPr>
        <w:spacing w:line="400" w:lineRule="exact"/>
        <w:rPr>
          <w:rFonts w:eastAsia="黑体"/>
          <w:color w:val="auto"/>
          <w:sz w:val="20"/>
          <w:szCs w:val="20"/>
          <w:highlight w:val="none"/>
        </w:rPr>
      </w:pPr>
    </w:p>
    <w:bookmarkEnd w:id="173"/>
    <w:p>
      <w:pPr>
        <w:topLinePunct/>
        <w:spacing w:line="400" w:lineRule="exact"/>
        <w:ind w:firstLine="420" w:firstLineChars="200"/>
        <w:rPr>
          <w:color w:val="auto"/>
          <w:szCs w:val="21"/>
          <w:highlight w:val="none"/>
        </w:rPr>
      </w:pPr>
      <w:bookmarkStart w:id="177" w:name="_Toc221952019"/>
      <w:bookmarkEnd w:id="177"/>
      <w:bookmarkStart w:id="178" w:name="_Toc221952018"/>
      <w:bookmarkEnd w:id="178"/>
      <w:bookmarkStart w:id="179" w:name="_Toc221952020"/>
      <w:r>
        <w:rPr>
          <w:color w:val="auto"/>
          <w:szCs w:val="21"/>
          <w:highlight w:val="none"/>
        </w:rPr>
        <w:t>本人</w:t>
      </w:r>
      <w:r>
        <w:rPr>
          <w:rFonts w:hint="eastAsia"/>
          <w:color w:val="auto"/>
          <w:szCs w:val="21"/>
          <w:highlight w:val="none"/>
          <w:u w:val="single"/>
        </w:rPr>
        <w:t xml:space="preserve">   </w:t>
      </w:r>
      <w:r>
        <w:rPr>
          <w:color w:val="auto"/>
          <w:szCs w:val="21"/>
          <w:highlight w:val="none"/>
          <w:u w:val="single"/>
        </w:rPr>
        <w:t>（姓名）</w:t>
      </w:r>
      <w:r>
        <w:rPr>
          <w:rFonts w:hint="eastAsia"/>
          <w:color w:val="auto"/>
          <w:szCs w:val="21"/>
          <w:highlight w:val="none"/>
          <w:u w:val="single"/>
        </w:rPr>
        <w:t xml:space="preserve">   </w:t>
      </w:r>
      <w:r>
        <w:rPr>
          <w:rFonts w:hint="eastAsia"/>
          <w:color w:val="auto"/>
          <w:szCs w:val="21"/>
          <w:highlight w:val="none"/>
        </w:rPr>
        <w:t>是</w:t>
      </w:r>
      <w:r>
        <w:rPr>
          <w:rFonts w:hint="eastAsia"/>
          <w:color w:val="auto"/>
          <w:szCs w:val="21"/>
          <w:highlight w:val="none"/>
          <w:u w:val="single"/>
        </w:rPr>
        <w:t xml:space="preserve">    </w:t>
      </w:r>
      <w:r>
        <w:rPr>
          <w:color w:val="auto"/>
          <w:szCs w:val="21"/>
          <w:highlight w:val="none"/>
          <w:u w:val="single"/>
        </w:rPr>
        <w:t>（投标人名称）</w:t>
      </w:r>
      <w:r>
        <w:rPr>
          <w:rFonts w:hint="eastAsia"/>
          <w:color w:val="auto"/>
          <w:szCs w:val="21"/>
          <w:highlight w:val="none"/>
          <w:u w:val="single"/>
        </w:rPr>
        <w:t xml:space="preserve">     </w:t>
      </w:r>
      <w:r>
        <w:rPr>
          <w:color w:val="auto"/>
          <w:szCs w:val="21"/>
          <w:highlight w:val="none"/>
        </w:rPr>
        <w:t>的法定代表人，现委托</w:t>
      </w:r>
      <w:r>
        <w:rPr>
          <w:rFonts w:hint="eastAsia"/>
          <w:color w:val="auto"/>
          <w:szCs w:val="21"/>
          <w:highlight w:val="none"/>
          <w:u w:val="single"/>
        </w:rPr>
        <w:t xml:space="preserve">    </w:t>
      </w:r>
      <w:r>
        <w:rPr>
          <w:color w:val="auto"/>
          <w:szCs w:val="21"/>
          <w:highlight w:val="none"/>
          <w:u w:val="single"/>
        </w:rPr>
        <w:t>（姓名）</w:t>
      </w:r>
      <w:r>
        <w:rPr>
          <w:rFonts w:hint="eastAsia"/>
          <w:color w:val="auto"/>
          <w:szCs w:val="21"/>
          <w:highlight w:val="none"/>
          <w:u w:val="single"/>
        </w:rPr>
        <w:t xml:space="preserve">    </w:t>
      </w:r>
      <w:r>
        <w:rPr>
          <w:color w:val="auto"/>
          <w:szCs w:val="21"/>
          <w:highlight w:val="none"/>
        </w:rPr>
        <w:t>为我方代理人。代理人根据授权，以我方名义签署、澄清、</w:t>
      </w:r>
      <w:r>
        <w:rPr>
          <w:rFonts w:hint="eastAsia"/>
          <w:color w:val="auto"/>
          <w:szCs w:val="21"/>
          <w:highlight w:val="none"/>
        </w:rPr>
        <w:t>说明、补正、</w:t>
      </w:r>
      <w:r>
        <w:rPr>
          <w:color w:val="auto"/>
          <w:szCs w:val="21"/>
          <w:highlight w:val="none"/>
        </w:rPr>
        <w:t>递交、撤回、修改</w:t>
      </w:r>
      <w:r>
        <w:rPr>
          <w:rFonts w:hint="eastAsia"/>
          <w:color w:val="auto"/>
          <w:szCs w:val="21"/>
          <w:highlight w:val="none"/>
          <w:u w:val="single"/>
        </w:rPr>
        <w:t xml:space="preserve">    </w:t>
      </w:r>
      <w:r>
        <w:rPr>
          <w:color w:val="auto"/>
          <w:szCs w:val="21"/>
          <w:highlight w:val="none"/>
          <w:u w:val="single"/>
        </w:rPr>
        <w:t>（项目名称）</w:t>
      </w:r>
      <w:r>
        <w:rPr>
          <w:rFonts w:hint="eastAsia"/>
          <w:color w:val="auto"/>
          <w:szCs w:val="21"/>
          <w:highlight w:val="none"/>
          <w:u w:val="single"/>
        </w:rPr>
        <w:t xml:space="preserve">     </w:t>
      </w:r>
      <w:r>
        <w:rPr>
          <w:color w:val="auto"/>
          <w:szCs w:val="21"/>
          <w:highlight w:val="none"/>
        </w:rPr>
        <w:t>投标文件、签订合同和处理有关事宜，其法律后果由我方承担。</w:t>
      </w:r>
    </w:p>
    <w:bookmarkEnd w:id="179"/>
    <w:p>
      <w:pPr>
        <w:spacing w:line="400" w:lineRule="exact"/>
        <w:rPr>
          <w:color w:val="auto"/>
          <w:szCs w:val="21"/>
          <w:highlight w:val="none"/>
        </w:rPr>
      </w:pPr>
      <w:r>
        <w:rPr>
          <w:color w:val="auto"/>
          <w:szCs w:val="21"/>
          <w:highlight w:val="none"/>
        </w:rPr>
        <w:t>委托期限：</w:t>
      </w:r>
    </w:p>
    <w:p>
      <w:pPr>
        <w:spacing w:line="400" w:lineRule="exact"/>
        <w:ind w:firstLine="420" w:firstLineChars="200"/>
        <w:rPr>
          <w:color w:val="auto"/>
          <w:szCs w:val="21"/>
          <w:highlight w:val="none"/>
        </w:rPr>
      </w:pPr>
      <w:bookmarkStart w:id="180" w:name="_Toc221952022"/>
      <w:bookmarkEnd w:id="180"/>
      <w:r>
        <w:rPr>
          <w:rFonts w:hint="eastAsia"/>
          <w:color w:val="auto"/>
          <w:szCs w:val="21"/>
          <w:highlight w:val="none"/>
        </w:rPr>
        <w:t>代理人无转委托权。代理人为投标人正式职工（提供最近1个月（时间为：2023年</w:t>
      </w:r>
      <w:r>
        <w:rPr>
          <w:rFonts w:hint="eastAsia"/>
          <w:color w:val="auto"/>
          <w:szCs w:val="21"/>
          <w:highlight w:val="none"/>
          <w:lang w:val="en-US" w:eastAsia="zh-CN"/>
        </w:rPr>
        <w:t>10</w:t>
      </w:r>
      <w:r>
        <w:rPr>
          <w:rFonts w:hint="eastAsia"/>
          <w:color w:val="auto"/>
          <w:szCs w:val="21"/>
          <w:highlight w:val="none"/>
        </w:rPr>
        <w:t>月）的社保证明）</w:t>
      </w:r>
    </w:p>
    <w:p>
      <w:pPr>
        <w:spacing w:line="400" w:lineRule="exact"/>
        <w:ind w:firstLine="420" w:firstLineChars="200"/>
        <w:rPr>
          <w:color w:val="auto"/>
          <w:szCs w:val="21"/>
          <w:highlight w:val="none"/>
        </w:rPr>
      </w:pPr>
    </w:p>
    <w:p>
      <w:pPr>
        <w:spacing w:line="400" w:lineRule="exact"/>
        <w:ind w:firstLine="420" w:firstLineChars="200"/>
        <w:rPr>
          <w:color w:val="auto"/>
          <w:szCs w:val="21"/>
          <w:highlight w:val="none"/>
        </w:rPr>
      </w:pPr>
      <w:r>
        <w:rPr>
          <w:rFonts w:hint="eastAsia"/>
          <w:color w:val="auto"/>
          <w:szCs w:val="21"/>
          <w:highlight w:val="none"/>
        </w:rPr>
        <w:t>附：委托代理人身份证正反面和社保证明扫描件。</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ind w:right="707" w:firstLine="5145" w:firstLineChars="2450"/>
        <w:rPr>
          <w:color w:val="auto"/>
          <w:szCs w:val="21"/>
          <w:highlight w:val="none"/>
        </w:rPr>
      </w:pPr>
      <w:bookmarkStart w:id="181" w:name="_Toc222032731"/>
      <w:bookmarkEnd w:id="181"/>
      <w:bookmarkStart w:id="182" w:name="_Toc221952024"/>
      <w:bookmarkEnd w:id="182"/>
      <w:bookmarkStart w:id="183" w:name="_Toc229305422"/>
      <w:bookmarkEnd w:id="183"/>
      <w:bookmarkStart w:id="184" w:name="_Toc222033913"/>
      <w:bookmarkEnd w:id="184"/>
      <w:bookmarkStart w:id="185" w:name="_Toc359263283"/>
      <w:bookmarkEnd w:id="185"/>
      <w:bookmarkStart w:id="186" w:name="_Toc222029562"/>
      <w:bookmarkEnd w:id="186"/>
      <w:bookmarkStart w:id="187" w:name="_Toc144974861"/>
      <w:bookmarkEnd w:id="187"/>
      <w:bookmarkStart w:id="188" w:name="_Toc259524416"/>
      <w:bookmarkEnd w:id="188"/>
      <w:bookmarkStart w:id="189" w:name="_Toc168476322"/>
      <w:bookmarkEnd w:id="189"/>
      <w:bookmarkStart w:id="190" w:name="_Toc222031064"/>
      <w:bookmarkEnd w:id="190"/>
      <w:bookmarkStart w:id="191" w:name="_Toc168475919"/>
      <w:bookmarkEnd w:id="191"/>
      <w:bookmarkStart w:id="192" w:name="_Toc221952025"/>
      <w:r>
        <w:rPr>
          <w:color w:val="auto"/>
          <w:szCs w:val="21"/>
          <w:highlight w:val="none"/>
        </w:rPr>
        <w:t>投标人：</w:t>
      </w:r>
      <w:r>
        <w:rPr>
          <w:rFonts w:hint="eastAsia"/>
          <w:color w:val="auto"/>
          <w:szCs w:val="21"/>
          <w:highlight w:val="none"/>
          <w:u w:val="single"/>
        </w:rPr>
        <w:t xml:space="preserve">                   </w:t>
      </w:r>
      <w:r>
        <w:rPr>
          <w:color w:val="auto"/>
          <w:szCs w:val="21"/>
          <w:highlight w:val="none"/>
        </w:rPr>
        <w:t>（盖单位章）</w:t>
      </w:r>
    </w:p>
    <w:p>
      <w:pPr>
        <w:spacing w:line="400" w:lineRule="exact"/>
        <w:jc w:val="right"/>
        <w:rPr>
          <w:color w:val="auto"/>
          <w:szCs w:val="21"/>
          <w:highlight w:val="none"/>
        </w:rPr>
      </w:pPr>
    </w:p>
    <w:p>
      <w:pPr>
        <w:spacing w:line="400" w:lineRule="exact"/>
        <w:ind w:right="420"/>
        <w:jc w:val="center"/>
        <w:rPr>
          <w:color w:val="auto"/>
          <w:szCs w:val="21"/>
          <w:highlight w:val="none"/>
        </w:rPr>
      </w:pPr>
      <w:r>
        <w:rPr>
          <w:rFonts w:hint="eastAsia"/>
          <w:color w:val="auto"/>
          <w:szCs w:val="21"/>
          <w:highlight w:val="none"/>
        </w:rPr>
        <w:t xml:space="preserve">                                        </w:t>
      </w:r>
      <w:r>
        <w:rPr>
          <w:color w:val="auto"/>
          <w:szCs w:val="21"/>
          <w:highlight w:val="none"/>
        </w:rPr>
        <w:t>法定代表人：</w:t>
      </w: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rPr>
        <w:t>签字</w:t>
      </w:r>
      <w:r>
        <w:rPr>
          <w:rFonts w:hint="eastAsia"/>
          <w:color w:val="auto"/>
          <w:szCs w:val="21"/>
          <w:highlight w:val="none"/>
          <w:lang w:eastAsia="zh-CN"/>
        </w:rPr>
        <w:t>或盖章</w:t>
      </w:r>
      <w:r>
        <w:rPr>
          <w:color w:val="auto"/>
          <w:szCs w:val="21"/>
          <w:highlight w:val="none"/>
        </w:rPr>
        <w:t>）</w:t>
      </w:r>
    </w:p>
    <w:p>
      <w:pPr>
        <w:spacing w:line="400" w:lineRule="exact"/>
        <w:jc w:val="right"/>
        <w:rPr>
          <w:color w:val="auto"/>
          <w:szCs w:val="21"/>
          <w:highlight w:val="none"/>
        </w:rPr>
      </w:pPr>
    </w:p>
    <w:p>
      <w:pPr>
        <w:spacing w:line="400" w:lineRule="exact"/>
        <w:ind w:right="420" w:firstLine="5145" w:firstLineChars="2450"/>
        <w:rPr>
          <w:color w:val="auto"/>
          <w:szCs w:val="21"/>
          <w:highlight w:val="none"/>
          <w:u w:val="single"/>
        </w:rPr>
      </w:pPr>
      <w:r>
        <w:rPr>
          <w:color w:val="auto"/>
          <w:szCs w:val="21"/>
          <w:highlight w:val="none"/>
        </w:rPr>
        <w:t>身份证号码：</w:t>
      </w:r>
      <w:r>
        <w:rPr>
          <w:rFonts w:hint="eastAsia"/>
          <w:color w:val="auto"/>
          <w:szCs w:val="21"/>
          <w:highlight w:val="none"/>
          <w:u w:val="single"/>
        </w:rPr>
        <w:t xml:space="preserve">                    </w:t>
      </w:r>
    </w:p>
    <w:p>
      <w:pPr>
        <w:spacing w:line="400" w:lineRule="exact"/>
        <w:jc w:val="right"/>
        <w:rPr>
          <w:color w:val="auto"/>
          <w:szCs w:val="21"/>
          <w:highlight w:val="none"/>
        </w:rPr>
      </w:pPr>
    </w:p>
    <w:bookmarkEnd w:id="192"/>
    <w:p>
      <w:pPr>
        <w:spacing w:line="400" w:lineRule="exact"/>
        <w:ind w:right="420" w:firstLine="5145" w:firstLineChars="2450"/>
        <w:rPr>
          <w:color w:val="auto"/>
          <w:szCs w:val="21"/>
          <w:highlight w:val="none"/>
        </w:rPr>
      </w:pPr>
      <w:bookmarkStart w:id="193" w:name="_Toc221952026"/>
      <w:r>
        <w:rPr>
          <w:rFonts w:hint="eastAsia"/>
          <w:color w:val="auto"/>
          <w:szCs w:val="21"/>
          <w:highlight w:val="none"/>
        </w:rPr>
        <w:t>委托</w:t>
      </w:r>
      <w:r>
        <w:rPr>
          <w:color w:val="auto"/>
          <w:szCs w:val="21"/>
          <w:highlight w:val="none"/>
        </w:rPr>
        <w:t>代理人：</w:t>
      </w:r>
      <w:r>
        <w:rPr>
          <w:rFonts w:hint="eastAsia"/>
          <w:color w:val="auto"/>
          <w:szCs w:val="21"/>
          <w:highlight w:val="none"/>
          <w:u w:val="single"/>
        </w:rPr>
        <w:t xml:space="preserve">                    </w:t>
      </w:r>
      <w:r>
        <w:rPr>
          <w:rFonts w:hint="eastAsia"/>
          <w:color w:val="auto"/>
          <w:szCs w:val="21"/>
          <w:highlight w:val="none"/>
        </w:rPr>
        <w:t>（签字</w:t>
      </w:r>
      <w:r>
        <w:rPr>
          <w:color w:val="auto"/>
          <w:szCs w:val="21"/>
          <w:highlight w:val="none"/>
        </w:rPr>
        <w:t>）</w:t>
      </w:r>
    </w:p>
    <w:p>
      <w:pPr>
        <w:spacing w:line="400" w:lineRule="exact"/>
        <w:jc w:val="right"/>
        <w:rPr>
          <w:color w:val="auto"/>
          <w:szCs w:val="21"/>
          <w:highlight w:val="none"/>
        </w:rPr>
      </w:pPr>
    </w:p>
    <w:bookmarkEnd w:id="193"/>
    <w:p>
      <w:pPr>
        <w:spacing w:line="400" w:lineRule="exact"/>
        <w:ind w:right="420" w:firstLine="5145" w:firstLineChars="2450"/>
        <w:rPr>
          <w:color w:val="auto"/>
          <w:szCs w:val="21"/>
          <w:highlight w:val="none"/>
          <w:u w:val="single"/>
        </w:rPr>
      </w:pPr>
      <w:r>
        <w:rPr>
          <w:color w:val="auto"/>
          <w:szCs w:val="21"/>
          <w:highlight w:val="none"/>
        </w:rPr>
        <w:t>身份证号码：</w:t>
      </w:r>
      <w:r>
        <w:rPr>
          <w:rFonts w:hint="eastAsia"/>
          <w:color w:val="auto"/>
          <w:szCs w:val="21"/>
          <w:highlight w:val="none"/>
          <w:u w:val="single"/>
        </w:rPr>
        <w:t xml:space="preserve">                      </w:t>
      </w:r>
    </w:p>
    <w:p>
      <w:pPr>
        <w:spacing w:line="400" w:lineRule="exact"/>
        <w:jc w:val="right"/>
        <w:rPr>
          <w:color w:val="auto"/>
          <w:szCs w:val="21"/>
          <w:highlight w:val="none"/>
        </w:rPr>
      </w:pPr>
    </w:p>
    <w:p>
      <w:pPr>
        <w:spacing w:line="400" w:lineRule="exact"/>
        <w:ind w:right="420" w:firstLine="1575" w:firstLineChars="750"/>
        <w:jc w:val="center"/>
        <w:rPr>
          <w:rFonts w:eastAsia="黑体"/>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00" w:lineRule="exact"/>
        <w:jc w:val="center"/>
        <w:outlineLvl w:val="2"/>
        <w:rPr>
          <w:rFonts w:ascii="黑体" w:hAnsi="黑体" w:eastAsia="黑体"/>
          <w:color w:val="auto"/>
          <w:sz w:val="28"/>
          <w:szCs w:val="27"/>
          <w:highlight w:val="none"/>
        </w:rPr>
      </w:pPr>
      <w:r>
        <w:rPr>
          <w:rFonts w:eastAsia="黑体"/>
          <w:color w:val="auto"/>
          <w:sz w:val="19"/>
          <w:szCs w:val="19"/>
          <w:highlight w:val="none"/>
        </w:rPr>
        <w:br w:type="page"/>
      </w:r>
      <w:bookmarkStart w:id="194" w:name="_Toc22927"/>
      <w:r>
        <w:rPr>
          <w:rFonts w:hint="eastAsia" w:ascii="黑体" w:hAnsi="黑体" w:eastAsia="黑体" w:cs="黑体"/>
          <w:color w:val="auto"/>
          <w:sz w:val="28"/>
          <w:szCs w:val="28"/>
          <w:highlight w:val="none"/>
        </w:rPr>
        <w:t>四</w:t>
      </w:r>
      <w:r>
        <w:rPr>
          <w:rFonts w:hint="eastAsia" w:ascii="黑体" w:hAnsi="黑体" w:eastAsia="黑体"/>
          <w:color w:val="auto"/>
          <w:sz w:val="28"/>
          <w:szCs w:val="27"/>
          <w:highlight w:val="none"/>
        </w:rPr>
        <w:t>、已标价工程量清单</w:t>
      </w:r>
      <w:bookmarkEnd w:id="194"/>
    </w:p>
    <w:p>
      <w:pPr>
        <w:spacing w:line="400" w:lineRule="exact"/>
        <w:jc w:val="center"/>
        <w:rPr>
          <w:rFonts w:ascii="黑体" w:hAnsi="黑体" w:eastAsia="黑体"/>
          <w:color w:val="auto"/>
          <w:sz w:val="28"/>
          <w:szCs w:val="27"/>
          <w:highlight w:val="none"/>
        </w:rPr>
      </w:pPr>
    </w:p>
    <w:p>
      <w:pPr>
        <w:spacing w:line="400" w:lineRule="exact"/>
        <w:jc w:val="center"/>
        <w:outlineLvl w:val="2"/>
        <w:rPr>
          <w:rFonts w:ascii="宋体" w:hAnsi="宋体"/>
          <w:b/>
          <w:color w:val="auto"/>
          <w:sz w:val="30"/>
          <w:szCs w:val="30"/>
          <w:highlight w:val="none"/>
        </w:rPr>
      </w:pPr>
      <w:bookmarkStart w:id="195" w:name="_Toc221952109"/>
      <w:r>
        <w:rPr>
          <w:rFonts w:ascii="黑体" w:hAnsi="黑体" w:eastAsia="黑体"/>
          <w:color w:val="auto"/>
          <w:sz w:val="28"/>
          <w:szCs w:val="27"/>
          <w:highlight w:val="none"/>
        </w:rPr>
        <w:br w:type="page"/>
      </w:r>
      <w:bookmarkStart w:id="196" w:name="_Toc19979"/>
      <w:r>
        <w:rPr>
          <w:rFonts w:hint="eastAsia" w:ascii="黑体" w:hAnsi="黑体" w:eastAsia="黑体"/>
          <w:color w:val="auto"/>
          <w:sz w:val="28"/>
          <w:szCs w:val="27"/>
          <w:highlight w:val="none"/>
        </w:rPr>
        <w:t>五、施工组织设计</w:t>
      </w:r>
      <w:bookmarkEnd w:id="196"/>
    </w:p>
    <w:p>
      <w:pPr>
        <w:spacing w:line="400" w:lineRule="exact"/>
        <w:ind w:firstLine="420" w:firstLineChars="200"/>
        <w:jc w:val="center"/>
        <w:rPr>
          <w:rFonts w:ascii="宋体" w:hAnsi="宋体"/>
          <w:i/>
          <w:color w:val="auto"/>
          <w:szCs w:val="21"/>
          <w:highlight w:val="none"/>
        </w:rPr>
      </w:pPr>
      <w:r>
        <w:rPr>
          <w:rFonts w:hint="eastAsia" w:ascii="宋体" w:hAnsi="宋体"/>
          <w:i/>
          <w:color w:val="auto"/>
          <w:szCs w:val="21"/>
          <w:highlight w:val="none"/>
        </w:rPr>
        <w:t>（说明：不须要编制技术标的，投标人可不编写该部分内容，提交施工组织设计要点）</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2.图表及格式要求：</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附表一  拟投入本标段的主要施工设备表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附表二  拟投入本标段的试验和检测仪器设备表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附表三  拟投入本标段的劳动力计划表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附表四  计划开工日期、完工日期和施工进度网络图</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附表五  施工总平面图                                                           </w:t>
      </w:r>
    </w:p>
    <w:p>
      <w:pPr>
        <w:spacing w:line="400" w:lineRule="exact"/>
        <w:ind w:firstLine="420" w:firstLineChars="200"/>
        <w:jc w:val="left"/>
        <w:rPr>
          <w:color w:val="auto"/>
          <w:sz w:val="19"/>
          <w:szCs w:val="19"/>
          <w:highlight w:val="none"/>
        </w:rPr>
      </w:pPr>
      <w:r>
        <w:rPr>
          <w:rFonts w:hint="eastAsia" w:ascii="宋体" w:hAnsi="宋体"/>
          <w:color w:val="auto"/>
          <w:szCs w:val="21"/>
          <w:highlight w:val="none"/>
        </w:rPr>
        <w:t>附表六  临时用地表</w:t>
      </w: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197" w:name="_Toc168475924"/>
      <w:bookmarkEnd w:id="197"/>
      <w:bookmarkStart w:id="198" w:name="_Toc144974865"/>
      <w:bookmarkEnd w:id="198"/>
      <w:bookmarkStart w:id="199" w:name="_Toc221952073"/>
      <w:bookmarkEnd w:id="199"/>
      <w:bookmarkStart w:id="200" w:name="_Toc168476327"/>
      <w:bookmarkEnd w:id="200"/>
      <w:r>
        <w:rPr>
          <w:rFonts w:ascii="宋体" w:hAnsi="宋体"/>
          <w:b/>
          <w:color w:val="auto"/>
          <w:sz w:val="24"/>
          <w:szCs w:val="31"/>
          <w:highlight w:val="none"/>
        </w:rPr>
        <w:t>附表一：拟投入本标段的主要施工设备表</w:t>
      </w:r>
    </w:p>
    <w:p>
      <w:pPr>
        <w:spacing w:line="400" w:lineRule="exact"/>
        <w:rPr>
          <w:color w:val="auto"/>
          <w:sz w:val="19"/>
          <w:szCs w:val="19"/>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224"/>
        <w:gridCol w:w="857"/>
        <w:gridCol w:w="1115"/>
        <w:gridCol w:w="757"/>
        <w:gridCol w:w="832"/>
        <w:gridCol w:w="1366"/>
        <w:gridCol w:w="985"/>
        <w:gridCol w:w="1188"/>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bookmarkStart w:id="201" w:name="_Toc221952074"/>
            <w:bookmarkEnd w:id="201"/>
            <w:r>
              <w:rPr>
                <w:rFonts w:ascii="宋体" w:hAnsi="宋体"/>
                <w:color w:val="auto"/>
                <w:szCs w:val="21"/>
                <w:highlight w:val="none"/>
              </w:rPr>
              <w:t>序号</w:t>
            </w:r>
          </w:p>
        </w:tc>
        <w:tc>
          <w:tcPr>
            <w:tcW w:w="621" w:type="pct"/>
          </w:tcPr>
          <w:p>
            <w:pPr>
              <w:spacing w:line="400" w:lineRule="exact"/>
              <w:jc w:val="center"/>
              <w:rPr>
                <w:rFonts w:ascii="宋体" w:hAnsi="宋体"/>
                <w:color w:val="auto"/>
                <w:szCs w:val="21"/>
                <w:highlight w:val="none"/>
              </w:rPr>
            </w:pPr>
            <w:bookmarkStart w:id="202" w:name="_Toc221952075"/>
            <w:bookmarkEnd w:id="202"/>
            <w:r>
              <w:rPr>
                <w:rFonts w:ascii="宋体" w:hAnsi="宋体"/>
                <w:color w:val="auto"/>
                <w:szCs w:val="21"/>
                <w:highlight w:val="none"/>
              </w:rPr>
              <w:t>设备名称</w:t>
            </w:r>
          </w:p>
        </w:tc>
        <w:tc>
          <w:tcPr>
            <w:tcW w:w="435" w:type="pct"/>
          </w:tcPr>
          <w:p>
            <w:pPr>
              <w:spacing w:line="400" w:lineRule="exact"/>
              <w:jc w:val="center"/>
              <w:rPr>
                <w:rFonts w:ascii="宋体" w:hAnsi="宋体"/>
                <w:color w:val="auto"/>
                <w:szCs w:val="21"/>
                <w:highlight w:val="none"/>
              </w:rPr>
            </w:pPr>
            <w:bookmarkStart w:id="203" w:name="_Toc221952076"/>
            <w:bookmarkEnd w:id="203"/>
            <w:r>
              <w:rPr>
                <w:rFonts w:ascii="宋体" w:hAnsi="宋体"/>
                <w:color w:val="auto"/>
                <w:szCs w:val="21"/>
                <w:highlight w:val="none"/>
              </w:rPr>
              <w:t>型号</w:t>
            </w:r>
          </w:p>
          <w:p>
            <w:pPr>
              <w:spacing w:line="400" w:lineRule="exact"/>
              <w:jc w:val="center"/>
              <w:rPr>
                <w:rFonts w:ascii="宋体" w:hAnsi="宋体"/>
                <w:color w:val="auto"/>
                <w:szCs w:val="21"/>
                <w:highlight w:val="none"/>
              </w:rPr>
            </w:pPr>
            <w:bookmarkStart w:id="204" w:name="_Toc221952077"/>
            <w:bookmarkEnd w:id="204"/>
            <w:r>
              <w:rPr>
                <w:rFonts w:ascii="宋体" w:hAnsi="宋体"/>
                <w:color w:val="auto"/>
                <w:szCs w:val="21"/>
                <w:highlight w:val="none"/>
              </w:rPr>
              <w:t>规格</w:t>
            </w:r>
          </w:p>
        </w:tc>
        <w:tc>
          <w:tcPr>
            <w:tcW w:w="566" w:type="pct"/>
          </w:tcPr>
          <w:p>
            <w:pPr>
              <w:spacing w:line="400" w:lineRule="exact"/>
              <w:jc w:val="center"/>
              <w:rPr>
                <w:rFonts w:ascii="宋体" w:hAnsi="宋体"/>
                <w:color w:val="auto"/>
                <w:szCs w:val="21"/>
                <w:highlight w:val="none"/>
              </w:rPr>
            </w:pPr>
            <w:bookmarkStart w:id="205" w:name="_Toc221952078"/>
            <w:bookmarkEnd w:id="205"/>
            <w:r>
              <w:rPr>
                <w:rFonts w:ascii="宋体" w:hAnsi="宋体"/>
                <w:color w:val="auto"/>
                <w:szCs w:val="21"/>
                <w:highlight w:val="none"/>
              </w:rPr>
              <w:t>数量</w:t>
            </w:r>
          </w:p>
        </w:tc>
        <w:tc>
          <w:tcPr>
            <w:tcW w:w="384" w:type="pct"/>
          </w:tcPr>
          <w:p>
            <w:pPr>
              <w:spacing w:line="400" w:lineRule="exact"/>
              <w:jc w:val="center"/>
              <w:rPr>
                <w:rFonts w:ascii="宋体" w:hAnsi="宋体"/>
                <w:color w:val="auto"/>
                <w:szCs w:val="21"/>
                <w:highlight w:val="none"/>
              </w:rPr>
            </w:pPr>
            <w:bookmarkStart w:id="206" w:name="_Toc221952079"/>
            <w:bookmarkEnd w:id="206"/>
            <w:r>
              <w:rPr>
                <w:rFonts w:ascii="宋体" w:hAnsi="宋体"/>
                <w:color w:val="auto"/>
                <w:szCs w:val="21"/>
                <w:highlight w:val="none"/>
              </w:rPr>
              <w:t>国别</w:t>
            </w:r>
          </w:p>
          <w:p>
            <w:pPr>
              <w:spacing w:line="400" w:lineRule="exact"/>
              <w:jc w:val="center"/>
              <w:rPr>
                <w:rFonts w:ascii="宋体" w:hAnsi="宋体"/>
                <w:color w:val="auto"/>
                <w:szCs w:val="21"/>
                <w:highlight w:val="none"/>
              </w:rPr>
            </w:pPr>
            <w:bookmarkStart w:id="207" w:name="_Toc221952080"/>
            <w:bookmarkEnd w:id="207"/>
            <w:r>
              <w:rPr>
                <w:rFonts w:ascii="宋体" w:hAnsi="宋体"/>
                <w:color w:val="auto"/>
                <w:szCs w:val="21"/>
                <w:highlight w:val="none"/>
              </w:rPr>
              <w:t>产地</w:t>
            </w:r>
          </w:p>
        </w:tc>
        <w:tc>
          <w:tcPr>
            <w:tcW w:w="422" w:type="pct"/>
          </w:tcPr>
          <w:p>
            <w:pPr>
              <w:spacing w:line="400" w:lineRule="exact"/>
              <w:jc w:val="center"/>
              <w:rPr>
                <w:rFonts w:ascii="宋体" w:hAnsi="宋体"/>
                <w:color w:val="auto"/>
                <w:szCs w:val="21"/>
                <w:highlight w:val="none"/>
              </w:rPr>
            </w:pPr>
            <w:bookmarkStart w:id="208" w:name="_Toc221952081"/>
            <w:bookmarkEnd w:id="208"/>
            <w:r>
              <w:rPr>
                <w:rFonts w:ascii="宋体" w:hAnsi="宋体"/>
                <w:color w:val="auto"/>
                <w:szCs w:val="21"/>
                <w:highlight w:val="none"/>
              </w:rPr>
              <w:t>制造</w:t>
            </w:r>
          </w:p>
          <w:p>
            <w:pPr>
              <w:spacing w:line="400" w:lineRule="exact"/>
              <w:jc w:val="center"/>
              <w:rPr>
                <w:rFonts w:ascii="宋体" w:hAnsi="宋体"/>
                <w:color w:val="auto"/>
                <w:szCs w:val="21"/>
                <w:highlight w:val="none"/>
              </w:rPr>
            </w:pPr>
            <w:bookmarkStart w:id="209" w:name="_Toc221952082"/>
            <w:bookmarkEnd w:id="209"/>
            <w:r>
              <w:rPr>
                <w:rFonts w:ascii="宋体" w:hAnsi="宋体"/>
                <w:color w:val="auto"/>
                <w:szCs w:val="21"/>
                <w:highlight w:val="none"/>
              </w:rPr>
              <w:t>年份</w:t>
            </w:r>
          </w:p>
        </w:tc>
        <w:tc>
          <w:tcPr>
            <w:tcW w:w="693" w:type="pct"/>
          </w:tcPr>
          <w:p>
            <w:pPr>
              <w:spacing w:line="400" w:lineRule="exact"/>
              <w:jc w:val="center"/>
              <w:rPr>
                <w:rFonts w:ascii="宋体" w:hAnsi="宋体"/>
                <w:color w:val="auto"/>
                <w:szCs w:val="21"/>
                <w:highlight w:val="none"/>
              </w:rPr>
            </w:pPr>
            <w:bookmarkStart w:id="210" w:name="_Toc221952083"/>
            <w:bookmarkEnd w:id="210"/>
            <w:r>
              <w:rPr>
                <w:rFonts w:ascii="宋体" w:hAnsi="宋体"/>
                <w:color w:val="auto"/>
                <w:szCs w:val="21"/>
                <w:highlight w:val="none"/>
              </w:rPr>
              <w:t>额定功率（</w:t>
            </w:r>
            <w:r>
              <w:rPr>
                <w:rFonts w:hint="eastAsia" w:ascii="宋体" w:hAnsi="宋体"/>
                <w:color w:val="auto"/>
                <w:szCs w:val="21"/>
                <w:highlight w:val="none"/>
              </w:rPr>
              <w:t>K</w:t>
            </w:r>
            <w:r>
              <w:rPr>
                <w:rFonts w:ascii="宋体" w:hAnsi="宋体"/>
                <w:color w:val="auto"/>
                <w:szCs w:val="21"/>
                <w:highlight w:val="none"/>
              </w:rPr>
              <w:t>W）</w:t>
            </w:r>
          </w:p>
        </w:tc>
        <w:tc>
          <w:tcPr>
            <w:tcW w:w="500" w:type="pct"/>
          </w:tcPr>
          <w:p>
            <w:pPr>
              <w:spacing w:line="400" w:lineRule="exact"/>
              <w:jc w:val="center"/>
              <w:rPr>
                <w:rFonts w:ascii="宋体" w:hAnsi="宋体"/>
                <w:color w:val="auto"/>
                <w:szCs w:val="21"/>
                <w:highlight w:val="none"/>
              </w:rPr>
            </w:pPr>
            <w:bookmarkStart w:id="211" w:name="_Toc221952084"/>
            <w:bookmarkEnd w:id="211"/>
            <w:r>
              <w:rPr>
                <w:rFonts w:ascii="宋体" w:hAnsi="宋体"/>
                <w:color w:val="auto"/>
                <w:szCs w:val="21"/>
                <w:highlight w:val="none"/>
              </w:rPr>
              <w:t>生产</w:t>
            </w:r>
          </w:p>
          <w:p>
            <w:pPr>
              <w:spacing w:line="400" w:lineRule="exact"/>
              <w:jc w:val="center"/>
              <w:rPr>
                <w:rFonts w:ascii="宋体" w:hAnsi="宋体"/>
                <w:color w:val="auto"/>
                <w:szCs w:val="21"/>
                <w:highlight w:val="none"/>
              </w:rPr>
            </w:pPr>
            <w:bookmarkStart w:id="212" w:name="_Toc221952085"/>
            <w:bookmarkEnd w:id="212"/>
            <w:r>
              <w:rPr>
                <w:rFonts w:ascii="宋体" w:hAnsi="宋体"/>
                <w:color w:val="auto"/>
                <w:szCs w:val="21"/>
                <w:highlight w:val="none"/>
              </w:rPr>
              <w:t>能力</w:t>
            </w:r>
          </w:p>
        </w:tc>
        <w:tc>
          <w:tcPr>
            <w:tcW w:w="603" w:type="pct"/>
          </w:tcPr>
          <w:p>
            <w:pPr>
              <w:spacing w:line="400" w:lineRule="exact"/>
              <w:jc w:val="center"/>
              <w:rPr>
                <w:rFonts w:ascii="宋体" w:hAnsi="宋体"/>
                <w:color w:val="auto"/>
                <w:szCs w:val="21"/>
                <w:highlight w:val="none"/>
              </w:rPr>
            </w:pPr>
            <w:bookmarkStart w:id="213" w:name="_Toc221952086"/>
            <w:bookmarkEnd w:id="213"/>
            <w:r>
              <w:rPr>
                <w:rFonts w:ascii="宋体" w:hAnsi="宋体"/>
                <w:color w:val="auto"/>
                <w:szCs w:val="21"/>
                <w:highlight w:val="none"/>
              </w:rPr>
              <w:t>用于施工部位</w:t>
            </w:r>
          </w:p>
        </w:tc>
        <w:tc>
          <w:tcPr>
            <w:tcW w:w="395" w:type="pct"/>
          </w:tcPr>
          <w:p>
            <w:pPr>
              <w:spacing w:line="400" w:lineRule="exact"/>
              <w:jc w:val="center"/>
              <w:rPr>
                <w:rFonts w:ascii="宋体" w:hAnsi="宋体"/>
                <w:color w:val="auto"/>
                <w:szCs w:val="21"/>
                <w:highlight w:val="none"/>
              </w:rPr>
            </w:pPr>
            <w:bookmarkStart w:id="214" w:name="_Toc221952087"/>
            <w:bookmarkEnd w:id="214"/>
            <w:r>
              <w:rPr>
                <w:rFonts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tcPr>
          <w:p>
            <w:pPr>
              <w:spacing w:line="400" w:lineRule="exact"/>
              <w:jc w:val="center"/>
              <w:rPr>
                <w:rFonts w:ascii="宋体" w:hAnsi="宋体"/>
                <w:color w:val="auto"/>
                <w:szCs w:val="21"/>
                <w:highlight w:val="none"/>
              </w:rPr>
            </w:pPr>
          </w:p>
        </w:tc>
        <w:tc>
          <w:tcPr>
            <w:tcW w:w="621" w:type="pct"/>
          </w:tcPr>
          <w:p>
            <w:pPr>
              <w:spacing w:line="400" w:lineRule="exact"/>
              <w:jc w:val="center"/>
              <w:rPr>
                <w:rFonts w:ascii="宋体" w:hAnsi="宋体"/>
                <w:color w:val="auto"/>
                <w:szCs w:val="21"/>
                <w:highlight w:val="none"/>
              </w:rPr>
            </w:pPr>
          </w:p>
        </w:tc>
        <w:tc>
          <w:tcPr>
            <w:tcW w:w="435" w:type="pct"/>
          </w:tcPr>
          <w:p>
            <w:pPr>
              <w:spacing w:line="400" w:lineRule="exact"/>
              <w:jc w:val="center"/>
              <w:rPr>
                <w:rFonts w:ascii="宋体" w:hAnsi="宋体"/>
                <w:color w:val="auto"/>
                <w:szCs w:val="21"/>
                <w:highlight w:val="none"/>
              </w:rPr>
            </w:pPr>
          </w:p>
        </w:tc>
        <w:tc>
          <w:tcPr>
            <w:tcW w:w="566" w:type="pct"/>
          </w:tcPr>
          <w:p>
            <w:pPr>
              <w:spacing w:line="400" w:lineRule="exact"/>
              <w:jc w:val="center"/>
              <w:rPr>
                <w:rFonts w:ascii="宋体" w:hAnsi="宋体"/>
                <w:color w:val="auto"/>
                <w:szCs w:val="21"/>
                <w:highlight w:val="none"/>
              </w:rPr>
            </w:pPr>
          </w:p>
        </w:tc>
        <w:tc>
          <w:tcPr>
            <w:tcW w:w="384" w:type="pct"/>
          </w:tcPr>
          <w:p>
            <w:pPr>
              <w:spacing w:line="400" w:lineRule="exact"/>
              <w:jc w:val="center"/>
              <w:rPr>
                <w:rFonts w:ascii="宋体" w:hAnsi="宋体"/>
                <w:color w:val="auto"/>
                <w:szCs w:val="21"/>
                <w:highlight w:val="none"/>
              </w:rPr>
            </w:pPr>
          </w:p>
        </w:tc>
        <w:tc>
          <w:tcPr>
            <w:tcW w:w="422" w:type="pct"/>
          </w:tcPr>
          <w:p>
            <w:pPr>
              <w:spacing w:line="400" w:lineRule="exact"/>
              <w:jc w:val="center"/>
              <w:rPr>
                <w:rFonts w:ascii="宋体" w:hAnsi="宋体"/>
                <w:color w:val="auto"/>
                <w:szCs w:val="21"/>
                <w:highlight w:val="none"/>
              </w:rPr>
            </w:pPr>
          </w:p>
        </w:tc>
        <w:tc>
          <w:tcPr>
            <w:tcW w:w="693" w:type="pct"/>
          </w:tcPr>
          <w:p>
            <w:pPr>
              <w:spacing w:line="400" w:lineRule="exact"/>
              <w:jc w:val="center"/>
              <w:rPr>
                <w:rFonts w:ascii="宋体" w:hAnsi="宋体"/>
                <w:color w:val="auto"/>
                <w:szCs w:val="21"/>
                <w:highlight w:val="none"/>
              </w:rPr>
            </w:pPr>
          </w:p>
        </w:tc>
        <w:tc>
          <w:tcPr>
            <w:tcW w:w="500" w:type="pct"/>
          </w:tcPr>
          <w:p>
            <w:pPr>
              <w:spacing w:line="400" w:lineRule="exact"/>
              <w:jc w:val="center"/>
              <w:rPr>
                <w:rFonts w:ascii="宋体" w:hAnsi="宋体"/>
                <w:color w:val="auto"/>
                <w:szCs w:val="21"/>
                <w:highlight w:val="none"/>
              </w:rPr>
            </w:pPr>
          </w:p>
        </w:tc>
        <w:tc>
          <w:tcPr>
            <w:tcW w:w="603" w:type="pct"/>
          </w:tcPr>
          <w:p>
            <w:pPr>
              <w:spacing w:line="400" w:lineRule="exact"/>
              <w:jc w:val="center"/>
              <w:rPr>
                <w:rFonts w:ascii="宋体" w:hAnsi="宋体"/>
                <w:color w:val="auto"/>
                <w:szCs w:val="21"/>
                <w:highlight w:val="none"/>
              </w:rPr>
            </w:pPr>
          </w:p>
        </w:tc>
        <w:tc>
          <w:tcPr>
            <w:tcW w:w="395" w:type="pct"/>
          </w:tcPr>
          <w:p>
            <w:pPr>
              <w:spacing w:line="400" w:lineRule="exact"/>
              <w:jc w:val="center"/>
              <w:rPr>
                <w:rFonts w:ascii="宋体" w:hAnsi="宋体"/>
                <w:color w:val="auto"/>
                <w:szCs w:val="21"/>
                <w:highlight w:val="none"/>
              </w:rPr>
            </w:pPr>
          </w:p>
        </w:tc>
      </w:tr>
    </w:tbl>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215" w:name="_Toc144974866"/>
      <w:bookmarkEnd w:id="215"/>
      <w:bookmarkStart w:id="216" w:name="_Toc168476328"/>
      <w:bookmarkEnd w:id="216"/>
      <w:bookmarkStart w:id="217" w:name="_Toc168475925"/>
      <w:bookmarkEnd w:id="217"/>
      <w:bookmarkStart w:id="218" w:name="_Toc221952088"/>
      <w:bookmarkEnd w:id="218"/>
      <w:r>
        <w:rPr>
          <w:rFonts w:ascii="宋体" w:hAnsi="宋体"/>
          <w:b/>
          <w:color w:val="auto"/>
          <w:sz w:val="24"/>
          <w:szCs w:val="31"/>
          <w:highlight w:val="none"/>
        </w:rPr>
        <w:t>附表二：拟</w:t>
      </w:r>
      <w:r>
        <w:rPr>
          <w:rFonts w:hint="eastAsia" w:ascii="宋体" w:hAnsi="宋体"/>
          <w:b/>
          <w:color w:val="auto"/>
          <w:sz w:val="24"/>
          <w:szCs w:val="31"/>
          <w:highlight w:val="none"/>
        </w:rPr>
        <w:t>投入</w:t>
      </w:r>
      <w:r>
        <w:rPr>
          <w:rFonts w:ascii="宋体" w:hAnsi="宋体"/>
          <w:b/>
          <w:color w:val="auto"/>
          <w:sz w:val="24"/>
          <w:szCs w:val="31"/>
          <w:highlight w:val="none"/>
        </w:rPr>
        <w:t>本标段的</w:t>
      </w:r>
      <w:r>
        <w:rPr>
          <w:rFonts w:hint="eastAsia" w:ascii="宋体" w:hAnsi="宋体"/>
          <w:b/>
          <w:color w:val="auto"/>
          <w:sz w:val="24"/>
          <w:szCs w:val="31"/>
          <w:highlight w:val="none"/>
        </w:rPr>
        <w:t>试</w:t>
      </w:r>
      <w:r>
        <w:rPr>
          <w:rFonts w:ascii="宋体" w:hAnsi="宋体"/>
          <w:b/>
          <w:color w:val="auto"/>
          <w:sz w:val="24"/>
          <w:szCs w:val="31"/>
          <w:highlight w:val="none"/>
        </w:rPr>
        <w:t>验和检测仪器设备表</w:t>
      </w:r>
    </w:p>
    <w:p>
      <w:pPr>
        <w:spacing w:line="400" w:lineRule="exact"/>
        <w:rPr>
          <w:color w:val="auto"/>
          <w:sz w:val="19"/>
          <w:szCs w:val="19"/>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65"/>
        <w:gridCol w:w="1019"/>
        <w:gridCol w:w="1019"/>
        <w:gridCol w:w="782"/>
        <w:gridCol w:w="859"/>
        <w:gridCol w:w="1411"/>
        <w:gridCol w:w="1924"/>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bookmarkStart w:id="219" w:name="_Toc221952089"/>
            <w:bookmarkEnd w:id="219"/>
            <w:r>
              <w:rPr>
                <w:rFonts w:ascii="宋体" w:hAnsi="宋体"/>
                <w:color w:val="auto"/>
                <w:szCs w:val="21"/>
                <w:highlight w:val="none"/>
              </w:rPr>
              <w:t>序号</w:t>
            </w:r>
          </w:p>
        </w:tc>
        <w:tc>
          <w:tcPr>
            <w:tcW w:w="642" w:type="pct"/>
          </w:tcPr>
          <w:p>
            <w:pPr>
              <w:spacing w:line="400" w:lineRule="exact"/>
              <w:jc w:val="center"/>
              <w:rPr>
                <w:rFonts w:ascii="宋体" w:hAnsi="宋体"/>
                <w:color w:val="auto"/>
                <w:szCs w:val="21"/>
                <w:highlight w:val="none"/>
              </w:rPr>
            </w:pPr>
            <w:bookmarkStart w:id="220" w:name="_Toc221952090"/>
            <w:bookmarkEnd w:id="220"/>
            <w:r>
              <w:rPr>
                <w:rFonts w:ascii="宋体" w:hAnsi="宋体"/>
                <w:color w:val="auto"/>
                <w:szCs w:val="21"/>
                <w:highlight w:val="none"/>
              </w:rPr>
              <w:t>仪器设备名称</w:t>
            </w:r>
          </w:p>
        </w:tc>
        <w:tc>
          <w:tcPr>
            <w:tcW w:w="517" w:type="pct"/>
          </w:tcPr>
          <w:p>
            <w:pPr>
              <w:spacing w:line="400" w:lineRule="exact"/>
              <w:jc w:val="center"/>
              <w:rPr>
                <w:rFonts w:ascii="宋体" w:hAnsi="宋体"/>
                <w:color w:val="auto"/>
                <w:szCs w:val="21"/>
                <w:highlight w:val="none"/>
              </w:rPr>
            </w:pPr>
            <w:bookmarkStart w:id="221" w:name="_Toc221952091"/>
            <w:bookmarkEnd w:id="221"/>
            <w:r>
              <w:rPr>
                <w:rFonts w:ascii="宋体" w:hAnsi="宋体"/>
                <w:color w:val="auto"/>
                <w:szCs w:val="21"/>
                <w:highlight w:val="none"/>
              </w:rPr>
              <w:t>型号</w:t>
            </w:r>
          </w:p>
          <w:p>
            <w:pPr>
              <w:spacing w:line="400" w:lineRule="exact"/>
              <w:jc w:val="center"/>
              <w:rPr>
                <w:rFonts w:ascii="宋体" w:hAnsi="宋体"/>
                <w:color w:val="auto"/>
                <w:szCs w:val="21"/>
                <w:highlight w:val="none"/>
              </w:rPr>
            </w:pPr>
            <w:bookmarkStart w:id="222" w:name="_Toc221952092"/>
            <w:bookmarkEnd w:id="222"/>
            <w:r>
              <w:rPr>
                <w:rFonts w:ascii="宋体" w:hAnsi="宋体"/>
                <w:color w:val="auto"/>
                <w:szCs w:val="21"/>
                <w:highlight w:val="none"/>
              </w:rPr>
              <w:t>规格</w:t>
            </w:r>
          </w:p>
        </w:tc>
        <w:tc>
          <w:tcPr>
            <w:tcW w:w="517" w:type="pct"/>
          </w:tcPr>
          <w:p>
            <w:pPr>
              <w:spacing w:line="400" w:lineRule="exact"/>
              <w:jc w:val="center"/>
              <w:rPr>
                <w:rFonts w:ascii="宋体" w:hAnsi="宋体"/>
                <w:color w:val="auto"/>
                <w:szCs w:val="21"/>
                <w:highlight w:val="none"/>
              </w:rPr>
            </w:pPr>
            <w:bookmarkStart w:id="223" w:name="_Toc221952093"/>
            <w:bookmarkEnd w:id="223"/>
            <w:r>
              <w:rPr>
                <w:rFonts w:ascii="宋体" w:hAnsi="宋体"/>
                <w:color w:val="auto"/>
                <w:szCs w:val="21"/>
                <w:highlight w:val="none"/>
              </w:rPr>
              <w:t>数量</w:t>
            </w:r>
          </w:p>
        </w:tc>
        <w:tc>
          <w:tcPr>
            <w:tcW w:w="397" w:type="pct"/>
          </w:tcPr>
          <w:p>
            <w:pPr>
              <w:spacing w:line="400" w:lineRule="exact"/>
              <w:jc w:val="center"/>
              <w:rPr>
                <w:rFonts w:ascii="宋体" w:hAnsi="宋体"/>
                <w:color w:val="auto"/>
                <w:szCs w:val="21"/>
                <w:highlight w:val="none"/>
              </w:rPr>
            </w:pPr>
            <w:bookmarkStart w:id="224" w:name="_Toc221952094"/>
            <w:bookmarkEnd w:id="224"/>
            <w:r>
              <w:rPr>
                <w:rFonts w:ascii="宋体" w:hAnsi="宋体"/>
                <w:color w:val="auto"/>
                <w:szCs w:val="21"/>
                <w:highlight w:val="none"/>
              </w:rPr>
              <w:t>国别</w:t>
            </w:r>
          </w:p>
          <w:p>
            <w:pPr>
              <w:spacing w:line="400" w:lineRule="exact"/>
              <w:jc w:val="center"/>
              <w:rPr>
                <w:rFonts w:ascii="宋体" w:hAnsi="宋体"/>
                <w:color w:val="auto"/>
                <w:szCs w:val="21"/>
                <w:highlight w:val="none"/>
              </w:rPr>
            </w:pPr>
            <w:bookmarkStart w:id="225" w:name="_Toc221952095"/>
            <w:bookmarkEnd w:id="225"/>
            <w:r>
              <w:rPr>
                <w:rFonts w:ascii="宋体" w:hAnsi="宋体"/>
                <w:color w:val="auto"/>
                <w:szCs w:val="21"/>
                <w:highlight w:val="none"/>
              </w:rPr>
              <w:t>产地</w:t>
            </w:r>
          </w:p>
        </w:tc>
        <w:tc>
          <w:tcPr>
            <w:tcW w:w="436" w:type="pct"/>
          </w:tcPr>
          <w:p>
            <w:pPr>
              <w:spacing w:line="400" w:lineRule="exact"/>
              <w:jc w:val="center"/>
              <w:rPr>
                <w:rFonts w:ascii="宋体" w:hAnsi="宋体"/>
                <w:color w:val="auto"/>
                <w:szCs w:val="21"/>
                <w:highlight w:val="none"/>
              </w:rPr>
            </w:pPr>
            <w:bookmarkStart w:id="226" w:name="_Toc221952096"/>
            <w:bookmarkEnd w:id="226"/>
            <w:r>
              <w:rPr>
                <w:rFonts w:ascii="宋体" w:hAnsi="宋体"/>
                <w:color w:val="auto"/>
                <w:szCs w:val="21"/>
                <w:highlight w:val="none"/>
              </w:rPr>
              <w:t>制造</w:t>
            </w:r>
          </w:p>
          <w:p>
            <w:pPr>
              <w:spacing w:line="400" w:lineRule="exact"/>
              <w:jc w:val="center"/>
              <w:rPr>
                <w:rFonts w:ascii="宋体" w:hAnsi="宋体"/>
                <w:color w:val="auto"/>
                <w:szCs w:val="21"/>
                <w:highlight w:val="none"/>
              </w:rPr>
            </w:pPr>
            <w:bookmarkStart w:id="227" w:name="_Toc221952097"/>
            <w:bookmarkEnd w:id="227"/>
            <w:r>
              <w:rPr>
                <w:rFonts w:ascii="宋体" w:hAnsi="宋体"/>
                <w:color w:val="auto"/>
                <w:szCs w:val="21"/>
                <w:highlight w:val="none"/>
              </w:rPr>
              <w:t>年份</w:t>
            </w:r>
          </w:p>
        </w:tc>
        <w:tc>
          <w:tcPr>
            <w:tcW w:w="716" w:type="pct"/>
          </w:tcPr>
          <w:p>
            <w:pPr>
              <w:spacing w:line="400" w:lineRule="exact"/>
              <w:jc w:val="center"/>
              <w:rPr>
                <w:rFonts w:ascii="宋体" w:hAnsi="宋体"/>
                <w:color w:val="auto"/>
                <w:szCs w:val="21"/>
                <w:highlight w:val="none"/>
              </w:rPr>
            </w:pPr>
            <w:bookmarkStart w:id="228" w:name="_Toc221952098"/>
            <w:bookmarkEnd w:id="228"/>
            <w:r>
              <w:rPr>
                <w:rFonts w:ascii="宋体" w:hAnsi="宋体"/>
                <w:color w:val="auto"/>
                <w:szCs w:val="21"/>
                <w:highlight w:val="none"/>
              </w:rPr>
              <w:t>已使用台时数</w:t>
            </w:r>
          </w:p>
        </w:tc>
        <w:tc>
          <w:tcPr>
            <w:tcW w:w="976" w:type="pct"/>
          </w:tcPr>
          <w:p>
            <w:pPr>
              <w:spacing w:line="400" w:lineRule="exact"/>
              <w:jc w:val="center"/>
              <w:rPr>
                <w:rFonts w:ascii="宋体" w:hAnsi="宋体"/>
                <w:color w:val="auto"/>
                <w:szCs w:val="21"/>
                <w:highlight w:val="none"/>
              </w:rPr>
            </w:pPr>
            <w:bookmarkStart w:id="229" w:name="_Toc221952099"/>
            <w:bookmarkEnd w:id="229"/>
            <w:r>
              <w:rPr>
                <w:rFonts w:ascii="宋体" w:hAnsi="宋体"/>
                <w:color w:val="auto"/>
                <w:szCs w:val="21"/>
                <w:highlight w:val="none"/>
              </w:rPr>
              <w:t>用途</w:t>
            </w:r>
          </w:p>
        </w:tc>
        <w:tc>
          <w:tcPr>
            <w:tcW w:w="406" w:type="pct"/>
          </w:tcPr>
          <w:p>
            <w:pPr>
              <w:spacing w:line="400" w:lineRule="exact"/>
              <w:jc w:val="center"/>
              <w:rPr>
                <w:rFonts w:ascii="宋体" w:hAnsi="宋体"/>
                <w:color w:val="auto"/>
                <w:szCs w:val="21"/>
                <w:highlight w:val="none"/>
              </w:rPr>
            </w:pPr>
            <w:bookmarkStart w:id="230" w:name="_Toc221952100"/>
            <w:bookmarkEnd w:id="230"/>
            <w:r>
              <w:rPr>
                <w:rFonts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400" w:lineRule="exact"/>
              <w:jc w:val="center"/>
              <w:rPr>
                <w:rFonts w:ascii="宋体" w:hAnsi="宋体"/>
                <w:color w:val="auto"/>
                <w:szCs w:val="21"/>
                <w:highlight w:val="none"/>
              </w:rPr>
            </w:pPr>
          </w:p>
        </w:tc>
        <w:tc>
          <w:tcPr>
            <w:tcW w:w="642"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517" w:type="pct"/>
          </w:tcPr>
          <w:p>
            <w:pPr>
              <w:spacing w:line="400" w:lineRule="exact"/>
              <w:jc w:val="center"/>
              <w:rPr>
                <w:rFonts w:ascii="宋体" w:hAnsi="宋体"/>
                <w:color w:val="auto"/>
                <w:szCs w:val="21"/>
                <w:highlight w:val="none"/>
              </w:rPr>
            </w:pPr>
          </w:p>
        </w:tc>
        <w:tc>
          <w:tcPr>
            <w:tcW w:w="397" w:type="pct"/>
          </w:tcPr>
          <w:p>
            <w:pPr>
              <w:spacing w:line="400" w:lineRule="exact"/>
              <w:jc w:val="center"/>
              <w:rPr>
                <w:rFonts w:ascii="宋体" w:hAnsi="宋体"/>
                <w:color w:val="auto"/>
                <w:szCs w:val="21"/>
                <w:highlight w:val="none"/>
              </w:rPr>
            </w:pPr>
          </w:p>
        </w:tc>
        <w:tc>
          <w:tcPr>
            <w:tcW w:w="436" w:type="pct"/>
          </w:tcPr>
          <w:p>
            <w:pPr>
              <w:spacing w:line="400" w:lineRule="exact"/>
              <w:jc w:val="center"/>
              <w:rPr>
                <w:rFonts w:ascii="宋体" w:hAnsi="宋体"/>
                <w:color w:val="auto"/>
                <w:szCs w:val="21"/>
                <w:highlight w:val="none"/>
              </w:rPr>
            </w:pPr>
          </w:p>
        </w:tc>
        <w:tc>
          <w:tcPr>
            <w:tcW w:w="716" w:type="pct"/>
          </w:tcPr>
          <w:p>
            <w:pPr>
              <w:spacing w:line="400" w:lineRule="exact"/>
              <w:jc w:val="center"/>
              <w:rPr>
                <w:rFonts w:ascii="宋体" w:hAnsi="宋体"/>
                <w:color w:val="auto"/>
                <w:szCs w:val="21"/>
                <w:highlight w:val="none"/>
              </w:rPr>
            </w:pPr>
          </w:p>
        </w:tc>
        <w:tc>
          <w:tcPr>
            <w:tcW w:w="976" w:type="pct"/>
          </w:tcPr>
          <w:p>
            <w:pPr>
              <w:spacing w:line="400" w:lineRule="exact"/>
              <w:jc w:val="center"/>
              <w:rPr>
                <w:rFonts w:ascii="宋体" w:hAnsi="宋体"/>
                <w:color w:val="auto"/>
                <w:szCs w:val="21"/>
                <w:highlight w:val="none"/>
              </w:rPr>
            </w:pPr>
          </w:p>
        </w:tc>
        <w:tc>
          <w:tcPr>
            <w:tcW w:w="406" w:type="pct"/>
          </w:tcPr>
          <w:p>
            <w:pPr>
              <w:spacing w:line="400" w:lineRule="exact"/>
              <w:jc w:val="center"/>
              <w:rPr>
                <w:rFonts w:ascii="宋体" w:hAnsi="宋体"/>
                <w:color w:val="auto"/>
                <w:szCs w:val="21"/>
                <w:highlight w:val="none"/>
              </w:rPr>
            </w:pPr>
          </w:p>
        </w:tc>
      </w:tr>
    </w:tbl>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231" w:name="_Toc168476329"/>
      <w:bookmarkEnd w:id="231"/>
      <w:bookmarkStart w:id="232" w:name="_Toc221952101"/>
      <w:bookmarkEnd w:id="232"/>
      <w:bookmarkStart w:id="233" w:name="_Toc168475926"/>
      <w:bookmarkEnd w:id="233"/>
      <w:bookmarkStart w:id="234" w:name="_Toc144974867"/>
      <w:bookmarkEnd w:id="234"/>
      <w:r>
        <w:rPr>
          <w:rFonts w:ascii="宋体" w:hAnsi="宋体"/>
          <w:b/>
          <w:color w:val="auto"/>
          <w:sz w:val="24"/>
          <w:szCs w:val="31"/>
          <w:highlight w:val="none"/>
        </w:rPr>
        <w:t>附表三：</w:t>
      </w:r>
      <w:r>
        <w:rPr>
          <w:rFonts w:hint="eastAsia" w:ascii="宋体" w:hAnsi="宋体"/>
          <w:b/>
          <w:color w:val="auto"/>
          <w:sz w:val="24"/>
          <w:szCs w:val="31"/>
          <w:highlight w:val="none"/>
        </w:rPr>
        <w:t>拟投入本标段的</w:t>
      </w:r>
      <w:r>
        <w:rPr>
          <w:rFonts w:ascii="宋体" w:hAnsi="宋体"/>
          <w:b/>
          <w:color w:val="auto"/>
          <w:sz w:val="24"/>
          <w:szCs w:val="31"/>
          <w:highlight w:val="none"/>
        </w:rPr>
        <w:t>劳动力计划表</w:t>
      </w:r>
    </w:p>
    <w:p>
      <w:pPr>
        <w:spacing w:line="400" w:lineRule="exact"/>
        <w:ind w:right="200"/>
        <w:jc w:val="right"/>
        <w:rPr>
          <w:rFonts w:ascii="宋体" w:hAnsi="宋体"/>
          <w:color w:val="auto"/>
          <w:szCs w:val="21"/>
          <w:highlight w:val="none"/>
        </w:rPr>
      </w:pPr>
      <w:bookmarkStart w:id="235" w:name="_Toc221952102"/>
      <w:bookmarkEnd w:id="235"/>
      <w:r>
        <w:rPr>
          <w:rFonts w:ascii="宋体" w:hAnsi="宋体"/>
          <w:color w:val="auto"/>
          <w:szCs w:val="21"/>
          <w:highlight w:val="none"/>
        </w:rPr>
        <w:t>单位：人</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07"/>
        <w:gridCol w:w="1232"/>
        <w:gridCol w:w="1232"/>
        <w:gridCol w:w="1232"/>
        <w:gridCol w:w="1232"/>
        <w:gridCol w:w="123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bookmarkStart w:id="236" w:name="_Toc221952103"/>
            <w:bookmarkEnd w:id="236"/>
            <w:r>
              <w:rPr>
                <w:rFonts w:ascii="宋体" w:hAnsi="宋体"/>
                <w:color w:val="auto"/>
                <w:szCs w:val="21"/>
                <w:highlight w:val="none"/>
              </w:rPr>
              <w:t>工种</w:t>
            </w:r>
          </w:p>
        </w:tc>
        <w:tc>
          <w:tcPr>
            <w:tcW w:w="4514" w:type="pct"/>
            <w:gridSpan w:val="7"/>
          </w:tcPr>
          <w:p>
            <w:pPr>
              <w:spacing w:line="400" w:lineRule="exact"/>
              <w:jc w:val="center"/>
              <w:rPr>
                <w:rFonts w:ascii="宋体" w:hAnsi="宋体"/>
                <w:color w:val="auto"/>
                <w:szCs w:val="21"/>
                <w:highlight w:val="none"/>
              </w:rPr>
            </w:pPr>
            <w:bookmarkStart w:id="237" w:name="_Toc221952104"/>
            <w:bookmarkEnd w:id="237"/>
            <w:r>
              <w:rPr>
                <w:rFonts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pPr>
              <w:spacing w:line="400" w:lineRule="exact"/>
              <w:jc w:val="center"/>
              <w:rPr>
                <w:rFonts w:ascii="宋体" w:hAnsi="宋体"/>
                <w:color w:val="auto"/>
                <w:szCs w:val="21"/>
                <w:highlight w:val="none"/>
              </w:rPr>
            </w:pPr>
          </w:p>
        </w:tc>
        <w:tc>
          <w:tcPr>
            <w:tcW w:w="76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5" w:type="pct"/>
          </w:tcPr>
          <w:p>
            <w:pPr>
              <w:spacing w:line="400" w:lineRule="exact"/>
              <w:jc w:val="center"/>
              <w:rPr>
                <w:rFonts w:ascii="宋体" w:hAnsi="宋体"/>
                <w:color w:val="auto"/>
                <w:szCs w:val="21"/>
                <w:highlight w:val="none"/>
              </w:rPr>
            </w:pPr>
          </w:p>
        </w:tc>
        <w:tc>
          <w:tcPr>
            <w:tcW w:w="624" w:type="pct"/>
          </w:tcPr>
          <w:p>
            <w:pPr>
              <w:spacing w:line="400" w:lineRule="exact"/>
              <w:jc w:val="center"/>
              <w:rPr>
                <w:rFonts w:ascii="宋体" w:hAnsi="宋体"/>
                <w:color w:val="auto"/>
                <w:szCs w:val="21"/>
                <w:highlight w:val="none"/>
              </w:rPr>
            </w:pPr>
          </w:p>
        </w:tc>
      </w:tr>
    </w:tbl>
    <w:p>
      <w:pPr>
        <w:topLinePunct/>
        <w:spacing w:line="400" w:lineRule="exact"/>
        <w:rPr>
          <w:color w:val="auto"/>
          <w:sz w:val="20"/>
          <w:szCs w:val="20"/>
          <w:highlight w:val="none"/>
        </w:rPr>
      </w:pPr>
    </w:p>
    <w:p>
      <w:pPr>
        <w:widowControl/>
        <w:jc w:val="left"/>
        <w:rPr>
          <w:rFonts w:ascii="宋体" w:hAnsi="宋体"/>
          <w:b/>
          <w:color w:val="auto"/>
          <w:sz w:val="24"/>
          <w:szCs w:val="31"/>
          <w:highlight w:val="none"/>
        </w:rPr>
      </w:pPr>
      <w:bookmarkStart w:id="238" w:name="_Toc144974868"/>
      <w:bookmarkStart w:id="239" w:name="_Toc168475927"/>
      <w:bookmarkStart w:id="240" w:name="_Toc221952105"/>
      <w:bookmarkStart w:id="241" w:name="_Toc168476330"/>
      <w:r>
        <w:rPr>
          <w:rFonts w:ascii="宋体" w:hAnsi="宋体"/>
          <w:b/>
          <w:color w:val="auto"/>
          <w:sz w:val="24"/>
          <w:szCs w:val="31"/>
          <w:highlight w:val="none"/>
        </w:rPr>
        <w:br w:type="page"/>
      </w:r>
    </w:p>
    <w:bookmarkEnd w:id="238"/>
    <w:bookmarkEnd w:id="239"/>
    <w:bookmarkEnd w:id="240"/>
    <w:bookmarkEnd w:id="241"/>
    <w:p>
      <w:pPr>
        <w:spacing w:line="400" w:lineRule="exact"/>
        <w:jc w:val="center"/>
        <w:outlineLvl w:val="3"/>
        <w:rPr>
          <w:rFonts w:ascii="宋体" w:hAnsi="宋体"/>
          <w:b/>
          <w:color w:val="auto"/>
          <w:sz w:val="24"/>
          <w:szCs w:val="31"/>
          <w:highlight w:val="none"/>
        </w:rPr>
      </w:pPr>
      <w:r>
        <w:rPr>
          <w:rFonts w:ascii="宋体" w:hAnsi="宋体"/>
          <w:b/>
          <w:color w:val="auto"/>
          <w:sz w:val="24"/>
          <w:szCs w:val="31"/>
          <w:highlight w:val="none"/>
        </w:rPr>
        <w:t>附表四：计划开</w:t>
      </w:r>
      <w:r>
        <w:rPr>
          <w:rFonts w:hint="eastAsia" w:ascii="宋体" w:hAnsi="宋体"/>
          <w:b/>
          <w:color w:val="auto"/>
          <w:sz w:val="24"/>
          <w:szCs w:val="31"/>
          <w:highlight w:val="none"/>
        </w:rPr>
        <w:t>工日期</w:t>
      </w:r>
      <w:r>
        <w:rPr>
          <w:rFonts w:ascii="宋体" w:hAnsi="宋体"/>
          <w:b/>
          <w:color w:val="auto"/>
          <w:sz w:val="24"/>
          <w:szCs w:val="31"/>
          <w:highlight w:val="none"/>
        </w:rPr>
        <w:t>、</w:t>
      </w:r>
      <w:r>
        <w:rPr>
          <w:rFonts w:hint="eastAsia" w:ascii="宋体" w:hAnsi="宋体"/>
          <w:b/>
          <w:color w:val="auto"/>
          <w:sz w:val="24"/>
          <w:szCs w:val="31"/>
          <w:highlight w:val="none"/>
        </w:rPr>
        <w:t>完工</w:t>
      </w:r>
      <w:r>
        <w:rPr>
          <w:rFonts w:ascii="宋体" w:hAnsi="宋体"/>
          <w:b/>
          <w:color w:val="auto"/>
          <w:sz w:val="24"/>
          <w:szCs w:val="31"/>
          <w:highlight w:val="none"/>
        </w:rPr>
        <w:t>日期和施工进度网络图</w:t>
      </w:r>
    </w:p>
    <w:p>
      <w:pPr>
        <w:spacing w:line="400" w:lineRule="exact"/>
        <w:rPr>
          <w:rFonts w:eastAsia="黑体"/>
          <w:color w:val="auto"/>
          <w:sz w:val="19"/>
          <w:szCs w:val="19"/>
          <w:highlight w:val="none"/>
        </w:rPr>
      </w:pPr>
    </w:p>
    <w:p>
      <w:pPr>
        <w:spacing w:line="400" w:lineRule="exact"/>
        <w:ind w:firstLine="420" w:firstLineChars="200"/>
        <w:rPr>
          <w:rFonts w:ascii="宋体" w:hAnsi="宋体"/>
          <w:color w:val="auto"/>
          <w:szCs w:val="21"/>
          <w:highlight w:val="none"/>
        </w:rPr>
      </w:pPr>
      <w:bookmarkStart w:id="242" w:name="_Toc221952106"/>
      <w:bookmarkEnd w:id="242"/>
      <w:r>
        <w:rPr>
          <w:rFonts w:ascii="宋体" w:hAnsi="宋体"/>
          <w:color w:val="auto"/>
          <w:szCs w:val="21"/>
          <w:highlight w:val="none"/>
        </w:rPr>
        <w:t>1. 投标人应递交施工进度网络图或施工进度表，说明按招标文件要求的计划工期进行施工的各个关键日期。</w:t>
      </w:r>
    </w:p>
    <w:p>
      <w:pPr>
        <w:spacing w:line="400" w:lineRule="exact"/>
        <w:ind w:firstLine="420" w:firstLineChars="200"/>
        <w:rPr>
          <w:rFonts w:ascii="宋体" w:hAnsi="宋体"/>
          <w:color w:val="auto"/>
          <w:szCs w:val="21"/>
          <w:highlight w:val="none"/>
        </w:rPr>
      </w:pPr>
      <w:bookmarkStart w:id="243" w:name="_Toc221952107"/>
      <w:bookmarkEnd w:id="243"/>
      <w:r>
        <w:rPr>
          <w:rFonts w:ascii="宋体" w:hAnsi="宋体"/>
          <w:color w:val="auto"/>
          <w:szCs w:val="21"/>
          <w:highlight w:val="none"/>
        </w:rPr>
        <w:t>2. 施工进度表可采用</w:t>
      </w:r>
      <w:r>
        <w:rPr>
          <w:rFonts w:hint="eastAsia" w:ascii="宋体" w:hAnsi="宋体"/>
          <w:color w:val="auto"/>
          <w:szCs w:val="21"/>
          <w:highlight w:val="none"/>
          <w:u w:val="single"/>
        </w:rPr>
        <w:t xml:space="preserve">                 </w:t>
      </w:r>
      <w:r>
        <w:rPr>
          <w:rFonts w:ascii="宋体" w:hAnsi="宋体"/>
          <w:color w:val="auto"/>
          <w:szCs w:val="21"/>
          <w:highlight w:val="none"/>
        </w:rPr>
        <w:t>网络图（或横道图）表示。</w:t>
      </w:r>
    </w:p>
    <w:p>
      <w:pPr>
        <w:spacing w:line="400" w:lineRule="exact"/>
        <w:rPr>
          <w:color w:val="auto"/>
          <w:sz w:val="19"/>
          <w:szCs w:val="19"/>
          <w:highlight w:val="none"/>
        </w:rPr>
      </w:pPr>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244" w:name="_Toc168476331"/>
      <w:bookmarkEnd w:id="244"/>
      <w:bookmarkStart w:id="245" w:name="_Toc168475928"/>
      <w:bookmarkEnd w:id="245"/>
      <w:bookmarkStart w:id="246" w:name="_Toc144974869"/>
      <w:bookmarkEnd w:id="246"/>
      <w:bookmarkStart w:id="247" w:name="_Toc221952108"/>
      <w:bookmarkEnd w:id="247"/>
      <w:r>
        <w:rPr>
          <w:rFonts w:ascii="宋体" w:hAnsi="宋体"/>
          <w:b/>
          <w:color w:val="auto"/>
          <w:sz w:val="24"/>
          <w:szCs w:val="31"/>
          <w:highlight w:val="none"/>
        </w:rPr>
        <w:t>附表五：施工总平面图</w:t>
      </w:r>
    </w:p>
    <w:p>
      <w:pPr>
        <w:spacing w:line="400" w:lineRule="exact"/>
        <w:rPr>
          <w:rFonts w:eastAsia="黑体"/>
          <w:color w:val="auto"/>
          <w:sz w:val="19"/>
          <w:szCs w:val="19"/>
          <w:highlight w:val="none"/>
        </w:rPr>
      </w:pPr>
      <w:r>
        <w:rPr>
          <w:rFonts w:eastAsia="黑体"/>
          <w:color w:val="auto"/>
          <w:sz w:val="19"/>
          <w:szCs w:val="19"/>
          <w:highlight w:val="none"/>
        </w:rPr>
        <w:tab/>
      </w:r>
    </w:p>
    <w:p>
      <w:pPr>
        <w:spacing w:line="400" w:lineRule="exact"/>
        <w:ind w:firstLine="420" w:firstLineChars="200"/>
        <w:rPr>
          <w:color w:val="auto"/>
          <w:szCs w:val="21"/>
          <w:highlight w:val="none"/>
        </w:rPr>
      </w:pPr>
      <w:r>
        <w:rPr>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r>
        <w:rPr>
          <w:rFonts w:ascii="宋体" w:hAnsi="宋体"/>
          <w:b/>
          <w:color w:val="auto"/>
          <w:sz w:val="24"/>
          <w:szCs w:val="31"/>
          <w:highlight w:val="none"/>
        </w:rPr>
        <w:t>附表六</w:t>
      </w:r>
      <w:r>
        <w:rPr>
          <w:rFonts w:hint="eastAsia" w:ascii="宋体" w:hAnsi="宋体"/>
          <w:b/>
          <w:color w:val="auto"/>
          <w:sz w:val="24"/>
          <w:szCs w:val="31"/>
          <w:highlight w:val="none"/>
        </w:rPr>
        <w:t>：</w:t>
      </w:r>
      <w:r>
        <w:rPr>
          <w:rFonts w:ascii="宋体" w:hAnsi="宋体"/>
          <w:b/>
          <w:color w:val="auto"/>
          <w:sz w:val="24"/>
          <w:szCs w:val="31"/>
          <w:highlight w:val="none"/>
        </w:rPr>
        <w:t>临时用地表</w:t>
      </w:r>
    </w:p>
    <w:p>
      <w:pPr>
        <w:spacing w:line="400" w:lineRule="exact"/>
        <w:jc w:val="left"/>
        <w:rPr>
          <w:color w:val="auto"/>
          <w:sz w:val="22"/>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r>
              <w:rPr>
                <w:rFonts w:ascii="宋体" w:hAnsi="宋体"/>
                <w:color w:val="auto"/>
                <w:szCs w:val="21"/>
                <w:highlight w:val="none"/>
              </w:rPr>
              <w:t>用 途</w:t>
            </w:r>
          </w:p>
        </w:tc>
        <w:tc>
          <w:tcPr>
            <w:tcW w:w="1250" w:type="pct"/>
          </w:tcPr>
          <w:p>
            <w:pPr>
              <w:spacing w:line="400" w:lineRule="exact"/>
              <w:jc w:val="center"/>
              <w:rPr>
                <w:rFonts w:ascii="宋体" w:hAnsi="宋体"/>
                <w:color w:val="auto"/>
                <w:szCs w:val="21"/>
                <w:highlight w:val="none"/>
              </w:rPr>
            </w:pPr>
            <w:r>
              <w:rPr>
                <w:rFonts w:ascii="宋体" w:hAnsi="宋体"/>
                <w:color w:val="auto"/>
                <w:szCs w:val="21"/>
                <w:highlight w:val="none"/>
              </w:rPr>
              <w:t>面 积（</w:t>
            </w:r>
            <w:r>
              <w:rPr>
                <w:rFonts w:hint="eastAsia" w:ascii="宋体" w:hAnsi="宋体"/>
                <w:color w:val="auto"/>
                <w:szCs w:val="21"/>
                <w:highlight w:val="none"/>
              </w:rPr>
              <w:t>㎡</w:t>
            </w:r>
            <w:r>
              <w:rPr>
                <w:rFonts w:ascii="宋体" w:hAnsi="宋体"/>
                <w:color w:val="auto"/>
                <w:szCs w:val="21"/>
                <w:highlight w:val="none"/>
              </w:rPr>
              <w:t>）</w:t>
            </w:r>
          </w:p>
        </w:tc>
        <w:tc>
          <w:tcPr>
            <w:tcW w:w="1250" w:type="pct"/>
          </w:tcPr>
          <w:p>
            <w:pPr>
              <w:spacing w:line="400" w:lineRule="exact"/>
              <w:jc w:val="center"/>
              <w:rPr>
                <w:rFonts w:ascii="宋体" w:hAnsi="宋体"/>
                <w:color w:val="auto"/>
                <w:szCs w:val="21"/>
                <w:highlight w:val="none"/>
              </w:rPr>
            </w:pPr>
            <w:r>
              <w:rPr>
                <w:rFonts w:ascii="宋体" w:hAnsi="宋体"/>
                <w:color w:val="auto"/>
                <w:szCs w:val="21"/>
                <w:highlight w:val="none"/>
              </w:rPr>
              <w:t>位 置</w:t>
            </w:r>
          </w:p>
        </w:tc>
        <w:tc>
          <w:tcPr>
            <w:tcW w:w="1250" w:type="pct"/>
          </w:tcPr>
          <w:p>
            <w:pPr>
              <w:spacing w:line="400" w:lineRule="exact"/>
              <w:jc w:val="center"/>
              <w:rPr>
                <w:rFonts w:ascii="宋体" w:hAnsi="宋体"/>
                <w:color w:val="auto"/>
                <w:szCs w:val="21"/>
                <w:highlight w:val="none"/>
              </w:rPr>
            </w:pPr>
            <w:r>
              <w:rPr>
                <w:rFonts w:ascii="宋体" w:hAnsi="宋体"/>
                <w:color w:val="auto"/>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c>
          <w:tcPr>
            <w:tcW w:w="1250" w:type="pct"/>
          </w:tcPr>
          <w:p>
            <w:pPr>
              <w:spacing w:line="400" w:lineRule="exact"/>
              <w:jc w:val="center"/>
              <w:rPr>
                <w:rFonts w:ascii="宋体" w:hAnsi="宋体"/>
                <w:color w:val="auto"/>
                <w:szCs w:val="21"/>
                <w:highlight w:val="none"/>
              </w:rPr>
            </w:pPr>
          </w:p>
        </w:tc>
      </w:tr>
    </w:tbl>
    <w:p>
      <w:pPr>
        <w:topLinePunct/>
        <w:spacing w:line="400" w:lineRule="exact"/>
        <w:rPr>
          <w:color w:val="auto"/>
          <w:sz w:val="20"/>
          <w:szCs w:val="20"/>
          <w:highlight w:val="none"/>
        </w:rPr>
      </w:pPr>
    </w:p>
    <w:p>
      <w:pPr>
        <w:topLinePunct/>
        <w:spacing w:line="400" w:lineRule="exact"/>
        <w:rPr>
          <w:color w:val="auto"/>
          <w:sz w:val="20"/>
          <w:szCs w:val="20"/>
          <w:highlight w:val="none"/>
        </w:rPr>
      </w:pPr>
    </w:p>
    <w:p>
      <w:pPr>
        <w:topLinePunct/>
        <w:spacing w:line="400" w:lineRule="exact"/>
        <w:rPr>
          <w:color w:val="auto"/>
          <w:sz w:val="20"/>
          <w:szCs w:val="20"/>
          <w:highlight w:val="none"/>
        </w:rPr>
      </w:pPr>
    </w:p>
    <w:p>
      <w:pPr>
        <w:topLinePunct/>
        <w:spacing w:line="400" w:lineRule="exact"/>
        <w:rPr>
          <w:color w:val="auto"/>
          <w:sz w:val="20"/>
          <w:szCs w:val="20"/>
          <w:highlight w:val="none"/>
        </w:rPr>
      </w:pPr>
    </w:p>
    <w:bookmarkEnd w:id="195"/>
    <w:p>
      <w:pPr>
        <w:pageBreakBefore/>
        <w:widowControl/>
        <w:spacing w:line="400" w:lineRule="exact"/>
        <w:jc w:val="left"/>
        <w:rPr>
          <w:rFonts w:ascii="黑体" w:hAnsi="黑体" w:eastAsia="黑体"/>
          <w:color w:val="auto"/>
          <w:sz w:val="28"/>
          <w:szCs w:val="27"/>
          <w:highlight w:val="none"/>
        </w:rPr>
      </w:pPr>
    </w:p>
    <w:p>
      <w:pPr>
        <w:spacing w:line="400" w:lineRule="exact"/>
        <w:jc w:val="center"/>
        <w:outlineLvl w:val="2"/>
        <w:rPr>
          <w:rFonts w:ascii="黑体" w:hAnsi="黑体" w:eastAsia="黑体"/>
          <w:color w:val="auto"/>
          <w:sz w:val="28"/>
          <w:szCs w:val="27"/>
          <w:highlight w:val="none"/>
        </w:rPr>
      </w:pPr>
      <w:bookmarkStart w:id="248" w:name="_Toc21787767"/>
      <w:bookmarkEnd w:id="248"/>
      <w:bookmarkStart w:id="249" w:name="_Toc11084"/>
      <w:bookmarkEnd w:id="249"/>
      <w:bookmarkStart w:id="250" w:name="_Toc30529"/>
      <w:r>
        <w:rPr>
          <w:rFonts w:hint="eastAsia" w:ascii="黑体" w:hAnsi="黑体" w:eastAsia="黑体"/>
          <w:color w:val="auto"/>
          <w:sz w:val="28"/>
          <w:szCs w:val="27"/>
          <w:highlight w:val="none"/>
        </w:rPr>
        <w:t>六、项目管理机构</w:t>
      </w:r>
      <w:bookmarkEnd w:id="250"/>
    </w:p>
    <w:p>
      <w:pPr>
        <w:numPr>
          <w:ilvl w:val="255"/>
          <w:numId w:val="0"/>
        </w:numPr>
        <w:spacing w:line="400" w:lineRule="exact"/>
        <w:jc w:val="left"/>
        <w:outlineLvl w:val="2"/>
        <w:rPr>
          <w:rFonts w:ascii="宋体" w:hAnsi="宋体"/>
          <w:b/>
          <w:color w:val="auto"/>
          <w:sz w:val="24"/>
          <w:szCs w:val="24"/>
          <w:highlight w:val="none"/>
        </w:rPr>
      </w:pPr>
      <w:bookmarkStart w:id="251" w:name="_Toc168476335"/>
      <w:bookmarkEnd w:id="251"/>
      <w:bookmarkStart w:id="252" w:name="_Toc221952127"/>
      <w:bookmarkEnd w:id="252"/>
      <w:bookmarkStart w:id="253" w:name="_Toc221952129"/>
      <w:bookmarkEnd w:id="253"/>
      <w:bookmarkStart w:id="254" w:name="_Toc168475932"/>
      <w:bookmarkEnd w:id="254"/>
      <w:bookmarkStart w:id="255" w:name="_Toc144974873"/>
      <w:bookmarkEnd w:id="255"/>
      <w:bookmarkStart w:id="256" w:name="_Toc2001"/>
      <w:bookmarkStart w:id="257" w:name="_Toc221952130"/>
      <w:r>
        <w:rPr>
          <w:rFonts w:hint="eastAsia" w:ascii="宋体" w:hAnsi="宋体"/>
          <w:b/>
          <w:color w:val="auto"/>
          <w:sz w:val="24"/>
          <w:szCs w:val="24"/>
          <w:highlight w:val="none"/>
        </w:rPr>
        <w:t>（一）项目管理架构人员最低配置承诺书（参考格式）</w:t>
      </w:r>
      <w:bookmarkEnd w:id="256"/>
    </w:p>
    <w:bookmarkEnd w:id="257"/>
    <w:p>
      <w:pPr>
        <w:spacing w:before="120" w:line="400" w:lineRule="exact"/>
        <w:ind w:left="960" w:hanging="960"/>
        <w:rPr>
          <w:color w:val="auto"/>
          <w:szCs w:val="32"/>
          <w:highlight w:val="none"/>
        </w:rPr>
      </w:pPr>
      <w:bookmarkStart w:id="258" w:name="_Toc221952131"/>
      <w:bookmarkEnd w:id="258"/>
      <w:r>
        <w:rPr>
          <w:color w:val="auto"/>
          <w:szCs w:val="32"/>
          <w:highlight w:val="none"/>
        </w:rPr>
        <w:t>致（招标人）：</w:t>
      </w:r>
    </w:p>
    <w:p>
      <w:pPr>
        <w:spacing w:before="120" w:line="400" w:lineRule="exact"/>
        <w:ind w:left="6" w:leftChars="3" w:firstLine="420" w:firstLineChars="200"/>
        <w:rPr>
          <w:b/>
          <w:bCs/>
          <w:color w:val="auto"/>
          <w:szCs w:val="32"/>
          <w:highlight w:val="none"/>
        </w:rPr>
      </w:pPr>
      <w:bookmarkStart w:id="259" w:name="_Toc221952132"/>
      <w:bookmarkEnd w:id="259"/>
      <w:bookmarkStart w:id="260" w:name="_Toc221952134"/>
      <w:bookmarkEnd w:id="260"/>
      <w:bookmarkStart w:id="261" w:name="_Toc221952133"/>
      <w:bookmarkEnd w:id="261"/>
      <w:bookmarkStart w:id="262" w:name="_Toc221952135"/>
      <w:bookmarkEnd w:id="262"/>
      <w:bookmarkStart w:id="263" w:name="_Toc221952136"/>
      <w:r>
        <w:rPr>
          <w:color w:val="auto"/>
          <w:szCs w:val="32"/>
          <w:highlight w:val="none"/>
        </w:rPr>
        <w:t>我公司参与</w:t>
      </w:r>
      <w:r>
        <w:rPr>
          <w:color w:val="auto"/>
          <w:szCs w:val="32"/>
          <w:highlight w:val="none"/>
          <w:u w:val="single"/>
        </w:rPr>
        <w:t>（项目名称）</w:t>
      </w:r>
      <w:r>
        <w:rPr>
          <w:color w:val="auto"/>
          <w:szCs w:val="32"/>
          <w:highlight w:val="none"/>
        </w:rPr>
        <w:t>投标，郑重承诺如下(具体要求请招标人根据项目特点确定)：</w:t>
      </w:r>
    </w:p>
    <w:tbl>
      <w:tblPr>
        <w:tblStyle w:val="42"/>
        <w:tblpPr w:leftFromText="180" w:rightFromText="180" w:vertAnchor="page" w:horzAnchor="page" w:tblpX="1258" w:tblpY="31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41"/>
        <w:gridCol w:w="2720"/>
        <w:gridCol w:w="1134"/>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7"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color w:val="auto"/>
                <w:szCs w:val="21"/>
                <w:highlight w:val="none"/>
              </w:rPr>
            </w:pPr>
            <w:r>
              <w:rPr>
                <w:rFonts w:hint="eastAsia" w:ascii="黑体" w:eastAsia="黑体"/>
                <w:color w:val="auto"/>
                <w:szCs w:val="21"/>
                <w:highlight w:val="none"/>
              </w:rPr>
              <w:t>序号</w:t>
            </w:r>
          </w:p>
          <w:bookmarkEnd w:id="263"/>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color w:val="auto"/>
                <w:szCs w:val="21"/>
                <w:highlight w:val="none"/>
              </w:rPr>
            </w:pPr>
            <w:r>
              <w:rPr>
                <w:rFonts w:hint="eastAsia" w:ascii="黑体" w:eastAsia="黑体"/>
                <w:color w:val="auto"/>
                <w:szCs w:val="21"/>
                <w:highlight w:val="none"/>
              </w:rPr>
              <w:t>岗位</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color w:val="auto"/>
                <w:szCs w:val="21"/>
                <w:highlight w:val="none"/>
              </w:rPr>
            </w:pPr>
            <w:r>
              <w:rPr>
                <w:rFonts w:hint="eastAsia" w:ascii="黑体" w:eastAsia="黑体"/>
                <w:color w:val="auto"/>
                <w:szCs w:val="21"/>
                <w:highlight w:val="none"/>
              </w:rPr>
              <w:t>资格要求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color w:val="auto"/>
                <w:szCs w:val="21"/>
                <w:highlight w:val="none"/>
              </w:rPr>
            </w:pPr>
            <w:r>
              <w:rPr>
                <w:rFonts w:hint="eastAsia" w:ascii="黑体" w:eastAsia="黑体"/>
                <w:color w:val="auto"/>
                <w:szCs w:val="21"/>
                <w:highlight w:val="none"/>
              </w:rPr>
              <w:t>数量</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840" w:hanging="840"/>
              <w:jc w:val="center"/>
              <w:rPr>
                <w:rFonts w:ascii="黑体" w:eastAsia="黑体"/>
                <w:color w:val="auto"/>
                <w:szCs w:val="21"/>
                <w:highlight w:val="none"/>
              </w:rPr>
            </w:pPr>
            <w:r>
              <w:rPr>
                <w:rFonts w:hint="eastAsia" w:ascii="黑体" w:eastAsia="黑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color w:val="auto"/>
                <w:sz w:val="24"/>
                <w:szCs w:val="24"/>
                <w:highlight w:val="none"/>
              </w:rPr>
            </w:pPr>
            <w:r>
              <w:rPr>
                <w:color w:val="auto"/>
                <w:sz w:val="24"/>
                <w:highlight w:val="none"/>
              </w:rPr>
              <w:t>1</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项目负责人</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bookmarkStart w:id="264" w:name="_Toc221952137"/>
            <w:r>
              <w:rPr>
                <w:color w:val="auto"/>
                <w:sz w:val="24"/>
                <w:highlight w:val="none"/>
              </w:rPr>
              <w:t>与招标公告要求一致</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rFonts w:hint="eastAsia"/>
                <w:color w:val="auto"/>
                <w:sz w:val="24"/>
                <w:szCs w:val="24"/>
                <w:highlight w:val="none"/>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33"/>
              <w:jc w:val="center"/>
              <w:rPr>
                <w:color w:val="auto"/>
                <w:sz w:val="24"/>
                <w:szCs w:val="24"/>
                <w:highlight w:val="none"/>
              </w:rPr>
            </w:pPr>
            <w:bookmarkStart w:id="265" w:name="_Toc221952139"/>
            <w:bookmarkEnd w:id="265"/>
            <w:bookmarkStart w:id="266" w:name="_Toc221952138"/>
            <w:bookmarkEnd w:id="266"/>
            <w:r>
              <w:rPr>
                <w:color w:val="auto"/>
                <w:sz w:val="24"/>
                <w:highlight w:val="none"/>
              </w:rPr>
              <w:t>填报人员与资格审查提供的人员一致。</w:t>
            </w:r>
          </w:p>
          <w:bookmarkEnd w:id="264"/>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color w:val="auto"/>
                <w:sz w:val="24"/>
                <w:szCs w:val="24"/>
                <w:highlight w:val="none"/>
              </w:rPr>
            </w:pPr>
            <w:bookmarkStart w:id="267" w:name="_Toc221952141"/>
            <w:r>
              <w:rPr>
                <w:color w:val="auto"/>
                <w:sz w:val="24"/>
                <w:highlight w:val="none"/>
              </w:rPr>
              <w:t>2</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技术负责人</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highlight w:val="none"/>
              </w:rPr>
            </w:pPr>
            <w:r>
              <w:rPr>
                <w:rFonts w:hint="eastAsia"/>
                <w:color w:val="auto"/>
                <w:sz w:val="24"/>
                <w:highlight w:val="none"/>
              </w:rPr>
              <w:t>市政公用工程类</w:t>
            </w:r>
          </w:p>
          <w:p>
            <w:pPr>
              <w:spacing w:before="120" w:line="400" w:lineRule="exact"/>
              <w:ind w:left="720" w:hanging="720"/>
              <w:jc w:val="center"/>
              <w:rPr>
                <w:color w:val="auto"/>
                <w:sz w:val="24"/>
                <w:highlight w:val="none"/>
              </w:rPr>
            </w:pPr>
            <w:r>
              <w:rPr>
                <w:color w:val="auto"/>
                <w:sz w:val="24"/>
                <w:highlight w:val="none"/>
              </w:rPr>
              <w:t>中级</w:t>
            </w:r>
            <w:r>
              <w:rPr>
                <w:rFonts w:hint="eastAsia"/>
                <w:color w:val="auto"/>
                <w:sz w:val="24"/>
                <w:highlight w:val="none"/>
              </w:rPr>
              <w:t>（或以上）</w:t>
            </w:r>
            <w:r>
              <w:rPr>
                <w:color w:val="auto"/>
                <w:sz w:val="24"/>
                <w:highlight w:val="none"/>
              </w:rPr>
              <w:t>工程师</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rFonts w:hint="eastAsia"/>
                <w:color w:val="auto"/>
                <w:sz w:val="24"/>
                <w:szCs w:val="24"/>
                <w:highlight w:val="none"/>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firstLine="34"/>
              <w:jc w:val="center"/>
              <w:rPr>
                <w:color w:val="auto"/>
                <w:sz w:val="24"/>
                <w:szCs w:val="24"/>
                <w:highlight w:val="none"/>
              </w:rPr>
            </w:pPr>
            <w:r>
              <w:rPr>
                <w:color w:val="auto"/>
                <w:sz w:val="24"/>
                <w:highlight w:val="none"/>
              </w:rPr>
              <w:t>等级根据项目规模确定，不得由项目负责人或专职安全员兼职</w:t>
            </w:r>
          </w:p>
          <w:bookmarkEnd w:id="267"/>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color w:val="auto"/>
                <w:sz w:val="24"/>
                <w:szCs w:val="24"/>
                <w:highlight w:val="none"/>
              </w:rPr>
            </w:pPr>
            <w:r>
              <w:rPr>
                <w:color w:val="auto"/>
                <w:sz w:val="24"/>
                <w:highlight w:val="none"/>
              </w:rPr>
              <w:t>3</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专职安全员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与招标公告要求一致</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rFonts w:hint="eastAsia"/>
                <w:color w:val="auto"/>
                <w:sz w:val="24"/>
                <w:szCs w:val="24"/>
                <w:highlight w:val="none"/>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33"/>
              <w:jc w:val="center"/>
              <w:rPr>
                <w:color w:val="auto"/>
                <w:sz w:val="24"/>
                <w:szCs w:val="24"/>
                <w:highlight w:val="none"/>
              </w:rPr>
            </w:pPr>
            <w:r>
              <w:rPr>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color w:val="auto"/>
                <w:sz w:val="24"/>
                <w:szCs w:val="24"/>
                <w:highlight w:val="none"/>
              </w:rPr>
            </w:pPr>
            <w:r>
              <w:rPr>
                <w:color w:val="auto"/>
                <w:sz w:val="24"/>
                <w:highlight w:val="none"/>
              </w:rPr>
              <w:t>4</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预结算员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具备预结算从业资格</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rFonts w:hint="eastAsia"/>
                <w:color w:val="auto"/>
                <w:sz w:val="24"/>
                <w:szCs w:val="24"/>
                <w:highlight w:val="none"/>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color w:val="auto"/>
                <w:sz w:val="24"/>
                <w:szCs w:val="24"/>
                <w:highlight w:val="none"/>
              </w:rPr>
            </w:pPr>
            <w:r>
              <w:rPr>
                <w:color w:val="auto"/>
                <w:sz w:val="24"/>
                <w:highlight w:val="none"/>
              </w:rPr>
              <w:t>5</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资料员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具备岗</w:t>
            </w:r>
            <w:r>
              <w:rPr>
                <w:rFonts w:hint="eastAsia"/>
                <w:color w:val="auto"/>
                <w:sz w:val="24"/>
                <w:highlight w:val="none"/>
              </w:rPr>
              <w:t>位</w:t>
            </w:r>
            <w:r>
              <w:rPr>
                <w:color w:val="auto"/>
                <w:sz w:val="24"/>
                <w:highlight w:val="none"/>
              </w:rPr>
              <w:t>证</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1</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7" w:type="dxa"/>
            <w:tcBorders>
              <w:top w:val="single" w:color="auto" w:sz="4" w:space="0"/>
              <w:left w:val="single" w:color="auto" w:sz="4" w:space="0"/>
              <w:bottom w:val="single" w:color="auto" w:sz="4" w:space="0"/>
              <w:right w:val="single" w:color="auto" w:sz="4" w:space="0"/>
            </w:tcBorders>
            <w:noWrap/>
          </w:tcPr>
          <w:p>
            <w:pPr>
              <w:spacing w:before="120" w:line="400" w:lineRule="exact"/>
              <w:ind w:left="720" w:hanging="720"/>
              <w:rPr>
                <w:color w:val="auto"/>
                <w:sz w:val="24"/>
                <w:szCs w:val="24"/>
                <w:highlight w:val="none"/>
              </w:rPr>
            </w:pPr>
            <w:r>
              <w:rPr>
                <w:color w:val="auto"/>
                <w:sz w:val="24"/>
                <w:highlight w:val="none"/>
              </w:rPr>
              <w:t>6</w:t>
            </w:r>
          </w:p>
        </w:tc>
        <w:tc>
          <w:tcPr>
            <w:tcW w:w="1541"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施工员</w:t>
            </w:r>
          </w:p>
        </w:tc>
        <w:tc>
          <w:tcPr>
            <w:tcW w:w="2720"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具备岗</w:t>
            </w:r>
            <w:r>
              <w:rPr>
                <w:rFonts w:hint="eastAsia"/>
                <w:color w:val="auto"/>
                <w:sz w:val="24"/>
                <w:highlight w:val="none"/>
              </w:rPr>
              <w:t>位</w:t>
            </w:r>
            <w:r>
              <w:rPr>
                <w:color w:val="auto"/>
                <w:sz w:val="24"/>
                <w:highlight w:val="none"/>
              </w:rPr>
              <w:t>证</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r>
              <w:rPr>
                <w:color w:val="auto"/>
                <w:sz w:val="24"/>
                <w:highlight w:val="none"/>
              </w:rPr>
              <w:t>1个以上</w:t>
            </w:r>
          </w:p>
        </w:tc>
        <w:tc>
          <w:tcPr>
            <w:tcW w:w="3882" w:type="dxa"/>
            <w:tcBorders>
              <w:top w:val="single" w:color="auto" w:sz="4" w:space="0"/>
              <w:left w:val="single" w:color="auto" w:sz="4" w:space="0"/>
              <w:bottom w:val="single" w:color="auto" w:sz="4" w:space="0"/>
              <w:right w:val="single" w:color="auto" w:sz="4" w:space="0"/>
            </w:tcBorders>
            <w:noWrap/>
            <w:vAlign w:val="center"/>
          </w:tcPr>
          <w:p>
            <w:pPr>
              <w:spacing w:before="120" w:line="400" w:lineRule="exact"/>
              <w:ind w:left="720" w:hanging="720"/>
              <w:jc w:val="center"/>
              <w:rPr>
                <w:color w:val="auto"/>
                <w:sz w:val="24"/>
                <w:szCs w:val="24"/>
                <w:highlight w:val="none"/>
              </w:rPr>
            </w:pPr>
          </w:p>
        </w:tc>
      </w:tr>
    </w:tbl>
    <w:p>
      <w:pPr>
        <w:spacing w:before="120" w:line="400" w:lineRule="exact"/>
        <w:ind w:right="42" w:rightChars="20" w:firstLine="480" w:firstLineChars="200"/>
        <w:rPr>
          <w:color w:val="auto"/>
          <w:sz w:val="24"/>
          <w:szCs w:val="24"/>
          <w:highlight w:val="none"/>
        </w:rPr>
      </w:pPr>
      <w:r>
        <w:rPr>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color w:val="auto"/>
          <w:sz w:val="24"/>
          <w:highlight w:val="none"/>
        </w:rPr>
      </w:pPr>
      <w:r>
        <w:rPr>
          <w:color w:val="auto"/>
          <w:sz w:val="24"/>
          <w:highlight w:val="none"/>
        </w:rPr>
        <w:t>如我公司违反上述承诺，我公司自愿放弃本项目中标资格。</w:t>
      </w:r>
    </w:p>
    <w:p>
      <w:pPr>
        <w:spacing w:before="120" w:line="400" w:lineRule="exact"/>
        <w:ind w:right="42" w:rightChars="20" w:firstLine="480" w:firstLineChars="200"/>
        <w:rPr>
          <w:color w:val="auto"/>
          <w:sz w:val="24"/>
          <w:highlight w:val="none"/>
        </w:rPr>
      </w:pPr>
      <w:r>
        <w:rPr>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color w:val="auto"/>
          <w:sz w:val="24"/>
          <w:highlight w:val="none"/>
        </w:rPr>
      </w:pPr>
    </w:p>
    <w:p>
      <w:pPr>
        <w:pStyle w:val="17"/>
        <w:rPr>
          <w:color w:val="auto"/>
          <w:highlight w:val="none"/>
        </w:rPr>
      </w:pPr>
    </w:p>
    <w:p>
      <w:pPr>
        <w:spacing w:line="400" w:lineRule="exact"/>
        <w:ind w:firstLine="4320" w:firstLineChars="1800"/>
        <w:rPr>
          <w:rFonts w:eastAsia="黑体"/>
          <w:color w:val="auto"/>
          <w:sz w:val="19"/>
          <w:szCs w:val="19"/>
          <w:highlight w:val="none"/>
        </w:rPr>
      </w:pPr>
      <w:r>
        <w:rPr>
          <w:color w:val="auto"/>
          <w:sz w:val="24"/>
          <w:highlight w:val="none"/>
        </w:rPr>
        <w:t>单位名称（盖公章）：</w:t>
      </w:r>
    </w:p>
    <w:p>
      <w:pPr>
        <w:spacing w:before="120" w:line="400" w:lineRule="exact"/>
        <w:ind w:left="720" w:hanging="720"/>
        <w:jc w:val="right"/>
        <w:rPr>
          <w:color w:val="auto"/>
          <w:sz w:val="24"/>
          <w:highlight w:val="none"/>
        </w:rPr>
      </w:pPr>
    </w:p>
    <w:p>
      <w:pPr>
        <w:spacing w:before="120" w:line="400" w:lineRule="exact"/>
        <w:ind w:left="720" w:right="600" w:hanging="720"/>
        <w:jc w:val="right"/>
        <w:rPr>
          <w:color w:val="auto"/>
          <w:sz w:val="24"/>
          <w:highlight w:val="none"/>
        </w:rPr>
      </w:pPr>
      <w:r>
        <w:rPr>
          <w:color w:val="auto"/>
          <w:sz w:val="24"/>
          <w:highlight w:val="none"/>
        </w:rPr>
        <w:t>法定代表人或其委托代理人（签名或盖章）：</w:t>
      </w:r>
    </w:p>
    <w:p>
      <w:pPr>
        <w:topLinePunct/>
        <w:spacing w:line="400" w:lineRule="exact"/>
        <w:jc w:val="center"/>
        <w:rPr>
          <w:color w:val="auto"/>
          <w:sz w:val="20"/>
          <w:szCs w:val="20"/>
          <w:highlight w:val="none"/>
        </w:rPr>
      </w:pPr>
    </w:p>
    <w:p>
      <w:pPr>
        <w:topLinePunct/>
        <w:spacing w:line="400" w:lineRule="exact"/>
        <w:jc w:val="center"/>
        <w:rPr>
          <w:color w:val="auto"/>
          <w:sz w:val="20"/>
          <w:szCs w:val="20"/>
          <w:highlight w:val="none"/>
        </w:rPr>
      </w:pPr>
    </w:p>
    <w:p>
      <w:pPr>
        <w:topLinePunct/>
        <w:spacing w:line="400" w:lineRule="exact"/>
        <w:rPr>
          <w:color w:val="auto"/>
          <w:sz w:val="20"/>
          <w:szCs w:val="20"/>
          <w:highlight w:val="none"/>
        </w:rPr>
      </w:pPr>
    </w:p>
    <w:p>
      <w:pPr>
        <w:topLinePunct/>
        <w:spacing w:line="400" w:lineRule="exact"/>
        <w:jc w:val="center"/>
        <w:rPr>
          <w:color w:val="auto"/>
          <w:sz w:val="20"/>
          <w:szCs w:val="20"/>
          <w:highlight w:val="none"/>
        </w:rPr>
      </w:pPr>
    </w:p>
    <w:p>
      <w:pPr>
        <w:spacing w:line="400" w:lineRule="exact"/>
        <w:jc w:val="center"/>
        <w:outlineLvl w:val="2"/>
        <w:rPr>
          <w:rFonts w:ascii="黑体" w:hAnsi="黑体" w:eastAsia="黑体"/>
          <w:color w:val="auto"/>
          <w:sz w:val="28"/>
          <w:szCs w:val="27"/>
          <w:highlight w:val="none"/>
        </w:rPr>
      </w:pPr>
      <w:bookmarkStart w:id="268" w:name="_Toc31394"/>
      <w:bookmarkEnd w:id="268"/>
      <w:bookmarkStart w:id="269" w:name="_Toc21787768"/>
      <w:bookmarkEnd w:id="269"/>
      <w:bookmarkStart w:id="270" w:name="_Toc4350"/>
      <w:r>
        <w:rPr>
          <w:rFonts w:hint="eastAsia" w:ascii="黑体" w:hAnsi="黑体" w:eastAsia="黑体"/>
          <w:color w:val="auto"/>
          <w:sz w:val="28"/>
          <w:szCs w:val="27"/>
          <w:highlight w:val="none"/>
        </w:rPr>
        <w:t>七、资格审查资料</w:t>
      </w:r>
      <w:bookmarkEnd w:id="270"/>
    </w:p>
    <w:p>
      <w:pPr>
        <w:spacing w:line="400" w:lineRule="exact"/>
        <w:ind w:firstLine="472" w:firstLineChars="196"/>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3"/>
        <w:gridCol w:w="946"/>
        <w:gridCol w:w="835"/>
        <w:gridCol w:w="418"/>
        <w:gridCol w:w="138"/>
        <w:gridCol w:w="1244"/>
        <w:gridCol w:w="182"/>
        <w:gridCol w:w="1162"/>
        <w:gridCol w:w="9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hint="eastAsia" w:ascii="宋体" w:hAnsi="宋体"/>
                <w:color w:val="auto"/>
                <w:szCs w:val="20"/>
                <w:highlight w:val="none"/>
              </w:rPr>
              <w:t>投标人</w:t>
            </w:r>
            <w:r>
              <w:rPr>
                <w:rFonts w:ascii="宋体" w:hAnsi="宋体"/>
                <w:color w:val="auto"/>
                <w:szCs w:val="20"/>
                <w:highlight w:val="none"/>
              </w:rPr>
              <w:t>名称</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注册地址</w:t>
            </w:r>
          </w:p>
        </w:tc>
        <w:tc>
          <w:tcPr>
            <w:tcW w:w="323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邮政编码</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17"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联系方式</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联系人</w:t>
            </w:r>
          </w:p>
        </w:tc>
        <w:tc>
          <w:tcPr>
            <w:tcW w:w="2337"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 话</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17"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传  真</w:t>
            </w:r>
          </w:p>
        </w:tc>
        <w:tc>
          <w:tcPr>
            <w:tcW w:w="2337"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244"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网 址</w:t>
            </w:r>
          </w:p>
        </w:tc>
        <w:tc>
          <w:tcPr>
            <w:tcW w:w="233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组织结构</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法定代表人</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姓名</w:t>
            </w:r>
          </w:p>
        </w:tc>
        <w:tc>
          <w:tcPr>
            <w:tcW w:w="946"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162"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电话</w:t>
            </w:r>
          </w:p>
        </w:tc>
        <w:tc>
          <w:tcPr>
            <w:tcW w:w="98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技术负责人</w:t>
            </w:r>
          </w:p>
        </w:tc>
        <w:tc>
          <w:tcPr>
            <w:tcW w:w="893"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姓名</w:t>
            </w:r>
          </w:p>
        </w:tc>
        <w:tc>
          <w:tcPr>
            <w:tcW w:w="946"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技术职称</w:t>
            </w:r>
          </w:p>
        </w:tc>
        <w:tc>
          <w:tcPr>
            <w:tcW w:w="156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162"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电话</w:t>
            </w:r>
          </w:p>
        </w:tc>
        <w:tc>
          <w:tcPr>
            <w:tcW w:w="98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成立时间</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2817"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员工总人数：</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ind w:firstLine="1050" w:firstLineChars="500"/>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企业资质等级</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835"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其中</w:t>
            </w: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项目负责人</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营业执照号</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高级职称人员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注册资金</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中级职称人员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开户银行</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初级职称人员</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账号</w:t>
            </w:r>
          </w:p>
        </w:tc>
        <w:tc>
          <w:tcPr>
            <w:tcW w:w="183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835"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c>
          <w:tcPr>
            <w:tcW w:w="1982" w:type="dxa"/>
            <w:gridSpan w:val="4"/>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olor w:val="auto"/>
                <w:szCs w:val="20"/>
                <w:highlight w:val="none"/>
              </w:rPr>
            </w:pPr>
            <w:r>
              <w:rPr>
                <w:rFonts w:ascii="宋体" w:hAnsi="宋体"/>
                <w:color w:val="auto"/>
                <w:szCs w:val="20"/>
                <w:highlight w:val="none"/>
              </w:rPr>
              <w:t>技工</w:t>
            </w:r>
          </w:p>
        </w:tc>
        <w:tc>
          <w:tcPr>
            <w:tcW w:w="21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1717" w:type="dxa"/>
            <w:tcBorders>
              <w:top w:val="single" w:color="auto" w:sz="4" w:space="0"/>
              <w:left w:val="single" w:color="auto" w:sz="4" w:space="0"/>
              <w:right w:val="single" w:color="auto" w:sz="4" w:space="0"/>
            </w:tcBorders>
            <w:noWrap/>
            <w:vAlign w:val="center"/>
          </w:tcPr>
          <w:p>
            <w:pPr>
              <w:topLinePunct/>
              <w:spacing w:line="400" w:lineRule="exact"/>
              <w:ind w:firstLine="210" w:firstLineChars="100"/>
              <w:jc w:val="center"/>
              <w:rPr>
                <w:rFonts w:ascii="宋体" w:hAnsi="宋体"/>
                <w:color w:val="auto"/>
                <w:szCs w:val="20"/>
                <w:highlight w:val="none"/>
              </w:rPr>
            </w:pPr>
            <w:r>
              <w:rPr>
                <w:rFonts w:ascii="宋体" w:hAnsi="宋体"/>
                <w:color w:val="auto"/>
                <w:szCs w:val="20"/>
                <w:highlight w:val="none"/>
              </w:rPr>
              <w:t>经营范围</w:t>
            </w:r>
          </w:p>
        </w:tc>
        <w:tc>
          <w:tcPr>
            <w:tcW w:w="6805" w:type="dxa"/>
            <w:gridSpan w:val="9"/>
            <w:tcBorders>
              <w:top w:val="single" w:color="auto" w:sz="4" w:space="0"/>
              <w:left w:val="single" w:color="auto" w:sz="4" w:space="0"/>
              <w:right w:val="single" w:color="auto" w:sz="4" w:space="0"/>
            </w:tcBorders>
            <w:noWrap/>
            <w:vAlign w:val="center"/>
          </w:tcPr>
          <w:p>
            <w:pPr>
              <w:topLinePunct/>
              <w:spacing w:line="400" w:lineRule="exact"/>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7" w:type="dxa"/>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备注</w:t>
            </w:r>
          </w:p>
        </w:tc>
        <w:tc>
          <w:tcPr>
            <w:tcW w:w="6805"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00" w:lineRule="exact"/>
              <w:jc w:val="center"/>
              <w:rPr>
                <w:rFonts w:ascii="宋体" w:hAnsi="宋体"/>
                <w:color w:val="auto"/>
                <w:szCs w:val="20"/>
                <w:highlight w:val="none"/>
              </w:rPr>
            </w:pPr>
          </w:p>
        </w:tc>
      </w:tr>
    </w:tbl>
    <w:p>
      <w:pPr>
        <w:spacing w:line="400" w:lineRule="exact"/>
        <w:ind w:firstLine="525" w:firstLineChars="250"/>
        <w:rPr>
          <w:color w:val="auto"/>
          <w:highlight w:val="none"/>
        </w:rPr>
      </w:pPr>
      <w:bookmarkStart w:id="271" w:name="_Toc152047266"/>
      <w:bookmarkStart w:id="272" w:name="_Toc179715759"/>
      <w:bookmarkStart w:id="273" w:name="_Toc259524424"/>
      <w:bookmarkStart w:id="274" w:name="_Toc221952154"/>
      <w:r>
        <w:rPr>
          <w:rFonts w:hint="eastAsia" w:ascii="宋体" w:hAnsi="宋体" w:cs="宋体"/>
          <w:color w:val="auto"/>
          <w:highlight w:val="none"/>
        </w:rPr>
        <w:t>应附投标人营业执照副本、资质证书副本和安全生产许可证等材料的扫描件。</w:t>
      </w:r>
      <w:r>
        <w:rPr>
          <w:color w:val="auto"/>
          <w:highlight w:val="none"/>
        </w:rPr>
        <w:br w:type="page"/>
      </w:r>
    </w:p>
    <w:bookmarkEnd w:id="271"/>
    <w:bookmarkEnd w:id="272"/>
    <w:bookmarkEnd w:id="273"/>
    <w:bookmarkEnd w:id="274"/>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r>
        <w:rPr>
          <w:rFonts w:hint="eastAsia" w:ascii="宋体" w:hAnsi="宋体"/>
          <w:b/>
          <w:color w:val="auto"/>
          <w:sz w:val="24"/>
          <w:szCs w:val="31"/>
          <w:highlight w:val="none"/>
        </w:rPr>
        <w:t>拟投入项目负责人</w:t>
      </w:r>
    </w:p>
    <w:p>
      <w:pPr>
        <w:spacing w:before="260" w:after="260" w:line="400" w:lineRule="exact"/>
        <w:jc w:val="center"/>
        <w:rPr>
          <w:b/>
          <w:color w:val="auto"/>
          <w:sz w:val="32"/>
          <w:szCs w:val="32"/>
          <w:highlight w:val="none"/>
        </w:rPr>
      </w:pPr>
      <w:bookmarkStart w:id="275" w:name="_Toc221952156"/>
      <w:bookmarkEnd w:id="275"/>
      <w:r>
        <w:rPr>
          <w:rFonts w:hint="eastAsia"/>
          <w:b/>
          <w:color w:val="auto"/>
          <w:sz w:val="32"/>
          <w:szCs w:val="32"/>
          <w:highlight w:val="none"/>
        </w:rPr>
        <w:t>项目负责人</w:t>
      </w:r>
      <w:r>
        <w:rPr>
          <w:b/>
          <w:color w:val="auto"/>
          <w:sz w:val="32"/>
          <w:szCs w:val="32"/>
          <w:highlight w:val="none"/>
        </w:rPr>
        <w:t>简历表</w:t>
      </w:r>
    </w:p>
    <w:tbl>
      <w:tblPr>
        <w:tblStyle w:val="42"/>
        <w:tblpPr w:leftFromText="180" w:rightFromText="180" w:vertAnchor="text" w:horzAnchor="margin" w:tblpXSpec="center" w:tblpY="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color w:val="auto"/>
                <w:szCs w:val="21"/>
                <w:highlight w:val="none"/>
              </w:rPr>
            </w:pPr>
            <w:bookmarkStart w:id="276" w:name="_Toc221952157"/>
            <w:r>
              <w:rPr>
                <w:rFonts w:ascii="宋体" w:hAnsi="宋体"/>
                <w:color w:val="auto"/>
                <w:szCs w:val="21"/>
                <w:highlight w:val="none"/>
              </w:rPr>
              <w:t>姓  名</w:t>
            </w:r>
          </w:p>
        </w:tc>
        <w:tc>
          <w:tcPr>
            <w:tcW w:w="1079" w:type="dxa"/>
            <w:gridSpan w:val="2"/>
            <w:noWrap/>
            <w:vAlign w:val="center"/>
          </w:tcPr>
          <w:p>
            <w:pPr>
              <w:spacing w:line="400" w:lineRule="exact"/>
              <w:jc w:val="center"/>
              <w:rPr>
                <w:rFonts w:ascii="宋体" w:hAnsi="宋体"/>
                <w:color w:val="auto"/>
                <w:szCs w:val="21"/>
                <w:highlight w:val="none"/>
              </w:rPr>
            </w:pPr>
            <w:bookmarkStart w:id="277" w:name="_Toc221952165"/>
          </w:p>
          <w:bookmarkEnd w:id="277"/>
        </w:tc>
        <w:tc>
          <w:tcPr>
            <w:tcW w:w="927" w:type="dxa"/>
            <w:noWrap/>
            <w:vAlign w:val="center"/>
          </w:tcPr>
          <w:p>
            <w:pPr>
              <w:spacing w:line="400" w:lineRule="exact"/>
              <w:jc w:val="center"/>
              <w:rPr>
                <w:rFonts w:ascii="宋体" w:hAnsi="宋体"/>
                <w:color w:val="auto"/>
                <w:szCs w:val="21"/>
                <w:highlight w:val="none"/>
              </w:rPr>
            </w:pPr>
            <w:bookmarkStart w:id="278" w:name="_Toc221952166"/>
            <w:r>
              <w:rPr>
                <w:rFonts w:ascii="宋体" w:hAnsi="宋体"/>
                <w:color w:val="auto"/>
                <w:szCs w:val="21"/>
                <w:highlight w:val="none"/>
              </w:rPr>
              <w:t>年 龄</w:t>
            </w:r>
          </w:p>
        </w:tc>
        <w:tc>
          <w:tcPr>
            <w:tcW w:w="1065" w:type="dxa"/>
            <w:noWrap/>
            <w:vAlign w:val="center"/>
          </w:tcPr>
          <w:p>
            <w:pPr>
              <w:spacing w:line="400" w:lineRule="exact"/>
              <w:jc w:val="center"/>
              <w:rPr>
                <w:rFonts w:ascii="宋体" w:hAnsi="宋体"/>
                <w:color w:val="auto"/>
                <w:szCs w:val="21"/>
                <w:highlight w:val="none"/>
              </w:rPr>
            </w:pPr>
          </w:p>
          <w:bookmarkEnd w:id="278"/>
        </w:tc>
        <w:tc>
          <w:tcPr>
            <w:tcW w:w="2131" w:type="dxa"/>
            <w:gridSpan w:val="3"/>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学历</w:t>
            </w:r>
          </w:p>
        </w:tc>
        <w:tc>
          <w:tcPr>
            <w:tcW w:w="2932" w:type="dxa"/>
            <w:noWrap/>
            <w:vAlign w:val="center"/>
          </w:tcPr>
          <w:p>
            <w:pPr>
              <w:spacing w:line="400" w:lineRule="exact"/>
              <w:rPr>
                <w:rFonts w:ascii="宋体" w:hAnsi="宋体"/>
                <w:color w:val="auto"/>
                <w:szCs w:val="21"/>
                <w:highlight w:val="none"/>
              </w:rPr>
            </w:pPr>
          </w:p>
        </w:tc>
        <w:bookmarkStart w:id="279" w:name="_Toc221952167"/>
      </w:tr>
      <w:bookmarkEnd w:id="2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color w:val="auto"/>
                <w:szCs w:val="21"/>
                <w:highlight w:val="none"/>
              </w:rPr>
            </w:pPr>
            <w:bookmarkStart w:id="280" w:name="_Toc221952168"/>
            <w:r>
              <w:rPr>
                <w:rFonts w:ascii="宋体" w:hAnsi="宋体"/>
                <w:color w:val="auto"/>
                <w:szCs w:val="21"/>
                <w:highlight w:val="none"/>
              </w:rPr>
              <w:t>职  称</w:t>
            </w:r>
          </w:p>
        </w:tc>
        <w:tc>
          <w:tcPr>
            <w:tcW w:w="1079" w:type="dxa"/>
            <w:gridSpan w:val="2"/>
            <w:noWrap/>
            <w:vAlign w:val="center"/>
          </w:tcPr>
          <w:p>
            <w:pPr>
              <w:spacing w:line="400" w:lineRule="exact"/>
              <w:jc w:val="center"/>
              <w:rPr>
                <w:rFonts w:ascii="宋体" w:hAnsi="宋体"/>
                <w:color w:val="auto"/>
                <w:szCs w:val="21"/>
                <w:highlight w:val="none"/>
              </w:rPr>
            </w:pPr>
          </w:p>
          <w:bookmarkEnd w:id="280"/>
        </w:tc>
        <w:tc>
          <w:tcPr>
            <w:tcW w:w="927" w:type="dxa"/>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noWrap/>
            <w:vAlign w:val="center"/>
          </w:tcPr>
          <w:p>
            <w:pPr>
              <w:spacing w:line="400" w:lineRule="exact"/>
              <w:jc w:val="center"/>
              <w:rPr>
                <w:rFonts w:ascii="宋体" w:hAnsi="宋体"/>
                <w:color w:val="auto"/>
                <w:szCs w:val="21"/>
                <w:highlight w:val="none"/>
              </w:rPr>
            </w:pPr>
            <w:bookmarkStart w:id="281" w:name="_Toc221952169"/>
          </w:p>
          <w:bookmarkEnd w:id="281"/>
        </w:tc>
        <w:tc>
          <w:tcPr>
            <w:tcW w:w="2131" w:type="dxa"/>
            <w:gridSpan w:val="3"/>
            <w:noWrap/>
            <w:vAlign w:val="center"/>
          </w:tcPr>
          <w:p>
            <w:pPr>
              <w:spacing w:line="400" w:lineRule="exact"/>
              <w:jc w:val="center"/>
              <w:rPr>
                <w:rFonts w:ascii="宋体" w:hAnsi="宋体"/>
                <w:color w:val="auto"/>
                <w:szCs w:val="21"/>
                <w:highlight w:val="none"/>
              </w:rPr>
            </w:pPr>
            <w:bookmarkStart w:id="282" w:name="_Toc221952170"/>
            <w:bookmarkEnd w:id="282"/>
            <w:r>
              <w:rPr>
                <w:rFonts w:ascii="宋体" w:hAnsi="宋体"/>
                <w:color w:val="auto"/>
                <w:szCs w:val="21"/>
                <w:highlight w:val="none"/>
              </w:rPr>
              <w:t>拟在本合同任职</w:t>
            </w:r>
          </w:p>
        </w:tc>
        <w:tc>
          <w:tcPr>
            <w:tcW w:w="2932" w:type="dxa"/>
            <w:noWrap/>
            <w:vAlign w:val="center"/>
          </w:tcPr>
          <w:p>
            <w:pPr>
              <w:spacing w:line="400" w:lineRule="exact"/>
              <w:rPr>
                <w:rFonts w:ascii="宋体" w:hAnsi="宋体"/>
                <w:color w:val="auto"/>
                <w:szCs w:val="21"/>
                <w:highlight w:val="none"/>
              </w:rPr>
            </w:pPr>
          </w:p>
        </w:tc>
        <w:bookmarkStart w:id="283" w:name="_Toc221952171"/>
      </w:tr>
      <w:bookmarkEnd w:id="2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rPr>
                <w:rFonts w:ascii="宋体" w:hAnsi="宋体"/>
                <w:color w:val="auto"/>
                <w:szCs w:val="21"/>
                <w:highlight w:val="none"/>
              </w:rPr>
            </w:pPr>
            <w:bookmarkStart w:id="284" w:name="_Toc221952172"/>
            <w:r>
              <w:rPr>
                <w:rFonts w:ascii="宋体" w:hAnsi="宋体"/>
                <w:color w:val="auto"/>
                <w:szCs w:val="21"/>
                <w:highlight w:val="none"/>
              </w:rPr>
              <w:t>毕业学校</w:t>
            </w:r>
          </w:p>
          <w:bookmarkEnd w:id="284"/>
        </w:tc>
        <w:tc>
          <w:tcPr>
            <w:tcW w:w="8134" w:type="dxa"/>
            <w:gridSpan w:val="8"/>
            <w:noWrap/>
          </w:tcPr>
          <w:p>
            <w:pPr>
              <w:spacing w:line="400" w:lineRule="exact"/>
              <w:rPr>
                <w:rFonts w:ascii="宋体" w:hAnsi="宋体"/>
                <w:color w:val="auto"/>
                <w:szCs w:val="21"/>
                <w:highlight w:val="none"/>
              </w:rPr>
            </w:pPr>
            <w:bookmarkStart w:id="285" w:name="_Toc221952175"/>
            <w:bookmarkEnd w:id="285"/>
            <w:bookmarkStart w:id="286" w:name="_Toc221952173"/>
            <w:bookmarkEnd w:id="286"/>
            <w:bookmarkStart w:id="287" w:name="_Toc221952174"/>
            <w:bookmarkEnd w:id="287"/>
            <w:bookmarkStart w:id="288" w:name="_Toc221952177"/>
            <w:r>
              <w:rPr>
                <w:rFonts w:ascii="宋体" w:hAnsi="宋体"/>
                <w:color w:val="auto"/>
                <w:szCs w:val="21"/>
                <w:highlight w:val="none"/>
              </w:rPr>
              <w:t>年毕业于 学校        专业</w:t>
            </w:r>
          </w:p>
        </w:tc>
      </w:tr>
      <w:bookmarkEnd w:id="2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9"/>
            <w:noWrap/>
            <w:vAlign w:val="center"/>
          </w:tcPr>
          <w:p>
            <w:pPr>
              <w:spacing w:line="400" w:lineRule="exact"/>
              <w:jc w:val="center"/>
              <w:rPr>
                <w:rFonts w:ascii="宋体" w:hAnsi="宋体"/>
                <w:color w:val="auto"/>
                <w:szCs w:val="21"/>
                <w:highlight w:val="none"/>
              </w:rPr>
            </w:pPr>
            <w:bookmarkStart w:id="289" w:name="_Toc221952178"/>
            <w:r>
              <w:rPr>
                <w:rFonts w:ascii="宋体" w:hAnsi="宋体"/>
                <w:color w:val="auto"/>
                <w:szCs w:val="21"/>
                <w:highlight w:val="none"/>
              </w:rPr>
              <w:t>主要工作经历</w:t>
            </w:r>
          </w:p>
        </w:tc>
      </w:tr>
      <w:bookmarkEnd w:id="2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时  间</w:t>
            </w:r>
          </w:p>
        </w:tc>
        <w:tc>
          <w:tcPr>
            <w:tcW w:w="3421" w:type="dxa"/>
            <w:gridSpan w:val="4"/>
            <w:noWrap/>
            <w:vAlign w:val="center"/>
          </w:tcPr>
          <w:p>
            <w:pPr>
              <w:spacing w:line="400" w:lineRule="exact"/>
              <w:jc w:val="center"/>
              <w:rPr>
                <w:rFonts w:ascii="宋体" w:hAnsi="宋体"/>
                <w:color w:val="auto"/>
                <w:szCs w:val="21"/>
                <w:highlight w:val="none"/>
              </w:rPr>
            </w:pPr>
            <w:bookmarkStart w:id="290" w:name="_Toc221952179"/>
            <w:bookmarkEnd w:id="290"/>
            <w:bookmarkStart w:id="291" w:name="_Toc221952180"/>
            <w:r>
              <w:rPr>
                <w:rFonts w:ascii="宋体" w:hAnsi="宋体"/>
                <w:color w:val="auto"/>
                <w:szCs w:val="21"/>
                <w:highlight w:val="none"/>
              </w:rPr>
              <w:t>参加过的类似项目</w:t>
            </w:r>
          </w:p>
        </w:tc>
        <w:tc>
          <w:tcPr>
            <w:tcW w:w="1261" w:type="dxa"/>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担任职务</w:t>
            </w:r>
          </w:p>
        </w:tc>
        <w:tc>
          <w:tcPr>
            <w:tcW w:w="3096" w:type="dxa"/>
            <w:gridSpan w:val="2"/>
            <w:noWrap/>
            <w:vAlign w:val="center"/>
          </w:tcPr>
          <w:p>
            <w:pPr>
              <w:spacing w:line="400" w:lineRule="exact"/>
              <w:jc w:val="center"/>
              <w:rPr>
                <w:rFonts w:ascii="宋体" w:hAnsi="宋体"/>
                <w:color w:val="auto"/>
                <w:szCs w:val="21"/>
                <w:highlight w:val="none"/>
              </w:rPr>
            </w:pPr>
            <w:bookmarkStart w:id="292" w:name="_Toc221952181"/>
            <w:bookmarkEnd w:id="292"/>
            <w:r>
              <w:rPr>
                <w:rFonts w:ascii="宋体" w:hAnsi="宋体"/>
                <w:color w:val="auto"/>
                <w:szCs w:val="21"/>
                <w:highlight w:val="none"/>
              </w:rPr>
              <w:t>发包人及联系电话</w:t>
            </w:r>
          </w:p>
          <w:bookmarkEnd w:id="291"/>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bookmarkStart w:id="293" w:name="_Toc221952182"/>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bookmarkEnd w:id="293"/>
        </w:tc>
        <w:bookmarkStart w:id="294" w:name="_Toc22195218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bookmarkEnd w:id="294"/>
        </w:tc>
        <w:bookmarkStart w:id="295" w:name="_Toc22195218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bookmarkEnd w:id="295"/>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bookmarkStart w:id="296" w:name="_Toc22195218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bookmarkEnd w:id="29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3096" w:type="dxa"/>
            <w:gridSpan w:val="2"/>
            <w:noWrap/>
          </w:tcPr>
          <w:p>
            <w:pPr>
              <w:spacing w:line="400" w:lineRule="exact"/>
              <w:rPr>
                <w:rFonts w:eastAsia="黑体"/>
                <w:color w:val="auto"/>
                <w:szCs w:val="21"/>
                <w:highlight w:val="none"/>
              </w:rPr>
            </w:pPr>
          </w:p>
        </w:tc>
      </w:tr>
      <w:bookmarkEnd w:id="276"/>
    </w:tbl>
    <w:p>
      <w:pPr>
        <w:widowControl/>
        <w:spacing w:line="400" w:lineRule="exact"/>
        <w:jc w:val="left"/>
        <w:rPr>
          <w:rFonts w:ascii="宋体" w:hAnsi="宋体"/>
          <w:b/>
          <w:color w:val="auto"/>
          <w:sz w:val="24"/>
          <w:szCs w:val="31"/>
          <w:highlight w:val="none"/>
        </w:rPr>
      </w:pPr>
      <w:r>
        <w:rPr>
          <w:rFonts w:hint="eastAsia" w:ascii="宋体" w:hAnsi="宋体" w:cs="宋体"/>
          <w:color w:val="auto"/>
          <w:highlight w:val="none"/>
        </w:rPr>
        <w:t>应附项目负责人建造师证和在有效期内建设行政主管部门颁发的安全培训考核合格证（B类）或建筑施工企业项目负责人安全生产考核合格证书。</w:t>
      </w:r>
      <w:r>
        <w:rPr>
          <w:rFonts w:ascii="宋体" w:hAnsi="宋体"/>
          <w:b/>
          <w:color w:val="auto"/>
          <w:sz w:val="24"/>
          <w:szCs w:val="31"/>
          <w:highlight w:val="none"/>
        </w:rPr>
        <w:br w:type="page"/>
      </w: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w:t>
      </w:r>
      <w:r>
        <w:rPr>
          <w:rFonts w:hint="eastAsia" w:ascii="宋体" w:hAnsi="宋体"/>
          <w:b/>
          <w:color w:val="auto"/>
          <w:sz w:val="24"/>
          <w:szCs w:val="31"/>
          <w:highlight w:val="none"/>
        </w:rPr>
        <w:t>三</w:t>
      </w:r>
      <w:r>
        <w:rPr>
          <w:rFonts w:ascii="宋体" w:hAnsi="宋体"/>
          <w:b/>
          <w:color w:val="auto"/>
          <w:sz w:val="24"/>
          <w:szCs w:val="31"/>
          <w:highlight w:val="none"/>
        </w:rPr>
        <w:t>）</w:t>
      </w:r>
      <w:r>
        <w:rPr>
          <w:rFonts w:hint="eastAsia" w:ascii="宋体" w:hAnsi="宋体"/>
          <w:b/>
          <w:color w:val="auto"/>
          <w:sz w:val="24"/>
          <w:szCs w:val="31"/>
          <w:highlight w:val="none"/>
        </w:rPr>
        <w:t>拟投入项目负责人</w:t>
      </w:r>
    </w:p>
    <w:p>
      <w:pPr>
        <w:spacing w:before="260" w:after="260" w:line="400" w:lineRule="exact"/>
        <w:jc w:val="center"/>
        <w:rPr>
          <w:b/>
          <w:color w:val="auto"/>
          <w:sz w:val="32"/>
          <w:szCs w:val="32"/>
          <w:highlight w:val="none"/>
        </w:rPr>
      </w:pPr>
      <w:r>
        <w:rPr>
          <w:rFonts w:hint="eastAsia"/>
          <w:b/>
          <w:color w:val="auto"/>
          <w:sz w:val="32"/>
          <w:szCs w:val="32"/>
          <w:highlight w:val="none"/>
        </w:rPr>
        <w:t>技术负责人</w:t>
      </w:r>
      <w:r>
        <w:rPr>
          <w:b/>
          <w:color w:val="auto"/>
          <w:sz w:val="32"/>
          <w:szCs w:val="32"/>
          <w:highlight w:val="none"/>
        </w:rPr>
        <w:t>简历表</w:t>
      </w:r>
    </w:p>
    <w:tbl>
      <w:tblPr>
        <w:tblStyle w:val="42"/>
        <w:tblpPr w:leftFromText="180" w:rightFromText="180" w:vertAnchor="text" w:horzAnchor="margin" w:tblpXSpec="center"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6"/>
        <w:gridCol w:w="723"/>
        <w:gridCol w:w="927"/>
        <w:gridCol w:w="1065"/>
        <w:gridCol w:w="706"/>
        <w:gridCol w:w="1261"/>
        <w:gridCol w:w="164"/>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姓  名</w:t>
            </w:r>
          </w:p>
        </w:tc>
        <w:tc>
          <w:tcPr>
            <w:tcW w:w="1079" w:type="dxa"/>
            <w:gridSpan w:val="2"/>
            <w:noWrap/>
            <w:vAlign w:val="center"/>
          </w:tcPr>
          <w:p>
            <w:pPr>
              <w:spacing w:line="400" w:lineRule="exact"/>
              <w:jc w:val="center"/>
              <w:rPr>
                <w:rFonts w:ascii="宋体" w:hAnsi="宋体"/>
                <w:color w:val="auto"/>
                <w:szCs w:val="21"/>
                <w:highlight w:val="none"/>
              </w:rPr>
            </w:pPr>
          </w:p>
        </w:tc>
        <w:tc>
          <w:tcPr>
            <w:tcW w:w="927" w:type="dxa"/>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年 龄</w:t>
            </w:r>
          </w:p>
        </w:tc>
        <w:tc>
          <w:tcPr>
            <w:tcW w:w="1065" w:type="dxa"/>
            <w:noWrap/>
            <w:vAlign w:val="center"/>
          </w:tcPr>
          <w:p>
            <w:pPr>
              <w:spacing w:line="400" w:lineRule="exact"/>
              <w:jc w:val="center"/>
              <w:rPr>
                <w:rFonts w:ascii="宋体" w:hAnsi="宋体"/>
                <w:color w:val="auto"/>
                <w:szCs w:val="21"/>
                <w:highlight w:val="none"/>
              </w:rPr>
            </w:pPr>
          </w:p>
        </w:tc>
        <w:tc>
          <w:tcPr>
            <w:tcW w:w="2131" w:type="dxa"/>
            <w:gridSpan w:val="3"/>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学历</w:t>
            </w:r>
          </w:p>
        </w:tc>
        <w:tc>
          <w:tcPr>
            <w:tcW w:w="2649" w:type="dxa"/>
            <w:noWrap/>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职  称</w:t>
            </w:r>
          </w:p>
        </w:tc>
        <w:tc>
          <w:tcPr>
            <w:tcW w:w="1079" w:type="dxa"/>
            <w:gridSpan w:val="2"/>
            <w:noWrap/>
            <w:vAlign w:val="center"/>
          </w:tcPr>
          <w:p>
            <w:pPr>
              <w:spacing w:line="400" w:lineRule="exact"/>
              <w:jc w:val="center"/>
              <w:rPr>
                <w:rFonts w:ascii="宋体" w:hAnsi="宋体"/>
                <w:color w:val="auto"/>
                <w:szCs w:val="21"/>
                <w:highlight w:val="none"/>
              </w:rPr>
            </w:pPr>
          </w:p>
        </w:tc>
        <w:tc>
          <w:tcPr>
            <w:tcW w:w="927" w:type="dxa"/>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职 务</w:t>
            </w:r>
          </w:p>
        </w:tc>
        <w:tc>
          <w:tcPr>
            <w:tcW w:w="1065" w:type="dxa"/>
            <w:noWrap/>
            <w:vAlign w:val="center"/>
          </w:tcPr>
          <w:p>
            <w:pPr>
              <w:spacing w:line="400" w:lineRule="exact"/>
              <w:jc w:val="center"/>
              <w:rPr>
                <w:rFonts w:ascii="宋体" w:hAnsi="宋体"/>
                <w:color w:val="auto"/>
                <w:szCs w:val="21"/>
                <w:highlight w:val="none"/>
              </w:rPr>
            </w:pPr>
          </w:p>
        </w:tc>
        <w:tc>
          <w:tcPr>
            <w:tcW w:w="2131" w:type="dxa"/>
            <w:gridSpan w:val="3"/>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649" w:type="dxa"/>
            <w:noWrap/>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ign w:val="center"/>
          </w:tcPr>
          <w:p>
            <w:pPr>
              <w:spacing w:line="400" w:lineRule="exact"/>
              <w:rPr>
                <w:rFonts w:ascii="宋体" w:hAnsi="宋体"/>
                <w:color w:val="auto"/>
                <w:szCs w:val="21"/>
                <w:highlight w:val="none"/>
              </w:rPr>
            </w:pPr>
            <w:r>
              <w:rPr>
                <w:rFonts w:ascii="宋体" w:hAnsi="宋体"/>
                <w:color w:val="auto"/>
                <w:szCs w:val="21"/>
                <w:highlight w:val="none"/>
              </w:rPr>
              <w:t>毕业学校</w:t>
            </w:r>
          </w:p>
        </w:tc>
        <w:tc>
          <w:tcPr>
            <w:tcW w:w="7851" w:type="dxa"/>
            <w:gridSpan w:val="8"/>
            <w:noWrap/>
          </w:tcPr>
          <w:p>
            <w:pPr>
              <w:spacing w:line="400" w:lineRule="exact"/>
              <w:rPr>
                <w:rFonts w:ascii="宋体" w:hAnsi="宋体"/>
                <w:color w:val="auto"/>
                <w:szCs w:val="21"/>
                <w:highlight w:val="none"/>
              </w:rPr>
            </w:pPr>
            <w:r>
              <w:rPr>
                <w:rFonts w:ascii="宋体" w:hAns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9"/>
            <w:noWrap/>
            <w:vAlign w:val="center"/>
          </w:tcPr>
          <w:p>
            <w:pPr>
              <w:spacing w:line="400" w:lineRule="exact"/>
              <w:jc w:val="center"/>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noWrap/>
            <w:vAlign w:val="center"/>
          </w:tcPr>
          <w:p>
            <w:pPr>
              <w:spacing w:line="400" w:lineRule="exact"/>
              <w:rPr>
                <w:rFonts w:ascii="宋体" w:hAnsi="宋体"/>
                <w:color w:val="auto"/>
                <w:szCs w:val="21"/>
                <w:highlight w:val="none"/>
              </w:rPr>
            </w:pPr>
            <w:r>
              <w:rPr>
                <w:rFonts w:ascii="宋体" w:hAnsi="宋体"/>
                <w:color w:val="auto"/>
                <w:szCs w:val="21"/>
                <w:highlight w:val="none"/>
              </w:rPr>
              <w:t>时  间</w:t>
            </w:r>
          </w:p>
        </w:tc>
        <w:tc>
          <w:tcPr>
            <w:tcW w:w="3421" w:type="dxa"/>
            <w:gridSpan w:val="4"/>
            <w:noWrap/>
            <w:vAlign w:val="center"/>
          </w:tcPr>
          <w:p>
            <w:pPr>
              <w:spacing w:line="400" w:lineRule="exact"/>
              <w:rPr>
                <w:rFonts w:ascii="宋体" w:hAnsi="宋体"/>
                <w:color w:val="auto"/>
                <w:szCs w:val="21"/>
                <w:highlight w:val="none"/>
              </w:rPr>
            </w:pPr>
            <w:r>
              <w:rPr>
                <w:rFonts w:ascii="宋体" w:hAnsi="宋体"/>
                <w:color w:val="auto"/>
                <w:szCs w:val="21"/>
                <w:highlight w:val="none"/>
              </w:rPr>
              <w:t>参加过的类似项目</w:t>
            </w:r>
          </w:p>
        </w:tc>
        <w:tc>
          <w:tcPr>
            <w:tcW w:w="1261" w:type="dxa"/>
            <w:noWrap/>
            <w:vAlign w:val="center"/>
          </w:tcPr>
          <w:p>
            <w:pPr>
              <w:spacing w:line="400" w:lineRule="exact"/>
              <w:rPr>
                <w:rFonts w:ascii="宋体" w:hAnsi="宋体"/>
                <w:color w:val="auto"/>
                <w:szCs w:val="21"/>
                <w:highlight w:val="none"/>
              </w:rPr>
            </w:pPr>
            <w:r>
              <w:rPr>
                <w:rFonts w:ascii="宋体" w:hAnsi="宋体"/>
                <w:color w:val="auto"/>
                <w:szCs w:val="21"/>
                <w:highlight w:val="none"/>
              </w:rPr>
              <w:t>担任职务</w:t>
            </w:r>
          </w:p>
        </w:tc>
        <w:tc>
          <w:tcPr>
            <w:tcW w:w="2813" w:type="dxa"/>
            <w:gridSpan w:val="2"/>
            <w:noWrap/>
            <w:vAlign w:val="center"/>
          </w:tcPr>
          <w:p>
            <w:pPr>
              <w:spacing w:line="400" w:lineRule="exact"/>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noWrap/>
          </w:tcPr>
          <w:p>
            <w:pPr>
              <w:spacing w:line="400" w:lineRule="exact"/>
              <w:rPr>
                <w:rFonts w:eastAsia="黑体"/>
                <w:color w:val="auto"/>
                <w:szCs w:val="21"/>
                <w:highlight w:val="none"/>
              </w:rPr>
            </w:pPr>
          </w:p>
        </w:tc>
        <w:tc>
          <w:tcPr>
            <w:tcW w:w="3421" w:type="dxa"/>
            <w:gridSpan w:val="4"/>
            <w:noWrap/>
          </w:tcPr>
          <w:p>
            <w:pPr>
              <w:spacing w:line="400" w:lineRule="exact"/>
              <w:rPr>
                <w:rFonts w:eastAsia="黑体"/>
                <w:color w:val="auto"/>
                <w:szCs w:val="21"/>
                <w:highlight w:val="none"/>
              </w:rPr>
            </w:pPr>
          </w:p>
        </w:tc>
        <w:tc>
          <w:tcPr>
            <w:tcW w:w="1261" w:type="dxa"/>
            <w:noWrap/>
          </w:tcPr>
          <w:p>
            <w:pPr>
              <w:spacing w:line="400" w:lineRule="exact"/>
              <w:rPr>
                <w:rFonts w:eastAsia="黑体"/>
                <w:color w:val="auto"/>
                <w:szCs w:val="21"/>
                <w:highlight w:val="none"/>
              </w:rPr>
            </w:pPr>
          </w:p>
        </w:tc>
        <w:tc>
          <w:tcPr>
            <w:tcW w:w="2813" w:type="dxa"/>
            <w:gridSpan w:val="2"/>
            <w:noWrap/>
          </w:tcPr>
          <w:p>
            <w:pPr>
              <w:spacing w:line="400" w:lineRule="exact"/>
              <w:rPr>
                <w:rFonts w:eastAsia="黑体"/>
                <w:color w:val="auto"/>
                <w:szCs w:val="21"/>
                <w:highlight w:val="none"/>
              </w:rPr>
            </w:pPr>
          </w:p>
        </w:tc>
      </w:tr>
    </w:tbl>
    <w:p>
      <w:pPr>
        <w:spacing w:before="260" w:after="260" w:line="415" w:lineRule="auto"/>
        <w:ind w:firstLine="420" w:firstLineChars="200"/>
        <w:jc w:val="left"/>
        <w:rPr>
          <w:color w:val="auto"/>
          <w:szCs w:val="21"/>
          <w:highlight w:val="none"/>
        </w:rPr>
      </w:pPr>
      <w:r>
        <w:rPr>
          <w:rFonts w:hint="eastAsia"/>
          <w:color w:val="auto"/>
          <w:szCs w:val="21"/>
          <w:highlight w:val="none"/>
        </w:rPr>
        <w:t>应附职称证书</w:t>
      </w:r>
      <w:r>
        <w:rPr>
          <w:rFonts w:hint="eastAsia" w:ascii="宋体" w:hAnsi="宋体" w:cs="宋体"/>
          <w:color w:val="auto"/>
          <w:highlight w:val="none"/>
        </w:rPr>
        <w:t>扫描件</w:t>
      </w:r>
      <w:r>
        <w:rPr>
          <w:rFonts w:hint="eastAsia"/>
          <w:color w:val="auto"/>
          <w:szCs w:val="21"/>
          <w:highlight w:val="none"/>
        </w:rPr>
        <w:t>。</w:t>
      </w:r>
    </w:p>
    <w:p>
      <w:pPr>
        <w:spacing w:line="400" w:lineRule="exact"/>
        <w:jc w:val="left"/>
        <w:outlineLvl w:val="3"/>
        <w:rPr>
          <w:rFonts w:ascii="宋体" w:hAnsi="宋体"/>
          <w:b/>
          <w:color w:val="auto"/>
          <w:sz w:val="24"/>
          <w:szCs w:val="31"/>
          <w:highlight w:val="none"/>
        </w:rPr>
      </w:pPr>
    </w:p>
    <w:p>
      <w:pPr>
        <w:spacing w:line="400" w:lineRule="exact"/>
        <w:ind w:firstLine="354" w:firstLineChars="147"/>
        <w:jc w:val="left"/>
        <w:outlineLvl w:val="3"/>
        <w:rPr>
          <w:rFonts w:ascii="宋体" w:hAnsi="宋体"/>
          <w:b/>
          <w:color w:val="auto"/>
          <w:sz w:val="24"/>
          <w:szCs w:val="31"/>
          <w:highlight w:val="none"/>
        </w:rPr>
      </w:pPr>
      <w:r>
        <w:rPr>
          <w:rFonts w:hint="eastAsia" w:ascii="宋体" w:hAnsi="宋体"/>
          <w:b/>
          <w:color w:val="auto"/>
          <w:sz w:val="24"/>
          <w:szCs w:val="31"/>
          <w:highlight w:val="none"/>
        </w:rPr>
        <w:br w:type="page"/>
      </w:r>
      <w:r>
        <w:rPr>
          <w:rFonts w:hint="eastAsia" w:ascii="宋体" w:hAnsi="宋体"/>
          <w:b/>
          <w:color w:val="auto"/>
          <w:sz w:val="24"/>
          <w:szCs w:val="31"/>
          <w:highlight w:val="none"/>
        </w:rPr>
        <w:t>（四）专职安全管理员</w:t>
      </w:r>
    </w:p>
    <w:p>
      <w:pPr>
        <w:spacing w:before="260" w:after="260" w:line="400" w:lineRule="exact"/>
        <w:jc w:val="center"/>
        <w:rPr>
          <w:b/>
          <w:color w:val="auto"/>
          <w:sz w:val="32"/>
          <w:szCs w:val="32"/>
          <w:highlight w:val="none"/>
        </w:rPr>
      </w:pPr>
      <w:r>
        <w:rPr>
          <w:rFonts w:hint="eastAsia"/>
          <w:b/>
          <w:color w:val="auto"/>
          <w:sz w:val="32"/>
          <w:szCs w:val="32"/>
          <w:highlight w:val="none"/>
        </w:rPr>
        <w:t>专职安全员简历表</w:t>
      </w:r>
    </w:p>
    <w:p>
      <w:pPr>
        <w:spacing w:line="400" w:lineRule="exact"/>
        <w:ind w:firstLine="420"/>
        <w:rPr>
          <w:color w:val="auto"/>
          <w:highlight w:val="none"/>
        </w:rPr>
      </w:pPr>
    </w:p>
    <w:tbl>
      <w:tblPr>
        <w:tblStyle w:val="4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16"/>
        <w:gridCol w:w="1328"/>
        <w:gridCol w:w="1311"/>
        <w:gridCol w:w="1263"/>
        <w:gridCol w:w="13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7"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916"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c>
          <w:tcPr>
            <w:tcW w:w="1328"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1311"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c>
          <w:tcPr>
            <w:tcW w:w="1263"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职称</w:t>
            </w:r>
          </w:p>
        </w:tc>
        <w:tc>
          <w:tcPr>
            <w:tcW w:w="1377"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7"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从事本工作时间</w:t>
            </w:r>
          </w:p>
        </w:tc>
        <w:tc>
          <w:tcPr>
            <w:tcW w:w="1916"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c>
          <w:tcPr>
            <w:tcW w:w="1328"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学历</w:t>
            </w:r>
          </w:p>
        </w:tc>
        <w:tc>
          <w:tcPr>
            <w:tcW w:w="1311"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c>
          <w:tcPr>
            <w:tcW w:w="1263"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专业</w:t>
            </w:r>
          </w:p>
        </w:tc>
        <w:tc>
          <w:tcPr>
            <w:tcW w:w="1377"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7"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毕业院校</w:t>
            </w:r>
          </w:p>
        </w:tc>
        <w:tc>
          <w:tcPr>
            <w:tcW w:w="4555" w:type="dxa"/>
            <w:gridSpan w:val="3"/>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c>
          <w:tcPr>
            <w:tcW w:w="1263"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毕业时间</w:t>
            </w:r>
          </w:p>
        </w:tc>
        <w:tc>
          <w:tcPr>
            <w:tcW w:w="1377" w:type="dxa"/>
            <w:noWrap/>
            <w:vAlign w:val="center"/>
          </w:tcPr>
          <w:p>
            <w:pPr>
              <w:pStyle w:val="142"/>
              <w:adjustRightInd w:val="0"/>
              <w:snapToGrid w:val="0"/>
              <w:spacing w:before="0" w:after="0" w:line="400" w:lineRule="exact"/>
              <w:jc w:val="center"/>
              <w:rPr>
                <w:rFonts w:ascii="宋体" w:hAnsi="宋体" w:eastAsia="宋体"/>
                <w:color w:val="auto"/>
                <w:sz w:val="21"/>
                <w:szCs w:val="21"/>
                <w:highlight w:val="none"/>
              </w:rPr>
            </w:pPr>
          </w:p>
        </w:tc>
      </w:tr>
    </w:tbl>
    <w:p>
      <w:pPr>
        <w:spacing w:line="400" w:lineRule="exact"/>
        <w:ind w:left="525" w:leftChars="250" w:right="281" w:rightChars="134" w:firstLine="420" w:firstLineChars="200"/>
        <w:rPr>
          <w:color w:val="auto"/>
          <w:highlight w:val="none"/>
        </w:rPr>
      </w:pPr>
      <w:r>
        <w:rPr>
          <w:rFonts w:hint="eastAsia" w:ascii="宋体" w:hAnsi="宋体" w:cs="宋体"/>
          <w:color w:val="auto"/>
          <w:highlight w:val="none"/>
        </w:rPr>
        <w:t>应附专职安全员在有效期内建设行政主管部门颁发的安全考核合格证书（C类）或建筑施工企业专职安全生产管理人员安全生产考核合格证书（C3）。</w:t>
      </w:r>
    </w:p>
    <w:p>
      <w:pPr>
        <w:widowControl/>
        <w:spacing w:line="400" w:lineRule="exact"/>
        <w:jc w:val="left"/>
        <w:rPr>
          <w:color w:val="auto"/>
          <w:highlight w:val="none"/>
        </w:rPr>
      </w:pPr>
    </w:p>
    <w:p>
      <w:pPr>
        <w:spacing w:line="400" w:lineRule="exact"/>
        <w:jc w:val="center"/>
        <w:outlineLvl w:val="2"/>
        <w:rPr>
          <w:color w:val="auto"/>
          <w:highlight w:val="none"/>
        </w:rPr>
      </w:pPr>
      <w:r>
        <w:rPr>
          <w:color w:val="auto"/>
          <w:highlight w:val="none"/>
        </w:rPr>
        <w:br w:type="page"/>
      </w:r>
    </w:p>
    <w:p>
      <w:pPr>
        <w:spacing w:line="400" w:lineRule="exact"/>
        <w:jc w:val="center"/>
        <w:outlineLvl w:val="2"/>
        <w:rPr>
          <w:rFonts w:ascii="黑体" w:hAnsi="黑体" w:eastAsia="黑体"/>
          <w:color w:val="auto"/>
          <w:sz w:val="28"/>
          <w:szCs w:val="27"/>
          <w:highlight w:val="none"/>
        </w:rPr>
      </w:pPr>
      <w:bookmarkStart w:id="297" w:name="_Toc26128"/>
      <w:bookmarkEnd w:id="297"/>
      <w:bookmarkStart w:id="298" w:name="_Toc21787769"/>
      <w:bookmarkEnd w:id="298"/>
      <w:bookmarkStart w:id="299" w:name="_Toc26256"/>
      <w:r>
        <w:rPr>
          <w:rFonts w:hint="eastAsia" w:ascii="黑体" w:hAnsi="黑体" w:eastAsia="黑体"/>
          <w:color w:val="auto"/>
          <w:sz w:val="28"/>
          <w:szCs w:val="27"/>
          <w:highlight w:val="none"/>
        </w:rPr>
        <w:t>八、投标人须知前附表规定的其他材料</w:t>
      </w:r>
      <w:bookmarkEnd w:id="299"/>
    </w:p>
    <w:p>
      <w:pPr>
        <w:pStyle w:val="17"/>
        <w:rPr>
          <w:color w:val="auto"/>
          <w:highlight w:val="none"/>
        </w:rPr>
      </w:pPr>
    </w:p>
    <w:p>
      <w:pPr>
        <w:pStyle w:val="17"/>
        <w:rPr>
          <w:color w:val="auto"/>
          <w:highlight w:val="none"/>
        </w:rPr>
      </w:pPr>
    </w:p>
    <w:p>
      <w:pPr>
        <w:spacing w:line="400" w:lineRule="exact"/>
        <w:ind w:firstLine="480" w:firstLineChars="200"/>
        <w:rPr>
          <w:rFonts w:ascii="黑体" w:hAnsi="黑体" w:eastAsia="黑体"/>
          <w:color w:val="auto"/>
          <w:sz w:val="24"/>
          <w:highlight w:val="none"/>
        </w:rPr>
      </w:pPr>
      <w:bookmarkStart w:id="300" w:name="_Toc221949894"/>
      <w:bookmarkStart w:id="301" w:name="_Toc179715764"/>
      <w:bookmarkStart w:id="302" w:name="_Toc227133887"/>
      <w:bookmarkStart w:id="303" w:name="_Toc152047271"/>
      <w:bookmarkStart w:id="304" w:name="_Toc222029460"/>
      <w:r>
        <w:rPr>
          <w:rFonts w:hint="eastAsia" w:ascii="黑体" w:hAnsi="黑体" w:eastAsia="黑体"/>
          <w:color w:val="auto"/>
          <w:sz w:val="24"/>
          <w:highlight w:val="none"/>
        </w:rPr>
        <w:t>附件一  投标人声明（参考格式）</w:t>
      </w:r>
    </w:p>
    <w:p>
      <w:pPr>
        <w:spacing w:line="40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附件二  投标人廉</w:t>
      </w:r>
      <w:r>
        <w:rPr>
          <w:rFonts w:hint="eastAsia" w:ascii="黑体" w:hAnsi="黑体" w:eastAsia="黑体"/>
          <w:color w:val="auto"/>
          <w:sz w:val="24"/>
          <w:highlight w:val="none"/>
          <w:lang w:eastAsia="zh-CN"/>
        </w:rPr>
        <w:t>洁</w:t>
      </w:r>
      <w:r>
        <w:rPr>
          <w:rFonts w:hint="eastAsia" w:ascii="黑体" w:hAnsi="黑体" w:eastAsia="黑体"/>
          <w:color w:val="auto"/>
          <w:sz w:val="24"/>
          <w:highlight w:val="none"/>
        </w:rPr>
        <w:t>承诺书</w:t>
      </w:r>
    </w:p>
    <w:p>
      <w:pPr>
        <w:spacing w:line="40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附件三  投标文件编制人员名单</w:t>
      </w:r>
    </w:p>
    <w:p>
      <w:pPr>
        <w:spacing w:line="40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附件四  对投标文件编制的承诺</w:t>
      </w:r>
    </w:p>
    <w:p>
      <w:pPr>
        <w:spacing w:line="40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附件五  投标文件编制情况</w:t>
      </w:r>
    </w:p>
    <w:p>
      <w:pPr>
        <w:spacing w:line="40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附件六  如投标报价低于警示价的，提供投标报价不低于成本价的证明材料</w:t>
      </w:r>
    </w:p>
    <w:p>
      <w:pPr>
        <w:spacing w:line="400" w:lineRule="exact"/>
        <w:ind w:firstLine="480" w:firstLineChars="200"/>
        <w:rPr>
          <w:rFonts w:ascii="宋体" w:hAnsi="宋体"/>
          <w:color w:val="auto"/>
          <w:sz w:val="24"/>
          <w:highlight w:val="none"/>
        </w:rPr>
      </w:pPr>
    </w:p>
    <w:p>
      <w:pPr>
        <w:spacing w:line="400" w:lineRule="exact"/>
        <w:ind w:firstLine="482" w:firstLineChars="200"/>
        <w:rPr>
          <w:b/>
          <w:color w:val="auto"/>
          <w:sz w:val="24"/>
          <w:szCs w:val="24"/>
          <w:highlight w:val="none"/>
        </w:rPr>
      </w:pPr>
      <w:r>
        <w:rPr>
          <w:rFonts w:ascii="宋体" w:hAnsi="宋体"/>
          <w:b/>
          <w:color w:val="auto"/>
          <w:sz w:val="24"/>
          <w:highlight w:val="none"/>
        </w:rPr>
        <w:br w:type="page"/>
      </w:r>
      <w:r>
        <w:rPr>
          <w:rFonts w:hint="eastAsia" w:ascii="宋体" w:hAnsi="宋体"/>
          <w:color w:val="auto"/>
          <w:sz w:val="24"/>
          <w:szCs w:val="24"/>
          <w:highlight w:val="none"/>
        </w:rPr>
        <w:t>附件一：</w:t>
      </w:r>
    </w:p>
    <w:p>
      <w:pPr>
        <w:spacing w:line="400" w:lineRule="exact"/>
        <w:ind w:firstLine="602" w:firstLineChars="200"/>
        <w:jc w:val="center"/>
        <w:rPr>
          <w:b/>
          <w:bCs/>
          <w:color w:val="auto"/>
          <w:kern w:val="0"/>
          <w:sz w:val="30"/>
          <w:szCs w:val="30"/>
          <w:highlight w:val="none"/>
        </w:rPr>
      </w:pPr>
      <w:r>
        <w:rPr>
          <w:rFonts w:hint="eastAsia"/>
          <w:b/>
          <w:bCs/>
          <w:color w:val="auto"/>
          <w:kern w:val="0"/>
          <w:sz w:val="30"/>
          <w:szCs w:val="30"/>
          <w:highlight w:val="none"/>
        </w:rPr>
        <w:t>投标人声明</w:t>
      </w:r>
    </w:p>
    <w:p>
      <w:pPr>
        <w:spacing w:line="400" w:lineRule="exact"/>
        <w:ind w:firstLine="602" w:firstLineChars="200"/>
        <w:jc w:val="center"/>
        <w:rPr>
          <w:b/>
          <w:bCs/>
          <w:color w:val="auto"/>
          <w:sz w:val="44"/>
          <w:szCs w:val="44"/>
          <w:highlight w:val="none"/>
        </w:rPr>
      </w:pPr>
      <w:r>
        <w:rPr>
          <w:rFonts w:hint="eastAsia"/>
          <w:b/>
          <w:bCs/>
          <w:color w:val="auto"/>
          <w:sz w:val="30"/>
          <w:szCs w:val="30"/>
          <w:highlight w:val="none"/>
        </w:rPr>
        <w:t>（参考格式）</w:t>
      </w:r>
    </w:p>
    <w:p>
      <w:pPr>
        <w:spacing w:line="400" w:lineRule="exact"/>
        <w:ind w:firstLine="600" w:firstLineChars="200"/>
        <w:rPr>
          <w:rFonts w:eastAsia="仿宋_GB2312"/>
          <w:color w:val="auto"/>
          <w:kern w:val="0"/>
          <w:sz w:val="30"/>
          <w:szCs w:val="30"/>
          <w:highlight w:val="none"/>
        </w:rPr>
      </w:pPr>
    </w:p>
    <w:p>
      <w:pPr>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广州从化自来水有限公司、广州市从化区水务局：</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本公司就参加投标工作，作出郑重声明：</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一、本公司保证投标登记</w:t>
      </w:r>
      <w:r>
        <w:rPr>
          <w:rFonts w:hint="eastAsia" w:ascii="宋体" w:hAnsi="宋体" w:cs="宋体"/>
          <w:color w:val="auto"/>
          <w:szCs w:val="21"/>
          <w:highlight w:val="none"/>
        </w:rPr>
        <w:t>登记</w:t>
      </w:r>
      <w:r>
        <w:rPr>
          <w:rFonts w:hint="eastAsia" w:ascii="宋体" w:hAnsi="宋体" w:cs="宋体"/>
          <w:color w:val="auto"/>
          <w:kern w:val="0"/>
          <w:szCs w:val="21"/>
          <w:highlight w:val="none"/>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二、本公司保证在本项目投标中不与其他单位围标、串标，不出让投标资格，不向招标人或评标委员会成员行贿。</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三、本公司不存在下列情形：</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（2）为本标段前期准备提供设计或咨询服务或者与本项目设计人或提供咨询服务的机构存在附属关系的；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（3）为本项目监理人或者与本项目监理人存在隶属关系或者其他利害关系；</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（5）为本标段提供招标代理服务的；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（6）与本标段的监理人或代建人或招标代理机构同为一个法定代表人的；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（7）与本标段的监理人或代建人或招标代理机构互相控股或参股的；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（8）与本标段的监理人或代建人或招标代理机构相互任职或工作的；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（9）与本标段的检测机构有隶属关系或者其他利害关系；</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（10）与招标人存在利害关系且可能影响招标公正性；</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（11）与本标段的其他投标人为同一个单位负责人；</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（12）与本标段的其他投标人存在控股、管理关系；</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（13）被依法暂停或取消投标资格的；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（14）被责令停产停业、暂扣或者吊销许可证、暂扣或者吊销执照的；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（15）进入清算程序，或被宣布破产，或其他丧失履约能力的情形；</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（16）在最近三年内有骗取中标或严重违约或重大工程质量问题的；</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（17）被工商行政管理机关在全国企业信用信息公示系统中列入严重违法失信企业名单；</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（18）被最高人民法院在“信用中国”网站（www.creditchina.gov.cn）或各级信用信息共享平台中列入失信被执行人名单；</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（19）被发改委、人力资源社会保障、质检总局等有关部门、单位在“信用中国”网站中列入联合惩戒失信黑名单。</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（20）未在以往工程中因不诚信行为或不充分履约行为被本项目招标人书面拒绝投标的，或未被纳入联合惩戒范围的（如有，提供具体名单；如无，则删除。）。</w:t>
      </w:r>
    </w:p>
    <w:p>
      <w:pPr>
        <w:pStyle w:val="123"/>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（21）在近三年内投标人或其法定代表人、拟委派的项目负责人有行贿犯罪行为的；</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（22）法律法规规定的其他情形。</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四、本公司保证本项目拟派的项目负责人和安全员没有在其他在建项目中任职。</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七、与本公司单位负责人为同一人或者与本公司存在控股、管理关系的其他单位包括：             。（注：本条由投标人如实填写，如有，应列出全部满足招标公告资质要求的相关单位的名称；如无，则填写“无”。）</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color w:val="auto"/>
          <w:kern w:val="0"/>
          <w:sz w:val="24"/>
          <w:szCs w:val="24"/>
          <w:highlight w:val="none"/>
        </w:rPr>
      </w:pP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pStyle w:val="122"/>
        <w:spacing w:line="600" w:lineRule="exact"/>
        <w:ind w:left="629" w:right="1449"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123"/>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
    <w:p>
      <w:pPr>
        <w:pStyle w:val="123"/>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pPr>
        <w:pStyle w:val="123"/>
        <w:spacing w:line="600" w:lineRule="exact"/>
        <w:ind w:right="1779"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pPr>
        <w:pStyle w:val="123"/>
        <w:spacing w:line="600" w:lineRule="exact"/>
        <w:ind w:right="879"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（盖单位章）</w:t>
      </w:r>
    </w:p>
    <w:p>
      <w:pPr>
        <w:spacing w:line="360" w:lineRule="auto"/>
        <w:ind w:right="1179" w:firstLine="480" w:firstLineChars="200"/>
        <w:jc w:val="right"/>
        <w:rPr>
          <w:rFonts w:eastAsia="仿宋_GB2312"/>
          <w:color w:val="auto"/>
          <w:kern w:val="0"/>
          <w:sz w:val="24"/>
          <w:szCs w:val="24"/>
          <w:highlight w:val="none"/>
        </w:rPr>
      </w:pPr>
      <w:r>
        <w:rPr>
          <w:rFonts w:hint="eastAsia" w:ascii="宋体" w:hAnsi="宋体" w:cs="宋体"/>
          <w:color w:val="auto"/>
          <w:kern w:val="0"/>
          <w:sz w:val="24"/>
          <w:szCs w:val="24"/>
          <w:highlight w:val="none"/>
        </w:rPr>
        <w:t>年  月  日</w:t>
      </w:r>
    </w:p>
    <w:p>
      <w:pPr>
        <w:spacing w:line="400" w:lineRule="exact"/>
        <w:ind w:firstLine="480" w:firstLineChars="200"/>
        <w:jc w:val="center"/>
        <w:rPr>
          <w:rFonts w:ascii="仿宋" w:hAnsi="仿宋" w:eastAsia="仿宋"/>
          <w:color w:val="auto"/>
          <w:kern w:val="0"/>
          <w:sz w:val="24"/>
          <w:szCs w:val="24"/>
          <w:highlight w:val="none"/>
        </w:rPr>
      </w:pPr>
    </w:p>
    <w:p>
      <w:pPr>
        <w:spacing w:line="400" w:lineRule="exact"/>
        <w:ind w:firstLine="480" w:firstLineChars="200"/>
        <w:jc w:val="center"/>
        <w:rPr>
          <w:rFonts w:hAnsi="宋体" w:eastAsia="仿宋_GB2312"/>
          <w:color w:val="auto"/>
          <w:kern w:val="0"/>
          <w:sz w:val="24"/>
          <w:szCs w:val="24"/>
          <w:highlight w:val="none"/>
        </w:rPr>
      </w:pPr>
    </w:p>
    <w:p>
      <w:pPr>
        <w:spacing w:line="400" w:lineRule="exact"/>
        <w:ind w:firstLine="480" w:firstLineChars="200"/>
        <w:jc w:val="left"/>
        <w:rPr>
          <w:rFonts w:ascii="宋体" w:hAnsi="宋体"/>
          <w:b/>
          <w:color w:val="auto"/>
          <w:sz w:val="24"/>
          <w:highlight w:val="none"/>
        </w:rPr>
      </w:pPr>
      <w:r>
        <w:rPr>
          <w:rFonts w:hAnsi="宋体" w:eastAsia="仿宋_GB2312"/>
          <w:color w:val="auto"/>
          <w:kern w:val="0"/>
          <w:sz w:val="24"/>
          <w:szCs w:val="24"/>
          <w:highlight w:val="none"/>
        </w:rPr>
        <w:br w:type="page"/>
      </w:r>
      <w:r>
        <w:rPr>
          <w:rFonts w:hint="eastAsia" w:ascii="宋体" w:hAnsi="宋体"/>
          <w:color w:val="auto"/>
          <w:sz w:val="24"/>
          <w:szCs w:val="24"/>
          <w:highlight w:val="none"/>
        </w:rPr>
        <w:t>附件二</w:t>
      </w:r>
    </w:p>
    <w:p>
      <w:pPr>
        <w:spacing w:line="400" w:lineRule="exact"/>
        <w:ind w:firstLine="482" w:firstLineChars="200"/>
        <w:jc w:val="center"/>
        <w:rPr>
          <w:rFonts w:ascii="宋体" w:hAnsi="宋体"/>
          <w:b/>
          <w:color w:val="auto"/>
          <w:sz w:val="24"/>
          <w:highlight w:val="none"/>
        </w:rPr>
      </w:pPr>
      <w:r>
        <w:rPr>
          <w:rFonts w:hint="eastAsia" w:ascii="宋体" w:hAnsi="宋体"/>
          <w:b/>
          <w:color w:val="auto"/>
          <w:sz w:val="24"/>
          <w:highlight w:val="none"/>
        </w:rPr>
        <w:t>投标人廉洁承诺书</w:t>
      </w:r>
    </w:p>
    <w:p>
      <w:pPr>
        <w:spacing w:line="400" w:lineRule="exact"/>
        <w:ind w:firstLine="480" w:firstLineChars="200"/>
        <w:rPr>
          <w:rFonts w:ascii="宋体" w:hAnsi="宋体"/>
          <w:color w:val="auto"/>
          <w:sz w:val="24"/>
          <w:highlight w:val="none"/>
        </w:rPr>
      </w:pPr>
    </w:p>
    <w:p>
      <w:pPr>
        <w:spacing w:line="400" w:lineRule="exact"/>
        <w:rPr>
          <w:rFonts w:ascii="宋体" w:hAnsi="宋体"/>
          <w:color w:val="auto"/>
          <w:sz w:val="24"/>
          <w:highlight w:val="none"/>
          <w:u w:val="single"/>
        </w:rPr>
      </w:pPr>
      <w:r>
        <w:rPr>
          <w:rFonts w:hint="eastAsia" w:ascii="宋体" w:hAnsi="宋体"/>
          <w:color w:val="auto"/>
          <w:sz w:val="24"/>
          <w:highlight w:val="none"/>
          <w:u w:val="single"/>
        </w:rPr>
        <w:t>广州从化自来水有限公司、广州市从化区水务局：</w:t>
      </w:r>
    </w:p>
    <w:p>
      <w:pPr>
        <w:spacing w:line="400" w:lineRule="exact"/>
        <w:ind w:firstLine="480" w:firstLineChars="200"/>
        <w:rPr>
          <w:rFonts w:ascii="宋体" w:hAnsi="宋体"/>
          <w:color w:val="auto"/>
          <w:sz w:val="24"/>
          <w:highlight w:val="none"/>
        </w:rPr>
      </w:pPr>
      <w:bookmarkStart w:id="305" w:name="_Toc229474023"/>
      <w:r>
        <w:rPr>
          <w:rFonts w:hint="eastAsia" w:ascii="宋体" w:hAnsi="宋体"/>
          <w:color w:val="auto"/>
          <w:sz w:val="24"/>
          <w:highlight w:val="none"/>
        </w:rPr>
        <w:t>本公司参加了</w:t>
      </w:r>
      <w:r>
        <w:rPr>
          <w:rFonts w:hint="eastAsia" w:ascii="宋体" w:hAnsi="宋体"/>
          <w:color w:val="auto"/>
          <w:sz w:val="24"/>
          <w:highlight w:val="none"/>
          <w:u w:val="single"/>
        </w:rPr>
        <w:t xml:space="preserve">       （项目名称）         </w:t>
      </w:r>
      <w:r>
        <w:rPr>
          <w:rFonts w:hint="eastAsia" w:ascii="宋体" w:hAnsi="宋体"/>
          <w:color w:val="auto"/>
          <w:sz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bookmarkEnd w:id="300"/>
    <w:bookmarkEnd w:id="301"/>
    <w:bookmarkEnd w:id="302"/>
    <w:bookmarkEnd w:id="303"/>
    <w:bookmarkEnd w:id="304"/>
    <w:bookmarkEnd w:id="305"/>
    <w:p>
      <w:pPr>
        <w:spacing w:line="400" w:lineRule="exact"/>
        <w:ind w:firstLine="480" w:firstLineChars="200"/>
        <w:rPr>
          <w:rFonts w:ascii="宋体" w:hAnsi="宋体"/>
          <w:color w:val="auto"/>
          <w:sz w:val="24"/>
          <w:highlight w:val="none"/>
        </w:rPr>
      </w:pPr>
      <w:bookmarkStart w:id="306" w:name="_Toc229474024"/>
      <w:bookmarkEnd w:id="306"/>
      <w:bookmarkStart w:id="307" w:name="_Toc359263290"/>
      <w:bookmarkEnd w:id="307"/>
      <w:r>
        <w:rPr>
          <w:rFonts w:hint="eastAsia" w:ascii="宋体" w:hAnsi="宋体"/>
          <w:color w:val="auto"/>
          <w:sz w:val="24"/>
          <w:highlight w:val="none"/>
        </w:rPr>
        <w:t>一、自觉遵守国家有关法律法规及廉洁规定。</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二、不与招标单位工作人员串通投标，损害国家利益、企业利益以及他人的合法利益；</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三、不与其他单位围标、串标，不出让投标资格，不向招标人或评标委员会成员行贿。</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四、不以任何名义向参与招标、评标工作的有关人员提供高消费宴请及娱乐活动和赠送回扣、红包、礼金、购物卡、有价证券、贵重物品和好处费、感谢费等； </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五、不以任何名义为参与招标、评标工作的有关人员装修住房、婚丧嫁取、配偶子女的工作安排以及境内外旅游等提供方便；</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六、不以谋取非正当利益为目的，擅自与参与招标、评标工作的有关人员就业务问题进行私下商谈或者达成利益默契；</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本公司违反上述承诺，或本承诺陈述与事实不符，经查实，本公司愿意接受公开通报，承担由此带来的法律后果，并自愿停止参加广州市行政辖区内的招标投标活动三个月。</w:t>
      </w:r>
    </w:p>
    <w:p>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400" w:lineRule="exact"/>
        <w:ind w:right="480" w:firstLine="3960" w:firstLineChars="1650"/>
        <w:rPr>
          <w:rFonts w:ascii="宋体" w:hAnsi="宋体"/>
          <w:color w:val="auto"/>
          <w:sz w:val="24"/>
          <w:highlight w:val="none"/>
        </w:rPr>
      </w:pPr>
    </w:p>
    <w:p>
      <w:pPr>
        <w:spacing w:line="400" w:lineRule="exact"/>
        <w:ind w:right="480" w:firstLine="3960" w:firstLineChars="1650"/>
        <w:rPr>
          <w:rFonts w:ascii="宋体" w:hAnsi="宋体"/>
          <w:color w:val="auto"/>
          <w:sz w:val="24"/>
          <w:highlight w:val="none"/>
          <w:u w:val="single"/>
        </w:rPr>
      </w:pPr>
      <w:r>
        <w:rPr>
          <w:rFonts w:hint="eastAsia" w:ascii="宋体" w:hAnsi="宋体"/>
          <w:color w:val="auto"/>
          <w:sz w:val="24"/>
          <w:highlight w:val="none"/>
        </w:rPr>
        <w:t>承诺企业：</w:t>
      </w:r>
      <w:r>
        <w:rPr>
          <w:rFonts w:hint="eastAsia" w:ascii="宋体" w:hAnsi="宋体"/>
          <w:color w:val="auto"/>
          <w:sz w:val="24"/>
          <w:highlight w:val="none"/>
          <w:u w:val="single"/>
        </w:rPr>
        <w:t xml:space="preserve">                  </w:t>
      </w:r>
    </w:p>
    <w:p>
      <w:pPr>
        <w:spacing w:line="400" w:lineRule="exact"/>
        <w:ind w:firstLine="480" w:firstLineChars="20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00" w:lineRule="exact"/>
        <w:ind w:firstLine="480" w:firstLineChars="200"/>
        <w:jc w:val="center"/>
        <w:rPr>
          <w:rFonts w:ascii="宋体" w:hAnsi="宋体"/>
          <w:color w:val="auto"/>
          <w:sz w:val="24"/>
          <w:highlight w:val="none"/>
        </w:rPr>
      </w:pPr>
      <w:r>
        <w:rPr>
          <w:rFonts w:hint="eastAsia" w:ascii="宋体" w:hAnsi="宋体"/>
          <w:color w:val="auto"/>
          <w:sz w:val="24"/>
          <w:highlight w:val="none"/>
        </w:rPr>
        <w:t xml:space="preserve">                           法定代表人签字：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400" w:lineRule="exact"/>
        <w:ind w:right="480" w:firstLine="480" w:firstLineChars="200"/>
        <w:jc w:val="center"/>
        <w:rPr>
          <w:rFonts w:ascii="宋体" w:hAnsi="宋体"/>
          <w:color w:val="auto"/>
          <w:sz w:val="24"/>
          <w:highlight w:val="none"/>
        </w:rPr>
      </w:pPr>
      <w:r>
        <w:rPr>
          <w:rFonts w:hint="eastAsia" w:ascii="宋体" w:hAnsi="宋体"/>
          <w:color w:val="auto"/>
          <w:sz w:val="24"/>
          <w:highlight w:val="none"/>
        </w:rPr>
        <w:t xml:space="preserve">      (企业公章)   </w:t>
      </w:r>
      <w:r>
        <w:rPr>
          <w:rFonts w:ascii="宋体" w:hAnsi="宋体"/>
          <w:color w:val="auto"/>
          <w:sz w:val="24"/>
          <w:highlight w:val="none"/>
        </w:rPr>
        <w:br w:type="page"/>
      </w:r>
    </w:p>
    <w:p>
      <w:pPr>
        <w:autoSpaceDE w:val="0"/>
        <w:autoSpaceDN w:val="0"/>
        <w:adjustRightInd w:val="0"/>
        <w:spacing w:line="400" w:lineRule="exact"/>
        <w:rPr>
          <w:color w:val="auto"/>
          <w:szCs w:val="21"/>
          <w:highlight w:val="none"/>
        </w:rPr>
      </w:pPr>
      <w:r>
        <w:rPr>
          <w:rFonts w:hint="eastAsia"/>
          <w:color w:val="auto"/>
          <w:szCs w:val="21"/>
          <w:highlight w:val="none"/>
        </w:rPr>
        <w:t>附件三</w:t>
      </w:r>
    </w:p>
    <w:p>
      <w:pPr>
        <w:tabs>
          <w:tab w:val="left" w:pos="720"/>
        </w:tabs>
        <w:snapToGrid w:val="0"/>
        <w:spacing w:line="400" w:lineRule="exact"/>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400" w:lineRule="exact"/>
        <w:rPr>
          <w:color w:val="auto"/>
          <w:sz w:val="24"/>
          <w:szCs w:val="24"/>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400" w:lineRule="exact"/>
              <w:jc w:val="center"/>
              <w:rPr>
                <w:rFonts w:ascii="宋体" w:hAnsi="宋体"/>
                <w:color w:val="auto"/>
                <w:szCs w:val="21"/>
                <w:highlight w:val="none"/>
              </w:rPr>
            </w:pPr>
          </w:p>
        </w:tc>
      </w:tr>
    </w:tbl>
    <w:p>
      <w:pPr>
        <w:tabs>
          <w:tab w:val="left" w:pos="720"/>
        </w:tabs>
        <w:snapToGrid w:val="0"/>
        <w:spacing w:line="400" w:lineRule="exact"/>
        <w:rPr>
          <w:color w:val="auto"/>
          <w:sz w:val="24"/>
          <w:szCs w:val="24"/>
          <w:highlight w:val="none"/>
        </w:rPr>
      </w:pPr>
    </w:p>
    <w:p>
      <w:pPr>
        <w:pStyle w:val="40"/>
        <w:spacing w:after="0" w:line="400" w:lineRule="exact"/>
        <w:ind w:left="-2" w:leftChars="-1" w:firstLine="367" w:firstLineChars="175"/>
        <w:jc w:val="left"/>
        <w:rPr>
          <w:color w:val="auto"/>
          <w:sz w:val="24"/>
          <w:szCs w:val="24"/>
          <w:highlight w:val="none"/>
        </w:rPr>
      </w:pPr>
      <w:r>
        <w:rPr>
          <w:rFonts w:hint="eastAsia" w:ascii="宋体" w:hAnsi="宋体" w:eastAsia="宋体"/>
          <w:color w:val="auto"/>
          <w:kern w:val="2"/>
          <w:sz w:val="21"/>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color w:val="auto"/>
          <w:szCs w:val="21"/>
          <w:highlight w:val="none"/>
        </w:rPr>
      </w:pPr>
      <w:r>
        <w:rPr>
          <w:color w:val="auto"/>
          <w:sz w:val="24"/>
          <w:szCs w:val="24"/>
          <w:highlight w:val="none"/>
        </w:rPr>
        <w:br w:type="page"/>
      </w:r>
      <w:r>
        <w:rPr>
          <w:rFonts w:hint="eastAsia"/>
          <w:color w:val="auto"/>
          <w:szCs w:val="21"/>
          <w:highlight w:val="none"/>
        </w:rPr>
        <w:t>附件四</w:t>
      </w:r>
    </w:p>
    <w:p>
      <w:pPr>
        <w:pStyle w:val="40"/>
        <w:spacing w:after="0" w:line="400" w:lineRule="exact"/>
        <w:ind w:firstLine="0"/>
        <w:jc w:val="center"/>
        <w:rPr>
          <w:b/>
          <w:color w:val="auto"/>
          <w:sz w:val="32"/>
          <w:szCs w:val="32"/>
          <w:highlight w:val="none"/>
        </w:rPr>
      </w:pPr>
    </w:p>
    <w:p>
      <w:pPr>
        <w:pStyle w:val="40"/>
        <w:spacing w:after="0" w:line="400" w:lineRule="exact"/>
        <w:ind w:firstLine="0"/>
        <w:jc w:val="center"/>
        <w:rPr>
          <w:color w:val="auto"/>
          <w:sz w:val="32"/>
          <w:szCs w:val="32"/>
          <w:highlight w:val="none"/>
        </w:rPr>
      </w:pPr>
      <w:r>
        <w:rPr>
          <w:rFonts w:hint="eastAsia"/>
          <w:b/>
          <w:color w:val="auto"/>
          <w:sz w:val="32"/>
          <w:szCs w:val="32"/>
          <w:highlight w:val="none"/>
        </w:rPr>
        <w:t>对投标文件编制的承诺</w:t>
      </w:r>
    </w:p>
    <w:p>
      <w:pPr>
        <w:pStyle w:val="40"/>
        <w:spacing w:after="0" w:line="400" w:lineRule="exact"/>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40"/>
        <w:spacing w:after="0" w:line="400" w:lineRule="exact"/>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40"/>
        <w:spacing w:after="0" w:line="400" w:lineRule="exact"/>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40"/>
        <w:spacing w:after="0" w:line="400" w:lineRule="exact"/>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40"/>
        <w:spacing w:after="0" w:line="400" w:lineRule="exact"/>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如由于未遵守上述承诺内容之一导致无法进行澄清的，我公司认可和接受评标委员会作出的评审结论。</w:t>
      </w:r>
    </w:p>
    <w:p>
      <w:pPr>
        <w:pStyle w:val="40"/>
        <w:spacing w:after="0" w:line="400" w:lineRule="exact"/>
        <w:ind w:firstLine="360" w:firstLineChars="150"/>
        <w:rPr>
          <w:rFonts w:ascii="宋体" w:hAnsi="宋体"/>
          <w:color w:val="auto"/>
          <w:sz w:val="24"/>
          <w:szCs w:val="24"/>
          <w:highlight w:val="none"/>
        </w:rPr>
      </w:pPr>
    </w:p>
    <w:p>
      <w:pPr>
        <w:pStyle w:val="40"/>
        <w:spacing w:after="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pStyle w:val="40"/>
        <w:spacing w:after="0" w:line="400" w:lineRule="exact"/>
        <w:ind w:firstLine="480" w:firstLineChars="200"/>
        <w:rPr>
          <w:rFonts w:ascii="宋体" w:hAnsi="宋体"/>
          <w:color w:val="auto"/>
          <w:sz w:val="24"/>
          <w:szCs w:val="24"/>
          <w:highlight w:val="none"/>
        </w:rPr>
      </w:pPr>
    </w:p>
    <w:p>
      <w:pPr>
        <w:pStyle w:val="40"/>
        <w:spacing w:after="0" w:line="400" w:lineRule="exact"/>
        <w:ind w:firstLine="480" w:firstLineChars="200"/>
        <w:rPr>
          <w:rFonts w:ascii="宋体" w:hAnsi="宋体"/>
          <w:color w:val="auto"/>
          <w:sz w:val="24"/>
          <w:szCs w:val="24"/>
          <w:highlight w:val="none"/>
        </w:rPr>
      </w:pPr>
    </w:p>
    <w:p>
      <w:pPr>
        <w:spacing w:line="400" w:lineRule="exact"/>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400" w:lineRule="exact"/>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400" w:lineRule="exact"/>
        <w:ind w:firstLine="4440" w:firstLineChars="1850"/>
        <w:jc w:val="center"/>
        <w:rPr>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pPr>
        <w:spacing w:line="400" w:lineRule="exact"/>
        <w:ind w:firstLine="4440" w:firstLineChars="1850"/>
        <w:rPr>
          <w:b/>
          <w:color w:val="auto"/>
          <w:sz w:val="32"/>
          <w:szCs w:val="32"/>
          <w:highlight w:val="none"/>
        </w:rPr>
      </w:pPr>
      <w:r>
        <w:rPr>
          <w:color w:val="auto"/>
          <w:sz w:val="24"/>
          <w:szCs w:val="24"/>
          <w:highlight w:val="none"/>
        </w:rPr>
        <w:br w:type="page"/>
      </w:r>
    </w:p>
    <w:p>
      <w:pPr>
        <w:autoSpaceDE w:val="0"/>
        <w:autoSpaceDN w:val="0"/>
        <w:adjustRightInd w:val="0"/>
        <w:spacing w:line="400" w:lineRule="exact"/>
        <w:rPr>
          <w:color w:val="auto"/>
          <w:szCs w:val="21"/>
          <w:highlight w:val="none"/>
        </w:rPr>
      </w:pPr>
      <w:r>
        <w:rPr>
          <w:rFonts w:hint="eastAsia"/>
          <w:color w:val="auto"/>
          <w:szCs w:val="21"/>
          <w:highlight w:val="none"/>
        </w:rPr>
        <w:t>附件五</w:t>
      </w:r>
    </w:p>
    <w:p>
      <w:pPr>
        <w:pStyle w:val="40"/>
        <w:spacing w:after="0" w:line="400" w:lineRule="exact"/>
        <w:ind w:firstLine="643" w:firstLineChars="200"/>
        <w:jc w:val="center"/>
        <w:rPr>
          <w:b/>
          <w:color w:val="auto"/>
          <w:sz w:val="32"/>
          <w:szCs w:val="32"/>
          <w:highlight w:val="none"/>
        </w:rPr>
      </w:pPr>
    </w:p>
    <w:p>
      <w:pPr>
        <w:pStyle w:val="40"/>
        <w:spacing w:after="0" w:line="400" w:lineRule="exact"/>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40"/>
        <w:spacing w:after="0"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（盖造价工程师执业专用章或全国建设工程造价员章，执业单位应与投标人一致）</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（盖造价工程师执业专用章或全国建设工程造价员章，执业单位应与受委托单位一致）</w:t>
      </w:r>
      <w:r>
        <w:rPr>
          <w:rFonts w:hint="eastAsia" w:ascii="宋体" w:hAnsi="宋体"/>
          <w:color w:val="auto"/>
          <w:sz w:val="24"/>
          <w:szCs w:val="24"/>
          <w:highlight w:val="none"/>
        </w:rPr>
        <w:t>。</w:t>
      </w:r>
    </w:p>
    <w:p>
      <w:pPr>
        <w:pStyle w:val="40"/>
        <w:spacing w:after="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42"/>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tcPr>
          <w:p>
            <w:pPr>
              <w:pStyle w:val="40"/>
              <w:spacing w:after="0" w:line="400" w:lineRule="exact"/>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投标文件加密打包的电脑自有□外包□其他□</w:t>
            </w:r>
          </w:p>
          <w:p>
            <w:pPr>
              <w:pStyle w:val="40"/>
              <w:spacing w:after="0" w:line="400" w:lineRule="exact"/>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40"/>
              <w:spacing w:after="0" w:line="400" w:lineRule="exact"/>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40"/>
              <w:spacing w:after="0" w:line="400" w:lineRule="exact"/>
              <w:ind w:firstLine="0"/>
              <w:rPr>
                <w:rFonts w:ascii="宋体" w:hAnsi="宋体"/>
                <w:color w:val="auto"/>
                <w:sz w:val="24"/>
                <w:szCs w:val="24"/>
                <w:highlight w:val="none"/>
              </w:rPr>
            </w:pPr>
            <w:r>
              <w:rPr>
                <w:rFonts w:hint="eastAsia" w:ascii="宋体" w:hAnsi="宋体"/>
                <w:color w:val="auto"/>
                <w:sz w:val="24"/>
                <w:szCs w:val="24"/>
                <w:highlight w:val="none"/>
              </w:rPr>
              <w:t>电脑所在地址（如××市××区(县) ××街（路）××号××大厦××房）</w:t>
            </w:r>
          </w:p>
        </w:tc>
      </w:tr>
    </w:tbl>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autoSpaceDE w:val="0"/>
        <w:autoSpaceDN w:val="0"/>
        <w:adjustRightInd w:val="0"/>
        <w:spacing w:line="400" w:lineRule="exact"/>
        <w:ind w:firstLine="420"/>
        <w:rPr>
          <w:color w:val="auto"/>
          <w:szCs w:val="21"/>
          <w:highlight w:val="none"/>
        </w:rPr>
      </w:pPr>
    </w:p>
    <w:p>
      <w:pPr>
        <w:pStyle w:val="40"/>
        <w:rPr>
          <w:color w:val="auto"/>
          <w:szCs w:val="21"/>
          <w:highlight w:val="none"/>
        </w:rPr>
      </w:pPr>
    </w:p>
    <w:p>
      <w:pPr>
        <w:pStyle w:val="40"/>
        <w:rPr>
          <w:color w:val="auto"/>
          <w:szCs w:val="21"/>
          <w:highlight w:val="none"/>
        </w:rPr>
      </w:pPr>
    </w:p>
    <w:p>
      <w:pPr>
        <w:autoSpaceDE w:val="0"/>
        <w:autoSpaceDN w:val="0"/>
        <w:adjustRightInd w:val="0"/>
        <w:spacing w:line="400" w:lineRule="exact"/>
        <w:rPr>
          <w:color w:val="auto"/>
          <w:szCs w:val="21"/>
          <w:highlight w:val="none"/>
        </w:rPr>
      </w:pPr>
      <w:r>
        <w:rPr>
          <w:rFonts w:hint="eastAsia"/>
          <w:color w:val="auto"/>
          <w:szCs w:val="21"/>
          <w:highlight w:val="none"/>
        </w:rPr>
        <w:t xml:space="preserve">附件六  </w:t>
      </w:r>
    </w:p>
    <w:p>
      <w:pPr>
        <w:autoSpaceDE w:val="0"/>
        <w:autoSpaceDN w:val="0"/>
        <w:adjustRightInd w:val="0"/>
        <w:spacing w:line="400" w:lineRule="exact"/>
        <w:ind w:firstLine="420"/>
        <w:rPr>
          <w:color w:val="auto"/>
          <w:szCs w:val="21"/>
          <w:highlight w:val="none"/>
        </w:rPr>
      </w:pPr>
    </w:p>
    <w:p>
      <w:pPr>
        <w:pStyle w:val="40"/>
        <w:spacing w:after="0" w:line="400" w:lineRule="exact"/>
        <w:ind w:firstLine="0"/>
        <w:rPr>
          <w:b/>
          <w:color w:val="auto"/>
          <w:sz w:val="32"/>
          <w:szCs w:val="32"/>
          <w:highlight w:val="none"/>
        </w:rPr>
      </w:pPr>
      <w:r>
        <w:rPr>
          <w:rFonts w:hint="eastAsia"/>
          <w:b/>
          <w:color w:val="auto"/>
          <w:sz w:val="32"/>
          <w:szCs w:val="32"/>
          <w:highlight w:val="none"/>
        </w:rPr>
        <w:t>如投标报价低于警示价的，提供投标报价不低于成本价的证明材料</w:t>
      </w: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p>
    <w:p>
      <w:pPr>
        <w:spacing w:line="400" w:lineRule="exact"/>
        <w:ind w:right="480"/>
        <w:rPr>
          <w:rFonts w:ascii="宋体" w:hAnsi="宋体"/>
          <w:color w:val="auto"/>
          <w:sz w:val="24"/>
          <w:highlight w:val="none"/>
        </w:rPr>
      </w:pPr>
      <w:r>
        <w:rPr>
          <w:rFonts w:ascii="宋体" w:hAnsi="宋体"/>
          <w:color w:val="auto"/>
          <w:sz w:val="24"/>
          <w:highlight w:val="none"/>
        </w:rPr>
        <w:br w:type="page"/>
      </w:r>
    </w:p>
    <w:p>
      <w:pPr>
        <w:pStyle w:val="2"/>
        <w:spacing w:line="400" w:lineRule="exact"/>
        <w:jc w:val="center"/>
        <w:rPr>
          <w:color w:val="auto"/>
          <w:highlight w:val="none"/>
        </w:rPr>
      </w:pPr>
      <w:bookmarkStart w:id="308" w:name="_Toc21787770"/>
      <w:bookmarkEnd w:id="308"/>
      <w:bookmarkStart w:id="309" w:name="_Toc28027"/>
      <w:r>
        <w:rPr>
          <w:rFonts w:hint="eastAsia"/>
          <w:color w:val="auto"/>
          <w:highlight w:val="none"/>
        </w:rPr>
        <w:t>第九章否决性条款汇总</w:t>
      </w:r>
      <w:bookmarkEnd w:id="309"/>
    </w:p>
    <w:p>
      <w:pPr>
        <w:spacing w:line="4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一、开标时，出现下列情形之一的，投标文件由招标人作否决投标处理，不参与评标：</w:t>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（1）未成功递交投标文件的；</w:t>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（2）因投标人原因造成投标文件未解密的；</w:t>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（3）未按招标文件要求提供投标保证金的；</w:t>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（4）两个（含两个）以上的投标人加密打包投标文件电脑机器码一致的；</w:t>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（5）项目负责人和安全员为同一人的；</w:t>
      </w:r>
    </w:p>
    <w:p>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（6）投标文件中的投标人企业名称、项目负责人、专职安全员与投标登记时的信息不一致的；</w:t>
      </w:r>
    </w:p>
    <w:p>
      <w:pPr>
        <w:pStyle w:val="17"/>
        <w:kinsoku w:val="0"/>
        <w:overflowPunct w:val="0"/>
        <w:spacing w:after="0" w:line="4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二、若出现以下情况，评标委员会应当否决其投标：</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（1）投标人声明未按规定有法定代表人、项目负责人、技术负责人签字或签章及加盖单位公章；</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（2）不具备有效的营业执照；</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（3）不具有有效的建设行政主管部门颁发的安全生产许可证；</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（4）资质等级不符合招标公告第3.1.1项规定；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（5）项目负责人资格不符合招标公告第3.1.3项规定；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（6）项目负责人及专职安全员不符合建设行政主管部门颁发的有效安全生产考核合格证；</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（7）社保要求不符合招标公告第3.1.5项规定；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（8）投标人为联合体投标；</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（9）投标人声明、投标人廉洁承诺书、法定代表人身份证明；委托投标的未提供授权委托书；</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（10）投标人名称与营业执照、资质证书、安全生产许可证不一致；</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（11）投标函的格式及加盖单位公章，要求不符合招标文件第八章及《投标人须知前附表》第3.6.3条；</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（12）投标文件格式不符合第八章“投标文件格式”的要求；</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（13）投标文件只能有一个有效报价，有效报价符合第三章“评标办法”第2.2.2条；</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（14）投标报价不符合第二章“投标人须知”第3.2.3项规定；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（15）工期不符合第二章“投标人须知”第1.3.2项规定；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（16）工程质量不符合第二章“投标人须知”第1.3.3项规定；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（17）投标有效期不符合第二章“投标人须知”第3.3.1项规定；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（18）投标保证金不符合第二章“投标人须知”第3.4项规定；</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（19）已标价工程量清单不符合第五章“工程量清单”给出的范围及数量；</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（20）存在招标文件第二章“投标人须知”第1.4.3项规定的任何一种情形的；</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（21）串通投标或弄虚作假或有其他违法行为的；</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（22）不按评标委员会要求澄清、说明或补正的。</w:t>
      </w:r>
    </w:p>
    <w:p>
      <w:pPr>
        <w:pStyle w:val="17"/>
        <w:kinsoku w:val="0"/>
        <w:overflowPunct w:val="0"/>
        <w:spacing w:after="0" w:line="400" w:lineRule="exact"/>
        <w:ind w:left="117" w:firstLine="523"/>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（23）投标人不接受评标委员会修正投标报价；</w:t>
      </w:r>
    </w:p>
    <w:p>
      <w:pPr>
        <w:spacing w:line="400" w:lineRule="exact"/>
        <w:ind w:firstLine="700" w:firstLineChars="250"/>
        <w:rPr>
          <w:rFonts w:ascii="宋体" w:hAnsi="宋体" w:cs="宋体"/>
          <w:color w:val="auto"/>
          <w:kern w:val="0"/>
          <w:sz w:val="28"/>
          <w:szCs w:val="28"/>
          <w:highlight w:val="none"/>
          <w:u w:val="single"/>
        </w:rPr>
      </w:pPr>
      <w:r>
        <w:rPr>
          <w:rFonts w:hint="eastAsia" w:ascii="宋体" w:hAnsi="宋体" w:cs="宋体"/>
          <w:color w:val="auto"/>
          <w:sz w:val="28"/>
          <w:szCs w:val="28"/>
          <w:highlight w:val="none"/>
          <w:u w:val="single"/>
        </w:rPr>
        <w:t>（24）投标人的报价明显低于其他投标报价，或者在设有标底时明显低于标底，但不能合理说明或者不能提供相应证明材料的；</w:t>
      </w:r>
    </w:p>
    <w:p>
      <w:pPr>
        <w:spacing w:line="400" w:lineRule="exact"/>
        <w:ind w:firstLine="840" w:firstLineChars="300"/>
        <w:rPr>
          <w:rFonts w:ascii="宋体" w:hAnsi="宋体" w:cs="宋体"/>
          <w:color w:val="auto"/>
          <w:kern w:val="0"/>
          <w:sz w:val="28"/>
          <w:szCs w:val="28"/>
          <w:highlight w:val="none"/>
        </w:rPr>
      </w:pPr>
    </w:p>
    <w:p>
      <w:pPr>
        <w:spacing w:line="400" w:lineRule="exact"/>
        <w:ind w:firstLine="840" w:firstLineChars="300"/>
        <w:rPr>
          <w:rFonts w:ascii="宋体" w:hAnsi="宋体" w:cs="宋体"/>
          <w:color w:val="auto"/>
          <w:kern w:val="0"/>
          <w:sz w:val="28"/>
          <w:szCs w:val="28"/>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ind w:firstLine="480" w:firstLineChars="200"/>
        <w:rPr>
          <w:rFonts w:ascii="宋体" w:hAnsi="宋体"/>
          <w:color w:val="auto"/>
          <w:sz w:val="24"/>
          <w:highlight w:val="none"/>
        </w:rPr>
      </w:pPr>
    </w:p>
    <w:p>
      <w:pPr>
        <w:spacing w:line="400" w:lineRule="exact"/>
        <w:rPr>
          <w:rFonts w:ascii="宋体" w:hAnsi="宋体"/>
          <w:color w:val="auto"/>
          <w:sz w:val="24"/>
          <w:highlight w:val="none"/>
        </w:rPr>
      </w:pPr>
    </w:p>
    <w:p>
      <w:pPr>
        <w:pStyle w:val="2"/>
        <w:spacing w:line="400" w:lineRule="exact"/>
        <w:jc w:val="center"/>
        <w:rPr>
          <w:rFonts w:ascii="宋体" w:hAnsi="宋体"/>
          <w:color w:val="auto"/>
          <w:sz w:val="24"/>
          <w:highlight w:val="none"/>
        </w:rPr>
      </w:pPr>
      <w:bookmarkStart w:id="310" w:name="_Toc21787771"/>
      <w:bookmarkEnd w:id="310"/>
      <w:r>
        <w:rPr>
          <w:rFonts w:ascii="宋体" w:hAnsi="宋体"/>
          <w:color w:val="auto"/>
          <w:sz w:val="24"/>
          <w:highlight w:val="none"/>
        </w:rPr>
        <w:br w:type="page"/>
      </w:r>
      <w:bookmarkStart w:id="311" w:name="_Toc28933"/>
      <w:r>
        <w:rPr>
          <w:rFonts w:hint="eastAsia"/>
          <w:color w:val="auto"/>
          <w:highlight w:val="none"/>
        </w:rPr>
        <w:t>第十章最高投标限价（招标控制价）</w:t>
      </w:r>
      <w:bookmarkEnd w:id="311"/>
    </w:p>
    <w:tbl>
      <w:tblPr>
        <w:tblStyle w:val="42"/>
        <w:tblW w:w="9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689" w:type="dxa"/>
          </w:tcPr>
          <w:p>
            <w:pPr>
              <w:spacing w:line="600" w:lineRule="exact"/>
              <w:jc w:val="center"/>
              <w:rPr>
                <w:rFonts w:hint="eastAsia" w:ascii="宋体" w:hAnsi="宋体"/>
                <w:b/>
                <w:color w:val="auto"/>
                <w:spacing w:val="60"/>
                <w:sz w:val="44"/>
                <w:szCs w:val="44"/>
                <w:highlight w:val="none"/>
              </w:rPr>
            </w:pPr>
          </w:p>
          <w:p>
            <w:pPr>
              <w:spacing w:line="600" w:lineRule="exact"/>
              <w:jc w:val="center"/>
              <w:rPr>
                <w:rFonts w:hint="eastAsia" w:ascii="宋体" w:hAnsi="宋体" w:eastAsia="宋体" w:cs="Times New Roman"/>
                <w:b/>
                <w:color w:val="auto"/>
                <w:spacing w:val="60"/>
                <w:sz w:val="44"/>
                <w:szCs w:val="44"/>
                <w:highlight w:val="none"/>
                <w:lang w:val="en-US"/>
              </w:rPr>
            </w:pPr>
            <w:r>
              <w:rPr>
                <w:rFonts w:hint="eastAsia" w:ascii="宋体" w:hAnsi="宋体" w:eastAsia="宋体" w:cs="Times New Roman"/>
                <w:b/>
                <w:color w:val="auto"/>
                <w:spacing w:val="60"/>
                <w:sz w:val="44"/>
                <w:szCs w:val="44"/>
                <w:highlight w:val="none"/>
                <w:lang w:val="en-US" w:eastAsia="zh-CN"/>
              </w:rPr>
              <w:t>最高投标限价公布函</w:t>
            </w:r>
          </w:p>
          <w:p>
            <w:pPr>
              <w:spacing w:line="360" w:lineRule="auto"/>
              <w:rPr>
                <w:rFonts w:ascii="宋体" w:hAnsi="宋体" w:eastAsia="宋体" w:cs="宋体"/>
                <w:color w:val="auto"/>
                <w:szCs w:val="21"/>
                <w:highlight w:val="none"/>
              </w:rPr>
            </w:pPr>
          </w:p>
          <w:p>
            <w:pPr>
              <w:spacing w:line="360" w:lineRule="auto"/>
              <w:ind w:firstLine="480" w:firstLineChars="200"/>
              <w:rPr>
                <w:rFonts w:ascii="宋体" w:hAnsi="宋体" w:eastAsia="宋体" w:cs="宋体"/>
                <w:color w:val="auto"/>
                <w:sz w:val="24"/>
                <w:highlight w:val="none"/>
                <w:u w:val="single"/>
                <w:lang w:bidi="ar"/>
              </w:rPr>
            </w:pPr>
            <w:r>
              <w:rPr>
                <w:rFonts w:hint="eastAsia" w:ascii="宋体" w:hAnsi="宋体" w:eastAsia="宋体" w:cs="Times New Roman"/>
                <w:color w:val="auto"/>
                <w:sz w:val="24"/>
                <w:szCs w:val="24"/>
                <w:highlight w:val="none"/>
              </w:rPr>
              <w:t>工程名称：</w:t>
            </w:r>
            <w:r>
              <w:rPr>
                <w:rFonts w:hint="eastAsia" w:ascii="宋体" w:hAnsi="宋体" w:eastAsia="宋体" w:cs="Times New Roman"/>
                <w:color w:val="auto"/>
                <w:sz w:val="24"/>
                <w:szCs w:val="24"/>
                <w:highlight w:val="none"/>
                <w:u w:val="single"/>
              </w:rPr>
              <w:t>从化区农村供水“三同五化”改造提升项目市政供水主管网工程</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最高投标限价（元）</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106,570,327.49 </w:t>
            </w:r>
            <w:r>
              <w:rPr>
                <w:rFonts w:hint="eastAsia" w:ascii="宋体" w:hAnsi="宋体" w:eastAsia="宋体" w:cs="Times New Roman"/>
                <w:color w:val="auto"/>
                <w:sz w:val="24"/>
                <w:szCs w:val="24"/>
                <w:highlight w:val="none"/>
                <w:u w:val="single"/>
              </w:rPr>
              <w:t>元</w:t>
            </w:r>
            <w:r>
              <w:rPr>
                <w:rFonts w:hint="eastAsia" w:ascii="宋体" w:hAnsi="宋体" w:eastAsia="宋体" w:cs="Times New Roman"/>
                <w:color w:val="auto"/>
                <w:sz w:val="24"/>
                <w:szCs w:val="24"/>
                <w:highlight w:val="none"/>
              </w:rPr>
              <w:t xml:space="preserve"> </w:t>
            </w:r>
          </w:p>
          <w:p>
            <w:pPr>
              <w:spacing w:line="360" w:lineRule="auto"/>
              <w:ind w:firstLine="960" w:firstLineChars="400"/>
              <w:rPr>
                <w:rFonts w:ascii="宋体" w:hAnsi="宋体" w:eastAsia="宋体" w:cs="宋体"/>
                <w:color w:val="auto"/>
                <w:sz w:val="24"/>
                <w:highlight w:val="none"/>
                <w:u w:val="single"/>
              </w:rPr>
            </w:pPr>
            <w:r>
              <w:rPr>
                <w:rFonts w:hint="eastAsia" w:ascii="宋体" w:hAnsi="宋体" w:eastAsia="宋体" w:cs="Times New Roman"/>
                <w:color w:val="auto"/>
                <w:sz w:val="24"/>
                <w:szCs w:val="24"/>
                <w:highlight w:val="none"/>
              </w:rPr>
              <w:t>分部分项工程费（元）</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u w:val="single"/>
                <w:lang w:val="en-US" w:eastAsia="zh-CN"/>
              </w:rPr>
              <w:t>85,038,935.62</w:t>
            </w:r>
            <w:r>
              <w:rPr>
                <w:rFonts w:hint="eastAsia" w:ascii="宋体" w:hAnsi="宋体" w:eastAsia="宋体" w:cs="Times New Roman"/>
                <w:color w:val="auto"/>
                <w:sz w:val="24"/>
                <w:szCs w:val="24"/>
                <w:highlight w:val="none"/>
                <w:u w:val="single"/>
              </w:rPr>
              <w:t>元</w:t>
            </w:r>
          </w:p>
          <w:p>
            <w:pPr>
              <w:spacing w:line="360" w:lineRule="auto"/>
              <w:ind w:firstLine="960" w:firstLineChars="4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非竞争性费用（元）：</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9,221,491.60 </w:t>
            </w:r>
            <w:r>
              <w:rPr>
                <w:rFonts w:hint="eastAsia" w:ascii="宋体" w:hAnsi="宋体" w:eastAsia="宋体" w:cs="Times New Roman"/>
                <w:color w:val="auto"/>
                <w:sz w:val="24"/>
                <w:szCs w:val="24"/>
                <w:highlight w:val="none"/>
                <w:u w:val="single"/>
                <w:lang w:val="en-US" w:eastAsia="zh-CN"/>
              </w:rPr>
              <w:t>元</w:t>
            </w:r>
          </w:p>
          <w:p>
            <w:pPr>
              <w:spacing w:line="360" w:lineRule="auto"/>
              <w:ind w:firstLine="1440" w:firstLineChars="6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其中绿色施工安全防护措施费（元）：</w:t>
            </w:r>
            <w:r>
              <w:rPr>
                <w:rFonts w:hint="eastAsia" w:ascii="宋体" w:hAnsi="宋体" w:eastAsia="宋体" w:cs="宋体"/>
                <w:color w:val="auto"/>
                <w:sz w:val="24"/>
                <w:highlight w:val="none"/>
                <w:u w:val="single"/>
                <w:lang w:val="en-US" w:eastAsia="zh-CN" w:bidi="ar"/>
              </w:rPr>
              <w:t xml:space="preserve">   3,385,440.08 </w:t>
            </w:r>
            <w:r>
              <w:rPr>
                <w:rFonts w:hint="eastAsia" w:ascii="宋体" w:hAnsi="宋体" w:eastAsia="宋体" w:cs="宋体"/>
                <w:color w:val="auto"/>
                <w:sz w:val="24"/>
                <w:highlight w:val="none"/>
                <w:u w:val="single"/>
                <w:lang w:bidi="ar"/>
              </w:rPr>
              <w:t>元</w:t>
            </w:r>
          </w:p>
          <w:p>
            <w:pPr>
              <w:spacing w:line="360" w:lineRule="auto"/>
              <w:ind w:firstLine="1440" w:firstLineChars="600"/>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（详细列明各专业工程绿色安全防护措施费）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3750"/>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top"/>
                </w:tcPr>
                <w:p>
                  <w:pPr>
                    <w:spacing w:line="360" w:lineRule="auto"/>
                    <w:jc w:val="center"/>
                    <w:rPr>
                      <w:rFonts w:hint="eastAsia" w:ascii="宋体" w:hAnsi="宋体" w:eastAsia="宋体" w:cs="宋体"/>
                      <w:color w:val="auto"/>
                      <w:sz w:val="24"/>
                      <w:highlight w:val="none"/>
                      <w:u w:val="single"/>
                      <w:vertAlign w:val="baseline"/>
                      <w:lang w:eastAsia="zh-CN" w:bidi="ar"/>
                    </w:rPr>
                  </w:pPr>
                  <w:r>
                    <w:rPr>
                      <w:rFonts w:hint="eastAsia" w:ascii="宋体" w:hAnsi="宋体" w:eastAsia="宋体" w:cs="宋体"/>
                      <w:color w:val="auto"/>
                      <w:sz w:val="24"/>
                      <w:highlight w:val="none"/>
                      <w:u w:val="none"/>
                      <w:vertAlign w:val="baseline"/>
                      <w:lang w:eastAsia="zh-CN" w:bidi="ar"/>
                    </w:rPr>
                    <w:t>序号</w:t>
                  </w:r>
                </w:p>
              </w:tc>
              <w:tc>
                <w:tcPr>
                  <w:tcW w:w="3750" w:type="dxa"/>
                  <w:noWrap w:val="0"/>
                  <w:vAlign w:val="top"/>
                </w:tcPr>
                <w:p>
                  <w:pPr>
                    <w:spacing w:line="360" w:lineRule="auto"/>
                    <w:jc w:val="center"/>
                    <w:rPr>
                      <w:rFonts w:hint="eastAsia" w:ascii="宋体" w:hAnsi="宋体" w:eastAsia="宋体" w:cs="宋体"/>
                      <w:color w:val="auto"/>
                      <w:sz w:val="24"/>
                      <w:highlight w:val="none"/>
                      <w:u w:val="single"/>
                      <w:vertAlign w:val="baseline"/>
                      <w:lang w:eastAsia="zh-CN" w:bidi="ar"/>
                    </w:rPr>
                  </w:pPr>
                  <w:r>
                    <w:rPr>
                      <w:rFonts w:hint="eastAsia" w:ascii="宋体" w:hAnsi="宋体" w:eastAsia="宋体" w:cs="宋体"/>
                      <w:color w:val="auto"/>
                      <w:sz w:val="24"/>
                      <w:highlight w:val="none"/>
                      <w:u w:val="none"/>
                      <w:vertAlign w:val="baseline"/>
                      <w:lang w:eastAsia="zh-CN" w:bidi="ar"/>
                    </w:rPr>
                    <w:t>名称</w:t>
                  </w:r>
                </w:p>
              </w:tc>
              <w:tc>
                <w:tcPr>
                  <w:tcW w:w="3519" w:type="dxa"/>
                  <w:noWrap w:val="0"/>
                  <w:vAlign w:val="top"/>
                </w:tcPr>
                <w:p>
                  <w:pPr>
                    <w:spacing w:line="360" w:lineRule="auto"/>
                    <w:jc w:val="center"/>
                    <w:rPr>
                      <w:rFonts w:hint="eastAsia" w:ascii="宋体" w:hAnsi="宋体" w:eastAsia="宋体" w:cs="宋体"/>
                      <w:color w:val="auto"/>
                      <w:sz w:val="24"/>
                      <w:highlight w:val="none"/>
                      <w:u w:val="single"/>
                      <w:vertAlign w:val="baseline"/>
                      <w:lang w:bidi="ar"/>
                    </w:rPr>
                  </w:pPr>
                  <w:r>
                    <w:rPr>
                      <w:rFonts w:hint="eastAsia" w:ascii="宋体" w:hAnsi="宋体" w:eastAsia="宋体" w:cs="宋体"/>
                      <w:color w:val="auto"/>
                      <w:sz w:val="24"/>
                      <w:highlight w:val="none"/>
                      <w:lang w:val="en-US" w:eastAsia="zh-CN" w:bidi="ar"/>
                    </w:rPr>
                    <w:t>绿色安全防护措施费（元）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bookmarkStart w:id="312" w:name="OLE_LINK1" w:colFirst="2" w:colLast="2"/>
                  <w:bookmarkStart w:id="313" w:name="OLE_LINK3" w:colFirst="2" w:colLast="2"/>
                  <w:r>
                    <w:rPr>
                      <w:rFonts w:hint="eastAsia" w:ascii="宋体" w:hAnsi="宋体" w:eastAsia="宋体" w:cs="宋体"/>
                      <w:i w:val="0"/>
                      <w:iCs w:val="0"/>
                      <w:color w:val="auto"/>
                      <w:kern w:val="0"/>
                      <w:sz w:val="24"/>
                      <w:szCs w:val="24"/>
                      <w:highlight w:val="none"/>
                      <w:u w:val="none"/>
                      <w:lang w:val="en-US" w:eastAsia="zh-CN" w:bidi="ar"/>
                    </w:rPr>
                    <w:t>1.1</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龙潭社区管网改造成环市政供水主管工程</w:t>
                  </w:r>
                </w:p>
              </w:tc>
              <w:tc>
                <w:tcPr>
                  <w:tcW w:w="351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692,754.69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车头村至楼星村及X308主管成环市政供水主管工程</w:t>
                  </w:r>
                </w:p>
              </w:tc>
              <w:tc>
                <w:tcPr>
                  <w:tcW w:w="351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242,147.17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明珠大道至横岭村市政供水主管工程</w:t>
                  </w:r>
                </w:p>
              </w:tc>
              <w:tc>
                <w:tcPr>
                  <w:tcW w:w="351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265,717.73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新泉水厂至石岭、磻溪、米埗村市政供水主管工程</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1,687,232.82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温泉镇龙岗墟至桃莲村市政供水主管工程</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392,717.77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灌村设备安装工程</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8,813.32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灌村电气安装工程</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23,465.85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灌村土建工程</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292.95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平岗管道及设备安装</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11,755.53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平岗电气安装工程</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23,465.85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1.11</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平岗加压泵房</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15,942.36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37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平岗清水池</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21,134.04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7" w:type="dxa"/>
                  <w:noWrap w:val="0"/>
                  <w:vAlign w:val="top"/>
                </w:tcPr>
                <w:p>
                  <w:pPr>
                    <w:spacing w:line="360" w:lineRule="auto"/>
                    <w:jc w:val="center"/>
                    <w:rPr>
                      <w:rFonts w:hint="eastAsia" w:ascii="宋体" w:hAnsi="宋体" w:eastAsia="宋体" w:cs="宋体"/>
                      <w:color w:val="auto"/>
                      <w:sz w:val="24"/>
                      <w:szCs w:val="24"/>
                      <w:highlight w:val="none"/>
                      <w:u w:val="single"/>
                      <w:vertAlign w:val="baseline"/>
                      <w:lang w:bidi="ar"/>
                    </w:rPr>
                  </w:pPr>
                </w:p>
              </w:tc>
              <w:tc>
                <w:tcPr>
                  <w:tcW w:w="3750" w:type="dxa"/>
                  <w:noWrap w:val="0"/>
                  <w:vAlign w:val="top"/>
                </w:tcPr>
                <w:p>
                  <w:pPr>
                    <w:spacing w:line="360" w:lineRule="auto"/>
                    <w:jc w:val="center"/>
                    <w:rPr>
                      <w:rFonts w:hint="eastAsia" w:ascii="宋体" w:hAnsi="宋体" w:eastAsia="宋体" w:cs="宋体"/>
                      <w:color w:val="auto"/>
                      <w:sz w:val="24"/>
                      <w:szCs w:val="24"/>
                      <w:highlight w:val="none"/>
                      <w:u w:val="none"/>
                      <w:vertAlign w:val="baseline"/>
                      <w:lang w:eastAsia="zh-CN" w:bidi="ar"/>
                    </w:rPr>
                  </w:pPr>
                  <w:r>
                    <w:rPr>
                      <w:rFonts w:hint="eastAsia" w:ascii="宋体" w:hAnsi="宋体" w:eastAsia="宋体" w:cs="宋体"/>
                      <w:color w:val="auto"/>
                      <w:sz w:val="24"/>
                      <w:szCs w:val="24"/>
                      <w:highlight w:val="none"/>
                      <w:u w:val="none"/>
                      <w:vertAlign w:val="baseline"/>
                      <w:lang w:eastAsia="zh-CN" w:bidi="ar"/>
                    </w:rPr>
                    <w:t>合计</w:t>
                  </w:r>
                </w:p>
              </w:tc>
              <w:tc>
                <w:tcPr>
                  <w:tcW w:w="351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3,385,440.08 </w:t>
                  </w:r>
                </w:p>
              </w:tc>
            </w:tr>
            <w:bookmarkEnd w:id="312"/>
            <w:bookmarkEnd w:id="313"/>
          </w:tbl>
          <w:p>
            <w:pPr>
              <w:spacing w:line="360" w:lineRule="auto"/>
              <w:ind w:firstLine="480" w:firstLineChars="200"/>
              <w:rPr>
                <w:rFonts w:hint="eastAsia" w:ascii="宋体" w:hAnsi="宋体" w:eastAsia="宋体" w:cs="宋体"/>
                <w:color w:val="auto"/>
                <w:sz w:val="24"/>
                <w:highlight w:val="none"/>
                <w:lang w:bidi="ar"/>
              </w:rPr>
            </w:pPr>
          </w:p>
          <w:p>
            <w:pPr>
              <w:spacing w:line="360" w:lineRule="auto"/>
              <w:ind w:firstLine="480" w:firstLineChars="200"/>
              <w:rPr>
                <w:rFonts w:hint="eastAsia" w:ascii="宋体" w:hAnsi="宋体" w:eastAsia="宋体" w:cs="宋体"/>
                <w:color w:val="auto"/>
                <w:sz w:val="24"/>
                <w:highlight w:val="none"/>
                <w:lang w:bidi="ar"/>
              </w:rPr>
            </w:pPr>
          </w:p>
          <w:p>
            <w:pPr>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其他项目费（元）：</w:t>
            </w:r>
            <w:r>
              <w:rPr>
                <w:rFonts w:hint="eastAsia" w:ascii="宋体" w:hAnsi="宋体" w:eastAsia="宋体" w:cs="宋体"/>
                <w:color w:val="auto"/>
                <w:sz w:val="24"/>
                <w:highlight w:val="none"/>
                <w:u w:val="single"/>
                <w:lang w:val="en-US" w:eastAsia="zh-CN" w:bidi="ar"/>
              </w:rPr>
              <w:t xml:space="preserve">  7,053,268.43</w:t>
            </w:r>
            <w:r>
              <w:rPr>
                <w:rFonts w:hint="eastAsia" w:ascii="宋体" w:hAnsi="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元</w:t>
            </w:r>
          </w:p>
          <w:p>
            <w:pPr>
              <w:spacing w:line="360" w:lineRule="auto"/>
              <w:ind w:firstLine="1680" w:firstLineChars="7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消纳费：</w:t>
            </w:r>
            <w:r>
              <w:rPr>
                <w:rFonts w:hint="eastAsia" w:ascii="宋体" w:hAnsi="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1,584,104.72 元</w:t>
            </w:r>
          </w:p>
          <w:p>
            <w:pPr>
              <w:spacing w:line="360" w:lineRule="auto"/>
              <w:ind w:firstLine="960" w:firstLineChars="4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其中暂列金额（元）：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vertAlign w:val="baseline"/>
                <w:lang w:val="en-US" w:eastAsia="zh-CN" w:bidi="ar"/>
              </w:rPr>
              <w:t>4,251,946.80</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元</w:t>
            </w:r>
          </w:p>
          <w:p>
            <w:pPr>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   </w:t>
            </w:r>
            <w:r>
              <w:rPr>
                <w:rFonts w:hint="eastAsia" w:ascii="宋体" w:hAnsi="宋体" w:cs="宋体"/>
                <w:color w:val="auto"/>
                <w:sz w:val="24"/>
                <w:highlight w:val="none"/>
                <w:lang w:val="en-US" w:eastAsia="zh-CN" w:bidi="ar"/>
              </w:rPr>
              <w:t xml:space="preserve">  </w:t>
            </w:r>
            <w:r>
              <w:rPr>
                <w:rFonts w:hint="eastAsia" w:ascii="宋体" w:hAnsi="宋体" w:eastAsia="宋体" w:cs="宋体"/>
                <w:color w:val="auto"/>
                <w:sz w:val="24"/>
                <w:highlight w:val="none"/>
                <w:lang w:val="en-US" w:eastAsia="zh-CN" w:bidi="ar"/>
              </w:rPr>
              <w:t>（详细列明各专业工程暂列金额）</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4000"/>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top"/>
                </w:tcPr>
                <w:p>
                  <w:pPr>
                    <w:spacing w:line="360" w:lineRule="auto"/>
                    <w:jc w:val="center"/>
                    <w:rPr>
                      <w:rFonts w:hint="eastAsia" w:ascii="宋体" w:hAnsi="宋体" w:eastAsia="宋体" w:cs="宋体"/>
                      <w:color w:val="auto"/>
                      <w:sz w:val="24"/>
                      <w:highlight w:val="none"/>
                      <w:u w:val="single"/>
                      <w:vertAlign w:val="baseline"/>
                      <w:lang w:eastAsia="zh-CN" w:bidi="ar"/>
                    </w:rPr>
                  </w:pPr>
                  <w:r>
                    <w:rPr>
                      <w:rFonts w:hint="eastAsia" w:ascii="宋体" w:hAnsi="宋体" w:eastAsia="宋体" w:cs="宋体"/>
                      <w:color w:val="auto"/>
                      <w:sz w:val="24"/>
                      <w:highlight w:val="none"/>
                      <w:u w:val="none"/>
                      <w:vertAlign w:val="baseline"/>
                      <w:lang w:eastAsia="zh-CN" w:bidi="ar"/>
                    </w:rPr>
                    <w:t>序号</w:t>
                  </w:r>
                </w:p>
              </w:tc>
              <w:tc>
                <w:tcPr>
                  <w:tcW w:w="4000" w:type="dxa"/>
                  <w:noWrap w:val="0"/>
                  <w:vAlign w:val="top"/>
                </w:tcPr>
                <w:p>
                  <w:pPr>
                    <w:spacing w:line="360" w:lineRule="auto"/>
                    <w:jc w:val="center"/>
                    <w:rPr>
                      <w:rFonts w:hint="eastAsia" w:ascii="宋体" w:hAnsi="宋体" w:eastAsia="宋体" w:cs="宋体"/>
                      <w:color w:val="auto"/>
                      <w:sz w:val="24"/>
                      <w:highlight w:val="none"/>
                      <w:u w:val="single"/>
                      <w:vertAlign w:val="baseline"/>
                      <w:lang w:eastAsia="zh-CN" w:bidi="ar"/>
                    </w:rPr>
                  </w:pPr>
                  <w:r>
                    <w:rPr>
                      <w:rFonts w:hint="eastAsia" w:ascii="宋体" w:hAnsi="宋体" w:eastAsia="宋体" w:cs="宋体"/>
                      <w:color w:val="auto"/>
                      <w:sz w:val="24"/>
                      <w:highlight w:val="none"/>
                      <w:u w:val="none"/>
                      <w:vertAlign w:val="baseline"/>
                      <w:lang w:eastAsia="zh-CN" w:bidi="ar"/>
                    </w:rPr>
                    <w:t>名称</w:t>
                  </w:r>
                </w:p>
              </w:tc>
              <w:tc>
                <w:tcPr>
                  <w:tcW w:w="3286" w:type="dxa"/>
                  <w:noWrap w:val="0"/>
                  <w:vAlign w:val="top"/>
                </w:tcPr>
                <w:p>
                  <w:pPr>
                    <w:spacing w:line="360" w:lineRule="auto"/>
                    <w:jc w:val="center"/>
                    <w:rPr>
                      <w:rFonts w:hint="eastAsia" w:ascii="宋体" w:hAnsi="宋体" w:eastAsia="宋体" w:cs="宋体"/>
                      <w:color w:val="auto"/>
                      <w:sz w:val="24"/>
                      <w:highlight w:val="none"/>
                      <w:u w:val="single"/>
                      <w:vertAlign w:val="baseline"/>
                      <w:lang w:bidi="ar"/>
                    </w:rPr>
                  </w:pPr>
                  <w:r>
                    <w:rPr>
                      <w:rFonts w:hint="eastAsia" w:ascii="宋体" w:hAnsi="宋体" w:eastAsia="宋体" w:cs="宋体"/>
                      <w:color w:val="auto"/>
                      <w:sz w:val="24"/>
                      <w:highlight w:val="none"/>
                      <w:lang w:val="en-US" w:eastAsia="zh-CN" w:bidi="ar"/>
                    </w:rPr>
                    <w:t>暂列金额（元）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bookmarkStart w:id="314" w:name="OLE_LINK2" w:colFirst="2" w:colLast="2"/>
                  <w:r>
                    <w:rPr>
                      <w:rFonts w:hint="eastAsia" w:ascii="宋体" w:hAnsi="宋体" w:eastAsia="宋体" w:cs="宋体"/>
                      <w:i w:val="0"/>
                      <w:iCs w:val="0"/>
                      <w:color w:val="auto"/>
                      <w:kern w:val="0"/>
                      <w:sz w:val="24"/>
                      <w:szCs w:val="24"/>
                      <w:highlight w:val="none"/>
                      <w:u w:val="none"/>
                      <w:lang w:val="en-US" w:eastAsia="zh-CN" w:bidi="ar"/>
                    </w:rPr>
                    <w:t>1.1</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龙潭社区管网改造成环市政供水主管工程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938,830.80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车头村至楼星村及X308主管成环市政供水主管工程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321,514.93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明珠大道至横岭村市政供水主管工程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293,169.27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新泉水厂至石岭、磻溪、米埗村市政供水主管工程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2,079,358.34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温泉镇龙岗墟至桃莲村市政供水主管工程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478,325.84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灌村设备安装工程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7,719.95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灌村电气安装工程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33,248.80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灌村土建工程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578.79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平岗管道及设备安装</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26,022.57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平岗电气安装工程</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33,248.80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1.11</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平岗加压泵房</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10,585.25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40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平岗清水池</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29,343.46 </w:t>
                  </w:r>
                </w:p>
              </w:tc>
            </w:tr>
            <w:bookmarkEnd w:id="3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50" w:type="dxa"/>
                  <w:noWrap w:val="0"/>
                  <w:vAlign w:val="top"/>
                </w:tcPr>
                <w:p>
                  <w:pPr>
                    <w:spacing w:line="360" w:lineRule="auto"/>
                    <w:jc w:val="center"/>
                    <w:rPr>
                      <w:rFonts w:hint="eastAsia" w:ascii="宋体" w:hAnsi="宋体" w:eastAsia="宋体" w:cs="宋体"/>
                      <w:color w:val="auto"/>
                      <w:sz w:val="24"/>
                      <w:szCs w:val="24"/>
                      <w:highlight w:val="none"/>
                      <w:u w:val="single"/>
                      <w:vertAlign w:val="baseline"/>
                      <w:lang w:bidi="ar"/>
                    </w:rPr>
                  </w:pPr>
                </w:p>
              </w:tc>
              <w:tc>
                <w:tcPr>
                  <w:tcW w:w="4000" w:type="dxa"/>
                  <w:noWrap w:val="0"/>
                  <w:vAlign w:val="top"/>
                </w:tcPr>
                <w:p>
                  <w:pPr>
                    <w:spacing w:line="360" w:lineRule="auto"/>
                    <w:jc w:val="center"/>
                    <w:rPr>
                      <w:rFonts w:hint="default" w:ascii="宋体" w:hAnsi="宋体" w:eastAsia="宋体" w:cs="宋体"/>
                      <w:color w:val="auto"/>
                      <w:sz w:val="24"/>
                      <w:szCs w:val="24"/>
                      <w:highlight w:val="none"/>
                      <w:u w:val="none"/>
                      <w:vertAlign w:val="baseline"/>
                      <w:lang w:val="en-US" w:eastAsia="zh-CN" w:bidi="ar"/>
                    </w:rPr>
                  </w:pPr>
                  <w:r>
                    <w:rPr>
                      <w:rFonts w:hint="eastAsia" w:ascii="宋体" w:hAnsi="宋体" w:cs="宋体"/>
                      <w:color w:val="auto"/>
                      <w:sz w:val="24"/>
                      <w:szCs w:val="24"/>
                      <w:highlight w:val="none"/>
                      <w:u w:val="none"/>
                      <w:vertAlign w:val="baseline"/>
                      <w:lang w:val="en-US" w:eastAsia="zh-CN" w:bidi="ar"/>
                    </w:rPr>
                    <w:t>合计</w:t>
                  </w:r>
                </w:p>
              </w:tc>
              <w:tc>
                <w:tcPr>
                  <w:tcW w:w="32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4,251,946.80 </w:t>
                  </w:r>
                </w:p>
              </w:tc>
            </w:tr>
          </w:tbl>
          <w:p>
            <w:pPr>
              <w:spacing w:line="360" w:lineRule="auto"/>
              <w:rPr>
                <w:rFonts w:hint="eastAsia" w:ascii="宋体" w:hAnsi="宋体" w:eastAsia="宋体" w:cs="宋体"/>
                <w:color w:val="auto"/>
                <w:sz w:val="24"/>
                <w:highlight w:val="none"/>
                <w:lang w:bidi="ar"/>
              </w:rPr>
            </w:pPr>
          </w:p>
          <w:p>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lang w:bidi="ar"/>
              </w:rPr>
              <w:t>规费（元）：</w:t>
            </w:r>
            <w:r>
              <w:rPr>
                <w:rFonts w:hint="eastAsia" w:ascii="宋体" w:hAnsi="宋体" w:eastAsia="宋体" w:cs="宋体"/>
                <w:color w:val="auto"/>
                <w:sz w:val="24"/>
                <w:highlight w:val="none"/>
                <w:u w:val="single"/>
                <w:lang w:val="en-US" w:eastAsia="zh-CN" w:bidi="ar"/>
              </w:rPr>
              <w:t xml:space="preserve">   0元   </w:t>
            </w:r>
          </w:p>
          <w:p>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lang w:bidi="ar"/>
              </w:rPr>
              <w:t>税金（元）：</w:t>
            </w:r>
            <w:r>
              <w:rPr>
                <w:rFonts w:hint="eastAsia" w:ascii="宋体" w:hAnsi="宋体" w:eastAsia="宋体" w:cs="宋体"/>
                <w:color w:val="auto"/>
                <w:sz w:val="24"/>
                <w:highlight w:val="none"/>
                <w:u w:val="single"/>
                <w:lang w:val="en-US" w:eastAsia="zh-CN" w:bidi="ar"/>
              </w:rPr>
              <w:t xml:space="preserve">   8,799,384.86 </w:t>
            </w:r>
            <w:r>
              <w:rPr>
                <w:rFonts w:hint="eastAsia" w:ascii="宋体" w:hAnsi="宋体" w:eastAsia="宋体" w:cs="宋体"/>
                <w:color w:val="auto"/>
                <w:sz w:val="24"/>
                <w:highlight w:val="none"/>
                <w:u w:val="single"/>
                <w:lang w:bidi="ar"/>
              </w:rPr>
              <w:t>元</w:t>
            </w:r>
          </w:p>
          <w:p>
            <w:pPr>
              <w:spacing w:line="360" w:lineRule="auto"/>
              <w:ind w:firstLine="960" w:firstLineChars="4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对公开招标工程，投标人须按照公布的非竞争性费用报价，不一致投标报价无效。</w:t>
            </w:r>
          </w:p>
          <w:p>
            <w:pPr>
              <w:widowControl/>
              <w:spacing w:before="75" w:after="75" w:line="360" w:lineRule="auto"/>
              <w:ind w:firstLine="960" w:firstLineChars="400"/>
              <w:jc w:val="left"/>
              <w:rPr>
                <w:rFonts w:hint="eastAsia" w:ascii="宋体" w:hAnsi="宋体" w:eastAsia="宋体" w:cs="宋体"/>
                <w:color w:val="auto"/>
                <w:kern w:val="0"/>
                <w:sz w:val="24"/>
                <w:highlight w:val="none"/>
                <w:lang w:bidi="ar"/>
              </w:rPr>
            </w:pPr>
          </w:p>
          <w:p>
            <w:pPr>
              <w:widowControl/>
              <w:spacing w:before="75" w:after="75" w:line="360" w:lineRule="auto"/>
              <w:ind w:firstLine="5520" w:firstLineChars="2300"/>
              <w:jc w:val="left"/>
              <w:rPr>
                <w:rFonts w:ascii="宋体" w:hAnsi="宋体" w:eastAsia="宋体" w:cs="宋体"/>
                <w:b/>
                <w:color w:val="auto"/>
                <w:spacing w:val="60"/>
                <w:sz w:val="24"/>
                <w:highlight w:val="none"/>
              </w:rPr>
            </w:pPr>
            <w:r>
              <w:rPr>
                <w:rFonts w:hint="eastAsia" w:ascii="宋体" w:hAnsi="宋体" w:eastAsia="宋体" w:cs="宋体"/>
                <w:color w:val="auto"/>
                <w:sz w:val="24"/>
                <w:highlight w:val="none"/>
                <w:lang w:bidi="ar"/>
              </w:rPr>
              <w:t>招标单位（盖章）</w:t>
            </w:r>
            <w:r>
              <w:rPr>
                <w:rFonts w:hint="eastAsia" w:ascii="宋体" w:hAnsi="宋体" w:eastAsia="宋体" w:cs="宋体"/>
                <w:b/>
                <w:color w:val="auto"/>
                <w:spacing w:val="60"/>
                <w:sz w:val="24"/>
                <w:highlight w:val="none"/>
                <w:lang w:bidi="ar"/>
              </w:rPr>
              <w:t xml:space="preserve">              </w:t>
            </w:r>
          </w:p>
          <w:p>
            <w:pPr>
              <w:widowControl/>
              <w:spacing w:before="75" w:after="75" w:line="360" w:lineRule="auto"/>
              <w:ind w:firstLine="5520" w:firstLineChars="2300"/>
              <w:jc w:val="left"/>
              <w:rPr>
                <w:rFonts w:ascii="宋体" w:hAnsi="宋体"/>
                <w:b/>
                <w:color w:val="auto"/>
                <w:spacing w:val="60"/>
                <w:sz w:val="44"/>
                <w:szCs w:val="44"/>
                <w:highlight w:val="none"/>
              </w:rPr>
            </w:pPr>
            <w:r>
              <w:rPr>
                <w:rFonts w:hint="eastAsia" w:ascii="宋体" w:hAnsi="宋体" w:eastAsia="宋体" w:cs="宋体"/>
                <w:color w:val="auto"/>
                <w:kern w:val="0"/>
                <w:sz w:val="24"/>
                <w:highlight w:val="none"/>
                <w:lang w:bidi="ar"/>
              </w:rPr>
              <w:t>202</w:t>
            </w:r>
            <w:r>
              <w:rPr>
                <w:rFonts w:hint="eastAsia" w:ascii="宋体" w:hAnsi="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年    月    日</w:t>
            </w:r>
          </w:p>
        </w:tc>
      </w:tr>
    </w:tbl>
    <w:p>
      <w:pPr>
        <w:rPr>
          <w:color w:val="auto"/>
          <w:highlight w:val="none"/>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cs="宋体"/>
        <w:sz w:val="24"/>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a:xfrm>
                        <a:off x="0" y="0"/>
                        <a:ext cx="58420" cy="139700"/>
                      </a:xfrm>
                      <a:prstGeom prst="rect">
                        <a:avLst/>
                      </a:prstGeom>
                      <a:ln w="12700">
                        <a:noFill/>
                      </a:ln>
                      <a:effectLst/>
                    </wps:spPr>
                    <wps:txbx>
                      <w:txbxContent>
                        <w:p>
                          <w:pPr>
                            <w:pStyle w:val="27"/>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HnTtbTAAAAAgEAAA8AAAAAAAAAAQAgAAAAIgAAAGRycy9kb3du&#10;cmV2LnhtbFBLAQIUABQAAAAIAIdO4kCb37bYBAIAAPQDAAAOAAAAAAAAAAEAIAAAACIBAABkcnMv&#10;ZTJvRG9jLnhtbFBLBQYAAAAABgAGAFkBAACYBQAAAAA=&#10;">
              <v:fill on="f" focussize="0,0"/>
              <v:stroke on="f" weight="1pt"/>
              <v:imagedata o:title=""/>
              <o:lock v:ext="edit" aspectratio="f"/>
              <v:textbox inset="0mm,0mm,0mm,0mm" style="mso-fit-shape-to-text:t;">
                <w:txbxContent>
                  <w:p>
                    <w:pPr>
                      <w:pStyle w:val="2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705EA"/>
    <w:multiLevelType w:val="singleLevel"/>
    <w:tmpl w:val="878705EA"/>
    <w:lvl w:ilvl="0" w:tentative="0">
      <w:start w:val="1"/>
      <w:numFmt w:val="decimal"/>
      <w:lvlText w:val="%1."/>
      <w:lvlJc w:val="left"/>
      <w:pPr>
        <w:tabs>
          <w:tab w:val="left" w:pos="312"/>
        </w:tabs>
      </w:pPr>
    </w:lvl>
  </w:abstractNum>
  <w:abstractNum w:abstractNumId="1">
    <w:nsid w:val="04585C45"/>
    <w:multiLevelType w:val="multilevel"/>
    <w:tmpl w:val="04585C45"/>
    <w:lvl w:ilvl="0" w:tentative="0">
      <w:start w:val="1"/>
      <w:numFmt w:val="decimal"/>
      <w:pStyle w:val="6"/>
      <w:lvlText w:val="1.1.%1"/>
      <w:lvlJc w:val="left"/>
      <w:pPr>
        <w:ind w:left="420" w:hanging="420"/>
      </w:pPr>
      <w:rPr>
        <w:rFonts w:hint="eastAsia"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A4406D"/>
    <w:multiLevelType w:val="multilevel"/>
    <w:tmpl w:val="1AA440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345064"/>
    <w:multiLevelType w:val="multilevel"/>
    <w:tmpl w:val="2A3450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934594"/>
    <w:multiLevelType w:val="multilevel"/>
    <w:tmpl w:val="37934594"/>
    <w:lvl w:ilvl="0" w:tentative="0">
      <w:start w:val="1"/>
      <w:numFmt w:val="bullet"/>
      <w:pStyle w:val="120"/>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5">
    <w:nsid w:val="4B275850"/>
    <w:multiLevelType w:val="singleLevel"/>
    <w:tmpl w:val="4B275850"/>
    <w:lvl w:ilvl="0" w:tentative="0">
      <w:start w:val="1"/>
      <w:numFmt w:val="decimal"/>
      <w:lvlText w:val="%1."/>
      <w:lvlJc w:val="left"/>
      <w:pPr>
        <w:tabs>
          <w:tab w:val="left" w:pos="312"/>
        </w:tabs>
      </w:pPr>
    </w:lvl>
  </w:abstractNum>
  <w:abstractNum w:abstractNumId="6">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7">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lvlText w:val="%1.%2"/>
      <w:lvlJc w:val="left"/>
      <w:pPr>
        <w:ind w:left="567" w:hanging="567"/>
      </w:pPr>
      <w:rPr>
        <w:rFonts w:hint="default"/>
      </w:rPr>
    </w:lvl>
    <w:lvl w:ilvl="2" w:tentative="0">
      <w:start w:val="1"/>
      <w:numFmt w:val="decimal"/>
      <w:lvlText w:val="%1.%2.%3"/>
      <w:lvlJc w:val="left"/>
      <w:pPr>
        <w:ind w:left="567" w:hanging="567"/>
      </w:pPr>
      <w:rPr>
        <w:rFonts w:hint="eastAsia" w:eastAsia="黑体"/>
        <w:b w:val="0"/>
        <w:i w:val="0"/>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368" w:hanging="144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534" w:hanging="2160"/>
      </w:pPr>
      <w:rPr>
        <w:rFonts w:hint="default"/>
      </w:rPr>
    </w:lvl>
    <w:lvl w:ilvl="8" w:tentative="0">
      <w:start w:val="1"/>
      <w:numFmt w:val="decimal"/>
      <w:lvlText w:val="%1.%2.%3.%4.%5.%6.%7.%8.%9"/>
      <w:lvlJc w:val="left"/>
      <w:pPr>
        <w:ind w:left="6016" w:hanging="2160"/>
      </w:pPr>
      <w:rPr>
        <w:rFonts w:hint="default"/>
      </w:rPr>
    </w:lvl>
  </w:abstractNum>
  <w:abstractNum w:abstractNumId="8">
    <w:nsid w:val="766F5E7A"/>
    <w:multiLevelType w:val="multilevel"/>
    <w:tmpl w:val="766F5E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1"/>
  </w:num>
  <w:num w:numId="4">
    <w:abstractNumId w:val="4"/>
  </w:num>
  <w:num w:numId="5">
    <w:abstractNumId w:val="5"/>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OGM1NTZlZjUwMWRiMDY1NmY4OTljY2MwODg3NWQifQ=="/>
  </w:docVars>
  <w:rsids>
    <w:rsidRoot w:val="00172A27"/>
    <w:rsid w:val="00005402"/>
    <w:rsid w:val="00014F46"/>
    <w:rsid w:val="00015BA1"/>
    <w:rsid w:val="000169BA"/>
    <w:rsid w:val="00023293"/>
    <w:rsid w:val="000349A5"/>
    <w:rsid w:val="00047AE6"/>
    <w:rsid w:val="000641A4"/>
    <w:rsid w:val="00091D0E"/>
    <w:rsid w:val="000950F4"/>
    <w:rsid w:val="000952FF"/>
    <w:rsid w:val="000A6DBB"/>
    <w:rsid w:val="000B5ADF"/>
    <w:rsid w:val="000E2E44"/>
    <w:rsid w:val="00103345"/>
    <w:rsid w:val="00112C7A"/>
    <w:rsid w:val="00117101"/>
    <w:rsid w:val="0012166E"/>
    <w:rsid w:val="00143CBE"/>
    <w:rsid w:val="00151FB6"/>
    <w:rsid w:val="00157862"/>
    <w:rsid w:val="00172A27"/>
    <w:rsid w:val="00177FE4"/>
    <w:rsid w:val="00180393"/>
    <w:rsid w:val="00181FBC"/>
    <w:rsid w:val="00182EB9"/>
    <w:rsid w:val="00184F6E"/>
    <w:rsid w:val="001A4BA4"/>
    <w:rsid w:val="001B15C1"/>
    <w:rsid w:val="001B3F79"/>
    <w:rsid w:val="001C6826"/>
    <w:rsid w:val="001E55B8"/>
    <w:rsid w:val="001E75BD"/>
    <w:rsid w:val="001F33A8"/>
    <w:rsid w:val="00207953"/>
    <w:rsid w:val="00222FEB"/>
    <w:rsid w:val="00223EFA"/>
    <w:rsid w:val="002557D3"/>
    <w:rsid w:val="00264419"/>
    <w:rsid w:val="002735D1"/>
    <w:rsid w:val="00284FFF"/>
    <w:rsid w:val="00285FA0"/>
    <w:rsid w:val="00287473"/>
    <w:rsid w:val="00297185"/>
    <w:rsid w:val="002C08BD"/>
    <w:rsid w:val="002C5DA8"/>
    <w:rsid w:val="002E58C0"/>
    <w:rsid w:val="002F0D04"/>
    <w:rsid w:val="002F2AB5"/>
    <w:rsid w:val="002F3F98"/>
    <w:rsid w:val="0030449E"/>
    <w:rsid w:val="0032007F"/>
    <w:rsid w:val="00320D55"/>
    <w:rsid w:val="00322D5B"/>
    <w:rsid w:val="003332C8"/>
    <w:rsid w:val="00335A53"/>
    <w:rsid w:val="00352AE9"/>
    <w:rsid w:val="0038176E"/>
    <w:rsid w:val="003B6135"/>
    <w:rsid w:val="003B671E"/>
    <w:rsid w:val="003C103A"/>
    <w:rsid w:val="003C2AED"/>
    <w:rsid w:val="003C4389"/>
    <w:rsid w:val="003C5EDA"/>
    <w:rsid w:val="003C5FFA"/>
    <w:rsid w:val="003D11F7"/>
    <w:rsid w:val="003D4AF9"/>
    <w:rsid w:val="003E2A91"/>
    <w:rsid w:val="003F09F2"/>
    <w:rsid w:val="003F36F2"/>
    <w:rsid w:val="004065F2"/>
    <w:rsid w:val="004112D5"/>
    <w:rsid w:val="004318BB"/>
    <w:rsid w:val="00434794"/>
    <w:rsid w:val="00437A54"/>
    <w:rsid w:val="0044537A"/>
    <w:rsid w:val="00455ECB"/>
    <w:rsid w:val="004836F8"/>
    <w:rsid w:val="00487977"/>
    <w:rsid w:val="00494AAF"/>
    <w:rsid w:val="0049612A"/>
    <w:rsid w:val="004B432F"/>
    <w:rsid w:val="004C0A46"/>
    <w:rsid w:val="004F1557"/>
    <w:rsid w:val="004F189C"/>
    <w:rsid w:val="004F577A"/>
    <w:rsid w:val="004F58DD"/>
    <w:rsid w:val="00502567"/>
    <w:rsid w:val="00511005"/>
    <w:rsid w:val="00527357"/>
    <w:rsid w:val="005419E0"/>
    <w:rsid w:val="00546772"/>
    <w:rsid w:val="00547982"/>
    <w:rsid w:val="00554292"/>
    <w:rsid w:val="00576A3F"/>
    <w:rsid w:val="005A3C83"/>
    <w:rsid w:val="005B11CB"/>
    <w:rsid w:val="005D23B0"/>
    <w:rsid w:val="005E717F"/>
    <w:rsid w:val="005F2676"/>
    <w:rsid w:val="005F318B"/>
    <w:rsid w:val="00601733"/>
    <w:rsid w:val="00611C9E"/>
    <w:rsid w:val="00643EE6"/>
    <w:rsid w:val="00652DC0"/>
    <w:rsid w:val="00660D94"/>
    <w:rsid w:val="0066190C"/>
    <w:rsid w:val="00663B08"/>
    <w:rsid w:val="00673D49"/>
    <w:rsid w:val="006747FF"/>
    <w:rsid w:val="0069393C"/>
    <w:rsid w:val="006A6444"/>
    <w:rsid w:val="006A6997"/>
    <w:rsid w:val="006B4B80"/>
    <w:rsid w:val="006C024E"/>
    <w:rsid w:val="006D74B6"/>
    <w:rsid w:val="00712580"/>
    <w:rsid w:val="00716E58"/>
    <w:rsid w:val="00743C6D"/>
    <w:rsid w:val="00746907"/>
    <w:rsid w:val="00760864"/>
    <w:rsid w:val="00761C04"/>
    <w:rsid w:val="00777953"/>
    <w:rsid w:val="00777C7B"/>
    <w:rsid w:val="00787D78"/>
    <w:rsid w:val="00790F83"/>
    <w:rsid w:val="0079105A"/>
    <w:rsid w:val="00795C1B"/>
    <w:rsid w:val="007A64BB"/>
    <w:rsid w:val="007C4262"/>
    <w:rsid w:val="007D1661"/>
    <w:rsid w:val="007E19F4"/>
    <w:rsid w:val="007E4F97"/>
    <w:rsid w:val="007F4189"/>
    <w:rsid w:val="00800741"/>
    <w:rsid w:val="00811195"/>
    <w:rsid w:val="00831C8B"/>
    <w:rsid w:val="00832C58"/>
    <w:rsid w:val="008526E2"/>
    <w:rsid w:val="00861D75"/>
    <w:rsid w:val="00884025"/>
    <w:rsid w:val="008949FC"/>
    <w:rsid w:val="00895361"/>
    <w:rsid w:val="008A0396"/>
    <w:rsid w:val="008A5A62"/>
    <w:rsid w:val="008B516B"/>
    <w:rsid w:val="008C0611"/>
    <w:rsid w:val="008C2F39"/>
    <w:rsid w:val="008D052A"/>
    <w:rsid w:val="008D065C"/>
    <w:rsid w:val="008D4E46"/>
    <w:rsid w:val="008D6DE4"/>
    <w:rsid w:val="008E2D4B"/>
    <w:rsid w:val="008E700D"/>
    <w:rsid w:val="008F1CD4"/>
    <w:rsid w:val="008F1DB2"/>
    <w:rsid w:val="008F20AF"/>
    <w:rsid w:val="008F432D"/>
    <w:rsid w:val="008F5855"/>
    <w:rsid w:val="009004EE"/>
    <w:rsid w:val="009006A3"/>
    <w:rsid w:val="00903373"/>
    <w:rsid w:val="00907DB7"/>
    <w:rsid w:val="00925649"/>
    <w:rsid w:val="00925FAB"/>
    <w:rsid w:val="00934CFA"/>
    <w:rsid w:val="00956195"/>
    <w:rsid w:val="00962D61"/>
    <w:rsid w:val="00962E9F"/>
    <w:rsid w:val="00970F79"/>
    <w:rsid w:val="00974BB5"/>
    <w:rsid w:val="009846E8"/>
    <w:rsid w:val="009A36BA"/>
    <w:rsid w:val="009B7093"/>
    <w:rsid w:val="009C484F"/>
    <w:rsid w:val="009E066E"/>
    <w:rsid w:val="009E47DF"/>
    <w:rsid w:val="009F7F71"/>
    <w:rsid w:val="00A021A5"/>
    <w:rsid w:val="00A12F09"/>
    <w:rsid w:val="00A21AF6"/>
    <w:rsid w:val="00A368BA"/>
    <w:rsid w:val="00A44AC2"/>
    <w:rsid w:val="00A5684F"/>
    <w:rsid w:val="00A61D67"/>
    <w:rsid w:val="00A63C17"/>
    <w:rsid w:val="00A71485"/>
    <w:rsid w:val="00A80C82"/>
    <w:rsid w:val="00A86DA5"/>
    <w:rsid w:val="00AC08E9"/>
    <w:rsid w:val="00AC5D98"/>
    <w:rsid w:val="00AD29FE"/>
    <w:rsid w:val="00AD4A31"/>
    <w:rsid w:val="00AE36EE"/>
    <w:rsid w:val="00AF0E48"/>
    <w:rsid w:val="00AF23AD"/>
    <w:rsid w:val="00AF35A5"/>
    <w:rsid w:val="00AF4A93"/>
    <w:rsid w:val="00B32288"/>
    <w:rsid w:val="00B52E47"/>
    <w:rsid w:val="00B83866"/>
    <w:rsid w:val="00B90940"/>
    <w:rsid w:val="00BA640A"/>
    <w:rsid w:val="00BB1927"/>
    <w:rsid w:val="00BE67E5"/>
    <w:rsid w:val="00BF430D"/>
    <w:rsid w:val="00C00663"/>
    <w:rsid w:val="00C03CE3"/>
    <w:rsid w:val="00C10DD9"/>
    <w:rsid w:val="00C167E9"/>
    <w:rsid w:val="00C1775B"/>
    <w:rsid w:val="00C20672"/>
    <w:rsid w:val="00C21108"/>
    <w:rsid w:val="00C33942"/>
    <w:rsid w:val="00C34A3A"/>
    <w:rsid w:val="00C365BA"/>
    <w:rsid w:val="00C62EFE"/>
    <w:rsid w:val="00C76467"/>
    <w:rsid w:val="00C91307"/>
    <w:rsid w:val="00CB1A1C"/>
    <w:rsid w:val="00CB4402"/>
    <w:rsid w:val="00CC58E7"/>
    <w:rsid w:val="00CD0599"/>
    <w:rsid w:val="00D323C6"/>
    <w:rsid w:val="00D34F09"/>
    <w:rsid w:val="00D513F1"/>
    <w:rsid w:val="00D57A8B"/>
    <w:rsid w:val="00D60C5D"/>
    <w:rsid w:val="00D616AD"/>
    <w:rsid w:val="00D81F6F"/>
    <w:rsid w:val="00D86B37"/>
    <w:rsid w:val="00D94CE2"/>
    <w:rsid w:val="00DA5B37"/>
    <w:rsid w:val="00DC67CD"/>
    <w:rsid w:val="00DD1AD3"/>
    <w:rsid w:val="00DD2B36"/>
    <w:rsid w:val="00DE1A49"/>
    <w:rsid w:val="00DE2F40"/>
    <w:rsid w:val="00DE360B"/>
    <w:rsid w:val="00DF0F49"/>
    <w:rsid w:val="00DF5918"/>
    <w:rsid w:val="00DF76F6"/>
    <w:rsid w:val="00DF7838"/>
    <w:rsid w:val="00E038DF"/>
    <w:rsid w:val="00E14907"/>
    <w:rsid w:val="00E23D2B"/>
    <w:rsid w:val="00E305CC"/>
    <w:rsid w:val="00E32EEE"/>
    <w:rsid w:val="00E40516"/>
    <w:rsid w:val="00E40C3A"/>
    <w:rsid w:val="00E4141B"/>
    <w:rsid w:val="00E46CF8"/>
    <w:rsid w:val="00E55086"/>
    <w:rsid w:val="00E75420"/>
    <w:rsid w:val="00E8162D"/>
    <w:rsid w:val="00E82E26"/>
    <w:rsid w:val="00E8396D"/>
    <w:rsid w:val="00E95EF1"/>
    <w:rsid w:val="00EB2C2A"/>
    <w:rsid w:val="00EB6D2E"/>
    <w:rsid w:val="00F0095D"/>
    <w:rsid w:val="00F00BA3"/>
    <w:rsid w:val="00F01F55"/>
    <w:rsid w:val="00F35280"/>
    <w:rsid w:val="00F407C1"/>
    <w:rsid w:val="00F45CFE"/>
    <w:rsid w:val="00F475E1"/>
    <w:rsid w:val="00F57211"/>
    <w:rsid w:val="00F66B65"/>
    <w:rsid w:val="00FC0209"/>
    <w:rsid w:val="00FC311A"/>
    <w:rsid w:val="00FD25F8"/>
    <w:rsid w:val="00FE2B64"/>
    <w:rsid w:val="00FE2D78"/>
    <w:rsid w:val="00FF4475"/>
    <w:rsid w:val="013C249F"/>
    <w:rsid w:val="01A1744F"/>
    <w:rsid w:val="01E5062D"/>
    <w:rsid w:val="02826985"/>
    <w:rsid w:val="02D146FF"/>
    <w:rsid w:val="036439CE"/>
    <w:rsid w:val="03E55C67"/>
    <w:rsid w:val="04B82F14"/>
    <w:rsid w:val="061C0F16"/>
    <w:rsid w:val="06327195"/>
    <w:rsid w:val="06C1141B"/>
    <w:rsid w:val="084F79DC"/>
    <w:rsid w:val="085E0222"/>
    <w:rsid w:val="0897187E"/>
    <w:rsid w:val="08C675C5"/>
    <w:rsid w:val="09147C8E"/>
    <w:rsid w:val="09E75C0E"/>
    <w:rsid w:val="0A066952"/>
    <w:rsid w:val="0BB642CA"/>
    <w:rsid w:val="0BDD6AD1"/>
    <w:rsid w:val="0C0533F9"/>
    <w:rsid w:val="0CD137D8"/>
    <w:rsid w:val="0D7D6DA4"/>
    <w:rsid w:val="0F555DBC"/>
    <w:rsid w:val="0FD058A7"/>
    <w:rsid w:val="10743FFE"/>
    <w:rsid w:val="132E4722"/>
    <w:rsid w:val="1417538B"/>
    <w:rsid w:val="15ED1A7D"/>
    <w:rsid w:val="16977BFA"/>
    <w:rsid w:val="18100CE4"/>
    <w:rsid w:val="18F22ED9"/>
    <w:rsid w:val="19EE4C3E"/>
    <w:rsid w:val="1A957F2C"/>
    <w:rsid w:val="1BEF7CE0"/>
    <w:rsid w:val="1C4D171D"/>
    <w:rsid w:val="1C4F6A93"/>
    <w:rsid w:val="1CFC7304"/>
    <w:rsid w:val="1D07539E"/>
    <w:rsid w:val="1D2B2219"/>
    <w:rsid w:val="1F015639"/>
    <w:rsid w:val="1F155A79"/>
    <w:rsid w:val="1FDF35FF"/>
    <w:rsid w:val="204F718E"/>
    <w:rsid w:val="237006B3"/>
    <w:rsid w:val="256E38FF"/>
    <w:rsid w:val="257E45D2"/>
    <w:rsid w:val="265C26B2"/>
    <w:rsid w:val="266266C4"/>
    <w:rsid w:val="26913316"/>
    <w:rsid w:val="278B0B4D"/>
    <w:rsid w:val="29811D5A"/>
    <w:rsid w:val="29C5671E"/>
    <w:rsid w:val="29CB0FE7"/>
    <w:rsid w:val="2A0059C4"/>
    <w:rsid w:val="2BA30E1A"/>
    <w:rsid w:val="2BEB061D"/>
    <w:rsid w:val="2C995FEB"/>
    <w:rsid w:val="2EDA68FE"/>
    <w:rsid w:val="2F422F11"/>
    <w:rsid w:val="2FAD1FC1"/>
    <w:rsid w:val="302D7373"/>
    <w:rsid w:val="31FC6F0F"/>
    <w:rsid w:val="34F433C6"/>
    <w:rsid w:val="356956E4"/>
    <w:rsid w:val="36CB455E"/>
    <w:rsid w:val="36F87C24"/>
    <w:rsid w:val="374F548F"/>
    <w:rsid w:val="37A833BD"/>
    <w:rsid w:val="39B021B3"/>
    <w:rsid w:val="39CC46D2"/>
    <w:rsid w:val="3B650D1B"/>
    <w:rsid w:val="3BC33B97"/>
    <w:rsid w:val="3C932967"/>
    <w:rsid w:val="3D073840"/>
    <w:rsid w:val="3D684A0B"/>
    <w:rsid w:val="3D6919E9"/>
    <w:rsid w:val="3E2C3478"/>
    <w:rsid w:val="3E6502BE"/>
    <w:rsid w:val="3EA43A37"/>
    <w:rsid w:val="434D4411"/>
    <w:rsid w:val="47A32DD3"/>
    <w:rsid w:val="49477AB8"/>
    <w:rsid w:val="49FA5344"/>
    <w:rsid w:val="4A780BFB"/>
    <w:rsid w:val="4A846F9A"/>
    <w:rsid w:val="4AF7094C"/>
    <w:rsid w:val="4B7D763E"/>
    <w:rsid w:val="4BA3159D"/>
    <w:rsid w:val="4BE17463"/>
    <w:rsid w:val="4C406A42"/>
    <w:rsid w:val="4CF136D5"/>
    <w:rsid w:val="4D351C5D"/>
    <w:rsid w:val="4EC85FE7"/>
    <w:rsid w:val="4F0E1669"/>
    <w:rsid w:val="50493828"/>
    <w:rsid w:val="50642410"/>
    <w:rsid w:val="5212100B"/>
    <w:rsid w:val="522A6509"/>
    <w:rsid w:val="52E10C9A"/>
    <w:rsid w:val="53606878"/>
    <w:rsid w:val="561E01B2"/>
    <w:rsid w:val="56984187"/>
    <w:rsid w:val="57CF2446"/>
    <w:rsid w:val="58167D65"/>
    <w:rsid w:val="58A20436"/>
    <w:rsid w:val="58C978D5"/>
    <w:rsid w:val="58DC7E81"/>
    <w:rsid w:val="58FB5F5A"/>
    <w:rsid w:val="5A441D18"/>
    <w:rsid w:val="5D4F5C3D"/>
    <w:rsid w:val="5DDE1841"/>
    <w:rsid w:val="5DFC1EDA"/>
    <w:rsid w:val="5EAB5D0B"/>
    <w:rsid w:val="5EB2517D"/>
    <w:rsid w:val="5FD03320"/>
    <w:rsid w:val="613A5A78"/>
    <w:rsid w:val="64F260B8"/>
    <w:rsid w:val="667A00AA"/>
    <w:rsid w:val="66892440"/>
    <w:rsid w:val="669963E6"/>
    <w:rsid w:val="67A902DC"/>
    <w:rsid w:val="67F43198"/>
    <w:rsid w:val="68192F50"/>
    <w:rsid w:val="6B131242"/>
    <w:rsid w:val="6BAD3A22"/>
    <w:rsid w:val="6BF6440D"/>
    <w:rsid w:val="6C930B87"/>
    <w:rsid w:val="724B404A"/>
    <w:rsid w:val="72A82CE3"/>
    <w:rsid w:val="730A6522"/>
    <w:rsid w:val="732B2605"/>
    <w:rsid w:val="73592EDC"/>
    <w:rsid w:val="738424BB"/>
    <w:rsid w:val="73E86D31"/>
    <w:rsid w:val="778F756C"/>
    <w:rsid w:val="7813385E"/>
    <w:rsid w:val="7A70526A"/>
    <w:rsid w:val="7A7C2F25"/>
    <w:rsid w:val="7B3745AD"/>
    <w:rsid w:val="7B7C531A"/>
    <w:rsid w:val="7C194E78"/>
    <w:rsid w:val="7D086732"/>
    <w:rsid w:val="7DE153DF"/>
    <w:rsid w:val="7EF375B0"/>
    <w:rsid w:val="7F28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5"/>
    <w:qFormat/>
    <w:uiPriority w:val="0"/>
    <w:pPr>
      <w:keepNext/>
      <w:keepLines/>
      <w:spacing w:before="340" w:after="330" w:line="578" w:lineRule="auto"/>
      <w:outlineLvl w:val="0"/>
    </w:pPr>
    <w:rPr>
      <w:rFonts w:ascii="Calibri" w:hAnsi="Calibri" w:eastAsia="黑体"/>
      <w:b/>
      <w:bCs/>
      <w:kern w:val="44"/>
      <w:sz w:val="32"/>
      <w:szCs w:val="44"/>
    </w:rPr>
  </w:style>
  <w:style w:type="paragraph" w:styleId="3">
    <w:name w:val="heading 2"/>
    <w:basedOn w:val="1"/>
    <w:next w:val="1"/>
    <w:link w:val="56"/>
    <w:qFormat/>
    <w:uiPriority w:val="0"/>
    <w:pPr>
      <w:numPr>
        <w:ilvl w:val="0"/>
        <w:numId w:val="1"/>
      </w:numPr>
      <w:spacing w:before="260" w:after="260" w:line="415" w:lineRule="auto"/>
      <w:outlineLvl w:val="1"/>
    </w:pPr>
    <w:rPr>
      <w:rFonts w:ascii="黑体" w:hAnsi="黑体"/>
      <w:sz w:val="30"/>
      <w:szCs w:val="30"/>
    </w:rPr>
  </w:style>
  <w:style w:type="paragraph" w:styleId="4">
    <w:name w:val="heading 3"/>
    <w:basedOn w:val="1"/>
    <w:next w:val="1"/>
    <w:link w:val="57"/>
    <w:qFormat/>
    <w:uiPriority w:val="9"/>
    <w:pPr>
      <w:keepNext/>
      <w:keepLines/>
      <w:spacing w:before="260" w:after="260" w:line="416" w:lineRule="auto"/>
      <w:outlineLvl w:val="2"/>
    </w:pPr>
    <w:rPr>
      <w:rFonts w:ascii="Calibri" w:hAnsi="Calibri"/>
      <w:b/>
      <w:bCs/>
      <w:kern w:val="0"/>
      <w:sz w:val="32"/>
      <w:szCs w:val="32"/>
    </w:rPr>
  </w:style>
  <w:style w:type="paragraph" w:styleId="5">
    <w:name w:val="heading 4"/>
    <w:basedOn w:val="3"/>
    <w:next w:val="1"/>
    <w:link w:val="58"/>
    <w:qFormat/>
    <w:uiPriority w:val="0"/>
    <w:pPr>
      <w:numPr>
        <w:ilvl w:val="0"/>
        <w:numId w:val="2"/>
      </w:numPr>
      <w:outlineLvl w:val="3"/>
    </w:pPr>
    <w:rPr>
      <w:sz w:val="28"/>
    </w:rPr>
  </w:style>
  <w:style w:type="paragraph" w:styleId="6">
    <w:name w:val="heading 5"/>
    <w:basedOn w:val="5"/>
    <w:next w:val="1"/>
    <w:link w:val="59"/>
    <w:qFormat/>
    <w:uiPriority w:val="0"/>
    <w:pPr>
      <w:numPr>
        <w:ilvl w:val="0"/>
        <w:numId w:val="3"/>
      </w:numPr>
      <w:spacing w:line="360" w:lineRule="auto"/>
      <w:outlineLvl w:val="4"/>
    </w:pPr>
    <w:rPr>
      <w:sz w:val="24"/>
    </w:rPr>
  </w:style>
  <w:style w:type="paragraph" w:styleId="7">
    <w:name w:val="heading 6"/>
    <w:basedOn w:val="1"/>
    <w:next w:val="1"/>
    <w:link w:val="6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62"/>
    <w:qFormat/>
    <w:uiPriority w:val="0"/>
    <w:pPr>
      <w:keepNext/>
      <w:keepLines/>
      <w:spacing w:before="240" w:after="64" w:line="320" w:lineRule="auto"/>
      <w:outlineLvl w:val="6"/>
    </w:pPr>
    <w:rPr>
      <w:rFonts w:ascii="Calibri" w:hAnsi="Calibri"/>
      <w:b/>
      <w:kern w:val="0"/>
      <w:sz w:val="24"/>
      <w:szCs w:val="20"/>
    </w:rPr>
  </w:style>
  <w:style w:type="paragraph" w:styleId="9">
    <w:name w:val="heading 8"/>
    <w:basedOn w:val="1"/>
    <w:next w:val="1"/>
    <w:link w:val="63"/>
    <w:qFormat/>
    <w:uiPriority w:val="0"/>
    <w:pPr>
      <w:keepNext/>
      <w:keepLines/>
      <w:spacing w:before="240" w:after="64" w:line="320" w:lineRule="auto"/>
      <w:outlineLvl w:val="7"/>
    </w:pPr>
    <w:rPr>
      <w:rFonts w:ascii="Arial" w:hAnsi="Arial" w:eastAsia="黑体"/>
      <w:kern w:val="0"/>
      <w:sz w:val="24"/>
      <w:szCs w:val="20"/>
    </w:rPr>
  </w:style>
  <w:style w:type="paragraph" w:styleId="10">
    <w:name w:val="heading 9"/>
    <w:basedOn w:val="1"/>
    <w:next w:val="1"/>
    <w:link w:val="64"/>
    <w:qFormat/>
    <w:uiPriority w:val="0"/>
    <w:pPr>
      <w:keepNext/>
      <w:keepLines/>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index 8"/>
    <w:basedOn w:val="1"/>
    <w:next w:val="1"/>
    <w:unhideWhenUsed/>
    <w:qFormat/>
    <w:uiPriority w:val="99"/>
    <w:pPr>
      <w:ind w:left="1400" w:leftChars="1400"/>
    </w:pPr>
  </w:style>
  <w:style w:type="paragraph" w:styleId="13">
    <w:name w:val="Normal Indent"/>
    <w:basedOn w:val="1"/>
    <w:link w:val="60"/>
    <w:unhideWhenUsed/>
    <w:qFormat/>
    <w:uiPriority w:val="0"/>
    <w:pPr>
      <w:ind w:firstLine="420" w:firstLineChars="200"/>
    </w:pPr>
    <w:rPr>
      <w:rFonts w:ascii="等线" w:hAnsi="等线" w:eastAsia="等线"/>
    </w:rPr>
  </w:style>
  <w:style w:type="paragraph" w:styleId="14">
    <w:name w:val="Document Map"/>
    <w:basedOn w:val="1"/>
    <w:link w:val="65"/>
    <w:semiHidden/>
    <w:qFormat/>
    <w:uiPriority w:val="0"/>
    <w:pPr>
      <w:shd w:val="clear" w:color="auto" w:fill="000080"/>
    </w:pPr>
    <w:rPr>
      <w:kern w:val="0"/>
      <w:sz w:val="20"/>
      <w:szCs w:val="24"/>
    </w:rPr>
  </w:style>
  <w:style w:type="paragraph" w:styleId="15">
    <w:name w:val="annotation text"/>
    <w:basedOn w:val="1"/>
    <w:link w:val="66"/>
    <w:unhideWhenUsed/>
    <w:qFormat/>
    <w:uiPriority w:val="99"/>
    <w:pPr>
      <w:jc w:val="left"/>
    </w:pPr>
    <w:rPr>
      <w:rFonts w:ascii="等线" w:hAnsi="等线" w:eastAsia="等线"/>
    </w:rPr>
  </w:style>
  <w:style w:type="paragraph" w:styleId="16">
    <w:name w:val="Body Text 3"/>
    <w:basedOn w:val="1"/>
    <w:link w:val="67"/>
    <w:unhideWhenUsed/>
    <w:qFormat/>
    <w:uiPriority w:val="99"/>
    <w:pPr>
      <w:spacing w:after="120"/>
    </w:pPr>
    <w:rPr>
      <w:kern w:val="0"/>
      <w:sz w:val="16"/>
      <w:szCs w:val="16"/>
    </w:rPr>
  </w:style>
  <w:style w:type="paragraph" w:styleId="17">
    <w:name w:val="Body Text"/>
    <w:basedOn w:val="1"/>
    <w:link w:val="54"/>
    <w:unhideWhenUsed/>
    <w:qFormat/>
    <w:uiPriority w:val="99"/>
    <w:pPr>
      <w:spacing w:after="120"/>
    </w:pPr>
    <w:rPr>
      <w:rFonts w:ascii="Calibri" w:hAnsi="Calibri"/>
      <w:kern w:val="0"/>
      <w:sz w:val="20"/>
      <w:szCs w:val="20"/>
    </w:rPr>
  </w:style>
  <w:style w:type="paragraph" w:styleId="18">
    <w:name w:val="Body Text Indent"/>
    <w:basedOn w:val="1"/>
    <w:link w:val="68"/>
    <w:unhideWhenUsed/>
    <w:qFormat/>
    <w:uiPriority w:val="99"/>
    <w:pPr>
      <w:spacing w:after="120"/>
      <w:ind w:left="420" w:leftChars="200"/>
    </w:pPr>
    <w:rPr>
      <w:rFonts w:ascii="Calibri" w:hAnsi="Calibri"/>
      <w:kern w:val="0"/>
      <w:sz w:val="20"/>
      <w:szCs w:val="20"/>
    </w:r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widowControl/>
      <w:spacing w:after="100" w:line="276" w:lineRule="auto"/>
      <w:ind w:left="440"/>
      <w:jc w:val="left"/>
    </w:pPr>
    <w:rPr>
      <w:kern w:val="0"/>
      <w:sz w:val="22"/>
    </w:rPr>
  </w:style>
  <w:style w:type="paragraph" w:styleId="21">
    <w:name w:val="Plain Text"/>
    <w:basedOn w:val="1"/>
    <w:link w:val="69"/>
    <w:qFormat/>
    <w:uiPriority w:val="99"/>
    <w:rPr>
      <w:rFonts w:ascii="宋体" w:hAnsi="Courier New" w:eastAsia="楷体_GB2312"/>
      <w:kern w:val="0"/>
      <w:sz w:val="20"/>
      <w:szCs w:val="24"/>
    </w:rPr>
  </w:style>
  <w:style w:type="paragraph" w:styleId="22">
    <w:name w:val="toc 8"/>
    <w:basedOn w:val="1"/>
    <w:next w:val="1"/>
    <w:unhideWhenUsed/>
    <w:qFormat/>
    <w:uiPriority w:val="39"/>
    <w:pPr>
      <w:ind w:left="2940" w:leftChars="1400"/>
    </w:pPr>
  </w:style>
  <w:style w:type="paragraph" w:styleId="23">
    <w:name w:val="Date"/>
    <w:basedOn w:val="1"/>
    <w:next w:val="1"/>
    <w:link w:val="70"/>
    <w:unhideWhenUsed/>
    <w:qFormat/>
    <w:uiPriority w:val="0"/>
    <w:pPr>
      <w:ind w:left="100" w:leftChars="2500"/>
    </w:pPr>
    <w:rPr>
      <w:rFonts w:ascii="等线" w:hAnsi="等线" w:eastAsia="等线"/>
    </w:rPr>
  </w:style>
  <w:style w:type="paragraph" w:styleId="24">
    <w:name w:val="Body Text Indent 2"/>
    <w:basedOn w:val="1"/>
    <w:link w:val="71"/>
    <w:qFormat/>
    <w:uiPriority w:val="0"/>
    <w:pPr>
      <w:spacing w:after="120" w:line="480" w:lineRule="auto"/>
      <w:ind w:left="420" w:leftChars="200"/>
    </w:pPr>
    <w:rPr>
      <w:kern w:val="0"/>
      <w:sz w:val="20"/>
      <w:szCs w:val="24"/>
    </w:rPr>
  </w:style>
  <w:style w:type="paragraph" w:styleId="25">
    <w:name w:val="endnote text"/>
    <w:basedOn w:val="1"/>
    <w:link w:val="72"/>
    <w:unhideWhenUsed/>
    <w:qFormat/>
    <w:uiPriority w:val="99"/>
    <w:pPr>
      <w:snapToGrid w:val="0"/>
      <w:jc w:val="left"/>
    </w:pPr>
    <w:rPr>
      <w:rFonts w:ascii="等线" w:hAnsi="等线" w:eastAsia="等线"/>
    </w:rPr>
  </w:style>
  <w:style w:type="paragraph" w:styleId="26">
    <w:name w:val="Balloon Text"/>
    <w:basedOn w:val="1"/>
    <w:link w:val="73"/>
    <w:unhideWhenUsed/>
    <w:qFormat/>
    <w:uiPriority w:val="99"/>
    <w:rPr>
      <w:rFonts w:ascii="Calibri" w:hAnsi="Calibri"/>
      <w:kern w:val="0"/>
      <w:sz w:val="18"/>
      <w:szCs w:val="18"/>
    </w:rPr>
  </w:style>
  <w:style w:type="paragraph" w:styleId="27">
    <w:name w:val="footer"/>
    <w:basedOn w:val="1"/>
    <w:link w:val="74"/>
    <w:unhideWhenUsed/>
    <w:qFormat/>
    <w:uiPriority w:val="99"/>
    <w:pPr>
      <w:tabs>
        <w:tab w:val="center" w:pos="4153"/>
        <w:tab w:val="right" w:pos="8306"/>
      </w:tabs>
      <w:snapToGrid w:val="0"/>
      <w:jc w:val="left"/>
    </w:pPr>
    <w:rPr>
      <w:kern w:val="0"/>
      <w:sz w:val="18"/>
      <w:szCs w:val="18"/>
    </w:rPr>
  </w:style>
  <w:style w:type="paragraph" w:styleId="28">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unhideWhenUsed/>
    <w:qFormat/>
    <w:uiPriority w:val="39"/>
    <w:pPr>
      <w:widowControl/>
      <w:spacing w:after="100" w:line="276" w:lineRule="auto"/>
      <w:jc w:val="left"/>
    </w:pPr>
    <w:rPr>
      <w:kern w:val="0"/>
      <w:sz w:val="22"/>
    </w:rPr>
  </w:style>
  <w:style w:type="paragraph" w:styleId="30">
    <w:name w:val="toc 4"/>
    <w:basedOn w:val="1"/>
    <w:next w:val="1"/>
    <w:unhideWhenUsed/>
    <w:qFormat/>
    <w:uiPriority w:val="39"/>
    <w:pPr>
      <w:ind w:left="1260" w:leftChars="600"/>
    </w:pPr>
  </w:style>
  <w:style w:type="paragraph" w:styleId="31">
    <w:name w:val="toc 6"/>
    <w:basedOn w:val="1"/>
    <w:next w:val="1"/>
    <w:unhideWhenUsed/>
    <w:qFormat/>
    <w:uiPriority w:val="39"/>
    <w:pPr>
      <w:ind w:left="2100" w:leftChars="1000"/>
    </w:pPr>
  </w:style>
  <w:style w:type="paragraph" w:styleId="32">
    <w:name w:val="Body Text Indent 3"/>
    <w:basedOn w:val="1"/>
    <w:link w:val="76"/>
    <w:qFormat/>
    <w:uiPriority w:val="0"/>
    <w:pPr>
      <w:spacing w:after="120"/>
      <w:ind w:left="420" w:leftChars="200"/>
    </w:pPr>
    <w:rPr>
      <w:kern w:val="0"/>
      <w:sz w:val="16"/>
      <w:szCs w:val="16"/>
    </w:rPr>
  </w:style>
  <w:style w:type="paragraph" w:styleId="33">
    <w:name w:val="toc 2"/>
    <w:basedOn w:val="1"/>
    <w:next w:val="1"/>
    <w:unhideWhenUsed/>
    <w:qFormat/>
    <w:uiPriority w:val="39"/>
    <w:pPr>
      <w:widowControl/>
      <w:spacing w:after="100" w:line="276" w:lineRule="auto"/>
      <w:ind w:left="220"/>
      <w:jc w:val="left"/>
    </w:pPr>
    <w:rPr>
      <w:kern w:val="0"/>
      <w:sz w:val="22"/>
    </w:rPr>
  </w:style>
  <w:style w:type="paragraph" w:styleId="34">
    <w:name w:val="toc 9"/>
    <w:basedOn w:val="1"/>
    <w:next w:val="1"/>
    <w:unhideWhenUsed/>
    <w:qFormat/>
    <w:uiPriority w:val="39"/>
    <w:pPr>
      <w:ind w:left="3360" w:leftChars="1600"/>
    </w:pPr>
  </w:style>
  <w:style w:type="paragraph" w:styleId="35">
    <w:name w:val="Body Text 2"/>
    <w:basedOn w:val="1"/>
    <w:link w:val="77"/>
    <w:unhideWhenUsed/>
    <w:qFormat/>
    <w:uiPriority w:val="0"/>
    <w:rPr>
      <w:rFonts w:ascii="宋体" w:hAnsi="宋体" w:eastAsia="楷体_GB2312"/>
      <w:kern w:val="0"/>
      <w:sz w:val="20"/>
      <w:szCs w:val="24"/>
      <w:u w:val="single"/>
    </w:rPr>
  </w:style>
  <w:style w:type="paragraph" w:styleId="36">
    <w:name w:val="Normal (Web)"/>
    <w:basedOn w:val="1"/>
    <w:qFormat/>
    <w:uiPriority w:val="99"/>
    <w:pPr>
      <w:widowControl/>
      <w:spacing w:before="100" w:beforeAutospacing="1" w:after="100" w:afterAutospacing="1"/>
      <w:jc w:val="left"/>
    </w:pPr>
    <w:rPr>
      <w:kern w:val="0"/>
      <w:sz w:val="24"/>
      <w:szCs w:val="24"/>
    </w:rPr>
  </w:style>
  <w:style w:type="paragraph" w:styleId="37">
    <w:name w:val="index 1"/>
    <w:basedOn w:val="1"/>
    <w:next w:val="1"/>
    <w:semiHidden/>
    <w:qFormat/>
    <w:uiPriority w:val="0"/>
    <w:pPr>
      <w:spacing w:line="220" w:lineRule="exact"/>
      <w:jc w:val="center"/>
    </w:pPr>
    <w:rPr>
      <w:rFonts w:ascii="仿宋_GB2312" w:eastAsia="仿宋_GB2312"/>
      <w:szCs w:val="21"/>
    </w:rPr>
  </w:style>
  <w:style w:type="paragraph" w:styleId="38">
    <w:name w:val="Title"/>
    <w:basedOn w:val="1"/>
    <w:link w:val="78"/>
    <w:qFormat/>
    <w:uiPriority w:val="0"/>
    <w:pPr>
      <w:spacing w:before="120" w:after="60"/>
      <w:jc w:val="center"/>
    </w:pPr>
    <w:rPr>
      <w:rFonts w:ascii="Arial" w:hAnsi="Arial" w:eastAsia="楷体_GB2312"/>
      <w:b/>
      <w:kern w:val="0"/>
      <w:sz w:val="44"/>
      <w:szCs w:val="20"/>
    </w:rPr>
  </w:style>
  <w:style w:type="paragraph" w:styleId="39">
    <w:name w:val="annotation subject"/>
    <w:basedOn w:val="15"/>
    <w:next w:val="15"/>
    <w:link w:val="79"/>
    <w:unhideWhenUsed/>
    <w:qFormat/>
    <w:uiPriority w:val="99"/>
    <w:rPr>
      <w:rFonts w:ascii="Times New Roman" w:hAnsi="Times New Roman" w:eastAsia="宋体"/>
      <w:b/>
      <w:bCs/>
      <w:kern w:val="0"/>
      <w:sz w:val="20"/>
      <w:szCs w:val="20"/>
    </w:rPr>
  </w:style>
  <w:style w:type="paragraph" w:styleId="40">
    <w:name w:val="Body Text First Indent"/>
    <w:basedOn w:val="17"/>
    <w:link w:val="80"/>
    <w:qFormat/>
    <w:uiPriority w:val="0"/>
    <w:pPr>
      <w:ind w:firstLine="420"/>
    </w:pPr>
    <w:rPr>
      <w:rFonts w:ascii="Times New Roman" w:hAnsi="Times New Roman" w:eastAsia="楷体_GB2312"/>
    </w:rPr>
  </w:style>
  <w:style w:type="paragraph" w:styleId="41">
    <w:name w:val="Body Text First Indent 2"/>
    <w:basedOn w:val="1"/>
    <w:link w:val="81"/>
    <w:qFormat/>
    <w:uiPriority w:val="99"/>
    <w:pPr>
      <w:ind w:firstLine="420" w:firstLineChars="200"/>
    </w:pPr>
    <w:rPr>
      <w:rFonts w:ascii="Calibri" w:hAnsi="Calibri"/>
      <w:kern w:val="0"/>
      <w:sz w:val="20"/>
      <w:szCs w:val="20"/>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4">
    <w:name w:val="Table Theme"/>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Professional"/>
    <w:basedOn w:val="4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7">
    <w:name w:val="Strong"/>
    <w:qFormat/>
    <w:uiPriority w:val="0"/>
    <w:rPr>
      <w:rFonts w:eastAsia="宋体"/>
      <w:b/>
      <w:bCs/>
      <w:kern w:val="2"/>
      <w:sz w:val="24"/>
      <w:szCs w:val="24"/>
      <w:lang w:val="en-US" w:eastAsia="zh-CN" w:bidi="ar-SA"/>
    </w:rPr>
  </w:style>
  <w:style w:type="character" w:styleId="48">
    <w:name w:val="endnote reference"/>
    <w:semiHidden/>
    <w:qFormat/>
    <w:uiPriority w:val="0"/>
    <w:rPr>
      <w:rFonts w:eastAsia="宋体"/>
      <w:kern w:val="2"/>
      <w:sz w:val="24"/>
      <w:szCs w:val="24"/>
      <w:vertAlign w:val="superscript"/>
      <w:lang w:val="en-US" w:eastAsia="zh-CN" w:bidi="ar-SA"/>
    </w:rPr>
  </w:style>
  <w:style w:type="character" w:styleId="49">
    <w:name w:val="page number"/>
    <w:qFormat/>
    <w:uiPriority w:val="0"/>
    <w:rPr>
      <w:rFonts w:ascii="Arial" w:hAnsi="Arial" w:eastAsia="黑体"/>
      <w:kern w:val="2"/>
      <w:sz w:val="21"/>
      <w:szCs w:val="21"/>
      <w:lang w:val="en-US" w:eastAsia="zh-CN" w:bidi="ar-SA"/>
    </w:rPr>
  </w:style>
  <w:style w:type="character" w:styleId="50">
    <w:name w:val="FollowedHyperlink"/>
    <w:qFormat/>
    <w:uiPriority w:val="0"/>
    <w:rPr>
      <w:rFonts w:ascii="Arial" w:hAnsi="Arial" w:eastAsia="黑体"/>
      <w:color w:val="800080"/>
      <w:kern w:val="2"/>
      <w:sz w:val="21"/>
      <w:szCs w:val="21"/>
      <w:u w:val="single"/>
      <w:lang w:val="en-US" w:eastAsia="zh-CN" w:bidi="ar-SA"/>
    </w:rPr>
  </w:style>
  <w:style w:type="character" w:styleId="51">
    <w:name w:val="Emphasis"/>
    <w:qFormat/>
    <w:uiPriority w:val="20"/>
    <w:rPr>
      <w:i/>
      <w:iCs/>
    </w:rPr>
  </w:style>
  <w:style w:type="character" w:styleId="52">
    <w:name w:val="Hyperlink"/>
    <w:qFormat/>
    <w:uiPriority w:val="99"/>
    <w:rPr>
      <w:rFonts w:ascii="Arial" w:hAnsi="Arial" w:eastAsia="黑体"/>
      <w:color w:val="0000FF"/>
      <w:kern w:val="2"/>
      <w:sz w:val="21"/>
      <w:szCs w:val="21"/>
      <w:u w:val="single"/>
      <w:lang w:val="en-US" w:eastAsia="zh-CN" w:bidi="ar-SA"/>
    </w:rPr>
  </w:style>
  <w:style w:type="character" w:styleId="53">
    <w:name w:val="annotation reference"/>
    <w:unhideWhenUsed/>
    <w:qFormat/>
    <w:uiPriority w:val="99"/>
    <w:rPr>
      <w:sz w:val="21"/>
      <w:szCs w:val="21"/>
    </w:rPr>
  </w:style>
  <w:style w:type="character" w:customStyle="1" w:styleId="54">
    <w:name w:val="正文文本 Char"/>
    <w:link w:val="17"/>
    <w:semiHidden/>
    <w:qFormat/>
    <w:uiPriority w:val="99"/>
    <w:rPr>
      <w:rFonts w:ascii="Calibri" w:hAnsi="Calibri" w:eastAsia="宋体" w:cs="Times New Roman"/>
    </w:rPr>
  </w:style>
  <w:style w:type="character" w:customStyle="1" w:styleId="55">
    <w:name w:val="标题 1 Char"/>
    <w:link w:val="2"/>
    <w:qFormat/>
    <w:uiPriority w:val="0"/>
    <w:rPr>
      <w:rFonts w:ascii="Calibri" w:hAnsi="Calibri" w:eastAsia="黑体" w:cs="Times New Roman"/>
      <w:b/>
      <w:bCs/>
      <w:kern w:val="44"/>
      <w:sz w:val="32"/>
      <w:szCs w:val="44"/>
    </w:rPr>
  </w:style>
  <w:style w:type="character" w:customStyle="1" w:styleId="56">
    <w:name w:val="标题 2 Char"/>
    <w:link w:val="3"/>
    <w:qFormat/>
    <w:uiPriority w:val="0"/>
    <w:rPr>
      <w:rFonts w:ascii="黑体" w:hAnsi="黑体" w:eastAsia="黑体" w:cs="Times New Roman"/>
      <w:b/>
      <w:bCs/>
      <w:kern w:val="44"/>
      <w:sz w:val="30"/>
      <w:szCs w:val="30"/>
    </w:rPr>
  </w:style>
  <w:style w:type="character" w:customStyle="1" w:styleId="57">
    <w:name w:val="标题 3 Char"/>
    <w:link w:val="4"/>
    <w:qFormat/>
    <w:uiPriority w:val="9"/>
    <w:rPr>
      <w:rFonts w:ascii="Calibri" w:hAnsi="Calibri" w:eastAsia="宋体" w:cs="Times New Roman"/>
      <w:b/>
      <w:bCs/>
      <w:kern w:val="0"/>
      <w:sz w:val="32"/>
      <w:szCs w:val="32"/>
    </w:rPr>
  </w:style>
  <w:style w:type="character" w:customStyle="1" w:styleId="58">
    <w:name w:val="标题 4 Char"/>
    <w:link w:val="5"/>
    <w:qFormat/>
    <w:uiPriority w:val="0"/>
    <w:rPr>
      <w:rFonts w:ascii="黑体" w:hAnsi="黑体" w:eastAsia="黑体" w:cs="Times New Roman"/>
      <w:bCs/>
      <w:kern w:val="44"/>
      <w:sz w:val="28"/>
      <w:szCs w:val="30"/>
    </w:rPr>
  </w:style>
  <w:style w:type="character" w:customStyle="1" w:styleId="59">
    <w:name w:val="标题 5 Char"/>
    <w:link w:val="6"/>
    <w:qFormat/>
    <w:uiPriority w:val="0"/>
    <w:rPr>
      <w:rFonts w:ascii="黑体" w:hAnsi="黑体" w:eastAsia="宋体" w:cs="Times New Roman"/>
      <w:bCs/>
      <w:kern w:val="44"/>
      <w:sz w:val="24"/>
      <w:szCs w:val="30"/>
    </w:rPr>
  </w:style>
  <w:style w:type="character" w:customStyle="1" w:styleId="60">
    <w:name w:val="正文缩进 Char"/>
    <w:link w:val="13"/>
    <w:qFormat/>
    <w:uiPriority w:val="0"/>
  </w:style>
  <w:style w:type="character" w:customStyle="1" w:styleId="61">
    <w:name w:val="标题 6 Char"/>
    <w:link w:val="7"/>
    <w:qFormat/>
    <w:uiPriority w:val="0"/>
    <w:rPr>
      <w:rFonts w:ascii="Arial" w:hAnsi="Arial" w:eastAsia="黑体" w:cs="Times New Roman"/>
      <w:b/>
      <w:bCs/>
      <w:kern w:val="0"/>
      <w:sz w:val="24"/>
      <w:szCs w:val="24"/>
    </w:rPr>
  </w:style>
  <w:style w:type="character" w:customStyle="1" w:styleId="62">
    <w:name w:val="标题 7 Char"/>
    <w:link w:val="8"/>
    <w:qFormat/>
    <w:uiPriority w:val="0"/>
    <w:rPr>
      <w:rFonts w:ascii="Calibri" w:hAnsi="Calibri" w:eastAsia="宋体" w:cs="Times New Roman"/>
      <w:b/>
      <w:kern w:val="0"/>
      <w:sz w:val="24"/>
      <w:szCs w:val="20"/>
    </w:rPr>
  </w:style>
  <w:style w:type="character" w:customStyle="1" w:styleId="63">
    <w:name w:val="标题 8 Char"/>
    <w:link w:val="9"/>
    <w:qFormat/>
    <w:uiPriority w:val="0"/>
    <w:rPr>
      <w:rFonts w:ascii="Arial" w:hAnsi="Arial" w:eastAsia="黑体" w:cs="Times New Roman"/>
      <w:kern w:val="0"/>
      <w:sz w:val="24"/>
      <w:szCs w:val="20"/>
    </w:rPr>
  </w:style>
  <w:style w:type="character" w:customStyle="1" w:styleId="64">
    <w:name w:val="标题 9 Char"/>
    <w:link w:val="10"/>
    <w:qFormat/>
    <w:uiPriority w:val="0"/>
    <w:rPr>
      <w:rFonts w:ascii="Arial" w:hAnsi="Arial" w:eastAsia="黑体" w:cs="Times New Roman"/>
      <w:kern w:val="0"/>
      <w:sz w:val="20"/>
      <w:szCs w:val="20"/>
    </w:rPr>
  </w:style>
  <w:style w:type="character" w:customStyle="1" w:styleId="65">
    <w:name w:val="文档结构图 Char"/>
    <w:link w:val="14"/>
    <w:semiHidden/>
    <w:qFormat/>
    <w:uiPriority w:val="0"/>
    <w:rPr>
      <w:rFonts w:ascii="Times New Roman" w:hAnsi="Times New Roman"/>
      <w:szCs w:val="24"/>
      <w:shd w:val="clear" w:color="auto" w:fill="000080"/>
    </w:rPr>
  </w:style>
  <w:style w:type="character" w:customStyle="1" w:styleId="66">
    <w:name w:val="批注文字 Char"/>
    <w:link w:val="15"/>
    <w:qFormat/>
    <w:uiPriority w:val="99"/>
  </w:style>
  <w:style w:type="character" w:customStyle="1" w:styleId="67">
    <w:name w:val="正文文本 3 Char"/>
    <w:link w:val="16"/>
    <w:qFormat/>
    <w:uiPriority w:val="99"/>
    <w:rPr>
      <w:sz w:val="16"/>
      <w:szCs w:val="16"/>
    </w:rPr>
  </w:style>
  <w:style w:type="character" w:customStyle="1" w:styleId="68">
    <w:name w:val="正文文本缩进 Char"/>
    <w:link w:val="18"/>
    <w:semiHidden/>
    <w:qFormat/>
    <w:uiPriority w:val="99"/>
    <w:rPr>
      <w:rFonts w:ascii="Calibri" w:hAnsi="Calibri" w:eastAsia="宋体" w:cs="Times New Roman"/>
    </w:rPr>
  </w:style>
  <w:style w:type="character" w:customStyle="1" w:styleId="69">
    <w:name w:val="纯文本 Char"/>
    <w:link w:val="21"/>
    <w:qFormat/>
    <w:uiPriority w:val="99"/>
    <w:rPr>
      <w:rFonts w:ascii="宋体" w:hAnsi="Courier New" w:eastAsia="楷体_GB2312"/>
      <w:szCs w:val="24"/>
    </w:rPr>
  </w:style>
  <w:style w:type="character" w:customStyle="1" w:styleId="70">
    <w:name w:val="日期 Char"/>
    <w:link w:val="23"/>
    <w:qFormat/>
    <w:uiPriority w:val="0"/>
  </w:style>
  <w:style w:type="character" w:customStyle="1" w:styleId="71">
    <w:name w:val="正文文本缩进 2 Char"/>
    <w:link w:val="24"/>
    <w:qFormat/>
    <w:uiPriority w:val="0"/>
    <w:rPr>
      <w:rFonts w:ascii="Times New Roman" w:hAnsi="Times New Roman"/>
      <w:szCs w:val="24"/>
    </w:rPr>
  </w:style>
  <w:style w:type="character" w:customStyle="1" w:styleId="72">
    <w:name w:val="尾注文本 Char"/>
    <w:link w:val="25"/>
    <w:qFormat/>
    <w:uiPriority w:val="99"/>
  </w:style>
  <w:style w:type="character" w:customStyle="1" w:styleId="73">
    <w:name w:val="批注框文本 Char"/>
    <w:link w:val="26"/>
    <w:qFormat/>
    <w:uiPriority w:val="99"/>
    <w:rPr>
      <w:rFonts w:ascii="Calibri" w:hAnsi="Calibri" w:eastAsia="宋体" w:cs="Times New Roman"/>
      <w:sz w:val="18"/>
      <w:szCs w:val="18"/>
    </w:rPr>
  </w:style>
  <w:style w:type="character" w:customStyle="1" w:styleId="74">
    <w:name w:val="页脚 Char"/>
    <w:link w:val="27"/>
    <w:qFormat/>
    <w:uiPriority w:val="99"/>
    <w:rPr>
      <w:sz w:val="18"/>
      <w:szCs w:val="18"/>
    </w:rPr>
  </w:style>
  <w:style w:type="character" w:customStyle="1" w:styleId="75">
    <w:name w:val="页眉 Char"/>
    <w:link w:val="28"/>
    <w:qFormat/>
    <w:uiPriority w:val="99"/>
    <w:rPr>
      <w:sz w:val="18"/>
      <w:szCs w:val="18"/>
    </w:rPr>
  </w:style>
  <w:style w:type="character" w:customStyle="1" w:styleId="76">
    <w:name w:val="正文文本缩进 3 Char"/>
    <w:link w:val="32"/>
    <w:qFormat/>
    <w:uiPriority w:val="0"/>
    <w:rPr>
      <w:rFonts w:ascii="Times New Roman" w:hAnsi="Times New Roman"/>
      <w:sz w:val="16"/>
      <w:szCs w:val="16"/>
    </w:rPr>
  </w:style>
  <w:style w:type="character" w:customStyle="1" w:styleId="77">
    <w:name w:val="正文文本 2 Char"/>
    <w:link w:val="35"/>
    <w:qFormat/>
    <w:uiPriority w:val="0"/>
    <w:rPr>
      <w:rFonts w:ascii="宋体" w:hAnsi="宋体" w:eastAsia="楷体_GB2312"/>
      <w:szCs w:val="24"/>
      <w:u w:val="single"/>
    </w:rPr>
  </w:style>
  <w:style w:type="character" w:customStyle="1" w:styleId="78">
    <w:name w:val="标题 Char"/>
    <w:link w:val="38"/>
    <w:qFormat/>
    <w:uiPriority w:val="0"/>
    <w:rPr>
      <w:rFonts w:ascii="Arial" w:hAnsi="Arial" w:eastAsia="楷体_GB2312"/>
      <w:b/>
      <w:sz w:val="44"/>
    </w:rPr>
  </w:style>
  <w:style w:type="character" w:customStyle="1" w:styleId="79">
    <w:name w:val="批注主题 Char"/>
    <w:link w:val="39"/>
    <w:qFormat/>
    <w:uiPriority w:val="99"/>
    <w:rPr>
      <w:b/>
      <w:bCs/>
    </w:rPr>
  </w:style>
  <w:style w:type="character" w:customStyle="1" w:styleId="80">
    <w:name w:val="正文首行缩进 Char"/>
    <w:link w:val="40"/>
    <w:qFormat/>
    <w:uiPriority w:val="0"/>
    <w:rPr>
      <w:rFonts w:ascii="Times New Roman" w:hAnsi="Times New Roman" w:eastAsia="楷体_GB2312" w:cs="Times New Roman"/>
      <w:kern w:val="0"/>
      <w:sz w:val="20"/>
      <w:szCs w:val="20"/>
    </w:rPr>
  </w:style>
  <w:style w:type="character" w:customStyle="1" w:styleId="81">
    <w:name w:val="正文首行缩进 2 Char"/>
    <w:link w:val="41"/>
    <w:qFormat/>
    <w:uiPriority w:val="99"/>
    <w:rPr>
      <w:rFonts w:ascii="Calibri" w:hAnsi="Calibri" w:eastAsia="宋体" w:cs="Times New Roman"/>
    </w:rPr>
  </w:style>
  <w:style w:type="character" w:customStyle="1" w:styleId="82">
    <w:name w:val="页眉 字符1"/>
    <w:semiHidden/>
    <w:qFormat/>
    <w:uiPriority w:val="99"/>
    <w:rPr>
      <w:rFonts w:ascii="Calibri" w:hAnsi="Calibri" w:eastAsia="宋体" w:cs="Times New Roman"/>
      <w:sz w:val="18"/>
      <w:szCs w:val="18"/>
    </w:rPr>
  </w:style>
  <w:style w:type="character" w:customStyle="1" w:styleId="83">
    <w:name w:val="正文文本 2 字符1"/>
    <w:semiHidden/>
    <w:qFormat/>
    <w:uiPriority w:val="99"/>
    <w:rPr>
      <w:rFonts w:ascii="Calibri" w:hAnsi="Calibri" w:eastAsia="宋体" w:cs="Times New Roman"/>
    </w:rPr>
  </w:style>
  <w:style w:type="character" w:customStyle="1" w:styleId="84">
    <w:name w:val="尾注文本 字符1"/>
    <w:semiHidden/>
    <w:qFormat/>
    <w:uiPriority w:val="99"/>
    <w:rPr>
      <w:rFonts w:ascii="Calibri" w:hAnsi="Calibri" w:eastAsia="宋体" w:cs="Times New Roman"/>
    </w:rPr>
  </w:style>
  <w:style w:type="character" w:customStyle="1" w:styleId="85">
    <w:name w:val="批注文字 Char1"/>
    <w:semiHidden/>
    <w:qFormat/>
    <w:uiPriority w:val="99"/>
    <w:rPr>
      <w:rFonts w:ascii="Calibri" w:hAnsi="Calibri" w:eastAsia="宋体" w:cs="Times New Roman"/>
    </w:rPr>
  </w:style>
  <w:style w:type="character" w:customStyle="1" w:styleId="86">
    <w:name w:val="页脚 Char1"/>
    <w:semiHidden/>
    <w:qFormat/>
    <w:uiPriority w:val="99"/>
    <w:rPr>
      <w:rFonts w:ascii="Calibri" w:hAnsi="Calibri" w:eastAsia="宋体" w:cs="Times New Roman"/>
      <w:sz w:val="18"/>
      <w:szCs w:val="18"/>
    </w:rPr>
  </w:style>
  <w:style w:type="character" w:customStyle="1" w:styleId="87">
    <w:name w:val="尾注文本 Char1"/>
    <w:semiHidden/>
    <w:qFormat/>
    <w:uiPriority w:val="99"/>
    <w:rPr>
      <w:rFonts w:ascii="Calibri" w:hAnsi="Calibri" w:eastAsia="宋体" w:cs="Times New Roman"/>
    </w:rPr>
  </w:style>
  <w:style w:type="character" w:customStyle="1" w:styleId="88">
    <w:name w:val="正文文本缩进 3 Char1"/>
    <w:semiHidden/>
    <w:qFormat/>
    <w:uiPriority w:val="99"/>
    <w:rPr>
      <w:rFonts w:ascii="Calibri" w:hAnsi="Calibri" w:eastAsia="宋体" w:cs="Times New Roman"/>
      <w:sz w:val="16"/>
      <w:szCs w:val="16"/>
    </w:rPr>
  </w:style>
  <w:style w:type="character" w:customStyle="1" w:styleId="89">
    <w:name w:val="font161"/>
    <w:qFormat/>
    <w:uiPriority w:val="0"/>
    <w:rPr>
      <w:rFonts w:ascii="Arial" w:hAnsi="Arial" w:eastAsia="黑体"/>
      <w:b/>
      <w:bCs/>
      <w:kern w:val="2"/>
      <w:sz w:val="32"/>
      <w:szCs w:val="32"/>
      <w:lang w:val="en-US" w:eastAsia="zh-CN" w:bidi="ar-SA"/>
    </w:rPr>
  </w:style>
  <w:style w:type="character" w:customStyle="1" w:styleId="90">
    <w:name w:val="正文文本 2 Char1"/>
    <w:semiHidden/>
    <w:qFormat/>
    <w:uiPriority w:val="99"/>
    <w:rPr>
      <w:rFonts w:ascii="Calibri" w:hAnsi="Calibri" w:eastAsia="宋体" w:cs="Times New Roman"/>
    </w:rPr>
  </w:style>
  <w:style w:type="character" w:customStyle="1" w:styleId="91">
    <w:name w:val="正文文本缩进 3 字符1"/>
    <w:semiHidden/>
    <w:qFormat/>
    <w:uiPriority w:val="99"/>
    <w:rPr>
      <w:rFonts w:ascii="Calibri" w:hAnsi="Calibri" w:eastAsia="宋体" w:cs="Times New Roman"/>
      <w:sz w:val="16"/>
      <w:szCs w:val="16"/>
    </w:rPr>
  </w:style>
  <w:style w:type="character" w:customStyle="1" w:styleId="92">
    <w:name w:val="正文文本缩进 字符"/>
    <w:qFormat/>
    <w:uiPriority w:val="0"/>
    <w:rPr>
      <w:rFonts w:ascii="Times New Roman" w:hAnsi="Times New Roman"/>
      <w:szCs w:val="24"/>
    </w:rPr>
  </w:style>
  <w:style w:type="character" w:customStyle="1" w:styleId="93">
    <w:name w:val="正文文本 Char1"/>
    <w:semiHidden/>
    <w:qFormat/>
    <w:uiPriority w:val="99"/>
    <w:rPr>
      <w:rFonts w:ascii="Calibri" w:hAnsi="Calibri" w:eastAsia="宋体" w:cs="Times New Roman"/>
    </w:rPr>
  </w:style>
  <w:style w:type="character" w:customStyle="1" w:styleId="94">
    <w:name w:val="纯文本 Char1"/>
    <w:qFormat/>
    <w:uiPriority w:val="99"/>
    <w:rPr>
      <w:rFonts w:ascii="宋体" w:hAnsi="Courier New" w:cs="Courier New"/>
      <w:kern w:val="2"/>
      <w:sz w:val="21"/>
      <w:szCs w:val="21"/>
    </w:rPr>
  </w:style>
  <w:style w:type="character" w:customStyle="1" w:styleId="95">
    <w:name w:val="页眉 Char1"/>
    <w:semiHidden/>
    <w:qFormat/>
    <w:uiPriority w:val="99"/>
    <w:rPr>
      <w:rFonts w:ascii="Calibri" w:hAnsi="Calibri" w:eastAsia="宋体" w:cs="Times New Roman"/>
      <w:sz w:val="18"/>
      <w:szCs w:val="18"/>
    </w:rPr>
  </w:style>
  <w:style w:type="character" w:customStyle="1" w:styleId="96">
    <w:name w:val="批注文字 字符1"/>
    <w:semiHidden/>
    <w:qFormat/>
    <w:uiPriority w:val="99"/>
    <w:rPr>
      <w:rFonts w:ascii="Calibri" w:hAnsi="Calibri" w:eastAsia="宋体" w:cs="Times New Roman"/>
    </w:rPr>
  </w:style>
  <w:style w:type="character" w:customStyle="1" w:styleId="97">
    <w:name w:val="标题 字符1"/>
    <w:qFormat/>
    <w:uiPriority w:val="10"/>
    <w:rPr>
      <w:rFonts w:ascii="等线 Light" w:hAnsi="等线 Light" w:eastAsia="等线 Light" w:cs="Times New Roman"/>
      <w:b/>
      <w:bCs/>
      <w:sz w:val="32"/>
      <w:szCs w:val="32"/>
    </w:rPr>
  </w:style>
  <w:style w:type="character" w:customStyle="1" w:styleId="98">
    <w:name w:val="正文文本缩进 2 字符1"/>
    <w:semiHidden/>
    <w:qFormat/>
    <w:uiPriority w:val="99"/>
    <w:rPr>
      <w:rFonts w:ascii="Calibri" w:hAnsi="Calibri" w:eastAsia="宋体" w:cs="Times New Roman"/>
    </w:rPr>
  </w:style>
  <w:style w:type="character" w:customStyle="1" w:styleId="99">
    <w:name w:val="日期 字符1"/>
    <w:semiHidden/>
    <w:qFormat/>
    <w:uiPriority w:val="99"/>
    <w:rPr>
      <w:rFonts w:ascii="Calibri" w:hAnsi="Calibri" w:eastAsia="宋体" w:cs="Times New Roman"/>
    </w:rPr>
  </w:style>
  <w:style w:type="character" w:customStyle="1" w:styleId="100">
    <w:name w:val="纯文本 Char2"/>
    <w:semiHidden/>
    <w:qFormat/>
    <w:uiPriority w:val="99"/>
    <w:rPr>
      <w:rFonts w:ascii="宋体" w:hAnsi="Courier New" w:eastAsia="宋体" w:cs="Courier New"/>
      <w:szCs w:val="21"/>
    </w:rPr>
  </w:style>
  <w:style w:type="character" w:customStyle="1" w:styleId="101">
    <w:name w:val="正文文本 字符"/>
    <w:semiHidden/>
    <w:qFormat/>
    <w:uiPriority w:val="99"/>
    <w:rPr>
      <w:rFonts w:ascii="Calibri" w:hAnsi="Calibri" w:eastAsia="宋体" w:cs="Times New Roman"/>
    </w:rPr>
  </w:style>
  <w:style w:type="character" w:customStyle="1" w:styleId="102">
    <w:name w:val="文档结构图 字符1"/>
    <w:semiHidden/>
    <w:qFormat/>
    <w:uiPriority w:val="99"/>
    <w:rPr>
      <w:rFonts w:ascii="Microsoft YaHei UI" w:hAnsi="Calibri" w:eastAsia="Microsoft YaHei UI" w:cs="Times New Roman"/>
      <w:sz w:val="18"/>
      <w:szCs w:val="18"/>
    </w:rPr>
  </w:style>
  <w:style w:type="character" w:customStyle="1" w:styleId="103">
    <w:name w:val="文档结构图 Char1"/>
    <w:semiHidden/>
    <w:qFormat/>
    <w:uiPriority w:val="99"/>
    <w:rPr>
      <w:rFonts w:ascii="宋体" w:hAnsi="Calibri" w:eastAsia="宋体" w:cs="Times New Roman"/>
      <w:sz w:val="18"/>
      <w:szCs w:val="18"/>
    </w:rPr>
  </w:style>
  <w:style w:type="character" w:customStyle="1" w:styleId="104">
    <w:name w:val="正文文本 3 Char1"/>
    <w:semiHidden/>
    <w:qFormat/>
    <w:uiPriority w:val="99"/>
    <w:rPr>
      <w:rFonts w:ascii="Calibri" w:hAnsi="Calibri" w:eastAsia="宋体" w:cs="Times New Roman"/>
      <w:sz w:val="16"/>
      <w:szCs w:val="16"/>
    </w:rPr>
  </w:style>
  <w:style w:type="character" w:customStyle="1" w:styleId="105">
    <w:name w:val="纯文本 字符1"/>
    <w:semiHidden/>
    <w:qFormat/>
    <w:uiPriority w:val="99"/>
    <w:rPr>
      <w:rFonts w:ascii="等线" w:hAnsi="Courier New" w:cs="Courier New"/>
    </w:rPr>
  </w:style>
  <w:style w:type="character" w:customStyle="1" w:styleId="106">
    <w:name w:val="日期 Char1"/>
    <w:semiHidden/>
    <w:qFormat/>
    <w:uiPriority w:val="99"/>
    <w:rPr>
      <w:rFonts w:ascii="Calibri" w:hAnsi="Calibri" w:eastAsia="宋体" w:cs="Times New Roman"/>
    </w:rPr>
  </w:style>
  <w:style w:type="character" w:customStyle="1" w:styleId="107">
    <w:name w:val="批注框文本 Char1"/>
    <w:semiHidden/>
    <w:qFormat/>
    <w:uiPriority w:val="99"/>
    <w:rPr>
      <w:rFonts w:ascii="Calibri" w:hAnsi="Calibri" w:eastAsia="宋体" w:cs="Times New Roman"/>
      <w:sz w:val="18"/>
      <w:szCs w:val="18"/>
    </w:rPr>
  </w:style>
  <w:style w:type="character" w:customStyle="1" w:styleId="108">
    <w:name w:val="正文首行缩进 Char1"/>
    <w:semiHidden/>
    <w:qFormat/>
    <w:uiPriority w:val="99"/>
  </w:style>
  <w:style w:type="character" w:customStyle="1" w:styleId="109">
    <w:name w:val="标题 Char1"/>
    <w:qFormat/>
    <w:uiPriority w:val="10"/>
    <w:rPr>
      <w:rFonts w:ascii="Cambria" w:hAnsi="Cambria" w:eastAsia="宋体" w:cs="Times New Roman"/>
      <w:b/>
      <w:bCs/>
      <w:sz w:val="32"/>
      <w:szCs w:val="32"/>
    </w:rPr>
  </w:style>
  <w:style w:type="character" w:customStyle="1" w:styleId="110">
    <w:name w:val="批注框文本 字符1"/>
    <w:semiHidden/>
    <w:qFormat/>
    <w:uiPriority w:val="99"/>
    <w:rPr>
      <w:rFonts w:ascii="Calibri" w:hAnsi="Calibri" w:eastAsia="宋体" w:cs="Times New Roman"/>
      <w:sz w:val="18"/>
      <w:szCs w:val="18"/>
    </w:rPr>
  </w:style>
  <w:style w:type="character" w:customStyle="1" w:styleId="111">
    <w:name w:val="正文文本缩进 Char1"/>
    <w:semiHidden/>
    <w:qFormat/>
    <w:uiPriority w:val="99"/>
    <w:rPr>
      <w:rFonts w:ascii="Calibri" w:hAnsi="Calibri" w:eastAsia="宋体" w:cs="Times New Roman"/>
    </w:rPr>
  </w:style>
  <w:style w:type="character" w:customStyle="1" w:styleId="112">
    <w:name w:val="批注主题 字符1"/>
    <w:semiHidden/>
    <w:qFormat/>
    <w:uiPriority w:val="99"/>
    <w:rPr>
      <w:rFonts w:ascii="Calibri" w:hAnsi="Calibri" w:eastAsia="宋体" w:cs="Times New Roman"/>
      <w:b/>
      <w:bCs/>
    </w:rPr>
  </w:style>
  <w:style w:type="character" w:customStyle="1" w:styleId="113">
    <w:name w:val="批注主题 Char1"/>
    <w:semiHidden/>
    <w:qFormat/>
    <w:uiPriority w:val="99"/>
    <w:rPr>
      <w:rFonts w:ascii="Calibri" w:hAnsi="Calibri" w:eastAsia="宋体" w:cs="Times New Roman"/>
      <w:b/>
      <w:bCs/>
    </w:rPr>
  </w:style>
  <w:style w:type="character" w:customStyle="1" w:styleId="114">
    <w:name w:val="页脚 字符1"/>
    <w:semiHidden/>
    <w:qFormat/>
    <w:uiPriority w:val="99"/>
    <w:rPr>
      <w:rFonts w:ascii="Calibri" w:hAnsi="Calibri" w:eastAsia="宋体" w:cs="Times New Roman"/>
      <w:sz w:val="18"/>
      <w:szCs w:val="18"/>
    </w:rPr>
  </w:style>
  <w:style w:type="character" w:customStyle="1" w:styleId="115">
    <w:name w:val="正文首行缩进 字符1"/>
    <w:semiHidden/>
    <w:qFormat/>
    <w:uiPriority w:val="99"/>
    <w:rPr>
      <w:rFonts w:ascii="Calibri" w:hAnsi="Calibri" w:eastAsia="宋体" w:cs="Times New Roman"/>
    </w:rPr>
  </w:style>
  <w:style w:type="character" w:customStyle="1" w:styleId="116">
    <w:name w:val="font5 Char"/>
    <w:link w:val="117"/>
    <w:qFormat/>
    <w:uiPriority w:val="0"/>
    <w:rPr>
      <w:rFonts w:ascii="宋体" w:hAnsi="宋体"/>
      <w:sz w:val="24"/>
      <w:szCs w:val="24"/>
    </w:rPr>
  </w:style>
  <w:style w:type="paragraph" w:customStyle="1" w:styleId="117">
    <w:name w:val="font5"/>
    <w:basedOn w:val="1"/>
    <w:link w:val="116"/>
    <w:qFormat/>
    <w:uiPriority w:val="0"/>
    <w:pPr>
      <w:widowControl/>
      <w:spacing w:before="100" w:beforeAutospacing="1" w:after="100" w:afterAutospacing="1"/>
      <w:jc w:val="left"/>
    </w:pPr>
    <w:rPr>
      <w:rFonts w:ascii="宋体" w:hAnsi="宋体"/>
      <w:kern w:val="0"/>
      <w:sz w:val="24"/>
      <w:szCs w:val="24"/>
    </w:rPr>
  </w:style>
  <w:style w:type="character" w:customStyle="1" w:styleId="118">
    <w:name w:val="正文文本 3 字符1"/>
    <w:semiHidden/>
    <w:qFormat/>
    <w:uiPriority w:val="99"/>
    <w:rPr>
      <w:rFonts w:ascii="Calibri" w:hAnsi="Calibri" w:eastAsia="宋体" w:cs="Times New Roman"/>
      <w:sz w:val="16"/>
      <w:szCs w:val="16"/>
    </w:rPr>
  </w:style>
  <w:style w:type="character" w:customStyle="1" w:styleId="119">
    <w:name w:val="正文文本缩进 2 Char1"/>
    <w:semiHidden/>
    <w:qFormat/>
    <w:uiPriority w:val="99"/>
    <w:rPr>
      <w:rFonts w:ascii="Calibri" w:hAnsi="Calibri" w:eastAsia="宋体" w:cs="Times New Roman"/>
    </w:rPr>
  </w:style>
  <w:style w:type="paragraph" w:customStyle="1" w:styleId="120">
    <w:name w:val="Char"/>
    <w:basedOn w:val="1"/>
    <w:qFormat/>
    <w:uiPriority w:val="0"/>
    <w:pPr>
      <w:numPr>
        <w:ilvl w:val="0"/>
        <w:numId w:val="4"/>
      </w:numPr>
    </w:pPr>
    <w:rPr>
      <w:sz w:val="24"/>
      <w:szCs w:val="24"/>
    </w:rPr>
  </w:style>
  <w:style w:type="paragraph" w:customStyle="1" w:styleId="121">
    <w:name w:val="Char Char Char Char"/>
    <w:basedOn w:val="1"/>
    <w:qFormat/>
    <w:uiPriority w:val="0"/>
    <w:rPr>
      <w:sz w:val="30"/>
      <w:szCs w:val="24"/>
    </w:rPr>
  </w:style>
  <w:style w:type="paragraph" w:customStyle="1" w:styleId="122">
    <w:name w:val="发文落款"/>
    <w:basedOn w:val="123"/>
    <w:qFormat/>
    <w:uiPriority w:val="0"/>
    <w:pPr>
      <w:ind w:left="4094" w:right="607" w:firstLine="0"/>
      <w:jc w:val="center"/>
    </w:pPr>
  </w:style>
  <w:style w:type="paragraph" w:customStyle="1" w:styleId="1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5">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26">
    <w:name w:val="1"/>
    <w:basedOn w:val="1"/>
    <w:qFormat/>
    <w:uiPriority w:val="0"/>
    <w:rPr>
      <w:szCs w:val="24"/>
    </w:rPr>
  </w:style>
  <w:style w:type="paragraph" w:customStyle="1" w:styleId="127">
    <w:name w:val="表格"/>
    <w:basedOn w:val="1"/>
    <w:qFormat/>
    <w:uiPriority w:val="0"/>
    <w:pPr>
      <w:jc w:val="center"/>
    </w:pPr>
    <w:rPr>
      <w:rFonts w:ascii="华文细黑" w:hAnsi="华文细黑"/>
      <w:kern w:val="0"/>
      <w:szCs w:val="20"/>
    </w:rPr>
  </w:style>
  <w:style w:type="paragraph" w:customStyle="1" w:styleId="128">
    <w:name w:val="标题2"/>
    <w:basedOn w:val="3"/>
    <w:qFormat/>
    <w:uiPriority w:val="0"/>
    <w:pPr>
      <w:numPr>
        <w:ilvl w:val="0"/>
        <w:numId w:val="0"/>
      </w:numPr>
      <w:tabs>
        <w:tab w:val="left" w:pos="840"/>
      </w:tabs>
      <w:snapToGrid w:val="0"/>
      <w:spacing w:before="120" w:line="240" w:lineRule="auto"/>
      <w:ind w:left="840" w:hanging="420"/>
      <w:jc w:val="left"/>
    </w:pPr>
    <w:rPr>
      <w:rFonts w:ascii="Arial" w:hAnsi="Arial"/>
      <w:sz w:val="21"/>
      <w:szCs w:val="21"/>
    </w:rPr>
  </w:style>
  <w:style w:type="paragraph" w:customStyle="1" w:styleId="129">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130">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31">
    <w:name w:val="p0"/>
    <w:basedOn w:val="1"/>
    <w:qFormat/>
    <w:uiPriority w:val="0"/>
    <w:pPr>
      <w:widowControl/>
      <w:spacing w:before="75" w:after="75"/>
      <w:jc w:val="left"/>
    </w:pPr>
    <w:rPr>
      <w:rFonts w:ascii="宋体" w:hAnsi="宋体" w:cs="宋体"/>
      <w:kern w:val="0"/>
      <w:sz w:val="24"/>
      <w:szCs w:val="24"/>
    </w:rPr>
  </w:style>
  <w:style w:type="paragraph" w:customStyle="1" w:styleId="132">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33">
    <w:name w:val="样式 标题 2 + Times New Roman 四号 非加粗 段前: 5 磅 段后: 0 磅 行距: 固定值 20..."/>
    <w:basedOn w:val="3"/>
    <w:qFormat/>
    <w:uiPriority w:val="0"/>
    <w:pPr>
      <w:numPr>
        <w:ilvl w:val="0"/>
        <w:numId w:val="0"/>
      </w:numPr>
      <w:spacing w:before="100" w:after="0"/>
      <w:ind w:left="420" w:hanging="420"/>
    </w:pPr>
    <w:rPr>
      <w:rFonts w:ascii="Times New Roman" w:hAnsi="Times New Roman"/>
      <w:sz w:val="28"/>
      <w:szCs w:val="20"/>
    </w:rPr>
  </w:style>
  <w:style w:type="paragraph" w:customStyle="1" w:styleId="1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35">
    <w:name w:val="TOC 标题1"/>
    <w:basedOn w:val="2"/>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36">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37">
    <w:name w:val="表格2"/>
    <w:basedOn w:val="1"/>
    <w:qFormat/>
    <w:uiPriority w:val="0"/>
    <w:pPr>
      <w:adjustRightInd w:val="0"/>
      <w:spacing w:before="60" w:after="60"/>
      <w:jc w:val="center"/>
    </w:pPr>
    <w:rPr>
      <w:rFonts w:ascii="宋体"/>
      <w:color w:val="000000"/>
      <w:kern w:val="0"/>
      <w:sz w:val="24"/>
      <w:szCs w:val="20"/>
    </w:rPr>
  </w:style>
  <w:style w:type="paragraph" w:styleId="138">
    <w:name w:val="List Paragraph"/>
    <w:basedOn w:val="1"/>
    <w:qFormat/>
    <w:uiPriority w:val="34"/>
    <w:pPr>
      <w:ind w:firstLine="420" w:firstLineChars="200"/>
    </w:pPr>
  </w:style>
  <w:style w:type="paragraph" w:customStyle="1" w:styleId="139">
    <w:name w:val="text"/>
    <w:basedOn w:val="1"/>
    <w:qFormat/>
    <w:uiPriority w:val="0"/>
    <w:pPr>
      <w:widowControl/>
      <w:spacing w:after="120" w:line="360" w:lineRule="atLeast"/>
      <w:ind w:firstLine="300"/>
      <w:jc w:val="left"/>
    </w:pPr>
    <w:rPr>
      <w:rFonts w:ascii="宋体" w:hAnsi="宋体" w:cs="宋体"/>
      <w:kern w:val="0"/>
      <w:sz w:val="24"/>
      <w:szCs w:val="24"/>
    </w:rPr>
  </w:style>
  <w:style w:type="paragraph" w:customStyle="1" w:styleId="140">
    <w:name w:val="表格文字"/>
    <w:basedOn w:val="1"/>
    <w:qFormat/>
    <w:uiPriority w:val="0"/>
    <w:pPr>
      <w:adjustRightInd w:val="0"/>
      <w:spacing w:line="420" w:lineRule="atLeast"/>
      <w:jc w:val="left"/>
    </w:pPr>
    <w:rPr>
      <w:kern w:val="0"/>
      <w:szCs w:val="20"/>
    </w:rPr>
  </w:style>
  <w:style w:type="paragraph" w:customStyle="1" w:styleId="141">
    <w:name w:val="样式 标题 1 + 黑体 三号 非加粗 居中 段前: 6 磅 段后: 6 磅 行距: 固定值 20 磅"/>
    <w:basedOn w:val="2"/>
    <w:qFormat/>
    <w:uiPriority w:val="0"/>
    <w:pPr>
      <w:spacing w:before="120" w:after="120" w:line="400" w:lineRule="exact"/>
      <w:jc w:val="center"/>
    </w:pPr>
    <w:rPr>
      <w:rFonts w:ascii="黑体" w:hAnsi="黑体" w:cs="宋体"/>
      <w:b w:val="0"/>
      <w:bCs w:val="0"/>
      <w:szCs w:val="20"/>
    </w:rPr>
  </w:style>
  <w:style w:type="paragraph" w:customStyle="1" w:styleId="142">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43">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44">
    <w:name w:val="文二"/>
    <w:basedOn w:val="1"/>
    <w:qFormat/>
    <w:uiPriority w:val="0"/>
    <w:pPr>
      <w:jc w:val="left"/>
    </w:pPr>
    <w:rPr>
      <w:rFonts w:ascii="宋体" w:hAnsi="宋体"/>
      <w:szCs w:val="21"/>
    </w:rPr>
  </w:style>
  <w:style w:type="paragraph" w:customStyle="1" w:styleId="145">
    <w:name w:val="修订2"/>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37809</Words>
  <Characters>40440</Characters>
  <Lines>325</Lines>
  <Paragraphs>91</Paragraphs>
  <TotalTime>1</TotalTime>
  <ScaleCrop>false</ScaleCrop>
  <LinksUpToDate>false</LinksUpToDate>
  <CharactersWithSpaces>42912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2023-09-08T15:30:00Z</dcterms:created>
  <dc:creator>Administrator</dc:creator>
  <cp:lastModifiedBy>娜娜</cp:lastModifiedBy>
  <cp:lastPrinted>2023-11-09T02:59:00Z</cp:lastPrinted>
  <dcterms:modified xsi:type="dcterms:W3CDTF">2023-11-09T03:08:33Z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76D238EDCAF040C48DE06AF10E3EA7D3_13</vt:lpwstr>
  </property>
</Properties>
</file>