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rFonts w:ascii="宋体" w:hAnsi="宋体"/>
          <w:b/>
          <w:color w:val="auto"/>
          <w:sz w:val="48"/>
          <w:szCs w:val="46"/>
          <w:highlight w:val="none"/>
        </w:rPr>
      </w:pPr>
    </w:p>
    <w:p>
      <w:pPr>
        <w:spacing w:line="480" w:lineRule="auto"/>
        <w:jc w:val="center"/>
        <w:rPr>
          <w:rFonts w:ascii="宋体" w:hAnsi="宋体"/>
          <w:color w:val="auto"/>
          <w:kern w:val="0"/>
          <w:sz w:val="48"/>
          <w:szCs w:val="46"/>
          <w:highlight w:val="none"/>
          <w:u w:val="single"/>
        </w:rPr>
      </w:pPr>
      <w:r>
        <w:rPr>
          <w:rFonts w:hint="eastAsia" w:ascii="宋体" w:hAnsi="宋体"/>
          <w:b/>
          <w:color w:val="auto"/>
          <w:sz w:val="48"/>
          <w:szCs w:val="46"/>
          <w:highlight w:val="none"/>
        </w:rPr>
        <w:t>广州中医药大学大学城校区医科楼电力增容配套设备安装项目</w:t>
      </w:r>
    </w:p>
    <w:p>
      <w:pPr>
        <w:spacing w:line="360" w:lineRule="auto"/>
        <w:jc w:val="center"/>
        <w:rPr>
          <w:color w:val="auto"/>
          <w:sz w:val="36"/>
          <w:highlight w:val="none"/>
          <w:u w:val="single"/>
        </w:rPr>
      </w:pPr>
    </w:p>
    <w:p>
      <w:pPr>
        <w:spacing w:line="360" w:lineRule="auto"/>
        <w:jc w:val="center"/>
        <w:rPr>
          <w:color w:val="auto"/>
          <w:sz w:val="36"/>
          <w:highlight w:val="none"/>
          <w:u w:val="single"/>
        </w:rPr>
      </w:pPr>
    </w:p>
    <w:p>
      <w:pPr>
        <w:spacing w:line="360" w:lineRule="auto"/>
        <w:jc w:val="center"/>
        <w:rPr>
          <w:color w:val="auto"/>
          <w:sz w:val="36"/>
          <w:highlight w:val="none"/>
          <w:u w:val="single"/>
        </w:rPr>
      </w:pPr>
    </w:p>
    <w:p>
      <w:pPr>
        <w:spacing w:line="360" w:lineRule="auto"/>
        <w:jc w:val="center"/>
        <w:rPr>
          <w:color w:val="auto"/>
          <w:sz w:val="36"/>
          <w:highlight w:val="none"/>
          <w:u w:val="single"/>
        </w:rPr>
      </w:pPr>
    </w:p>
    <w:p>
      <w:pPr>
        <w:spacing w:line="360" w:lineRule="auto"/>
        <w:jc w:val="center"/>
        <w:rPr>
          <w:rFonts w:ascii="宋体" w:hAnsi="宋体"/>
          <w:b/>
          <w:bCs/>
          <w:color w:val="auto"/>
          <w:spacing w:val="26"/>
          <w:sz w:val="110"/>
          <w:szCs w:val="110"/>
          <w:highlight w:val="none"/>
        </w:rPr>
      </w:pPr>
      <w:r>
        <w:rPr>
          <w:rFonts w:hint="eastAsia" w:ascii="宋体" w:hAnsi="宋体"/>
          <w:b/>
          <w:bCs/>
          <w:color w:val="auto"/>
          <w:spacing w:val="26"/>
          <w:sz w:val="110"/>
          <w:szCs w:val="110"/>
          <w:highlight w:val="none"/>
        </w:rPr>
        <w:t>招标文件</w:t>
      </w:r>
    </w:p>
    <w:p>
      <w:pPr>
        <w:spacing w:line="360" w:lineRule="auto"/>
        <w:jc w:val="center"/>
        <w:rPr>
          <w:color w:val="auto"/>
          <w:sz w:val="32"/>
          <w:highlight w:val="none"/>
        </w:rPr>
      </w:pPr>
    </w:p>
    <w:p>
      <w:pPr>
        <w:spacing w:line="360" w:lineRule="auto"/>
        <w:ind w:firstLine="2560" w:firstLineChars="800"/>
        <w:rPr>
          <w:color w:val="auto"/>
          <w:sz w:val="32"/>
          <w:highlight w:val="none"/>
        </w:rPr>
      </w:pPr>
    </w:p>
    <w:p>
      <w:pPr>
        <w:spacing w:line="360" w:lineRule="auto"/>
        <w:ind w:firstLine="2560" w:firstLineChars="800"/>
        <w:rPr>
          <w:color w:val="auto"/>
          <w:sz w:val="32"/>
          <w:highlight w:val="none"/>
        </w:rPr>
      </w:pPr>
    </w:p>
    <w:p>
      <w:pPr>
        <w:spacing w:line="360" w:lineRule="auto"/>
        <w:ind w:firstLine="2560" w:firstLineChars="800"/>
        <w:rPr>
          <w:color w:val="auto"/>
          <w:sz w:val="32"/>
          <w:highlight w:val="none"/>
        </w:rPr>
      </w:pPr>
    </w:p>
    <w:p>
      <w:pPr>
        <w:tabs>
          <w:tab w:val="left" w:pos="2513"/>
        </w:tabs>
        <w:spacing w:line="360" w:lineRule="auto"/>
        <w:rPr>
          <w:color w:val="auto"/>
          <w:sz w:val="52"/>
          <w:highlight w:val="none"/>
        </w:rPr>
      </w:pPr>
      <w:r>
        <w:rPr>
          <w:rFonts w:hint="eastAsia"/>
          <w:color w:val="auto"/>
          <w:sz w:val="52"/>
          <w:highlight w:val="none"/>
        </w:rPr>
        <w:tab/>
      </w:r>
    </w:p>
    <w:p>
      <w:pPr>
        <w:spacing w:line="360" w:lineRule="auto"/>
        <w:ind w:firstLine="900" w:firstLineChars="300"/>
        <w:rPr>
          <w:color w:val="auto"/>
          <w:sz w:val="30"/>
          <w:szCs w:val="30"/>
          <w:highlight w:val="none"/>
          <w:u w:val="single"/>
        </w:rPr>
      </w:pPr>
      <w:r>
        <w:rPr>
          <w:rFonts w:hint="eastAsia"/>
          <w:color w:val="auto"/>
          <w:sz w:val="30"/>
          <w:szCs w:val="30"/>
          <w:highlight w:val="none"/>
        </w:rPr>
        <w:t>招</w:t>
      </w:r>
      <w:r>
        <w:rPr>
          <w:color w:val="auto"/>
          <w:sz w:val="30"/>
          <w:szCs w:val="30"/>
          <w:highlight w:val="none"/>
        </w:rPr>
        <w:t xml:space="preserve">  </w:t>
      </w:r>
      <w:r>
        <w:rPr>
          <w:rFonts w:hint="eastAsia"/>
          <w:color w:val="auto"/>
          <w:sz w:val="30"/>
          <w:szCs w:val="30"/>
          <w:highlight w:val="none"/>
        </w:rPr>
        <w:t>标</w:t>
      </w:r>
      <w:r>
        <w:rPr>
          <w:color w:val="auto"/>
          <w:sz w:val="30"/>
          <w:szCs w:val="30"/>
          <w:highlight w:val="none"/>
        </w:rPr>
        <w:t xml:space="preserve"> </w:t>
      </w:r>
      <w:r>
        <w:rPr>
          <w:rFonts w:hint="eastAsia"/>
          <w:color w:val="auto"/>
          <w:sz w:val="30"/>
          <w:szCs w:val="30"/>
          <w:highlight w:val="none"/>
        </w:rPr>
        <w:t>单</w:t>
      </w:r>
      <w:r>
        <w:rPr>
          <w:color w:val="auto"/>
          <w:sz w:val="30"/>
          <w:szCs w:val="30"/>
          <w:highlight w:val="none"/>
        </w:rPr>
        <w:t xml:space="preserve"> </w:t>
      </w:r>
      <w:r>
        <w:rPr>
          <w:rFonts w:hint="eastAsia"/>
          <w:color w:val="auto"/>
          <w:sz w:val="30"/>
          <w:szCs w:val="30"/>
          <w:highlight w:val="none"/>
        </w:rPr>
        <w:t>位：</w:t>
      </w:r>
      <w:r>
        <w:rPr>
          <w:rFonts w:hint="eastAsia"/>
          <w:color w:val="auto"/>
          <w:sz w:val="30"/>
          <w:szCs w:val="30"/>
          <w:highlight w:val="none"/>
          <w:u w:val="single"/>
        </w:rPr>
        <w:t>广州中医药大学</w:t>
      </w:r>
    </w:p>
    <w:p>
      <w:pPr>
        <w:spacing w:line="360" w:lineRule="auto"/>
        <w:ind w:firstLine="945"/>
        <w:rPr>
          <w:color w:val="auto"/>
          <w:sz w:val="30"/>
          <w:szCs w:val="30"/>
          <w:highlight w:val="none"/>
          <w:u w:val="single"/>
        </w:rPr>
      </w:pPr>
      <w:r>
        <w:rPr>
          <w:rFonts w:hint="eastAsia"/>
          <w:color w:val="auto"/>
          <w:sz w:val="30"/>
          <w:szCs w:val="30"/>
          <w:highlight w:val="none"/>
        </w:rPr>
        <w:t>招标代理单位：</w:t>
      </w:r>
      <w:r>
        <w:rPr>
          <w:rFonts w:hint="eastAsia"/>
          <w:color w:val="auto"/>
          <w:sz w:val="30"/>
          <w:szCs w:val="30"/>
          <w:highlight w:val="none"/>
          <w:u w:val="single"/>
        </w:rPr>
        <w:t>广州珠江监理咨询集团有限公司</w:t>
      </w:r>
    </w:p>
    <w:p>
      <w:pPr>
        <w:spacing w:line="360" w:lineRule="auto"/>
        <w:ind w:firstLine="960" w:firstLineChars="300"/>
        <w:rPr>
          <w:color w:val="auto"/>
          <w:sz w:val="32"/>
          <w:highlight w:val="none"/>
        </w:rPr>
      </w:pPr>
      <w:r>
        <w:rPr>
          <w:rFonts w:hint="eastAsia"/>
          <w:color w:val="auto"/>
          <w:sz w:val="32"/>
          <w:highlight w:val="none"/>
        </w:rPr>
        <w:t>日</w:t>
      </w:r>
      <w:r>
        <w:rPr>
          <w:color w:val="auto"/>
          <w:sz w:val="32"/>
          <w:highlight w:val="none"/>
        </w:rPr>
        <w:t xml:space="preserve">       </w:t>
      </w:r>
      <w:r>
        <w:rPr>
          <w:rFonts w:hint="eastAsia"/>
          <w:color w:val="auto"/>
          <w:sz w:val="32"/>
          <w:highlight w:val="none"/>
        </w:rPr>
        <w:t>期：</w:t>
      </w:r>
      <w:r>
        <w:rPr>
          <w:rFonts w:ascii="宋体" w:hAnsi="宋体" w:cs="宋体"/>
          <w:color w:val="auto"/>
          <w:sz w:val="32"/>
          <w:highlight w:val="none"/>
          <w:u w:val="single"/>
        </w:rPr>
        <w:t>202</w:t>
      </w:r>
      <w:r>
        <w:rPr>
          <w:rFonts w:hint="eastAsia" w:ascii="宋体" w:hAnsi="宋体" w:cs="宋体"/>
          <w:color w:val="auto"/>
          <w:sz w:val="32"/>
          <w:highlight w:val="none"/>
          <w:u w:val="single"/>
        </w:rPr>
        <w:t>3</w:t>
      </w:r>
      <w:r>
        <w:rPr>
          <w:rFonts w:hint="eastAsia" w:ascii="宋体" w:hAnsi="宋体" w:cs="宋体"/>
          <w:color w:val="auto"/>
          <w:sz w:val="32"/>
          <w:highlight w:val="none"/>
        </w:rPr>
        <w:t>年</w:t>
      </w:r>
      <w:r>
        <w:rPr>
          <w:rFonts w:ascii="宋体" w:hAnsi="宋体" w:cs="宋体"/>
          <w:color w:val="auto"/>
          <w:sz w:val="32"/>
          <w:highlight w:val="none"/>
          <w:u w:val="single"/>
        </w:rPr>
        <w:t>11</w:t>
      </w:r>
      <w:r>
        <w:rPr>
          <w:rFonts w:hint="eastAsia" w:ascii="宋体" w:hAnsi="宋体" w:cs="宋体"/>
          <w:color w:val="auto"/>
          <w:sz w:val="30"/>
          <w:szCs w:val="30"/>
          <w:highlight w:val="none"/>
        </w:rPr>
        <w:t>月</w:t>
      </w:r>
    </w:p>
    <w:p>
      <w:pPr>
        <w:ind w:firstLine="632" w:firstLineChars="300"/>
        <w:jc w:val="center"/>
        <w:rPr>
          <w:b/>
          <w:bCs/>
          <w:color w:val="auto"/>
          <w:highlight w:val="none"/>
          <w:u w:val="single"/>
        </w:rPr>
        <w:sectPr>
          <w:headerReference r:id="rId3" w:type="even"/>
          <w:footerReference r:id="rId4" w:type="even"/>
          <w:pgSz w:w="11906" w:h="16838"/>
          <w:pgMar w:top="1440" w:right="1800" w:bottom="1440" w:left="1800" w:header="851" w:footer="992" w:gutter="0"/>
          <w:cols w:space="720" w:num="1"/>
          <w:docGrid w:type="lines" w:linePitch="312" w:charSpace="0"/>
        </w:sectPr>
      </w:pPr>
    </w:p>
    <w:p>
      <w:pPr>
        <w:jc w:val="center"/>
        <w:rPr>
          <w:rFonts w:ascii="宋体" w:hAnsi="宋体"/>
          <w:b/>
          <w:caps/>
          <w:color w:val="auto"/>
          <w:kern w:val="0"/>
          <w:sz w:val="24"/>
          <w:szCs w:val="28"/>
          <w:highlight w:val="none"/>
        </w:rPr>
      </w:pPr>
      <w:r>
        <w:rPr>
          <w:rFonts w:hint="eastAsia"/>
          <w:b/>
          <w:bCs/>
          <w:color w:val="auto"/>
          <w:sz w:val="36"/>
          <w:szCs w:val="36"/>
          <w:highlight w:val="none"/>
          <w:u w:val="single"/>
        </w:rPr>
        <w:t>目录</w:t>
      </w:r>
    </w:p>
    <w:p>
      <w:pPr>
        <w:pStyle w:val="17"/>
        <w:tabs>
          <w:tab w:val="right" w:leader="dot" w:pos="9070"/>
        </w:tabs>
        <w:rPr>
          <w:color w:val="auto"/>
          <w:sz w:val="28"/>
          <w:szCs w:val="32"/>
          <w:highlight w:val="none"/>
        </w:rPr>
      </w:pPr>
      <w:r>
        <w:rPr>
          <w:caps/>
          <w:color w:val="auto"/>
          <w:kern w:val="0"/>
          <w:sz w:val="36"/>
          <w:szCs w:val="44"/>
          <w:highlight w:val="none"/>
        </w:rPr>
        <w:fldChar w:fldCharType="begin"/>
      </w:r>
      <w:r>
        <w:rPr>
          <w:caps/>
          <w:color w:val="auto"/>
          <w:kern w:val="0"/>
          <w:sz w:val="36"/>
          <w:szCs w:val="44"/>
          <w:highlight w:val="none"/>
        </w:rPr>
        <w:instrText xml:space="preserve"> TOC \o "1-3" \h \z \u </w:instrText>
      </w:r>
      <w:r>
        <w:rPr>
          <w:caps/>
          <w:color w:val="auto"/>
          <w:kern w:val="0"/>
          <w:sz w:val="36"/>
          <w:szCs w:val="44"/>
          <w:highlight w:val="none"/>
        </w:rPr>
        <w:fldChar w:fldCharType="separate"/>
      </w:r>
      <w:r>
        <w:rPr>
          <w:color w:val="auto"/>
          <w:highlight w:val="none"/>
        </w:rPr>
        <w:fldChar w:fldCharType="begin"/>
      </w:r>
      <w:r>
        <w:rPr>
          <w:color w:val="auto"/>
          <w:highlight w:val="none"/>
        </w:rPr>
        <w:instrText xml:space="preserve"> HYPERLINK \l "_Toc15749" </w:instrText>
      </w:r>
      <w:r>
        <w:rPr>
          <w:color w:val="auto"/>
          <w:highlight w:val="none"/>
        </w:rPr>
        <w:fldChar w:fldCharType="separate"/>
      </w:r>
      <w:r>
        <w:rPr>
          <w:rFonts w:hint="eastAsia"/>
          <w:color w:val="auto"/>
          <w:sz w:val="28"/>
          <w:szCs w:val="40"/>
          <w:highlight w:val="none"/>
        </w:rPr>
        <w:t>第一章</w:t>
      </w:r>
      <w:r>
        <w:rPr>
          <w:color w:val="auto"/>
          <w:sz w:val="28"/>
          <w:szCs w:val="40"/>
          <w:highlight w:val="none"/>
        </w:rPr>
        <w:t xml:space="preserve">  </w:t>
      </w:r>
      <w:r>
        <w:rPr>
          <w:rFonts w:hint="eastAsia"/>
          <w:color w:val="auto"/>
          <w:sz w:val="28"/>
          <w:szCs w:val="40"/>
          <w:highlight w:val="none"/>
        </w:rPr>
        <w:t>投标须知</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_Toc15749 \h </w:instrText>
      </w:r>
      <w:r>
        <w:rPr>
          <w:color w:val="auto"/>
          <w:sz w:val="28"/>
          <w:szCs w:val="32"/>
          <w:highlight w:val="none"/>
        </w:rPr>
        <w:fldChar w:fldCharType="separate"/>
      </w:r>
      <w:r>
        <w:rPr>
          <w:color w:val="auto"/>
          <w:sz w:val="28"/>
          <w:szCs w:val="32"/>
          <w:highlight w:val="none"/>
        </w:rPr>
        <w:t>3</w:t>
      </w:r>
      <w:r>
        <w:rPr>
          <w:color w:val="auto"/>
          <w:sz w:val="28"/>
          <w:szCs w:val="32"/>
          <w:highlight w:val="none"/>
        </w:rPr>
        <w:fldChar w:fldCharType="end"/>
      </w:r>
      <w:r>
        <w:rPr>
          <w:color w:val="auto"/>
          <w:sz w:val="28"/>
          <w:szCs w:val="32"/>
          <w:highlight w:val="none"/>
        </w:rPr>
        <w:fldChar w:fldCharType="end"/>
      </w:r>
    </w:p>
    <w:p>
      <w:pPr>
        <w:pStyle w:val="17"/>
        <w:tabs>
          <w:tab w:val="right" w:leader="dot" w:pos="9070"/>
        </w:tabs>
        <w:rPr>
          <w:color w:val="auto"/>
          <w:sz w:val="28"/>
          <w:szCs w:val="32"/>
          <w:highlight w:val="none"/>
        </w:rPr>
      </w:pPr>
      <w:r>
        <w:rPr>
          <w:color w:val="auto"/>
          <w:highlight w:val="none"/>
        </w:rPr>
        <w:fldChar w:fldCharType="begin"/>
      </w:r>
      <w:r>
        <w:rPr>
          <w:color w:val="auto"/>
          <w:highlight w:val="none"/>
        </w:rPr>
        <w:instrText xml:space="preserve"> HYPERLINK \l "_Toc8027" </w:instrText>
      </w:r>
      <w:r>
        <w:rPr>
          <w:color w:val="auto"/>
          <w:highlight w:val="none"/>
        </w:rPr>
        <w:fldChar w:fldCharType="separate"/>
      </w:r>
      <w:r>
        <w:rPr>
          <w:rFonts w:hint="eastAsia"/>
          <w:color w:val="auto"/>
          <w:kern w:val="44"/>
          <w:sz w:val="28"/>
          <w:szCs w:val="40"/>
          <w:highlight w:val="none"/>
        </w:rPr>
        <w:t>第二章</w:t>
      </w:r>
      <w:r>
        <w:rPr>
          <w:color w:val="auto"/>
          <w:kern w:val="44"/>
          <w:sz w:val="28"/>
          <w:szCs w:val="40"/>
          <w:highlight w:val="none"/>
        </w:rPr>
        <w:t xml:space="preserve">  </w:t>
      </w:r>
      <w:r>
        <w:rPr>
          <w:rFonts w:hint="eastAsia"/>
          <w:color w:val="auto"/>
          <w:kern w:val="44"/>
          <w:sz w:val="28"/>
          <w:szCs w:val="40"/>
          <w:highlight w:val="none"/>
        </w:rPr>
        <w:t>开标、评标及定标办法</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_Toc8027 \h </w:instrText>
      </w:r>
      <w:r>
        <w:rPr>
          <w:color w:val="auto"/>
          <w:sz w:val="28"/>
          <w:szCs w:val="32"/>
          <w:highlight w:val="none"/>
        </w:rPr>
        <w:fldChar w:fldCharType="separate"/>
      </w:r>
      <w:r>
        <w:rPr>
          <w:color w:val="auto"/>
          <w:sz w:val="28"/>
          <w:szCs w:val="32"/>
          <w:highlight w:val="none"/>
        </w:rPr>
        <w:t>32</w:t>
      </w:r>
      <w:r>
        <w:rPr>
          <w:color w:val="auto"/>
          <w:sz w:val="28"/>
          <w:szCs w:val="32"/>
          <w:highlight w:val="none"/>
        </w:rPr>
        <w:fldChar w:fldCharType="end"/>
      </w:r>
      <w:r>
        <w:rPr>
          <w:color w:val="auto"/>
          <w:sz w:val="28"/>
          <w:szCs w:val="32"/>
          <w:highlight w:val="none"/>
        </w:rPr>
        <w:fldChar w:fldCharType="end"/>
      </w:r>
    </w:p>
    <w:p>
      <w:pPr>
        <w:pStyle w:val="17"/>
        <w:tabs>
          <w:tab w:val="right" w:leader="dot" w:pos="9070"/>
        </w:tabs>
        <w:rPr>
          <w:color w:val="auto"/>
          <w:sz w:val="28"/>
          <w:szCs w:val="32"/>
          <w:highlight w:val="none"/>
        </w:rPr>
      </w:pPr>
      <w:r>
        <w:rPr>
          <w:color w:val="auto"/>
          <w:highlight w:val="none"/>
        </w:rPr>
        <w:fldChar w:fldCharType="begin"/>
      </w:r>
      <w:r>
        <w:rPr>
          <w:color w:val="auto"/>
          <w:highlight w:val="none"/>
        </w:rPr>
        <w:instrText xml:space="preserve"> HYPERLINK \l "_Toc26851" </w:instrText>
      </w:r>
      <w:r>
        <w:rPr>
          <w:color w:val="auto"/>
          <w:highlight w:val="none"/>
        </w:rPr>
        <w:fldChar w:fldCharType="separate"/>
      </w:r>
      <w:r>
        <w:rPr>
          <w:rFonts w:hint="eastAsia"/>
          <w:color w:val="auto"/>
          <w:kern w:val="44"/>
          <w:sz w:val="28"/>
          <w:szCs w:val="40"/>
          <w:highlight w:val="none"/>
        </w:rPr>
        <w:t>第三章</w:t>
      </w:r>
      <w:r>
        <w:rPr>
          <w:color w:val="auto"/>
          <w:kern w:val="44"/>
          <w:sz w:val="28"/>
          <w:szCs w:val="40"/>
          <w:highlight w:val="none"/>
        </w:rPr>
        <w:t xml:space="preserve">  </w:t>
      </w:r>
      <w:r>
        <w:rPr>
          <w:rFonts w:hint="eastAsia"/>
          <w:color w:val="auto"/>
          <w:kern w:val="44"/>
          <w:sz w:val="28"/>
          <w:szCs w:val="40"/>
          <w:highlight w:val="none"/>
        </w:rPr>
        <w:t>合同条款</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_Toc26851 \h </w:instrText>
      </w:r>
      <w:r>
        <w:rPr>
          <w:color w:val="auto"/>
          <w:sz w:val="28"/>
          <w:szCs w:val="32"/>
          <w:highlight w:val="none"/>
        </w:rPr>
        <w:fldChar w:fldCharType="separate"/>
      </w:r>
      <w:r>
        <w:rPr>
          <w:color w:val="auto"/>
          <w:sz w:val="28"/>
          <w:szCs w:val="32"/>
          <w:highlight w:val="none"/>
        </w:rPr>
        <w:t>57</w:t>
      </w:r>
      <w:r>
        <w:rPr>
          <w:color w:val="auto"/>
          <w:sz w:val="28"/>
          <w:szCs w:val="32"/>
          <w:highlight w:val="none"/>
        </w:rPr>
        <w:fldChar w:fldCharType="end"/>
      </w:r>
      <w:r>
        <w:rPr>
          <w:color w:val="auto"/>
          <w:sz w:val="28"/>
          <w:szCs w:val="32"/>
          <w:highlight w:val="none"/>
        </w:rPr>
        <w:fldChar w:fldCharType="end"/>
      </w:r>
    </w:p>
    <w:p>
      <w:pPr>
        <w:pStyle w:val="17"/>
        <w:tabs>
          <w:tab w:val="right" w:leader="dot" w:pos="9070"/>
        </w:tabs>
        <w:rPr>
          <w:color w:val="auto"/>
          <w:sz w:val="28"/>
          <w:szCs w:val="32"/>
          <w:highlight w:val="none"/>
        </w:rPr>
      </w:pPr>
      <w:r>
        <w:rPr>
          <w:color w:val="auto"/>
          <w:highlight w:val="none"/>
        </w:rPr>
        <w:fldChar w:fldCharType="begin"/>
      </w:r>
      <w:r>
        <w:rPr>
          <w:color w:val="auto"/>
          <w:highlight w:val="none"/>
        </w:rPr>
        <w:instrText xml:space="preserve"> HYPERLINK \l "_Toc22365" </w:instrText>
      </w:r>
      <w:r>
        <w:rPr>
          <w:color w:val="auto"/>
          <w:highlight w:val="none"/>
        </w:rPr>
        <w:fldChar w:fldCharType="separate"/>
      </w:r>
      <w:r>
        <w:rPr>
          <w:rFonts w:hint="eastAsia"/>
          <w:color w:val="auto"/>
          <w:kern w:val="44"/>
          <w:sz w:val="28"/>
          <w:szCs w:val="40"/>
          <w:highlight w:val="none"/>
        </w:rPr>
        <w:t>第四章</w:t>
      </w:r>
      <w:r>
        <w:rPr>
          <w:color w:val="auto"/>
          <w:kern w:val="44"/>
          <w:sz w:val="28"/>
          <w:szCs w:val="40"/>
          <w:highlight w:val="none"/>
        </w:rPr>
        <w:t xml:space="preserve">  </w:t>
      </w:r>
      <w:r>
        <w:rPr>
          <w:rFonts w:hint="eastAsia"/>
          <w:color w:val="auto"/>
          <w:kern w:val="44"/>
          <w:sz w:val="28"/>
          <w:szCs w:val="40"/>
          <w:highlight w:val="none"/>
        </w:rPr>
        <w:t>投标文件格式</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_Toc22365 \h </w:instrText>
      </w:r>
      <w:r>
        <w:rPr>
          <w:color w:val="auto"/>
          <w:sz w:val="28"/>
          <w:szCs w:val="32"/>
          <w:highlight w:val="none"/>
        </w:rPr>
        <w:fldChar w:fldCharType="separate"/>
      </w:r>
      <w:r>
        <w:rPr>
          <w:color w:val="auto"/>
          <w:sz w:val="28"/>
          <w:szCs w:val="32"/>
          <w:highlight w:val="none"/>
        </w:rPr>
        <w:t>58</w:t>
      </w:r>
      <w:r>
        <w:rPr>
          <w:color w:val="auto"/>
          <w:sz w:val="28"/>
          <w:szCs w:val="32"/>
          <w:highlight w:val="none"/>
        </w:rPr>
        <w:fldChar w:fldCharType="end"/>
      </w:r>
      <w:r>
        <w:rPr>
          <w:color w:val="auto"/>
          <w:sz w:val="28"/>
          <w:szCs w:val="32"/>
          <w:highlight w:val="none"/>
        </w:rPr>
        <w:fldChar w:fldCharType="end"/>
      </w:r>
    </w:p>
    <w:p>
      <w:pPr>
        <w:pStyle w:val="17"/>
        <w:tabs>
          <w:tab w:val="right" w:leader="dot" w:pos="9070"/>
        </w:tabs>
        <w:rPr>
          <w:color w:val="auto"/>
          <w:sz w:val="28"/>
          <w:szCs w:val="32"/>
          <w:highlight w:val="none"/>
        </w:rPr>
      </w:pPr>
      <w:r>
        <w:rPr>
          <w:color w:val="auto"/>
          <w:highlight w:val="none"/>
        </w:rPr>
        <w:fldChar w:fldCharType="begin"/>
      </w:r>
      <w:r>
        <w:rPr>
          <w:color w:val="auto"/>
          <w:highlight w:val="none"/>
        </w:rPr>
        <w:instrText xml:space="preserve"> HYPERLINK \l "_Toc31084" </w:instrText>
      </w:r>
      <w:r>
        <w:rPr>
          <w:color w:val="auto"/>
          <w:highlight w:val="none"/>
        </w:rPr>
        <w:fldChar w:fldCharType="separate"/>
      </w:r>
      <w:r>
        <w:rPr>
          <w:rFonts w:hint="eastAsia" w:ascii="Arial" w:hAnsi="Arial"/>
          <w:color w:val="auto"/>
          <w:kern w:val="44"/>
          <w:sz w:val="28"/>
          <w:szCs w:val="48"/>
          <w:highlight w:val="none"/>
        </w:rPr>
        <w:t>第五章  技术条件（工程建设标准）</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_Toc31084 \h </w:instrText>
      </w:r>
      <w:r>
        <w:rPr>
          <w:color w:val="auto"/>
          <w:sz w:val="28"/>
          <w:szCs w:val="32"/>
          <w:highlight w:val="none"/>
        </w:rPr>
        <w:fldChar w:fldCharType="separate"/>
      </w:r>
      <w:r>
        <w:rPr>
          <w:color w:val="auto"/>
          <w:sz w:val="28"/>
          <w:szCs w:val="32"/>
          <w:highlight w:val="none"/>
        </w:rPr>
        <w:t>77</w:t>
      </w:r>
      <w:r>
        <w:rPr>
          <w:color w:val="auto"/>
          <w:sz w:val="28"/>
          <w:szCs w:val="32"/>
          <w:highlight w:val="none"/>
        </w:rPr>
        <w:fldChar w:fldCharType="end"/>
      </w:r>
      <w:r>
        <w:rPr>
          <w:color w:val="auto"/>
          <w:sz w:val="28"/>
          <w:szCs w:val="32"/>
          <w:highlight w:val="none"/>
        </w:rPr>
        <w:fldChar w:fldCharType="end"/>
      </w:r>
    </w:p>
    <w:p>
      <w:pPr>
        <w:pStyle w:val="17"/>
        <w:tabs>
          <w:tab w:val="right" w:leader="dot" w:pos="9070"/>
        </w:tabs>
        <w:rPr>
          <w:color w:val="auto"/>
          <w:sz w:val="28"/>
          <w:szCs w:val="32"/>
          <w:highlight w:val="none"/>
        </w:rPr>
      </w:pPr>
      <w:r>
        <w:rPr>
          <w:color w:val="auto"/>
          <w:highlight w:val="none"/>
        </w:rPr>
        <w:fldChar w:fldCharType="begin"/>
      </w:r>
      <w:r>
        <w:rPr>
          <w:color w:val="auto"/>
          <w:highlight w:val="none"/>
        </w:rPr>
        <w:instrText xml:space="preserve"> HYPERLINK \l "_Toc23294" </w:instrText>
      </w:r>
      <w:r>
        <w:rPr>
          <w:color w:val="auto"/>
          <w:highlight w:val="none"/>
        </w:rPr>
        <w:fldChar w:fldCharType="separate"/>
      </w:r>
      <w:r>
        <w:rPr>
          <w:rFonts w:hint="eastAsia"/>
          <w:color w:val="auto"/>
          <w:kern w:val="44"/>
          <w:sz w:val="28"/>
          <w:szCs w:val="40"/>
          <w:highlight w:val="none"/>
        </w:rPr>
        <w:t>第六章</w:t>
      </w:r>
      <w:r>
        <w:rPr>
          <w:color w:val="auto"/>
          <w:kern w:val="44"/>
          <w:sz w:val="28"/>
          <w:szCs w:val="40"/>
          <w:highlight w:val="none"/>
        </w:rPr>
        <w:t xml:space="preserve">  </w:t>
      </w:r>
      <w:r>
        <w:rPr>
          <w:rFonts w:hint="eastAsia"/>
          <w:color w:val="auto"/>
          <w:kern w:val="44"/>
          <w:sz w:val="28"/>
          <w:szCs w:val="40"/>
          <w:highlight w:val="none"/>
        </w:rPr>
        <w:t>图纸及勘察资料</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_Toc23294 \h </w:instrText>
      </w:r>
      <w:r>
        <w:rPr>
          <w:color w:val="auto"/>
          <w:sz w:val="28"/>
          <w:szCs w:val="32"/>
          <w:highlight w:val="none"/>
        </w:rPr>
        <w:fldChar w:fldCharType="separate"/>
      </w:r>
      <w:r>
        <w:rPr>
          <w:color w:val="auto"/>
          <w:sz w:val="28"/>
          <w:szCs w:val="32"/>
          <w:highlight w:val="none"/>
        </w:rPr>
        <w:t>83</w:t>
      </w:r>
      <w:r>
        <w:rPr>
          <w:color w:val="auto"/>
          <w:sz w:val="28"/>
          <w:szCs w:val="32"/>
          <w:highlight w:val="none"/>
        </w:rPr>
        <w:fldChar w:fldCharType="end"/>
      </w:r>
      <w:r>
        <w:rPr>
          <w:color w:val="auto"/>
          <w:sz w:val="28"/>
          <w:szCs w:val="32"/>
          <w:highlight w:val="none"/>
        </w:rPr>
        <w:fldChar w:fldCharType="end"/>
      </w:r>
    </w:p>
    <w:p>
      <w:pPr>
        <w:pStyle w:val="17"/>
        <w:tabs>
          <w:tab w:val="right" w:leader="dot" w:pos="9070"/>
        </w:tabs>
        <w:rPr>
          <w:color w:val="auto"/>
          <w:sz w:val="28"/>
          <w:szCs w:val="32"/>
          <w:highlight w:val="none"/>
        </w:rPr>
      </w:pPr>
      <w:r>
        <w:rPr>
          <w:color w:val="auto"/>
          <w:highlight w:val="none"/>
        </w:rPr>
        <w:fldChar w:fldCharType="begin"/>
      </w:r>
      <w:r>
        <w:rPr>
          <w:color w:val="auto"/>
          <w:highlight w:val="none"/>
        </w:rPr>
        <w:instrText xml:space="preserve"> HYPERLINK \l "_Toc6313" </w:instrText>
      </w:r>
      <w:r>
        <w:rPr>
          <w:color w:val="auto"/>
          <w:highlight w:val="none"/>
        </w:rPr>
        <w:fldChar w:fldCharType="separate"/>
      </w:r>
      <w:r>
        <w:rPr>
          <w:rFonts w:hint="eastAsia"/>
          <w:color w:val="auto"/>
          <w:kern w:val="44"/>
          <w:sz w:val="28"/>
          <w:szCs w:val="40"/>
          <w:highlight w:val="none"/>
        </w:rPr>
        <w:t>第七章</w:t>
      </w:r>
      <w:r>
        <w:rPr>
          <w:color w:val="auto"/>
          <w:kern w:val="44"/>
          <w:sz w:val="28"/>
          <w:szCs w:val="40"/>
          <w:highlight w:val="none"/>
        </w:rPr>
        <w:t xml:space="preserve">  </w:t>
      </w:r>
      <w:r>
        <w:rPr>
          <w:rFonts w:hint="eastAsia"/>
          <w:color w:val="auto"/>
          <w:kern w:val="44"/>
          <w:sz w:val="28"/>
          <w:szCs w:val="40"/>
          <w:highlight w:val="none"/>
        </w:rPr>
        <w:t>工程量清单</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_Toc6313 \h </w:instrText>
      </w:r>
      <w:r>
        <w:rPr>
          <w:color w:val="auto"/>
          <w:sz w:val="28"/>
          <w:szCs w:val="32"/>
          <w:highlight w:val="none"/>
        </w:rPr>
        <w:fldChar w:fldCharType="separate"/>
      </w:r>
      <w:r>
        <w:rPr>
          <w:color w:val="auto"/>
          <w:sz w:val="28"/>
          <w:szCs w:val="32"/>
          <w:highlight w:val="none"/>
        </w:rPr>
        <w:t>84</w:t>
      </w:r>
      <w:r>
        <w:rPr>
          <w:color w:val="auto"/>
          <w:sz w:val="28"/>
          <w:szCs w:val="32"/>
          <w:highlight w:val="none"/>
        </w:rPr>
        <w:fldChar w:fldCharType="end"/>
      </w:r>
      <w:r>
        <w:rPr>
          <w:color w:val="auto"/>
          <w:sz w:val="28"/>
          <w:szCs w:val="32"/>
          <w:highlight w:val="none"/>
        </w:rPr>
        <w:fldChar w:fldCharType="end"/>
      </w:r>
    </w:p>
    <w:p>
      <w:pPr>
        <w:pStyle w:val="17"/>
        <w:tabs>
          <w:tab w:val="right" w:leader="dot" w:pos="9070"/>
        </w:tabs>
        <w:rPr>
          <w:color w:val="auto"/>
          <w:sz w:val="28"/>
          <w:szCs w:val="32"/>
          <w:highlight w:val="none"/>
        </w:rPr>
      </w:pPr>
      <w:r>
        <w:rPr>
          <w:color w:val="auto"/>
          <w:highlight w:val="none"/>
        </w:rPr>
        <w:fldChar w:fldCharType="begin"/>
      </w:r>
      <w:r>
        <w:rPr>
          <w:color w:val="auto"/>
          <w:highlight w:val="none"/>
        </w:rPr>
        <w:instrText xml:space="preserve"> HYPERLINK \l "_Toc8497" </w:instrText>
      </w:r>
      <w:r>
        <w:rPr>
          <w:color w:val="auto"/>
          <w:highlight w:val="none"/>
        </w:rPr>
        <w:fldChar w:fldCharType="separate"/>
      </w:r>
      <w:r>
        <w:rPr>
          <w:rFonts w:hint="eastAsia"/>
          <w:color w:val="auto"/>
          <w:kern w:val="44"/>
          <w:sz w:val="28"/>
          <w:szCs w:val="40"/>
          <w:highlight w:val="none"/>
        </w:rPr>
        <w:t>第八章</w:t>
      </w:r>
      <w:r>
        <w:rPr>
          <w:color w:val="auto"/>
          <w:kern w:val="44"/>
          <w:sz w:val="28"/>
          <w:szCs w:val="40"/>
          <w:highlight w:val="none"/>
        </w:rPr>
        <w:t xml:space="preserve">  </w:t>
      </w:r>
      <w:r>
        <w:rPr>
          <w:rFonts w:hint="eastAsia"/>
          <w:color w:val="auto"/>
          <w:kern w:val="44"/>
          <w:sz w:val="28"/>
          <w:szCs w:val="40"/>
          <w:highlight w:val="none"/>
        </w:rPr>
        <w:t>最高投标限价</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_Toc8497 \h </w:instrText>
      </w:r>
      <w:r>
        <w:rPr>
          <w:color w:val="auto"/>
          <w:sz w:val="28"/>
          <w:szCs w:val="32"/>
          <w:highlight w:val="none"/>
        </w:rPr>
        <w:fldChar w:fldCharType="separate"/>
      </w:r>
      <w:r>
        <w:rPr>
          <w:color w:val="auto"/>
          <w:sz w:val="28"/>
          <w:szCs w:val="32"/>
          <w:highlight w:val="none"/>
        </w:rPr>
        <w:t>85</w:t>
      </w:r>
      <w:r>
        <w:rPr>
          <w:color w:val="auto"/>
          <w:sz w:val="28"/>
          <w:szCs w:val="32"/>
          <w:highlight w:val="none"/>
        </w:rPr>
        <w:fldChar w:fldCharType="end"/>
      </w:r>
      <w:r>
        <w:rPr>
          <w:color w:val="auto"/>
          <w:sz w:val="28"/>
          <w:szCs w:val="32"/>
          <w:highlight w:val="none"/>
        </w:rPr>
        <w:fldChar w:fldCharType="end"/>
      </w:r>
    </w:p>
    <w:p>
      <w:pPr>
        <w:widowControl/>
        <w:jc w:val="center"/>
        <w:outlineLvl w:val="0"/>
        <w:rPr>
          <w:color w:val="auto"/>
          <w:sz w:val="28"/>
          <w:szCs w:val="32"/>
          <w:highlight w:val="none"/>
        </w:rPr>
      </w:pPr>
      <w:r>
        <w:rPr>
          <w:color w:val="auto"/>
          <w:sz w:val="28"/>
          <w:szCs w:val="32"/>
          <w:highlight w:val="none"/>
        </w:rPr>
        <w:fldChar w:fldCharType="end"/>
      </w:r>
      <w:bookmarkStart w:id="0" w:name="_Toc2272545"/>
      <w:bookmarkStart w:id="1" w:name="_Toc62056014"/>
      <w:bookmarkStart w:id="2" w:name="_Toc17361"/>
    </w:p>
    <w:p>
      <w:pPr>
        <w:widowControl/>
        <w:jc w:val="left"/>
        <w:rPr>
          <w:color w:val="auto"/>
          <w:highlight w:val="none"/>
        </w:rPr>
      </w:pPr>
      <w:r>
        <w:rPr>
          <w:color w:val="auto"/>
          <w:highlight w:val="none"/>
        </w:rPr>
        <w:br w:type="page"/>
      </w:r>
    </w:p>
    <w:p>
      <w:pPr>
        <w:widowControl/>
        <w:jc w:val="center"/>
        <w:outlineLvl w:val="0"/>
        <w:rPr>
          <w:b/>
          <w:color w:val="auto"/>
          <w:sz w:val="28"/>
          <w:szCs w:val="28"/>
          <w:highlight w:val="none"/>
        </w:rPr>
      </w:pPr>
      <w:bookmarkStart w:id="3" w:name="_Toc15749"/>
      <w:r>
        <w:rPr>
          <w:rFonts w:hint="eastAsia"/>
          <w:b/>
          <w:color w:val="auto"/>
          <w:sz w:val="28"/>
          <w:szCs w:val="28"/>
          <w:highlight w:val="none"/>
        </w:rPr>
        <w:t>第一章</w:t>
      </w:r>
      <w:r>
        <w:rPr>
          <w:b/>
          <w:color w:val="auto"/>
          <w:sz w:val="28"/>
          <w:szCs w:val="28"/>
          <w:highlight w:val="none"/>
        </w:rPr>
        <w:t xml:space="preserve">  </w:t>
      </w:r>
      <w:r>
        <w:rPr>
          <w:rFonts w:hint="eastAsia"/>
          <w:b/>
          <w:color w:val="auto"/>
          <w:sz w:val="28"/>
          <w:szCs w:val="28"/>
          <w:highlight w:val="none"/>
        </w:rPr>
        <w:t>投标须知</w:t>
      </w:r>
      <w:bookmarkEnd w:id="0"/>
      <w:bookmarkEnd w:id="1"/>
      <w:bookmarkEnd w:id="2"/>
      <w:bookmarkEnd w:id="3"/>
    </w:p>
    <w:p>
      <w:pPr>
        <w:keepNext/>
        <w:keepLines/>
        <w:spacing w:before="120" w:after="120" w:line="415" w:lineRule="auto"/>
        <w:jc w:val="center"/>
        <w:outlineLvl w:val="1"/>
        <w:rPr>
          <w:rFonts w:ascii="Arial" w:hAnsi="Arial"/>
          <w:b/>
          <w:color w:val="auto"/>
          <w:sz w:val="28"/>
          <w:szCs w:val="24"/>
          <w:highlight w:val="none"/>
        </w:rPr>
      </w:pPr>
      <w:bookmarkStart w:id="4" w:name="_Toc62056015"/>
      <w:bookmarkStart w:id="5" w:name="_Toc2272546"/>
      <w:bookmarkStart w:id="6" w:name="_Toc17742"/>
      <w:bookmarkStart w:id="7" w:name="_Toc22640"/>
      <w:r>
        <w:rPr>
          <w:rFonts w:hint="eastAsia" w:ascii="Arial" w:hAnsi="Arial"/>
          <w:b/>
          <w:color w:val="auto"/>
          <w:sz w:val="28"/>
          <w:szCs w:val="24"/>
          <w:highlight w:val="none"/>
        </w:rPr>
        <w:t>一、投标须知前附表</w:t>
      </w:r>
      <w:bookmarkEnd w:id="4"/>
      <w:bookmarkEnd w:id="5"/>
      <w:bookmarkEnd w:id="6"/>
      <w:bookmarkEnd w:id="7"/>
    </w:p>
    <w:p>
      <w:pPr>
        <w:spacing w:line="360" w:lineRule="auto"/>
        <w:rPr>
          <w:rFonts w:ascii="宋体" w:hAnsi="宋体"/>
          <w:b/>
          <w:color w:val="auto"/>
          <w:kern w:val="0"/>
          <w:sz w:val="24"/>
          <w:szCs w:val="24"/>
          <w:highlight w:val="none"/>
        </w:rPr>
      </w:pPr>
      <w:r>
        <w:rPr>
          <w:rFonts w:hint="eastAsia" w:ascii="宋体" w:hAnsi="宋体"/>
          <w:b/>
          <w:color w:val="auto"/>
          <w:kern w:val="0"/>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22"/>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ind w:firstLine="458"/>
              <w:jc w:val="center"/>
              <w:rPr>
                <w:rFonts w:ascii="宋体" w:hAnsi="宋体"/>
                <w:color w:val="auto"/>
                <w:kern w:val="0"/>
                <w:sz w:val="20"/>
                <w:szCs w:val="21"/>
                <w:highlight w:val="none"/>
              </w:rPr>
            </w:pPr>
            <w:r>
              <w:rPr>
                <w:rFonts w:hint="eastAsia" w:ascii="宋体" w:hAnsi="宋体"/>
                <w:color w:val="auto"/>
                <w:kern w:val="0"/>
                <w:sz w:val="20"/>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 xml:space="preserve">招标人（即发包人）： </w:t>
            </w:r>
            <w:r>
              <w:rPr>
                <w:rFonts w:hint="eastAsia" w:ascii="宋体" w:hAnsi="宋体" w:cs="宋体"/>
                <w:color w:val="auto"/>
                <w:szCs w:val="21"/>
                <w:highlight w:val="none"/>
                <w:u w:val="single"/>
              </w:rPr>
              <w:t>广州中医药大学</w:t>
            </w:r>
          </w:p>
          <w:p>
            <w:pPr>
              <w:rPr>
                <w:rFonts w:ascii="宋体" w:hAnsi="宋体" w:cs="宋体"/>
                <w:color w:val="auto"/>
                <w:szCs w:val="21"/>
                <w:highlight w:val="none"/>
                <w:u w:val="single"/>
              </w:rPr>
            </w:pPr>
            <w:r>
              <w:rPr>
                <w:rFonts w:hint="eastAsia" w:ascii="宋体" w:hAnsi="宋体" w:cs="宋体"/>
                <w:color w:val="auto"/>
                <w:szCs w:val="21"/>
                <w:highlight w:val="none"/>
              </w:rPr>
              <w:t>招标代理：</w:t>
            </w:r>
            <w:r>
              <w:rPr>
                <w:rFonts w:hint="eastAsia" w:ascii="宋体" w:hAnsi="宋体" w:cs="宋体"/>
                <w:color w:val="auto"/>
                <w:szCs w:val="21"/>
                <w:highlight w:val="none"/>
                <w:u w:val="single"/>
              </w:rPr>
              <w:t>广州珠江监理咨询集团有限公司</w:t>
            </w:r>
          </w:p>
          <w:p>
            <w:pPr>
              <w:pStyle w:val="6"/>
              <w:widowControl/>
              <w:spacing w:line="320" w:lineRule="exact"/>
              <w:rPr>
                <w:rFonts w:ascii="宋体" w:hAnsi="宋体" w:cs="宋体"/>
                <w:color w:val="auto"/>
                <w:highlight w:val="none"/>
              </w:rPr>
            </w:pPr>
            <w:r>
              <w:rPr>
                <w:rFonts w:hint="eastAsia" w:ascii="宋体" w:hAnsi="宋体" w:cs="宋体"/>
                <w:color w:val="auto"/>
                <w:szCs w:val="21"/>
                <w:highlight w:val="none"/>
              </w:rPr>
              <w:t>设计单位：</w:t>
            </w:r>
            <w:r>
              <w:rPr>
                <w:rFonts w:hint="eastAsia"/>
                <w:color w:val="auto"/>
                <w:highlight w:val="none"/>
                <w:u w:val="single"/>
              </w:rPr>
              <w:t>广州凯勒电力工程咨询有限公司</w:t>
            </w:r>
          </w:p>
          <w:p>
            <w:pPr>
              <w:rPr>
                <w:rFonts w:ascii="宋体" w:hAnsi="宋体" w:cs="宋体"/>
                <w:color w:val="auto"/>
                <w:szCs w:val="21"/>
                <w:highlight w:val="none"/>
                <w:u w:val="single"/>
              </w:rPr>
            </w:pPr>
            <w:r>
              <w:rPr>
                <w:rFonts w:hint="eastAsia" w:ascii="宋体" w:hAnsi="宋体" w:cs="宋体"/>
                <w:color w:val="auto"/>
                <w:szCs w:val="21"/>
                <w:highlight w:val="none"/>
              </w:rPr>
              <w:t>监理单位：</w:t>
            </w:r>
            <w:r>
              <w:rPr>
                <w:rFonts w:hint="eastAsia" w:ascii="宋体" w:hAnsi="宋体" w:cs="宋体"/>
                <w:color w:val="auto"/>
                <w:highlight w:val="none"/>
                <w:u w:val="single"/>
              </w:rPr>
              <w:t xml:space="preserve">    </w:t>
            </w:r>
            <w:r>
              <w:rPr>
                <w:rFonts w:ascii="宋体" w:hAnsi="宋体" w:cs="宋体"/>
                <w:color w:val="auto"/>
                <w:highlight w:val="none"/>
                <w:u w:val="single"/>
              </w:rPr>
              <w:t>/</w:t>
            </w:r>
            <w:r>
              <w:rPr>
                <w:rFonts w:hint="eastAsia" w:ascii="宋体" w:hAnsi="宋体" w:cs="宋体"/>
                <w:color w:val="auto"/>
                <w:highlight w:val="none"/>
                <w:u w:val="single"/>
              </w:rPr>
              <w:t xml:space="preserve">      </w:t>
            </w:r>
          </w:p>
          <w:p>
            <w:pPr>
              <w:rPr>
                <w:rFonts w:ascii="宋体" w:hAnsi="宋体"/>
                <w:bCs/>
                <w:snapToGrid w:val="0"/>
                <w:color w:val="auto"/>
                <w:kern w:val="0"/>
                <w:szCs w:val="21"/>
                <w:highlight w:val="none"/>
                <w:u w:val="single"/>
              </w:rPr>
            </w:pPr>
            <w:r>
              <w:rPr>
                <w:rFonts w:hint="eastAsia" w:ascii="宋体" w:hAnsi="宋体" w:cs="宋体"/>
                <w:color w:val="auto"/>
                <w:szCs w:val="21"/>
                <w:highlight w:val="none"/>
              </w:rPr>
              <w:t>检测机构：</w:t>
            </w:r>
            <w:r>
              <w:rPr>
                <w:rFonts w:hint="eastAsia" w:ascii="宋体" w:hAnsi="宋体" w:cs="宋体"/>
                <w:color w:val="auto"/>
                <w:highlight w:val="none"/>
                <w:u w:val="single"/>
              </w:rPr>
              <w:t xml:space="preserve">    </w:t>
            </w:r>
            <w:r>
              <w:rPr>
                <w:rFonts w:ascii="宋体" w:hAnsi="宋体" w:cs="宋体"/>
                <w:color w:val="auto"/>
                <w:highlight w:val="none"/>
                <w:u w:val="single"/>
              </w:rPr>
              <w:t>/</w:t>
            </w:r>
            <w:r>
              <w:rPr>
                <w:rFonts w:hint="eastAsia" w:ascii="宋体" w:hAnsi="宋体" w:cs="宋体"/>
                <w:color w:val="auto"/>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广州中医药大学大学城校区医科楼电力增容配套设备安装项目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广州市番禺区大学城外环东路232号广州中医药大学大学城校区医科楼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highlight w:val="none"/>
                <w:u w:val="singl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highlight w:val="none"/>
                <w:u w:val="single"/>
              </w:rPr>
              <w:t>投标人根据采购人提供的招标文件、清单、图纸等结合现场实际情况、工程性质、特点等要求，采取包施工、包材料、包质量、包工期、包文明施工、包安全、包环境卫生、包验收等总价包干。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color w:val="auto"/>
                <w:szCs w:val="21"/>
                <w:highlight w:val="none"/>
                <w:u w:val="single"/>
              </w:rPr>
              <w:t>符合国家和行业质量验收标准，一次竣工验收合格，达到供电部门送电的要求。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bCs/>
                <w:snapToGrid w:val="0"/>
                <w:color w:val="auto"/>
                <w:kern w:val="0"/>
                <w:highlight w:val="none"/>
                <w:u w:val="single"/>
              </w:rPr>
              <w:t>按招标文件、招标图纸、工程量清单、有关资料及说明，承接本工程，具体内容以招标文件及工程量清单、招标图纸为准。</w:t>
            </w:r>
            <w:r>
              <w:rPr>
                <w:rFonts w:hint="eastAsia"/>
                <w:color w:val="auto"/>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highlight w:val="none"/>
                <w:u w:val="single"/>
              </w:rPr>
              <w:t>本工程总工期</w:t>
            </w:r>
            <w:r>
              <w:rPr>
                <w:rFonts w:hint="eastAsia" w:ascii="宋体" w:hAnsi="宋体" w:cs="宋体"/>
                <w:color w:val="auto"/>
                <w:szCs w:val="21"/>
                <w:highlight w:val="none"/>
                <w:u w:val="single"/>
              </w:rPr>
              <w:t>为90个日历天，计划202</w:t>
            </w:r>
            <w:r>
              <w:rPr>
                <w:rFonts w:ascii="宋体" w:hAnsi="宋体" w:cs="宋体"/>
                <w:color w:val="auto"/>
                <w:szCs w:val="21"/>
                <w:highlight w:val="none"/>
                <w:u w:val="single"/>
              </w:rPr>
              <w:t>3</w:t>
            </w:r>
            <w:r>
              <w:rPr>
                <w:rFonts w:hint="eastAsia" w:ascii="宋体" w:hAnsi="宋体" w:cs="宋体"/>
                <w:color w:val="auto"/>
                <w:szCs w:val="21"/>
                <w:highlight w:val="none"/>
                <w:u w:val="single"/>
              </w:rPr>
              <w:t>年</w:t>
            </w:r>
            <w:r>
              <w:rPr>
                <w:rFonts w:ascii="宋体" w:hAnsi="宋体" w:cs="宋体"/>
                <w:color w:val="auto"/>
                <w:szCs w:val="21"/>
                <w:highlight w:val="none"/>
                <w:u w:val="single"/>
              </w:rPr>
              <w:t>12</w:t>
            </w:r>
            <w:r>
              <w:rPr>
                <w:rFonts w:hint="eastAsia" w:ascii="宋体" w:hAnsi="宋体" w:cs="宋体"/>
                <w:color w:val="auto"/>
                <w:szCs w:val="21"/>
                <w:highlight w:val="none"/>
                <w:u w:val="single"/>
              </w:rPr>
              <w:t>月</w:t>
            </w:r>
            <w:r>
              <w:rPr>
                <w:rFonts w:ascii="宋体" w:hAnsi="宋体" w:cs="宋体"/>
                <w:color w:val="auto"/>
                <w:szCs w:val="21"/>
                <w:highlight w:val="none"/>
                <w:u w:val="single"/>
              </w:rPr>
              <w:t>20</w:t>
            </w:r>
            <w:r>
              <w:rPr>
                <w:rFonts w:hint="eastAsia" w:ascii="宋体" w:hAnsi="宋体" w:cs="宋体"/>
                <w:color w:val="auto"/>
                <w:szCs w:val="21"/>
                <w:highlight w:val="none"/>
                <w:u w:val="single"/>
              </w:rPr>
              <w:t>日开工</w:t>
            </w:r>
            <w:r>
              <w:rPr>
                <w:rFonts w:hint="eastAsia" w:ascii="宋体" w:hAnsi="宋体"/>
                <w:color w:val="auto"/>
                <w:highlight w:val="none"/>
                <w:u w:val="single"/>
              </w:rPr>
              <w:t>，具体开工日期以签发的开工令日期为准，不可抗力因素及甲方原因引起的不能施工，则工期顺延。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highlight w:val="none"/>
                <w:u w:val="single"/>
              </w:rPr>
            </w:pPr>
            <w:r>
              <w:rPr>
                <w:rFonts w:hint="eastAsia" w:ascii="宋体" w:hAnsi="宋体"/>
                <w:color w:val="auto"/>
                <w:highlight w:val="none"/>
                <w:u w:val="single"/>
              </w:rPr>
              <w:t>自筹资金。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工程量清单计价,图纸范围内总价包干。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120</w:t>
            </w:r>
            <w:r>
              <w:rPr>
                <w:rFonts w:hint="eastAsia" w:ascii="宋体" w:hAnsi="宋体"/>
                <w:color w:val="auto"/>
                <w:szCs w:val="21"/>
                <w:highlight w:val="none"/>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是否要求投标人递交投标保证金：</w:t>
            </w:r>
          </w:p>
          <w:p>
            <w:pPr>
              <w:rPr>
                <w:rFonts w:ascii="宋体" w:hAnsi="宋体" w:cs="宋体"/>
                <w:color w:val="auto"/>
                <w:szCs w:val="21"/>
                <w:highlight w:val="none"/>
              </w:rPr>
            </w:pPr>
            <w:r>
              <w:rPr>
                <w:rFonts w:hint="eastAsia" w:ascii="宋体" w:hAnsi="宋体" w:cs="宋体"/>
                <w:color w:val="auto"/>
                <w:szCs w:val="21"/>
                <w:highlight w:val="none"/>
              </w:rPr>
              <w:t xml:space="preserve"> □不要求递交投标保证金。</w:t>
            </w:r>
          </w:p>
          <w:p>
            <w:pPr>
              <w:rPr>
                <w:rFonts w:ascii="宋体" w:hAnsi="宋体" w:cs="宋体"/>
                <w:color w:val="auto"/>
                <w:szCs w:val="21"/>
                <w:highlight w:val="none"/>
              </w:rPr>
            </w:pPr>
            <w:r>
              <w:rPr>
                <w:rFonts w:hint="eastAsia" w:ascii="宋体" w:hAnsi="宋体" w:cs="宋体"/>
                <w:color w:val="auto"/>
                <w:szCs w:val="21"/>
                <w:highlight w:val="none"/>
              </w:rPr>
              <w:t xml:space="preserve"> ■要求递交投标保证金。投标保证金：</w:t>
            </w:r>
            <w:r>
              <w:rPr>
                <w:rFonts w:hint="eastAsia" w:ascii="宋体" w:hAnsi="宋体" w:cs="宋体"/>
                <w:b/>
                <w:color w:val="auto"/>
                <w:szCs w:val="21"/>
                <w:highlight w:val="none"/>
                <w:u w:val="single"/>
              </w:rPr>
              <w:t>5</w:t>
            </w:r>
            <w:r>
              <w:rPr>
                <w:rFonts w:hint="eastAsia" w:ascii="宋体" w:hAnsi="宋体" w:cs="宋体"/>
                <w:b/>
                <w:color w:val="auto"/>
                <w:szCs w:val="21"/>
                <w:highlight w:val="none"/>
              </w:rPr>
              <w:t>万元</w:t>
            </w:r>
            <w:r>
              <w:rPr>
                <w:rFonts w:hint="eastAsia" w:ascii="宋体" w:hAnsi="宋体" w:cs="宋体"/>
                <w:color w:val="auto"/>
                <w:szCs w:val="21"/>
                <w:highlight w:val="none"/>
              </w:rPr>
              <w:t xml:space="preserve">； </w:t>
            </w:r>
          </w:p>
          <w:p>
            <w:pPr>
              <w:rPr>
                <w:rFonts w:ascii="宋体" w:hAnsi="宋体" w:cs="宋体"/>
                <w:color w:val="auto"/>
                <w:szCs w:val="21"/>
                <w:highlight w:val="none"/>
              </w:rPr>
            </w:pPr>
            <w:r>
              <w:rPr>
                <w:rFonts w:hint="eastAsia" w:ascii="宋体" w:hAnsi="宋体" w:cs="宋体"/>
                <w:color w:val="auto"/>
                <w:szCs w:val="21"/>
                <w:highlight w:val="none"/>
              </w:rPr>
              <w:t>投标保证金有效期：</w:t>
            </w:r>
            <w:r>
              <w:rPr>
                <w:rFonts w:hint="eastAsia" w:ascii="宋体" w:hAnsi="宋体" w:cs="宋体"/>
                <w:color w:val="auto"/>
                <w:szCs w:val="21"/>
                <w:highlight w:val="none"/>
                <w:u w:val="single"/>
              </w:rPr>
              <w:t>与投标有效期一致。</w:t>
            </w:r>
          </w:p>
          <w:p>
            <w:pPr>
              <w:rPr>
                <w:rFonts w:ascii="宋体" w:hAnsi="宋体" w:cs="宋体"/>
                <w:color w:val="auto"/>
                <w:szCs w:val="21"/>
                <w:highlight w:val="none"/>
              </w:rPr>
            </w:pPr>
            <w:r>
              <w:rPr>
                <w:rFonts w:hint="eastAsia" w:ascii="宋体" w:hAnsi="宋体" w:cs="宋体"/>
                <w:color w:val="auto"/>
                <w:szCs w:val="21"/>
                <w:highlight w:val="none"/>
              </w:rPr>
              <w:t>缴纳时间：</w:t>
            </w:r>
            <w:r>
              <w:rPr>
                <w:rFonts w:hint="eastAsia" w:ascii="宋体" w:hAnsi="宋体" w:cs="宋体"/>
                <w:color w:val="auto"/>
                <w:szCs w:val="21"/>
                <w:highlight w:val="none"/>
                <w:u w:val="single"/>
              </w:rPr>
              <w:t>递交投标文件截止时间前。</w:t>
            </w:r>
          </w:p>
          <w:p>
            <w:pPr>
              <w:jc w:val="left"/>
              <w:rPr>
                <w:rFonts w:ascii="宋体" w:hAnsi="宋体"/>
                <w:color w:val="auto"/>
                <w:szCs w:val="21"/>
                <w:highlight w:val="none"/>
                <w:u w:val="single"/>
              </w:rPr>
            </w:pPr>
            <w:r>
              <w:rPr>
                <w:rFonts w:hint="eastAsia" w:ascii="宋体" w:hAnsi="宋体" w:cs="宋体"/>
                <w:color w:val="auto"/>
                <w:szCs w:val="21"/>
                <w:highlight w:val="none"/>
                <w:u w:val="single"/>
              </w:rPr>
              <w:t>注：投标保证金相关事宜详见招标文件16款。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 w:val="20"/>
                <w:szCs w:val="21"/>
                <w:highlight w:val="none"/>
              </w:rPr>
            </w:pPr>
            <w:r>
              <w:rPr>
                <w:rFonts w:hint="eastAsia"/>
                <w:color w:val="auto"/>
                <w:highlight w:val="none"/>
              </w:rPr>
              <w:t>招标人不集中组织，投标人自行踏勘。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疑问提交时间：</w:t>
            </w:r>
            <w:r>
              <w:rPr>
                <w:rFonts w:hint="eastAsia"/>
                <w:color w:val="auto"/>
                <w:szCs w:val="21"/>
                <w:highlight w:val="none"/>
                <w:u w:val="single"/>
                <w:lang w:val="en-US" w:eastAsia="zh-CN"/>
              </w:rPr>
              <w:t>2023</w:t>
            </w:r>
            <w:r>
              <w:rPr>
                <w:rFonts w:hint="eastAsia"/>
                <w:color w:val="auto"/>
                <w:szCs w:val="21"/>
                <w:highlight w:val="none"/>
              </w:rPr>
              <w:t>年</w:t>
            </w:r>
            <w:r>
              <w:rPr>
                <w:rFonts w:hint="eastAsia"/>
                <w:color w:val="auto"/>
                <w:szCs w:val="21"/>
                <w:highlight w:val="none"/>
                <w:u w:val="single"/>
                <w:lang w:val="en-US" w:eastAsia="zh-CN"/>
              </w:rPr>
              <w:t>11</w:t>
            </w:r>
            <w:r>
              <w:rPr>
                <w:rFonts w:hint="eastAsia"/>
                <w:color w:val="auto"/>
                <w:szCs w:val="21"/>
                <w:highlight w:val="none"/>
              </w:rPr>
              <w:t>月</w:t>
            </w:r>
            <w:r>
              <w:rPr>
                <w:rFonts w:hint="eastAsia"/>
                <w:color w:val="auto"/>
                <w:szCs w:val="21"/>
                <w:highlight w:val="none"/>
                <w:u w:val="single"/>
                <w:lang w:val="en-US" w:eastAsia="zh-CN"/>
              </w:rPr>
              <w:t>13</w:t>
            </w:r>
            <w:r>
              <w:rPr>
                <w:rFonts w:hint="eastAsia"/>
                <w:color w:val="auto"/>
                <w:szCs w:val="21"/>
                <w:highlight w:val="none"/>
              </w:rPr>
              <w:t>日</w:t>
            </w:r>
            <w:r>
              <w:rPr>
                <w:rFonts w:hint="eastAsia"/>
                <w:color w:val="auto"/>
                <w:szCs w:val="21"/>
                <w:highlight w:val="none"/>
                <w:u w:val="single"/>
                <w:lang w:val="en-US" w:eastAsia="zh-CN"/>
              </w:rPr>
              <w:t>15</w:t>
            </w:r>
            <w:r>
              <w:rPr>
                <w:rFonts w:hint="eastAsia"/>
                <w:color w:val="auto"/>
                <w:szCs w:val="21"/>
                <w:highlight w:val="none"/>
              </w:rPr>
              <w:t>时</w:t>
            </w:r>
            <w:r>
              <w:rPr>
                <w:rFonts w:hint="eastAsia"/>
                <w:color w:val="auto"/>
                <w:szCs w:val="21"/>
                <w:highlight w:val="none"/>
                <w:u w:val="single"/>
                <w:lang w:val="en-US" w:eastAsia="zh-CN"/>
              </w:rPr>
              <w:t>30</w:t>
            </w:r>
            <w:r>
              <w:rPr>
                <w:rFonts w:hint="eastAsia"/>
                <w:color w:val="auto"/>
                <w:szCs w:val="21"/>
                <w:highlight w:val="none"/>
                <w:lang w:val="en-US" w:eastAsia="zh-CN"/>
              </w:rPr>
              <w:t>分</w:t>
            </w:r>
            <w:r>
              <w:rPr>
                <w:rFonts w:hint="eastAsia" w:ascii="宋体" w:hAnsi="宋体"/>
                <w:color w:val="auto"/>
                <w:szCs w:val="21"/>
                <w:highlight w:val="none"/>
              </w:rPr>
              <w:t>前(提交投标文件截止时间18天前)；</w:t>
            </w:r>
          </w:p>
          <w:p>
            <w:pPr>
              <w:rPr>
                <w:rFonts w:ascii="宋体" w:hAnsi="宋体"/>
                <w:color w:val="auto"/>
                <w:szCs w:val="21"/>
                <w:highlight w:val="none"/>
              </w:rPr>
            </w:pPr>
            <w:r>
              <w:rPr>
                <w:rFonts w:hint="eastAsia" w:ascii="宋体" w:hAnsi="宋体"/>
                <w:color w:val="auto"/>
                <w:szCs w:val="21"/>
                <w:highlight w:val="none"/>
              </w:rPr>
              <w:t>形式：投标人的疑问通过广州公共资源交易中心交易平台提交。</w:t>
            </w:r>
          </w:p>
          <w:p>
            <w:pPr>
              <w:rPr>
                <w:rFonts w:ascii="宋体" w:hAnsi="宋体"/>
                <w:color w:val="auto"/>
                <w:szCs w:val="21"/>
                <w:highlight w:val="none"/>
              </w:rPr>
            </w:pPr>
            <w:r>
              <w:rPr>
                <w:rFonts w:hint="eastAsia" w:ascii="宋体" w:hAnsi="宋体"/>
                <w:color w:val="auto"/>
                <w:szCs w:val="21"/>
                <w:highlight w:val="none"/>
              </w:rPr>
              <w:t>网上答疑的操作指南为：登陆广州公共资源交易中心网站→进入交易业务/建设工程 “网上答疑”专区→通过项目编号或名称找到所需的项目→在上述的答疑时间内点击“提问”→登录系统进入到提问区域→无记名或匿名提出问题以及查看所有的问题。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2023年12月1日15时30分</w:t>
            </w:r>
            <w:r>
              <w:rPr>
                <w:rFonts w:hint="eastAsia" w:ascii="宋体" w:hAnsi="宋体"/>
                <w:color w:val="auto"/>
                <w:szCs w:val="21"/>
                <w:highlight w:val="none"/>
              </w:rPr>
              <w:t>（北京时间）。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s="宋体"/>
                <w:bCs/>
                <w:color w:val="auto"/>
                <w:kern w:val="0"/>
                <w:szCs w:val="21"/>
                <w:highlight w:val="none"/>
              </w:rPr>
            </w:pPr>
            <w:r>
              <w:rPr>
                <w:rFonts w:hint="eastAsia" w:ascii="宋体" w:hAnsi="宋体" w:cs="宋体"/>
                <w:bCs/>
                <w:color w:val="auto"/>
                <w:kern w:val="0"/>
                <w:szCs w:val="21"/>
                <w:highlight w:val="none"/>
                <w:lang w:bidi="ar"/>
              </w:rPr>
              <w:t>（技术标和经济标同时开标）</w:t>
            </w:r>
          </w:p>
          <w:p>
            <w:pPr>
              <w:widowControl/>
              <w:jc w:val="left"/>
              <w:rPr>
                <w:rFonts w:ascii="宋体" w:hAnsi="宋体" w:cs="宋体"/>
                <w:bCs/>
                <w:color w:val="auto"/>
                <w:kern w:val="0"/>
                <w:szCs w:val="21"/>
                <w:highlight w:val="none"/>
              </w:rPr>
            </w:pPr>
            <w:r>
              <w:rPr>
                <w:rFonts w:hint="eastAsia" w:ascii="宋体" w:hAnsi="宋体" w:cs="宋体"/>
                <w:bCs/>
                <w:color w:val="auto"/>
                <w:kern w:val="0"/>
                <w:szCs w:val="21"/>
                <w:highlight w:val="none"/>
                <w:lang w:bidi="ar"/>
              </w:rPr>
              <w:t>1、开标开始时间：</w:t>
            </w:r>
            <w:r>
              <w:rPr>
                <w:rFonts w:hint="eastAsia" w:ascii="宋体" w:hAnsi="宋体" w:cs="宋体"/>
                <w:bCs/>
                <w:color w:val="auto"/>
                <w:kern w:val="0"/>
                <w:szCs w:val="21"/>
                <w:highlight w:val="none"/>
                <w:u w:val="single"/>
                <w:lang w:bidi="ar"/>
              </w:rPr>
              <w:t>2023年</w:t>
            </w:r>
            <w:r>
              <w:rPr>
                <w:rFonts w:hint="eastAsia" w:ascii="宋体" w:hAnsi="宋体" w:cs="宋体"/>
                <w:bCs/>
                <w:color w:val="auto"/>
                <w:kern w:val="0"/>
                <w:szCs w:val="21"/>
                <w:highlight w:val="none"/>
                <w:u w:val="single"/>
                <w:lang w:val="en-US" w:eastAsia="zh-CN" w:bidi="ar"/>
              </w:rPr>
              <w:t>12</w:t>
            </w:r>
            <w:r>
              <w:rPr>
                <w:rFonts w:hint="eastAsia" w:ascii="宋体" w:hAnsi="宋体" w:cs="宋体"/>
                <w:bCs/>
                <w:color w:val="auto"/>
                <w:kern w:val="0"/>
                <w:szCs w:val="21"/>
                <w:highlight w:val="none"/>
                <w:u w:val="single"/>
                <w:lang w:bidi="ar"/>
              </w:rPr>
              <w:t>月</w:t>
            </w:r>
            <w:r>
              <w:rPr>
                <w:rFonts w:hint="eastAsia" w:ascii="宋体" w:hAnsi="宋体" w:cs="宋体"/>
                <w:bCs/>
                <w:color w:val="auto"/>
                <w:kern w:val="0"/>
                <w:szCs w:val="21"/>
                <w:highlight w:val="none"/>
                <w:u w:val="single"/>
                <w:lang w:val="en-US" w:eastAsia="zh-CN" w:bidi="ar"/>
              </w:rPr>
              <w:t>1</w:t>
            </w:r>
            <w:r>
              <w:rPr>
                <w:rFonts w:hint="eastAsia" w:ascii="宋体" w:hAnsi="宋体" w:cs="宋体"/>
                <w:bCs/>
                <w:color w:val="auto"/>
                <w:kern w:val="0"/>
                <w:szCs w:val="21"/>
                <w:highlight w:val="none"/>
                <w:u w:val="single"/>
                <w:lang w:bidi="ar"/>
              </w:rPr>
              <w:t>日</w:t>
            </w:r>
            <w:r>
              <w:rPr>
                <w:rFonts w:hint="eastAsia" w:ascii="宋体" w:hAnsi="宋体" w:cs="宋体"/>
                <w:bCs/>
                <w:color w:val="auto"/>
                <w:kern w:val="0"/>
                <w:szCs w:val="21"/>
                <w:highlight w:val="none"/>
                <w:u w:val="single"/>
                <w:lang w:val="en-US" w:eastAsia="zh-CN" w:bidi="ar"/>
              </w:rPr>
              <w:t>15</w:t>
            </w:r>
            <w:r>
              <w:rPr>
                <w:rFonts w:hint="eastAsia" w:ascii="宋体" w:hAnsi="宋体" w:cs="宋体"/>
                <w:bCs/>
                <w:color w:val="auto"/>
                <w:kern w:val="0"/>
                <w:szCs w:val="21"/>
                <w:highlight w:val="none"/>
                <w:u w:val="single"/>
                <w:lang w:bidi="ar"/>
              </w:rPr>
              <w:t>时</w:t>
            </w:r>
            <w:r>
              <w:rPr>
                <w:rFonts w:hint="eastAsia" w:ascii="宋体" w:hAnsi="宋体" w:cs="宋体"/>
                <w:bCs/>
                <w:color w:val="auto"/>
                <w:kern w:val="0"/>
                <w:szCs w:val="21"/>
                <w:highlight w:val="none"/>
                <w:u w:val="single"/>
                <w:lang w:val="en-US" w:eastAsia="zh-CN" w:bidi="ar"/>
              </w:rPr>
              <w:t>30</w:t>
            </w:r>
            <w:r>
              <w:rPr>
                <w:rFonts w:hint="eastAsia" w:ascii="宋体" w:hAnsi="宋体" w:cs="宋体"/>
                <w:bCs/>
                <w:color w:val="auto"/>
                <w:kern w:val="0"/>
                <w:szCs w:val="21"/>
                <w:highlight w:val="none"/>
                <w:u w:val="single"/>
                <w:lang w:bidi="ar"/>
              </w:rPr>
              <w:t>分（</w:t>
            </w:r>
            <w:r>
              <w:rPr>
                <w:rFonts w:hint="eastAsia" w:ascii="宋体" w:hAnsi="宋体" w:cs="宋体"/>
                <w:bCs/>
                <w:color w:val="auto"/>
                <w:kern w:val="0"/>
                <w:szCs w:val="21"/>
                <w:highlight w:val="none"/>
                <w:lang w:bidi="ar"/>
              </w:rPr>
              <w:t>与投标截止时间为同一时间），地点：</w:t>
            </w:r>
            <w:r>
              <w:rPr>
                <w:rFonts w:hint="eastAsia" w:ascii="宋体" w:hAnsi="宋体" w:cs="宋体"/>
                <w:bCs/>
                <w:color w:val="auto"/>
                <w:kern w:val="0"/>
                <w:szCs w:val="21"/>
                <w:highlight w:val="none"/>
                <w:u w:val="single"/>
                <w:lang w:bidi="ar"/>
              </w:rPr>
              <w:t>广州交易集团有限公司（广州公共资源交易中心）开标室,具体安排请投标人自行登陆“http://www.gzggzy.cn/xmcxjsgc/index.jhtml”进行查询</w:t>
            </w:r>
            <w:r>
              <w:rPr>
                <w:rFonts w:hint="eastAsia" w:ascii="宋体" w:hAnsi="宋体" w:cs="宋体"/>
                <w:bCs/>
                <w:color w:val="auto"/>
                <w:kern w:val="0"/>
                <w:szCs w:val="21"/>
                <w:highlight w:val="none"/>
                <w:lang w:bidi="ar"/>
              </w:rPr>
              <w:t>。</w:t>
            </w:r>
            <w:r>
              <w:rPr>
                <w:rFonts w:hint="eastAsia" w:ascii="宋体" w:hAnsi="宋体" w:cs="宋体"/>
                <w:b/>
                <w:color w:val="auto"/>
                <w:kern w:val="0"/>
                <w:szCs w:val="21"/>
                <w:highlight w:val="none"/>
                <w:lang w:bidi="ar"/>
              </w:rPr>
              <w:t>投标人也可选择参加在线开标，具体按照交易平台相关指南进行操作。详见：</w:t>
            </w:r>
            <w:r>
              <w:rPr>
                <w:rFonts w:hint="eastAsia" w:ascii="宋体" w:hAnsi="宋体" w:cs="宋体"/>
                <w:b/>
                <w:color w:val="auto"/>
                <w:kern w:val="0"/>
                <w:szCs w:val="21"/>
                <w:highlight w:val="none"/>
                <w:u w:val="single"/>
                <w:lang w:bidi="ar"/>
              </w:rPr>
              <w:t>《房屋建筑和市政基础设施工程全流程电子化项目专章》</w:t>
            </w:r>
            <w:r>
              <w:rPr>
                <w:rFonts w:hint="eastAsia" w:ascii="宋体" w:hAnsi="宋体" w:cs="宋体"/>
                <w:b/>
                <w:color w:val="auto"/>
                <w:kern w:val="0"/>
                <w:szCs w:val="21"/>
                <w:highlight w:val="none"/>
                <w:lang w:bidi="ar"/>
              </w:rPr>
              <w:t>。</w:t>
            </w:r>
          </w:p>
          <w:p>
            <w:pPr>
              <w:widowControl/>
              <w:jc w:val="left"/>
              <w:rPr>
                <w:rFonts w:ascii="宋体" w:hAnsi="宋体" w:cs="宋体"/>
                <w:bCs/>
                <w:color w:val="auto"/>
                <w:kern w:val="0"/>
                <w:szCs w:val="21"/>
                <w:highlight w:val="none"/>
              </w:rPr>
            </w:pPr>
            <w:r>
              <w:rPr>
                <w:rFonts w:hint="eastAsia" w:ascii="宋体" w:hAnsi="宋体" w:cs="宋体"/>
                <w:bCs/>
                <w:color w:val="auto"/>
                <w:kern w:val="0"/>
                <w:szCs w:val="21"/>
                <w:highlight w:val="none"/>
                <w:lang w:bidi="ar"/>
              </w:rPr>
              <w:t>注：投标文件解密问题。投标人只用执行一次解密，招标人执行解密次数根据招标文件开标次数确定。</w:t>
            </w:r>
          </w:p>
          <w:p>
            <w:pPr>
              <w:widowControl/>
              <w:jc w:val="left"/>
              <w:rPr>
                <w:rFonts w:ascii="宋体" w:hAnsi="宋体" w:cs="宋体"/>
                <w:bCs/>
                <w:color w:val="auto"/>
                <w:kern w:val="0"/>
                <w:szCs w:val="21"/>
                <w:highlight w:val="none"/>
              </w:rPr>
            </w:pPr>
            <w:r>
              <w:rPr>
                <w:rFonts w:hint="eastAsia" w:ascii="宋体" w:hAnsi="宋体" w:cs="宋体"/>
                <w:bCs/>
                <w:color w:val="auto"/>
                <w:kern w:val="0"/>
                <w:szCs w:val="21"/>
                <w:highlight w:val="none"/>
                <w:lang w:bidi="ar"/>
              </w:rPr>
              <w:t>2、递交投标文件备用光盘时间：</w:t>
            </w:r>
            <w:r>
              <w:rPr>
                <w:rFonts w:hint="eastAsia" w:ascii="宋体" w:hAnsi="宋体" w:cs="宋体"/>
                <w:bCs/>
                <w:color w:val="auto"/>
                <w:kern w:val="0"/>
                <w:szCs w:val="21"/>
                <w:highlight w:val="none"/>
                <w:u w:val="single"/>
                <w:lang w:bidi="ar"/>
              </w:rPr>
              <w:t>2023年12月1日15时</w:t>
            </w:r>
            <w:r>
              <w:rPr>
                <w:rFonts w:hint="eastAsia" w:ascii="宋体" w:hAnsi="宋体" w:cs="宋体"/>
                <w:bCs/>
                <w:color w:val="auto"/>
                <w:kern w:val="0"/>
                <w:szCs w:val="21"/>
                <w:highlight w:val="none"/>
                <w:u w:val="single"/>
                <w:lang w:val="en-US" w:eastAsia="zh-CN" w:bidi="ar"/>
              </w:rPr>
              <w:t>15</w:t>
            </w:r>
            <w:r>
              <w:rPr>
                <w:rFonts w:hint="eastAsia" w:ascii="宋体" w:hAnsi="宋体" w:cs="宋体"/>
                <w:bCs/>
                <w:color w:val="auto"/>
                <w:kern w:val="0"/>
                <w:szCs w:val="21"/>
                <w:highlight w:val="none"/>
                <w:u w:val="single"/>
                <w:lang w:bidi="ar"/>
              </w:rPr>
              <w:t>分</w:t>
            </w:r>
            <w:r>
              <w:rPr>
                <w:rFonts w:hint="eastAsia" w:ascii="宋体" w:hAnsi="宋体" w:cs="宋体"/>
                <w:bCs/>
                <w:color w:val="auto"/>
                <w:kern w:val="0"/>
                <w:szCs w:val="21"/>
                <w:highlight w:val="none"/>
                <w:lang w:bidi="ar"/>
              </w:rPr>
              <w:t>至</w:t>
            </w:r>
            <w:r>
              <w:rPr>
                <w:rFonts w:hint="eastAsia" w:ascii="宋体" w:hAnsi="宋体" w:cs="宋体"/>
                <w:bCs/>
                <w:color w:val="auto"/>
                <w:kern w:val="0"/>
                <w:szCs w:val="21"/>
                <w:highlight w:val="none"/>
                <w:u w:val="single"/>
                <w:lang w:bidi="ar"/>
              </w:rPr>
              <w:t>2023年12月1日15时</w:t>
            </w:r>
            <w:r>
              <w:rPr>
                <w:rFonts w:hint="eastAsia" w:ascii="宋体" w:hAnsi="宋体" w:cs="宋体"/>
                <w:bCs/>
                <w:color w:val="auto"/>
                <w:kern w:val="0"/>
                <w:szCs w:val="21"/>
                <w:highlight w:val="none"/>
                <w:u w:val="single"/>
                <w:lang w:val="en-US" w:eastAsia="zh-CN" w:bidi="ar"/>
              </w:rPr>
              <w:t>30</w:t>
            </w:r>
            <w:r>
              <w:rPr>
                <w:rFonts w:hint="eastAsia" w:ascii="宋体" w:hAnsi="宋体" w:cs="宋体"/>
                <w:bCs/>
                <w:color w:val="auto"/>
                <w:kern w:val="0"/>
                <w:szCs w:val="21"/>
                <w:highlight w:val="none"/>
                <w:u w:val="single"/>
                <w:lang w:bidi="ar"/>
              </w:rPr>
              <w:t>分</w:t>
            </w:r>
            <w:r>
              <w:rPr>
                <w:rFonts w:hint="eastAsia" w:ascii="宋体" w:hAnsi="宋体" w:cs="宋体"/>
                <w:bCs/>
                <w:color w:val="auto"/>
                <w:kern w:val="0"/>
                <w:szCs w:val="21"/>
                <w:highlight w:val="none"/>
                <w:lang w:bidi="ar"/>
              </w:rPr>
              <w:t>；递交地点：</w:t>
            </w:r>
            <w:r>
              <w:rPr>
                <w:rFonts w:hint="eastAsia" w:ascii="宋体" w:hAnsi="宋体" w:cs="宋体"/>
                <w:bCs/>
                <w:color w:val="auto"/>
                <w:kern w:val="0"/>
                <w:szCs w:val="21"/>
                <w:highlight w:val="none"/>
                <w:u w:val="single"/>
                <w:lang w:bidi="ar"/>
              </w:rPr>
              <w:t>广州交易集团有限公司（广州公共资源交易中心）开标室,具体安排请投标人自行登陆“http://www.gzggzy.cn/xmcxjsgc/index.jhtml”进行查询</w:t>
            </w:r>
            <w:r>
              <w:rPr>
                <w:rFonts w:hint="eastAsia" w:ascii="宋体" w:hAnsi="宋体" w:cs="宋体"/>
                <w:bCs/>
                <w:color w:val="auto"/>
                <w:kern w:val="0"/>
                <w:szCs w:val="21"/>
                <w:highlight w:val="none"/>
                <w:lang w:bidi="ar"/>
              </w:rPr>
              <w:t>。</w:t>
            </w:r>
            <w:r>
              <w:rPr>
                <w:rFonts w:hint="eastAsia" w:ascii="宋体" w:hAnsi="宋体"/>
                <w:color w:val="auto"/>
                <w:highlight w:val="none"/>
                <w:u w:val="single"/>
              </w:rPr>
              <w:t>注：投标人</w:t>
            </w:r>
            <w:r>
              <w:rPr>
                <w:rFonts w:hint="eastAsia" w:ascii="宋体" w:hAnsi="宋体"/>
                <w:color w:val="auto"/>
                <w:szCs w:val="21"/>
                <w:highlight w:val="none"/>
                <w:u w:val="single"/>
              </w:rPr>
              <w:t>应凭法定代表人证明书及法定代表人授权委托书（如适用）递交投标文件备用光盘。</w:t>
            </w:r>
            <w:r>
              <w:rPr>
                <w:rFonts w:hint="eastAsia" w:ascii="宋体" w:hAnsi="宋体" w:cs="宋体"/>
                <w:bCs/>
                <w:color w:val="auto"/>
                <w:kern w:val="0"/>
                <w:szCs w:val="21"/>
                <w:highlight w:val="none"/>
                <w:lang w:bidi="ar"/>
              </w:rPr>
              <w:t>(建议安排在投标文件截止时间前15分钟至投标文件截止时间）</w:t>
            </w:r>
          </w:p>
          <w:p>
            <w:pPr>
              <w:rPr>
                <w:rFonts w:ascii="宋体" w:hAnsi="宋体"/>
                <w:color w:val="auto"/>
                <w:szCs w:val="21"/>
                <w:highlight w:val="none"/>
              </w:rPr>
            </w:pPr>
            <w:r>
              <w:rPr>
                <w:rFonts w:hint="eastAsia" w:ascii="宋体" w:hAnsi="宋体" w:cs="宋体"/>
                <w:bCs/>
                <w:color w:val="auto"/>
                <w:kern w:val="0"/>
                <w:szCs w:val="21"/>
                <w:highlight w:val="none"/>
                <w:lang w:bidi="ar"/>
              </w:rPr>
              <w:t>上述时间及地点是否有改变，请密切留意</w:t>
            </w:r>
            <w:r>
              <w:rPr>
                <w:rFonts w:hint="eastAsia" w:ascii="宋体" w:hAnsi="宋体" w:cs="宋体"/>
                <w:color w:val="auto"/>
                <w:kern w:val="0"/>
                <w:szCs w:val="21"/>
                <w:highlight w:val="none"/>
                <w:lang w:bidi="ar"/>
              </w:rPr>
              <w:t>补充公告和</w:t>
            </w:r>
            <w:r>
              <w:rPr>
                <w:rFonts w:hint="eastAsia" w:ascii="宋体" w:hAnsi="宋体" w:cs="宋体"/>
                <w:bCs/>
                <w:color w:val="auto"/>
                <w:kern w:val="0"/>
                <w:szCs w:val="21"/>
                <w:highlight w:val="none"/>
                <w:lang w:bidi="ar"/>
              </w:rPr>
              <w:t>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8"/>
              <w:ind w:firstLine="0"/>
              <w:rPr>
                <w:rFonts w:ascii="宋体" w:hAnsi="宋体"/>
                <w:color w:val="auto"/>
                <w:szCs w:val="21"/>
                <w:highlight w:val="none"/>
              </w:rPr>
            </w:pPr>
            <w:r>
              <w:rPr>
                <w:rFonts w:hint="eastAsia" w:ascii="宋体" w:hAnsi="宋体"/>
                <w:color w:val="auto"/>
                <w:szCs w:val="21"/>
                <w:highlight w:val="none"/>
              </w:rPr>
              <w:t>方式一：选取方法</w:t>
            </w:r>
            <w:r>
              <w:rPr>
                <w:rFonts w:hint="eastAsia" w:ascii="宋体" w:hAnsi="宋体"/>
                <w:color w:val="auto"/>
                <w:szCs w:val="21"/>
                <w:highlight w:val="none"/>
                <w:u w:val="single"/>
              </w:rPr>
              <w:t xml:space="preserve"> 七（适合综合评分办法四，技术标与经济标同时开启）</w:t>
            </w:r>
            <w:r>
              <w:rPr>
                <w:rFonts w:hint="eastAsia" w:ascii="宋体" w:hAnsi="宋体"/>
                <w:color w:val="auto"/>
                <w:szCs w:val="21"/>
                <w:highlight w:val="none"/>
              </w:rPr>
              <w:t>；</w:t>
            </w:r>
          </w:p>
          <w:p>
            <w:pPr>
              <w:spacing w:after="120"/>
              <w:ind w:firstLine="420" w:firstLineChars="200"/>
              <w:rPr>
                <w:rFonts w:ascii="宋体" w:hAnsi="宋体"/>
                <w:b/>
                <w:color w:val="auto"/>
                <w:szCs w:val="21"/>
                <w:highlight w:val="none"/>
                <w:u w:val="single"/>
              </w:rPr>
            </w:pPr>
            <w:r>
              <w:rPr>
                <w:rFonts w:hint="eastAsia" w:ascii="宋体" w:hAnsi="宋体"/>
                <w:color w:val="auto"/>
                <w:szCs w:val="21"/>
                <w:highlight w:val="none"/>
                <w:u w:val="single"/>
              </w:rPr>
              <w:t>投标人总得分=技术得分×技术得分权重（20%）＋经济得分×经济得分权重（80%）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rPr>
                <w:color w:val="auto"/>
                <w:highlight w:val="none"/>
              </w:rPr>
            </w:pPr>
            <w:r>
              <w:rPr>
                <w:rFonts w:hint="eastAsia"/>
                <w:color w:val="auto"/>
                <w:highlight w:val="none"/>
              </w:rPr>
              <w:t>方式一：中标人提供的履约保证金为中标价款的</w:t>
            </w:r>
            <w:r>
              <w:rPr>
                <w:rFonts w:hint="eastAsia" w:ascii="宋体" w:hAnsi="宋体"/>
                <w:color w:val="auto"/>
                <w:highlight w:val="none"/>
              </w:rPr>
              <w:t>10%。</w:t>
            </w:r>
            <w:r>
              <w:rPr>
                <w:rFonts w:hint="eastAsia"/>
                <w:color w:val="auto"/>
                <w:highlight w:val="none"/>
              </w:rPr>
              <w:t>（具体形式详见合同）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本项目最高投标限价为人民币5899547.95元。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本项目绿色施工安全防护措施费为</w:t>
            </w:r>
            <w:r>
              <w:rPr>
                <w:rFonts w:hint="eastAsia" w:ascii="宋体" w:hAnsi="宋体"/>
                <w:color w:val="auto"/>
                <w:szCs w:val="21"/>
                <w:highlight w:val="none"/>
                <w:u w:val="single"/>
                <w:lang w:bidi="ar"/>
              </w:rPr>
              <w:t>87513.57</w:t>
            </w:r>
            <w:r>
              <w:rPr>
                <w:rFonts w:hint="eastAsia" w:ascii="宋体" w:hAnsi="宋体"/>
                <w:color w:val="auto"/>
                <w:szCs w:val="21"/>
                <w:highlight w:val="none"/>
              </w:rPr>
              <w:t>元，暂列金额为</w:t>
            </w:r>
            <w:r>
              <w:rPr>
                <w:rFonts w:hint="eastAsia" w:ascii="宋体" w:hAnsi="宋体"/>
                <w:color w:val="auto"/>
                <w:szCs w:val="21"/>
                <w:highlight w:val="none"/>
                <w:u w:val="single"/>
                <w:lang w:bidi="ar"/>
              </w:rPr>
              <w:t xml:space="preserve">479683.29 </w:t>
            </w:r>
            <w:r>
              <w:rPr>
                <w:rFonts w:hint="eastAsia" w:ascii="宋体" w:hAnsi="宋体"/>
                <w:color w:val="auto"/>
                <w:szCs w:val="21"/>
                <w:highlight w:val="none"/>
              </w:rPr>
              <w:t xml:space="preserve">元，暂估价为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after="120"/>
              <w:rPr>
                <w:rFonts w:ascii="宋体" w:hAnsi="宋体"/>
                <w:color w:val="auto"/>
                <w:szCs w:val="21"/>
                <w:highlight w:val="none"/>
              </w:rPr>
            </w:pPr>
            <w:r>
              <w:rPr>
                <w:rFonts w:hint="eastAsia" w:ascii="宋体" w:hAnsi="宋体"/>
                <w:color w:val="auto"/>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计算评标参考价的等分点值</w:t>
            </w:r>
            <w:r>
              <w:rPr>
                <w:rFonts w:ascii="宋体" w:hAnsi="宋体"/>
                <w:strike/>
                <w:color w:val="auto"/>
                <w:szCs w:val="21"/>
                <w:highlight w:val="none"/>
              </w:rPr>
              <w:t>X</w:t>
            </w:r>
            <w:r>
              <w:rPr>
                <w:rFonts w:hint="eastAsia" w:ascii="宋体" w:hAnsi="宋体"/>
                <w:strike/>
                <w:color w:val="auto"/>
                <w:szCs w:val="21"/>
                <w:highlight w:val="none"/>
              </w:rPr>
              <w:t>在开标前从[0,100]的整数中随机抽取。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after="120"/>
              <w:rPr>
                <w:rFonts w:ascii="宋体" w:hAnsi="宋体"/>
                <w:color w:val="auto"/>
                <w:szCs w:val="21"/>
                <w:highlight w:val="none"/>
              </w:rPr>
            </w:pPr>
            <w:r>
              <w:rPr>
                <w:rFonts w:hint="eastAsia" w:ascii="宋体" w:hAnsi="宋体"/>
                <w:strike/>
                <w:color w:val="auto"/>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fldChar w:fldCharType="begin"/>
            </w:r>
            <w:r>
              <w:rPr>
                <w:rFonts w:hint="eastAsia" w:ascii="宋体" w:hAnsi="宋体"/>
                <w:strike/>
                <w:color w:val="auto"/>
                <w:szCs w:val="21"/>
                <w:highlight w:val="none"/>
              </w:rPr>
              <w:instrText xml:space="preserve"> = 1 \* GB3 </w:instrText>
            </w:r>
            <w:r>
              <w:rPr>
                <w:rFonts w:hint="eastAsia" w:ascii="宋体" w:hAnsi="宋体"/>
                <w:strike/>
                <w:color w:val="auto"/>
                <w:szCs w:val="21"/>
                <w:highlight w:val="none"/>
              </w:rPr>
              <w:fldChar w:fldCharType="separate"/>
            </w:r>
            <w:r>
              <w:rPr>
                <w:rFonts w:hint="eastAsia" w:ascii="宋体" w:hAnsi="宋体"/>
                <w:strike/>
                <w:color w:val="auto"/>
                <w:szCs w:val="21"/>
                <w:highlight w:val="none"/>
              </w:rPr>
              <w:t>①</w:t>
            </w:r>
            <w:r>
              <w:rPr>
                <w:rFonts w:hint="eastAsia" w:ascii="宋体" w:hAnsi="宋体"/>
                <w:strike/>
                <w:color w:val="auto"/>
                <w:szCs w:val="21"/>
                <w:highlight w:val="none"/>
              </w:rPr>
              <w:fldChar w:fldCharType="end"/>
            </w:r>
            <w:r>
              <w:rPr>
                <w:rFonts w:hint="eastAsia" w:ascii="宋体" w:hAnsi="宋体"/>
                <w:strike/>
                <w:color w:val="auto"/>
                <w:szCs w:val="21"/>
                <w:highlight w:val="none"/>
              </w:rPr>
              <w:t>通过技术有效性审查的投标人均进入第二阶段（适用于通过技术有效性审查家数在[3,</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]中的）。</w:t>
            </w:r>
          </w:p>
          <w:p>
            <w:pPr>
              <w:rPr>
                <w:rFonts w:ascii="宋体" w:hAnsi="宋体"/>
                <w:strike/>
                <w:color w:val="auto"/>
                <w:szCs w:val="21"/>
                <w:highlight w:val="none"/>
              </w:rPr>
            </w:pPr>
            <w:r>
              <w:rPr>
                <w:rFonts w:hint="eastAsia" w:ascii="宋体" w:hAnsi="宋体"/>
                <w:strike/>
                <w:color w:val="auto"/>
                <w:szCs w:val="21"/>
                <w:highlight w:val="none"/>
              </w:rPr>
              <w:fldChar w:fldCharType="begin"/>
            </w:r>
            <w:r>
              <w:rPr>
                <w:rFonts w:hint="eastAsia" w:ascii="宋体" w:hAnsi="宋体"/>
                <w:strike/>
                <w:color w:val="auto"/>
                <w:szCs w:val="21"/>
                <w:highlight w:val="none"/>
              </w:rPr>
              <w:instrText xml:space="preserve"> = 2 \* GB3 </w:instrText>
            </w:r>
            <w:r>
              <w:rPr>
                <w:rFonts w:hint="eastAsia" w:ascii="宋体" w:hAnsi="宋体"/>
                <w:strike/>
                <w:color w:val="auto"/>
                <w:szCs w:val="21"/>
                <w:highlight w:val="none"/>
              </w:rPr>
              <w:fldChar w:fldCharType="separate"/>
            </w:r>
            <w:r>
              <w:rPr>
                <w:rFonts w:hint="eastAsia" w:ascii="宋体" w:hAnsi="宋体"/>
                <w:strike/>
                <w:color w:val="auto"/>
                <w:szCs w:val="21"/>
                <w:highlight w:val="none"/>
              </w:rPr>
              <w:t>②</w:t>
            </w:r>
            <w:r>
              <w:rPr>
                <w:rFonts w:hint="eastAsia" w:ascii="宋体" w:hAnsi="宋体"/>
                <w:strike/>
                <w:color w:val="auto"/>
                <w:szCs w:val="21"/>
                <w:highlight w:val="none"/>
              </w:rPr>
              <w:fldChar w:fldCharType="end"/>
            </w:r>
            <w:r>
              <w:rPr>
                <w:rFonts w:hint="eastAsia" w:ascii="宋体" w:hAnsi="宋体"/>
                <w:strike/>
                <w:color w:val="auto"/>
                <w:szCs w:val="21"/>
                <w:highlight w:val="none"/>
              </w:rPr>
              <w:t>将第一阶段得分由高至低排序，前</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名投标人进入第二阶段评审（适用于通过技术有效性审查家数大于</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家的，招标人可根据工程具体情况，确定不少于</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家进入第二阶段）。</w:t>
            </w:r>
          </w:p>
          <w:p>
            <w:pPr>
              <w:rPr>
                <w:rFonts w:ascii="宋体" w:hAnsi="宋体"/>
                <w:color w:val="auto"/>
                <w:szCs w:val="21"/>
                <w:highlight w:val="none"/>
              </w:rPr>
            </w:pPr>
            <w:r>
              <w:rPr>
                <w:rFonts w:hint="eastAsia" w:ascii="宋体" w:hAnsi="宋体"/>
                <w:strike/>
                <w:color w:val="auto"/>
                <w:szCs w:val="21"/>
                <w:highlight w:val="none"/>
              </w:rPr>
              <w:t>注：本款适用于选择评标办法一至评标办法六。进入第二阶段的投标人家数应符合</w:t>
            </w:r>
            <w:r>
              <w:rPr>
                <w:rFonts w:hint="eastAsia" w:ascii="宋体" w:hAnsi="宋体" w:cs="仿宋_GB2312"/>
                <w:strike/>
                <w:color w:val="auto"/>
                <w:szCs w:val="21"/>
                <w:highlight w:val="none"/>
              </w:rPr>
              <w:t>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工程成本警戒价为</w:t>
            </w:r>
            <w:r>
              <w:rPr>
                <w:rFonts w:hint="eastAsia" w:ascii="宋体" w:hAnsi="宋体"/>
                <w:color w:val="auto"/>
                <w:szCs w:val="21"/>
                <w:highlight w:val="none"/>
                <w:u w:val="single"/>
              </w:rPr>
              <w:t>5</w:t>
            </w:r>
            <w:r>
              <w:rPr>
                <w:rFonts w:ascii="宋体" w:hAnsi="宋体"/>
                <w:color w:val="auto"/>
                <w:szCs w:val="21"/>
                <w:highlight w:val="none"/>
                <w:u w:val="single"/>
              </w:rPr>
              <w:t>309592.71</w:t>
            </w:r>
            <w:r>
              <w:rPr>
                <w:rFonts w:hint="eastAsia" w:ascii="宋体" w:hAnsi="宋体"/>
                <w:color w:val="auto"/>
                <w:szCs w:val="21"/>
                <w:highlight w:val="none"/>
              </w:rPr>
              <w:t>元</w:t>
            </w:r>
            <w:r>
              <w:rPr>
                <w:rFonts w:hint="eastAsia" w:ascii="宋体" w:hAnsi="宋体" w:cs="宋体"/>
                <w:color w:val="auto"/>
                <w:szCs w:val="21"/>
                <w:highlight w:val="none"/>
              </w:rPr>
              <w:t>（按最高投标限价的9</w:t>
            </w:r>
            <w:r>
              <w:rPr>
                <w:rFonts w:ascii="宋体" w:hAnsi="宋体" w:cs="宋体"/>
                <w:color w:val="auto"/>
                <w:szCs w:val="21"/>
                <w:highlight w:val="none"/>
              </w:rPr>
              <w:t>0</w:t>
            </w:r>
            <w:r>
              <w:rPr>
                <w:rFonts w:hint="eastAsia" w:ascii="宋体" w:hAnsi="宋体" w:cs="宋体"/>
                <w:color w:val="auto"/>
                <w:szCs w:val="21"/>
                <w:highlight w:val="none"/>
              </w:rPr>
              <w:t>%设置）</w:t>
            </w:r>
            <w:r>
              <w:rPr>
                <w:rFonts w:hint="eastAsia" w:ascii="宋体" w:hAnsi="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auto"/>
                <w:szCs w:val="21"/>
                <w:highlight w:val="none"/>
                <w:u w:val="single"/>
              </w:rPr>
            </w:pPr>
            <w:r>
              <w:rPr>
                <w:rFonts w:hint="eastAsia" w:ascii="宋体" w:hAnsi="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strike/>
                <w:color w:val="auto"/>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20" w:lineRule="exact"/>
              <w:rPr>
                <w:strike/>
                <w:color w:val="auto"/>
                <w:szCs w:val="21"/>
                <w:highlight w:val="none"/>
              </w:rPr>
            </w:pPr>
            <w:r>
              <w:rPr>
                <w:rFonts w:hint="eastAsia"/>
                <w:strike/>
                <w:color w:val="auto"/>
                <w:szCs w:val="21"/>
                <w:highlight w:val="none"/>
              </w:rPr>
              <w:t>技术分权重为    %，综合诚信评价分数权重为    %。</w:t>
            </w:r>
          </w:p>
          <w:p>
            <w:pPr>
              <w:spacing w:line="320" w:lineRule="exact"/>
              <w:rPr>
                <w:rFonts w:ascii="宋体" w:hAnsi="宋体"/>
                <w:color w:val="auto"/>
                <w:szCs w:val="21"/>
                <w:highlight w:val="none"/>
              </w:rPr>
            </w:pPr>
            <w:r>
              <w:rPr>
                <w:rFonts w:hint="eastAsia"/>
                <w:strike/>
                <w:color w:val="auto"/>
                <w:szCs w:val="21"/>
                <w:highlight w:val="none"/>
              </w:rPr>
              <w:t>注：综合诚信评价得分权重按《关于诚信综合评价在招标投标环节中应用的指引》（招标投标指引2020年第6期）规定执行，招标人可在[0,20%]选择。技术分权重=100%-综合诚信评价得分权重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strike/>
                <w:color w:val="auto"/>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strike/>
                <w:color w:val="auto"/>
                <w:szCs w:val="21"/>
                <w:highlight w:val="none"/>
              </w:rPr>
              <w:t>本项目的企业综合诚信评价分数，以</w:t>
            </w:r>
            <w:r>
              <w:rPr>
                <w:strike/>
                <w:color w:val="auto"/>
                <w:szCs w:val="21"/>
                <w:highlight w:val="none"/>
              </w:rPr>
              <w:t xml:space="preserve">    </w:t>
            </w:r>
            <w:r>
              <w:rPr>
                <w:rFonts w:hint="eastAsia"/>
                <w:strike/>
                <w:color w:val="auto"/>
                <w:szCs w:val="21"/>
                <w:highlight w:val="none"/>
              </w:rPr>
              <w:t>排名为准。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s="宋体"/>
                <w:color w:val="auto"/>
                <w:szCs w:val="21"/>
                <w:highlight w:val="none"/>
              </w:rPr>
            </w:pPr>
            <w:r>
              <w:rPr>
                <w:rFonts w:hint="eastAsia"/>
                <w:strike/>
                <w:color w:val="auto"/>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strike/>
                <w:color w:val="auto"/>
                <w:szCs w:val="21"/>
                <w:highlight w:val="none"/>
              </w:rPr>
            </w:pPr>
            <w:r>
              <w:rPr>
                <w:rFonts w:hint="eastAsia"/>
                <w:strike/>
                <w:color w:val="auto"/>
                <w:szCs w:val="21"/>
                <w:highlight w:val="none"/>
              </w:rPr>
              <w:t>选取方法</w:t>
            </w:r>
            <w:r>
              <w:rPr>
                <w:strike/>
                <w:color w:val="auto"/>
                <w:szCs w:val="21"/>
                <w:highlight w:val="none"/>
                <w:u w:val="single"/>
              </w:rPr>
              <w:t xml:space="preserve">     </w:t>
            </w:r>
          </w:p>
          <w:p>
            <w:pPr>
              <w:rPr>
                <w:strike/>
                <w:color w:val="auto"/>
                <w:szCs w:val="21"/>
                <w:highlight w:val="none"/>
              </w:rPr>
            </w:pPr>
            <w:r>
              <w:rPr>
                <w:rFonts w:hint="eastAsia"/>
                <w:strike/>
                <w:color w:val="auto"/>
                <w:szCs w:val="21"/>
                <w:highlight w:val="none"/>
              </w:rPr>
              <w:t>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w:t>
            </w:r>
            <w:r>
              <w:rPr>
                <w:strike/>
                <w:color w:val="auto"/>
                <w:szCs w:val="21"/>
                <w:highlight w:val="none"/>
              </w:rPr>
              <w:t xml:space="preserve"> </w:t>
            </w:r>
          </w:p>
          <w:p>
            <w:pPr>
              <w:rPr>
                <w:strike/>
                <w:color w:val="auto"/>
                <w:szCs w:val="21"/>
                <w:highlight w:val="none"/>
              </w:rPr>
            </w:pPr>
            <w:r>
              <w:rPr>
                <w:rFonts w:hint="eastAsia"/>
                <w:strike/>
                <w:color w:val="auto"/>
                <w:szCs w:val="21"/>
                <w:highlight w:val="none"/>
              </w:rPr>
              <w:t>方法二：将进入第二阶段投标人的投标报价按大于或小于等于工程成本警戒价的标准分为</w:t>
            </w:r>
            <w:r>
              <w:rPr>
                <w:strike/>
                <w:color w:val="auto"/>
                <w:szCs w:val="21"/>
                <w:highlight w:val="none"/>
              </w:rPr>
              <w:t>2</w:t>
            </w:r>
            <w:r>
              <w:rPr>
                <w:rFonts w:hint="eastAsia"/>
                <w:strike/>
                <w:color w:val="auto"/>
                <w:szCs w:val="21"/>
                <w:highlight w:val="none"/>
              </w:rPr>
              <w:t>组。首先，对于小于或等于工程成本警戒价的，评标委员会从序号</w:t>
            </w:r>
            <w:r>
              <w:rPr>
                <w:strike/>
                <w:color w:val="auto"/>
                <w:szCs w:val="21"/>
                <w:highlight w:val="none"/>
              </w:rPr>
              <w:t>1</w:t>
            </w:r>
            <w:r>
              <w:rPr>
                <w:rFonts w:hint="eastAsia"/>
                <w:strike/>
                <w:color w:val="auto"/>
                <w:szCs w:val="21"/>
                <w:highlight w:val="none"/>
              </w:rPr>
              <w:t>开始随机确定投标人的排序，若仅有</w:t>
            </w:r>
            <w:r>
              <w:rPr>
                <w:strike/>
                <w:color w:val="auto"/>
                <w:szCs w:val="21"/>
                <w:highlight w:val="none"/>
              </w:rPr>
              <w:t>1</w:t>
            </w:r>
            <w:r>
              <w:rPr>
                <w:rFonts w:hint="eastAsia"/>
                <w:strike/>
                <w:color w:val="auto"/>
                <w:szCs w:val="21"/>
                <w:highlight w:val="none"/>
              </w:rPr>
              <w:t>名投标报价小于等于工程成本警戒价的，该投标人为第</w:t>
            </w:r>
            <w:r>
              <w:rPr>
                <w:strike/>
                <w:color w:val="auto"/>
                <w:szCs w:val="21"/>
                <w:highlight w:val="none"/>
              </w:rPr>
              <w:t>1</w:t>
            </w:r>
            <w:r>
              <w:rPr>
                <w:rFonts w:hint="eastAsia"/>
                <w:strike/>
                <w:color w:val="auto"/>
                <w:szCs w:val="21"/>
                <w:highlight w:val="none"/>
              </w:rPr>
              <w:t>名；其次，对于大于工程成本警戒价的投标报价由低至高进行排序，序号接上一组。</w:t>
            </w:r>
          </w:p>
          <w:p>
            <w:pPr>
              <w:rPr>
                <w:color w:val="auto"/>
                <w:highlight w:val="none"/>
              </w:rPr>
            </w:pPr>
            <w:r>
              <w:rPr>
                <w:rFonts w:hint="eastAsia"/>
                <w:strike/>
                <w:color w:val="auto"/>
                <w:szCs w:val="21"/>
                <w:highlight w:val="none"/>
              </w:rPr>
              <w:t>方法三：</w:t>
            </w:r>
            <w:r>
              <w:rPr>
                <w:strike/>
                <w:color w:val="auto"/>
                <w:szCs w:val="21"/>
                <w:highlight w:val="none"/>
              </w:rPr>
              <w:t xml:space="preserve"> </w:t>
            </w:r>
            <w:r>
              <w:rPr>
                <w:rFonts w:hint="eastAsia"/>
                <w:strike/>
                <w:color w:val="auto"/>
                <w:szCs w:val="21"/>
                <w:highlight w:val="none"/>
              </w:rPr>
              <w:t>（由招标人自行确定）</w:t>
            </w:r>
            <w:r>
              <w:rPr>
                <w:strike/>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strike/>
                <w:color w:val="auto"/>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strike/>
                <w:color w:val="auto"/>
                <w:szCs w:val="21"/>
                <w:highlight w:val="none"/>
              </w:rPr>
            </w:pPr>
            <w:r>
              <w:rPr>
                <w:rFonts w:hint="eastAsia"/>
                <w:strike/>
                <w:color w:val="auto"/>
                <w:szCs w:val="21"/>
                <w:highlight w:val="none"/>
              </w:rPr>
              <w:t>选取方法</w:t>
            </w:r>
            <w:r>
              <w:rPr>
                <w:strike/>
                <w:color w:val="auto"/>
                <w:szCs w:val="21"/>
                <w:highlight w:val="none"/>
                <w:u w:val="single"/>
              </w:rPr>
              <w:t xml:space="preserve">     </w:t>
            </w:r>
          </w:p>
          <w:p>
            <w:pPr>
              <w:rPr>
                <w:strike/>
                <w:color w:val="auto"/>
                <w:szCs w:val="21"/>
                <w:highlight w:val="none"/>
              </w:rPr>
            </w:pPr>
            <w:r>
              <w:rPr>
                <w:rFonts w:hint="eastAsia"/>
                <w:strike/>
                <w:color w:val="auto"/>
                <w:szCs w:val="21"/>
                <w:highlight w:val="none"/>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pPr>
              <w:rPr>
                <w:strike/>
                <w:color w:val="auto"/>
                <w:szCs w:val="21"/>
                <w:highlight w:val="none"/>
              </w:rPr>
            </w:pPr>
            <w:r>
              <w:rPr>
                <w:rFonts w:hint="eastAsia"/>
                <w:strike/>
                <w:color w:val="auto"/>
                <w:szCs w:val="21"/>
                <w:highlight w:val="none"/>
              </w:rPr>
              <w:t>方法二：经济分相同的投标文件，由评标委员会采用随机方式，确定投标人的排序。</w:t>
            </w:r>
          </w:p>
          <w:p>
            <w:pPr>
              <w:rPr>
                <w:color w:val="auto"/>
                <w:highlight w:val="none"/>
              </w:rPr>
            </w:pPr>
            <w:r>
              <w:rPr>
                <w:rFonts w:hint="eastAsia"/>
                <w:strike/>
                <w:color w:val="auto"/>
                <w:szCs w:val="21"/>
                <w:highlight w:val="none"/>
              </w:rPr>
              <w:t>方法三：</w:t>
            </w:r>
            <w:r>
              <w:rPr>
                <w:strike/>
                <w:color w:val="auto"/>
                <w:szCs w:val="21"/>
                <w:highlight w:val="none"/>
              </w:rPr>
              <w:t xml:space="preserve">  </w:t>
            </w:r>
            <w:r>
              <w:rPr>
                <w:rFonts w:hint="eastAsia"/>
                <w:strike/>
                <w:color w:val="auto"/>
                <w:szCs w:val="21"/>
                <w:highlight w:val="none"/>
              </w:rPr>
              <w:t>（由招标人自行确定）</w:t>
            </w:r>
            <w:r>
              <w:rPr>
                <w:strike/>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strike/>
                <w:color w:val="auto"/>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40" w:lineRule="exact"/>
              <w:rPr>
                <w:strike/>
                <w:color w:val="auto"/>
                <w:szCs w:val="21"/>
                <w:highlight w:val="none"/>
              </w:rPr>
            </w:pPr>
            <w:r>
              <w:rPr>
                <w:rFonts w:hint="eastAsia"/>
                <w:strike/>
                <w:color w:val="auto"/>
                <w:szCs w:val="21"/>
                <w:highlight w:val="none"/>
              </w:rPr>
              <w:t xml:space="preserve">选取方法     </w:t>
            </w:r>
          </w:p>
          <w:p>
            <w:pPr>
              <w:spacing w:line="340" w:lineRule="exact"/>
              <w:rPr>
                <w:strike/>
                <w:color w:val="auto"/>
                <w:szCs w:val="21"/>
                <w:highlight w:val="none"/>
              </w:rPr>
            </w:pPr>
            <w:r>
              <w:rPr>
                <w:rFonts w:hint="eastAsia"/>
                <w:strike/>
                <w:color w:val="auto"/>
                <w:szCs w:val="21"/>
                <w:highlight w:val="none"/>
              </w:rPr>
              <w:t>方法一：评标委员会按照“总分=           的公式，计算各有效投标文件的总分，并按照总分从高到低排序。总得分相同的投标文件，以报价较低的排前；总得分与报价均相同的投标文件，以     较高的排前；总得分、报价与     均相同的投标文件，以诚信综合评价分数高的排前；如仍存在相同情况，则对具有相同情况的投标人，由评标委员会采用随机方式，确定投标人的排序。</w:t>
            </w:r>
          </w:p>
          <w:p>
            <w:pPr>
              <w:spacing w:line="340" w:lineRule="exact"/>
              <w:rPr>
                <w:rFonts w:ascii="宋体" w:hAnsi="宋体" w:cs="宋体"/>
                <w:color w:val="auto"/>
                <w:szCs w:val="21"/>
                <w:highlight w:val="none"/>
              </w:rPr>
            </w:pPr>
            <w:r>
              <w:rPr>
                <w:rFonts w:hint="eastAsia"/>
                <w:strike/>
                <w:color w:val="auto"/>
                <w:szCs w:val="21"/>
                <w:highlight w:val="none"/>
              </w:rPr>
              <w:t xml:space="preserve">方法二：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highlight w:val="none"/>
                <w:u w:val="single"/>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s="宋体"/>
                <w:color w:val="auto"/>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color w:val="auto"/>
                <w:kern w:val="0"/>
                <w:szCs w:val="21"/>
                <w:highlight w:val="none"/>
                <w:lang w:val="zh-CN"/>
              </w:rPr>
            </w:pPr>
            <w:r>
              <w:rPr>
                <w:rFonts w:hint="eastAsia" w:ascii="宋体" w:hAnsi="宋体"/>
                <w:color w:val="auto"/>
                <w:kern w:val="0"/>
                <w:szCs w:val="21"/>
                <w:highlight w:val="none"/>
                <w:lang w:val="zh-CN"/>
              </w:rPr>
              <w:t>■</w:t>
            </w:r>
            <w:r>
              <w:rPr>
                <w:rFonts w:hint="eastAsia"/>
                <w:color w:val="auto"/>
                <w:kern w:val="0"/>
                <w:szCs w:val="21"/>
                <w:highlight w:val="none"/>
                <w:lang w:val="zh-CN"/>
              </w:rPr>
              <w:t>不允许；</w:t>
            </w:r>
          </w:p>
          <w:p>
            <w:pPr>
              <w:rPr>
                <w:color w:val="auto"/>
                <w:kern w:val="0"/>
                <w:szCs w:val="21"/>
                <w:highlight w:val="none"/>
                <w:lang w:val="zh-CN"/>
              </w:rPr>
            </w:pPr>
            <w:r>
              <w:rPr>
                <w:rFonts w:hint="eastAsia"/>
                <w:color w:val="auto"/>
                <w:kern w:val="0"/>
                <w:szCs w:val="21"/>
                <w:highlight w:val="none"/>
                <w:lang w:val="zh-CN"/>
              </w:rPr>
              <w:t>□允许：分包内容要要求：</w:t>
            </w:r>
            <w:r>
              <w:rPr>
                <w:rFonts w:hint="eastAsia" w:ascii="宋体" w:hAnsi="宋体" w:cs="宋体"/>
                <w:color w:val="auto"/>
                <w:kern w:val="0"/>
                <w:szCs w:val="21"/>
                <w:highlight w:val="none"/>
                <w:u w:val="single"/>
              </w:rPr>
              <w:t>/</w:t>
            </w:r>
          </w:p>
          <w:p>
            <w:pPr>
              <w:rPr>
                <w:color w:val="auto"/>
                <w:kern w:val="0"/>
                <w:szCs w:val="21"/>
                <w:highlight w:val="none"/>
                <w:lang w:val="zh-CN"/>
              </w:rPr>
            </w:pPr>
            <w:r>
              <w:rPr>
                <w:color w:val="auto"/>
                <w:kern w:val="0"/>
                <w:szCs w:val="21"/>
                <w:highlight w:val="none"/>
                <w:lang w:val="zh-CN"/>
              </w:rPr>
              <w:t xml:space="preserve">        </w:t>
            </w:r>
            <w:r>
              <w:rPr>
                <w:rFonts w:hint="eastAsia"/>
                <w:color w:val="auto"/>
                <w:kern w:val="0"/>
                <w:szCs w:val="21"/>
                <w:highlight w:val="none"/>
                <w:lang w:val="zh-CN"/>
              </w:rPr>
              <w:t>分包金额要求：</w:t>
            </w:r>
            <w:r>
              <w:rPr>
                <w:rFonts w:hint="eastAsia" w:ascii="宋体" w:hAnsi="宋体" w:cs="宋体"/>
                <w:color w:val="auto"/>
                <w:kern w:val="0"/>
                <w:szCs w:val="21"/>
                <w:highlight w:val="none"/>
                <w:u w:val="single"/>
              </w:rPr>
              <w:t>/</w:t>
            </w:r>
          </w:p>
          <w:p>
            <w:pPr>
              <w:rPr>
                <w:rFonts w:ascii="宋体" w:hAnsi="宋体"/>
                <w:color w:val="auto"/>
                <w:kern w:val="0"/>
                <w:szCs w:val="21"/>
                <w:highlight w:val="none"/>
                <w:lang w:val="zh-CN"/>
              </w:rPr>
            </w:pPr>
            <w:r>
              <w:rPr>
                <w:color w:val="auto"/>
                <w:kern w:val="0"/>
                <w:szCs w:val="21"/>
                <w:highlight w:val="none"/>
                <w:lang w:val="zh-CN"/>
              </w:rPr>
              <w:t xml:space="preserve">        </w:t>
            </w:r>
            <w:r>
              <w:rPr>
                <w:rFonts w:hint="eastAsia"/>
                <w:color w:val="auto"/>
                <w:kern w:val="0"/>
                <w:szCs w:val="21"/>
                <w:highlight w:val="none"/>
                <w:lang w:val="zh-CN"/>
              </w:rPr>
              <w:t>对分包人的资质要求：</w:t>
            </w:r>
            <w:r>
              <w:rPr>
                <w:rFonts w:hint="eastAsia" w:ascii="宋体" w:hAnsi="宋体" w:cs="宋体"/>
                <w:color w:val="auto"/>
                <w:kern w:val="0"/>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36</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5857" w:type="dxa"/>
            <w:tcBorders>
              <w:top w:val="single" w:color="auto" w:sz="4" w:space="0"/>
              <w:left w:val="single" w:color="auto" w:sz="4" w:space="0"/>
              <w:bottom w:val="doub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hint="eastAsia" w:ascii="宋体" w:hAnsi="宋体" w:cs="Courier New"/>
                <w:color w:val="auto"/>
                <w:szCs w:val="21"/>
                <w:highlight w:val="none"/>
                <w:u w:val="single"/>
              </w:rPr>
              <w:t>《房屋建筑和市政基础设施工程全流程电子化项目专章》</w:t>
            </w:r>
            <w:r>
              <w:rPr>
                <w:rFonts w:hint="eastAsia" w:ascii="宋体" w:hAnsi="宋体" w:cs="Courier New"/>
                <w:color w:val="auto"/>
                <w:szCs w:val="21"/>
                <w:highlight w:val="none"/>
              </w:rPr>
              <w:t xml:space="preserve">。  </w:t>
            </w:r>
          </w:p>
          <w:p>
            <w:pPr>
              <w:rPr>
                <w:rFonts w:ascii="宋体" w:hAnsi="宋体" w:cs="Courier New"/>
                <w:color w:val="auto"/>
                <w:szCs w:val="21"/>
                <w:highlight w:val="none"/>
              </w:rPr>
            </w:pPr>
            <w:r>
              <w:rPr>
                <w:rFonts w:hint="eastAsia" w:ascii="宋体" w:hAnsi="宋体" w:cs="Courier New"/>
                <w:color w:val="auto"/>
                <w:szCs w:val="21"/>
                <w:highlight w:val="none"/>
              </w:rPr>
              <w:t>2、提交投标文件光盘备用</w:t>
            </w:r>
          </w:p>
          <w:p>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bl>
    <w:p>
      <w:pPr>
        <w:keepNext/>
        <w:keepLines/>
        <w:spacing w:before="120" w:after="120" w:line="415" w:lineRule="auto"/>
        <w:jc w:val="left"/>
        <w:rPr>
          <w:rFonts w:cs="宋体"/>
          <w:strike/>
          <w:color w:val="auto"/>
          <w:kern w:val="0"/>
          <w:sz w:val="24"/>
          <w:highlight w:val="none"/>
        </w:rPr>
      </w:pPr>
      <w:r>
        <w:rPr>
          <w:rFonts w:cs="宋体"/>
          <w:strike/>
          <w:color w:val="auto"/>
          <w:kern w:val="0"/>
          <w:sz w:val="24"/>
          <w:highlight w:val="none"/>
        </w:rPr>
        <w:t>注：企业综合诚信评价得分即企业综合诚信评价60日诚信分，以下同。</w:t>
      </w:r>
    </w:p>
    <w:p>
      <w:pPr>
        <w:keepNext/>
        <w:keepLines/>
        <w:spacing w:before="120" w:after="120" w:line="415" w:lineRule="auto"/>
        <w:jc w:val="left"/>
        <w:outlineLvl w:val="1"/>
        <w:rPr>
          <w:rFonts w:ascii="Arial" w:hAnsi="Arial"/>
          <w:b/>
          <w:color w:val="auto"/>
          <w:sz w:val="28"/>
          <w:szCs w:val="24"/>
          <w:highlight w:val="none"/>
        </w:rPr>
      </w:pPr>
      <w:bookmarkStart w:id="8" w:name="_Toc13730"/>
      <w:bookmarkStart w:id="9" w:name="_Toc30099"/>
      <w:r>
        <w:rPr>
          <w:rFonts w:ascii="Arial" w:hAnsi="Arial"/>
          <w:b/>
          <w:color w:val="auto"/>
          <w:sz w:val="28"/>
          <w:szCs w:val="24"/>
          <w:highlight w:val="none"/>
        </w:rPr>
        <w:br w:type="textWrapping"/>
      </w:r>
      <w:r>
        <w:rPr>
          <w:rFonts w:ascii="Arial" w:hAnsi="Arial"/>
          <w:b/>
          <w:color w:val="auto"/>
          <w:sz w:val="28"/>
          <w:szCs w:val="24"/>
          <w:highlight w:val="none"/>
        </w:rPr>
        <w:br w:type="page"/>
      </w:r>
      <w:bookmarkStart w:id="10" w:name="_Toc62056016"/>
      <w:bookmarkStart w:id="11" w:name="_Toc2272547"/>
      <w:r>
        <w:rPr>
          <w:rFonts w:hint="eastAsia" w:ascii="Arial" w:hAnsi="Arial"/>
          <w:b/>
          <w:color w:val="auto"/>
          <w:sz w:val="28"/>
          <w:szCs w:val="24"/>
          <w:highlight w:val="none"/>
        </w:rPr>
        <w:t>二、投标须知修改表</w:t>
      </w:r>
      <w:bookmarkEnd w:id="8"/>
      <w:bookmarkEnd w:id="9"/>
      <w:bookmarkEnd w:id="10"/>
      <w:bookmarkEnd w:id="11"/>
    </w:p>
    <w:p>
      <w:pPr>
        <w:spacing w:line="360" w:lineRule="auto"/>
        <w:ind w:firstLine="420"/>
        <w:rPr>
          <w:b/>
          <w:color w:val="auto"/>
          <w:szCs w:val="21"/>
          <w:highlight w:val="none"/>
        </w:rPr>
      </w:pPr>
      <w:r>
        <w:rPr>
          <w:rFonts w:hint="eastAsia"/>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rFonts w:hint="eastAsia" w:ascii="仿宋" w:hAnsi="仿宋" w:eastAsia="仿宋" w:cs="宋体"/>
          <w:b/>
          <w:color w:val="auto"/>
          <w:kern w:val="0"/>
          <w:sz w:val="22"/>
          <w:highlight w:val="none"/>
          <w:lang w:bidi="ar"/>
        </w:rPr>
        <w:t>http://zfcj.gz.gov.cn/</w:t>
      </w:r>
      <w:r>
        <w:rPr>
          <w:rFonts w:hint="eastAsia"/>
          <w:b/>
          <w:color w:val="auto"/>
          <w:szCs w:val="21"/>
          <w:highlight w:val="none"/>
        </w:rPr>
        <w:t>）下载查阅。</w:t>
      </w:r>
    </w:p>
    <w:p>
      <w:pPr>
        <w:spacing w:line="480" w:lineRule="auto"/>
        <w:ind w:firstLine="472" w:firstLineChars="224"/>
        <w:rPr>
          <w:b/>
          <w:color w:val="auto"/>
          <w:szCs w:val="21"/>
          <w:highlight w:val="none"/>
        </w:rPr>
      </w:pPr>
      <w:r>
        <w:rPr>
          <w:rFonts w:hint="eastAsia"/>
          <w:b/>
          <w:color w:val="auto"/>
          <w:szCs w:val="21"/>
          <w:highlight w:val="none"/>
        </w:rPr>
        <w:t>条款号：</w:t>
      </w:r>
      <w:r>
        <w:rPr>
          <w:b/>
          <w:color w:val="auto"/>
          <w:szCs w:val="21"/>
          <w:highlight w:val="none"/>
        </w:rPr>
        <w:t xml:space="preserve">2.5             </w:t>
      </w:r>
      <w:r>
        <w:rPr>
          <w:rFonts w:hint="eastAsia"/>
          <w:b/>
          <w:color w:val="auto"/>
          <w:szCs w:val="21"/>
          <w:highlight w:val="none"/>
        </w:rPr>
        <w:t>修改类型：增加</w:t>
      </w:r>
    </w:p>
    <w:p>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现文：</w:t>
      </w:r>
      <w:r>
        <w:rPr>
          <w:rFonts w:hint="eastAsia"/>
          <w:color w:val="auto"/>
          <w:szCs w:val="21"/>
          <w:highlight w:val="none"/>
        </w:rPr>
        <w:t>2.5</w:t>
      </w:r>
      <w:r>
        <w:rPr>
          <w:rFonts w:ascii="宋体" w:hAnsi="宋体"/>
          <w:color w:val="auto"/>
          <w:szCs w:val="21"/>
          <w:highlight w:val="none"/>
          <w:u w:val="singl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360" w:lineRule="auto"/>
        <w:ind w:firstLine="422" w:firstLineChars="200"/>
        <w:rPr>
          <w:b/>
          <w:color w:val="auto"/>
          <w:szCs w:val="21"/>
          <w:highlight w:val="none"/>
        </w:rPr>
      </w:pPr>
      <w:r>
        <w:rPr>
          <w:rFonts w:hint="eastAsia"/>
          <w:b/>
          <w:color w:val="auto"/>
          <w:szCs w:val="21"/>
          <w:highlight w:val="none"/>
        </w:rPr>
        <w:t>条款号：5.</w:t>
      </w:r>
      <w:r>
        <w:rPr>
          <w:b/>
          <w:color w:val="auto"/>
          <w:szCs w:val="21"/>
          <w:highlight w:val="none"/>
        </w:rPr>
        <w:t xml:space="preserve">1          </w:t>
      </w:r>
      <w:r>
        <w:rPr>
          <w:rFonts w:hint="eastAsia"/>
          <w:b/>
          <w:color w:val="auto"/>
          <w:szCs w:val="21"/>
          <w:highlight w:val="none"/>
        </w:rPr>
        <w:t xml:space="preserve"> 修改类型：修改</w:t>
      </w:r>
    </w:p>
    <w:p>
      <w:pPr>
        <w:pBdr>
          <w:bottom w:val="single" w:color="auto" w:sz="6" w:space="1"/>
        </w:pBdr>
        <w:spacing w:line="360" w:lineRule="auto"/>
        <w:ind w:firstLine="422" w:firstLineChars="200"/>
        <w:rPr>
          <w:color w:val="auto"/>
          <w:szCs w:val="21"/>
          <w:highlight w:val="none"/>
        </w:rPr>
      </w:pPr>
      <w:r>
        <w:rPr>
          <w:rFonts w:hint="eastAsia"/>
          <w:b/>
          <w:color w:val="auto"/>
          <w:szCs w:val="21"/>
          <w:highlight w:val="none"/>
        </w:rPr>
        <w:t>原文：</w:t>
      </w:r>
      <w:r>
        <w:rPr>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6" w:space="1"/>
        </w:pBdr>
        <w:spacing w:line="360" w:lineRule="auto"/>
        <w:ind w:firstLine="422" w:firstLineChars="200"/>
        <w:rPr>
          <w:b/>
          <w:color w:val="auto"/>
          <w:szCs w:val="21"/>
          <w:highlight w:val="none"/>
        </w:rPr>
      </w:pPr>
      <w:r>
        <w:rPr>
          <w:rFonts w:hint="eastAsia"/>
          <w:b/>
          <w:color w:val="auto"/>
          <w:szCs w:val="21"/>
          <w:highlight w:val="none"/>
        </w:rPr>
        <w:t>现文：</w:t>
      </w:r>
      <w:r>
        <w:rPr>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r>
        <w:rPr>
          <w:color w:val="auto"/>
          <w:szCs w:val="21"/>
          <w:highlight w:val="none"/>
          <w:u w:val="single"/>
        </w:rPr>
        <w:t>且充分考虑了现场各种因素。招标人不受理因投标人缺乏对现场条件的了解或掌握而提出的任何索赔。</w:t>
      </w:r>
      <w:r>
        <w:rPr>
          <w:color w:val="auto"/>
          <w:szCs w:val="21"/>
          <w:highlight w:val="none"/>
        </w:rPr>
        <w:t>考察现场的费用由投标人自己承担。</w:t>
      </w:r>
    </w:p>
    <w:p>
      <w:pPr>
        <w:spacing w:line="480" w:lineRule="auto"/>
        <w:ind w:firstLine="472" w:firstLineChars="224"/>
        <w:rPr>
          <w:b/>
          <w:color w:val="auto"/>
          <w:szCs w:val="21"/>
          <w:highlight w:val="none"/>
        </w:rPr>
      </w:pPr>
      <w:r>
        <w:rPr>
          <w:rFonts w:hint="eastAsia"/>
          <w:b/>
          <w:color w:val="auto"/>
          <w:szCs w:val="21"/>
          <w:highlight w:val="none"/>
        </w:rPr>
        <w:t>条款号：8.1</w:t>
      </w:r>
      <w:r>
        <w:rPr>
          <w:b/>
          <w:color w:val="auto"/>
          <w:szCs w:val="21"/>
          <w:highlight w:val="none"/>
        </w:rPr>
        <w:t xml:space="preserve">             </w:t>
      </w:r>
      <w:r>
        <w:rPr>
          <w:rFonts w:hint="eastAsia"/>
          <w:b/>
          <w:color w:val="auto"/>
          <w:szCs w:val="21"/>
          <w:highlight w:val="none"/>
        </w:rPr>
        <w:t>修改类型：修改</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8.1 投标人若对招标文件（包括招标图纸）中有疑问，可以书面形式通过</w:t>
      </w:r>
      <w:r>
        <w:rPr>
          <w:color w:val="auto"/>
          <w:szCs w:val="21"/>
          <w:highlight w:val="none"/>
          <w:u w:val="single"/>
        </w:rPr>
        <w:t xml:space="preserve">       </w:t>
      </w:r>
      <w:r>
        <w:rPr>
          <w:rFonts w:hint="eastAsia"/>
          <w:color w:val="auto"/>
          <w:szCs w:val="21"/>
          <w:highlight w:val="none"/>
        </w:rPr>
        <w:t>交易平台提交给招标人或招标代理人，提交形式见本须知前附表第16项。</w:t>
      </w:r>
    </w:p>
    <w:p>
      <w:pPr>
        <w:pBdr>
          <w:bottom w:val="single" w:color="auto" w:sz="6" w:space="1"/>
        </w:pBdr>
        <w:spacing w:line="360" w:lineRule="auto"/>
        <w:ind w:firstLine="527" w:firstLineChars="250"/>
        <w:rPr>
          <w:color w:val="auto"/>
          <w:szCs w:val="21"/>
          <w:highlight w:val="none"/>
        </w:rPr>
      </w:pPr>
      <w:r>
        <w:rPr>
          <w:rFonts w:hint="eastAsia"/>
          <w:b/>
          <w:color w:val="auto"/>
          <w:szCs w:val="21"/>
          <w:highlight w:val="none"/>
        </w:rPr>
        <w:t>现文：</w:t>
      </w:r>
      <w:r>
        <w:rPr>
          <w:color w:val="auto"/>
          <w:szCs w:val="21"/>
          <w:highlight w:val="none"/>
        </w:rPr>
        <w:t xml:space="preserve">8.1 </w:t>
      </w:r>
      <w:r>
        <w:rPr>
          <w:rFonts w:hint="eastAsia"/>
          <w:color w:val="auto"/>
          <w:szCs w:val="21"/>
          <w:highlight w:val="none"/>
        </w:rPr>
        <w:t>投标人若对招标文件（包括招标图纸）中有疑问，可以书面形式通过</w:t>
      </w:r>
      <w:r>
        <w:rPr>
          <w:rFonts w:hint="eastAsia"/>
          <w:color w:val="auto"/>
          <w:szCs w:val="21"/>
          <w:highlight w:val="none"/>
          <w:u w:val="single"/>
        </w:rPr>
        <w:t>广州公共资源交易中心</w:t>
      </w:r>
      <w:r>
        <w:rPr>
          <w:rFonts w:hint="eastAsia"/>
          <w:color w:val="auto"/>
          <w:szCs w:val="21"/>
          <w:highlight w:val="none"/>
        </w:rPr>
        <w:t>交易平台提交给招标人或招标代理人，提交形式见本须知前附表第</w:t>
      </w:r>
      <w:r>
        <w:rPr>
          <w:color w:val="auto"/>
          <w:szCs w:val="21"/>
          <w:highlight w:val="none"/>
        </w:rPr>
        <w:t>16</w:t>
      </w:r>
      <w:r>
        <w:rPr>
          <w:rFonts w:hint="eastAsia"/>
          <w:color w:val="auto"/>
          <w:szCs w:val="21"/>
          <w:highlight w:val="none"/>
        </w:rPr>
        <w:t>项。</w:t>
      </w:r>
    </w:p>
    <w:p>
      <w:pPr>
        <w:spacing w:line="480" w:lineRule="auto"/>
        <w:ind w:firstLine="472" w:firstLineChars="224"/>
        <w:rPr>
          <w:b/>
          <w:color w:val="auto"/>
          <w:szCs w:val="21"/>
          <w:highlight w:val="none"/>
        </w:rPr>
      </w:pPr>
      <w:r>
        <w:rPr>
          <w:rFonts w:hint="eastAsia"/>
          <w:b/>
          <w:color w:val="auto"/>
          <w:szCs w:val="21"/>
          <w:highlight w:val="none"/>
        </w:rPr>
        <w:t>条款号：8.2</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527" w:firstLineChars="250"/>
        <w:rPr>
          <w:color w:val="auto"/>
          <w:szCs w:val="21"/>
          <w:highlight w:val="none"/>
        </w:rPr>
      </w:pPr>
      <w:r>
        <w:rPr>
          <w:rFonts w:hint="eastAsia"/>
          <w:b/>
          <w:color w:val="auto"/>
          <w:szCs w:val="21"/>
          <w:highlight w:val="none"/>
        </w:rPr>
        <w:t>原文：</w:t>
      </w:r>
      <w:r>
        <w:rPr>
          <w:rFonts w:hint="eastAsia"/>
          <w:color w:val="auto"/>
          <w:szCs w:val="21"/>
          <w:highlight w:val="none"/>
        </w:rPr>
        <w:t>8.2招标答疑会会议纪要将在提交投标文件截止时间15日前在</w:t>
      </w:r>
      <w:r>
        <w:rPr>
          <w:color w:val="auto"/>
          <w:szCs w:val="21"/>
          <w:highlight w:val="none"/>
          <w:u w:val="single"/>
        </w:rPr>
        <w:t xml:space="preserve">     </w:t>
      </w:r>
      <w:r>
        <w:rPr>
          <w:rFonts w:hint="eastAsia"/>
          <w:color w:val="auto"/>
          <w:szCs w:val="21"/>
          <w:highlight w:val="none"/>
        </w:rPr>
        <w:t>交易平台 “项目答疑纪要”专区公开发布。答疑纪要一经在广州公共资源交易中心网交易平台发布，视作已发放给所有投标人。</w:t>
      </w:r>
    </w:p>
    <w:p>
      <w:pPr>
        <w:pBdr>
          <w:bottom w:val="single" w:color="auto" w:sz="6" w:space="1"/>
        </w:pBdr>
        <w:spacing w:line="360" w:lineRule="auto"/>
        <w:ind w:firstLine="527" w:firstLineChars="250"/>
        <w:rPr>
          <w:color w:val="auto"/>
          <w:szCs w:val="21"/>
          <w:highlight w:val="none"/>
        </w:rPr>
      </w:pPr>
      <w:r>
        <w:rPr>
          <w:rFonts w:hint="eastAsia"/>
          <w:b/>
          <w:color w:val="auto"/>
          <w:szCs w:val="21"/>
          <w:highlight w:val="none"/>
        </w:rPr>
        <w:t>现文：</w:t>
      </w:r>
      <w:r>
        <w:rPr>
          <w:color w:val="auto"/>
          <w:szCs w:val="21"/>
          <w:highlight w:val="none"/>
        </w:rPr>
        <w:t>8.2</w:t>
      </w:r>
      <w:r>
        <w:rPr>
          <w:rFonts w:hint="eastAsia"/>
          <w:color w:val="auto"/>
          <w:szCs w:val="21"/>
          <w:highlight w:val="none"/>
        </w:rPr>
        <w:t>招标答疑会会议纪要将在提交投标文件截止时间</w:t>
      </w:r>
      <w:r>
        <w:rPr>
          <w:color w:val="auto"/>
          <w:szCs w:val="21"/>
          <w:highlight w:val="none"/>
        </w:rPr>
        <w:t>15</w:t>
      </w:r>
      <w:r>
        <w:rPr>
          <w:rFonts w:hint="eastAsia"/>
          <w:color w:val="auto"/>
          <w:szCs w:val="21"/>
          <w:highlight w:val="none"/>
        </w:rPr>
        <w:t>日前在</w:t>
      </w:r>
      <w:r>
        <w:rPr>
          <w:rFonts w:hint="eastAsia"/>
          <w:color w:val="auto"/>
          <w:szCs w:val="21"/>
          <w:highlight w:val="none"/>
          <w:u w:val="single"/>
        </w:rPr>
        <w:t>广州公共资源交易中心</w:t>
      </w:r>
      <w:r>
        <w:rPr>
          <w:rFonts w:hint="eastAsia"/>
          <w:color w:val="auto"/>
          <w:szCs w:val="21"/>
          <w:highlight w:val="none"/>
        </w:rPr>
        <w:t>交易平台</w:t>
      </w:r>
      <w:r>
        <w:rPr>
          <w:color w:val="auto"/>
          <w:szCs w:val="21"/>
          <w:highlight w:val="none"/>
        </w:rPr>
        <w:t xml:space="preserve"> </w:t>
      </w:r>
      <w:r>
        <w:rPr>
          <w:rFonts w:hint="eastAsia"/>
          <w:color w:val="auto"/>
          <w:szCs w:val="21"/>
          <w:highlight w:val="none"/>
        </w:rPr>
        <w:t>“项目答疑纪要”专区公开发布。答疑纪要一经在</w:t>
      </w:r>
      <w:r>
        <w:rPr>
          <w:rFonts w:hint="eastAsia"/>
          <w:color w:val="auto"/>
          <w:szCs w:val="21"/>
          <w:highlight w:val="none"/>
          <w:u w:val="single"/>
        </w:rPr>
        <w:t>广州公共资源交易中心</w:t>
      </w:r>
      <w:r>
        <w:rPr>
          <w:rFonts w:hint="eastAsia"/>
          <w:color w:val="auto"/>
          <w:szCs w:val="21"/>
          <w:highlight w:val="none"/>
        </w:rPr>
        <w:t>交易平台发布，视作已发放给所有投标人。</w:t>
      </w:r>
    </w:p>
    <w:p>
      <w:pPr>
        <w:spacing w:line="480" w:lineRule="auto"/>
        <w:ind w:firstLine="472" w:firstLineChars="224"/>
        <w:rPr>
          <w:b/>
          <w:color w:val="auto"/>
          <w:szCs w:val="21"/>
          <w:highlight w:val="none"/>
        </w:rPr>
      </w:pPr>
      <w:r>
        <w:rPr>
          <w:rFonts w:hint="eastAsia"/>
          <w:b/>
          <w:color w:val="auto"/>
          <w:szCs w:val="21"/>
          <w:highlight w:val="none"/>
        </w:rPr>
        <w:t>条款号：9.2</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527" w:firstLineChars="250"/>
        <w:rPr>
          <w:color w:val="auto"/>
          <w:szCs w:val="21"/>
          <w:highlight w:val="none"/>
        </w:rPr>
      </w:pPr>
      <w:r>
        <w:rPr>
          <w:rFonts w:hint="eastAsia"/>
          <w:b/>
          <w:color w:val="auto"/>
          <w:szCs w:val="21"/>
          <w:highlight w:val="none"/>
        </w:rPr>
        <w:t>原文：</w:t>
      </w:r>
      <w:r>
        <w:rPr>
          <w:rFonts w:hint="eastAsia"/>
          <w:color w:val="auto"/>
          <w:szCs w:val="21"/>
          <w:highlight w:val="none"/>
        </w:rPr>
        <w:t>9.2招标文件的澄清或修改将在</w:t>
      </w:r>
      <w:r>
        <w:rPr>
          <w:color w:val="auto"/>
          <w:szCs w:val="21"/>
          <w:highlight w:val="none"/>
          <w:u w:val="single"/>
        </w:rPr>
        <w:t xml:space="preserve">        </w:t>
      </w:r>
      <w:r>
        <w:rPr>
          <w:rFonts w:hint="eastAsia"/>
          <w:color w:val="auto"/>
          <w:szCs w:val="21"/>
          <w:highlight w:val="none"/>
        </w:rPr>
        <w:t>交易平台“项目答疑纪要”专区公开发布。答疑纪要一经在</w:t>
      </w:r>
      <w:r>
        <w:rPr>
          <w:color w:val="auto"/>
          <w:szCs w:val="21"/>
          <w:highlight w:val="none"/>
          <w:u w:val="single"/>
        </w:rPr>
        <w:t xml:space="preserve">        </w:t>
      </w:r>
      <w:r>
        <w:rPr>
          <w:rFonts w:hint="eastAsia"/>
          <w:color w:val="auto"/>
          <w:szCs w:val="21"/>
          <w:highlight w:val="none"/>
        </w:rPr>
        <w:t>交易平台发布，视作已发放给所有投标人，以</w:t>
      </w:r>
      <w:r>
        <w:rPr>
          <w:color w:val="auto"/>
          <w:szCs w:val="21"/>
          <w:highlight w:val="none"/>
          <w:u w:val="single"/>
        </w:rPr>
        <w:t xml:space="preserve">        </w:t>
      </w:r>
      <w:r>
        <w:rPr>
          <w:rFonts w:hint="eastAsia"/>
          <w:color w:val="auto"/>
          <w:szCs w:val="21"/>
          <w:highlight w:val="none"/>
        </w:rPr>
        <w:t>交易平台上网发布时间作为送达时间。</w:t>
      </w:r>
    </w:p>
    <w:p>
      <w:pPr>
        <w:pBdr>
          <w:bottom w:val="single" w:color="auto" w:sz="6" w:space="1"/>
        </w:pBdr>
        <w:spacing w:line="360" w:lineRule="auto"/>
        <w:ind w:firstLine="527" w:firstLineChars="250"/>
        <w:rPr>
          <w:color w:val="auto"/>
          <w:szCs w:val="21"/>
          <w:highlight w:val="none"/>
        </w:rPr>
      </w:pPr>
      <w:r>
        <w:rPr>
          <w:rFonts w:hint="eastAsia"/>
          <w:b/>
          <w:color w:val="auto"/>
          <w:szCs w:val="21"/>
          <w:highlight w:val="none"/>
        </w:rPr>
        <w:t>现文：</w:t>
      </w:r>
      <w:r>
        <w:rPr>
          <w:rFonts w:hint="eastAsia"/>
          <w:color w:val="auto"/>
          <w:szCs w:val="21"/>
          <w:highlight w:val="none"/>
        </w:rPr>
        <w:t>9.2招标文件的澄清或修改将在</w:t>
      </w:r>
      <w:r>
        <w:rPr>
          <w:rFonts w:hint="eastAsia"/>
          <w:color w:val="auto"/>
          <w:szCs w:val="21"/>
          <w:highlight w:val="none"/>
          <w:u w:val="single"/>
        </w:rPr>
        <w:t>广州公共资源交易中心</w:t>
      </w:r>
      <w:r>
        <w:rPr>
          <w:rFonts w:hint="eastAsia"/>
          <w:color w:val="auto"/>
          <w:szCs w:val="21"/>
          <w:highlight w:val="none"/>
        </w:rPr>
        <w:t>交易平台“项目答疑纪要”专区公开发布。答疑纪要一经在</w:t>
      </w:r>
      <w:r>
        <w:rPr>
          <w:rFonts w:hint="eastAsia"/>
          <w:color w:val="auto"/>
          <w:szCs w:val="21"/>
          <w:highlight w:val="none"/>
          <w:u w:val="single"/>
        </w:rPr>
        <w:t>广州公共资源交易中心</w:t>
      </w:r>
      <w:r>
        <w:rPr>
          <w:rFonts w:hint="eastAsia"/>
          <w:color w:val="auto"/>
          <w:szCs w:val="21"/>
          <w:highlight w:val="none"/>
        </w:rPr>
        <w:t>交易平台发布，视作已发放给所有投标人，以</w:t>
      </w:r>
      <w:r>
        <w:rPr>
          <w:rFonts w:hint="eastAsia"/>
          <w:color w:val="auto"/>
          <w:szCs w:val="21"/>
          <w:highlight w:val="none"/>
          <w:u w:val="single"/>
        </w:rPr>
        <w:t>广州公共资源交易中心</w:t>
      </w:r>
      <w:r>
        <w:rPr>
          <w:rFonts w:hint="eastAsia"/>
          <w:color w:val="auto"/>
          <w:szCs w:val="21"/>
          <w:highlight w:val="none"/>
        </w:rPr>
        <w:t>交易平台上网发布时间作为送达时间。</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条款号：9.4            修改类型：修改</w:t>
      </w:r>
    </w:p>
    <w:p>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480" w:lineRule="auto"/>
        <w:ind w:firstLine="472" w:firstLineChars="224"/>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9.4招标文件的澄清、修改均以</w:t>
      </w:r>
      <w:r>
        <w:rPr>
          <w:rFonts w:hint="eastAsia" w:ascii="宋体" w:hAnsi="宋体"/>
          <w:color w:val="auto"/>
          <w:szCs w:val="21"/>
          <w:highlight w:val="none"/>
          <w:u w:val="single"/>
        </w:rPr>
        <w:t>广州公共资源交易中心交易平台</w:t>
      </w:r>
      <w:r>
        <w:rPr>
          <w:rFonts w:hint="eastAsia" w:ascii="宋体" w:hAnsi="宋体"/>
          <w:color w:val="auto"/>
          <w:szCs w:val="21"/>
          <w:highlight w:val="none"/>
        </w:rPr>
        <w:t>发布的内容为准。当招标文件的澄清、修改在同一内容的表述不一致时，以</w:t>
      </w:r>
      <w:r>
        <w:rPr>
          <w:rFonts w:hint="eastAsia" w:ascii="宋体" w:hAnsi="宋体"/>
          <w:color w:val="auto"/>
          <w:szCs w:val="21"/>
          <w:highlight w:val="none"/>
          <w:u w:val="single"/>
        </w:rPr>
        <w:t>广州公共资源交易中心交易平台</w:t>
      </w:r>
      <w:r>
        <w:rPr>
          <w:rFonts w:hint="eastAsia" w:ascii="宋体" w:hAnsi="宋体"/>
          <w:color w:val="auto"/>
          <w:szCs w:val="21"/>
          <w:highlight w:val="none"/>
        </w:rPr>
        <w:t>最后发布的内容为准。</w:t>
      </w:r>
    </w:p>
    <w:p>
      <w:pPr>
        <w:spacing w:line="480" w:lineRule="auto"/>
        <w:ind w:firstLine="472" w:firstLineChars="224"/>
        <w:rPr>
          <w:b/>
          <w:color w:val="auto"/>
          <w:szCs w:val="21"/>
          <w:highlight w:val="none"/>
        </w:rPr>
      </w:pPr>
      <w:r>
        <w:rPr>
          <w:rFonts w:hint="eastAsia"/>
          <w:b/>
          <w:color w:val="auto"/>
          <w:szCs w:val="21"/>
          <w:highlight w:val="none"/>
        </w:rPr>
        <w:t>条款号：11.2</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color w:val="auto"/>
          <w:szCs w:val="21"/>
          <w:highlight w:val="none"/>
        </w:rPr>
      </w:pPr>
      <w:r>
        <w:rPr>
          <w:rFonts w:hint="eastAsia"/>
          <w:b/>
          <w:color w:val="auto"/>
          <w:szCs w:val="21"/>
          <w:highlight w:val="none"/>
        </w:rPr>
        <w:t>原文：</w:t>
      </w:r>
      <w:r>
        <w:rPr>
          <w:rFonts w:ascii="宋体"/>
          <w:color w:val="auto"/>
          <w:szCs w:val="21"/>
          <w:highlight w:val="none"/>
        </w:rPr>
        <w:t>11.2</w:t>
      </w:r>
      <w:r>
        <w:rPr>
          <w:rFonts w:hint="eastAsia" w:ascii="宋体"/>
          <w:color w:val="auto"/>
          <w:szCs w:val="21"/>
          <w:highlight w:val="none"/>
        </w:rPr>
        <w:t>投标文件技术标部分主要包括下列内容</w:t>
      </w:r>
      <w:r>
        <w:rPr>
          <w:rFonts w:ascii="宋体"/>
          <w:color w:val="auto"/>
          <w:szCs w:val="21"/>
          <w:highlight w:val="none"/>
        </w:rPr>
        <w:t>:</w:t>
      </w:r>
    </w:p>
    <w:p>
      <w:pPr>
        <w:spacing w:line="360" w:lineRule="auto"/>
        <w:ind w:firstLine="420" w:firstLineChars="200"/>
        <w:rPr>
          <w:rFonts w:ascii="宋体"/>
          <w:color w:val="auto"/>
          <w:szCs w:val="21"/>
          <w:highlight w:val="none"/>
        </w:rPr>
      </w:pPr>
      <w:r>
        <w:rPr>
          <w:rFonts w:hint="eastAsia" w:ascii="宋体"/>
          <w:color w:val="auto"/>
          <w:szCs w:val="21"/>
          <w:highlight w:val="none"/>
        </w:rPr>
        <w:t>11.2.1 技术投标文件</w:t>
      </w:r>
      <w:r>
        <w:rPr>
          <w:rFonts w:ascii="宋体"/>
          <w:color w:val="auto"/>
          <w:szCs w:val="21"/>
          <w:highlight w:val="none"/>
        </w:rPr>
        <w:t>(</w:t>
      </w:r>
      <w:r>
        <w:rPr>
          <w:rFonts w:hint="eastAsia" w:ascii="宋体"/>
          <w:color w:val="auto"/>
          <w:szCs w:val="21"/>
          <w:highlight w:val="none"/>
        </w:rPr>
        <w:t>按招标文件的要求填写</w:t>
      </w:r>
      <w:r>
        <w:rPr>
          <w:rFonts w:ascii="宋体"/>
          <w:color w:val="auto"/>
          <w:szCs w:val="21"/>
          <w:highlight w:val="none"/>
        </w:rPr>
        <w:t>)</w:t>
      </w:r>
      <w:r>
        <w:rPr>
          <w:rFonts w:hint="eastAsia" w:ascii="宋体"/>
          <w:color w:val="auto"/>
          <w:szCs w:val="21"/>
          <w:highlight w:val="none"/>
        </w:rPr>
        <w:t>；</w:t>
      </w:r>
    </w:p>
    <w:p>
      <w:pPr>
        <w:spacing w:line="360" w:lineRule="auto"/>
        <w:ind w:firstLine="420" w:firstLineChars="200"/>
        <w:rPr>
          <w:rFonts w:ascii="宋体"/>
          <w:color w:val="auto"/>
          <w:szCs w:val="21"/>
          <w:highlight w:val="none"/>
        </w:rPr>
      </w:pPr>
      <w:r>
        <w:rPr>
          <w:rFonts w:hint="eastAsia" w:ascii="宋体"/>
          <w:color w:val="auto"/>
          <w:szCs w:val="21"/>
          <w:highlight w:val="none"/>
        </w:rPr>
        <w:t>11.2.2 资格审查文件：</w:t>
      </w:r>
    </w:p>
    <w:p>
      <w:pPr>
        <w:spacing w:line="360" w:lineRule="auto"/>
        <w:ind w:firstLine="420" w:firstLineChars="200"/>
        <w:rPr>
          <w:rFonts w:ascii="宋体"/>
          <w:color w:val="auto"/>
          <w:szCs w:val="21"/>
          <w:highlight w:val="none"/>
        </w:rPr>
      </w:pPr>
      <w:r>
        <w:rPr>
          <w:rFonts w:hint="eastAsia" w:ascii="宋体"/>
          <w:color w:val="auto"/>
          <w:szCs w:val="21"/>
          <w:highlight w:val="none"/>
        </w:rPr>
        <w:t xml:space="preserve">（1）投标人声明； </w:t>
      </w:r>
    </w:p>
    <w:p>
      <w:pPr>
        <w:spacing w:line="360" w:lineRule="auto"/>
        <w:ind w:firstLine="420" w:firstLineChars="200"/>
        <w:rPr>
          <w:rFonts w:ascii="宋体"/>
          <w:color w:val="auto"/>
          <w:szCs w:val="21"/>
          <w:highlight w:val="none"/>
        </w:rPr>
      </w:pPr>
      <w:r>
        <w:rPr>
          <w:rFonts w:hint="eastAsia" w:ascii="宋体"/>
          <w:color w:val="auto"/>
          <w:szCs w:val="21"/>
          <w:highlight w:val="none"/>
        </w:rPr>
        <w:t>（2）法定代表人证明书、法定代表人签字或盖章的本投标文件授权委托证明书；</w:t>
      </w:r>
    </w:p>
    <w:p>
      <w:pPr>
        <w:spacing w:line="360" w:lineRule="auto"/>
        <w:ind w:firstLine="420" w:firstLineChars="200"/>
        <w:rPr>
          <w:rFonts w:ascii="宋体"/>
          <w:color w:val="auto"/>
          <w:szCs w:val="21"/>
          <w:highlight w:val="none"/>
        </w:rPr>
      </w:pPr>
      <w:r>
        <w:rPr>
          <w:rFonts w:hint="eastAsia" w:ascii="宋体"/>
          <w:color w:val="auto"/>
          <w:szCs w:val="21"/>
          <w:highlight w:val="none"/>
        </w:rPr>
        <w:t>（3）企业营业执照（取自平台内上传件）；</w:t>
      </w:r>
    </w:p>
    <w:p>
      <w:pPr>
        <w:spacing w:line="360" w:lineRule="auto"/>
        <w:ind w:firstLine="420" w:firstLineChars="200"/>
        <w:rPr>
          <w:rFonts w:ascii="宋体"/>
          <w:color w:val="auto"/>
          <w:szCs w:val="21"/>
          <w:highlight w:val="none"/>
        </w:rPr>
      </w:pPr>
      <w:r>
        <w:rPr>
          <w:rFonts w:hint="eastAsia" w:ascii="宋体"/>
          <w:color w:val="auto"/>
          <w:szCs w:val="21"/>
          <w:highlight w:val="none"/>
        </w:rPr>
        <w:t>（4）企业资质证书（取自平台内上传件）；</w:t>
      </w:r>
    </w:p>
    <w:p>
      <w:pPr>
        <w:spacing w:line="360" w:lineRule="auto"/>
        <w:ind w:firstLine="420" w:firstLineChars="200"/>
        <w:rPr>
          <w:rFonts w:ascii="宋体"/>
          <w:color w:val="auto"/>
          <w:szCs w:val="21"/>
          <w:highlight w:val="none"/>
        </w:rPr>
      </w:pPr>
      <w:r>
        <w:rPr>
          <w:rFonts w:hint="eastAsia" w:ascii="宋体"/>
          <w:color w:val="auto"/>
          <w:szCs w:val="21"/>
          <w:highlight w:val="none"/>
        </w:rPr>
        <w:t>（5）建筑施工企业安全生产许可证（取自平台内上传件）；</w:t>
      </w:r>
    </w:p>
    <w:p>
      <w:pPr>
        <w:spacing w:line="360" w:lineRule="auto"/>
        <w:ind w:firstLine="420" w:firstLineChars="200"/>
        <w:rPr>
          <w:rFonts w:ascii="宋体"/>
          <w:color w:val="auto"/>
          <w:szCs w:val="21"/>
          <w:highlight w:val="none"/>
        </w:rPr>
      </w:pPr>
      <w:r>
        <w:rPr>
          <w:rFonts w:hint="eastAsia" w:ascii="宋体"/>
          <w:color w:val="auto"/>
          <w:szCs w:val="21"/>
          <w:highlight w:val="none"/>
        </w:rPr>
        <w:t>（6）项目负责人（按网上投标登记时选择拟投标的项目负责人）</w:t>
      </w:r>
      <w:r>
        <w:rPr>
          <w:rFonts w:ascii="宋体"/>
          <w:color w:val="auto"/>
          <w:szCs w:val="21"/>
          <w:highlight w:val="none"/>
        </w:rPr>
        <w:t>；</w:t>
      </w:r>
    </w:p>
    <w:p>
      <w:pPr>
        <w:spacing w:line="360" w:lineRule="auto"/>
        <w:ind w:firstLine="420" w:firstLineChars="200"/>
        <w:rPr>
          <w:rFonts w:ascii="宋体"/>
          <w:color w:val="auto"/>
          <w:szCs w:val="21"/>
          <w:highlight w:val="none"/>
        </w:rPr>
      </w:pPr>
      <w:r>
        <w:rPr>
          <w:rFonts w:hint="eastAsia" w:ascii="宋体"/>
          <w:color w:val="auto"/>
          <w:szCs w:val="21"/>
          <w:highlight w:val="none"/>
        </w:rPr>
        <w:t>（7）专职安全员（按网上投标登记时选择拟投标的专职安全员）</w:t>
      </w:r>
      <w:r>
        <w:rPr>
          <w:rFonts w:ascii="宋体"/>
          <w:color w:val="auto"/>
          <w:szCs w:val="21"/>
          <w:highlight w:val="none"/>
        </w:rPr>
        <w:t>；</w:t>
      </w:r>
    </w:p>
    <w:p>
      <w:pPr>
        <w:spacing w:line="360" w:lineRule="auto"/>
        <w:ind w:firstLine="420" w:firstLineChars="200"/>
        <w:rPr>
          <w:rFonts w:ascii="宋体"/>
          <w:color w:val="auto"/>
          <w:szCs w:val="21"/>
          <w:highlight w:val="none"/>
        </w:rPr>
      </w:pPr>
      <w:r>
        <w:rPr>
          <w:rFonts w:hint="eastAsia" w:ascii="宋体"/>
          <w:color w:val="auto"/>
          <w:szCs w:val="21"/>
          <w:highlight w:val="none"/>
        </w:rPr>
        <w:t>（8）拟委托技术负责人的相关证书、资料（具体要求由招标人明确）</w:t>
      </w:r>
      <w:r>
        <w:rPr>
          <w:rFonts w:ascii="宋体"/>
          <w:color w:val="auto"/>
          <w:szCs w:val="21"/>
          <w:highlight w:val="none"/>
        </w:rPr>
        <w:t>；</w:t>
      </w:r>
    </w:p>
    <w:p>
      <w:pPr>
        <w:spacing w:line="360" w:lineRule="auto"/>
        <w:ind w:firstLine="420" w:firstLineChars="200"/>
        <w:rPr>
          <w:rFonts w:ascii="宋体" w:hAnsi="宋体" w:cs="宋体"/>
          <w:color w:val="auto"/>
          <w:szCs w:val="21"/>
          <w:highlight w:val="none"/>
        </w:rPr>
      </w:pPr>
      <w:r>
        <w:rPr>
          <w:color w:val="auto"/>
          <w:szCs w:val="21"/>
          <w:highlight w:val="none"/>
          <w:lang w:bidi="ar"/>
        </w:rPr>
        <w:t>（</w:t>
      </w:r>
      <w:r>
        <w:rPr>
          <w:rFonts w:hint="eastAsia" w:ascii="宋体" w:hAnsi="宋体" w:cs="宋体"/>
          <w:color w:val="auto"/>
          <w:szCs w:val="21"/>
          <w:highlight w:val="none"/>
          <w:lang w:bidi="ar"/>
        </w:rPr>
        <w:t>9）</w:t>
      </w:r>
      <w:r>
        <w:rPr>
          <w:color w:val="auto"/>
          <w:szCs w:val="21"/>
          <w:highlight w:val="none"/>
          <w:lang w:bidi="ar"/>
        </w:rPr>
        <w:t xml:space="preserve">拟委派项目负责人的建造师注册证书（取自平台内上传件）； </w:t>
      </w:r>
    </w:p>
    <w:p>
      <w:pPr>
        <w:spacing w:line="360" w:lineRule="auto"/>
        <w:ind w:firstLine="420" w:firstLineChars="200"/>
        <w:rPr>
          <w:rFonts w:ascii="宋体" w:hAnsi="宋体" w:cs="宋体"/>
          <w:color w:val="auto"/>
          <w:szCs w:val="21"/>
          <w:highlight w:val="none"/>
        </w:rPr>
      </w:pPr>
      <w:r>
        <w:rPr>
          <w:color w:val="auto"/>
          <w:szCs w:val="21"/>
          <w:highlight w:val="none"/>
          <w:lang w:bidi="ar"/>
        </w:rPr>
        <w:t>（</w:t>
      </w:r>
      <w:r>
        <w:rPr>
          <w:rFonts w:hint="eastAsia" w:ascii="宋体" w:hAnsi="宋体" w:cs="宋体"/>
          <w:color w:val="auto"/>
          <w:szCs w:val="21"/>
          <w:highlight w:val="none"/>
          <w:lang w:bidi="ar"/>
        </w:rPr>
        <w:t>10）</w:t>
      </w:r>
      <w:r>
        <w:rPr>
          <w:color w:val="auto"/>
          <w:szCs w:val="21"/>
          <w:highlight w:val="none"/>
          <w:lang w:bidi="ar"/>
        </w:rPr>
        <w:t>项目负责人安全生产考核合格证明或在有效期内的安全考核合格证书（</w:t>
      </w:r>
      <w:r>
        <w:rPr>
          <w:rFonts w:hint="eastAsia" w:ascii="宋体" w:hAnsi="宋体" w:cs="宋体"/>
          <w:color w:val="auto"/>
          <w:szCs w:val="21"/>
          <w:highlight w:val="none"/>
          <w:lang w:bidi="ar"/>
        </w:rPr>
        <w:t>B类）或建筑施工企业项目负责人安全生产考核合格证书（取自平台内上传件）</w:t>
      </w:r>
      <w:r>
        <w:rPr>
          <w:color w:val="auto"/>
          <w:szCs w:val="21"/>
          <w:highlight w:val="none"/>
          <w:lang w:bidi="ar"/>
        </w:rPr>
        <w:t>；</w:t>
      </w:r>
    </w:p>
    <w:p>
      <w:pPr>
        <w:spacing w:line="360" w:lineRule="auto"/>
        <w:ind w:firstLine="420" w:firstLineChars="200"/>
        <w:rPr>
          <w:rFonts w:ascii="宋体"/>
          <w:color w:val="auto"/>
          <w:szCs w:val="21"/>
          <w:highlight w:val="none"/>
        </w:rPr>
      </w:pPr>
      <w:r>
        <w:rPr>
          <w:rFonts w:hint="eastAsia" w:ascii="宋体"/>
          <w:color w:val="auto"/>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color w:val="auto"/>
          <w:szCs w:val="21"/>
          <w:highlight w:val="none"/>
        </w:rPr>
      </w:pPr>
      <w:r>
        <w:rPr>
          <w:rFonts w:hint="eastAsia" w:ascii="宋体"/>
          <w:color w:val="auto"/>
          <w:szCs w:val="21"/>
          <w:highlight w:val="none"/>
        </w:rPr>
        <w:t>（12）用于资格审查的业绩（设置业绩要求时选择此项，投标人须提供类似工程业绩的项目名称及项目编号，具体格式由招标人自定）；</w:t>
      </w:r>
    </w:p>
    <w:p>
      <w:pPr>
        <w:spacing w:line="360" w:lineRule="auto"/>
        <w:ind w:firstLine="420" w:firstLineChars="200"/>
        <w:rPr>
          <w:rFonts w:ascii="宋体"/>
          <w:color w:val="auto"/>
          <w:szCs w:val="21"/>
          <w:highlight w:val="none"/>
        </w:rPr>
      </w:pPr>
      <w:r>
        <w:rPr>
          <w:rFonts w:hint="eastAsia" w:ascii="宋体"/>
          <w:color w:val="auto"/>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color w:val="auto"/>
          <w:szCs w:val="21"/>
          <w:highlight w:val="none"/>
        </w:rPr>
      </w:pPr>
      <w:r>
        <w:rPr>
          <w:rFonts w:hint="eastAsia" w:ascii="宋体"/>
          <w:color w:val="auto"/>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pPr>
        <w:spacing w:line="360" w:lineRule="auto"/>
        <w:ind w:firstLine="470" w:firstLineChars="224"/>
        <w:rPr>
          <w:rFonts w:ascii="宋体"/>
          <w:color w:val="auto"/>
          <w:szCs w:val="21"/>
          <w:highlight w:val="none"/>
        </w:rPr>
      </w:pPr>
      <w:r>
        <w:rPr>
          <w:rFonts w:hint="eastAsia" w:ascii="宋体"/>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color w:val="auto"/>
          <w:szCs w:val="21"/>
          <w:highlight w:val="none"/>
        </w:rPr>
      </w:pPr>
      <w:r>
        <w:rPr>
          <w:rFonts w:ascii="宋体"/>
          <w:color w:val="auto"/>
          <w:szCs w:val="21"/>
          <w:highlight w:val="none"/>
        </w:rPr>
        <w:t>11.2.3</w:t>
      </w:r>
      <w:r>
        <w:rPr>
          <w:rFonts w:hint="eastAsia" w:ascii="宋体"/>
          <w:color w:val="auto"/>
          <w:szCs w:val="21"/>
          <w:highlight w:val="none"/>
        </w:rPr>
        <w:t>项目管理机构配备。</w:t>
      </w:r>
    </w:p>
    <w:p>
      <w:pPr>
        <w:spacing w:line="360" w:lineRule="auto"/>
        <w:ind w:firstLine="420" w:firstLineChars="200"/>
        <w:rPr>
          <w:rFonts w:ascii="宋体"/>
          <w:color w:val="auto"/>
          <w:szCs w:val="21"/>
          <w:highlight w:val="none"/>
        </w:rPr>
      </w:pPr>
      <w:r>
        <w:rPr>
          <w:rFonts w:hint="eastAsia" w:ascii="宋体"/>
          <w:color w:val="auto"/>
          <w:szCs w:val="21"/>
          <w:highlight w:val="none"/>
        </w:rPr>
        <w:t>（</w:t>
      </w:r>
      <w:r>
        <w:rPr>
          <w:rFonts w:ascii="宋体"/>
          <w:color w:val="auto"/>
          <w:szCs w:val="21"/>
          <w:highlight w:val="none"/>
        </w:rPr>
        <w:t>1</w:t>
      </w:r>
      <w:r>
        <w:rPr>
          <w:rFonts w:hint="eastAsia" w:ascii="宋体"/>
          <w:color w:val="auto"/>
          <w:szCs w:val="21"/>
          <w:highlight w:val="none"/>
        </w:rPr>
        <w:t>）投标人应列出该项目工程的施工组织机构构成和画出机构框架图及其负责人；</w:t>
      </w:r>
    </w:p>
    <w:p>
      <w:pPr>
        <w:spacing w:line="360" w:lineRule="auto"/>
        <w:ind w:firstLine="420" w:firstLineChars="200"/>
        <w:rPr>
          <w:rFonts w:ascii="宋体"/>
          <w:color w:val="auto"/>
          <w:szCs w:val="21"/>
          <w:highlight w:val="none"/>
        </w:rPr>
      </w:pPr>
      <w:r>
        <w:rPr>
          <w:rFonts w:hint="eastAsia" w:ascii="宋体"/>
          <w:color w:val="auto"/>
          <w:szCs w:val="21"/>
          <w:highlight w:val="none"/>
        </w:rPr>
        <w:t>（</w:t>
      </w:r>
      <w:r>
        <w:rPr>
          <w:rFonts w:ascii="宋体"/>
          <w:color w:val="auto"/>
          <w:szCs w:val="21"/>
          <w:highlight w:val="none"/>
        </w:rPr>
        <w:t>2</w:t>
      </w:r>
      <w:r>
        <w:rPr>
          <w:rFonts w:hint="eastAsia" w:ascii="宋体"/>
          <w:color w:val="auto"/>
          <w:szCs w:val="21"/>
          <w:highlight w:val="none"/>
        </w:rPr>
        <w:t>）投标人应详细列出该施工组织机构中主要成员的名单、简历资料、职务职称和在本项目中拟担任的职务等资料，并附上有关证明材料扫描件；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color w:val="auto"/>
          <w:szCs w:val="21"/>
          <w:highlight w:val="none"/>
        </w:rPr>
      </w:pPr>
      <w:r>
        <w:rPr>
          <w:rFonts w:hint="eastAsia" w:ascii="宋体"/>
          <w:color w:val="auto"/>
          <w:szCs w:val="21"/>
          <w:highlight w:val="none"/>
        </w:rPr>
        <w:t>（</w:t>
      </w:r>
      <w:r>
        <w:rPr>
          <w:rFonts w:ascii="宋体"/>
          <w:color w:val="auto"/>
          <w:szCs w:val="21"/>
          <w:highlight w:val="none"/>
        </w:rPr>
        <w:t>3</w:t>
      </w:r>
      <w:r>
        <w:rPr>
          <w:rFonts w:hint="eastAsia" w:ascii="宋体"/>
          <w:color w:val="auto"/>
          <w:szCs w:val="21"/>
          <w:highlight w:val="none"/>
        </w:rPr>
        <w:t>）其他辅助说明资料。</w:t>
      </w:r>
    </w:p>
    <w:p>
      <w:pPr>
        <w:spacing w:line="360" w:lineRule="auto"/>
        <w:ind w:firstLine="420" w:firstLineChars="200"/>
        <w:rPr>
          <w:rFonts w:ascii="宋体"/>
          <w:color w:val="auto"/>
          <w:szCs w:val="21"/>
          <w:highlight w:val="none"/>
        </w:rPr>
      </w:pPr>
      <w:r>
        <w:rPr>
          <w:rFonts w:ascii="宋体"/>
          <w:color w:val="auto"/>
          <w:szCs w:val="21"/>
          <w:highlight w:val="none"/>
        </w:rPr>
        <w:t>11.2.4</w:t>
      </w:r>
      <w:r>
        <w:rPr>
          <w:rFonts w:hint="eastAsia" w:ascii="宋体"/>
          <w:color w:val="auto"/>
          <w:szCs w:val="21"/>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20" w:firstLineChars="200"/>
        <w:rPr>
          <w:rFonts w:ascii="宋体"/>
          <w:color w:val="auto"/>
          <w:szCs w:val="21"/>
          <w:highlight w:val="none"/>
        </w:rPr>
      </w:pPr>
      <w:r>
        <w:rPr>
          <w:rFonts w:ascii="宋体"/>
          <w:color w:val="auto"/>
          <w:szCs w:val="21"/>
          <w:highlight w:val="none"/>
        </w:rPr>
        <w:t>11.2.5</w:t>
      </w:r>
      <w:r>
        <w:rPr>
          <w:rFonts w:hint="eastAsia" w:ascii="宋体"/>
          <w:color w:val="auto"/>
          <w:szCs w:val="21"/>
          <w:highlight w:val="none"/>
        </w:rPr>
        <w:t>施工组织设计或施工方案。</w:t>
      </w:r>
      <w:r>
        <w:rPr>
          <w:rFonts w:hint="eastAsia" w:ascii="宋体" w:hAnsi="宋体" w:cs="宋体"/>
          <w:color w:val="auto"/>
          <w:szCs w:val="21"/>
          <w:highlight w:val="none"/>
          <w:lang w:bidi="ar"/>
        </w:rPr>
        <w:t>（投标人在编制施工组织设计或施工方案时应按照招标人提出的施工现场建筑垃圾源头减量的具体要求以及建筑垃圾综合利用产品的使用要求提供相应措施。）</w:t>
      </w:r>
    </w:p>
    <w:p>
      <w:pPr>
        <w:spacing w:line="360" w:lineRule="auto"/>
        <w:ind w:firstLine="424" w:firstLineChars="202"/>
        <w:rPr>
          <w:rFonts w:ascii="宋体"/>
          <w:color w:val="auto"/>
          <w:szCs w:val="21"/>
          <w:highlight w:val="none"/>
        </w:rPr>
      </w:pPr>
      <w:r>
        <w:rPr>
          <w:rFonts w:ascii="宋体"/>
          <w:color w:val="auto"/>
          <w:szCs w:val="21"/>
          <w:highlight w:val="none"/>
        </w:rPr>
        <w:t>11.2.</w:t>
      </w:r>
      <w:r>
        <w:rPr>
          <w:rFonts w:hint="eastAsia" w:ascii="宋体"/>
          <w:color w:val="auto"/>
          <w:szCs w:val="21"/>
          <w:highlight w:val="none"/>
        </w:rPr>
        <w:t>6按照招标文件要求填写的《参与编制技术标投标文件人员名单》。</w:t>
      </w:r>
    </w:p>
    <w:p>
      <w:pPr>
        <w:spacing w:line="360" w:lineRule="auto"/>
        <w:ind w:firstLine="411" w:firstLineChars="195"/>
        <w:rPr>
          <w:rFonts w:ascii="宋体" w:hAnsi="宋体" w:cs="宋体"/>
          <w:bCs/>
          <w:color w:val="auto"/>
          <w:szCs w:val="21"/>
          <w:highlight w:val="none"/>
        </w:rPr>
      </w:pPr>
      <w:r>
        <w:rPr>
          <w:rFonts w:hint="eastAsia"/>
          <w:b/>
          <w:color w:val="auto"/>
          <w:szCs w:val="21"/>
          <w:highlight w:val="none"/>
        </w:rPr>
        <w:t>现文：</w:t>
      </w:r>
      <w:r>
        <w:rPr>
          <w:rFonts w:hint="eastAsia" w:ascii="宋体" w:hAnsi="宋体" w:cs="宋体"/>
          <w:bCs/>
          <w:color w:val="auto"/>
          <w:szCs w:val="21"/>
          <w:highlight w:val="none"/>
        </w:rPr>
        <w:t>11.2投标文件技术标部分</w:t>
      </w:r>
      <w:r>
        <w:rPr>
          <w:rFonts w:hint="eastAsia" w:ascii="宋体" w:hAnsi="宋体" w:cs="宋体"/>
          <w:color w:val="auto"/>
          <w:szCs w:val="21"/>
          <w:highlight w:val="none"/>
          <w:u w:val="single"/>
        </w:rPr>
        <w:t>（含资格审查文件）</w:t>
      </w:r>
      <w:r>
        <w:rPr>
          <w:rFonts w:hint="eastAsia" w:ascii="宋体" w:hAnsi="宋体" w:cs="宋体"/>
          <w:bCs/>
          <w:color w:val="auto"/>
          <w:szCs w:val="21"/>
          <w:highlight w:val="none"/>
        </w:rPr>
        <w:t>主要包括下列内容</w:t>
      </w:r>
      <w:r>
        <w:rPr>
          <w:rFonts w:hint="eastAsia" w:ascii="宋体" w:hAnsi="宋体" w:cs="宋体"/>
          <w:color w:val="auto"/>
          <w:szCs w:val="21"/>
          <w:highlight w:val="none"/>
          <w:u w:val="single"/>
        </w:rPr>
        <w:t>（除注明原件外，均为清晰扫描件即可）</w:t>
      </w:r>
      <w:r>
        <w:rPr>
          <w:rFonts w:hint="eastAsia" w:ascii="宋体" w:hAnsi="宋体" w:cs="宋体"/>
          <w:bCs/>
          <w:color w:val="auto"/>
          <w:szCs w:val="21"/>
          <w:highlight w:val="none"/>
        </w:rPr>
        <w:t>:</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11.2.1</w:t>
      </w:r>
      <w:r>
        <w:rPr>
          <w:rFonts w:hint="eastAsia" w:ascii="宋体" w:hAnsi="宋体" w:cs="宋体"/>
          <w:bCs/>
          <w:color w:val="auto"/>
          <w:szCs w:val="21"/>
          <w:highlight w:val="none"/>
          <w:u w:val="single"/>
        </w:rPr>
        <w:t>广州建设工程施工招标投标书(需按招标文件第四章要求的格式填写，具体格式以《广州建设工程施工招标投标书（技术标）》为准；电子投标管理软件编制的“广州建设工程施工招标投标书”不作为否决投标的条件。</w:t>
      </w:r>
    </w:p>
    <w:p>
      <w:pPr>
        <w:spacing w:line="4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spacing w:line="4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（1）投标人声明</w:t>
      </w:r>
      <w:r>
        <w:rPr>
          <w:rFonts w:hint="eastAsia" w:ascii="宋体" w:hAnsi="宋体" w:cs="宋体"/>
          <w:bCs/>
          <w:color w:val="auto"/>
          <w:szCs w:val="21"/>
          <w:highlight w:val="none"/>
          <w:u w:val="single"/>
        </w:rPr>
        <w:t>（须按招标公告附件内容及格式要求编制）</w:t>
      </w:r>
      <w:r>
        <w:rPr>
          <w:rFonts w:hint="eastAsia" w:ascii="宋体" w:hAnsi="宋体" w:cs="宋体"/>
          <w:bCs/>
          <w:color w:val="auto"/>
          <w:szCs w:val="21"/>
          <w:highlight w:val="none"/>
        </w:rPr>
        <w:t xml:space="preserve">； </w:t>
      </w:r>
    </w:p>
    <w:p>
      <w:pPr>
        <w:spacing w:line="4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4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（3）企业营业执照</w:t>
      </w:r>
      <w:r>
        <w:rPr>
          <w:rFonts w:hint="eastAsia" w:ascii="宋体" w:hAnsi="宋体" w:cs="宋体"/>
          <w:bCs/>
          <w:color w:val="auto"/>
          <w:szCs w:val="21"/>
          <w:highlight w:val="none"/>
          <w:u w:val="single"/>
        </w:rPr>
        <w:t>（取自广州市住建行业信用管理平台上传件）</w:t>
      </w:r>
      <w:r>
        <w:rPr>
          <w:rFonts w:hint="eastAsia" w:ascii="宋体" w:hAnsi="宋体" w:cs="宋体"/>
          <w:bCs/>
          <w:color w:val="auto"/>
          <w:szCs w:val="21"/>
          <w:highlight w:val="none"/>
        </w:rPr>
        <w:t>；</w:t>
      </w:r>
    </w:p>
    <w:p>
      <w:pPr>
        <w:spacing w:line="4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（4）企业资质证书</w:t>
      </w:r>
      <w:r>
        <w:rPr>
          <w:rFonts w:hint="eastAsia" w:ascii="宋体" w:hAnsi="宋体" w:cs="宋体"/>
          <w:bCs/>
          <w:color w:val="auto"/>
          <w:szCs w:val="21"/>
          <w:highlight w:val="none"/>
          <w:u w:val="single"/>
        </w:rPr>
        <w:t>（取自广州市住建行业信用管理平台上传件）</w:t>
      </w:r>
      <w:r>
        <w:rPr>
          <w:rFonts w:hint="eastAsia" w:ascii="宋体" w:hAnsi="宋体" w:cs="宋体"/>
          <w:bCs/>
          <w:color w:val="auto"/>
          <w:szCs w:val="21"/>
          <w:highlight w:val="none"/>
        </w:rPr>
        <w:t>；</w:t>
      </w:r>
    </w:p>
    <w:p>
      <w:pPr>
        <w:spacing w:line="4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w:t>
      </w:r>
      <w:r>
        <w:rPr>
          <w:rFonts w:hint="eastAsia" w:ascii="宋体" w:hAnsi="宋体" w:cs="宋体"/>
          <w:bCs/>
          <w:color w:val="auto"/>
          <w:szCs w:val="21"/>
          <w:highlight w:val="none"/>
          <w:u w:val="single"/>
        </w:rPr>
        <w:t>（取自广州市住建行业信用管理平台上传件）</w:t>
      </w:r>
      <w:r>
        <w:rPr>
          <w:rFonts w:hint="eastAsia" w:ascii="宋体" w:hAnsi="宋体" w:cs="宋体"/>
          <w:bCs/>
          <w:color w:val="auto"/>
          <w:szCs w:val="21"/>
          <w:highlight w:val="none"/>
        </w:rPr>
        <w:t>；</w:t>
      </w:r>
    </w:p>
    <w:p>
      <w:pPr>
        <w:spacing w:line="4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pacing w:line="4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46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（8）</w:t>
      </w:r>
      <w:r>
        <w:rPr>
          <w:rFonts w:hint="eastAsia" w:ascii="宋体" w:hAnsi="宋体" w:cs="宋体"/>
          <w:bCs/>
          <w:color w:val="auto"/>
          <w:szCs w:val="21"/>
          <w:highlight w:val="none"/>
          <w:u w:val="single"/>
        </w:rPr>
        <w:t>拟委派技术负责人的职称证书（提供清晰扫描件或广州市住建行业信用管理平台上传件）；</w:t>
      </w:r>
    </w:p>
    <w:p>
      <w:pPr>
        <w:spacing w:line="4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（9）拟委派项目负责人的建造师注册证书</w:t>
      </w:r>
      <w:r>
        <w:rPr>
          <w:rFonts w:hint="eastAsia" w:ascii="宋体" w:hAnsi="宋体" w:cs="宋体"/>
          <w:bCs/>
          <w:color w:val="auto"/>
          <w:szCs w:val="21"/>
          <w:highlight w:val="none"/>
          <w:u w:val="single"/>
        </w:rPr>
        <w:t>（取自广州市住建行业信用管理平台上传件）</w:t>
      </w:r>
      <w:r>
        <w:rPr>
          <w:rFonts w:hint="eastAsia" w:ascii="宋体" w:hAnsi="宋体" w:cs="宋体"/>
          <w:bCs/>
          <w:color w:val="auto"/>
          <w:szCs w:val="21"/>
          <w:highlight w:val="none"/>
        </w:rPr>
        <w:t>；</w:t>
      </w:r>
    </w:p>
    <w:p>
      <w:pPr>
        <w:spacing w:line="4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（10）项目负责人安全生产考核合格证明或在有效期内的安全考核合格证书（B类）或建筑施工企业项目负责人安全生产考核合格证书（取自广州市住建行业信用管理平台上传件）；</w:t>
      </w:r>
    </w:p>
    <w:p>
      <w:pPr>
        <w:spacing w:line="4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（11）专职安全员须具有在有效期内的安全考核合格证书（C类）或建筑施工企业专职安全生产管理人员安全生产考核合格证书（C3类）（取自</w:t>
      </w:r>
      <w:r>
        <w:rPr>
          <w:rFonts w:hint="eastAsia" w:ascii="宋体" w:hAnsi="宋体" w:cs="宋体"/>
          <w:bCs/>
          <w:color w:val="auto"/>
          <w:szCs w:val="21"/>
          <w:highlight w:val="none"/>
          <w:u w:val="single"/>
        </w:rPr>
        <w:t>广州市住建行业信用管理平台</w:t>
      </w:r>
      <w:r>
        <w:rPr>
          <w:rFonts w:hint="eastAsia" w:ascii="宋体" w:hAnsi="宋体" w:cs="宋体"/>
          <w:bCs/>
          <w:color w:val="auto"/>
          <w:szCs w:val="21"/>
          <w:highlight w:val="none"/>
        </w:rPr>
        <w:t>上传件）；</w:t>
      </w:r>
    </w:p>
    <w:p>
      <w:pPr>
        <w:spacing w:line="4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（12）资格审查前，投标人须在广州市住房和城乡建设局建立企业诚信档案，拟担任本工程项目负责人、专职安全员须是本企业诚信档案中的在册人员。</w:t>
      </w:r>
    </w:p>
    <w:p>
      <w:pPr>
        <w:spacing w:line="360" w:lineRule="auto"/>
        <w:ind w:firstLine="409" w:firstLineChars="195"/>
        <w:rPr>
          <w:rFonts w:ascii="宋体" w:hAnsi="宋体" w:cs="宋体"/>
          <w:bCs/>
          <w:color w:val="auto"/>
          <w:szCs w:val="21"/>
          <w:highlight w:val="none"/>
          <w:u w:val="single"/>
        </w:rPr>
      </w:pPr>
      <w:r>
        <w:rPr>
          <w:rFonts w:hint="eastAsia" w:ascii="宋体" w:hAnsi="宋体" w:cs="宋体"/>
          <w:bCs/>
          <w:color w:val="auto"/>
          <w:szCs w:val="21"/>
          <w:highlight w:val="none"/>
          <w:u w:val="single"/>
        </w:rPr>
        <w:t>（13）投标人未被列入拖欠农民工工资失信联合惩戒对象名单（具体名单以递交投标文件截止时间“信用广州”https://credit1.gz.gov.cn/publicity/punishGz公布的“严重拖欠农民工工资黑名单信息”为准）。</w:t>
      </w:r>
    </w:p>
    <w:p>
      <w:pPr>
        <w:spacing w:line="360" w:lineRule="auto"/>
        <w:ind w:firstLine="409" w:firstLineChars="195"/>
        <w:rPr>
          <w:rFonts w:ascii="宋体" w:hAnsi="宋体" w:cs="宋体"/>
          <w:bCs/>
          <w:color w:val="auto"/>
          <w:szCs w:val="21"/>
          <w:highlight w:val="none"/>
          <w:u w:val="single"/>
        </w:rPr>
      </w:pPr>
      <w:r>
        <w:rPr>
          <w:rFonts w:hint="eastAsia" w:ascii="宋体" w:hAnsi="宋体" w:cs="宋体"/>
          <w:bCs/>
          <w:color w:val="auto"/>
          <w:szCs w:val="21"/>
          <w:highlight w:val="none"/>
          <w:u w:val="single"/>
        </w:rPr>
        <w:t>（14）投标人认为应提供的其他资料。</w:t>
      </w:r>
    </w:p>
    <w:p>
      <w:pPr>
        <w:spacing w:line="360" w:lineRule="auto"/>
        <w:ind w:firstLine="409" w:firstLineChars="195"/>
        <w:rPr>
          <w:rFonts w:ascii="宋体" w:hAnsi="宋体" w:cs="宋体"/>
          <w:color w:val="auto"/>
          <w:szCs w:val="21"/>
          <w:highlight w:val="none"/>
          <w:u w:val="single"/>
        </w:rPr>
      </w:pPr>
      <w:r>
        <w:rPr>
          <w:rFonts w:hint="eastAsia" w:ascii="宋体" w:hAnsi="宋体" w:cs="宋体"/>
          <w:color w:val="auto"/>
          <w:szCs w:val="21"/>
          <w:highlight w:val="none"/>
          <w:u w:val="single"/>
        </w:rPr>
        <w:t>注：</w:t>
      </w:r>
    </w:p>
    <w:p>
      <w:pPr>
        <w:spacing w:line="360" w:lineRule="auto"/>
        <w:ind w:firstLine="409" w:firstLineChars="195"/>
        <w:rPr>
          <w:rFonts w:ascii="宋体" w:hAnsi="宋体" w:cs="宋体"/>
          <w:bCs/>
          <w:color w:val="auto"/>
          <w:szCs w:val="21"/>
          <w:highlight w:val="none"/>
          <w:u w:val="single"/>
        </w:rPr>
      </w:pPr>
      <w:r>
        <w:rPr>
          <w:rFonts w:hint="eastAsia" w:ascii="宋体" w:hAnsi="宋体" w:cs="宋体"/>
          <w:color w:val="auto"/>
          <w:szCs w:val="21"/>
          <w:highlight w:val="none"/>
          <w:u w:val="single"/>
        </w:rPr>
        <w:t>1、上述第</w:t>
      </w:r>
      <w:r>
        <w:rPr>
          <w:rFonts w:hint="eastAsia" w:ascii="宋体" w:hAnsi="宋体" w:cs="宋体"/>
          <w:bCs/>
          <w:color w:val="auto"/>
          <w:szCs w:val="21"/>
          <w:highlight w:val="none"/>
          <w:u w:val="single"/>
        </w:rPr>
        <w:t>11.2.2（3）—（12）条没有要求提交的资料，不作为资格审查不合格的依据。</w:t>
      </w:r>
    </w:p>
    <w:p>
      <w:pPr>
        <w:pBdr>
          <w:bottom w:val="single" w:color="auto" w:sz="6" w:space="1"/>
        </w:pBdr>
        <w:spacing w:line="360" w:lineRule="auto"/>
        <w:ind w:firstLine="409" w:firstLineChars="195"/>
        <w:rPr>
          <w:rFonts w:ascii="宋体" w:hAnsi="宋体" w:cs="宋体"/>
          <w:bCs/>
          <w:color w:val="auto"/>
          <w:szCs w:val="21"/>
          <w:highlight w:val="none"/>
          <w:u w:val="single"/>
        </w:rPr>
      </w:pPr>
      <w:r>
        <w:rPr>
          <w:rFonts w:hint="eastAsia" w:ascii="宋体" w:hAnsi="宋体" w:cs="宋体"/>
          <w:color w:val="auto"/>
          <w:szCs w:val="21"/>
          <w:highlight w:val="none"/>
          <w:u w:val="single"/>
        </w:rPr>
        <w:t>11.2.3《投标函》（格式见第四章）。</w:t>
      </w:r>
    </w:p>
    <w:p>
      <w:pPr>
        <w:pBdr>
          <w:bottom w:val="single" w:color="auto" w:sz="6" w:space="1"/>
        </w:pBdr>
        <w:spacing w:line="360" w:lineRule="auto"/>
        <w:ind w:firstLine="409" w:firstLineChars="195"/>
        <w:rPr>
          <w:rFonts w:ascii="宋体" w:hAnsi="宋体" w:cs="宋体"/>
          <w:color w:val="auto"/>
          <w:szCs w:val="21"/>
          <w:highlight w:val="none"/>
          <w:u w:val="single"/>
        </w:rPr>
      </w:pPr>
      <w:r>
        <w:rPr>
          <w:rFonts w:hint="eastAsia" w:ascii="宋体" w:hAnsi="宋体" w:cs="宋体"/>
          <w:color w:val="auto"/>
          <w:szCs w:val="21"/>
          <w:highlight w:val="none"/>
          <w:u w:val="single"/>
        </w:rPr>
        <w:t>11.2.4《施工项目管理团队人员信息表》、《主要人员简历表》（投标人需按相应表格备注要求提供相关资料）（格式见招标公告及招标文件第四章）。</w:t>
      </w:r>
    </w:p>
    <w:p>
      <w:pPr>
        <w:pBdr>
          <w:bottom w:val="single" w:color="auto" w:sz="6" w:space="1"/>
        </w:pBd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u w:val="single"/>
        </w:rPr>
        <w:t>11.2.5企业资信的证明材料（按附表四要求提交，招标文件有规定格式的，需按招标文件格式提供，无格式要求的，格式自拟）。</w:t>
      </w:r>
    </w:p>
    <w:p>
      <w:pPr>
        <w:pBdr>
          <w:bottom w:val="single" w:color="auto" w:sz="6" w:space="1"/>
        </w:pBd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u w:val="single"/>
        </w:rPr>
        <w:t>11.2.6《危险性较大的分部分项工程安全管理措施》（格式见第四章）。</w:t>
      </w:r>
    </w:p>
    <w:p>
      <w:pPr>
        <w:pBdr>
          <w:bottom w:val="single" w:color="auto" w:sz="6" w:space="1"/>
        </w:pBd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u w:val="single"/>
        </w:rPr>
        <w:t>11.2.7《参与编制技术标投标文件人员名单》（格式见第四章）</w:t>
      </w:r>
      <w:r>
        <w:rPr>
          <w:rFonts w:hint="eastAsia" w:ascii="宋体" w:hAnsi="宋体" w:cs="宋体"/>
          <w:color w:val="auto"/>
          <w:szCs w:val="21"/>
          <w:highlight w:val="none"/>
        </w:rPr>
        <w:t>。</w:t>
      </w:r>
    </w:p>
    <w:p>
      <w:pPr>
        <w:pBdr>
          <w:bottom w:val="single" w:color="auto" w:sz="6" w:space="1"/>
        </w:pBdr>
        <w:spacing w:line="360" w:lineRule="auto"/>
        <w:ind w:firstLine="525" w:firstLineChars="250"/>
        <w:rPr>
          <w:color w:val="auto"/>
          <w:szCs w:val="21"/>
          <w:highlight w:val="none"/>
        </w:rPr>
      </w:pPr>
      <w:r>
        <w:rPr>
          <w:rFonts w:hint="eastAsia" w:ascii="宋体" w:hAnsi="宋体" w:cs="宋体"/>
          <w:color w:val="auto"/>
          <w:szCs w:val="21"/>
          <w:highlight w:val="none"/>
          <w:u w:val="single"/>
        </w:rPr>
        <w:t>11.2.8投标保证金缴纳证明资料（如采用投标保函或投标保证保险形式，且未在开标前提交纸质原件，也未以交易系统支持的电子保函或电子投标保证保险递交的，须提供该项资料）</w:t>
      </w:r>
      <w:r>
        <w:rPr>
          <w:rFonts w:hint="eastAsia" w:ascii="宋体" w:hAnsi="宋体"/>
          <w:color w:val="auto"/>
          <w:szCs w:val="21"/>
          <w:highlight w:val="none"/>
          <w:u w:val="single"/>
        </w:rPr>
        <w:t>。</w:t>
      </w:r>
    </w:p>
    <w:p>
      <w:pP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条款号：11.3                      修改类型：修改</w:t>
      </w:r>
    </w:p>
    <w:p>
      <w:pPr>
        <w:spacing w:line="360" w:lineRule="auto"/>
        <w:ind w:firstLine="411" w:firstLineChars="195"/>
        <w:rPr>
          <w:rFonts w:ascii="宋体" w:hAnsi="宋体" w:cs="宋体"/>
          <w:bCs/>
          <w:color w:val="auto"/>
          <w:szCs w:val="21"/>
          <w:highlight w:val="none"/>
        </w:rPr>
      </w:pPr>
      <w:r>
        <w:rPr>
          <w:rFonts w:hint="eastAsia" w:ascii="宋体" w:hAnsi="宋体" w:cs="宋体"/>
          <w:b/>
          <w:bCs/>
          <w:color w:val="auto"/>
          <w:szCs w:val="21"/>
          <w:highlight w:val="none"/>
        </w:rPr>
        <w:t>原文：</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11.3 经济部分投标文件主要包括下列内容：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11.3.1 经济投标文件(按招标文件的要求填写)。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（1）投标总价封面、扉页；</w:t>
      </w:r>
    </w:p>
    <w:p>
      <w:pPr>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（2）总说明</w:t>
      </w:r>
    </w:p>
    <w:p>
      <w:pPr>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（3）工程项目投标报价汇总表；</w:t>
      </w:r>
    </w:p>
    <w:p>
      <w:pPr>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（4）单项工程投标报价汇总表；</w:t>
      </w:r>
    </w:p>
    <w:p>
      <w:pPr>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（5）单位工程投标报价汇总表；</w:t>
      </w:r>
    </w:p>
    <w:p>
      <w:pPr>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（6）分部分项工程清单与计价表；</w:t>
      </w:r>
    </w:p>
    <w:p>
      <w:pPr>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（7）单价措施项目清单与计价表；</w:t>
      </w:r>
    </w:p>
    <w:p>
      <w:pPr>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（8）总价措施项目清单与计价表；</w:t>
      </w:r>
    </w:p>
    <w:p>
      <w:pPr>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（9）综合单价分析表；</w:t>
      </w:r>
    </w:p>
    <w:p>
      <w:pPr>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（10）其他项目清单与计价汇总表；</w:t>
      </w:r>
    </w:p>
    <w:p>
      <w:pPr>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（11）暂列金额明细表；</w:t>
      </w:r>
    </w:p>
    <w:p>
      <w:pPr>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（12）材料（工程设备）暂估价明细表；</w:t>
      </w:r>
    </w:p>
    <w:p>
      <w:pPr>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（13）专业工程暂估价明细表；</w:t>
      </w:r>
    </w:p>
    <w:p>
      <w:pPr>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（14）计日工表；</w:t>
      </w:r>
    </w:p>
    <w:p>
      <w:pPr>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（15）总承包服务计价表；</w:t>
      </w:r>
    </w:p>
    <w:p>
      <w:pPr>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（16）规费和税金项目计价表；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（17）人工、主要材料和设备一览表</w:t>
      </w:r>
    </w:p>
    <w:p>
      <w:pPr>
        <w:tabs>
          <w:tab w:val="left" w:pos="112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11.3.3按照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填写的《参与编制经济标投标文件人员名单》。</w:t>
      </w:r>
    </w:p>
    <w:p>
      <w:pPr>
        <w:tabs>
          <w:tab w:val="left" w:pos="112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现文：</w:t>
      </w:r>
    </w:p>
    <w:p>
      <w:pPr>
        <w:pBdr>
          <w:bottom w:val="single" w:color="auto" w:sz="6" w:space="1"/>
        </w:pBdr>
        <w:adjustRightInd w:val="0"/>
        <w:spacing w:line="360" w:lineRule="auto"/>
        <w:ind w:firstLine="409" w:firstLineChars="195"/>
        <w:textAlignment w:val="baseline"/>
        <w:rPr>
          <w:rFonts w:ascii="宋体" w:hAnsi="宋体" w:cs="宋体"/>
          <w:b/>
          <w:color w:val="auto"/>
          <w:szCs w:val="21"/>
          <w:highlight w:val="none"/>
        </w:rPr>
      </w:pPr>
      <w:r>
        <w:rPr>
          <w:rFonts w:hint="eastAsia" w:ascii="宋体" w:hAnsi="宋体" w:cs="宋体"/>
          <w:bCs/>
          <w:color w:val="auto"/>
          <w:szCs w:val="21"/>
          <w:highlight w:val="none"/>
        </w:rPr>
        <w:t>11.3 经济标投标文件主要包括下列内容：</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rPr>
        <w:t>11.3.1</w:t>
      </w:r>
      <w:r>
        <w:rPr>
          <w:rFonts w:hint="eastAsia" w:ascii="宋体" w:hAnsi="宋体" w:cs="宋体"/>
          <w:bCs/>
          <w:color w:val="auto"/>
          <w:szCs w:val="21"/>
          <w:highlight w:val="none"/>
          <w:u w:val="single"/>
        </w:rPr>
        <w:t>广州建设工程施工招标投标书</w:t>
      </w:r>
      <w:r>
        <w:rPr>
          <w:rFonts w:ascii="宋体" w:hAnsi="宋体" w:cs="宋体"/>
          <w:bCs/>
          <w:color w:val="auto"/>
          <w:szCs w:val="21"/>
          <w:highlight w:val="none"/>
          <w:u w:val="single"/>
        </w:rPr>
        <w:t>(需按招标文件第四章要求的格式填写，具体格式以《广州建设工程施工招标投标书（</w:t>
      </w:r>
      <w:r>
        <w:rPr>
          <w:rFonts w:hint="eastAsia" w:ascii="宋体" w:hAnsi="宋体" w:cs="宋体"/>
          <w:bCs/>
          <w:color w:val="auto"/>
          <w:szCs w:val="21"/>
          <w:highlight w:val="none"/>
          <w:u w:val="single"/>
        </w:rPr>
        <w:t>经济</w:t>
      </w:r>
      <w:r>
        <w:rPr>
          <w:rFonts w:ascii="宋体" w:hAnsi="宋体" w:cs="宋体"/>
          <w:bCs/>
          <w:color w:val="auto"/>
          <w:szCs w:val="21"/>
          <w:highlight w:val="none"/>
          <w:u w:val="single"/>
        </w:rPr>
        <w:t>标）》为准；电子投标管理软件编制的“广州建设工程施工招标投标书”不作为否决投标的条件</w:t>
      </w:r>
      <w:r>
        <w:rPr>
          <w:rFonts w:hint="eastAsia" w:ascii="宋体" w:hAnsi="宋体" w:cs="宋体"/>
          <w:color w:val="auto"/>
          <w:szCs w:val="21"/>
          <w:highlight w:val="none"/>
        </w:rPr>
        <w:t>。</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rPr>
        <w:t>（1）投标总价封面、扉页；</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rPr>
        <w:t>（2）总说明；</w:t>
      </w:r>
    </w:p>
    <w:p>
      <w:pPr>
        <w:pBdr>
          <w:bottom w:val="single" w:color="auto" w:sz="6" w:space="1"/>
        </w:pBdr>
        <w:adjustRightInd w:val="0"/>
        <w:spacing w:line="360" w:lineRule="auto"/>
        <w:ind w:firstLine="409" w:firstLineChars="195"/>
        <w:textAlignment w:val="baseline"/>
        <w:rPr>
          <w:rFonts w:ascii="宋体" w:hAnsi="宋体" w:cs="宋体"/>
          <w:b/>
          <w:color w:val="auto"/>
          <w:szCs w:val="21"/>
          <w:highlight w:val="none"/>
        </w:rPr>
      </w:pPr>
      <w:r>
        <w:rPr>
          <w:rFonts w:hint="eastAsia" w:ascii="宋体" w:hAnsi="宋体" w:cs="宋体"/>
          <w:color w:val="auto"/>
          <w:szCs w:val="21"/>
          <w:highlight w:val="none"/>
          <w:u w:val="single"/>
        </w:rPr>
        <w:t>（3）工程量清单报价表及综合单价分析表（相关表格的内容及格式要求以招标人发出的最新版电子招标文件中的相应内容及格式为准）；</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u w:val="single"/>
        </w:rPr>
        <w:t>（4）其它辅助说明资料（包括但不限于招标文件要求填写的《对投标文件编制的承诺》（格式见第四章））</w:t>
      </w:r>
      <w:r>
        <w:rPr>
          <w:rFonts w:hint="eastAsia" w:ascii="宋体" w:hAnsi="宋体" w:cs="宋体"/>
          <w:color w:val="auto"/>
          <w:szCs w:val="21"/>
          <w:highlight w:val="none"/>
        </w:rPr>
        <w:t>。</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rPr>
        <w:t>11.3.3按照招标文件要求填写的《参与编制经济标投标文件人员名单》</w:t>
      </w:r>
      <w:r>
        <w:rPr>
          <w:rFonts w:hint="eastAsia" w:ascii="宋体" w:hAnsi="宋体" w:cs="宋体"/>
          <w:color w:val="auto"/>
          <w:szCs w:val="21"/>
          <w:highlight w:val="none"/>
          <w:u w:val="single"/>
        </w:rPr>
        <w:t>（格式见第四章）</w:t>
      </w:r>
      <w:r>
        <w:rPr>
          <w:rFonts w:hint="eastAsia" w:ascii="宋体" w:hAnsi="宋体" w:cs="宋体"/>
          <w:color w:val="auto"/>
          <w:szCs w:val="21"/>
          <w:highlight w:val="none"/>
        </w:rPr>
        <w:t>。</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u w:val="single"/>
        </w:rPr>
        <w:t>11.3.5投标人认为应提供的其他资料。</w:t>
      </w:r>
    </w:p>
    <w:p>
      <w:pPr>
        <w:pBdr>
          <w:top w:val="single" w:color="auto" w:sz="4" w:space="1"/>
        </w:pBdr>
        <w:spacing w:line="480" w:lineRule="auto"/>
        <w:ind w:firstLine="472" w:firstLineChars="224"/>
        <w:rPr>
          <w:b/>
          <w:color w:val="auto"/>
          <w:szCs w:val="21"/>
          <w:highlight w:val="none"/>
        </w:rPr>
      </w:pPr>
      <w:r>
        <w:rPr>
          <w:rFonts w:hint="eastAsia"/>
          <w:b/>
          <w:color w:val="auto"/>
          <w:szCs w:val="21"/>
          <w:highlight w:val="none"/>
        </w:rPr>
        <w:t>条款号：</w:t>
      </w:r>
      <w:r>
        <w:rPr>
          <w:b/>
          <w:color w:val="auto"/>
          <w:szCs w:val="21"/>
          <w:highlight w:val="none"/>
        </w:rPr>
        <w:t xml:space="preserve">12.2             </w:t>
      </w:r>
      <w:r>
        <w:rPr>
          <w:rFonts w:hint="eastAsia"/>
          <w:b/>
          <w:color w:val="auto"/>
          <w:szCs w:val="21"/>
          <w:highlight w:val="none"/>
        </w:rPr>
        <w:t>修改类型：修改</w:t>
      </w:r>
    </w:p>
    <w:p>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ascii="宋体" w:hAnsi="宋体"/>
          <w:color w:val="auto"/>
          <w:szCs w:val="21"/>
          <w:highlight w:val="none"/>
        </w:rPr>
        <w:t xml:space="preserve">12.2 </w:t>
      </w:r>
      <w:r>
        <w:rPr>
          <w:rFonts w:hint="eastAsia" w:ascii="宋体" w:hAnsi="宋体"/>
          <w:color w:val="auto"/>
          <w:szCs w:val="21"/>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auto"/>
          <w:szCs w:val="21"/>
          <w:highlight w:val="none"/>
        </w:rPr>
        <w:t>全流程电子化项目的相关指南进行操作。详见：</w:t>
      </w:r>
      <w:r>
        <w:rPr>
          <w:color w:val="auto"/>
          <w:szCs w:val="21"/>
          <w:highlight w:val="none"/>
          <w:u w:val="single"/>
        </w:rPr>
        <w:t xml:space="preserve">      </w:t>
      </w:r>
      <w:r>
        <w:rPr>
          <w:rFonts w:hint="eastAsia"/>
          <w:color w:val="auto"/>
          <w:szCs w:val="21"/>
          <w:highlight w:val="none"/>
        </w:rPr>
        <w:t>。</w:t>
      </w:r>
    </w:p>
    <w:p>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ascii="宋体" w:hAnsi="宋体"/>
          <w:color w:val="auto"/>
          <w:szCs w:val="21"/>
          <w:highlight w:val="none"/>
        </w:rPr>
        <w:t>12.2</w:t>
      </w:r>
      <w:r>
        <w:rPr>
          <w:rFonts w:hint="eastAsia"/>
          <w:color w:val="auto"/>
          <w:szCs w:val="21"/>
          <w:highlight w:val="none"/>
        </w:rPr>
        <w:t>投标文件全部采用电子文档，投标文件所附证书证件均为清晰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color w:val="auto"/>
          <w:szCs w:val="21"/>
          <w:highlight w:val="none"/>
          <w:u w:val="single"/>
        </w:rPr>
        <w:t>《房屋建筑和市政基础设施工程全流程电子化项目专章》</w:t>
      </w:r>
      <w:r>
        <w:rPr>
          <w:rFonts w:hint="eastAsia"/>
          <w:color w:val="auto"/>
          <w:szCs w:val="21"/>
          <w:highlight w:val="none"/>
        </w:rPr>
        <w:t>。</w:t>
      </w:r>
    </w:p>
    <w:p>
      <w:pPr>
        <w:pBdr>
          <w:top w:val="single" w:color="auto" w:sz="4" w:space="1"/>
        </w:pBdr>
        <w:spacing w:line="480" w:lineRule="auto"/>
        <w:ind w:firstLine="472" w:firstLineChars="224"/>
        <w:rPr>
          <w:b/>
          <w:color w:val="auto"/>
          <w:szCs w:val="21"/>
          <w:highlight w:val="none"/>
        </w:rPr>
      </w:pPr>
      <w:r>
        <w:rPr>
          <w:rFonts w:hint="eastAsia"/>
          <w:b/>
          <w:color w:val="auto"/>
          <w:szCs w:val="21"/>
          <w:highlight w:val="none"/>
        </w:rPr>
        <w:t>条款号：</w:t>
      </w:r>
      <w:r>
        <w:rPr>
          <w:b/>
          <w:color w:val="auto"/>
          <w:szCs w:val="21"/>
          <w:highlight w:val="none"/>
        </w:rPr>
        <w:t>12.3</w:t>
      </w:r>
      <w:r>
        <w:rPr>
          <w:rFonts w:hint="eastAsia"/>
          <w:b/>
          <w:color w:val="auto"/>
          <w:szCs w:val="21"/>
          <w:highlight w:val="none"/>
        </w:rPr>
        <w:t xml:space="preserve">             修改类型：修改</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 xml:space="preserve">12.3 </w:t>
      </w:r>
      <w:r>
        <w:rPr>
          <w:rFonts w:hint="eastAsia" w:ascii="宋体" w:hAnsi="宋体"/>
          <w:bCs/>
          <w:color w:val="auto"/>
          <w:szCs w:val="21"/>
          <w:highlight w:val="none"/>
        </w:rPr>
        <w:t>投标文件应按</w:t>
      </w:r>
      <w:r>
        <w:rPr>
          <w:rFonts w:hint="eastAsia" w:ascii="宋体" w:hAnsi="宋体"/>
          <w:color w:val="auto"/>
          <w:szCs w:val="21"/>
          <w:highlight w:val="none"/>
        </w:rPr>
        <w:t>照交易平台关于全流程电子化项目的相关指南进行编制，详见：</w:t>
      </w:r>
      <w:r>
        <w:rPr>
          <w:rFonts w:hint="eastAsia"/>
          <w:color w:val="auto"/>
          <w:szCs w:val="21"/>
          <w:highlight w:val="none"/>
          <w:u w:val="single"/>
        </w:rPr>
        <w:t xml:space="preserve">  </w:t>
      </w:r>
      <w:r>
        <w:rPr>
          <w:rFonts w:hint="eastAsia" w:ascii="宋体" w:hAnsi="宋体"/>
          <w:color w:val="auto"/>
          <w:szCs w:val="21"/>
          <w:highlight w:val="none"/>
        </w:rPr>
        <w:t>。</w:t>
      </w:r>
    </w:p>
    <w:p>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ascii="宋体" w:hAnsi="宋体"/>
          <w:color w:val="auto"/>
          <w:szCs w:val="21"/>
          <w:highlight w:val="none"/>
        </w:rPr>
        <w:t xml:space="preserve">12.3 </w:t>
      </w:r>
      <w:r>
        <w:rPr>
          <w:rFonts w:hint="eastAsia" w:ascii="宋体" w:hAnsi="宋体"/>
          <w:bCs/>
          <w:color w:val="auto"/>
          <w:szCs w:val="21"/>
          <w:highlight w:val="none"/>
        </w:rPr>
        <w:t>投标文件应按</w:t>
      </w:r>
      <w:r>
        <w:rPr>
          <w:rFonts w:hint="eastAsia" w:ascii="宋体" w:hAnsi="宋体"/>
          <w:color w:val="auto"/>
          <w:szCs w:val="21"/>
          <w:highlight w:val="none"/>
        </w:rPr>
        <w:t>照交易平台关于全流程电子化项目的相关指南进行编制，详见：</w:t>
      </w:r>
      <w:r>
        <w:rPr>
          <w:rFonts w:hint="eastAsia" w:ascii="宋体"/>
          <w:color w:val="auto"/>
          <w:szCs w:val="21"/>
          <w:highlight w:val="none"/>
          <w:u w:val="single"/>
        </w:rPr>
        <w:t xml:space="preserve">《房屋建筑和市政基础设施工程全流程电子化项目专章》 </w:t>
      </w:r>
      <w:r>
        <w:rPr>
          <w:rFonts w:hint="eastAsia" w:ascii="宋体" w:hAnsi="宋体"/>
          <w:color w:val="auto"/>
          <w:szCs w:val="21"/>
          <w:highlight w:val="none"/>
        </w:rPr>
        <w:t>。</w:t>
      </w:r>
      <w:r>
        <w:rPr>
          <w:rFonts w:ascii="宋体" w:hAnsi="宋体"/>
          <w:color w:val="auto"/>
          <w:szCs w:val="21"/>
          <w:highlight w:val="none"/>
        </w:rPr>
        <w:t xml:space="preserve"> </w:t>
      </w:r>
    </w:p>
    <w:p>
      <w:pPr>
        <w:pBdr>
          <w:top w:val="single" w:color="auto" w:sz="4" w:space="1"/>
        </w:pBdr>
        <w:spacing w:line="480" w:lineRule="auto"/>
        <w:ind w:firstLine="472" w:firstLineChars="224"/>
        <w:rPr>
          <w:rFonts w:ascii="宋体" w:hAnsi="宋体"/>
          <w:b/>
          <w:color w:val="auto"/>
          <w:szCs w:val="21"/>
          <w:highlight w:val="none"/>
        </w:rPr>
      </w:pPr>
      <w:r>
        <w:rPr>
          <w:rFonts w:hint="eastAsia" w:ascii="宋体" w:hAnsi="宋体"/>
          <w:b/>
          <w:color w:val="auto"/>
          <w:szCs w:val="21"/>
          <w:highlight w:val="none"/>
        </w:rPr>
        <w:t>条款号：13.1             修改类型：修改</w:t>
      </w:r>
    </w:p>
    <w:p>
      <w:pPr>
        <w:pBdr>
          <w:bottom w:val="single" w:color="auto" w:sz="6" w:space="1"/>
        </w:pBd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ascii="宋体" w:hAnsi="宋体"/>
          <w:color w:val="auto"/>
          <w:szCs w:val="21"/>
          <w:highlight w:val="none"/>
        </w:rPr>
        <w:t xml:space="preserve">13.1 </w:t>
      </w:r>
      <w:r>
        <w:rPr>
          <w:rFonts w:hint="eastAsia" w:ascii="宋体" w:hAnsi="宋体"/>
          <w:color w:val="auto"/>
          <w:szCs w:val="21"/>
          <w:highlight w:val="none"/>
        </w:rPr>
        <w:t>本工程的投标报价采用投标须知前附表第</w:t>
      </w:r>
      <w:r>
        <w:rPr>
          <w:rFonts w:ascii="宋体" w:hAnsi="宋体"/>
          <w:color w:val="auto"/>
          <w:szCs w:val="21"/>
          <w:highlight w:val="none"/>
        </w:rPr>
        <w:t>12</w:t>
      </w:r>
      <w:r>
        <w:rPr>
          <w:rFonts w:hint="eastAsia" w:ascii="宋体" w:hAnsi="宋体"/>
          <w:color w:val="auto"/>
          <w:szCs w:val="21"/>
          <w:highlight w:val="none"/>
        </w:rPr>
        <w:t>项所规定的方式。投标报价（含单价及总价）精确到“分”。</w:t>
      </w:r>
    </w:p>
    <w:p>
      <w:pPr>
        <w:pBdr>
          <w:bottom w:val="single" w:color="auto" w:sz="6" w:space="1"/>
        </w:pBd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ascii="宋体" w:hAnsi="宋体"/>
          <w:color w:val="auto"/>
          <w:szCs w:val="21"/>
          <w:highlight w:val="none"/>
        </w:rPr>
        <w:t xml:space="preserve">13.1 </w:t>
      </w:r>
      <w:r>
        <w:rPr>
          <w:rFonts w:hint="eastAsia" w:ascii="宋体" w:hAnsi="宋体"/>
          <w:color w:val="auto"/>
          <w:szCs w:val="21"/>
          <w:highlight w:val="none"/>
        </w:rPr>
        <w:t>本工程的投标报价采用投标须知前附表第</w:t>
      </w:r>
      <w:r>
        <w:rPr>
          <w:rFonts w:ascii="宋体" w:hAnsi="宋体"/>
          <w:color w:val="auto"/>
          <w:szCs w:val="21"/>
          <w:highlight w:val="none"/>
        </w:rPr>
        <w:t>12</w:t>
      </w:r>
      <w:r>
        <w:rPr>
          <w:rFonts w:hint="eastAsia" w:ascii="宋体" w:hAnsi="宋体"/>
          <w:color w:val="auto"/>
          <w:szCs w:val="21"/>
          <w:highlight w:val="none"/>
        </w:rPr>
        <w:t>项所规定的方式。</w:t>
      </w:r>
      <w:r>
        <w:rPr>
          <w:rFonts w:hint="eastAsia" w:ascii="宋体" w:hAnsi="宋体"/>
          <w:color w:val="auto"/>
          <w:szCs w:val="21"/>
          <w:highlight w:val="none"/>
          <w:u w:val="single"/>
        </w:rPr>
        <w:t>投标文件中的大写金额和小写金额不一致的，以大写金额为准。</w:t>
      </w:r>
      <w:r>
        <w:rPr>
          <w:rFonts w:hint="eastAsia" w:ascii="宋体" w:hAnsi="宋体"/>
          <w:color w:val="auto"/>
          <w:szCs w:val="21"/>
          <w:highlight w:val="none"/>
        </w:rPr>
        <w:t>投标报价（含单价及总价）精确到“分”。</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 xml:space="preserve"> </w:t>
      </w:r>
      <w:r>
        <w:rPr>
          <w:rFonts w:hint="eastAsia" w:ascii="宋体" w:hAnsi="宋体"/>
          <w:b/>
          <w:color w:val="auto"/>
          <w:szCs w:val="21"/>
          <w:highlight w:val="none"/>
        </w:rPr>
        <w:t>13.4</w:t>
      </w:r>
      <w:r>
        <w:rPr>
          <w:rFonts w:ascii="宋体" w:hAnsi="宋体"/>
          <w:b/>
          <w:color w:val="auto"/>
          <w:szCs w:val="21"/>
          <w:highlight w:val="none"/>
        </w:rPr>
        <w:t xml:space="preserve">            </w:t>
      </w:r>
      <w:r>
        <w:rPr>
          <w:rFonts w:hint="eastAsia" w:ascii="宋体" w:hAnsi="宋体"/>
          <w:b/>
          <w:color w:val="auto"/>
          <w:szCs w:val="21"/>
          <w:highlight w:val="none"/>
        </w:rPr>
        <w:t>修改类型：修改</w:t>
      </w:r>
    </w:p>
    <w:p>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ascii="宋体" w:hAnsi="宋体"/>
          <w:color w:val="auto"/>
          <w:szCs w:val="21"/>
          <w:highlight w:val="none"/>
        </w:rPr>
        <w:t>13.4</w:t>
      </w:r>
      <w:r>
        <w:rPr>
          <w:rFonts w:hint="eastAsia" w:ascii="宋体" w:hAnsi="宋体"/>
          <w:color w:val="auto"/>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spacing w:line="360" w:lineRule="auto"/>
        <w:ind w:firstLine="422" w:firstLineChars="200"/>
        <w:rPr>
          <w:b/>
          <w:color w:val="auto"/>
          <w:szCs w:val="21"/>
          <w:highlight w:val="none"/>
        </w:rPr>
      </w:pPr>
      <w:r>
        <w:rPr>
          <w:rFonts w:hint="eastAsia" w:ascii="宋体" w:hAnsi="宋体"/>
          <w:b/>
          <w:color w:val="auto"/>
          <w:szCs w:val="21"/>
          <w:highlight w:val="none"/>
        </w:rPr>
        <w:t>现文：</w:t>
      </w:r>
      <w:r>
        <w:rPr>
          <w:rFonts w:ascii="宋体" w:hAnsi="宋体"/>
          <w:color w:val="auto"/>
          <w:szCs w:val="21"/>
          <w:highlight w:val="none"/>
        </w:rPr>
        <w:t>13.4</w:t>
      </w:r>
      <w:r>
        <w:rPr>
          <w:rFonts w:hint="eastAsia" w:ascii="宋体" w:hAnsi="宋体"/>
          <w:color w:val="auto"/>
          <w:szCs w:val="21"/>
          <w:highlight w:val="none"/>
        </w:rPr>
        <w:t>投标人一旦中标，投标人对招标人提供的招标工程量清单中列出的工程项目所报出的综合</w:t>
      </w:r>
      <w:r>
        <w:rPr>
          <w:rFonts w:hint="eastAsia" w:ascii="宋体" w:hAnsi="宋体"/>
          <w:color w:val="auto"/>
          <w:szCs w:val="21"/>
          <w:highlight w:val="none"/>
          <w:u w:val="single"/>
        </w:rPr>
        <w:t>总价</w:t>
      </w:r>
      <w:r>
        <w:rPr>
          <w:rFonts w:hint="eastAsia" w:ascii="宋体" w:hAnsi="宋体"/>
          <w:color w:val="auto"/>
          <w:szCs w:val="21"/>
          <w:highlight w:val="none"/>
        </w:rPr>
        <w:t>，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ascii="宋体" w:hAnsi="宋体"/>
          <w:color w:val="auto"/>
          <w:szCs w:val="21"/>
          <w:highlight w:val="none"/>
          <w:u w:val="single"/>
        </w:rPr>
        <w:t>按合同条款相关约定调整。</w:t>
      </w:r>
    </w:p>
    <w:p>
      <w:pPr>
        <w:pBdr>
          <w:top w:val="single" w:color="auto" w:sz="4" w:space="1"/>
        </w:pBdr>
        <w:spacing w:line="480" w:lineRule="auto"/>
        <w:ind w:firstLine="472" w:firstLineChars="224"/>
        <w:rPr>
          <w:b/>
          <w:color w:val="auto"/>
          <w:szCs w:val="21"/>
          <w:highlight w:val="none"/>
        </w:rPr>
      </w:pPr>
      <w:r>
        <w:rPr>
          <w:rFonts w:hint="eastAsia"/>
          <w:b/>
          <w:color w:val="auto"/>
          <w:szCs w:val="21"/>
          <w:highlight w:val="none"/>
        </w:rPr>
        <w:t>条款号：</w:t>
      </w:r>
      <w:r>
        <w:rPr>
          <w:b/>
          <w:color w:val="auto"/>
          <w:szCs w:val="21"/>
          <w:highlight w:val="none"/>
        </w:rPr>
        <w:t>13.5  13.5.1  13.5.2  13.5.3  13.5.4</w:t>
      </w:r>
      <w:r>
        <w:rPr>
          <w:rFonts w:hint="eastAsia"/>
          <w:b/>
          <w:color w:val="auto"/>
          <w:szCs w:val="21"/>
          <w:highlight w:val="none"/>
        </w:rPr>
        <w:t xml:space="preserve">             修改类型：修改</w:t>
      </w:r>
    </w:p>
    <w:p>
      <w:pPr>
        <w:pBdr>
          <w:bottom w:val="single" w:color="auto" w:sz="6" w:space="1"/>
        </w:pBdr>
        <w:spacing w:line="360" w:lineRule="auto"/>
        <w:ind w:firstLine="527" w:firstLineChars="250"/>
        <w:rPr>
          <w:color w:val="auto"/>
          <w:szCs w:val="21"/>
          <w:highlight w:val="none"/>
        </w:rPr>
      </w:pPr>
      <w:r>
        <w:rPr>
          <w:rFonts w:hint="eastAsia"/>
          <w:b/>
          <w:color w:val="auto"/>
          <w:szCs w:val="21"/>
          <w:highlight w:val="none"/>
        </w:rPr>
        <w:t>原文：</w:t>
      </w:r>
      <w:r>
        <w:rPr>
          <w:rFonts w:hint="eastAsia"/>
          <w:color w:val="auto"/>
          <w:szCs w:val="21"/>
          <w:highlight w:val="none"/>
        </w:rPr>
        <w:t>13.5工程项目实施期间……，中标后双方协商约定。</w:t>
      </w:r>
    </w:p>
    <w:p>
      <w:pPr>
        <w:pBdr>
          <w:bottom w:val="single" w:color="auto" w:sz="6" w:space="1"/>
        </w:pBdr>
        <w:spacing w:line="360" w:lineRule="auto"/>
        <w:ind w:firstLine="527" w:firstLineChars="250"/>
        <w:rPr>
          <w:color w:val="auto"/>
          <w:szCs w:val="21"/>
          <w:highlight w:val="none"/>
          <w:u w:val="single"/>
        </w:rPr>
      </w:pPr>
      <w:r>
        <w:rPr>
          <w:rFonts w:hint="eastAsia"/>
          <w:b/>
          <w:color w:val="auto"/>
          <w:szCs w:val="21"/>
          <w:highlight w:val="none"/>
        </w:rPr>
        <w:t>现文：</w:t>
      </w:r>
      <w:r>
        <w:rPr>
          <w:rFonts w:hint="eastAsia"/>
          <w:color w:val="auto"/>
          <w:szCs w:val="21"/>
          <w:highlight w:val="none"/>
        </w:rPr>
        <w:t>13.5</w:t>
      </w:r>
      <w:r>
        <w:rPr>
          <w:rFonts w:hint="eastAsia"/>
          <w:color w:val="auto"/>
          <w:szCs w:val="21"/>
          <w:highlight w:val="none"/>
          <w:u w:val="single"/>
        </w:rPr>
        <w:t>变更结算方式按招标文件及施工合同相关规定执行。</w:t>
      </w:r>
    </w:p>
    <w:p>
      <w:pPr>
        <w:spacing w:line="360" w:lineRule="auto"/>
        <w:ind w:firstLine="422" w:firstLineChars="200"/>
        <w:rPr>
          <w:b/>
          <w:color w:val="auto"/>
          <w:szCs w:val="21"/>
          <w:highlight w:val="none"/>
        </w:rPr>
      </w:pPr>
      <w:r>
        <w:rPr>
          <w:rFonts w:hint="eastAsia"/>
          <w:b/>
          <w:color w:val="auto"/>
          <w:szCs w:val="21"/>
          <w:highlight w:val="none"/>
        </w:rPr>
        <w:t>条款号：16             修改类型：修改</w:t>
      </w:r>
    </w:p>
    <w:p>
      <w:pPr>
        <w:spacing w:line="360" w:lineRule="auto"/>
        <w:ind w:firstLine="422" w:firstLineChars="200"/>
        <w:rPr>
          <w:rFonts w:ascii="宋体"/>
          <w:b/>
          <w:bCs/>
          <w:color w:val="auto"/>
          <w:szCs w:val="21"/>
          <w:highlight w:val="none"/>
        </w:rPr>
      </w:pPr>
      <w:r>
        <w:rPr>
          <w:rFonts w:hint="eastAsia"/>
          <w:b/>
          <w:color w:val="auto"/>
          <w:szCs w:val="21"/>
          <w:highlight w:val="none"/>
        </w:rPr>
        <w:t>原文：</w:t>
      </w:r>
      <w:r>
        <w:rPr>
          <w:rFonts w:ascii="宋体" w:hAnsi="宋体"/>
          <w:b/>
          <w:bCs/>
          <w:color w:val="auto"/>
          <w:szCs w:val="21"/>
          <w:highlight w:val="none"/>
        </w:rPr>
        <w:t>16</w:t>
      </w:r>
      <w:r>
        <w:rPr>
          <w:rFonts w:hint="eastAsia" w:ascii="宋体" w:hAnsi="宋体"/>
          <w:b/>
          <w:bCs/>
          <w:color w:val="auto"/>
          <w:szCs w:val="21"/>
          <w:highlight w:val="none"/>
        </w:rPr>
        <w:t>．投标保证金</w:t>
      </w:r>
    </w:p>
    <w:p>
      <w:pPr>
        <w:spacing w:line="360" w:lineRule="auto"/>
        <w:ind w:firstLine="420" w:firstLineChars="200"/>
        <w:rPr>
          <w:color w:val="auto"/>
          <w:szCs w:val="21"/>
          <w:highlight w:val="none"/>
        </w:rPr>
      </w:pPr>
      <w:r>
        <w:rPr>
          <w:rFonts w:hint="eastAsia"/>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pPr>
        <w:spacing w:line="360" w:lineRule="auto"/>
        <w:ind w:firstLine="420" w:firstLineChars="200"/>
        <w:rPr>
          <w:color w:val="auto"/>
          <w:szCs w:val="21"/>
          <w:highlight w:val="none"/>
        </w:rPr>
      </w:pPr>
      <w:r>
        <w:rPr>
          <w:rFonts w:hint="eastAsia"/>
          <w:color w:val="auto"/>
          <w:szCs w:val="21"/>
          <w:highlight w:val="none"/>
        </w:rPr>
        <w:t>16.1.1 采用现金或者支票形式提交的，投标保证金须从投标人的银行基本账户转出。</w:t>
      </w:r>
    </w:p>
    <w:p>
      <w:pPr>
        <w:spacing w:line="360" w:lineRule="auto"/>
        <w:ind w:firstLine="420" w:firstLineChars="200"/>
        <w:rPr>
          <w:color w:val="auto"/>
          <w:szCs w:val="21"/>
          <w:highlight w:val="none"/>
        </w:rPr>
      </w:pPr>
      <w:r>
        <w:rPr>
          <w:rFonts w:hint="eastAsia"/>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20" w:firstLineChars="200"/>
        <w:rPr>
          <w:color w:val="auto"/>
          <w:szCs w:val="21"/>
          <w:highlight w:val="none"/>
        </w:rPr>
      </w:pPr>
      <w:r>
        <w:rPr>
          <w:rFonts w:hint="eastAsia"/>
          <w:color w:val="auto"/>
          <w:szCs w:val="21"/>
          <w:highlight w:val="none"/>
        </w:rPr>
        <w:t>16.1.3 采用电子形式的保函、担保或保证保险提交投标保证金的，应在招标文件中明确电子递交途径。</w:t>
      </w:r>
    </w:p>
    <w:p>
      <w:pPr>
        <w:spacing w:line="360" w:lineRule="auto"/>
        <w:ind w:firstLine="420" w:firstLineChars="200"/>
        <w:rPr>
          <w:color w:val="auto"/>
          <w:szCs w:val="21"/>
          <w:highlight w:val="none"/>
        </w:rPr>
      </w:pPr>
      <w:r>
        <w:rPr>
          <w:rFonts w:hint="eastAsia"/>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20" w:firstLineChars="200"/>
        <w:rPr>
          <w:color w:val="auto"/>
          <w:szCs w:val="21"/>
          <w:highlight w:val="none"/>
        </w:rPr>
      </w:pPr>
      <w:r>
        <w:rPr>
          <w:rFonts w:hint="eastAsia"/>
          <w:color w:val="auto"/>
          <w:szCs w:val="21"/>
          <w:highlight w:val="none"/>
        </w:rPr>
        <w:t>16.3投标保证金应依据法律法规的相关规定退还。</w:t>
      </w:r>
    </w:p>
    <w:p>
      <w:pPr>
        <w:spacing w:line="360" w:lineRule="auto"/>
        <w:ind w:firstLine="420" w:firstLineChars="200"/>
        <w:rPr>
          <w:color w:val="auto"/>
          <w:szCs w:val="21"/>
          <w:highlight w:val="none"/>
        </w:rPr>
      </w:pPr>
      <w:r>
        <w:rPr>
          <w:rFonts w:hint="eastAsia"/>
          <w:color w:val="auto"/>
          <w:szCs w:val="21"/>
          <w:highlight w:val="none"/>
        </w:rPr>
        <w:t>16.</w:t>
      </w:r>
      <w:r>
        <w:rPr>
          <w:color w:val="auto"/>
          <w:szCs w:val="21"/>
          <w:highlight w:val="none"/>
        </w:rPr>
        <w:t>4</w:t>
      </w:r>
      <w:r>
        <w:rPr>
          <w:rFonts w:hint="eastAsia"/>
          <w:color w:val="auto"/>
          <w:szCs w:val="21"/>
          <w:highlight w:val="none"/>
        </w:rPr>
        <w:t>如有下列情况之一的，招标人可以不予退还投标保证金（是否退还投标保证金由招标人在招标文件中规定）：</w:t>
      </w:r>
    </w:p>
    <w:p>
      <w:pPr>
        <w:spacing w:line="360" w:lineRule="auto"/>
        <w:ind w:firstLine="420" w:firstLineChars="200"/>
        <w:rPr>
          <w:color w:val="auto"/>
          <w:szCs w:val="21"/>
          <w:highlight w:val="none"/>
        </w:rPr>
      </w:pPr>
      <w:r>
        <w:rPr>
          <w:rFonts w:hint="eastAsia"/>
          <w:color w:val="auto"/>
          <w:szCs w:val="21"/>
          <w:highlight w:val="none"/>
        </w:rPr>
        <w:t>16.</w:t>
      </w:r>
      <w:r>
        <w:rPr>
          <w:color w:val="auto"/>
          <w:szCs w:val="21"/>
          <w:highlight w:val="none"/>
        </w:rPr>
        <w:t>4</w:t>
      </w:r>
      <w:r>
        <w:rPr>
          <w:rFonts w:hint="eastAsia"/>
          <w:color w:val="auto"/>
          <w:szCs w:val="21"/>
          <w:highlight w:val="none"/>
        </w:rPr>
        <w:t>.1因投标人原因造成投标文件未解密的；</w:t>
      </w:r>
    </w:p>
    <w:p>
      <w:pPr>
        <w:spacing w:line="360" w:lineRule="auto"/>
        <w:ind w:firstLine="420" w:firstLineChars="200"/>
        <w:rPr>
          <w:color w:val="auto"/>
          <w:szCs w:val="21"/>
          <w:highlight w:val="none"/>
        </w:rPr>
      </w:pPr>
      <w:r>
        <w:rPr>
          <w:rFonts w:hint="eastAsia"/>
          <w:color w:val="auto"/>
          <w:szCs w:val="21"/>
          <w:highlight w:val="none"/>
        </w:rPr>
        <w:t>16.</w:t>
      </w:r>
      <w:r>
        <w:rPr>
          <w:color w:val="auto"/>
          <w:szCs w:val="21"/>
          <w:highlight w:val="none"/>
        </w:rPr>
        <w:t>4</w:t>
      </w:r>
      <w:r>
        <w:rPr>
          <w:rFonts w:hint="eastAsia"/>
          <w:color w:val="auto"/>
          <w:szCs w:val="21"/>
          <w:highlight w:val="none"/>
        </w:rPr>
        <w:t>.2投标人在投标有效期内撤销投标文件；</w:t>
      </w:r>
    </w:p>
    <w:p>
      <w:pPr>
        <w:spacing w:line="360" w:lineRule="auto"/>
        <w:ind w:firstLine="420" w:firstLineChars="200"/>
        <w:rPr>
          <w:color w:val="auto"/>
          <w:szCs w:val="21"/>
          <w:highlight w:val="none"/>
        </w:rPr>
      </w:pPr>
      <w:r>
        <w:rPr>
          <w:rFonts w:hint="eastAsia"/>
          <w:color w:val="auto"/>
          <w:szCs w:val="21"/>
          <w:highlight w:val="none"/>
        </w:rPr>
        <w:t>16.</w:t>
      </w:r>
      <w:r>
        <w:rPr>
          <w:color w:val="auto"/>
          <w:szCs w:val="21"/>
          <w:highlight w:val="none"/>
        </w:rPr>
        <w:t>4</w:t>
      </w:r>
      <w:r>
        <w:rPr>
          <w:rFonts w:hint="eastAsia"/>
          <w:color w:val="auto"/>
          <w:szCs w:val="21"/>
          <w:highlight w:val="none"/>
        </w:rPr>
        <w:t>.3中标人未能在规定期限内按要求提交履约担保；</w:t>
      </w:r>
    </w:p>
    <w:p>
      <w:pPr>
        <w:spacing w:line="360" w:lineRule="auto"/>
        <w:ind w:firstLine="420" w:firstLineChars="200"/>
        <w:rPr>
          <w:color w:val="auto"/>
          <w:szCs w:val="21"/>
          <w:highlight w:val="none"/>
        </w:rPr>
      </w:pPr>
      <w:r>
        <w:rPr>
          <w:rFonts w:hint="eastAsia"/>
          <w:color w:val="auto"/>
          <w:szCs w:val="21"/>
          <w:highlight w:val="none"/>
        </w:rPr>
        <w:t>16.</w:t>
      </w:r>
      <w:r>
        <w:rPr>
          <w:color w:val="auto"/>
          <w:szCs w:val="21"/>
          <w:highlight w:val="none"/>
        </w:rPr>
        <w:t>4</w:t>
      </w:r>
      <w:r>
        <w:rPr>
          <w:rFonts w:hint="eastAsia"/>
          <w:color w:val="auto"/>
          <w:szCs w:val="21"/>
          <w:highlight w:val="none"/>
        </w:rPr>
        <w:t>.4中标人未能在规定期限内签署合同协议。</w:t>
      </w:r>
    </w:p>
    <w:p>
      <w:pPr>
        <w:spacing w:line="360" w:lineRule="auto"/>
        <w:ind w:firstLine="420" w:firstLineChars="200"/>
        <w:rPr>
          <w:color w:val="auto"/>
          <w:szCs w:val="21"/>
          <w:highlight w:val="none"/>
        </w:rPr>
      </w:pPr>
      <w:r>
        <w:rPr>
          <w:rFonts w:hint="eastAsia"/>
          <w:color w:val="auto"/>
          <w:szCs w:val="21"/>
          <w:highlight w:val="none"/>
        </w:rPr>
        <w:t>16.</w:t>
      </w:r>
      <w:r>
        <w:rPr>
          <w:color w:val="auto"/>
          <w:szCs w:val="21"/>
          <w:highlight w:val="none"/>
        </w:rPr>
        <w:t>5</w:t>
      </w:r>
      <w:r>
        <w:rPr>
          <w:rFonts w:hint="eastAsia"/>
          <w:color w:val="auto"/>
          <w:szCs w:val="21"/>
          <w:highlight w:val="none"/>
        </w:rPr>
        <w:t>投标人如存在下列情况之一的，将被拒绝在一定时期内参与招标人后续工程投标（拒绝时限需在招标文件中明确）：</w:t>
      </w:r>
    </w:p>
    <w:p>
      <w:pPr>
        <w:spacing w:line="360" w:lineRule="auto"/>
        <w:ind w:firstLine="420" w:firstLineChars="200"/>
        <w:rPr>
          <w:color w:val="auto"/>
          <w:szCs w:val="21"/>
          <w:highlight w:val="none"/>
        </w:rPr>
      </w:pPr>
      <w:r>
        <w:rPr>
          <w:rFonts w:hint="eastAsia"/>
          <w:color w:val="auto"/>
          <w:szCs w:val="21"/>
          <w:highlight w:val="none"/>
        </w:rPr>
        <w:t>16.</w:t>
      </w:r>
      <w:r>
        <w:rPr>
          <w:color w:val="auto"/>
          <w:szCs w:val="21"/>
          <w:highlight w:val="none"/>
        </w:rPr>
        <w:t>5</w:t>
      </w:r>
      <w:r>
        <w:rPr>
          <w:rFonts w:hint="eastAsia"/>
          <w:color w:val="auto"/>
          <w:szCs w:val="21"/>
          <w:highlight w:val="none"/>
        </w:rPr>
        <w:t>.1投标人存在 16.4 条款所列情形且投标人提交的保函、担保或保证保险无法兑付的；</w:t>
      </w:r>
    </w:p>
    <w:p>
      <w:pPr>
        <w:spacing w:line="360" w:lineRule="auto"/>
        <w:ind w:firstLine="420" w:firstLineChars="200"/>
        <w:rPr>
          <w:color w:val="auto"/>
          <w:szCs w:val="21"/>
          <w:highlight w:val="none"/>
        </w:rPr>
      </w:pPr>
      <w:r>
        <w:rPr>
          <w:rFonts w:hint="eastAsia"/>
          <w:color w:val="auto"/>
          <w:szCs w:val="21"/>
          <w:highlight w:val="none"/>
        </w:rPr>
        <w:t>16.</w:t>
      </w:r>
      <w:r>
        <w:rPr>
          <w:color w:val="auto"/>
          <w:szCs w:val="21"/>
          <w:highlight w:val="none"/>
        </w:rPr>
        <w:t>5</w:t>
      </w:r>
      <w:r>
        <w:rPr>
          <w:rFonts w:hint="eastAsia"/>
          <w:color w:val="auto"/>
          <w:szCs w:val="21"/>
          <w:highlight w:val="none"/>
        </w:rPr>
        <w:t>.2采用非电子形式提交投标保证金的投标人存在 16.4 条款所列情形，且未按招标人要求补交银行保函、专业工程担保公司担保或保证保险原件的；</w:t>
      </w:r>
    </w:p>
    <w:p>
      <w:pPr>
        <w:spacing w:line="360" w:lineRule="auto"/>
        <w:ind w:firstLine="420" w:firstLineChars="200"/>
        <w:rPr>
          <w:color w:val="auto"/>
          <w:szCs w:val="21"/>
          <w:highlight w:val="none"/>
        </w:rPr>
      </w:pPr>
      <w:r>
        <w:rPr>
          <w:rFonts w:hint="eastAsia"/>
          <w:color w:val="auto"/>
          <w:szCs w:val="21"/>
          <w:highlight w:val="none"/>
        </w:rPr>
        <w:t>16.</w:t>
      </w:r>
      <w:r>
        <w:rPr>
          <w:color w:val="auto"/>
          <w:szCs w:val="21"/>
          <w:highlight w:val="none"/>
        </w:rPr>
        <w:t>5</w:t>
      </w:r>
      <w:r>
        <w:rPr>
          <w:rFonts w:hint="eastAsia"/>
          <w:color w:val="auto"/>
          <w:szCs w:val="21"/>
          <w:highlight w:val="none"/>
        </w:rPr>
        <w:t>.</w:t>
      </w:r>
      <w:r>
        <w:rPr>
          <w:color w:val="auto"/>
          <w:szCs w:val="21"/>
          <w:highlight w:val="none"/>
        </w:rPr>
        <w:t>3</w:t>
      </w:r>
      <w:r>
        <w:rPr>
          <w:rFonts w:hint="eastAsia"/>
          <w:color w:val="auto"/>
          <w:szCs w:val="21"/>
          <w:highlight w:val="none"/>
        </w:rPr>
        <w:t>按招标文件要求免于提供投标保证金的投标人存在 16.4 条款所列情形，且未按招标人要求补交投标保证金的；</w:t>
      </w:r>
    </w:p>
    <w:p>
      <w:pPr>
        <w:spacing w:line="360" w:lineRule="auto"/>
        <w:ind w:firstLine="420" w:firstLineChars="200"/>
        <w:rPr>
          <w:color w:val="auto"/>
          <w:szCs w:val="21"/>
          <w:highlight w:val="none"/>
        </w:rPr>
      </w:pPr>
      <w:r>
        <w:rPr>
          <w:rFonts w:hint="eastAsia"/>
          <w:color w:val="auto"/>
          <w:szCs w:val="21"/>
          <w:highlight w:val="none"/>
        </w:rPr>
        <w:t>16.</w:t>
      </w:r>
      <w:r>
        <w:rPr>
          <w:color w:val="auto"/>
          <w:szCs w:val="21"/>
          <w:highlight w:val="none"/>
        </w:rPr>
        <w:t>5</w:t>
      </w:r>
      <w:r>
        <w:rPr>
          <w:rFonts w:hint="eastAsia"/>
          <w:color w:val="auto"/>
          <w:szCs w:val="21"/>
          <w:highlight w:val="none"/>
        </w:rPr>
        <w:t>.</w:t>
      </w:r>
      <w:r>
        <w:rPr>
          <w:color w:val="auto"/>
          <w:szCs w:val="21"/>
          <w:highlight w:val="none"/>
        </w:rPr>
        <w:t>3</w:t>
      </w:r>
      <w:r>
        <w:rPr>
          <w:rFonts w:hint="eastAsia"/>
          <w:color w:val="auto"/>
          <w:szCs w:val="21"/>
          <w:highlight w:val="none"/>
        </w:rPr>
        <w:t>按招标文件要求免于提供投标保证金的投标人存在 16.4 条款所列情形的。</w:t>
      </w:r>
    </w:p>
    <w:p>
      <w:pPr>
        <w:pBdr>
          <w:bottom w:val="single" w:color="auto" w:sz="6" w:space="1"/>
        </w:pBdr>
        <w:spacing w:line="360" w:lineRule="auto"/>
        <w:ind w:firstLine="525" w:firstLineChars="250"/>
        <w:rPr>
          <w:color w:val="auto"/>
          <w:szCs w:val="21"/>
          <w:highlight w:val="none"/>
        </w:rPr>
      </w:pPr>
      <w:r>
        <w:rPr>
          <w:rFonts w:hint="eastAsia"/>
          <w:color w:val="auto"/>
          <w:szCs w:val="21"/>
          <w:highlight w:val="none"/>
        </w:rPr>
        <w:t>注：16.5.3 款由招标人二选一，需在招标文件中明确。</w:t>
      </w:r>
    </w:p>
    <w:p>
      <w:pPr>
        <w:pBdr>
          <w:bottom w:val="single" w:color="auto" w:sz="6" w:space="1"/>
        </w:pBdr>
        <w:spacing w:line="360" w:lineRule="auto"/>
        <w:ind w:firstLine="527" w:firstLineChars="250"/>
        <w:rPr>
          <w:rFonts w:ascii="宋体" w:hAnsi="宋体"/>
          <w:b/>
          <w:bCs/>
          <w:color w:val="auto"/>
          <w:szCs w:val="21"/>
          <w:highlight w:val="none"/>
        </w:rPr>
      </w:pPr>
      <w:r>
        <w:rPr>
          <w:rFonts w:hint="eastAsia"/>
          <w:b/>
          <w:color w:val="auto"/>
          <w:szCs w:val="21"/>
          <w:highlight w:val="none"/>
        </w:rPr>
        <w:t>现文：</w:t>
      </w:r>
      <w:r>
        <w:rPr>
          <w:rFonts w:hint="eastAsia" w:ascii="宋体" w:hAnsi="宋体"/>
          <w:b/>
          <w:bCs/>
          <w:color w:val="auto"/>
          <w:szCs w:val="21"/>
          <w:highlight w:val="none"/>
        </w:rPr>
        <w:t>16．投标保证金</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16.1.1</w:t>
      </w:r>
      <w:r>
        <w:rPr>
          <w:rFonts w:hint="eastAsia" w:ascii="宋体" w:hAnsi="宋体"/>
          <w:color w:val="auto"/>
          <w:szCs w:val="21"/>
          <w:highlight w:val="none"/>
          <w:u w:val="single"/>
        </w:rPr>
        <w:t>缴纳方式：投标保证金可采用现金、支票、投标保证保险、投标保函（银行或专业担保公司出具）的形式，须在递交投标文件截止时间前完成缴纳。投标保证金有效期：与投标有效期一致。</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16.1.2</w:t>
      </w:r>
      <w:r>
        <w:rPr>
          <w:rFonts w:ascii="宋体" w:hAnsi="宋体" w:cs="宋体"/>
          <w:color w:val="auto"/>
          <w:szCs w:val="21"/>
          <w:highlight w:val="none"/>
          <w:u w:val="single"/>
        </w:rPr>
        <w:t>如采用现金、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16.1.3</w:t>
      </w:r>
      <w:r>
        <w:rPr>
          <w:rFonts w:ascii="宋体" w:hAnsi="宋体" w:cs="宋体"/>
          <w:color w:val="auto"/>
          <w:szCs w:val="21"/>
          <w:highlight w:val="none"/>
          <w:u w:val="single"/>
        </w:rPr>
        <w:t>如采用投标保函、投标保证保险形式提交投标保证金的，投标保函或投标保证保险须开具给招标人（保险受益人须为招标人）。开标前可不提交纸质原件，但投标人应在投标文件中提交投标保函或投标保险的扫描件并加盖投标人电子印章，完成评标后，由中标候选人在中标候选人公示前向招标代理单位提交纸质原件并在网上公示。如投标人选择在开标前提交纸质原件的，可在投标截止时间前单独密封递交至开标室。若以交易系统支持的电子保函或电子投标保证保险递交的，到账情况以开标时广州公共资源交易中心数据库查询信息为准。</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16.2开标时投标人没有按要求提供投标保证金的，其投标文件将被否决。</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16.3投标保证金应依据法律法规的相关规定退还。</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16.4如有下列情况之一的，招标人可以不予退还投标保证金：</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16.4.1因投标人原因造成投标文件未解密的；</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16.4.2投标人在投标有效期内撤销投标文件</w:t>
      </w:r>
      <w:r>
        <w:rPr>
          <w:rFonts w:hint="eastAsia" w:ascii="宋体" w:hAnsi="宋体"/>
          <w:color w:val="auto"/>
          <w:szCs w:val="21"/>
          <w:highlight w:val="none"/>
          <w:u w:val="single"/>
        </w:rPr>
        <w:t>或放弃中标资格的</w:t>
      </w:r>
      <w:r>
        <w:rPr>
          <w:rFonts w:hint="eastAsia" w:ascii="宋体" w:hAnsi="宋体"/>
          <w:color w:val="auto"/>
          <w:szCs w:val="21"/>
          <w:highlight w:val="none"/>
        </w:rPr>
        <w:t>；</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16.4.3中标人未能在规定期限内按要求提交履约担保；</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16.4.4中标人未能在规定期限内签署合同协议；</w:t>
      </w:r>
    </w:p>
    <w:p>
      <w:pPr>
        <w:pBdr>
          <w:bottom w:val="single" w:color="auto" w:sz="6" w:space="1"/>
        </w:pBdr>
        <w:spacing w:line="360" w:lineRule="auto"/>
        <w:ind w:firstLine="422" w:firstLineChars="201"/>
        <w:rPr>
          <w:rFonts w:ascii="宋体" w:hAnsi="宋体"/>
          <w:color w:val="auto"/>
          <w:szCs w:val="21"/>
          <w:highlight w:val="none"/>
        </w:rPr>
      </w:pPr>
      <w:r>
        <w:rPr>
          <w:rFonts w:ascii="宋体" w:hAnsi="宋体"/>
          <w:color w:val="auto"/>
          <w:szCs w:val="21"/>
          <w:highlight w:val="none"/>
          <w:u w:val="single"/>
        </w:rPr>
        <w:t>16.4.5</w:t>
      </w:r>
      <w:r>
        <w:rPr>
          <w:rFonts w:hint="eastAsia" w:ascii="宋体" w:hAnsi="宋体"/>
          <w:color w:val="auto"/>
          <w:szCs w:val="21"/>
          <w:highlight w:val="none"/>
          <w:u w:val="single"/>
        </w:rPr>
        <w:t>投标人弄虚作假骗取中标的。</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16.5</w:t>
      </w:r>
      <w:r>
        <w:rPr>
          <w:rFonts w:hint="eastAsia" w:ascii="宋体" w:hAnsi="宋体"/>
          <w:color w:val="auto"/>
          <w:szCs w:val="21"/>
          <w:highlight w:val="none"/>
          <w:u w:val="single"/>
        </w:rPr>
        <w:t>投标人如存在下列情况之一的，将被拒绝在3个月内参与招标人后续工程投标</w:t>
      </w:r>
      <w:r>
        <w:rPr>
          <w:rFonts w:hint="eastAsia" w:ascii="宋体" w:hAnsi="宋体"/>
          <w:color w:val="auto"/>
          <w:szCs w:val="21"/>
          <w:highlight w:val="none"/>
        </w:rPr>
        <w:t>；</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16.5.1投标人存在16.4条款所列情形且投标人提交的保函、担保或保证保险无法兑付的；</w:t>
      </w:r>
    </w:p>
    <w:p>
      <w:pPr>
        <w:pBdr>
          <w:bottom w:val="single" w:color="auto" w:sz="6" w:space="1"/>
        </w:pBdr>
        <w:spacing w:line="360" w:lineRule="auto"/>
        <w:ind w:firstLine="422" w:firstLineChars="201"/>
        <w:rPr>
          <w:color w:val="auto"/>
          <w:szCs w:val="21"/>
          <w:highlight w:val="none"/>
        </w:rPr>
      </w:pPr>
      <w:r>
        <w:rPr>
          <w:rFonts w:hint="eastAsia" w:ascii="宋体" w:hAnsi="宋体"/>
          <w:color w:val="auto"/>
          <w:szCs w:val="21"/>
          <w:highlight w:val="none"/>
        </w:rPr>
        <w:t>16.5.2采用非电子形式提交投标保证金的投标人存在16.4条款所列情形，且未按招标人要求补交银行保函、专业工程担保公司担保或保证保险原件的。</w:t>
      </w:r>
    </w:p>
    <w:p>
      <w:pPr>
        <w:spacing w:line="480" w:lineRule="auto"/>
        <w:ind w:firstLine="472" w:firstLineChars="224"/>
        <w:rPr>
          <w:rFonts w:ascii="宋体" w:hAnsi="宋体"/>
          <w:b/>
          <w:color w:val="auto"/>
          <w:szCs w:val="21"/>
          <w:highlight w:val="none"/>
        </w:rPr>
      </w:pPr>
      <w:r>
        <w:rPr>
          <w:rFonts w:hint="eastAsia"/>
          <w:b/>
          <w:color w:val="auto"/>
          <w:szCs w:val="21"/>
          <w:highlight w:val="none"/>
        </w:rPr>
        <w:t>条</w:t>
      </w:r>
      <w:r>
        <w:rPr>
          <w:rFonts w:hint="eastAsia" w:ascii="宋体" w:hAnsi="宋体"/>
          <w:b/>
          <w:color w:val="auto"/>
          <w:szCs w:val="21"/>
          <w:highlight w:val="none"/>
        </w:rPr>
        <w:t>款号：17.1          修改类型：修改</w:t>
      </w:r>
    </w:p>
    <w:p>
      <w:pPr>
        <w:pBdr>
          <w:bottom w:val="single" w:color="auto" w:sz="6" w:space="1"/>
        </w:pBd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Bdr>
          <w:bottom w:val="single" w:color="auto" w:sz="6" w:space="1"/>
        </w:pBd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Cs w:val="21"/>
          <w:highlight w:val="none"/>
          <w:u w:val="single"/>
        </w:rPr>
        <w:t>《房屋建筑和市政基础设施工程全流程电子化项目专章》</w:t>
      </w:r>
      <w:r>
        <w:rPr>
          <w:rFonts w:hint="eastAsia" w:ascii="宋体" w:hAnsi="宋体"/>
          <w:color w:val="auto"/>
          <w:szCs w:val="21"/>
          <w:highlight w:val="none"/>
        </w:rPr>
        <w:t xml:space="preserve"> 。</w:t>
      </w:r>
    </w:p>
    <w:p>
      <w:pPr>
        <w:pBdr>
          <w:top w:val="single" w:color="auto" w:sz="4" w:space="1"/>
        </w:pBdr>
        <w:spacing w:line="480" w:lineRule="auto"/>
        <w:ind w:firstLine="472" w:firstLineChars="224"/>
        <w:rPr>
          <w:b/>
          <w:color w:val="auto"/>
          <w:szCs w:val="21"/>
          <w:highlight w:val="none"/>
        </w:rPr>
      </w:pPr>
      <w:r>
        <w:rPr>
          <w:rFonts w:hint="eastAsia"/>
          <w:b/>
          <w:color w:val="auto"/>
          <w:szCs w:val="21"/>
          <w:highlight w:val="none"/>
        </w:rPr>
        <w:t>条款号：18.1          修改类型：修改</w:t>
      </w:r>
    </w:p>
    <w:p>
      <w:pPr>
        <w:pBdr>
          <w:bottom w:val="single" w:color="auto" w:sz="6" w:space="1"/>
        </w:pBdr>
        <w:spacing w:line="360" w:lineRule="auto"/>
        <w:ind w:firstLine="527" w:firstLineChars="250"/>
        <w:rPr>
          <w:color w:val="auto"/>
          <w:szCs w:val="21"/>
          <w:highlight w:val="none"/>
        </w:rPr>
      </w:pPr>
      <w:r>
        <w:rPr>
          <w:rFonts w:hint="eastAsia"/>
          <w:b/>
          <w:color w:val="auto"/>
          <w:szCs w:val="21"/>
          <w:highlight w:val="none"/>
        </w:rPr>
        <w:t>原文：</w:t>
      </w:r>
      <w:r>
        <w:rPr>
          <w:rFonts w:hint="eastAsia"/>
          <w:color w:val="auto"/>
          <w:szCs w:val="21"/>
          <w:highlight w:val="none"/>
        </w:rPr>
        <w:t>18.1递交的电子投标文件（不含备用光盘）必须进行加密。按照交易平台关于全流程电子化项目的相关指南进行操作。详见：</w:t>
      </w:r>
      <w:r>
        <w:rPr>
          <w:rFonts w:hint="eastAsia"/>
          <w:color w:val="auto"/>
          <w:szCs w:val="21"/>
          <w:highlight w:val="none"/>
          <w:u w:val="single"/>
        </w:rPr>
        <w:t xml:space="preserve">      </w:t>
      </w:r>
      <w:r>
        <w:rPr>
          <w:rFonts w:hint="eastAsia"/>
          <w:color w:val="auto"/>
          <w:szCs w:val="21"/>
          <w:highlight w:val="none"/>
        </w:rPr>
        <w:t>。</w:t>
      </w:r>
    </w:p>
    <w:p>
      <w:pPr>
        <w:pBdr>
          <w:bottom w:val="single" w:color="auto" w:sz="6" w:space="1"/>
        </w:pBdr>
        <w:spacing w:line="360" w:lineRule="auto"/>
        <w:ind w:firstLine="527" w:firstLineChars="250"/>
        <w:rPr>
          <w:color w:val="auto"/>
          <w:szCs w:val="21"/>
          <w:highlight w:val="none"/>
        </w:rPr>
      </w:pPr>
      <w:r>
        <w:rPr>
          <w:rFonts w:hint="eastAsia"/>
          <w:b/>
          <w:color w:val="auto"/>
          <w:szCs w:val="21"/>
          <w:highlight w:val="none"/>
        </w:rPr>
        <w:t>现文：</w:t>
      </w:r>
      <w:r>
        <w:rPr>
          <w:rFonts w:hint="eastAsia"/>
          <w:color w:val="auto"/>
          <w:szCs w:val="21"/>
          <w:highlight w:val="none"/>
        </w:rPr>
        <w:t>18.1递交的电子投标文件（不含备用光盘）必须进行加密。按照交易平台关于全流程电子化项目的相关指南进行操作。详见：</w:t>
      </w:r>
      <w:r>
        <w:rPr>
          <w:rFonts w:hint="eastAsia" w:ascii="宋体"/>
          <w:color w:val="auto"/>
          <w:szCs w:val="21"/>
          <w:highlight w:val="none"/>
          <w:u w:val="single"/>
        </w:rPr>
        <w:t>《房屋建筑和市政基础设施工程全流程电子化项目专章》</w:t>
      </w:r>
      <w:r>
        <w:rPr>
          <w:rFonts w:hint="eastAsia" w:ascii="宋体" w:hAnsi="宋体"/>
          <w:color w:val="auto"/>
          <w:szCs w:val="21"/>
          <w:highlight w:val="none"/>
          <w:u w:val="single"/>
        </w:rPr>
        <w:t xml:space="preserve"> </w:t>
      </w:r>
      <w:r>
        <w:rPr>
          <w:rFonts w:hint="eastAsia"/>
          <w:color w:val="auto"/>
          <w:szCs w:val="21"/>
          <w:highlight w:val="none"/>
        </w:rPr>
        <w:t>。</w:t>
      </w:r>
    </w:p>
    <w:p>
      <w:pPr>
        <w:pBdr>
          <w:top w:val="single" w:color="auto" w:sz="4" w:space="1"/>
        </w:pBdr>
        <w:spacing w:line="480" w:lineRule="auto"/>
        <w:ind w:firstLine="472" w:firstLineChars="224"/>
        <w:rPr>
          <w:b/>
          <w:color w:val="auto"/>
          <w:szCs w:val="21"/>
          <w:highlight w:val="none"/>
        </w:rPr>
      </w:pPr>
      <w:r>
        <w:rPr>
          <w:rFonts w:hint="eastAsia"/>
          <w:b/>
          <w:color w:val="auto"/>
          <w:szCs w:val="21"/>
          <w:highlight w:val="none"/>
        </w:rPr>
        <w:t>条款号：18.2          修改类型：修改</w:t>
      </w:r>
    </w:p>
    <w:p>
      <w:pPr>
        <w:pBdr>
          <w:bottom w:val="single" w:color="auto" w:sz="6" w:space="1"/>
        </w:pBdr>
        <w:spacing w:line="360" w:lineRule="auto"/>
        <w:ind w:firstLine="527" w:firstLineChars="250"/>
        <w:rPr>
          <w:color w:val="auto"/>
          <w:szCs w:val="21"/>
          <w:highlight w:val="none"/>
        </w:rPr>
      </w:pPr>
      <w:r>
        <w:rPr>
          <w:rFonts w:hint="eastAsia"/>
          <w:b/>
          <w:color w:val="auto"/>
          <w:szCs w:val="21"/>
          <w:highlight w:val="none"/>
        </w:rPr>
        <w:t>原文：</w:t>
      </w:r>
      <w:r>
        <w:rPr>
          <w:rFonts w:hint="eastAsia"/>
          <w:color w:val="auto"/>
          <w:szCs w:val="21"/>
          <w:highlight w:val="none"/>
        </w:rPr>
        <w:t>18.2 未按要求加密的投标文件，</w:t>
      </w:r>
      <w:r>
        <w:rPr>
          <w:rFonts w:hint="eastAsia"/>
          <w:color w:val="auto"/>
          <w:szCs w:val="21"/>
          <w:highlight w:val="none"/>
          <w:u w:val="single"/>
        </w:rPr>
        <w:t xml:space="preserve">    </w:t>
      </w:r>
      <w:r>
        <w:rPr>
          <w:rFonts w:hint="eastAsia"/>
          <w:color w:val="auto"/>
          <w:szCs w:val="21"/>
          <w:highlight w:val="none"/>
        </w:rPr>
        <w:t>交易平台将予以拒收。</w:t>
      </w:r>
    </w:p>
    <w:p>
      <w:pPr>
        <w:pBdr>
          <w:bottom w:val="single" w:color="auto" w:sz="6" w:space="1"/>
        </w:pBdr>
        <w:spacing w:line="360" w:lineRule="auto"/>
        <w:ind w:firstLine="527" w:firstLineChars="250"/>
        <w:rPr>
          <w:color w:val="auto"/>
          <w:szCs w:val="21"/>
          <w:highlight w:val="none"/>
        </w:rPr>
      </w:pPr>
      <w:r>
        <w:rPr>
          <w:rFonts w:hint="eastAsia"/>
          <w:b/>
          <w:color w:val="auto"/>
          <w:szCs w:val="21"/>
          <w:highlight w:val="none"/>
        </w:rPr>
        <w:t>现文：</w:t>
      </w:r>
      <w:r>
        <w:rPr>
          <w:rFonts w:hint="eastAsia"/>
          <w:color w:val="auto"/>
          <w:szCs w:val="21"/>
          <w:highlight w:val="none"/>
        </w:rPr>
        <w:t>18.2 未按要求加密的投标文件，</w:t>
      </w:r>
      <w:r>
        <w:rPr>
          <w:rFonts w:hint="eastAsia"/>
          <w:color w:val="auto"/>
          <w:szCs w:val="21"/>
          <w:highlight w:val="none"/>
          <w:u w:val="single"/>
        </w:rPr>
        <w:t>广州公共资源交易中心</w:t>
      </w:r>
      <w:r>
        <w:rPr>
          <w:rFonts w:hint="eastAsia"/>
          <w:color w:val="auto"/>
          <w:szCs w:val="21"/>
          <w:highlight w:val="none"/>
        </w:rPr>
        <w:t>交易平台将予以拒收。</w:t>
      </w:r>
    </w:p>
    <w:p>
      <w:pPr>
        <w:pBdr>
          <w:top w:val="single" w:color="auto" w:sz="4" w:space="1"/>
        </w:pBdr>
        <w:spacing w:line="480" w:lineRule="auto"/>
        <w:ind w:firstLine="472" w:firstLineChars="224"/>
        <w:rPr>
          <w:b/>
          <w:color w:val="auto"/>
          <w:szCs w:val="21"/>
          <w:highlight w:val="none"/>
        </w:rPr>
      </w:pPr>
      <w:r>
        <w:rPr>
          <w:rFonts w:hint="eastAsia"/>
          <w:b/>
          <w:color w:val="auto"/>
          <w:szCs w:val="21"/>
          <w:highlight w:val="none"/>
        </w:rPr>
        <w:t>条款号：19.1         修改类型：修改</w:t>
      </w:r>
    </w:p>
    <w:p>
      <w:pPr>
        <w:pBdr>
          <w:bottom w:val="single" w:color="auto" w:sz="6" w:space="1"/>
        </w:pBdr>
        <w:spacing w:line="360" w:lineRule="auto"/>
        <w:ind w:firstLine="527" w:firstLineChars="250"/>
        <w:rPr>
          <w:color w:val="auto"/>
          <w:szCs w:val="21"/>
          <w:highlight w:val="none"/>
        </w:rPr>
      </w:pPr>
      <w:r>
        <w:rPr>
          <w:rFonts w:hint="eastAsia"/>
          <w:b/>
          <w:color w:val="auto"/>
          <w:szCs w:val="21"/>
          <w:highlight w:val="none"/>
        </w:rPr>
        <w:t>原文：</w:t>
      </w:r>
      <w:r>
        <w:rPr>
          <w:rFonts w:hint="eastAsia"/>
          <w:color w:val="auto"/>
          <w:szCs w:val="21"/>
          <w:highlight w:val="none"/>
        </w:rPr>
        <w:t>19.1投标人通过</w:t>
      </w:r>
      <w:r>
        <w:rPr>
          <w:rFonts w:hint="eastAsia"/>
          <w:color w:val="auto"/>
          <w:szCs w:val="21"/>
          <w:highlight w:val="none"/>
          <w:u w:val="single"/>
        </w:rPr>
        <w:t xml:space="preserve">      </w:t>
      </w:r>
      <w:r>
        <w:rPr>
          <w:rFonts w:hint="eastAsia"/>
          <w:color w:val="auto"/>
          <w:szCs w:val="21"/>
          <w:highlight w:val="none"/>
        </w:rPr>
        <w:t>交易平台递交电子投标文件。</w:t>
      </w:r>
    </w:p>
    <w:p>
      <w:pPr>
        <w:pBdr>
          <w:bottom w:val="single" w:color="auto" w:sz="6" w:space="1"/>
        </w:pBdr>
        <w:spacing w:line="360" w:lineRule="auto"/>
        <w:ind w:firstLine="527" w:firstLineChars="250"/>
        <w:rPr>
          <w:color w:val="auto"/>
          <w:szCs w:val="21"/>
          <w:highlight w:val="none"/>
        </w:rPr>
      </w:pPr>
      <w:r>
        <w:rPr>
          <w:rFonts w:hint="eastAsia"/>
          <w:b/>
          <w:color w:val="auto"/>
          <w:szCs w:val="21"/>
          <w:highlight w:val="none"/>
        </w:rPr>
        <w:t>现文：</w:t>
      </w:r>
      <w:r>
        <w:rPr>
          <w:rFonts w:hint="eastAsia"/>
          <w:color w:val="auto"/>
          <w:szCs w:val="21"/>
          <w:highlight w:val="none"/>
        </w:rPr>
        <w:t>19.1投标人通过</w:t>
      </w:r>
      <w:r>
        <w:rPr>
          <w:rFonts w:hint="eastAsia"/>
          <w:color w:val="auto"/>
          <w:szCs w:val="21"/>
          <w:highlight w:val="none"/>
          <w:u w:val="single"/>
        </w:rPr>
        <w:t>广州公共资源交易中心</w:t>
      </w:r>
      <w:r>
        <w:rPr>
          <w:rFonts w:hint="eastAsia"/>
          <w:color w:val="auto"/>
          <w:szCs w:val="21"/>
          <w:highlight w:val="none"/>
        </w:rPr>
        <w:t>交易平台递交电子投标文件。</w:t>
      </w:r>
    </w:p>
    <w:p>
      <w:pPr>
        <w:pBdr>
          <w:top w:val="single" w:color="auto" w:sz="4" w:space="1"/>
        </w:pBdr>
        <w:spacing w:line="480" w:lineRule="auto"/>
        <w:ind w:firstLine="472" w:firstLineChars="224"/>
        <w:rPr>
          <w:b/>
          <w:color w:val="auto"/>
          <w:szCs w:val="21"/>
          <w:highlight w:val="none"/>
        </w:rPr>
      </w:pPr>
      <w:r>
        <w:rPr>
          <w:rFonts w:hint="eastAsia"/>
          <w:b/>
          <w:color w:val="auto"/>
          <w:szCs w:val="21"/>
          <w:highlight w:val="none"/>
        </w:rPr>
        <w:t>条款号：19.2         修改类型：修改</w:t>
      </w:r>
    </w:p>
    <w:p>
      <w:pPr>
        <w:pBdr>
          <w:bottom w:val="single" w:color="auto" w:sz="6" w:space="1"/>
        </w:pBdr>
        <w:spacing w:line="360" w:lineRule="auto"/>
        <w:ind w:firstLine="527" w:firstLineChars="250"/>
        <w:rPr>
          <w:color w:val="auto"/>
          <w:szCs w:val="21"/>
          <w:highlight w:val="none"/>
        </w:rPr>
      </w:pPr>
      <w:r>
        <w:rPr>
          <w:rFonts w:hint="eastAsia"/>
          <w:b/>
          <w:color w:val="auto"/>
          <w:szCs w:val="21"/>
          <w:highlight w:val="none"/>
        </w:rPr>
        <w:t>原文：</w:t>
      </w:r>
      <w:r>
        <w:rPr>
          <w:rFonts w:hint="eastAsia"/>
          <w:color w:val="auto"/>
          <w:szCs w:val="21"/>
          <w:highlight w:val="none"/>
        </w:rPr>
        <w:t>19.2投标人完成电子投标文件上传后，</w:t>
      </w:r>
      <w:r>
        <w:rPr>
          <w:rFonts w:hint="eastAsia"/>
          <w:color w:val="auto"/>
          <w:szCs w:val="21"/>
          <w:highlight w:val="none"/>
          <w:u w:val="single"/>
        </w:rPr>
        <w:t xml:space="preserve">    </w:t>
      </w:r>
      <w:r>
        <w:rPr>
          <w:rFonts w:hint="eastAsia"/>
          <w:color w:val="auto"/>
          <w:szCs w:val="21"/>
          <w:highlight w:val="none"/>
        </w:rPr>
        <w:t>交易平台即时向投标人发出递交回执通知。递交时间以递交回执通知载明的传输完成时间为准。</w:t>
      </w:r>
    </w:p>
    <w:p>
      <w:pPr>
        <w:pBdr>
          <w:bottom w:val="single" w:color="auto" w:sz="6" w:space="1"/>
        </w:pBdr>
        <w:spacing w:line="360" w:lineRule="auto"/>
        <w:ind w:firstLine="527" w:firstLineChars="250"/>
        <w:rPr>
          <w:color w:val="auto"/>
          <w:szCs w:val="21"/>
          <w:highlight w:val="none"/>
        </w:rPr>
      </w:pPr>
      <w:r>
        <w:rPr>
          <w:rFonts w:hint="eastAsia"/>
          <w:b/>
          <w:color w:val="auto"/>
          <w:szCs w:val="21"/>
          <w:highlight w:val="none"/>
        </w:rPr>
        <w:t>现文：</w:t>
      </w:r>
      <w:r>
        <w:rPr>
          <w:rFonts w:hint="eastAsia"/>
          <w:color w:val="auto"/>
          <w:szCs w:val="21"/>
          <w:highlight w:val="none"/>
        </w:rPr>
        <w:t>19.2投标人完成电子投标文件上传后，</w:t>
      </w:r>
      <w:r>
        <w:rPr>
          <w:rFonts w:hint="eastAsia"/>
          <w:color w:val="auto"/>
          <w:szCs w:val="21"/>
          <w:highlight w:val="none"/>
          <w:u w:val="single"/>
        </w:rPr>
        <w:t>广州公共资源交易中心</w:t>
      </w:r>
      <w:r>
        <w:rPr>
          <w:rFonts w:hint="eastAsia"/>
          <w:color w:val="auto"/>
          <w:szCs w:val="21"/>
          <w:highlight w:val="none"/>
        </w:rPr>
        <w:t>交易平台即时向投标人发出递交回执通知。递交时间以递交回执通知载明的传输完成时间为准。</w:t>
      </w:r>
    </w:p>
    <w:p>
      <w:pPr>
        <w:pBdr>
          <w:top w:val="single" w:color="auto" w:sz="4" w:space="1"/>
        </w:pBdr>
        <w:spacing w:line="480" w:lineRule="auto"/>
        <w:ind w:firstLine="472" w:firstLineChars="224"/>
        <w:rPr>
          <w:b/>
          <w:color w:val="auto"/>
          <w:szCs w:val="21"/>
          <w:highlight w:val="none"/>
        </w:rPr>
      </w:pPr>
      <w:r>
        <w:rPr>
          <w:rFonts w:hint="eastAsia"/>
          <w:b/>
          <w:color w:val="auto"/>
          <w:szCs w:val="21"/>
          <w:highlight w:val="none"/>
        </w:rPr>
        <w:t>条款号：19.3         修改类型：修改</w:t>
      </w:r>
    </w:p>
    <w:p>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原文：</w:t>
      </w:r>
      <w:r>
        <w:rPr>
          <w:rFonts w:hint="eastAsia"/>
          <w:color w:val="auto"/>
          <w:szCs w:val="21"/>
          <w:highlight w:val="none"/>
        </w:rPr>
        <w:t>19.3逾期送达的电子投标文件，</w:t>
      </w:r>
      <w:r>
        <w:rPr>
          <w:rFonts w:hint="eastAsia"/>
          <w:color w:val="auto"/>
          <w:szCs w:val="21"/>
          <w:highlight w:val="none"/>
          <w:u w:val="single"/>
        </w:rPr>
        <w:t xml:space="preserve">      </w:t>
      </w:r>
      <w:r>
        <w:rPr>
          <w:rFonts w:hint="eastAsia"/>
          <w:color w:val="auto"/>
          <w:szCs w:val="21"/>
          <w:highlight w:val="none"/>
        </w:rPr>
        <w:t>交易平台将予以拒收。</w:t>
      </w:r>
    </w:p>
    <w:p>
      <w:pPr>
        <w:pBdr>
          <w:bottom w:val="single" w:color="auto" w:sz="6" w:space="1"/>
        </w:pBdr>
        <w:spacing w:line="360" w:lineRule="auto"/>
        <w:ind w:firstLine="527" w:firstLineChars="250"/>
        <w:rPr>
          <w:color w:val="auto"/>
          <w:szCs w:val="21"/>
          <w:highlight w:val="none"/>
        </w:rPr>
      </w:pPr>
      <w:r>
        <w:rPr>
          <w:rFonts w:hint="eastAsia"/>
          <w:b/>
          <w:color w:val="auto"/>
          <w:szCs w:val="21"/>
          <w:highlight w:val="none"/>
        </w:rPr>
        <w:t>现文：</w:t>
      </w:r>
      <w:r>
        <w:rPr>
          <w:rFonts w:hint="eastAsia"/>
          <w:color w:val="auto"/>
          <w:szCs w:val="21"/>
          <w:highlight w:val="none"/>
        </w:rPr>
        <w:t>19.3逾期送达的电子投标文件，</w:t>
      </w:r>
      <w:r>
        <w:rPr>
          <w:rFonts w:hint="eastAsia"/>
          <w:color w:val="auto"/>
          <w:szCs w:val="21"/>
          <w:highlight w:val="none"/>
          <w:u w:val="single"/>
        </w:rPr>
        <w:t>广州公共资源交易中心</w:t>
      </w:r>
      <w:r>
        <w:rPr>
          <w:rFonts w:hint="eastAsia"/>
          <w:color w:val="auto"/>
          <w:szCs w:val="21"/>
          <w:highlight w:val="none"/>
        </w:rPr>
        <w:t>交易平台将予以拒收。</w:t>
      </w:r>
    </w:p>
    <w:p>
      <w:pPr>
        <w:spacing w:line="360" w:lineRule="auto"/>
        <w:ind w:firstLine="422" w:firstLineChars="200"/>
        <w:rPr>
          <w:b/>
          <w:color w:val="auto"/>
          <w:szCs w:val="21"/>
          <w:highlight w:val="none"/>
        </w:rPr>
      </w:pPr>
      <w:r>
        <w:rPr>
          <w:rFonts w:hint="eastAsia"/>
          <w:b/>
          <w:color w:val="auto"/>
          <w:szCs w:val="21"/>
          <w:highlight w:val="none"/>
        </w:rPr>
        <w:t>条款号：</w:t>
      </w:r>
      <w:r>
        <w:rPr>
          <w:b/>
          <w:color w:val="auto"/>
          <w:szCs w:val="21"/>
          <w:highlight w:val="none"/>
        </w:rPr>
        <w:t xml:space="preserve">19.5             </w:t>
      </w:r>
      <w:r>
        <w:rPr>
          <w:rFonts w:hint="eastAsia"/>
          <w:b/>
          <w:color w:val="auto"/>
          <w:szCs w:val="21"/>
          <w:highlight w:val="none"/>
        </w:rPr>
        <w:t>修改类型：删除</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原文：</w:t>
      </w:r>
      <w:r>
        <w:rPr>
          <w:color w:val="auto"/>
          <w:szCs w:val="21"/>
          <w:highlight w:val="none"/>
        </w:rPr>
        <w:t>19.5</w:t>
      </w:r>
      <w:r>
        <w:rPr>
          <w:rFonts w:hint="eastAsia"/>
          <w:color w:val="auto"/>
          <w:szCs w:val="21"/>
          <w:highlight w:val="none"/>
        </w:rPr>
        <w:t>如技术标和经济标先后分别开启，</w:t>
      </w:r>
      <w:r>
        <w:rPr>
          <w:color w:val="auto"/>
          <w:szCs w:val="21"/>
          <w:highlight w:val="none"/>
          <w:u w:val="single"/>
        </w:rPr>
        <w:t xml:space="preserve">        </w:t>
      </w:r>
      <w:r>
        <w:rPr>
          <w:rFonts w:hint="eastAsia"/>
          <w:color w:val="auto"/>
          <w:szCs w:val="21"/>
          <w:highlight w:val="none"/>
        </w:rPr>
        <w:t>交易平台将按招标文件规定的时间分别开启技术标和经济标。</w:t>
      </w:r>
    </w:p>
    <w:p>
      <w:pPr>
        <w:pBdr>
          <w:top w:val="none" w:color="auto" w:sz="0" w:space="1"/>
        </w:pBdr>
        <w:spacing w:line="480" w:lineRule="auto"/>
        <w:ind w:firstLine="472" w:firstLineChars="224"/>
        <w:rPr>
          <w:b/>
          <w:color w:val="auto"/>
          <w:szCs w:val="21"/>
          <w:highlight w:val="none"/>
        </w:rPr>
      </w:pPr>
      <w:r>
        <w:rPr>
          <w:rFonts w:hint="eastAsia"/>
          <w:b/>
          <w:color w:val="auto"/>
          <w:szCs w:val="21"/>
          <w:highlight w:val="none"/>
        </w:rPr>
        <w:t>条款号：21.1        修改类型：修改</w:t>
      </w:r>
    </w:p>
    <w:p>
      <w:pPr>
        <w:pBdr>
          <w:bottom w:val="single" w:color="auto" w:sz="6" w:space="1"/>
        </w:pBdr>
        <w:spacing w:line="360" w:lineRule="auto"/>
        <w:ind w:firstLine="527" w:firstLineChars="250"/>
        <w:rPr>
          <w:color w:val="auto"/>
          <w:szCs w:val="21"/>
          <w:highlight w:val="none"/>
        </w:rPr>
      </w:pPr>
      <w:r>
        <w:rPr>
          <w:rFonts w:hint="eastAsia"/>
          <w:b/>
          <w:color w:val="auto"/>
          <w:szCs w:val="21"/>
          <w:highlight w:val="none"/>
        </w:rPr>
        <w:t>原文：</w:t>
      </w:r>
      <w:r>
        <w:rPr>
          <w:rFonts w:hint="eastAsia"/>
          <w:color w:val="auto"/>
          <w:szCs w:val="21"/>
          <w:highlight w:val="none"/>
        </w:rPr>
        <w:t>21.1 本须知前附表第17项规定的投标截止时间后送达的电子投标文件，</w:t>
      </w:r>
      <w:r>
        <w:rPr>
          <w:color w:val="auto"/>
          <w:szCs w:val="21"/>
          <w:highlight w:val="none"/>
          <w:u w:val="single"/>
        </w:rPr>
        <w:t xml:space="preserve">    </w:t>
      </w:r>
      <w:r>
        <w:rPr>
          <w:rFonts w:hint="eastAsia"/>
          <w:color w:val="auto"/>
          <w:szCs w:val="21"/>
          <w:highlight w:val="none"/>
        </w:rPr>
        <w:t>交易平台将予以拒收。</w:t>
      </w:r>
    </w:p>
    <w:p>
      <w:pPr>
        <w:pBdr>
          <w:bottom w:val="single" w:color="auto" w:sz="6" w:space="1"/>
        </w:pBdr>
        <w:spacing w:line="360" w:lineRule="auto"/>
        <w:ind w:firstLine="527" w:firstLineChars="250"/>
        <w:rPr>
          <w:color w:val="auto"/>
          <w:szCs w:val="21"/>
          <w:highlight w:val="none"/>
        </w:rPr>
      </w:pPr>
      <w:r>
        <w:rPr>
          <w:rFonts w:hint="eastAsia"/>
          <w:b/>
          <w:color w:val="auto"/>
          <w:szCs w:val="21"/>
          <w:highlight w:val="none"/>
        </w:rPr>
        <w:t>现文：</w:t>
      </w:r>
      <w:r>
        <w:rPr>
          <w:rFonts w:hint="eastAsia"/>
          <w:color w:val="auto"/>
          <w:szCs w:val="21"/>
          <w:highlight w:val="none"/>
        </w:rPr>
        <w:t>21.1 本须知前附表第17项规定的投标截止时间后送达的电子投标文件，</w:t>
      </w:r>
      <w:r>
        <w:rPr>
          <w:rFonts w:hint="eastAsia"/>
          <w:color w:val="auto"/>
          <w:szCs w:val="21"/>
          <w:highlight w:val="none"/>
          <w:u w:val="single"/>
        </w:rPr>
        <w:t>广州公共资源交易中心</w:t>
      </w:r>
      <w:r>
        <w:rPr>
          <w:rFonts w:hint="eastAsia"/>
          <w:color w:val="auto"/>
          <w:szCs w:val="21"/>
          <w:highlight w:val="none"/>
        </w:rPr>
        <w:t>交易平台将予以拒收。</w:t>
      </w:r>
    </w:p>
    <w:p>
      <w:pPr>
        <w:pBdr>
          <w:top w:val="single" w:color="auto" w:sz="4" w:space="1"/>
        </w:pBdr>
        <w:spacing w:line="480" w:lineRule="auto"/>
        <w:ind w:firstLine="472" w:firstLineChars="224"/>
        <w:rPr>
          <w:b/>
          <w:color w:val="auto"/>
          <w:szCs w:val="21"/>
          <w:highlight w:val="none"/>
        </w:rPr>
      </w:pPr>
      <w:r>
        <w:rPr>
          <w:rFonts w:hint="eastAsia"/>
          <w:b/>
          <w:color w:val="auto"/>
          <w:szCs w:val="21"/>
          <w:highlight w:val="none"/>
        </w:rPr>
        <w:t>条款号：27.1        修改类型：修改</w:t>
      </w:r>
    </w:p>
    <w:p>
      <w:pPr>
        <w:pBdr>
          <w:bottom w:val="single" w:color="auto" w:sz="6" w:space="1"/>
        </w:pBd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27.1招标人将在</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交易平台、广东省招标投标监管网和中国招标投标公共服务平台公示中标候选人，公示期为三天。</w:t>
      </w:r>
      <w:r>
        <w:rPr>
          <w:rFonts w:hint="eastAsia" w:ascii="宋体" w:hAnsi="宋体"/>
          <w:color w:val="auto"/>
          <w:szCs w:val="21"/>
          <w:highlight w:val="none"/>
          <w:lang w:bidi="ar"/>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27.1招标人将在</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交易平台、广东省招标投标监管网和中国招标投标公共服务平台公示中标候选人，公示期为三天。</w:t>
      </w:r>
      <w:r>
        <w:rPr>
          <w:rFonts w:hint="eastAsia" w:ascii="宋体" w:hAnsi="宋体"/>
          <w:color w:val="auto"/>
          <w:szCs w:val="21"/>
          <w:highlight w:val="none"/>
          <w:lang w:bidi="ar"/>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top w:val="single" w:color="auto" w:sz="4" w:space="1"/>
        </w:pBdr>
        <w:spacing w:line="480" w:lineRule="auto"/>
        <w:ind w:firstLine="472" w:firstLineChars="224"/>
        <w:rPr>
          <w:b/>
          <w:color w:val="auto"/>
          <w:szCs w:val="21"/>
          <w:highlight w:val="none"/>
        </w:rPr>
      </w:pPr>
      <w:r>
        <w:rPr>
          <w:rFonts w:hint="eastAsia"/>
          <w:b/>
          <w:color w:val="auto"/>
          <w:szCs w:val="21"/>
          <w:highlight w:val="none"/>
        </w:rPr>
        <w:t>条款号：27.4        修改类型：修改</w:t>
      </w:r>
    </w:p>
    <w:p>
      <w:pPr>
        <w:pBdr>
          <w:bottom w:val="single" w:color="auto" w:sz="6" w:space="1"/>
        </w:pBdr>
        <w:spacing w:line="360" w:lineRule="auto"/>
        <w:ind w:firstLine="527" w:firstLineChars="250"/>
        <w:rPr>
          <w:color w:val="auto"/>
          <w:szCs w:val="21"/>
          <w:highlight w:val="none"/>
        </w:rPr>
      </w:pPr>
      <w:r>
        <w:rPr>
          <w:rFonts w:hint="eastAsia"/>
          <w:b/>
          <w:color w:val="auto"/>
          <w:szCs w:val="21"/>
          <w:highlight w:val="none"/>
        </w:rPr>
        <w:t>原文：</w:t>
      </w:r>
      <w:r>
        <w:rPr>
          <w:rFonts w:hint="eastAsia"/>
          <w:color w:val="auto"/>
          <w:szCs w:val="21"/>
          <w:highlight w:val="none"/>
        </w:rPr>
        <w:t>27.4在产生中标候选人后，招标人将中标候选人的投标文件商务部分文件的所有内容（包括人员、业绩、奖项等资料）在</w:t>
      </w:r>
      <w:r>
        <w:rPr>
          <w:color w:val="auto"/>
          <w:szCs w:val="21"/>
          <w:highlight w:val="none"/>
          <w:u w:val="single"/>
        </w:rPr>
        <w:t xml:space="preserve">     </w:t>
      </w:r>
      <w:r>
        <w:rPr>
          <w:rFonts w:hint="eastAsia"/>
          <w:color w:val="auto"/>
          <w:szCs w:val="21"/>
          <w:highlight w:val="none"/>
        </w:rPr>
        <w:t>交易平台和广东省招标投标监管网公开。</w:t>
      </w:r>
      <w:r>
        <w:rPr>
          <w:rFonts w:hint="eastAsia"/>
          <w:color w:val="auto"/>
          <w:szCs w:val="21"/>
          <w:highlight w:val="none"/>
        </w:rPr>
        <w:cr/>
      </w:r>
      <w:r>
        <w:rPr>
          <w:rFonts w:hint="eastAsia"/>
          <w:color w:val="auto"/>
          <w:szCs w:val="21"/>
          <w:highlight w:val="none"/>
        </w:rPr>
        <w:t xml:space="preserve">    </w:t>
      </w:r>
      <w:r>
        <w:rPr>
          <w:rFonts w:hint="eastAsia"/>
          <w:b/>
          <w:color w:val="auto"/>
          <w:szCs w:val="21"/>
          <w:highlight w:val="none"/>
        </w:rPr>
        <w:t>现文：</w:t>
      </w:r>
      <w:r>
        <w:rPr>
          <w:rFonts w:hint="eastAsia"/>
          <w:color w:val="auto"/>
          <w:szCs w:val="21"/>
          <w:highlight w:val="none"/>
        </w:rPr>
        <w:t>27.4在产生中标候选人后，招标人将中标候选人的投标文件商务部分文件的内容（包括人员、业绩、奖项等资料）在</w:t>
      </w:r>
      <w:r>
        <w:rPr>
          <w:rFonts w:hint="eastAsia"/>
          <w:color w:val="auto"/>
          <w:szCs w:val="21"/>
          <w:highlight w:val="none"/>
          <w:u w:val="single"/>
        </w:rPr>
        <w:t>广州公共资源交易中心</w:t>
      </w:r>
      <w:r>
        <w:rPr>
          <w:rFonts w:hint="eastAsia"/>
          <w:color w:val="auto"/>
          <w:szCs w:val="21"/>
          <w:highlight w:val="none"/>
        </w:rPr>
        <w:t>交易平台和广东省招标投标监管网公开。</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条款号：29.1                        修改类型：修改</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29.1在收到中标通知书后的</w:t>
      </w:r>
      <w:r>
        <w:rPr>
          <w:rFonts w:hint="eastAsia" w:ascii="宋体" w:hAnsi="宋体" w:cs="宋体"/>
          <w:b/>
          <w:color w:val="auto"/>
          <w:szCs w:val="21"/>
          <w:highlight w:val="none"/>
        </w:rPr>
        <w:t>15日</w:t>
      </w:r>
      <w:r>
        <w:rPr>
          <w:rFonts w:hint="eastAsia" w:ascii="宋体" w:hAnsi="宋体" w:cs="宋体"/>
          <w:color w:val="auto"/>
          <w:szCs w:val="21"/>
          <w:highlight w:val="none"/>
        </w:rPr>
        <w:t>内，中标人应按本须知前附表第20项的规定向招标人提交履约担保。</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29.1本项目不作履约担保的约定。</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条款号：29.2                        修改类型：修改</w:t>
      </w:r>
    </w:p>
    <w:p>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：29.2本项目不作履约担保的约定。</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条款号：30.1                        修改类型：修改</w:t>
      </w:r>
    </w:p>
    <w:p>
      <w:pP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30.1在合同双方全权代表在合同协议书上签字，并分别加盖双方单位的公章后，合同正式生效。</w:t>
      </w:r>
    </w:p>
    <w:p>
      <w:pPr>
        <w:pBdr>
          <w:bottom w:val="single" w:color="auto" w:sz="6" w:space="1"/>
        </w:pBd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30.1在合同双方全权代表在合同协议书上签字，并分别加盖双方单位的公章</w:t>
      </w:r>
      <w:r>
        <w:rPr>
          <w:rFonts w:hint="eastAsia" w:ascii="宋体" w:hAnsi="宋体" w:cs="宋体"/>
          <w:color w:val="auto"/>
          <w:szCs w:val="21"/>
          <w:highlight w:val="none"/>
          <w:u w:val="single"/>
        </w:rPr>
        <w:t>且承包人提交履约担保后，合同正式生效。</w:t>
      </w:r>
    </w:p>
    <w:p>
      <w:pPr>
        <w:spacing w:line="360" w:lineRule="auto"/>
        <w:ind w:firstLine="411" w:firstLineChars="195"/>
        <w:rPr>
          <w:rFonts w:ascii="宋体" w:hAnsi="宋体" w:cs="宋体"/>
          <w:b/>
          <w:bCs/>
          <w:color w:val="auto"/>
          <w:szCs w:val="21"/>
          <w:highlight w:val="none"/>
        </w:rPr>
      </w:pPr>
      <w:r>
        <w:rPr>
          <w:rFonts w:hint="eastAsia" w:ascii="宋体" w:hAnsi="宋体" w:cs="宋体"/>
          <w:b/>
          <w:bCs/>
          <w:color w:val="auto"/>
          <w:szCs w:val="21"/>
          <w:highlight w:val="none"/>
        </w:rPr>
        <w:t>条款号：31                          修改类型：修改</w:t>
      </w:r>
    </w:p>
    <w:p>
      <w:pPr>
        <w:pBdr>
          <w:bottom w:val="single" w:color="auto" w:sz="6" w:space="1"/>
        </w:pBdr>
        <w:spacing w:line="360" w:lineRule="auto"/>
        <w:ind w:firstLine="411" w:firstLineChars="195"/>
        <w:rPr>
          <w:rFonts w:ascii="宋体" w:hAnsi="宋体" w:cs="宋体"/>
          <w:b/>
          <w:bCs/>
          <w:color w:val="auto"/>
          <w:szCs w:val="21"/>
          <w:highlight w:val="none"/>
        </w:rPr>
      </w:pPr>
      <w:r>
        <w:rPr>
          <w:rFonts w:hint="eastAsia" w:ascii="宋体" w:hAnsi="宋体" w:cs="宋体"/>
          <w:b/>
          <w:bCs/>
          <w:color w:val="auto"/>
          <w:szCs w:val="21"/>
          <w:highlight w:val="none"/>
        </w:rPr>
        <w:t>原文：31.其它费用</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w:t>
      </w:r>
      <w:r>
        <w:rPr>
          <w:rFonts w:hint="eastAsia" w:ascii="宋体" w:hAnsi="宋体" w:cs="宋体"/>
          <w:b/>
          <w:color w:val="auto"/>
          <w:szCs w:val="21"/>
          <w:highlight w:val="none"/>
        </w:rPr>
        <w:t>31.</w:t>
      </w:r>
      <w:r>
        <w:rPr>
          <w:rFonts w:hint="eastAsia" w:ascii="宋体" w:hAnsi="宋体" w:cs="宋体"/>
          <w:b/>
          <w:bCs/>
          <w:color w:val="auto"/>
          <w:szCs w:val="21"/>
          <w:highlight w:val="none"/>
        </w:rPr>
        <w:t>其它费用</w:t>
      </w:r>
    </w:p>
    <w:p>
      <w:pPr>
        <w:pBdr>
          <w:bottom w:val="single" w:color="auto" w:sz="6" w:space="1"/>
        </w:pBdr>
        <w:spacing w:line="360" w:lineRule="auto"/>
        <w:ind w:firstLine="409" w:firstLineChars="195"/>
        <w:rPr>
          <w:rFonts w:ascii="宋体" w:hAnsi="宋体" w:cs="宋体"/>
          <w:color w:val="auto"/>
          <w:szCs w:val="21"/>
          <w:highlight w:val="none"/>
          <w:u w:val="single"/>
        </w:rPr>
      </w:pPr>
      <w:r>
        <w:rPr>
          <w:rFonts w:hint="eastAsia" w:ascii="宋体" w:hAnsi="宋体" w:cs="宋体"/>
          <w:color w:val="auto"/>
          <w:szCs w:val="21"/>
          <w:highlight w:val="none"/>
          <w:u w:val="single"/>
        </w:rPr>
        <w:t>中标人应交纳交易服务费，该费用包含在投标价中。</w:t>
      </w:r>
    </w:p>
    <w:p>
      <w:pPr>
        <w:pBdr>
          <w:top w:val="single" w:color="auto" w:sz="4" w:space="1"/>
        </w:pBdr>
        <w:spacing w:line="360" w:lineRule="auto"/>
        <w:ind w:firstLine="424" w:firstLineChars="201"/>
        <w:rPr>
          <w:b/>
          <w:color w:val="auto"/>
          <w:highlight w:val="none"/>
        </w:rPr>
      </w:pPr>
      <w:r>
        <w:rPr>
          <w:rFonts w:hint="eastAsia"/>
          <w:b/>
          <w:color w:val="auto"/>
          <w:highlight w:val="none"/>
        </w:rPr>
        <w:t>注：以上修改，仅限于本范本中有可供选择条款的情形。</w:t>
      </w:r>
    </w:p>
    <w:p>
      <w:pPr>
        <w:spacing w:line="360" w:lineRule="auto"/>
        <w:ind w:firstLine="282" w:firstLineChars="134"/>
        <w:rPr>
          <w:color w:val="auto"/>
          <w:highlight w:val="none"/>
        </w:rPr>
      </w:pPr>
      <w:r>
        <w:rPr>
          <w:rFonts w:hint="eastAsia"/>
          <w:b/>
          <w:color w:val="auto"/>
          <w:szCs w:val="21"/>
          <w:highlight w:val="none"/>
        </w:rPr>
        <w:t>（以下无正文）</w:t>
      </w:r>
    </w:p>
    <w:p>
      <w:pPr>
        <w:keepNext/>
        <w:keepLines/>
        <w:spacing w:before="120" w:after="120" w:line="415" w:lineRule="auto"/>
        <w:jc w:val="center"/>
        <w:outlineLvl w:val="1"/>
        <w:rPr>
          <w:rFonts w:ascii="Arial" w:hAnsi="Arial"/>
          <w:b/>
          <w:color w:val="auto"/>
          <w:sz w:val="28"/>
          <w:szCs w:val="24"/>
          <w:highlight w:val="none"/>
        </w:rPr>
      </w:pPr>
      <w:r>
        <w:rPr>
          <w:rFonts w:ascii="Arial" w:hAnsi="Arial"/>
          <w:b/>
          <w:color w:val="auto"/>
          <w:sz w:val="28"/>
          <w:szCs w:val="24"/>
          <w:highlight w:val="none"/>
        </w:rPr>
        <w:br w:type="page"/>
      </w:r>
      <w:bookmarkStart w:id="12" w:name="_Toc2272548"/>
      <w:bookmarkStart w:id="13" w:name="_Toc62056017"/>
      <w:bookmarkStart w:id="14" w:name="_Toc18773"/>
      <w:bookmarkStart w:id="15" w:name="_Toc14154"/>
      <w:r>
        <w:rPr>
          <w:rFonts w:hint="eastAsia" w:ascii="Arial" w:hAnsi="Arial"/>
          <w:b/>
          <w:color w:val="auto"/>
          <w:sz w:val="28"/>
          <w:szCs w:val="24"/>
          <w:highlight w:val="none"/>
        </w:rPr>
        <w:t>三、投标须知通用条款</w:t>
      </w:r>
      <w:bookmarkEnd w:id="12"/>
      <w:bookmarkEnd w:id="13"/>
      <w:r>
        <w:rPr>
          <w:rFonts w:hint="eastAsia" w:ascii="Arial" w:hAnsi="Arial"/>
          <w:b/>
          <w:color w:val="auto"/>
          <w:sz w:val="28"/>
          <w:szCs w:val="24"/>
          <w:highlight w:val="none"/>
        </w:rPr>
        <w:t>（详见范本）</w:t>
      </w:r>
      <w:bookmarkEnd w:id="14"/>
      <w:bookmarkEnd w:id="15"/>
    </w:p>
    <w:p>
      <w:pPr>
        <w:widowControl/>
        <w:spacing w:before="100" w:beforeAutospacing="1" w:after="100" w:afterAutospacing="1"/>
        <w:jc w:val="left"/>
        <w:outlineLvl w:val="2"/>
        <w:rPr>
          <w:rFonts w:ascii="宋体" w:hAnsi="宋体"/>
          <w:color w:val="auto"/>
          <w:kern w:val="0"/>
          <w:sz w:val="27"/>
          <w:szCs w:val="27"/>
          <w:highlight w:val="none"/>
        </w:rPr>
      </w:pPr>
      <w:bookmarkStart w:id="16" w:name="_Toc15702"/>
      <w:bookmarkStart w:id="17" w:name="_Toc62056018"/>
      <w:bookmarkStart w:id="18" w:name="_Toc22522"/>
      <w:bookmarkStart w:id="19" w:name="_Toc2272549"/>
      <w:r>
        <w:rPr>
          <w:rFonts w:hint="eastAsia" w:ascii="宋体" w:hAnsi="宋体"/>
          <w:color w:val="auto"/>
          <w:kern w:val="0"/>
          <w:sz w:val="27"/>
          <w:szCs w:val="27"/>
          <w:highlight w:val="none"/>
        </w:rPr>
        <w:t>（一）总则</w:t>
      </w:r>
      <w:bookmarkEnd w:id="16"/>
      <w:bookmarkEnd w:id="17"/>
      <w:bookmarkEnd w:id="18"/>
      <w:bookmarkEnd w:id="19"/>
    </w:p>
    <w:p>
      <w:pPr>
        <w:spacing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pPr>
        <w:spacing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pPr>
        <w:spacing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pPr>
        <w:spacing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pPr>
        <w:spacing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pPr>
        <w:spacing w:line="360" w:lineRule="auto"/>
        <w:ind w:firstLine="480" w:firstLineChars="200"/>
        <w:rPr>
          <w:rFonts w:asci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pPr>
        <w:tabs>
          <w:tab w:val="left" w:pos="105"/>
        </w:tabs>
        <w:spacing w:line="360" w:lineRule="auto"/>
        <w:ind w:firstLine="480" w:firstLineChars="200"/>
        <w:rPr>
          <w:rFonts w:ascii="宋体"/>
          <w:bCs/>
          <w:color w:val="auto"/>
          <w:sz w:val="24"/>
          <w:highlight w:val="none"/>
          <w:u w:val="single"/>
        </w:rPr>
      </w:pPr>
      <w:r>
        <w:rPr>
          <w:rFonts w:ascii="宋体" w:hAnsi="宋体"/>
          <w:bCs/>
          <w:color w:val="auto"/>
          <w:sz w:val="24"/>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且充分考虑了现场各种因素。招标人不受理因投标人缺乏对现场条件的了解或掌握而提出的任何索赔。考察现场的费用由投标人自己承担。</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pPr>
        <w:widowControl/>
        <w:spacing w:before="100" w:beforeAutospacing="1" w:after="100" w:afterAutospacing="1"/>
        <w:jc w:val="left"/>
        <w:outlineLvl w:val="2"/>
        <w:rPr>
          <w:rFonts w:ascii="宋体" w:hAnsi="宋体"/>
          <w:color w:val="auto"/>
          <w:kern w:val="0"/>
          <w:sz w:val="27"/>
          <w:szCs w:val="27"/>
          <w:highlight w:val="none"/>
        </w:rPr>
      </w:pPr>
      <w:bookmarkStart w:id="20" w:name="_Toc16726"/>
      <w:bookmarkStart w:id="21" w:name="_Toc62056019"/>
      <w:bookmarkStart w:id="22" w:name="_Toc11257"/>
      <w:bookmarkStart w:id="23" w:name="_Toc2272550"/>
      <w:r>
        <w:rPr>
          <w:rFonts w:hint="eastAsia" w:ascii="宋体" w:hAnsi="宋体"/>
          <w:color w:val="auto"/>
          <w:kern w:val="0"/>
          <w:sz w:val="27"/>
          <w:szCs w:val="27"/>
          <w:highlight w:val="none"/>
        </w:rPr>
        <w:t>（二）招标文件</w:t>
      </w:r>
      <w:bookmarkEnd w:id="20"/>
      <w:bookmarkEnd w:id="21"/>
      <w:bookmarkEnd w:id="22"/>
      <w:bookmarkEnd w:id="23"/>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pPr>
        <w:spacing w:line="360" w:lineRule="auto"/>
        <w:ind w:firstLine="480" w:firstLineChars="200"/>
        <w:rPr>
          <w:rFonts w:ascii="宋体"/>
          <w:color w:val="auto"/>
          <w:sz w:val="24"/>
          <w:highlight w:val="none"/>
        </w:rPr>
      </w:pPr>
      <w:r>
        <w:rPr>
          <w:rFonts w:ascii="宋体" w:hAnsi="宋体"/>
          <w:bCs/>
          <w:color w:val="auto"/>
          <w:sz w:val="24"/>
          <w:highlight w:val="none"/>
        </w:rPr>
        <w:t>7.1</w:t>
      </w:r>
      <w:r>
        <w:rPr>
          <w:rFonts w:hint="eastAsia" w:ascii="宋体" w:hAnsi="宋体"/>
          <w:color w:val="auto"/>
          <w:sz w:val="24"/>
          <w:highlight w:val="none"/>
        </w:rPr>
        <w:t>本招标文件包括下列文件，以及所有按本须知第</w:t>
      </w:r>
      <w:r>
        <w:rPr>
          <w:rFonts w:ascii="宋体" w:hAnsi="宋体"/>
          <w:color w:val="auto"/>
          <w:sz w:val="24"/>
          <w:highlight w:val="none"/>
        </w:rPr>
        <w:t>8</w:t>
      </w:r>
      <w:r>
        <w:rPr>
          <w:rFonts w:hint="eastAsia" w:ascii="宋体" w:hAnsi="宋体"/>
          <w:color w:val="auto"/>
          <w:sz w:val="24"/>
          <w:highlight w:val="none"/>
        </w:rPr>
        <w:t>条发出的招标答疑会会议纪要和按本须知第</w:t>
      </w:r>
      <w:r>
        <w:rPr>
          <w:rFonts w:ascii="宋体" w:hAnsi="宋体"/>
          <w:color w:val="auto"/>
          <w:sz w:val="24"/>
          <w:highlight w:val="none"/>
        </w:rPr>
        <w:t>9</w:t>
      </w:r>
      <w:r>
        <w:rPr>
          <w:rFonts w:hint="eastAsia" w:ascii="宋体" w:hAnsi="宋体"/>
          <w:color w:val="auto"/>
          <w:sz w:val="24"/>
          <w:highlight w:val="none"/>
        </w:rPr>
        <w:t>条发出的澄清或修改：</w:t>
      </w:r>
    </w:p>
    <w:p>
      <w:pPr>
        <w:spacing w:line="360" w:lineRule="auto"/>
        <w:ind w:left="-2" w:firstLine="480" w:firstLineChars="200"/>
        <w:rPr>
          <w:rFonts w:ascii="宋体"/>
          <w:color w:val="auto"/>
          <w:sz w:val="24"/>
          <w:highlight w:val="none"/>
        </w:rPr>
      </w:pPr>
      <w:r>
        <w:rPr>
          <w:rFonts w:hint="eastAsia" w:ascii="宋体" w:hAnsi="宋体"/>
          <w:bCs/>
          <w:color w:val="auto"/>
          <w:sz w:val="24"/>
          <w:highlight w:val="none"/>
        </w:rPr>
        <w:t>第一章</w:t>
      </w:r>
      <w:r>
        <w:rPr>
          <w:rFonts w:ascii="宋体" w:hAnsi="宋体"/>
          <w:bCs/>
          <w:color w:val="auto"/>
          <w:sz w:val="24"/>
          <w:highlight w:val="none"/>
        </w:rPr>
        <w:t xml:space="preserve">  </w:t>
      </w:r>
      <w:r>
        <w:rPr>
          <w:rFonts w:hint="eastAsia" w:ascii="宋体" w:hAnsi="宋体"/>
          <w:color w:val="auto"/>
          <w:sz w:val="24"/>
          <w:highlight w:val="none"/>
        </w:rPr>
        <w:t>投标须知</w:t>
      </w:r>
    </w:p>
    <w:p>
      <w:pPr>
        <w:spacing w:line="360" w:lineRule="auto"/>
        <w:ind w:left="-2" w:firstLine="480" w:firstLineChars="200"/>
        <w:rPr>
          <w:rFonts w:ascii="宋体"/>
          <w:color w:val="auto"/>
          <w:sz w:val="24"/>
          <w:highlight w:val="none"/>
        </w:rPr>
      </w:pPr>
      <w:r>
        <w:rPr>
          <w:rFonts w:hint="eastAsia" w:ascii="宋体" w:hAnsi="宋体"/>
          <w:bCs/>
          <w:color w:val="auto"/>
          <w:sz w:val="24"/>
          <w:highlight w:val="none"/>
        </w:rPr>
        <w:t>第二章</w:t>
      </w:r>
      <w:r>
        <w:rPr>
          <w:rFonts w:ascii="宋体" w:hAnsi="宋体"/>
          <w:bCs/>
          <w:color w:val="auto"/>
          <w:sz w:val="24"/>
          <w:highlight w:val="none"/>
        </w:rPr>
        <w:t xml:space="preserve">  </w:t>
      </w:r>
      <w:r>
        <w:rPr>
          <w:rFonts w:hint="eastAsia" w:ascii="宋体" w:hAnsi="宋体"/>
          <w:color w:val="auto"/>
          <w:sz w:val="24"/>
          <w:highlight w:val="none"/>
        </w:rPr>
        <w:t>开标、评标及定标办法</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第三章</w:t>
      </w:r>
      <w:r>
        <w:rPr>
          <w:rFonts w:ascii="宋体" w:hAnsi="宋体"/>
          <w:color w:val="auto"/>
          <w:sz w:val="24"/>
          <w:highlight w:val="none"/>
        </w:rPr>
        <w:t xml:space="preserve">  </w:t>
      </w:r>
      <w:r>
        <w:rPr>
          <w:rFonts w:hint="eastAsia" w:ascii="宋体" w:hAnsi="宋体"/>
          <w:color w:val="auto"/>
          <w:sz w:val="24"/>
          <w:highlight w:val="none"/>
        </w:rPr>
        <w:t>合同条款</w:t>
      </w:r>
    </w:p>
    <w:p>
      <w:pPr>
        <w:spacing w:line="360" w:lineRule="auto"/>
        <w:ind w:firstLine="480" w:firstLineChars="200"/>
        <w:rPr>
          <w:rFonts w:ascii="宋体"/>
          <w:color w:val="auto"/>
          <w:sz w:val="24"/>
          <w:highlight w:val="none"/>
        </w:rPr>
      </w:pPr>
      <w:r>
        <w:rPr>
          <w:rFonts w:hint="eastAsia" w:ascii="宋体" w:hAnsi="宋体"/>
          <w:bCs/>
          <w:color w:val="auto"/>
          <w:sz w:val="24"/>
          <w:highlight w:val="none"/>
        </w:rPr>
        <w:t>第四章</w:t>
      </w:r>
      <w:r>
        <w:rPr>
          <w:rFonts w:ascii="宋体" w:hAnsi="宋体"/>
          <w:bCs/>
          <w:color w:val="auto"/>
          <w:sz w:val="24"/>
          <w:highlight w:val="none"/>
        </w:rPr>
        <w:t xml:space="preserve">  </w:t>
      </w:r>
      <w:r>
        <w:rPr>
          <w:rFonts w:hint="eastAsia" w:ascii="宋体" w:hAnsi="宋体"/>
          <w:color w:val="auto"/>
          <w:sz w:val="24"/>
          <w:highlight w:val="none"/>
        </w:rPr>
        <w:t>投标文件格式</w:t>
      </w:r>
    </w:p>
    <w:p>
      <w:pPr>
        <w:spacing w:line="360" w:lineRule="auto"/>
        <w:ind w:left="-2" w:firstLine="480" w:firstLineChars="200"/>
        <w:rPr>
          <w:rFonts w:ascii="宋体"/>
          <w:color w:val="auto"/>
          <w:sz w:val="24"/>
          <w:highlight w:val="none"/>
        </w:rPr>
      </w:pPr>
      <w:r>
        <w:rPr>
          <w:rFonts w:hint="eastAsia" w:ascii="宋体" w:hAnsi="宋体"/>
          <w:bCs/>
          <w:color w:val="auto"/>
          <w:sz w:val="24"/>
          <w:highlight w:val="none"/>
        </w:rPr>
        <w:t>第五章</w:t>
      </w:r>
      <w:r>
        <w:rPr>
          <w:rFonts w:ascii="宋体" w:hAnsi="宋体"/>
          <w:bCs/>
          <w:color w:val="auto"/>
          <w:sz w:val="24"/>
          <w:highlight w:val="none"/>
        </w:rPr>
        <w:t xml:space="preserve">  </w:t>
      </w:r>
      <w:r>
        <w:rPr>
          <w:rFonts w:hint="eastAsia" w:ascii="宋体" w:hAnsi="宋体"/>
          <w:color w:val="auto"/>
          <w:sz w:val="24"/>
          <w:highlight w:val="none"/>
        </w:rPr>
        <w:t>技术条件（工程建设标准）（另册）</w:t>
      </w:r>
    </w:p>
    <w:p>
      <w:pPr>
        <w:spacing w:line="360" w:lineRule="auto"/>
        <w:ind w:left="-2" w:firstLine="480" w:firstLineChars="200"/>
        <w:rPr>
          <w:rFonts w:ascii="宋体"/>
          <w:color w:val="auto"/>
          <w:sz w:val="24"/>
          <w:highlight w:val="none"/>
        </w:rPr>
      </w:pPr>
      <w:r>
        <w:rPr>
          <w:rFonts w:hint="eastAsia" w:ascii="宋体" w:hAnsi="宋体"/>
          <w:bCs/>
          <w:color w:val="auto"/>
          <w:sz w:val="24"/>
          <w:highlight w:val="none"/>
        </w:rPr>
        <w:t>第六章</w:t>
      </w:r>
      <w:r>
        <w:rPr>
          <w:rFonts w:ascii="宋体" w:hAnsi="宋体"/>
          <w:bCs/>
          <w:color w:val="auto"/>
          <w:sz w:val="24"/>
          <w:highlight w:val="none"/>
        </w:rPr>
        <w:t xml:space="preserve">  </w:t>
      </w:r>
      <w:r>
        <w:rPr>
          <w:rFonts w:hint="eastAsia" w:ascii="宋体" w:hAnsi="宋体"/>
          <w:color w:val="auto"/>
          <w:sz w:val="24"/>
          <w:highlight w:val="none"/>
        </w:rPr>
        <w:t>图纸及勘察资料（另册）</w:t>
      </w:r>
    </w:p>
    <w:p>
      <w:pPr>
        <w:spacing w:line="360" w:lineRule="auto"/>
        <w:ind w:left="-2" w:firstLine="480" w:firstLineChars="200"/>
        <w:rPr>
          <w:rFonts w:ascii="宋体"/>
          <w:color w:val="auto"/>
          <w:sz w:val="24"/>
          <w:highlight w:val="none"/>
        </w:rPr>
      </w:pPr>
      <w:r>
        <w:rPr>
          <w:rFonts w:hint="eastAsia" w:ascii="宋体" w:hAnsi="宋体"/>
          <w:bCs/>
          <w:color w:val="auto"/>
          <w:sz w:val="24"/>
          <w:highlight w:val="none"/>
        </w:rPr>
        <w:t>第七章</w:t>
      </w:r>
      <w:r>
        <w:rPr>
          <w:rFonts w:ascii="宋体" w:hAnsi="宋体"/>
          <w:bCs/>
          <w:color w:val="auto"/>
          <w:sz w:val="24"/>
          <w:highlight w:val="none"/>
        </w:rPr>
        <w:t xml:space="preserve">  </w:t>
      </w:r>
      <w:r>
        <w:rPr>
          <w:rFonts w:hint="eastAsia" w:ascii="宋体" w:hAnsi="宋体"/>
          <w:bCs/>
          <w:color w:val="auto"/>
          <w:sz w:val="24"/>
          <w:highlight w:val="none"/>
        </w:rPr>
        <w:t>招标</w:t>
      </w:r>
      <w:r>
        <w:rPr>
          <w:rFonts w:hint="eastAsia" w:ascii="宋体" w:hAnsi="宋体"/>
          <w:color w:val="auto"/>
          <w:sz w:val="24"/>
          <w:highlight w:val="none"/>
        </w:rPr>
        <w:t>工程量清单（另册）</w:t>
      </w:r>
    </w:p>
    <w:p>
      <w:pPr>
        <w:spacing w:line="360" w:lineRule="auto"/>
        <w:ind w:left="-2" w:firstLine="480" w:firstLineChars="200"/>
        <w:rPr>
          <w:rFonts w:ascii="宋体" w:hAnsi="宋体"/>
          <w:color w:val="auto"/>
          <w:sz w:val="24"/>
          <w:highlight w:val="none"/>
        </w:rPr>
      </w:pPr>
      <w:r>
        <w:rPr>
          <w:rFonts w:hint="eastAsia" w:ascii="宋体" w:hAnsi="宋体"/>
          <w:color w:val="auto"/>
          <w:sz w:val="24"/>
          <w:highlight w:val="none"/>
        </w:rPr>
        <w:t>第八章</w:t>
      </w:r>
      <w:r>
        <w:rPr>
          <w:rFonts w:ascii="宋体" w:hAnsi="宋体"/>
          <w:color w:val="auto"/>
          <w:sz w:val="24"/>
          <w:highlight w:val="none"/>
        </w:rPr>
        <w:t xml:space="preserve">  </w:t>
      </w:r>
      <w:r>
        <w:rPr>
          <w:rFonts w:hint="eastAsia" w:ascii="宋体" w:hAnsi="宋体"/>
          <w:color w:val="auto"/>
          <w:sz w:val="24"/>
          <w:highlight w:val="none"/>
        </w:rPr>
        <w:t>最高投标限价</w:t>
      </w:r>
    </w:p>
    <w:p>
      <w:pPr>
        <w:pStyle w:val="13"/>
        <w:spacing w:line="360" w:lineRule="auto"/>
        <w:ind w:firstLine="480" w:firstLineChars="200"/>
        <w:rPr>
          <w:rFonts w:hAnsi="宋体"/>
          <w:color w:val="auto"/>
          <w:kern w:val="2"/>
          <w:sz w:val="24"/>
          <w:szCs w:val="22"/>
          <w:highlight w:val="none"/>
        </w:rPr>
      </w:pPr>
      <w:r>
        <w:rPr>
          <w:rFonts w:hint="eastAsia" w:hAnsi="宋体"/>
          <w:color w:val="auto"/>
          <w:kern w:val="2"/>
          <w:sz w:val="24"/>
          <w:szCs w:val="22"/>
          <w:highlight w:val="none"/>
        </w:rPr>
        <w:t>注：招标人应在技术条件（工程建设标准）中明确施工现场建筑垃圾源头减量的具体要求和建筑垃圾综合利用产品的使用要求。</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8.1 </w:t>
      </w:r>
      <w:r>
        <w:rPr>
          <w:rFonts w:hint="eastAsia" w:ascii="宋体" w:hAnsi="宋体"/>
          <w:color w:val="auto"/>
          <w:sz w:val="24"/>
          <w:highlight w:val="none"/>
        </w:rPr>
        <w:t>投标人若对招标文件（包括招标图纸）中有疑问，可以书面形式</w:t>
      </w:r>
      <w:r>
        <w:rPr>
          <w:rFonts w:hint="eastAsia"/>
          <w:color w:val="auto"/>
          <w:sz w:val="24"/>
          <w:szCs w:val="24"/>
          <w:highlight w:val="none"/>
        </w:rPr>
        <w:t>通过</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color w:val="auto"/>
          <w:sz w:val="24"/>
          <w:szCs w:val="24"/>
          <w:highlight w:val="none"/>
        </w:rPr>
        <w:t>提交</w:t>
      </w:r>
      <w:r>
        <w:rPr>
          <w:rFonts w:hint="eastAsia" w:ascii="宋体" w:hAnsi="宋体"/>
          <w:color w:val="auto"/>
          <w:sz w:val="24"/>
          <w:highlight w:val="none"/>
        </w:rPr>
        <w:t>给招标人或招标代理人，提交形式见本须知前附表第</w:t>
      </w:r>
      <w:r>
        <w:rPr>
          <w:rFonts w:ascii="宋体" w:hAnsi="宋体"/>
          <w:color w:val="auto"/>
          <w:sz w:val="24"/>
          <w:highlight w:val="none"/>
        </w:rPr>
        <w:t>16</w:t>
      </w:r>
      <w:r>
        <w:rPr>
          <w:rFonts w:hint="eastAsia" w:ascii="宋体" w:hAnsi="宋体"/>
          <w:color w:val="auto"/>
          <w:sz w:val="24"/>
          <w:highlight w:val="none"/>
        </w:rPr>
        <w:t>项。</w:t>
      </w:r>
    </w:p>
    <w:p>
      <w:pPr>
        <w:spacing w:line="360" w:lineRule="auto"/>
        <w:ind w:firstLine="480" w:firstLineChars="200"/>
        <w:rPr>
          <w:rFonts w:ascii="宋体"/>
          <w:color w:val="auto"/>
          <w:sz w:val="24"/>
          <w:highlight w:val="none"/>
        </w:rPr>
      </w:pPr>
      <w:r>
        <w:rPr>
          <w:rFonts w:ascii="宋体" w:hAnsi="宋体"/>
          <w:color w:val="auto"/>
          <w:sz w:val="24"/>
          <w:highlight w:val="none"/>
        </w:rPr>
        <w:t>8.2</w:t>
      </w:r>
      <w:r>
        <w:rPr>
          <w:rFonts w:hint="eastAsia" w:ascii="宋体"/>
          <w:color w:val="auto"/>
          <w:sz w:val="24"/>
          <w:highlight w:val="none"/>
        </w:rPr>
        <w:t>招标答疑会会议纪要将在提交投标文件截止时间15日前在</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 xml:space="preserve"> “项目答疑纪要”专区公开发布。答疑纪要一经在</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w:t>
      </w:r>
    </w:p>
    <w:p>
      <w:pPr>
        <w:spacing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pPr>
        <w:spacing w:line="360" w:lineRule="auto"/>
        <w:ind w:firstLine="480" w:firstLineChars="200"/>
        <w:rPr>
          <w:rFonts w:ascii="宋体"/>
          <w:color w:val="auto"/>
          <w:sz w:val="24"/>
          <w:highlight w:val="none"/>
        </w:rPr>
      </w:pPr>
      <w:r>
        <w:rPr>
          <w:rFonts w:ascii="宋体" w:hAnsi="宋体"/>
          <w:color w:val="auto"/>
          <w:sz w:val="24"/>
          <w:highlight w:val="none"/>
        </w:rPr>
        <w:t>8.4</w:t>
      </w:r>
      <w:r>
        <w:rPr>
          <w:rFonts w:hint="eastAsia" w:ascii="宋体" w:hAnsi="宋体"/>
          <w:color w:val="auto"/>
          <w:sz w:val="24"/>
          <w:highlight w:val="none"/>
        </w:rPr>
        <w:t>若招标答疑会会议纪要与招标文件有矛盾，以答疑会议纪要最后发出的书面形式的文件为准。</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pPr>
        <w:spacing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pPr>
        <w:spacing w:line="360" w:lineRule="auto"/>
        <w:ind w:firstLine="480" w:firstLineChars="200"/>
        <w:rPr>
          <w:rFonts w:ascii="宋体"/>
          <w:color w:val="auto"/>
          <w:sz w:val="24"/>
          <w:highlight w:val="none"/>
        </w:rPr>
      </w:pPr>
      <w:r>
        <w:rPr>
          <w:rFonts w:ascii="宋体" w:hAnsi="宋体"/>
          <w:color w:val="auto"/>
          <w:sz w:val="24"/>
          <w:highlight w:val="none"/>
        </w:rPr>
        <w:t>9.2</w:t>
      </w:r>
      <w:r>
        <w:rPr>
          <w:rFonts w:hint="eastAsia" w:ascii="宋体"/>
          <w:color w:val="auto"/>
          <w:sz w:val="24"/>
          <w:highlight w:val="none"/>
        </w:rPr>
        <w:t>招标文件的澄清或修改将在</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“项目答疑纪要”专区公开发布。答疑纪要一经在</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发布，视作已发放给所有投标人，以</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上网发布时间作为送达时间。</w:t>
      </w:r>
    </w:p>
    <w:p>
      <w:pPr>
        <w:spacing w:line="360" w:lineRule="auto"/>
        <w:ind w:firstLine="480" w:firstLineChars="200"/>
        <w:rPr>
          <w:rFonts w:asci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招标文件的修改内容为招标文件的组成部分。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9.4</w:t>
      </w:r>
      <w:r>
        <w:rPr>
          <w:rFonts w:hint="eastAsia" w:ascii="宋体" w:hAnsi="宋体"/>
          <w:color w:val="auto"/>
          <w:sz w:val="24"/>
          <w:szCs w:val="24"/>
          <w:highlight w:val="none"/>
        </w:rPr>
        <w:t>招标文件的澄清或修改均以书面形式明确的内容为准。当招标文件的澄清、修改、补充等在同一内容的表述不一致时，以最后发出的书面形式的文件为准。</w:t>
      </w:r>
    </w:p>
    <w:p>
      <w:pPr>
        <w:spacing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widowControl/>
        <w:spacing w:before="100" w:beforeAutospacing="1" w:after="100" w:afterAutospacing="1"/>
        <w:jc w:val="left"/>
        <w:outlineLvl w:val="2"/>
        <w:rPr>
          <w:rFonts w:ascii="宋体" w:hAnsi="宋体"/>
          <w:color w:val="auto"/>
          <w:kern w:val="0"/>
          <w:sz w:val="27"/>
          <w:szCs w:val="27"/>
          <w:highlight w:val="none"/>
        </w:rPr>
      </w:pPr>
      <w:bookmarkStart w:id="24" w:name="_Toc3420"/>
      <w:bookmarkStart w:id="25" w:name="_Toc5926"/>
      <w:bookmarkStart w:id="26" w:name="_Toc2272551"/>
      <w:bookmarkStart w:id="27" w:name="_Toc62056020"/>
      <w:r>
        <w:rPr>
          <w:rFonts w:hint="eastAsia" w:ascii="宋体" w:hAnsi="宋体"/>
          <w:color w:val="auto"/>
          <w:kern w:val="0"/>
          <w:sz w:val="27"/>
          <w:szCs w:val="27"/>
          <w:highlight w:val="none"/>
        </w:rPr>
        <w:t>（三）投标文件的编制</w:t>
      </w:r>
      <w:bookmarkEnd w:id="24"/>
      <w:bookmarkEnd w:id="25"/>
      <w:bookmarkEnd w:id="26"/>
      <w:bookmarkEnd w:id="27"/>
    </w:p>
    <w:p>
      <w:pPr>
        <w:spacing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pPr>
        <w:spacing w:line="360" w:lineRule="auto"/>
        <w:ind w:firstLine="482" w:firstLineChars="200"/>
        <w:rPr>
          <w:rFonts w:ascii="宋体" w:hAnsi="宋体"/>
          <w:b/>
          <w:color w:val="auto"/>
          <w:sz w:val="24"/>
          <w:highlight w:val="none"/>
        </w:rPr>
      </w:pPr>
      <w:r>
        <w:rPr>
          <w:rFonts w:ascii="宋体" w:hAnsi="宋体"/>
          <w:b/>
          <w:color w:val="auto"/>
          <w:sz w:val="24"/>
          <w:highlight w:val="none"/>
        </w:rPr>
        <w:t>11．投标文件的组成</w:t>
      </w:r>
    </w:p>
    <w:p>
      <w:pPr>
        <w:spacing w:line="360" w:lineRule="auto"/>
        <w:ind w:firstLine="480" w:firstLineChars="200"/>
        <w:rPr>
          <w:rFonts w:ascii="宋体"/>
          <w:b/>
          <w:color w:val="auto"/>
          <w:kern w:val="0"/>
          <w:sz w:val="24"/>
          <w:szCs w:val="20"/>
          <w:highlight w:val="none"/>
        </w:rPr>
      </w:pPr>
      <w:r>
        <w:rPr>
          <w:rFonts w:ascii="宋体" w:hAnsi="宋体"/>
          <w:color w:val="auto"/>
          <w:kern w:val="0"/>
          <w:sz w:val="24"/>
          <w:szCs w:val="20"/>
          <w:highlight w:val="none"/>
        </w:rPr>
        <w:t xml:space="preserve">11.1 </w:t>
      </w:r>
      <w:r>
        <w:rPr>
          <w:rFonts w:hint="eastAsia" w:ascii="宋体" w:hAnsi="宋体"/>
          <w:color w:val="auto"/>
          <w:kern w:val="0"/>
          <w:sz w:val="24"/>
          <w:szCs w:val="20"/>
          <w:highlight w:val="none"/>
        </w:rPr>
        <w:t>投标文件由技术部分（含资格审查文件）和经济部分二部分投标文件组成</w:t>
      </w:r>
      <w:r>
        <w:rPr>
          <w:rFonts w:hint="eastAsia" w:ascii="宋体" w:hAnsi="宋体"/>
          <w:b/>
          <w:color w:val="auto"/>
          <w:kern w:val="0"/>
          <w:sz w:val="24"/>
          <w:szCs w:val="20"/>
          <w:highlight w:val="none"/>
        </w:rPr>
        <w:t>。</w:t>
      </w:r>
    </w:p>
    <w:p>
      <w:pPr>
        <w:spacing w:line="360" w:lineRule="auto"/>
        <w:ind w:firstLine="480" w:firstLineChars="200"/>
        <w:rPr>
          <w:rFonts w:ascii="宋体"/>
          <w:color w:val="auto"/>
          <w:sz w:val="24"/>
          <w:szCs w:val="21"/>
          <w:highlight w:val="none"/>
        </w:rPr>
      </w:pPr>
      <w:r>
        <w:rPr>
          <w:rFonts w:ascii="宋体"/>
          <w:color w:val="auto"/>
          <w:sz w:val="24"/>
          <w:szCs w:val="21"/>
          <w:highlight w:val="none"/>
        </w:rPr>
        <w:t>11.2</w:t>
      </w:r>
      <w:r>
        <w:rPr>
          <w:rFonts w:hint="eastAsia" w:ascii="宋体"/>
          <w:color w:val="auto"/>
          <w:sz w:val="24"/>
          <w:szCs w:val="21"/>
          <w:highlight w:val="none"/>
        </w:rPr>
        <w:t>投标文件技术标部分主要包括下列内容</w:t>
      </w:r>
      <w:r>
        <w:rPr>
          <w:rFonts w:ascii="宋体"/>
          <w:color w:val="auto"/>
          <w:sz w:val="24"/>
          <w:szCs w:val="21"/>
          <w:highlight w:val="none"/>
        </w:rPr>
        <w:t>:</w:t>
      </w:r>
    </w:p>
    <w:p>
      <w:pPr>
        <w:spacing w:line="360" w:lineRule="auto"/>
        <w:ind w:firstLine="480" w:firstLineChars="200"/>
        <w:rPr>
          <w:rFonts w:ascii="宋体"/>
          <w:color w:val="auto"/>
          <w:sz w:val="24"/>
          <w:szCs w:val="21"/>
          <w:highlight w:val="none"/>
        </w:rPr>
      </w:pPr>
      <w:r>
        <w:rPr>
          <w:rFonts w:hint="eastAsia" w:ascii="宋体"/>
          <w:color w:val="auto"/>
          <w:sz w:val="24"/>
          <w:szCs w:val="21"/>
          <w:highlight w:val="none"/>
        </w:rPr>
        <w:t>11.2.1 技术投标文件</w:t>
      </w:r>
      <w:r>
        <w:rPr>
          <w:rFonts w:ascii="宋体"/>
          <w:color w:val="auto"/>
          <w:sz w:val="24"/>
          <w:szCs w:val="21"/>
          <w:highlight w:val="none"/>
        </w:rPr>
        <w:t>(</w:t>
      </w:r>
      <w:r>
        <w:rPr>
          <w:rFonts w:hint="eastAsia" w:ascii="宋体"/>
          <w:color w:val="auto"/>
          <w:sz w:val="24"/>
          <w:szCs w:val="21"/>
          <w:highlight w:val="none"/>
        </w:rPr>
        <w:t>按技术标投标文件格式要求填写</w:t>
      </w:r>
      <w:r>
        <w:rPr>
          <w:rFonts w:ascii="宋体"/>
          <w:color w:val="auto"/>
          <w:sz w:val="24"/>
          <w:szCs w:val="21"/>
          <w:highlight w:val="none"/>
        </w:rPr>
        <w:t>)</w:t>
      </w:r>
      <w:r>
        <w:rPr>
          <w:rFonts w:hint="eastAsia" w:ascii="宋体"/>
          <w:color w:val="auto"/>
          <w:sz w:val="24"/>
          <w:szCs w:val="21"/>
          <w:highlight w:val="none"/>
        </w:rPr>
        <w:t>；</w:t>
      </w:r>
    </w:p>
    <w:p>
      <w:pPr>
        <w:spacing w:line="360" w:lineRule="auto"/>
        <w:ind w:firstLine="480" w:firstLineChars="200"/>
        <w:rPr>
          <w:rFonts w:ascii="宋体"/>
          <w:color w:val="auto"/>
          <w:sz w:val="24"/>
          <w:szCs w:val="21"/>
          <w:highlight w:val="none"/>
        </w:rPr>
      </w:pPr>
      <w:r>
        <w:rPr>
          <w:rFonts w:hint="eastAsia" w:ascii="宋体"/>
          <w:color w:val="auto"/>
          <w:sz w:val="24"/>
          <w:szCs w:val="21"/>
          <w:highlight w:val="none"/>
        </w:rPr>
        <w:t>11.2.2 资格审查文件：</w:t>
      </w:r>
    </w:p>
    <w:p>
      <w:pPr>
        <w:spacing w:line="360" w:lineRule="auto"/>
        <w:ind w:firstLine="480" w:firstLineChars="200"/>
        <w:rPr>
          <w:rFonts w:ascii="宋体"/>
          <w:color w:val="auto"/>
          <w:sz w:val="24"/>
          <w:szCs w:val="21"/>
          <w:highlight w:val="none"/>
        </w:rPr>
      </w:pPr>
      <w:r>
        <w:rPr>
          <w:rFonts w:hint="eastAsia" w:ascii="宋体"/>
          <w:color w:val="auto"/>
          <w:sz w:val="24"/>
          <w:szCs w:val="21"/>
          <w:highlight w:val="none"/>
        </w:rPr>
        <w:t xml:space="preserve">（1）投标人声明； </w:t>
      </w:r>
    </w:p>
    <w:p>
      <w:pPr>
        <w:spacing w:line="360" w:lineRule="auto"/>
        <w:ind w:firstLine="480" w:firstLineChars="200"/>
        <w:rPr>
          <w:rFonts w:ascii="宋体"/>
          <w:color w:val="auto"/>
          <w:sz w:val="24"/>
          <w:szCs w:val="21"/>
          <w:highlight w:val="none"/>
        </w:rPr>
      </w:pPr>
      <w:r>
        <w:rPr>
          <w:rFonts w:hint="eastAsia" w:ascii="宋体"/>
          <w:color w:val="auto"/>
          <w:sz w:val="24"/>
          <w:szCs w:val="21"/>
          <w:highlight w:val="none"/>
        </w:rPr>
        <w:t>（2）法定代表人证明书、法定代表人签字或盖章的本投标文件授权委托证明书；</w:t>
      </w:r>
    </w:p>
    <w:p>
      <w:pPr>
        <w:spacing w:line="360" w:lineRule="auto"/>
        <w:ind w:firstLine="480" w:firstLineChars="200"/>
        <w:rPr>
          <w:rFonts w:ascii="宋体"/>
          <w:color w:val="auto"/>
          <w:sz w:val="24"/>
          <w:szCs w:val="21"/>
          <w:highlight w:val="none"/>
        </w:rPr>
      </w:pPr>
      <w:r>
        <w:rPr>
          <w:rFonts w:hint="eastAsia" w:ascii="宋体"/>
          <w:color w:val="auto"/>
          <w:sz w:val="24"/>
          <w:szCs w:val="21"/>
          <w:highlight w:val="none"/>
        </w:rPr>
        <w:t>（3）企业营业执照（取自库内上传件）；</w:t>
      </w:r>
    </w:p>
    <w:p>
      <w:pPr>
        <w:spacing w:line="360" w:lineRule="auto"/>
        <w:ind w:firstLine="480" w:firstLineChars="200"/>
        <w:rPr>
          <w:rFonts w:ascii="宋体"/>
          <w:color w:val="auto"/>
          <w:sz w:val="24"/>
          <w:szCs w:val="21"/>
          <w:highlight w:val="none"/>
        </w:rPr>
      </w:pPr>
      <w:r>
        <w:rPr>
          <w:rFonts w:hint="eastAsia" w:ascii="宋体"/>
          <w:color w:val="auto"/>
          <w:sz w:val="24"/>
          <w:szCs w:val="21"/>
          <w:highlight w:val="none"/>
        </w:rPr>
        <w:t>（4）企业资质证书（取自库内上传件）；</w:t>
      </w:r>
    </w:p>
    <w:p>
      <w:pPr>
        <w:spacing w:line="360" w:lineRule="auto"/>
        <w:ind w:firstLine="480" w:firstLineChars="200"/>
        <w:rPr>
          <w:rFonts w:ascii="宋体"/>
          <w:color w:val="auto"/>
          <w:sz w:val="24"/>
          <w:szCs w:val="21"/>
          <w:highlight w:val="none"/>
        </w:rPr>
      </w:pPr>
      <w:r>
        <w:rPr>
          <w:rFonts w:hint="eastAsia" w:ascii="宋体"/>
          <w:color w:val="auto"/>
          <w:sz w:val="24"/>
          <w:szCs w:val="21"/>
          <w:highlight w:val="none"/>
        </w:rPr>
        <w:t>（5）建筑施工企业安全生产许可证（取自库内上传件）；</w:t>
      </w:r>
    </w:p>
    <w:p>
      <w:pPr>
        <w:spacing w:line="360" w:lineRule="auto"/>
        <w:ind w:firstLine="480" w:firstLineChars="200"/>
        <w:rPr>
          <w:rFonts w:ascii="宋体"/>
          <w:color w:val="auto"/>
          <w:sz w:val="24"/>
          <w:szCs w:val="21"/>
          <w:highlight w:val="none"/>
        </w:rPr>
      </w:pPr>
      <w:r>
        <w:rPr>
          <w:rFonts w:hint="eastAsia" w:ascii="宋体"/>
          <w:color w:val="auto"/>
          <w:sz w:val="24"/>
          <w:szCs w:val="21"/>
          <w:highlight w:val="none"/>
        </w:rPr>
        <w:t>（6）项目负责人（按网上投标登记时选择拟投标的项目负责人）；</w:t>
      </w:r>
    </w:p>
    <w:p>
      <w:pPr>
        <w:spacing w:line="360" w:lineRule="auto"/>
        <w:ind w:firstLine="480" w:firstLineChars="200"/>
        <w:rPr>
          <w:rFonts w:ascii="宋体"/>
          <w:color w:val="auto"/>
          <w:sz w:val="24"/>
          <w:szCs w:val="21"/>
          <w:highlight w:val="none"/>
        </w:rPr>
      </w:pPr>
      <w:r>
        <w:rPr>
          <w:rFonts w:hint="eastAsia" w:ascii="宋体"/>
          <w:color w:val="auto"/>
          <w:sz w:val="24"/>
          <w:szCs w:val="21"/>
          <w:highlight w:val="none"/>
        </w:rPr>
        <w:t>（7）专职安全员（按网上投标登记时选择拟投标的专职安全员）；</w:t>
      </w:r>
    </w:p>
    <w:p>
      <w:pPr>
        <w:spacing w:line="360" w:lineRule="auto"/>
        <w:ind w:firstLine="480" w:firstLineChars="200"/>
        <w:rPr>
          <w:rFonts w:ascii="宋体"/>
          <w:color w:val="auto"/>
          <w:sz w:val="24"/>
          <w:szCs w:val="21"/>
          <w:highlight w:val="none"/>
        </w:rPr>
      </w:pPr>
      <w:r>
        <w:rPr>
          <w:rFonts w:hint="eastAsia" w:ascii="宋体"/>
          <w:color w:val="auto"/>
          <w:sz w:val="24"/>
          <w:szCs w:val="21"/>
          <w:highlight w:val="none"/>
        </w:rPr>
        <w:t>（8）拟委托技术负责人的相关证书、资料（具体要求由招标人明确）；</w:t>
      </w:r>
    </w:p>
    <w:p>
      <w:pPr>
        <w:widowControl/>
        <w:spacing w:line="360" w:lineRule="auto"/>
        <w:ind w:firstLine="480" w:firstLineChars="200"/>
        <w:jc w:val="left"/>
        <w:rPr>
          <w:rFonts w:ascii="宋体" w:eastAsia="Times New Roman"/>
          <w:color w:val="auto"/>
          <w:sz w:val="24"/>
          <w:szCs w:val="21"/>
          <w:highlight w:val="none"/>
        </w:rPr>
      </w:pPr>
      <w:r>
        <w:rPr>
          <w:rFonts w:hint="eastAsia" w:ascii="宋体"/>
          <w:color w:val="auto"/>
          <w:sz w:val="24"/>
          <w:szCs w:val="21"/>
          <w:highlight w:val="none"/>
          <w:lang w:bidi="ar"/>
        </w:rPr>
        <w:t>（</w:t>
      </w:r>
      <w:r>
        <w:rPr>
          <w:rFonts w:hint="eastAsia" w:ascii="宋体" w:eastAsia="Times New Roman"/>
          <w:color w:val="auto"/>
          <w:sz w:val="24"/>
          <w:szCs w:val="21"/>
          <w:highlight w:val="none"/>
          <w:lang w:bidi="ar"/>
        </w:rPr>
        <w:t>9）</w:t>
      </w:r>
      <w:r>
        <w:rPr>
          <w:rFonts w:hint="eastAsia" w:ascii="宋体"/>
          <w:color w:val="auto"/>
          <w:sz w:val="24"/>
          <w:szCs w:val="21"/>
          <w:highlight w:val="none"/>
          <w:lang w:bidi="ar"/>
        </w:rPr>
        <w:t xml:space="preserve">拟委派项目负责人的建造师注册证书（取自平台内上传件）； </w:t>
      </w:r>
    </w:p>
    <w:p>
      <w:pPr>
        <w:widowControl/>
        <w:spacing w:line="360" w:lineRule="auto"/>
        <w:ind w:firstLine="480" w:firstLineChars="200"/>
        <w:jc w:val="left"/>
        <w:rPr>
          <w:rFonts w:ascii="宋体" w:eastAsia="Times New Roman"/>
          <w:color w:val="auto"/>
          <w:sz w:val="24"/>
          <w:szCs w:val="21"/>
          <w:highlight w:val="none"/>
        </w:rPr>
      </w:pPr>
      <w:r>
        <w:rPr>
          <w:rFonts w:hint="eastAsia" w:ascii="宋体"/>
          <w:color w:val="auto"/>
          <w:sz w:val="24"/>
          <w:szCs w:val="21"/>
          <w:highlight w:val="none"/>
          <w:lang w:bidi="ar"/>
        </w:rPr>
        <w:t>（</w:t>
      </w:r>
      <w:r>
        <w:rPr>
          <w:rFonts w:hint="eastAsia" w:ascii="宋体" w:eastAsia="Times New Roman"/>
          <w:color w:val="auto"/>
          <w:sz w:val="24"/>
          <w:szCs w:val="21"/>
          <w:highlight w:val="none"/>
          <w:lang w:bidi="ar"/>
        </w:rPr>
        <w:t>10）</w:t>
      </w:r>
      <w:r>
        <w:rPr>
          <w:rFonts w:hint="eastAsia" w:ascii="宋体"/>
          <w:color w:val="auto"/>
          <w:sz w:val="24"/>
          <w:szCs w:val="21"/>
          <w:highlight w:val="none"/>
          <w:lang w:bidi="ar"/>
        </w:rPr>
        <w:t>项目负责人安全生产考核合格证明或在有效期内的安全考核合格证书（</w:t>
      </w:r>
      <w:r>
        <w:rPr>
          <w:rFonts w:hint="eastAsia" w:ascii="宋体" w:eastAsia="Times New Roman"/>
          <w:color w:val="auto"/>
          <w:sz w:val="24"/>
          <w:szCs w:val="21"/>
          <w:highlight w:val="none"/>
          <w:lang w:bidi="ar"/>
        </w:rPr>
        <w:t>B类）或建筑施工企业项目负责人安全生产考核合格证书（取自平台内上传件）</w:t>
      </w:r>
      <w:r>
        <w:rPr>
          <w:rFonts w:hint="eastAsia" w:ascii="宋体"/>
          <w:color w:val="auto"/>
          <w:sz w:val="24"/>
          <w:szCs w:val="21"/>
          <w:highlight w:val="none"/>
          <w:lang w:bidi="ar"/>
        </w:rPr>
        <w:t>；</w:t>
      </w:r>
    </w:p>
    <w:p>
      <w:pPr>
        <w:spacing w:line="360" w:lineRule="auto"/>
        <w:ind w:firstLine="480" w:firstLineChars="200"/>
        <w:rPr>
          <w:rFonts w:ascii="宋体"/>
          <w:color w:val="auto"/>
          <w:sz w:val="24"/>
          <w:szCs w:val="21"/>
          <w:highlight w:val="none"/>
        </w:rPr>
      </w:pPr>
      <w:r>
        <w:rPr>
          <w:rFonts w:hint="eastAsia" w:ascii="宋体"/>
          <w:color w:val="auto"/>
          <w:sz w:val="24"/>
          <w:szCs w:val="21"/>
          <w:highlight w:val="none"/>
        </w:rPr>
        <w:t>（11）专职安全员须具有在有效期内的安全考核合格证书（C 类）或建筑施工企业专职安全生产管理人员安全生产考核合格证书（取自平台内上传件）；</w:t>
      </w:r>
    </w:p>
    <w:p>
      <w:pPr>
        <w:spacing w:line="360" w:lineRule="auto"/>
        <w:ind w:firstLine="480" w:firstLineChars="200"/>
        <w:rPr>
          <w:rFonts w:ascii="宋体"/>
          <w:color w:val="auto"/>
          <w:sz w:val="24"/>
          <w:szCs w:val="21"/>
          <w:highlight w:val="none"/>
        </w:rPr>
      </w:pPr>
      <w:r>
        <w:rPr>
          <w:rFonts w:hint="eastAsia" w:ascii="宋体"/>
          <w:color w:val="auto"/>
          <w:sz w:val="24"/>
          <w:szCs w:val="21"/>
          <w:highlight w:val="none"/>
        </w:rPr>
        <w:t>（12）用于资格审查的业绩（设置业绩要求时选择此项，投标人须提供类似工程业绩的项目名称及项目编号，具体格式由招标人自定）；</w:t>
      </w:r>
    </w:p>
    <w:p>
      <w:pPr>
        <w:spacing w:line="360" w:lineRule="auto"/>
        <w:ind w:firstLine="480" w:firstLineChars="200"/>
        <w:rPr>
          <w:rFonts w:ascii="宋体"/>
          <w:color w:val="auto"/>
          <w:sz w:val="24"/>
          <w:szCs w:val="21"/>
          <w:highlight w:val="none"/>
        </w:rPr>
      </w:pPr>
      <w:r>
        <w:rPr>
          <w:rFonts w:hint="eastAsia" w:ascii="宋体"/>
          <w:color w:val="auto"/>
          <w:sz w:val="24"/>
          <w:szCs w:val="21"/>
          <w:highlight w:val="none"/>
        </w:rPr>
        <w:t>（1</w:t>
      </w:r>
      <w:r>
        <w:rPr>
          <w:rFonts w:ascii="宋体"/>
          <w:color w:val="auto"/>
          <w:sz w:val="24"/>
          <w:szCs w:val="21"/>
          <w:highlight w:val="none"/>
        </w:rPr>
        <w:t>3</w:t>
      </w:r>
      <w:r>
        <w:rPr>
          <w:rFonts w:hint="eastAsia" w:ascii="宋体"/>
          <w:color w:val="auto"/>
          <w:sz w:val="24"/>
          <w:szCs w:val="21"/>
          <w:highlight w:val="none"/>
        </w:rPr>
        <w:t>）资格审查前，投标人须在广州市住房和城乡建设局建立企业信用档案，拟担任本工程项目负责人、专职安全员须是本企业信用档案中的在册人员。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color w:val="auto"/>
          <w:sz w:val="24"/>
          <w:szCs w:val="21"/>
          <w:highlight w:val="none"/>
        </w:rPr>
      </w:pPr>
      <w:r>
        <w:rPr>
          <w:rFonts w:hint="eastAsia" w:ascii="宋体"/>
          <w:color w:val="auto"/>
          <w:sz w:val="24"/>
          <w:szCs w:val="21"/>
          <w:highlight w:val="none"/>
        </w:rPr>
        <w:t>（1</w:t>
      </w:r>
      <w:r>
        <w:rPr>
          <w:rFonts w:ascii="宋体"/>
          <w:color w:val="auto"/>
          <w:sz w:val="24"/>
          <w:szCs w:val="21"/>
          <w:highlight w:val="none"/>
        </w:rPr>
        <w:t>4</w:t>
      </w:r>
      <w:r>
        <w:rPr>
          <w:rFonts w:hint="eastAsia" w:ascii="宋体"/>
          <w:color w:val="auto"/>
          <w:sz w:val="24"/>
          <w:szCs w:val="21"/>
          <w:highlight w:val="none"/>
        </w:rPr>
        <w:t>）</w:t>
      </w:r>
      <w:r>
        <w:rPr>
          <w:rFonts w:hint="eastAsia" w:ascii="宋体" w:hAnsi="宋体"/>
          <w:color w:val="auto"/>
          <w:sz w:val="24"/>
          <w:szCs w:val="21"/>
          <w:highlight w:val="none"/>
        </w:rPr>
        <w:t>列明主办单位的联合体工作协议（采用联合体投标时需递交，投标人拟任本工程项目负责人应为联合体主办方信用档案中的在册人员，联合体工作协议应明确约定各方拟承担的工作和责任）；</w:t>
      </w:r>
    </w:p>
    <w:p>
      <w:pPr>
        <w:spacing w:line="360" w:lineRule="auto"/>
        <w:ind w:firstLine="480" w:firstLineChars="200"/>
        <w:rPr>
          <w:rFonts w:ascii="宋体" w:hAnsi="宋体"/>
          <w:color w:val="auto"/>
          <w:sz w:val="24"/>
          <w:szCs w:val="21"/>
          <w:highlight w:val="none"/>
        </w:rPr>
      </w:pPr>
      <w:r>
        <w:rPr>
          <w:rFonts w:hint="eastAsia" w:ascii="宋体"/>
          <w:color w:val="auto"/>
          <w:sz w:val="24"/>
          <w:szCs w:val="21"/>
          <w:highlight w:val="none"/>
        </w:rPr>
        <w:t>（1</w:t>
      </w:r>
      <w:r>
        <w:rPr>
          <w:rFonts w:ascii="宋体"/>
          <w:color w:val="auto"/>
          <w:sz w:val="24"/>
          <w:szCs w:val="21"/>
          <w:highlight w:val="none"/>
        </w:rPr>
        <w:t>5</w:t>
      </w:r>
      <w:r>
        <w:rPr>
          <w:rFonts w:hint="eastAsia" w:ascii="宋体"/>
          <w:color w:val="auto"/>
          <w:sz w:val="24"/>
          <w:szCs w:val="21"/>
          <w:highlight w:val="none"/>
        </w:rPr>
        <w:t>）</w:t>
      </w:r>
      <w:r>
        <w:rPr>
          <w:rFonts w:hint="eastAsia" w:ascii="宋体" w:hAnsi="宋体"/>
          <w:color w:val="auto"/>
          <w:sz w:val="24"/>
          <w:szCs w:val="21"/>
          <w:highlight w:val="none"/>
        </w:rPr>
        <w:t>投标人具有在广州地区可使用适合本工程的机械设备的证明文件（提供沥青摊铺机自有发票或权属证明及设备现场全貌彩照（彩照须能反映其规格型号））。（含有市政道路面层沥青摊铺且沥青摊铺占预计发包价 50%或以上的大、中修市政公用工程需提供该项内容的证明文件）。</w:t>
      </w:r>
    </w:p>
    <w:p>
      <w:pPr>
        <w:spacing w:line="360" w:lineRule="auto"/>
        <w:ind w:firstLine="480" w:firstLineChars="200"/>
        <w:rPr>
          <w:rFonts w:ascii="宋体"/>
          <w:color w:val="auto"/>
          <w:sz w:val="24"/>
          <w:highlight w:val="none"/>
        </w:rPr>
      </w:pPr>
      <w:r>
        <w:rPr>
          <w:rFonts w:ascii="宋体" w:hAnsi="宋体"/>
          <w:color w:val="auto"/>
          <w:sz w:val="24"/>
          <w:highlight w:val="none"/>
        </w:rPr>
        <w:t>11.2.3</w:t>
      </w:r>
      <w:r>
        <w:rPr>
          <w:rFonts w:hint="eastAsia" w:ascii="宋体" w:hAnsi="宋体"/>
          <w:color w:val="auto"/>
          <w:sz w:val="24"/>
          <w:highlight w:val="none"/>
        </w:rPr>
        <w:t>项目管理机构配备。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）投标人应列出该项目工程的施工组织机构构成和画出机构框架图及其负责人；</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）其他辅助说明资料。</w:t>
      </w:r>
    </w:p>
    <w:p>
      <w:pPr>
        <w:spacing w:line="360" w:lineRule="auto"/>
        <w:ind w:firstLine="480" w:firstLineChars="200"/>
        <w:rPr>
          <w:rFonts w:ascii="宋体"/>
          <w:color w:val="auto"/>
          <w:sz w:val="24"/>
          <w:highlight w:val="none"/>
        </w:rPr>
      </w:pPr>
      <w:r>
        <w:rPr>
          <w:rFonts w:ascii="宋体" w:hAnsi="宋体"/>
          <w:color w:val="auto"/>
          <w:sz w:val="24"/>
          <w:highlight w:val="none"/>
        </w:rPr>
        <w:t>11.2.4</w:t>
      </w:r>
      <w:r>
        <w:rPr>
          <w:rFonts w:hint="eastAsia" w:ascii="宋体" w:hAnsi="宋体"/>
          <w:color w:val="auto"/>
          <w:sz w:val="24"/>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11.2.5</w:t>
      </w:r>
      <w:r>
        <w:rPr>
          <w:rFonts w:hint="eastAsia" w:ascii="宋体" w:hAnsi="宋体"/>
          <w:color w:val="auto"/>
          <w:sz w:val="24"/>
          <w:highlight w:val="none"/>
        </w:rPr>
        <w:t>施工组织设计或施工方案。（投标人在编制施工组织设计或施工方案时应按照招标人提出的施工现场建筑垃圾源头减量的具体要求以及建筑垃圾综合利用产品的使用要求提供相应措施。）</w:t>
      </w:r>
    </w:p>
    <w:p>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w:t>
      </w:r>
      <w:r>
        <w:rPr>
          <w:rFonts w:hint="eastAsia" w:ascii="宋体" w:hAnsi="宋体"/>
          <w:color w:val="auto"/>
          <w:sz w:val="24"/>
          <w:highlight w:val="none"/>
        </w:rPr>
        <w:t>6按照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填写的《参与编制技术标投标文件人员名单》。</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11.3 </w:t>
      </w:r>
      <w:r>
        <w:rPr>
          <w:rFonts w:hint="eastAsia" w:ascii="宋体" w:hAnsi="宋体"/>
          <w:bCs/>
          <w:color w:val="auto"/>
          <w:sz w:val="24"/>
          <w:highlight w:val="none"/>
        </w:rPr>
        <w:t>经济部分投标文件主要包括下列内容：</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11.3.1 </w:t>
      </w:r>
      <w:r>
        <w:rPr>
          <w:rFonts w:hint="eastAsia" w:ascii="宋体" w:hAnsi="宋体"/>
          <w:color w:val="auto"/>
          <w:sz w:val="24"/>
          <w:highlight w:val="none"/>
        </w:rPr>
        <w:t>经济投标文件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hAnsi="宋体"/>
          <w:color w:val="auto"/>
          <w:sz w:val="24"/>
          <w:highlight w:val="none"/>
        </w:rPr>
        <w:t>。</w:t>
      </w:r>
    </w:p>
    <w:p>
      <w:pPr>
        <w:spacing w:line="360" w:lineRule="auto"/>
        <w:ind w:firstLine="480" w:firstLineChars="200"/>
        <w:rPr>
          <w:rFonts w:ascii="宋体"/>
          <w:color w:val="auto"/>
          <w:sz w:val="24"/>
          <w:highlight w:val="none"/>
        </w:rPr>
      </w:pPr>
      <w:r>
        <w:rPr>
          <w:rFonts w:ascii="宋体" w:hAnsi="宋体"/>
          <w:color w:val="auto"/>
          <w:sz w:val="24"/>
          <w:highlight w:val="none"/>
        </w:rPr>
        <w:t>11.3.2</w:t>
      </w:r>
      <w:r>
        <w:rPr>
          <w:rFonts w:hint="eastAsia" w:ascii="宋体" w:hAnsi="宋体"/>
          <w:color w:val="auto"/>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 w:val="24"/>
          <w:szCs w:val="24"/>
          <w:highlight w:val="none"/>
        </w:rPr>
        <w:t>其中包括如下：</w:t>
      </w:r>
      <w:r>
        <w:rPr>
          <w:rFonts w:ascii="宋体"/>
          <w:color w:val="auto"/>
          <w:sz w:val="24"/>
          <w:highlight w:val="none"/>
        </w:rPr>
        <w:t xml:space="preserve"> </w:t>
      </w:r>
    </w:p>
    <w:p>
      <w:pPr>
        <w:spacing w:line="360" w:lineRule="auto"/>
        <w:ind w:firstLine="566" w:firstLineChars="236"/>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）投标总价封面、扉页；</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）总说明</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（3）工程项目投标报价汇总表；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（4）单项工程投标报价汇总表；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（5）单位工程投标报价汇总表；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（6）分部分项工程清单与计价表；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（7）单价措施项目清单与计价表；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（8）总价措施项目清单与计价表；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（9）综合单价分析表；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（10）其他项目清单与计价汇总表；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（11）暂列金额明细表；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（12）材料（工程设备）暂估价明细表；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（13）专业工程暂估价明细表；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（14）计日工表；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（15）总承包服务计价表；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（16）规费和税金项目计价表；</w:t>
      </w:r>
    </w:p>
    <w:p>
      <w:pPr>
        <w:spacing w:line="360" w:lineRule="auto"/>
        <w:ind w:firstLine="480" w:firstLineChars="200"/>
        <w:rPr>
          <w:rFonts w:ascii="宋体"/>
          <w:color w:val="auto"/>
          <w:sz w:val="24"/>
          <w:highlight w:val="none"/>
        </w:rPr>
      </w:pPr>
      <w:r>
        <w:rPr>
          <w:rFonts w:hint="eastAsia" w:ascii="宋体" w:hAnsi="宋体"/>
          <w:color w:val="auto"/>
          <w:sz w:val="24"/>
          <w:szCs w:val="24"/>
          <w:highlight w:val="none"/>
        </w:rPr>
        <w:t xml:space="preserve"> （17）人工、主要材料和设备一览表</w:t>
      </w:r>
    </w:p>
    <w:p>
      <w:pPr>
        <w:spacing w:line="360" w:lineRule="auto"/>
        <w:ind w:firstLine="566" w:firstLineChars="236"/>
        <w:rPr>
          <w:rFonts w:ascii="宋体" w:hAnsi="宋体"/>
          <w:color w:val="auto"/>
          <w:sz w:val="24"/>
          <w:szCs w:val="24"/>
          <w:highlight w:val="none"/>
        </w:rPr>
      </w:pPr>
      <w:r>
        <w:rPr>
          <w:rFonts w:ascii="宋体" w:hAnsi="宋体"/>
          <w:color w:val="auto"/>
          <w:sz w:val="24"/>
          <w:szCs w:val="24"/>
          <w:highlight w:val="none"/>
        </w:rPr>
        <w:t>11.3.</w:t>
      </w:r>
      <w:r>
        <w:rPr>
          <w:rFonts w:hint="eastAsia" w:ascii="宋体" w:hAnsi="宋体"/>
          <w:color w:val="auto"/>
          <w:sz w:val="24"/>
          <w:szCs w:val="24"/>
          <w:highlight w:val="none"/>
        </w:rPr>
        <w:t>3按照招标文件要求填写的《参与编制经济标投标文件人员名单》。</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11.3.4若投标人的投标报价低于工程成本警戒价的，投标人还须提供详细的施工组织设计、单价、措施性费用、单价分析表、主要材料价格表、投标人成本分析供评标委员会评审。</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12.1</w:t>
      </w:r>
      <w:r>
        <w:rPr>
          <w:rFonts w:hint="eastAsia" w:ascii="宋体" w:hAnsi="宋体"/>
          <w:color w:val="auto"/>
          <w:sz w:val="24"/>
          <w:szCs w:val="24"/>
          <w:highlight w:val="none"/>
        </w:rPr>
        <w:t>投标文件包括本须知第 11 条中规定的内容，投标人提交的投标文件应当使用招标文件所提供的投标文件全部格式（表格可以按同样格式扩展）。</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color w:val="auto"/>
          <w:sz w:val="24"/>
          <w:szCs w:val="24"/>
          <w:highlight w:val="none"/>
        </w:rPr>
        <w:t>详见：</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ascii="宋体" w:hAnsi="宋体"/>
          <w:color w:val="auto"/>
          <w:sz w:val="24"/>
          <w:highlight w:val="none"/>
        </w:rPr>
        <w:t>。</w:t>
      </w:r>
    </w:p>
    <w:p>
      <w:pPr>
        <w:spacing w:line="360" w:lineRule="auto"/>
        <w:ind w:firstLine="42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13.1 </w:t>
      </w:r>
      <w:r>
        <w:rPr>
          <w:rFonts w:hint="eastAsia" w:ascii="宋体" w:hAnsi="宋体"/>
          <w:color w:val="auto"/>
          <w:sz w:val="24"/>
          <w:highlight w:val="none"/>
        </w:rPr>
        <w:t>本工程的投标报价采用投标须知前附表第 12 项所规定的方式。投标报价（含单价及总价）精确到“分”。</w:t>
      </w:r>
    </w:p>
    <w:p>
      <w:pPr>
        <w:spacing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spacing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w:t>
      </w:r>
      <w:r>
        <w:rPr>
          <w:rFonts w:hint="eastAsia" w:ascii="宋体" w:hAnsi="宋体"/>
          <w:strike/>
          <w:color w:val="auto"/>
          <w:sz w:val="24"/>
          <w:szCs w:val="24"/>
          <w:highlight w:val="none"/>
        </w:rPr>
        <w:t>规费、</w:t>
      </w:r>
      <w:r>
        <w:rPr>
          <w:rFonts w:hint="eastAsia" w:ascii="宋体" w:hAnsi="宋体"/>
          <w:color w:val="auto"/>
          <w:sz w:val="24"/>
          <w:szCs w:val="24"/>
          <w:highlight w:val="none"/>
        </w:rPr>
        <w:t>暂列金额、暂估价、绿色施工安全防护措施费等非竞争性项目明列了单价或合价的金额的，投标人应按照明列的单价或合价的金额报价，未按照规定金额报价的，由评标委员会按照招标文件规定的金额进行修正。</w:t>
      </w:r>
    </w:p>
    <w:p>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13.4</w:t>
      </w:r>
      <w:r>
        <w:rPr>
          <w:rFonts w:hint="eastAsia" w:ascii="宋体" w:hAnsi="宋体"/>
          <w:color w:val="auto"/>
          <w:sz w:val="24"/>
          <w:szCs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spacing w:line="360" w:lineRule="auto"/>
        <w:ind w:firstLine="480" w:firstLineChars="200"/>
        <w:rPr>
          <w:rFonts w:ascii="宋体"/>
          <w:color w:val="auto"/>
          <w:sz w:val="24"/>
          <w:szCs w:val="20"/>
          <w:highlight w:val="none"/>
        </w:rPr>
      </w:pPr>
      <w:r>
        <w:rPr>
          <w:rFonts w:ascii="宋体" w:hAnsi="宋体"/>
          <w:color w:val="auto"/>
          <w:sz w:val="24"/>
          <w:szCs w:val="20"/>
          <w:highlight w:val="none"/>
        </w:rPr>
        <w:t>13.5.1</w:t>
      </w:r>
      <w:r>
        <w:rPr>
          <w:rFonts w:hint="eastAsia" w:ascii="宋体" w:hAnsi="宋体"/>
          <w:color w:val="auto"/>
          <w:sz w:val="24"/>
          <w:szCs w:val="20"/>
          <w:highlight w:val="none"/>
        </w:rPr>
        <w:t>中标的投标文件工程量清单中已有相同项目的适用综合单价，则沿用；</w:t>
      </w:r>
    </w:p>
    <w:p>
      <w:pPr>
        <w:spacing w:line="360" w:lineRule="auto"/>
        <w:ind w:firstLine="480" w:firstLineChars="200"/>
        <w:rPr>
          <w:rFonts w:ascii="宋体"/>
          <w:color w:val="auto"/>
          <w:sz w:val="24"/>
          <w:szCs w:val="20"/>
          <w:highlight w:val="none"/>
        </w:rPr>
      </w:pPr>
      <w:r>
        <w:rPr>
          <w:rFonts w:ascii="宋体" w:hAnsi="宋体"/>
          <w:color w:val="auto"/>
          <w:sz w:val="24"/>
          <w:szCs w:val="20"/>
          <w:highlight w:val="none"/>
        </w:rPr>
        <w:t>13.5.2</w:t>
      </w:r>
      <w:r>
        <w:rPr>
          <w:rFonts w:hint="eastAsia" w:ascii="宋体" w:hAnsi="宋体"/>
          <w:color w:val="auto"/>
          <w:sz w:val="24"/>
          <w:szCs w:val="20"/>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spacing w:line="360" w:lineRule="auto"/>
        <w:ind w:firstLine="480" w:firstLineChars="200"/>
        <w:rPr>
          <w:rFonts w:ascii="宋体"/>
          <w:color w:val="auto"/>
          <w:sz w:val="24"/>
          <w:szCs w:val="20"/>
          <w:highlight w:val="none"/>
        </w:rPr>
      </w:pPr>
      <w:r>
        <w:rPr>
          <w:rFonts w:ascii="宋体" w:hAnsi="宋体"/>
          <w:color w:val="auto"/>
          <w:sz w:val="24"/>
          <w:szCs w:val="20"/>
          <w:highlight w:val="none"/>
        </w:rPr>
        <w:t xml:space="preserve">13.5.3 </w:t>
      </w:r>
      <w:r>
        <w:rPr>
          <w:rFonts w:hint="eastAsia" w:ascii="宋体" w:hAnsi="宋体"/>
          <w:color w:val="auto"/>
          <w:sz w:val="24"/>
          <w:szCs w:val="20"/>
          <w:highlight w:val="none"/>
        </w:rPr>
        <w:t>中标的投标文件工程量清单中没有相同项目或类似项目的，如可套取相关定额，则以相关定额为基数下浮计算单价</w:t>
      </w:r>
      <w:r>
        <w:rPr>
          <w:rFonts w:ascii="宋体"/>
          <w:color w:val="auto"/>
          <w:sz w:val="24"/>
          <w:szCs w:val="20"/>
          <w:highlight w:val="none"/>
        </w:rPr>
        <w:t>,</w:t>
      </w:r>
      <w:r>
        <w:rPr>
          <w:rFonts w:hint="eastAsia" w:ascii="宋体" w:hAnsi="宋体"/>
          <w:color w:val="auto"/>
          <w:sz w:val="24"/>
          <w:szCs w:val="20"/>
          <w:highlight w:val="none"/>
        </w:rPr>
        <w:t>下浮率为中标价</w:t>
      </w:r>
      <w:r>
        <w:rPr>
          <w:rFonts w:hint="eastAsia" w:ascii="宋体" w:hAnsi="宋体"/>
          <w:color w:val="auto"/>
          <w:sz w:val="24"/>
          <w:szCs w:val="24"/>
          <w:highlight w:val="none"/>
        </w:rPr>
        <w:t>相对于最高投标限价的下</w:t>
      </w:r>
      <w:r>
        <w:rPr>
          <w:rFonts w:hint="eastAsia" w:ascii="宋体" w:hAnsi="宋体"/>
          <w:color w:val="auto"/>
          <w:sz w:val="24"/>
          <w:szCs w:val="20"/>
          <w:highlight w:val="none"/>
        </w:rPr>
        <w:t>浮率（下浮率</w:t>
      </w:r>
      <w:r>
        <w:rPr>
          <w:rFonts w:ascii="宋体" w:hAnsi="宋体"/>
          <w:color w:val="auto"/>
          <w:sz w:val="24"/>
          <w:szCs w:val="20"/>
          <w:highlight w:val="none"/>
        </w:rPr>
        <w:t>=(</w:t>
      </w:r>
      <w:r>
        <w:rPr>
          <w:rFonts w:hint="eastAsia" w:ascii="宋体" w:hAnsi="宋体"/>
          <w:color w:val="auto"/>
          <w:sz w:val="24"/>
          <w:szCs w:val="24"/>
          <w:highlight w:val="none"/>
        </w:rPr>
        <w:t>最高投标限价</w:t>
      </w:r>
      <w:r>
        <w:rPr>
          <w:rFonts w:ascii="宋体"/>
          <w:color w:val="auto"/>
          <w:sz w:val="24"/>
          <w:szCs w:val="20"/>
          <w:highlight w:val="none"/>
        </w:rPr>
        <w:t>-</w:t>
      </w:r>
      <w:r>
        <w:rPr>
          <w:rFonts w:hint="eastAsia" w:ascii="宋体" w:hAnsi="宋体"/>
          <w:color w:val="auto"/>
          <w:sz w:val="24"/>
          <w:szCs w:val="20"/>
          <w:highlight w:val="none"/>
        </w:rPr>
        <w:t>中标价</w:t>
      </w:r>
      <w:r>
        <w:rPr>
          <w:rFonts w:ascii="宋体" w:hAnsi="宋体"/>
          <w:color w:val="auto"/>
          <w:sz w:val="24"/>
          <w:szCs w:val="20"/>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r>
        <w:rPr>
          <w:rFonts w:hint="eastAsia" w:ascii="宋体" w:hAnsi="宋体"/>
          <w:color w:val="auto"/>
          <w:sz w:val="24"/>
          <w:szCs w:val="20"/>
          <w:highlight w:val="none"/>
        </w:rPr>
        <w:t>）。</w:t>
      </w:r>
    </w:p>
    <w:p>
      <w:pPr>
        <w:spacing w:line="360" w:lineRule="auto"/>
        <w:ind w:firstLine="480" w:firstLineChars="200"/>
        <w:rPr>
          <w:rFonts w:ascii="宋体"/>
          <w:color w:val="auto"/>
          <w:sz w:val="24"/>
          <w:szCs w:val="20"/>
          <w:highlight w:val="none"/>
        </w:rPr>
      </w:pPr>
      <w:r>
        <w:rPr>
          <w:rFonts w:ascii="宋体" w:hAnsi="宋体"/>
          <w:color w:val="auto"/>
          <w:sz w:val="24"/>
          <w:szCs w:val="20"/>
          <w:highlight w:val="none"/>
        </w:rPr>
        <w:t xml:space="preserve">13.5.4 </w:t>
      </w:r>
      <w:r>
        <w:rPr>
          <w:rFonts w:hint="eastAsia" w:ascii="宋体" w:hAnsi="宋体"/>
          <w:color w:val="auto"/>
          <w:sz w:val="24"/>
          <w:szCs w:val="20"/>
          <w:highlight w:val="none"/>
        </w:rPr>
        <w:t>如相关定额没有相应子目的，其计价方式由招标人在本招标文件第三章中另行规定。未规定的，中标后双方协商约定。</w:t>
      </w:r>
    </w:p>
    <w:p>
      <w:pPr>
        <w:spacing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pPr>
        <w:spacing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pPr>
        <w:spacing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spacing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spacing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pPr>
        <w:spacing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spacing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spacing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w:t>
      </w:r>
    </w:p>
    <w:p>
      <w:pPr>
        <w:spacing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pPr>
        <w:spacing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ascii="宋体" w:hAnsi="宋体"/>
          <w:color w:val="auto"/>
          <w:sz w:val="24"/>
          <w:highlight w:val="none"/>
        </w:rPr>
        <w:t>13</w:t>
      </w:r>
      <w:r>
        <w:rPr>
          <w:rFonts w:hint="eastAsia" w:ascii="宋体" w:hAnsi="宋体"/>
          <w:color w:val="auto"/>
          <w:sz w:val="24"/>
          <w:highlight w:val="none"/>
        </w:rPr>
        <w:t>项所规定的期限，在此期限内，凡符合本招标文件要求的投标文件均保持有效。</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highlight w:val="none"/>
        </w:rPr>
        <w:t>16</w:t>
      </w:r>
      <w:r>
        <w:rPr>
          <w:rFonts w:hint="eastAsia" w:ascii="宋体" w:hAnsi="宋体"/>
          <w:color w:val="auto"/>
          <w:sz w:val="24"/>
          <w:highlight w:val="none"/>
        </w:rPr>
        <w:t>条关于投标保证金的退还与不予退还的规定仍然适用。</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．投标保证金</w:t>
      </w:r>
    </w:p>
    <w:p>
      <w:pPr>
        <w:spacing w:line="360" w:lineRule="auto"/>
        <w:ind w:firstLine="480" w:firstLineChars="200"/>
        <w:rPr>
          <w:color w:val="auto"/>
          <w:sz w:val="24"/>
          <w:szCs w:val="24"/>
          <w:highlight w:val="none"/>
        </w:rPr>
      </w:pPr>
      <w:r>
        <w:rPr>
          <w:rFonts w:hint="eastAsia"/>
          <w:color w:val="auto"/>
          <w:sz w:val="24"/>
          <w:szCs w:val="24"/>
          <w:highlight w:val="none"/>
        </w:rPr>
        <w:t>16.1投标人应按投标须知前附表第14项所述金额和时间递交投标保证金。招标人应当允许投标人自主选择现金、银行保函、保证保险、专业工程担保公司担保等方式缴纳投标保证金。</w:t>
      </w:r>
    </w:p>
    <w:p>
      <w:pPr>
        <w:spacing w:line="360" w:lineRule="auto"/>
        <w:ind w:firstLine="480" w:firstLineChars="200"/>
        <w:rPr>
          <w:color w:val="auto"/>
          <w:sz w:val="24"/>
          <w:szCs w:val="24"/>
          <w:highlight w:val="none"/>
        </w:rPr>
      </w:pPr>
      <w:r>
        <w:rPr>
          <w:rFonts w:hint="eastAsia"/>
          <w:color w:val="auto"/>
          <w:sz w:val="24"/>
          <w:szCs w:val="24"/>
          <w:highlight w:val="none"/>
        </w:rPr>
        <w:t>16.1.1 采用现金或者支票形式提交的，投标保证金须从投标人的银行基本账户转出。</w:t>
      </w:r>
    </w:p>
    <w:p>
      <w:pPr>
        <w:spacing w:line="360" w:lineRule="auto"/>
        <w:ind w:firstLine="480" w:firstLineChars="200"/>
        <w:rPr>
          <w:color w:val="auto"/>
          <w:sz w:val="24"/>
          <w:szCs w:val="24"/>
          <w:highlight w:val="none"/>
        </w:rPr>
      </w:pPr>
      <w:r>
        <w:rPr>
          <w:rFonts w:hint="eastAsia"/>
          <w:color w:val="auto"/>
          <w:sz w:val="24"/>
          <w:szCs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color w:val="auto"/>
          <w:sz w:val="24"/>
          <w:szCs w:val="24"/>
          <w:highlight w:val="none"/>
        </w:rPr>
      </w:pPr>
      <w:r>
        <w:rPr>
          <w:rFonts w:hint="eastAsia"/>
          <w:color w:val="auto"/>
          <w:sz w:val="24"/>
          <w:szCs w:val="24"/>
          <w:highlight w:val="none"/>
        </w:rPr>
        <w:t>16.1.3 采用电子形式的保函、担保或保证保险提交投标保证金的，应在招标文件中明确电子递交途径。</w:t>
      </w:r>
    </w:p>
    <w:p>
      <w:pPr>
        <w:spacing w:line="360" w:lineRule="auto"/>
        <w:ind w:firstLine="480" w:firstLineChars="200"/>
        <w:rPr>
          <w:color w:val="auto"/>
          <w:sz w:val="24"/>
          <w:szCs w:val="24"/>
          <w:highlight w:val="none"/>
        </w:rPr>
      </w:pPr>
      <w:r>
        <w:rPr>
          <w:rFonts w:hint="eastAsia"/>
          <w:color w:val="auto"/>
          <w:sz w:val="24"/>
          <w:szCs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color w:val="auto"/>
          <w:sz w:val="24"/>
          <w:szCs w:val="24"/>
          <w:highlight w:val="none"/>
        </w:rPr>
      </w:pPr>
      <w:r>
        <w:rPr>
          <w:rFonts w:hint="eastAsia"/>
          <w:color w:val="auto"/>
          <w:sz w:val="24"/>
          <w:szCs w:val="24"/>
          <w:highlight w:val="none"/>
        </w:rPr>
        <w:t>16.3投标保证金应依据法律法规的相关规定退还。</w:t>
      </w:r>
    </w:p>
    <w:p>
      <w:pPr>
        <w:spacing w:line="360" w:lineRule="auto"/>
        <w:ind w:firstLine="480" w:firstLineChars="200"/>
        <w:rPr>
          <w:color w:val="auto"/>
          <w:sz w:val="24"/>
          <w:szCs w:val="24"/>
          <w:highlight w:val="none"/>
        </w:rPr>
      </w:pPr>
      <w:r>
        <w:rPr>
          <w:rFonts w:hint="eastAsia"/>
          <w:color w:val="auto"/>
          <w:sz w:val="24"/>
          <w:szCs w:val="24"/>
          <w:highlight w:val="none"/>
        </w:rPr>
        <w:t>16.</w:t>
      </w:r>
      <w:r>
        <w:rPr>
          <w:color w:val="auto"/>
          <w:sz w:val="24"/>
          <w:szCs w:val="24"/>
          <w:highlight w:val="none"/>
        </w:rPr>
        <w:t>4</w:t>
      </w:r>
      <w:r>
        <w:rPr>
          <w:rFonts w:hint="eastAsia"/>
          <w:color w:val="auto"/>
          <w:sz w:val="24"/>
          <w:szCs w:val="24"/>
          <w:highlight w:val="none"/>
        </w:rPr>
        <w:t>如有下列情况之一的，招标人可以不予退还投标保证金（是否退还投标保证金由招标人在招标文件中规定）：</w:t>
      </w:r>
    </w:p>
    <w:p>
      <w:pPr>
        <w:spacing w:line="360" w:lineRule="auto"/>
        <w:ind w:firstLine="480" w:firstLineChars="200"/>
        <w:rPr>
          <w:color w:val="auto"/>
          <w:sz w:val="24"/>
          <w:szCs w:val="24"/>
          <w:highlight w:val="none"/>
        </w:rPr>
      </w:pPr>
      <w:r>
        <w:rPr>
          <w:rFonts w:hint="eastAsia"/>
          <w:color w:val="auto"/>
          <w:sz w:val="24"/>
          <w:szCs w:val="24"/>
          <w:highlight w:val="none"/>
        </w:rPr>
        <w:t>16.</w:t>
      </w:r>
      <w:r>
        <w:rPr>
          <w:color w:val="auto"/>
          <w:sz w:val="24"/>
          <w:szCs w:val="24"/>
          <w:highlight w:val="none"/>
        </w:rPr>
        <w:t>4</w:t>
      </w:r>
      <w:r>
        <w:rPr>
          <w:rFonts w:hint="eastAsia"/>
          <w:color w:val="auto"/>
          <w:sz w:val="24"/>
          <w:szCs w:val="24"/>
          <w:highlight w:val="none"/>
        </w:rPr>
        <w:t>.1因投标人原因造成投标文件未解密的；</w:t>
      </w:r>
    </w:p>
    <w:p>
      <w:pPr>
        <w:spacing w:line="360" w:lineRule="auto"/>
        <w:ind w:firstLine="480" w:firstLineChars="200"/>
        <w:rPr>
          <w:color w:val="auto"/>
          <w:sz w:val="24"/>
          <w:szCs w:val="24"/>
          <w:highlight w:val="none"/>
        </w:rPr>
      </w:pPr>
      <w:r>
        <w:rPr>
          <w:rFonts w:hint="eastAsia"/>
          <w:color w:val="auto"/>
          <w:sz w:val="24"/>
          <w:szCs w:val="24"/>
          <w:highlight w:val="none"/>
        </w:rPr>
        <w:t>16.</w:t>
      </w:r>
      <w:r>
        <w:rPr>
          <w:color w:val="auto"/>
          <w:sz w:val="24"/>
          <w:szCs w:val="24"/>
          <w:highlight w:val="none"/>
        </w:rPr>
        <w:t>4</w:t>
      </w:r>
      <w:r>
        <w:rPr>
          <w:rFonts w:hint="eastAsia"/>
          <w:color w:val="auto"/>
          <w:sz w:val="24"/>
          <w:szCs w:val="24"/>
          <w:highlight w:val="none"/>
        </w:rPr>
        <w:t>.2投标人在投标有效期内撤销投标文件；</w:t>
      </w:r>
    </w:p>
    <w:p>
      <w:pPr>
        <w:spacing w:line="360" w:lineRule="auto"/>
        <w:ind w:firstLine="480" w:firstLineChars="200"/>
        <w:rPr>
          <w:color w:val="auto"/>
          <w:sz w:val="24"/>
          <w:szCs w:val="24"/>
          <w:highlight w:val="none"/>
        </w:rPr>
      </w:pPr>
      <w:r>
        <w:rPr>
          <w:rFonts w:hint="eastAsia"/>
          <w:color w:val="auto"/>
          <w:sz w:val="24"/>
          <w:szCs w:val="24"/>
          <w:highlight w:val="none"/>
        </w:rPr>
        <w:t>16.</w:t>
      </w:r>
      <w:r>
        <w:rPr>
          <w:color w:val="auto"/>
          <w:sz w:val="24"/>
          <w:szCs w:val="24"/>
          <w:highlight w:val="none"/>
        </w:rPr>
        <w:t>4</w:t>
      </w:r>
      <w:r>
        <w:rPr>
          <w:rFonts w:hint="eastAsia"/>
          <w:color w:val="auto"/>
          <w:sz w:val="24"/>
          <w:szCs w:val="24"/>
          <w:highlight w:val="none"/>
        </w:rPr>
        <w:t>.3中标人未能在规定期限内按要求提交履约担保；</w:t>
      </w:r>
    </w:p>
    <w:p>
      <w:pPr>
        <w:spacing w:line="360" w:lineRule="auto"/>
        <w:ind w:firstLine="480" w:firstLineChars="200"/>
        <w:rPr>
          <w:color w:val="auto"/>
          <w:sz w:val="24"/>
          <w:szCs w:val="24"/>
          <w:highlight w:val="none"/>
        </w:rPr>
      </w:pPr>
      <w:r>
        <w:rPr>
          <w:rFonts w:hint="eastAsia"/>
          <w:color w:val="auto"/>
          <w:sz w:val="24"/>
          <w:szCs w:val="24"/>
          <w:highlight w:val="none"/>
        </w:rPr>
        <w:t>16.</w:t>
      </w:r>
      <w:r>
        <w:rPr>
          <w:color w:val="auto"/>
          <w:sz w:val="24"/>
          <w:szCs w:val="24"/>
          <w:highlight w:val="none"/>
        </w:rPr>
        <w:t>4</w:t>
      </w:r>
      <w:r>
        <w:rPr>
          <w:rFonts w:hint="eastAsia"/>
          <w:color w:val="auto"/>
          <w:sz w:val="24"/>
          <w:szCs w:val="24"/>
          <w:highlight w:val="none"/>
        </w:rPr>
        <w:t>.4中标人未能在规定期限内签署合同协议。</w:t>
      </w:r>
    </w:p>
    <w:p>
      <w:pPr>
        <w:spacing w:line="360" w:lineRule="auto"/>
        <w:ind w:firstLine="480" w:firstLineChars="200"/>
        <w:rPr>
          <w:color w:val="auto"/>
          <w:sz w:val="24"/>
          <w:szCs w:val="24"/>
          <w:highlight w:val="none"/>
        </w:rPr>
      </w:pPr>
      <w:r>
        <w:rPr>
          <w:rFonts w:hint="eastAsia"/>
          <w:color w:val="auto"/>
          <w:sz w:val="24"/>
          <w:szCs w:val="24"/>
          <w:highlight w:val="none"/>
        </w:rPr>
        <w:t>16.</w:t>
      </w:r>
      <w:r>
        <w:rPr>
          <w:color w:val="auto"/>
          <w:sz w:val="24"/>
          <w:szCs w:val="24"/>
          <w:highlight w:val="none"/>
        </w:rPr>
        <w:t>5</w:t>
      </w:r>
      <w:r>
        <w:rPr>
          <w:rFonts w:hint="eastAsia"/>
          <w:color w:val="auto"/>
          <w:sz w:val="24"/>
          <w:szCs w:val="24"/>
          <w:highlight w:val="none"/>
        </w:rPr>
        <w:t>投标人如存在下列情况之一的，将被拒绝在一定时期内参与招标人后续工程投标（拒绝时限需在招标文件中明确）：</w:t>
      </w:r>
    </w:p>
    <w:p>
      <w:pPr>
        <w:spacing w:line="360" w:lineRule="auto"/>
        <w:ind w:firstLine="480" w:firstLineChars="200"/>
        <w:rPr>
          <w:color w:val="auto"/>
          <w:sz w:val="24"/>
          <w:szCs w:val="24"/>
          <w:highlight w:val="none"/>
        </w:rPr>
      </w:pPr>
      <w:r>
        <w:rPr>
          <w:rFonts w:hint="eastAsia"/>
          <w:color w:val="auto"/>
          <w:sz w:val="24"/>
          <w:szCs w:val="24"/>
          <w:highlight w:val="none"/>
        </w:rPr>
        <w:t>16.</w:t>
      </w:r>
      <w:r>
        <w:rPr>
          <w:color w:val="auto"/>
          <w:sz w:val="24"/>
          <w:szCs w:val="24"/>
          <w:highlight w:val="none"/>
        </w:rPr>
        <w:t>5</w:t>
      </w:r>
      <w:r>
        <w:rPr>
          <w:rFonts w:hint="eastAsia"/>
          <w:color w:val="auto"/>
          <w:sz w:val="24"/>
          <w:szCs w:val="24"/>
          <w:highlight w:val="none"/>
        </w:rPr>
        <w:t>.1投标人存在 16.4 条款所列情形且投标人提交的保函、担保或保证保险无法兑付的；</w:t>
      </w:r>
    </w:p>
    <w:p>
      <w:pPr>
        <w:spacing w:line="360" w:lineRule="auto"/>
        <w:ind w:firstLine="480" w:firstLineChars="200"/>
        <w:rPr>
          <w:color w:val="auto"/>
          <w:sz w:val="24"/>
          <w:szCs w:val="24"/>
          <w:highlight w:val="none"/>
        </w:rPr>
      </w:pPr>
      <w:r>
        <w:rPr>
          <w:rFonts w:hint="eastAsia"/>
          <w:color w:val="auto"/>
          <w:sz w:val="24"/>
          <w:szCs w:val="24"/>
          <w:highlight w:val="none"/>
        </w:rPr>
        <w:t>16.</w:t>
      </w:r>
      <w:r>
        <w:rPr>
          <w:color w:val="auto"/>
          <w:sz w:val="24"/>
          <w:szCs w:val="24"/>
          <w:highlight w:val="none"/>
        </w:rPr>
        <w:t>5</w:t>
      </w:r>
      <w:r>
        <w:rPr>
          <w:rFonts w:hint="eastAsia"/>
          <w:color w:val="auto"/>
          <w:sz w:val="24"/>
          <w:szCs w:val="24"/>
          <w:highlight w:val="none"/>
        </w:rPr>
        <w:t>.2采用非电子形式提交投标保证金的投标人存在 16.4 条款所列情形，且未按招标人要求补交银行保函、专业工程担保公司担保或保证保险原件的；</w:t>
      </w:r>
    </w:p>
    <w:p>
      <w:pPr>
        <w:spacing w:line="360" w:lineRule="auto"/>
        <w:ind w:firstLine="480" w:firstLineChars="200"/>
        <w:rPr>
          <w:color w:val="auto"/>
          <w:sz w:val="24"/>
          <w:szCs w:val="24"/>
          <w:highlight w:val="none"/>
        </w:rPr>
      </w:pPr>
      <w:r>
        <w:rPr>
          <w:rFonts w:hint="eastAsia"/>
          <w:color w:val="auto"/>
          <w:sz w:val="24"/>
          <w:szCs w:val="24"/>
          <w:highlight w:val="none"/>
        </w:rPr>
        <w:t>16.</w:t>
      </w:r>
      <w:r>
        <w:rPr>
          <w:color w:val="auto"/>
          <w:sz w:val="24"/>
          <w:szCs w:val="24"/>
          <w:highlight w:val="none"/>
        </w:rPr>
        <w:t>5</w:t>
      </w:r>
      <w:r>
        <w:rPr>
          <w:rFonts w:hint="eastAsia"/>
          <w:color w:val="auto"/>
          <w:sz w:val="24"/>
          <w:szCs w:val="24"/>
          <w:highlight w:val="none"/>
        </w:rPr>
        <w:t>.</w:t>
      </w:r>
      <w:r>
        <w:rPr>
          <w:color w:val="auto"/>
          <w:sz w:val="24"/>
          <w:szCs w:val="24"/>
          <w:highlight w:val="none"/>
        </w:rPr>
        <w:t>3</w:t>
      </w:r>
      <w:r>
        <w:rPr>
          <w:rFonts w:hint="eastAsia"/>
          <w:color w:val="auto"/>
          <w:sz w:val="24"/>
          <w:szCs w:val="24"/>
          <w:highlight w:val="none"/>
        </w:rPr>
        <w:t>按招标文件要求免于提供投标保证金的投标人存在 16.4 条款所列情形，且未按招标人要求补交投标保证金的；</w:t>
      </w:r>
    </w:p>
    <w:p>
      <w:pPr>
        <w:spacing w:line="360" w:lineRule="auto"/>
        <w:ind w:firstLine="480" w:firstLineChars="200"/>
        <w:rPr>
          <w:color w:val="auto"/>
          <w:sz w:val="24"/>
          <w:szCs w:val="24"/>
          <w:highlight w:val="none"/>
        </w:rPr>
      </w:pPr>
      <w:r>
        <w:rPr>
          <w:rFonts w:hint="eastAsia"/>
          <w:color w:val="auto"/>
          <w:sz w:val="24"/>
          <w:szCs w:val="24"/>
          <w:highlight w:val="none"/>
        </w:rPr>
        <w:t>16.</w:t>
      </w:r>
      <w:r>
        <w:rPr>
          <w:color w:val="auto"/>
          <w:sz w:val="24"/>
          <w:szCs w:val="24"/>
          <w:highlight w:val="none"/>
        </w:rPr>
        <w:t>5</w:t>
      </w:r>
      <w:r>
        <w:rPr>
          <w:rFonts w:hint="eastAsia"/>
          <w:color w:val="auto"/>
          <w:sz w:val="24"/>
          <w:szCs w:val="24"/>
          <w:highlight w:val="none"/>
        </w:rPr>
        <w:t>.</w:t>
      </w:r>
      <w:r>
        <w:rPr>
          <w:color w:val="auto"/>
          <w:sz w:val="24"/>
          <w:szCs w:val="24"/>
          <w:highlight w:val="none"/>
        </w:rPr>
        <w:t>3</w:t>
      </w:r>
      <w:r>
        <w:rPr>
          <w:rFonts w:hint="eastAsia"/>
          <w:color w:val="auto"/>
          <w:sz w:val="24"/>
          <w:szCs w:val="24"/>
          <w:highlight w:val="none"/>
        </w:rPr>
        <w:t>按招标文件要求免于提供投标保证金的投标人存在 16.4 条款所列情形的。</w:t>
      </w:r>
    </w:p>
    <w:p>
      <w:pPr>
        <w:spacing w:line="360" w:lineRule="auto"/>
        <w:ind w:firstLine="480" w:firstLineChars="200"/>
        <w:rPr>
          <w:color w:val="auto"/>
          <w:sz w:val="24"/>
          <w:szCs w:val="24"/>
          <w:highlight w:val="none"/>
        </w:rPr>
      </w:pPr>
      <w:r>
        <w:rPr>
          <w:rFonts w:hint="eastAsia"/>
          <w:color w:val="auto"/>
          <w:sz w:val="24"/>
          <w:szCs w:val="24"/>
          <w:highlight w:val="none"/>
        </w:rPr>
        <w:t>注：16.5.3 款由招标人二选一，需在招标文件中明确。</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17.1</w:t>
      </w:r>
      <w:r>
        <w:rPr>
          <w:rFonts w:hint="eastAsia" w:ascii="宋体" w:hAnsi="宋体"/>
          <w:color w:val="auto"/>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ascii="宋体" w:hAnsi="宋体"/>
          <w:color w:val="auto"/>
          <w:sz w:val="24"/>
          <w:highlight w:val="none"/>
        </w:rPr>
        <w:t>。</w:t>
      </w:r>
    </w:p>
    <w:p>
      <w:pPr>
        <w:widowControl/>
        <w:spacing w:before="100" w:beforeAutospacing="1" w:after="100" w:afterAutospacing="1"/>
        <w:jc w:val="left"/>
        <w:outlineLvl w:val="2"/>
        <w:rPr>
          <w:rFonts w:ascii="宋体" w:hAnsi="宋体"/>
          <w:color w:val="auto"/>
          <w:kern w:val="0"/>
          <w:sz w:val="27"/>
          <w:szCs w:val="27"/>
          <w:highlight w:val="none"/>
        </w:rPr>
      </w:pPr>
      <w:bookmarkStart w:id="28" w:name="_Toc11092"/>
      <w:bookmarkStart w:id="29" w:name="_Toc62056021"/>
      <w:bookmarkStart w:id="30" w:name="_Toc2272552"/>
      <w:bookmarkStart w:id="31" w:name="_Toc4589"/>
      <w:r>
        <w:rPr>
          <w:rFonts w:hint="eastAsia" w:ascii="宋体" w:hAnsi="宋体"/>
          <w:color w:val="auto"/>
          <w:kern w:val="0"/>
          <w:sz w:val="27"/>
          <w:szCs w:val="27"/>
          <w:highlight w:val="none"/>
        </w:rPr>
        <w:t>（四）投标文件的提交</w:t>
      </w:r>
      <w:bookmarkEnd w:id="28"/>
      <w:bookmarkEnd w:id="29"/>
      <w:bookmarkEnd w:id="30"/>
      <w:bookmarkEnd w:id="31"/>
    </w:p>
    <w:p>
      <w:pPr>
        <w:spacing w:line="360" w:lineRule="auto"/>
        <w:ind w:firstLine="482"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ascii="宋体"/>
          <w:bCs/>
          <w:color w:val="auto"/>
          <w:sz w:val="24"/>
          <w:highlight w:val="none"/>
        </w:rPr>
        <w:t xml:space="preserve"> </w:t>
      </w:r>
      <w:r>
        <w:rPr>
          <w:rFonts w:hint="eastAsia" w:ascii="宋体"/>
          <w:bCs/>
          <w:color w:val="auto"/>
          <w:sz w:val="24"/>
          <w:highlight w:val="none"/>
        </w:rPr>
        <w:t>未按要求加密的投标文件，</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szCs w:val="24"/>
          <w:highlight w:val="none"/>
        </w:rPr>
        <w:t>交易平台</w:t>
      </w:r>
      <w:r>
        <w:rPr>
          <w:rFonts w:hint="eastAsia" w:ascii="宋体"/>
          <w:bCs/>
          <w:color w:val="auto"/>
          <w:sz w:val="24"/>
          <w:highlight w:val="none"/>
        </w:rPr>
        <w:t>将予以拒收。</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rFonts w:hint="eastAsia" w:ascii="宋体" w:hAnsi="宋体"/>
          <w:color w:val="auto"/>
          <w:sz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19.</w:t>
      </w:r>
      <w:r>
        <w:rPr>
          <w:rFonts w:hint="eastAsia" w:ascii="宋体" w:hAnsi="宋体"/>
          <w:color w:val="auto"/>
          <w:sz w:val="24"/>
          <w:szCs w:val="24"/>
          <w:highlight w:val="none"/>
        </w:rPr>
        <w:t>5如技术标和经济标先后分别开启，</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交易平台将按招标文件规定的时间分别开启技术标和经济标。</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 3 家的，招标人将重新组织招标（当 N 个标段同时招标且不允许兼中时，若有效投标人不足 N+2 家，则重新组织招标）。</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w:t>
      </w:r>
      <w:r>
        <w:rPr>
          <w:rFonts w:ascii="宋体" w:hAnsi="宋体"/>
          <w:color w:val="auto"/>
          <w:sz w:val="24"/>
          <w:highlight w:val="none"/>
        </w:rPr>
        <w:t>1</w:t>
      </w:r>
      <w:r>
        <w:rPr>
          <w:rFonts w:hint="eastAsia" w:ascii="宋体" w:hAnsi="宋体"/>
          <w:color w:val="auto"/>
          <w:sz w:val="24"/>
          <w:highlight w:val="none"/>
        </w:rPr>
        <w:t>7项规定的投标截止时间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pPr>
        <w:widowControl/>
        <w:spacing w:before="100" w:beforeAutospacing="1" w:after="100" w:afterAutospacing="1"/>
        <w:jc w:val="left"/>
        <w:outlineLvl w:val="2"/>
        <w:rPr>
          <w:rFonts w:ascii="宋体" w:hAnsi="宋体"/>
          <w:color w:val="auto"/>
          <w:kern w:val="0"/>
          <w:sz w:val="27"/>
          <w:szCs w:val="27"/>
          <w:highlight w:val="none"/>
        </w:rPr>
      </w:pPr>
      <w:bookmarkStart w:id="32" w:name="_Toc14402"/>
      <w:bookmarkStart w:id="33" w:name="_Toc2272553"/>
      <w:bookmarkStart w:id="34" w:name="_Toc3098"/>
      <w:bookmarkStart w:id="35" w:name="_Toc62056022"/>
      <w:r>
        <w:rPr>
          <w:rFonts w:hint="eastAsia" w:ascii="宋体" w:hAnsi="宋体"/>
          <w:color w:val="auto"/>
          <w:kern w:val="0"/>
          <w:sz w:val="27"/>
          <w:szCs w:val="27"/>
          <w:highlight w:val="none"/>
        </w:rPr>
        <w:t>（五）开标、评标、定标及合同签定</w:t>
      </w:r>
      <w:bookmarkEnd w:id="32"/>
      <w:bookmarkEnd w:id="33"/>
      <w:bookmarkEnd w:id="34"/>
      <w:bookmarkEnd w:id="35"/>
    </w:p>
    <w:p>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pPr>
        <w:spacing w:line="360" w:lineRule="auto"/>
        <w:ind w:firstLine="480" w:firstLineChars="200"/>
        <w:rPr>
          <w:rFonts w:ascii="宋体"/>
          <w:color w:val="auto"/>
          <w:sz w:val="24"/>
          <w:highlight w:val="none"/>
        </w:rPr>
      </w:pPr>
      <w:r>
        <w:rPr>
          <w:rFonts w:ascii="宋体" w:hAnsi="宋体"/>
          <w:color w:val="auto"/>
          <w:sz w:val="24"/>
          <w:highlight w:val="none"/>
        </w:rPr>
        <w:t>27.1</w:t>
      </w:r>
      <w:r>
        <w:rPr>
          <w:rFonts w:hint="eastAsia" w:ascii="宋体" w:hAnsi="宋体"/>
          <w:color w:val="auto"/>
          <w:sz w:val="24"/>
          <w:highlight w:val="none"/>
        </w:rPr>
        <w:t>招标人将在</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、广东省招标投标监管网和中国招标投标公共服务平台公示中标候选人，公示期为三天。</w:t>
      </w:r>
    </w:p>
    <w:p>
      <w:pPr>
        <w:spacing w:line="360" w:lineRule="auto"/>
        <w:ind w:firstLine="480" w:firstLineChars="200"/>
        <w:rPr>
          <w:rFonts w:ascii="仿宋_GB2312" w:hAnsi="宋体" w:eastAsia="仿宋_GB2312"/>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27.4</w:t>
      </w:r>
      <w:r>
        <w:rPr>
          <w:rFonts w:hint="eastAsia" w:ascii="宋体" w:hAnsi="宋体"/>
          <w:color w:val="auto"/>
          <w:sz w:val="24"/>
          <w:highlight w:val="none"/>
        </w:rPr>
        <w:t>在产生中标候选人后，招标人将中标候选人的投标文件商务部分文件的所有内容（包括人员、业绩、奖项等资料）在</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交易平台和广东省招标投标监管网公开。</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28.1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auto"/>
          <w:sz w:val="24"/>
          <w:highlight w:val="none"/>
        </w:rPr>
      </w:pPr>
      <w:r>
        <w:rPr>
          <w:rFonts w:ascii="宋体" w:hAnsi="宋体"/>
          <w:color w:val="auto"/>
          <w:sz w:val="24"/>
          <w:highlight w:val="none"/>
        </w:rPr>
        <w:t>28.2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color w:val="auto"/>
          <w:sz w:val="24"/>
          <w:highlight w:val="none"/>
        </w:rPr>
      </w:pPr>
      <w:r>
        <w:rPr>
          <w:rFonts w:ascii="宋体" w:hAnsi="宋体"/>
          <w:color w:val="auto"/>
          <w:sz w:val="24"/>
          <w:highlight w:val="none"/>
        </w:rPr>
        <w:t>28.3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28.4</w:t>
      </w:r>
      <w:r>
        <w:rPr>
          <w:rFonts w:hint="eastAsia" w:ascii="宋体" w:hAnsi="宋体"/>
          <w:color w:val="auto"/>
          <w:sz w:val="24"/>
          <w:highlight w:val="none"/>
        </w:rPr>
        <w:t>招标人支付工程款时，中标人应按规定开具发票。</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29.1</w:t>
      </w:r>
      <w:r>
        <w:rPr>
          <w:rFonts w:hint="eastAsia" w:ascii="宋体" w:hAnsi="宋体"/>
          <w:color w:val="auto"/>
          <w:sz w:val="24"/>
          <w:highlight w:val="none"/>
        </w:rPr>
        <w:t>在收到中标通知书后的的</w:t>
      </w:r>
      <w:r>
        <w:rPr>
          <w:rFonts w:hint="eastAsia" w:ascii="宋体" w:hAnsi="宋体"/>
          <w:b/>
          <w:color w:val="auto"/>
          <w:sz w:val="24"/>
          <w:highlight w:val="none"/>
        </w:rPr>
        <w:t>15日</w:t>
      </w:r>
      <w:r>
        <w:rPr>
          <w:rFonts w:hint="eastAsia" w:ascii="宋体" w:hAnsi="宋体"/>
          <w:color w:val="auto"/>
          <w:sz w:val="24"/>
          <w:highlight w:val="none"/>
        </w:rPr>
        <w:t>内，中标人应按本须知前附表第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29.2</w:t>
      </w:r>
      <w:r>
        <w:rPr>
          <w:rFonts w:hint="eastAsia" w:ascii="宋体" w:hAnsi="宋体"/>
          <w:color w:val="auto"/>
          <w:sz w:val="24"/>
          <w:highlight w:val="none"/>
        </w:rPr>
        <w:t>在签订合同后中标通知书发出之日起</w:t>
      </w:r>
      <w:r>
        <w:rPr>
          <w:rFonts w:hint="eastAsia" w:ascii="宋体" w:hAnsi="宋体"/>
          <w:b/>
          <w:color w:val="auto"/>
          <w:sz w:val="24"/>
          <w:highlight w:val="none"/>
        </w:rPr>
        <w:t>15日</w:t>
      </w:r>
      <w:r>
        <w:rPr>
          <w:rFonts w:hint="eastAsia" w:ascii="宋体" w:hAnsi="宋体"/>
          <w:color w:val="auto"/>
          <w:sz w:val="24"/>
          <w:highlight w:val="none"/>
        </w:rPr>
        <w:t>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pPr>
        <w:spacing w:line="360" w:lineRule="auto"/>
        <w:ind w:firstLine="480" w:firstLineChars="200"/>
        <w:rPr>
          <w:rFonts w:ascii="宋体"/>
          <w:color w:val="auto"/>
          <w:sz w:val="24"/>
          <w:highlight w:val="none"/>
        </w:rPr>
      </w:pPr>
      <w:r>
        <w:rPr>
          <w:rFonts w:ascii="宋体" w:hAnsi="宋体"/>
          <w:color w:val="auto"/>
          <w:sz w:val="24"/>
          <w:highlight w:val="none"/>
        </w:rPr>
        <w:t>30.1</w:t>
      </w:r>
      <w:r>
        <w:rPr>
          <w:rFonts w:hint="eastAsia" w:ascii="宋体" w:hAnsi="宋体"/>
          <w:color w:val="auto"/>
          <w:sz w:val="24"/>
          <w:highlight w:val="none"/>
        </w:rPr>
        <w:t>在合同双方全权代表在合同协议书上签字，并分别加盖双方单位的公章后，合同正式生效。</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31</w:t>
      </w:r>
      <w:r>
        <w:rPr>
          <w:rFonts w:hint="eastAsia" w:ascii="宋体" w:hAnsi="宋体"/>
          <w:b/>
          <w:bCs/>
          <w:color w:val="auto"/>
          <w:sz w:val="24"/>
          <w:highlight w:val="none"/>
        </w:rPr>
        <w:t>．其它费用</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32</w:t>
      </w:r>
      <w:r>
        <w:rPr>
          <w:rFonts w:hint="eastAsia" w:ascii="宋体" w:hAnsi="宋体"/>
          <w:b/>
          <w:bCs/>
          <w:color w:val="auto"/>
          <w:sz w:val="24"/>
          <w:highlight w:val="none"/>
        </w:rPr>
        <w:t>．腐败与欺诈行为</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pPr>
        <w:spacing w:line="360"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pPr>
        <w:spacing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spacing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pPr>
        <w:widowControl/>
        <w:spacing w:line="360" w:lineRule="auto"/>
        <w:ind w:firstLine="480" w:firstLineChars="200"/>
        <w:jc w:val="left"/>
        <w:rPr>
          <w:rFonts w:ascii="宋体" w:hAnsi="宋体"/>
          <w:color w:val="auto"/>
          <w:sz w:val="24"/>
          <w:highlight w:val="none"/>
        </w:rPr>
      </w:pPr>
      <w:r>
        <w:rPr>
          <w:rFonts w:ascii="宋体" w:hAnsi="宋体"/>
          <w:color w:val="auto"/>
          <w:sz w:val="24"/>
          <w:highlight w:val="none"/>
        </w:rPr>
        <w:t>32.3</w:t>
      </w:r>
      <w:r>
        <w:rPr>
          <w:rFonts w:ascii="宋体" w:hAnsi="宋体" w:eastAsia="Times New Roman"/>
          <w:color w:val="auto"/>
          <w:sz w:val="24"/>
          <w:highlight w:val="none"/>
          <w:lang w:bidi="ar"/>
        </w:rPr>
        <w:t>投标人如在本项目中存在串通投标、弄虚作假骗取中标、行贿情形的，中标无效，行政监督部门将对其违法行为进行政处罚。该投标人将被招标人列入黑名单并限制其参与招标人后续项目的投标。</w:t>
      </w:r>
    </w:p>
    <w:p>
      <w:pPr>
        <w:keepNext/>
        <w:keepLines/>
        <w:spacing w:before="120" w:after="120" w:line="360" w:lineRule="auto"/>
        <w:jc w:val="center"/>
        <w:outlineLvl w:val="0"/>
        <w:rPr>
          <w:b/>
          <w:color w:val="auto"/>
          <w:kern w:val="44"/>
          <w:sz w:val="28"/>
          <w:szCs w:val="28"/>
          <w:highlight w:val="none"/>
        </w:rPr>
      </w:pPr>
      <w:r>
        <w:rPr>
          <w:rFonts w:ascii="宋体"/>
          <w:color w:val="auto"/>
          <w:kern w:val="44"/>
          <w:sz w:val="24"/>
          <w:szCs w:val="28"/>
          <w:highlight w:val="none"/>
        </w:rPr>
        <w:br w:type="page"/>
      </w:r>
      <w:bookmarkStart w:id="36" w:name="_Toc30340"/>
      <w:bookmarkStart w:id="37" w:name="_Toc62056023"/>
      <w:bookmarkStart w:id="38" w:name="_Toc8027"/>
      <w:bookmarkStart w:id="39" w:name="_Toc2272554"/>
      <w:r>
        <w:rPr>
          <w:rFonts w:hint="eastAsia"/>
          <w:b/>
          <w:color w:val="auto"/>
          <w:kern w:val="44"/>
          <w:sz w:val="28"/>
          <w:szCs w:val="28"/>
          <w:highlight w:val="none"/>
        </w:rPr>
        <w:t>第二章</w:t>
      </w:r>
      <w:r>
        <w:rPr>
          <w:b/>
          <w:color w:val="auto"/>
          <w:kern w:val="44"/>
          <w:sz w:val="28"/>
          <w:szCs w:val="28"/>
          <w:highlight w:val="none"/>
        </w:rPr>
        <w:t xml:space="preserve">  </w:t>
      </w:r>
      <w:r>
        <w:rPr>
          <w:rFonts w:hint="eastAsia"/>
          <w:b/>
          <w:color w:val="auto"/>
          <w:kern w:val="44"/>
          <w:sz w:val="28"/>
          <w:szCs w:val="28"/>
          <w:highlight w:val="none"/>
        </w:rPr>
        <w:t>开标、评标及定标办法</w:t>
      </w:r>
      <w:bookmarkEnd w:id="36"/>
      <w:bookmarkEnd w:id="37"/>
      <w:bookmarkEnd w:id="38"/>
      <w:bookmarkEnd w:id="39"/>
    </w:p>
    <w:p>
      <w:pPr>
        <w:keepNext/>
        <w:keepLines/>
        <w:spacing w:before="120" w:after="120" w:line="415" w:lineRule="auto"/>
        <w:jc w:val="center"/>
        <w:outlineLvl w:val="1"/>
        <w:rPr>
          <w:rFonts w:ascii="Arial" w:hAnsi="Arial"/>
          <w:b/>
          <w:color w:val="auto"/>
          <w:sz w:val="28"/>
          <w:szCs w:val="24"/>
          <w:highlight w:val="none"/>
        </w:rPr>
      </w:pPr>
      <w:bookmarkStart w:id="40" w:name="_Toc8964"/>
      <w:bookmarkStart w:id="41" w:name="_Toc14645"/>
      <w:bookmarkStart w:id="42" w:name="_Toc2272555"/>
      <w:bookmarkStart w:id="43" w:name="_Toc62056024"/>
      <w:r>
        <w:rPr>
          <w:rFonts w:hint="eastAsia" w:ascii="Arial" w:hAnsi="Arial"/>
          <w:b/>
          <w:color w:val="auto"/>
          <w:sz w:val="28"/>
          <w:szCs w:val="28"/>
          <w:highlight w:val="none"/>
        </w:rPr>
        <w:t>一、</w:t>
      </w:r>
      <w:r>
        <w:rPr>
          <w:rFonts w:hint="eastAsia" w:ascii="Arial" w:hAnsi="Arial"/>
          <w:b/>
          <w:color w:val="auto"/>
          <w:sz w:val="28"/>
          <w:szCs w:val="24"/>
          <w:highlight w:val="none"/>
        </w:rPr>
        <w:t>开标、评标及定标办法修改表</w:t>
      </w:r>
      <w:bookmarkEnd w:id="40"/>
      <w:bookmarkEnd w:id="41"/>
      <w:bookmarkEnd w:id="42"/>
      <w:bookmarkEnd w:id="43"/>
    </w:p>
    <w:p>
      <w:pPr>
        <w:spacing w:line="360" w:lineRule="auto"/>
        <w:ind w:firstLine="420"/>
        <w:rPr>
          <w:b/>
          <w:color w:val="auto"/>
          <w:szCs w:val="21"/>
          <w:highlight w:val="none"/>
        </w:rPr>
      </w:pPr>
      <w:r>
        <w:rPr>
          <w:rFonts w:hint="eastAsia"/>
          <w:b/>
          <w:color w:val="auto"/>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r>
        <w:rPr>
          <w:rFonts w:ascii="Calibri" w:hAnsi="Calibri" w:eastAsia="仿宋"/>
          <w:b/>
          <w:color w:val="auto"/>
          <w:szCs w:val="21"/>
          <w:highlight w:val="none"/>
          <w:lang w:bidi="ar"/>
        </w:rPr>
        <w:t>http://zfcj.gz.gov.cn/</w:t>
      </w:r>
      <w:r>
        <w:rPr>
          <w:rFonts w:hint="eastAsia"/>
          <w:b/>
          <w:color w:val="auto"/>
          <w:szCs w:val="21"/>
          <w:highlight w:val="none"/>
          <w:u w:val="single"/>
        </w:rPr>
        <w:t>）下载GZZB2018-3</w:t>
      </w:r>
      <w:r>
        <w:rPr>
          <w:rFonts w:hint="eastAsia"/>
          <w:b/>
          <w:color w:val="auto"/>
          <w:szCs w:val="21"/>
          <w:highlight w:val="none"/>
          <w:u w:val="single"/>
        </w:rPr>
        <w:fldChar w:fldCharType="end"/>
      </w:r>
      <w:r>
        <w:rPr>
          <w:rFonts w:hint="eastAsia"/>
          <w:b/>
          <w:color w:val="auto"/>
          <w:szCs w:val="21"/>
          <w:highlight w:val="none"/>
        </w:rPr>
        <w:t>范本查阅。</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lang w:bidi="ar"/>
        </w:rPr>
        <w:t>条款号：</w:t>
      </w:r>
      <w:r>
        <w:rPr>
          <w:b/>
          <w:color w:val="auto"/>
          <w:szCs w:val="21"/>
          <w:highlight w:val="none"/>
          <w:lang w:bidi="ar"/>
        </w:rPr>
        <w:t xml:space="preserve">36.1   </w:t>
      </w:r>
      <w:r>
        <w:rPr>
          <w:rFonts w:hint="eastAsia" w:ascii="宋体" w:hAnsi="宋体" w:cs="宋体"/>
          <w:b/>
          <w:color w:val="auto"/>
          <w:szCs w:val="21"/>
          <w:highlight w:val="none"/>
          <w:lang w:bidi="ar"/>
        </w:rPr>
        <w:t xml:space="preserve">          修改类型：修改</w:t>
      </w:r>
    </w:p>
    <w:p>
      <w:pPr>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lang w:bidi="ar"/>
        </w:rPr>
        <w:t>原文</w:t>
      </w:r>
      <w:r>
        <w:rPr>
          <w:rFonts w:hint="eastAsia" w:ascii="宋体" w:hAnsi="宋体" w:cs="宋体"/>
          <w:color w:val="auto"/>
          <w:szCs w:val="21"/>
          <w:highlight w:val="none"/>
          <w:lang w:bidi="ar"/>
        </w:rPr>
        <w:t>：</w:t>
      </w:r>
      <w:r>
        <w:rPr>
          <w:color w:val="auto"/>
          <w:szCs w:val="21"/>
          <w:highlight w:val="none"/>
          <w:lang w:bidi="ar"/>
        </w:rPr>
        <w:t>36.1</w:t>
      </w:r>
      <w:r>
        <w:rPr>
          <w:rFonts w:hint="eastAsia" w:ascii="宋体" w:hAnsi="宋体" w:cs="宋体"/>
          <w:color w:val="auto"/>
          <w:szCs w:val="21"/>
          <w:highlight w:val="none"/>
          <w:lang w:bidi="ar"/>
        </w:rPr>
        <w:t xml:space="preserve">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0"/>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lang w:bidi="ar"/>
        </w:rPr>
        <w:t>现文：</w:t>
      </w:r>
      <w:r>
        <w:rPr>
          <w:color w:val="auto"/>
          <w:szCs w:val="21"/>
          <w:highlight w:val="none"/>
          <w:lang w:bidi="ar"/>
        </w:rPr>
        <w:t>36.1</w:t>
      </w:r>
      <w:r>
        <w:rPr>
          <w:rFonts w:hint="eastAsia" w:ascii="宋体" w:hAnsi="宋体" w:cs="宋体"/>
          <w:color w:val="auto"/>
          <w:szCs w:val="21"/>
          <w:highlight w:val="none"/>
          <w:lang w:bidi="ar"/>
        </w:rPr>
        <w:t xml:space="preserve">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lang w:bidi="ar"/>
        </w:rPr>
        <w:t>若投标人不参加开标会的，其投标文件在开标现场的投标人或招标人代表、招标代理机构代表及交易中心代表见证下公开开启、解密、公布，并视同该投标人认可开标结果。</w:t>
      </w:r>
    </w:p>
    <w:p>
      <w:pPr>
        <w:spacing w:line="480" w:lineRule="auto"/>
        <w:ind w:firstLine="472" w:firstLineChars="224"/>
        <w:rPr>
          <w:b/>
          <w:color w:val="auto"/>
          <w:szCs w:val="21"/>
          <w:highlight w:val="none"/>
        </w:rPr>
      </w:pPr>
      <w:r>
        <w:rPr>
          <w:rFonts w:hint="eastAsia" w:ascii="宋体" w:hAnsi="宋体"/>
          <w:b/>
          <w:color w:val="auto"/>
          <w:szCs w:val="21"/>
          <w:highlight w:val="none"/>
        </w:rPr>
        <w:t>条</w:t>
      </w:r>
      <w:r>
        <w:rPr>
          <w:rFonts w:hint="eastAsia"/>
          <w:b/>
          <w:color w:val="auto"/>
          <w:szCs w:val="21"/>
          <w:highlight w:val="none"/>
        </w:rPr>
        <w:t>款号：</w:t>
      </w:r>
      <w:r>
        <w:rPr>
          <w:b/>
          <w:color w:val="auto"/>
          <w:szCs w:val="21"/>
          <w:highlight w:val="none"/>
        </w:rPr>
        <w:t xml:space="preserve">36.3             </w:t>
      </w:r>
      <w:r>
        <w:rPr>
          <w:rFonts w:hint="eastAsia"/>
          <w:b/>
          <w:color w:val="auto"/>
          <w:szCs w:val="21"/>
          <w:highlight w:val="none"/>
        </w:rPr>
        <w:t>修改类型：删除</w:t>
      </w:r>
    </w:p>
    <w:p>
      <w:pPr>
        <w:pBdr>
          <w:bottom w:val="single" w:color="auto" w:sz="6" w:space="1"/>
        </w:pBdr>
        <w:spacing w:line="360" w:lineRule="auto"/>
        <w:ind w:firstLine="424" w:firstLineChars="201"/>
        <w:rPr>
          <w:color w:val="auto"/>
          <w:szCs w:val="21"/>
          <w:highlight w:val="none"/>
        </w:rPr>
      </w:pPr>
      <w:r>
        <w:rPr>
          <w:rFonts w:hint="eastAsia"/>
          <w:b/>
          <w:color w:val="auto"/>
          <w:szCs w:val="21"/>
          <w:highlight w:val="none"/>
        </w:rPr>
        <w:t>原文：</w:t>
      </w:r>
      <w:r>
        <w:rPr>
          <w:color w:val="auto"/>
          <w:szCs w:val="21"/>
          <w:highlight w:val="none"/>
        </w:rPr>
        <w:t>36.3</w:t>
      </w:r>
      <w:r>
        <w:rPr>
          <w:rFonts w:hint="eastAsia"/>
          <w:color w:val="auto"/>
          <w:szCs w:val="21"/>
          <w:highlight w:val="none"/>
        </w:rPr>
        <w:t>根据投标须知前附表第</w:t>
      </w:r>
      <w:r>
        <w:rPr>
          <w:color w:val="auto"/>
          <w:szCs w:val="21"/>
          <w:highlight w:val="none"/>
        </w:rPr>
        <w:t>19</w:t>
      </w:r>
      <w:r>
        <w:rPr>
          <w:rFonts w:hint="eastAsia"/>
          <w:color w:val="auto"/>
          <w:szCs w:val="21"/>
          <w:highlight w:val="none"/>
        </w:rPr>
        <w:t>项，如需抽取某一种评标办法供评标时使用的，应在开标前抽取。首先对招标文件中约定的若干种评标方法进行编号，再随机抽取某一编号，该编号所对应的评标办法供评标时使用。</w:t>
      </w:r>
    </w:p>
    <w:p>
      <w:pPr>
        <w:spacing w:line="480" w:lineRule="auto"/>
        <w:ind w:firstLine="472" w:firstLineChars="224"/>
        <w:rPr>
          <w:b/>
          <w:color w:val="auto"/>
          <w:szCs w:val="21"/>
          <w:highlight w:val="none"/>
        </w:rPr>
      </w:pPr>
      <w:r>
        <w:rPr>
          <w:rFonts w:hint="eastAsia"/>
          <w:b/>
          <w:color w:val="auto"/>
          <w:szCs w:val="21"/>
          <w:highlight w:val="none"/>
        </w:rPr>
        <w:t>条款号：36.5.1</w:t>
      </w:r>
      <w:r>
        <w:rPr>
          <w:b/>
          <w:color w:val="auto"/>
          <w:szCs w:val="21"/>
          <w:highlight w:val="none"/>
        </w:rPr>
        <w:t xml:space="preserve">             </w:t>
      </w:r>
      <w:r>
        <w:rPr>
          <w:rFonts w:hint="eastAsia"/>
          <w:b/>
          <w:color w:val="auto"/>
          <w:szCs w:val="21"/>
          <w:highlight w:val="none"/>
        </w:rPr>
        <w:t>修改类型：修改</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36.5.1</w:t>
      </w:r>
      <w:r>
        <w:rPr>
          <w:color w:val="auto"/>
          <w:szCs w:val="21"/>
          <w:highlight w:val="none"/>
          <w:lang w:bidi="ar"/>
        </w:rPr>
        <w:t>在投标截止时间后半小时内，投标人通过</w:t>
      </w:r>
      <w:r>
        <w:rPr>
          <w:color w:val="auto"/>
          <w:szCs w:val="21"/>
          <w:highlight w:val="none"/>
          <w:u w:val="single"/>
          <w:lang w:bidi="ar"/>
        </w:rPr>
        <w:t xml:space="preserve">        </w:t>
      </w:r>
      <w:r>
        <w:rPr>
          <w:color w:val="auto"/>
          <w:szCs w:val="21"/>
          <w:highlight w:val="none"/>
          <w:lang w:bidi="ar"/>
        </w:rPr>
        <w:t>交易平台对已递交的电子投标文件进行解密。投标人完成解密后，再由招标人进行解密。解密完成后，公布招标项目名称、投标人名称、投标保证金的递交情况、投标报价、工期及其他内容；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pacing w:line="360" w:lineRule="auto"/>
        <w:ind w:firstLine="527" w:firstLineChars="250"/>
        <w:rPr>
          <w:color w:val="auto"/>
          <w:szCs w:val="21"/>
          <w:highlight w:val="none"/>
        </w:rPr>
      </w:pPr>
      <w:r>
        <w:rPr>
          <w:rFonts w:hint="eastAsia"/>
          <w:b/>
          <w:color w:val="auto"/>
          <w:szCs w:val="21"/>
          <w:highlight w:val="none"/>
        </w:rPr>
        <w:t>现文：</w:t>
      </w:r>
      <w:r>
        <w:rPr>
          <w:rFonts w:hint="eastAsia"/>
          <w:color w:val="auto"/>
          <w:szCs w:val="21"/>
          <w:highlight w:val="none"/>
        </w:rPr>
        <w:t>36.5.1在投标截止时间后半小时内，投标人通过</w:t>
      </w:r>
      <w:r>
        <w:rPr>
          <w:rFonts w:hint="eastAsia"/>
          <w:color w:val="auto"/>
          <w:szCs w:val="21"/>
          <w:highlight w:val="none"/>
          <w:u w:val="single"/>
        </w:rPr>
        <w:t>广州公共资源交易中心</w:t>
      </w:r>
      <w:r>
        <w:rPr>
          <w:rFonts w:hint="eastAsia"/>
          <w:color w:val="auto"/>
          <w:szCs w:val="21"/>
          <w:highlight w:val="none"/>
        </w:rPr>
        <w:t>交易平台对已递交的电子投标文件进行解密。投标人完成解密后，再由招标人进行解密，解密完成后，公布招标项目名称、投标人名称、投标报价、工期及其他内容；</w:t>
      </w:r>
    </w:p>
    <w:p>
      <w:pPr>
        <w:spacing w:line="480" w:lineRule="auto"/>
        <w:ind w:firstLine="472" w:firstLineChars="224"/>
        <w:rPr>
          <w:rFonts w:ascii="宋体" w:hAnsi="宋体"/>
          <w:b/>
          <w:color w:val="auto"/>
          <w:szCs w:val="21"/>
          <w:highlight w:val="none"/>
        </w:rPr>
      </w:pPr>
      <w:r>
        <w:rPr>
          <w:rFonts w:hint="eastAsia"/>
          <w:b/>
          <w:color w:val="auto"/>
          <w:szCs w:val="21"/>
          <w:highlight w:val="none"/>
        </w:rPr>
        <w:t>条</w:t>
      </w:r>
      <w:r>
        <w:rPr>
          <w:rFonts w:hint="eastAsia" w:ascii="宋体" w:hAnsi="宋体"/>
          <w:b/>
          <w:color w:val="auto"/>
          <w:szCs w:val="21"/>
          <w:highlight w:val="none"/>
        </w:rPr>
        <w:t>款号：</w:t>
      </w:r>
      <w:r>
        <w:rPr>
          <w:rFonts w:ascii="宋体" w:hAnsi="宋体"/>
          <w:b/>
          <w:color w:val="auto"/>
          <w:szCs w:val="21"/>
          <w:highlight w:val="none"/>
        </w:rPr>
        <w:t xml:space="preserve">  </w:t>
      </w:r>
      <w:r>
        <w:rPr>
          <w:rFonts w:hint="eastAsia"/>
          <w:b/>
          <w:color w:val="auto"/>
          <w:szCs w:val="21"/>
          <w:highlight w:val="none"/>
        </w:rPr>
        <w:t xml:space="preserve">36.5.3  </w:t>
      </w:r>
      <w:r>
        <w:rPr>
          <w:rFonts w:ascii="宋体" w:hAnsi="宋体"/>
          <w:b/>
          <w:color w:val="auto"/>
          <w:szCs w:val="21"/>
          <w:highlight w:val="none"/>
        </w:rPr>
        <w:t xml:space="preserve">         </w:t>
      </w:r>
      <w:r>
        <w:rPr>
          <w:rFonts w:hint="eastAsia" w:ascii="宋体" w:hAnsi="宋体"/>
          <w:b/>
          <w:color w:val="auto"/>
          <w:szCs w:val="21"/>
          <w:highlight w:val="none"/>
        </w:rPr>
        <w:t>修改类型：修改</w:t>
      </w:r>
    </w:p>
    <w:p>
      <w:pPr>
        <w:spacing w:line="360" w:lineRule="auto"/>
        <w:ind w:firstLine="424" w:firstLineChars="201"/>
        <w:rPr>
          <w:rFonts w:ascii="宋体" w:hAnsi="宋体"/>
          <w:color w:val="auto"/>
          <w:szCs w:val="21"/>
          <w:highlight w:val="none"/>
        </w:rPr>
      </w:pPr>
      <w:r>
        <w:rPr>
          <w:rFonts w:hint="eastAsia"/>
          <w:b/>
          <w:color w:val="auto"/>
          <w:szCs w:val="21"/>
          <w:highlight w:val="none"/>
        </w:rPr>
        <w:t>原文：</w:t>
      </w:r>
      <w:r>
        <w:rPr>
          <w:rFonts w:ascii="宋体" w:hAnsi="宋体"/>
          <w:b/>
          <w:color w:val="auto"/>
          <w:szCs w:val="21"/>
          <w:highlight w:val="none"/>
        </w:rPr>
        <w:t xml:space="preserve"> </w:t>
      </w:r>
      <w:r>
        <w:rPr>
          <w:rFonts w:hint="eastAsia"/>
          <w:color w:val="auto"/>
          <w:szCs w:val="21"/>
          <w:highlight w:val="none"/>
        </w:rPr>
        <w:t>36.5.3</w:t>
      </w:r>
      <w:r>
        <w:rPr>
          <w:rFonts w:hint="eastAsia"/>
          <w:b/>
          <w:color w:val="auto"/>
          <w:szCs w:val="21"/>
          <w:highlight w:val="none"/>
        </w:rPr>
        <w:t xml:space="preserve"> </w:t>
      </w:r>
      <w:r>
        <w:rPr>
          <w:rFonts w:hint="eastAsia" w:ascii="宋体" w:hAnsi="宋体"/>
          <w:color w:val="auto"/>
          <w:szCs w:val="21"/>
          <w:highlight w:val="none"/>
        </w:rPr>
        <w:t>投标人代表、招标人代表、监标人、记录人等有关人员在开标记录上签字确认；若有关人员不签字的，不影响开标程序；</w:t>
      </w:r>
    </w:p>
    <w:p>
      <w:pPr>
        <w:pBdr>
          <w:bottom w:val="single" w:color="auto" w:sz="6" w:space="1"/>
        </w:pBdr>
        <w:spacing w:line="360" w:lineRule="auto"/>
        <w:ind w:firstLine="424" w:firstLineChars="201"/>
        <w:rPr>
          <w:rFonts w:ascii="宋体" w:hAnsi="宋体"/>
          <w:b/>
          <w:color w:val="auto"/>
          <w:szCs w:val="21"/>
          <w:highlight w:val="none"/>
        </w:rPr>
      </w:pPr>
      <w:r>
        <w:rPr>
          <w:rFonts w:ascii="宋体" w:hAnsi="宋体"/>
          <w:b/>
          <w:color w:val="auto"/>
          <w:szCs w:val="21"/>
          <w:highlight w:val="none"/>
        </w:rPr>
        <w:t>现文</w:t>
      </w:r>
      <w:r>
        <w:rPr>
          <w:rFonts w:hint="eastAsia" w:ascii="宋体" w:hAnsi="宋体"/>
          <w:b/>
          <w:color w:val="auto"/>
          <w:szCs w:val="21"/>
          <w:highlight w:val="none"/>
        </w:rPr>
        <w:t>：</w:t>
      </w:r>
      <w:r>
        <w:rPr>
          <w:rFonts w:hint="eastAsia"/>
          <w:color w:val="auto"/>
          <w:szCs w:val="21"/>
          <w:highlight w:val="none"/>
        </w:rPr>
        <w:t xml:space="preserve"> 36.5.3</w:t>
      </w:r>
      <w:r>
        <w:rPr>
          <w:rFonts w:hint="eastAsia"/>
          <w:b/>
          <w:color w:val="auto"/>
          <w:szCs w:val="21"/>
          <w:highlight w:val="none"/>
        </w:rPr>
        <w:t xml:space="preserve"> </w:t>
      </w:r>
      <w:r>
        <w:rPr>
          <w:rFonts w:hint="eastAsia" w:ascii="宋体" w:hAnsi="宋体"/>
          <w:color w:val="auto"/>
          <w:szCs w:val="21"/>
          <w:highlight w:val="none"/>
        </w:rPr>
        <w:t>投标人代表、招标人代表、监标人、记录人等有关人员在开标记录上签字确认；若有关人员不签字的，不影响开标程序；</w:t>
      </w:r>
      <w:r>
        <w:rPr>
          <w:rFonts w:hint="eastAsia" w:ascii="宋体" w:hAnsi="宋体"/>
          <w:color w:val="auto"/>
          <w:szCs w:val="21"/>
          <w:highlight w:val="none"/>
          <w:u w:val="single"/>
        </w:rPr>
        <w:t>若投标人不参加开标会的，或不签字确认的，视同该投标人认可开标结果。</w:t>
      </w:r>
    </w:p>
    <w:p>
      <w:pPr>
        <w:spacing w:line="480" w:lineRule="auto"/>
        <w:ind w:firstLine="472" w:firstLineChars="224"/>
        <w:rPr>
          <w:rFonts w:ascii="宋体" w:hAnsi="宋体"/>
          <w:b/>
          <w:color w:val="auto"/>
          <w:szCs w:val="21"/>
          <w:highlight w:val="none"/>
        </w:rPr>
      </w:pPr>
      <w:r>
        <w:rPr>
          <w:rFonts w:hint="eastAsia"/>
          <w:b/>
          <w:color w:val="auto"/>
          <w:szCs w:val="21"/>
          <w:highlight w:val="none"/>
        </w:rPr>
        <w:t>条</w:t>
      </w:r>
      <w:r>
        <w:rPr>
          <w:rFonts w:hint="eastAsia" w:ascii="宋体" w:hAnsi="宋体"/>
          <w:b/>
          <w:color w:val="auto"/>
          <w:szCs w:val="21"/>
          <w:highlight w:val="none"/>
        </w:rPr>
        <w:t>款号：</w:t>
      </w:r>
      <w:r>
        <w:rPr>
          <w:rFonts w:ascii="宋体" w:hAnsi="宋体"/>
          <w:b/>
          <w:color w:val="auto"/>
          <w:szCs w:val="21"/>
          <w:highlight w:val="none"/>
        </w:rPr>
        <w:t xml:space="preserve"> 38.1</w:t>
      </w:r>
      <w:r>
        <w:rPr>
          <w:rFonts w:hint="eastAsia"/>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pPr>
        <w:spacing w:line="360" w:lineRule="auto"/>
        <w:ind w:firstLine="424" w:firstLineChars="201"/>
        <w:rPr>
          <w:rFonts w:ascii="宋体" w:hAnsi="宋体"/>
          <w:color w:val="auto"/>
          <w:szCs w:val="21"/>
          <w:highlight w:val="none"/>
        </w:rPr>
      </w:pPr>
      <w:r>
        <w:rPr>
          <w:rFonts w:hint="eastAsia"/>
          <w:b/>
          <w:color w:val="auto"/>
          <w:szCs w:val="21"/>
          <w:highlight w:val="none"/>
        </w:rPr>
        <w:t>原文：</w:t>
      </w:r>
      <w:r>
        <w:rPr>
          <w:rFonts w:ascii="宋体" w:hAnsi="宋体"/>
          <w:b/>
          <w:color w:val="auto"/>
          <w:szCs w:val="21"/>
          <w:highlight w:val="none"/>
        </w:rPr>
        <w:t xml:space="preserve"> </w:t>
      </w:r>
      <w:r>
        <w:rPr>
          <w:rFonts w:hint="eastAsia"/>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424" w:firstLineChars="201"/>
        <w:rPr>
          <w:rFonts w:ascii="宋体" w:hAnsi="宋体"/>
          <w:b/>
          <w:color w:val="auto"/>
          <w:szCs w:val="21"/>
          <w:highlight w:val="none"/>
        </w:rPr>
      </w:pPr>
      <w:r>
        <w:rPr>
          <w:rFonts w:ascii="宋体" w:hAnsi="宋体"/>
          <w:b/>
          <w:color w:val="auto"/>
          <w:szCs w:val="21"/>
          <w:highlight w:val="none"/>
        </w:rPr>
        <w:t>现文</w:t>
      </w:r>
      <w:r>
        <w:rPr>
          <w:rFonts w:hint="eastAsia" w:ascii="宋体" w:hAnsi="宋体"/>
          <w:b/>
          <w:color w:val="auto"/>
          <w:szCs w:val="21"/>
          <w:highlight w:val="none"/>
        </w:rPr>
        <w:t>：</w:t>
      </w:r>
      <w:r>
        <w:rPr>
          <w:rFonts w:hint="eastAsia"/>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w:t>
      </w:r>
      <w:r>
        <w:rPr>
          <w:rFonts w:hint="eastAsia"/>
          <w:color w:val="auto"/>
          <w:szCs w:val="21"/>
          <w:highlight w:val="none"/>
          <w:u w:val="single"/>
        </w:rPr>
        <w:t>投标人对投标文件含义不明确、对同类问题表述不一致、有明显文字和计算错误的内容以及细微偏差的</w:t>
      </w:r>
      <w:r>
        <w:rPr>
          <w:rFonts w:hint="eastAsia"/>
          <w:color w:val="auto"/>
          <w:szCs w:val="21"/>
          <w:highlight w:val="none"/>
        </w:rPr>
        <w:t>内容作出澄清。</w:t>
      </w:r>
    </w:p>
    <w:p>
      <w:pPr>
        <w:spacing w:line="360" w:lineRule="auto"/>
        <w:ind w:firstLine="472" w:firstLineChars="224"/>
        <w:rPr>
          <w:rFonts w:ascii="宋体" w:hAnsi="宋体"/>
          <w:b/>
          <w:bCs/>
          <w:color w:val="auto"/>
          <w:szCs w:val="21"/>
          <w:highlight w:val="none"/>
        </w:rPr>
      </w:pPr>
      <w:r>
        <w:rPr>
          <w:rFonts w:hint="eastAsia" w:ascii="宋体" w:hAnsi="宋体"/>
          <w:b/>
          <w:bCs/>
          <w:color w:val="auto"/>
          <w:szCs w:val="21"/>
          <w:highlight w:val="none"/>
        </w:rPr>
        <w:t>条款号：</w:t>
      </w:r>
      <w:r>
        <w:rPr>
          <w:rFonts w:hint="eastAsia"/>
          <w:b/>
          <w:color w:val="auto"/>
          <w:szCs w:val="21"/>
          <w:highlight w:val="none"/>
        </w:rPr>
        <w:t xml:space="preserve">39.2  </w:t>
      </w:r>
      <w:r>
        <w:rPr>
          <w:rFonts w:ascii="宋体" w:hAnsi="宋体"/>
          <w:b/>
          <w:bCs/>
          <w:color w:val="auto"/>
          <w:szCs w:val="21"/>
          <w:highlight w:val="none"/>
        </w:rPr>
        <w:t xml:space="preserve">         </w:t>
      </w:r>
      <w:r>
        <w:rPr>
          <w:rFonts w:hint="eastAsia" w:ascii="宋体" w:hAnsi="宋体"/>
          <w:b/>
          <w:bCs/>
          <w:color w:val="auto"/>
          <w:szCs w:val="21"/>
          <w:highlight w:val="none"/>
        </w:rPr>
        <w:t>修改类型：修改</w:t>
      </w:r>
    </w:p>
    <w:p>
      <w:pPr>
        <w:spacing w:line="360" w:lineRule="auto"/>
        <w:ind w:firstLine="472" w:firstLineChars="224"/>
        <w:rPr>
          <w:rFonts w:ascii="宋体" w:hAnsi="宋体"/>
          <w:color w:val="auto"/>
          <w:szCs w:val="21"/>
          <w:highlight w:val="none"/>
        </w:rPr>
      </w:pPr>
      <w:r>
        <w:rPr>
          <w:rFonts w:hint="eastAsia" w:ascii="宋体" w:hAnsi="宋体"/>
          <w:b/>
          <w:bCs/>
          <w:color w:val="auto"/>
          <w:szCs w:val="21"/>
          <w:highlight w:val="none"/>
        </w:rPr>
        <w:t>原文：</w:t>
      </w:r>
      <w:r>
        <w:rPr>
          <w:rFonts w:hint="eastAsia"/>
          <w:color w:val="auto"/>
          <w:szCs w:val="21"/>
          <w:highlight w:val="none"/>
        </w:rPr>
        <w:t>39.2</w:t>
      </w:r>
      <w:r>
        <w:rPr>
          <w:rFonts w:hint="eastAsia" w:ascii="宋体" w:hAnsi="宋体"/>
          <w:color w:val="auto"/>
          <w:szCs w:val="21"/>
          <w:highlight w:val="none"/>
        </w:rPr>
        <w:t>依法必须进行公开招标的项目，招标人应当确定排名第一的中标候选人为中标人；</w:t>
      </w:r>
    </w:p>
    <w:p>
      <w:pPr>
        <w:pBdr>
          <w:bottom w:val="single" w:color="auto" w:sz="6" w:space="1"/>
        </w:pBdr>
        <w:spacing w:line="360" w:lineRule="auto"/>
        <w:ind w:firstLine="527" w:firstLineChars="250"/>
        <w:rPr>
          <w:rFonts w:ascii="宋体" w:hAnsi="宋体"/>
          <w:color w:val="auto"/>
          <w:szCs w:val="21"/>
          <w:highlight w:val="none"/>
          <w:u w:val="single"/>
        </w:rPr>
      </w:pPr>
      <w:r>
        <w:rPr>
          <w:rFonts w:hint="eastAsia" w:ascii="宋体" w:hAnsi="宋体"/>
          <w:b/>
          <w:bCs/>
          <w:color w:val="auto"/>
          <w:szCs w:val="21"/>
          <w:highlight w:val="none"/>
        </w:rPr>
        <w:t>现文：</w:t>
      </w:r>
      <w:r>
        <w:rPr>
          <w:rFonts w:hint="eastAsia"/>
          <w:color w:val="auto"/>
          <w:szCs w:val="21"/>
          <w:highlight w:val="none"/>
        </w:rPr>
        <w:t>39.2</w:t>
      </w:r>
      <w:r>
        <w:rPr>
          <w:rFonts w:hint="eastAsia" w:ascii="宋体" w:hAnsi="宋体"/>
          <w:color w:val="auto"/>
          <w:szCs w:val="21"/>
          <w:highlight w:val="none"/>
        </w:rPr>
        <w:t>依法必须进行公开招标的项目，招标人应当确定排名第一的中标候选人，</w:t>
      </w:r>
      <w:r>
        <w:rPr>
          <w:rFonts w:hint="eastAsia" w:ascii="宋体" w:hAnsi="宋体"/>
          <w:color w:val="auto"/>
          <w:szCs w:val="21"/>
          <w:highlight w:val="none"/>
          <w:u w:val="single"/>
        </w:rPr>
        <w:t>若在填报中标候选人公示信息时被发现委派的项目负责人已在其他在建项目中任职、不符合任职数量规定时，则不能进行中标候选人公示，招标人可以确定排名第二的中标候选人为中标人。</w:t>
      </w:r>
    </w:p>
    <w:p>
      <w:pPr>
        <w:spacing w:line="360" w:lineRule="auto"/>
        <w:ind w:firstLine="472" w:firstLineChars="224"/>
        <w:rPr>
          <w:rFonts w:ascii="宋体" w:hAnsi="宋体"/>
          <w:b/>
          <w:bCs/>
          <w:color w:val="auto"/>
          <w:szCs w:val="21"/>
          <w:highlight w:val="none"/>
        </w:rPr>
      </w:pPr>
      <w:r>
        <w:rPr>
          <w:rFonts w:hint="eastAsia" w:ascii="宋体" w:hAnsi="宋体"/>
          <w:b/>
          <w:bCs/>
          <w:color w:val="auto"/>
          <w:szCs w:val="21"/>
          <w:highlight w:val="none"/>
        </w:rPr>
        <w:t>条款号：</w:t>
      </w:r>
      <w:r>
        <w:rPr>
          <w:rFonts w:hint="eastAsia"/>
          <w:b/>
          <w:color w:val="auto"/>
          <w:szCs w:val="21"/>
          <w:highlight w:val="none"/>
        </w:rPr>
        <w:t xml:space="preserve">39.3 </w:t>
      </w:r>
      <w:r>
        <w:rPr>
          <w:rFonts w:ascii="宋体" w:hAnsi="宋体"/>
          <w:b/>
          <w:bCs/>
          <w:color w:val="auto"/>
          <w:szCs w:val="21"/>
          <w:highlight w:val="none"/>
        </w:rPr>
        <w:t xml:space="preserve">         </w:t>
      </w:r>
      <w:r>
        <w:rPr>
          <w:rFonts w:hint="eastAsia" w:ascii="宋体" w:hAnsi="宋体"/>
          <w:b/>
          <w:bCs/>
          <w:color w:val="auto"/>
          <w:szCs w:val="21"/>
          <w:highlight w:val="none"/>
        </w:rPr>
        <w:t>修改类型：修改</w:t>
      </w:r>
    </w:p>
    <w:p>
      <w:pPr>
        <w:spacing w:line="360" w:lineRule="auto"/>
        <w:ind w:firstLine="472" w:firstLineChars="224"/>
        <w:rPr>
          <w:rFonts w:ascii="宋体" w:hAnsi="宋体"/>
          <w:color w:val="auto"/>
          <w:szCs w:val="21"/>
          <w:highlight w:val="none"/>
        </w:rPr>
      </w:pPr>
      <w:r>
        <w:rPr>
          <w:rFonts w:hint="eastAsia" w:ascii="宋体" w:hAnsi="宋体"/>
          <w:b/>
          <w:bCs/>
          <w:color w:val="auto"/>
          <w:szCs w:val="21"/>
          <w:highlight w:val="none"/>
        </w:rPr>
        <w:t>原文：</w:t>
      </w:r>
      <w:r>
        <w:rPr>
          <w:rFonts w:hint="eastAsia"/>
          <w:color w:val="auto"/>
          <w:szCs w:val="21"/>
          <w:highlight w:val="none"/>
        </w:rPr>
        <w:t>39.3</w:t>
      </w:r>
      <w:r>
        <w:rPr>
          <w:rFonts w:hint="eastAsia" w:ascii="宋体" w:hAnsi="宋体"/>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527" w:firstLineChars="250"/>
        <w:rPr>
          <w:rFonts w:ascii="宋体" w:hAnsi="宋体"/>
          <w:color w:val="auto"/>
          <w:szCs w:val="21"/>
          <w:highlight w:val="none"/>
          <w:u w:val="single"/>
        </w:rPr>
      </w:pPr>
      <w:r>
        <w:rPr>
          <w:rFonts w:hint="eastAsia" w:ascii="宋体" w:hAnsi="宋体"/>
          <w:b/>
          <w:bCs/>
          <w:color w:val="auto"/>
          <w:szCs w:val="21"/>
          <w:highlight w:val="none"/>
        </w:rPr>
        <w:t>现文：</w:t>
      </w:r>
      <w:r>
        <w:rPr>
          <w:rFonts w:hint="eastAsia"/>
          <w:color w:val="auto"/>
          <w:szCs w:val="21"/>
          <w:highlight w:val="none"/>
        </w:rPr>
        <w:t>39.3</w:t>
      </w:r>
      <w:r>
        <w:rPr>
          <w:rFonts w:hint="eastAsia" w:ascii="宋体" w:hAnsi="宋体"/>
          <w:color w:val="auto"/>
          <w:szCs w:val="21"/>
          <w:highlight w:val="none"/>
        </w:rPr>
        <w:t>排名第一的中标候选人放弃中标、或因不可抗力提出不能履行合同，或者招标文件规定应当提交履约担保而在规定的期限内未能提交的，</w:t>
      </w:r>
      <w:r>
        <w:rPr>
          <w:rFonts w:hint="eastAsia" w:ascii="宋体" w:hAnsi="宋体"/>
          <w:color w:val="auto"/>
          <w:szCs w:val="21"/>
          <w:highlight w:val="none"/>
          <w:u w:val="single"/>
        </w:rPr>
        <w:t>或经核查发现委派的项目负责人已在其他在建项目中任职、不符合任职数量规定时，</w:t>
      </w:r>
      <w:r>
        <w:rPr>
          <w:rFonts w:hint="eastAsia" w:ascii="宋体" w:hAnsi="宋体"/>
          <w:color w:val="auto"/>
          <w:szCs w:val="21"/>
          <w:highlight w:val="none"/>
        </w:rPr>
        <w:t>招标人可以确定排名第二的中标候选人为中标人。</w:t>
      </w:r>
    </w:p>
    <w:p>
      <w:pPr>
        <w:spacing w:line="360" w:lineRule="auto"/>
        <w:ind w:firstLine="422" w:firstLineChars="200"/>
        <w:rPr>
          <w:b/>
          <w:color w:val="auto"/>
          <w:szCs w:val="21"/>
          <w:highlight w:val="none"/>
        </w:rPr>
      </w:pPr>
      <w:r>
        <w:rPr>
          <w:rFonts w:hint="eastAsia"/>
          <w:b/>
          <w:color w:val="auto"/>
          <w:szCs w:val="21"/>
          <w:highlight w:val="none"/>
        </w:rPr>
        <w:t>条款号：41.1</w:t>
      </w:r>
      <w:r>
        <w:rPr>
          <w:b/>
          <w:color w:val="auto"/>
          <w:szCs w:val="21"/>
          <w:highlight w:val="none"/>
        </w:rPr>
        <w:t xml:space="preserve">             </w:t>
      </w:r>
      <w:r>
        <w:rPr>
          <w:rFonts w:hint="eastAsia"/>
          <w:b/>
          <w:color w:val="auto"/>
          <w:szCs w:val="21"/>
          <w:highlight w:val="none"/>
        </w:rPr>
        <w:t xml:space="preserve"> 修改类型：修改</w:t>
      </w:r>
    </w:p>
    <w:p>
      <w:pPr>
        <w:spacing w:line="360" w:lineRule="auto"/>
        <w:ind w:firstLine="422" w:firstLineChars="200"/>
        <w:rPr>
          <w:b/>
          <w:color w:val="auto"/>
          <w:szCs w:val="21"/>
          <w:highlight w:val="none"/>
        </w:rPr>
      </w:pPr>
      <w:r>
        <w:rPr>
          <w:rFonts w:hint="eastAsia"/>
          <w:b/>
          <w:color w:val="auto"/>
          <w:szCs w:val="21"/>
          <w:highlight w:val="none"/>
        </w:rPr>
        <w:t>原文：</w:t>
      </w:r>
      <w:r>
        <w:rPr>
          <w:color w:val="auto"/>
          <w:szCs w:val="21"/>
          <w:highlight w:val="none"/>
        </w:rPr>
        <w:t>41.1</w:t>
      </w:r>
      <w:r>
        <w:rPr>
          <w:rFonts w:hint="eastAsia"/>
          <w:color w:val="auto"/>
          <w:szCs w:val="21"/>
          <w:highlight w:val="none"/>
        </w:rPr>
        <w:t>开标由招标人主持；</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color w:val="auto"/>
          <w:szCs w:val="21"/>
          <w:highlight w:val="none"/>
        </w:rPr>
        <w:t>41.1</w:t>
      </w:r>
      <w:r>
        <w:rPr>
          <w:rFonts w:hint="eastAsia"/>
          <w:color w:val="auto"/>
          <w:szCs w:val="21"/>
          <w:highlight w:val="none"/>
        </w:rPr>
        <w:t>开标由招标人</w:t>
      </w:r>
      <w:r>
        <w:rPr>
          <w:rFonts w:hint="eastAsia"/>
          <w:color w:val="auto"/>
          <w:szCs w:val="21"/>
          <w:highlight w:val="none"/>
          <w:u w:val="single"/>
        </w:rPr>
        <w:t>或招标代理</w:t>
      </w:r>
      <w:r>
        <w:rPr>
          <w:rFonts w:hint="eastAsia"/>
          <w:color w:val="auto"/>
          <w:szCs w:val="21"/>
          <w:highlight w:val="none"/>
        </w:rPr>
        <w:t>主持；</w:t>
      </w:r>
    </w:p>
    <w:p>
      <w:pPr>
        <w:spacing w:line="360" w:lineRule="auto"/>
        <w:ind w:firstLine="422" w:firstLineChars="200"/>
        <w:rPr>
          <w:b/>
          <w:color w:val="auto"/>
          <w:szCs w:val="21"/>
          <w:highlight w:val="none"/>
        </w:rPr>
      </w:pPr>
      <w:r>
        <w:rPr>
          <w:rFonts w:hint="eastAsia"/>
          <w:b/>
          <w:color w:val="auto"/>
          <w:szCs w:val="21"/>
          <w:highlight w:val="none"/>
        </w:rPr>
        <w:t>条款号：41.2.1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b/>
          <w:color w:val="auto"/>
          <w:szCs w:val="21"/>
          <w:highlight w:val="none"/>
        </w:rPr>
      </w:pPr>
      <w:r>
        <w:rPr>
          <w:rFonts w:hint="eastAsia"/>
          <w:b/>
          <w:color w:val="auto"/>
          <w:szCs w:val="21"/>
          <w:highlight w:val="none"/>
        </w:rPr>
        <w:t>原文：</w:t>
      </w:r>
      <w:r>
        <w:rPr>
          <w:rFonts w:hint="eastAsia"/>
          <w:color w:val="auto"/>
          <w:szCs w:val="21"/>
          <w:highlight w:val="none"/>
        </w:rPr>
        <w:t>41.2.1投标截止期前，各投标人递交投标文件（包括技术标投标文件、经济标投标文件）至</w:t>
      </w:r>
      <w:r>
        <w:rPr>
          <w:color w:val="auto"/>
          <w:szCs w:val="21"/>
          <w:highlight w:val="none"/>
          <w:u w:val="single"/>
        </w:rPr>
        <w:t xml:space="preserve">        </w:t>
      </w:r>
      <w:r>
        <w:rPr>
          <w:rFonts w:hint="eastAsia"/>
          <w:color w:val="auto"/>
          <w:szCs w:val="21"/>
          <w:highlight w:val="none"/>
        </w:rPr>
        <w:t>交易平台。有关投标文件提交的事项详见第一章投标须知。</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color w:val="auto"/>
          <w:szCs w:val="21"/>
          <w:highlight w:val="none"/>
        </w:rPr>
        <w:t>41.2.1投标截止期前，各投标人递交投标文件（包括技术标投标文件、经济标投标文件）至</w:t>
      </w:r>
      <w:r>
        <w:rPr>
          <w:color w:val="auto"/>
          <w:szCs w:val="21"/>
          <w:highlight w:val="none"/>
          <w:u w:val="single"/>
        </w:rPr>
        <w:t xml:space="preserve"> </w:t>
      </w:r>
      <w:r>
        <w:rPr>
          <w:rFonts w:hint="eastAsia"/>
          <w:color w:val="auto"/>
          <w:szCs w:val="21"/>
          <w:highlight w:val="none"/>
          <w:u w:val="single"/>
        </w:rPr>
        <w:t>广州公共资源交易中心</w:t>
      </w:r>
      <w:r>
        <w:rPr>
          <w:rFonts w:hint="eastAsia"/>
          <w:color w:val="auto"/>
          <w:szCs w:val="21"/>
          <w:highlight w:val="none"/>
        </w:rPr>
        <w:t>交易平台。有关投标文件提交的事项详见第一章投标须知。</w:t>
      </w:r>
    </w:p>
    <w:p>
      <w:pPr>
        <w:pStyle w:val="8"/>
        <w:pBdr>
          <w:bottom w:val="single" w:color="auto" w:sz="4" w:space="1"/>
        </w:pBdr>
        <w:spacing w:after="0" w:line="4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条款号：41.2.2</w:t>
      </w:r>
      <w:r>
        <w:rPr>
          <w:rFonts w:hint="eastAsia" w:ascii="宋体" w:hAnsi="宋体" w:cs="宋体"/>
          <w:color w:val="auto"/>
          <w:szCs w:val="21"/>
          <w:highlight w:val="none"/>
        </w:rPr>
        <w:t xml:space="preserve">           </w:t>
      </w:r>
      <w:r>
        <w:rPr>
          <w:rFonts w:hint="eastAsia" w:ascii="宋体" w:hAnsi="宋体" w:cs="宋体"/>
          <w:b/>
          <w:color w:val="auto"/>
          <w:szCs w:val="21"/>
          <w:highlight w:val="none"/>
        </w:rPr>
        <w:t>修改类型：删除</w:t>
      </w:r>
    </w:p>
    <w:p>
      <w:pPr>
        <w:pStyle w:val="8"/>
        <w:pBdr>
          <w:bottom w:val="single" w:color="auto" w:sz="4" w:space="1"/>
        </w:pBdr>
        <w:spacing w:after="0" w:line="4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41.2.2开标前，首先由招标人随机抽取确定该工程计算评标参考价的等分点值X</w:t>
      </w:r>
      <w:r>
        <w:rPr>
          <w:rFonts w:hint="eastAsia" w:ascii="宋体" w:hAnsi="宋体" w:cs="宋体"/>
          <w:color w:val="auto"/>
          <w:szCs w:val="21"/>
          <w:highlight w:val="none"/>
        </w:rPr>
        <w:t>。</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条款号：41.</w:t>
      </w:r>
      <w:r>
        <w:rPr>
          <w:rFonts w:ascii="宋体" w:hAnsi="宋体" w:cs="宋体"/>
          <w:b/>
          <w:color w:val="auto"/>
          <w:szCs w:val="21"/>
          <w:highlight w:val="none"/>
        </w:rPr>
        <w:t xml:space="preserve">3 </w:t>
      </w:r>
      <w:r>
        <w:rPr>
          <w:rFonts w:hint="eastAsia" w:ascii="宋体" w:hAnsi="宋体" w:cs="宋体"/>
          <w:b/>
          <w:color w:val="auto"/>
          <w:szCs w:val="21"/>
          <w:highlight w:val="none"/>
        </w:rPr>
        <w:t xml:space="preserve">                      修改类型：修改</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招标人对开标过程进行记录，并存档备查，投标人在技术标开标记录上签字。</w:t>
      </w:r>
    </w:p>
    <w:p>
      <w:pPr>
        <w:pBdr>
          <w:bottom w:val="single" w:color="auto" w:sz="6" w:space="1"/>
        </w:pBd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招标人</w:t>
      </w:r>
      <w:r>
        <w:rPr>
          <w:rFonts w:hint="eastAsia" w:ascii="宋体" w:hAnsi="宋体" w:cs="宋体"/>
          <w:color w:val="auto"/>
          <w:szCs w:val="21"/>
          <w:highlight w:val="none"/>
          <w:u w:val="single"/>
        </w:rPr>
        <w:t>或招标代理机构</w:t>
      </w:r>
      <w:r>
        <w:rPr>
          <w:rFonts w:hint="eastAsia" w:ascii="宋体" w:hAnsi="宋体" w:cs="宋体"/>
          <w:color w:val="auto"/>
          <w:szCs w:val="21"/>
          <w:highlight w:val="none"/>
        </w:rPr>
        <w:t>对开标过程进行记录，并存档备查，</w:t>
      </w:r>
      <w:r>
        <w:rPr>
          <w:rFonts w:hint="eastAsia" w:ascii="宋体" w:hAnsi="宋体" w:cs="宋体"/>
          <w:color w:val="auto"/>
          <w:szCs w:val="21"/>
          <w:highlight w:val="none"/>
          <w:u w:val="single"/>
        </w:rPr>
        <w:t>参加开标会的</w:t>
      </w:r>
      <w:r>
        <w:rPr>
          <w:rFonts w:hint="eastAsia" w:ascii="宋体" w:hAnsi="宋体" w:cs="宋体"/>
          <w:color w:val="auto"/>
          <w:szCs w:val="21"/>
          <w:highlight w:val="none"/>
        </w:rPr>
        <w:t>投标人在开标记录上签字。</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条款号：41.</w:t>
      </w:r>
      <w:r>
        <w:rPr>
          <w:rFonts w:ascii="宋体" w:hAnsi="宋体" w:cs="宋体"/>
          <w:b/>
          <w:color w:val="auto"/>
          <w:szCs w:val="21"/>
          <w:highlight w:val="none"/>
        </w:rPr>
        <w:t xml:space="preserve">4 </w:t>
      </w:r>
      <w:r>
        <w:rPr>
          <w:rFonts w:hint="eastAsia" w:ascii="宋体" w:hAnsi="宋体" w:cs="宋体"/>
          <w:b/>
          <w:color w:val="auto"/>
          <w:szCs w:val="21"/>
          <w:highlight w:val="none"/>
        </w:rPr>
        <w:t xml:space="preserve">                      修改类型：修改</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招标人将上述符合要求的投标文件，送至评标委员会进行评审</w:t>
      </w:r>
      <w:r>
        <w:rPr>
          <w:rFonts w:hint="eastAsia" w:ascii="宋体" w:hAnsi="宋体" w:cs="宋体"/>
          <w:color w:val="auto"/>
          <w:szCs w:val="21"/>
          <w:highlight w:val="none"/>
        </w:rPr>
        <w:t>。</w:t>
      </w:r>
    </w:p>
    <w:p>
      <w:pPr>
        <w:pBdr>
          <w:bottom w:val="single" w:color="auto" w:sz="6" w:space="1"/>
        </w:pBd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招标人</w:t>
      </w:r>
      <w:r>
        <w:rPr>
          <w:rFonts w:hint="eastAsia" w:ascii="宋体" w:hAnsi="宋体" w:cs="宋体"/>
          <w:color w:val="auto"/>
          <w:szCs w:val="21"/>
          <w:highlight w:val="none"/>
          <w:u w:val="single"/>
        </w:rPr>
        <w:t>或招标代理机构</w:t>
      </w:r>
      <w:r>
        <w:rPr>
          <w:rFonts w:ascii="宋体" w:hAnsi="宋体" w:cs="宋体"/>
          <w:color w:val="auto"/>
          <w:szCs w:val="21"/>
          <w:highlight w:val="none"/>
        </w:rPr>
        <w:t>将上述符合要求的投标文件，送至评标委员会进行评审</w:t>
      </w:r>
      <w:r>
        <w:rPr>
          <w:rFonts w:hint="eastAsia" w:ascii="宋体" w:hAnsi="宋体" w:cs="宋体"/>
          <w:color w:val="auto"/>
          <w:szCs w:val="21"/>
          <w:highlight w:val="none"/>
        </w:rPr>
        <w:t>。</w:t>
      </w:r>
    </w:p>
    <w:p>
      <w:pPr>
        <w:spacing w:line="480" w:lineRule="auto"/>
        <w:ind w:firstLine="422" w:firstLineChars="200"/>
        <w:rPr>
          <w:b/>
          <w:color w:val="auto"/>
          <w:szCs w:val="21"/>
          <w:highlight w:val="none"/>
        </w:rPr>
      </w:pPr>
      <w:r>
        <w:rPr>
          <w:rFonts w:hint="eastAsia"/>
          <w:b/>
          <w:color w:val="auto"/>
          <w:szCs w:val="21"/>
          <w:highlight w:val="none"/>
        </w:rPr>
        <w:t>条款号：</w:t>
      </w:r>
      <w:r>
        <w:rPr>
          <w:b/>
          <w:color w:val="auto"/>
          <w:szCs w:val="21"/>
          <w:highlight w:val="none"/>
        </w:rPr>
        <w:t xml:space="preserve">42.2             </w:t>
      </w:r>
      <w:r>
        <w:rPr>
          <w:rFonts w:hint="eastAsia"/>
          <w:b/>
          <w:color w:val="auto"/>
          <w:szCs w:val="21"/>
          <w:highlight w:val="none"/>
        </w:rPr>
        <w:t>修改类型：修改</w:t>
      </w:r>
    </w:p>
    <w:p>
      <w:pPr>
        <w:pStyle w:val="8"/>
        <w:tabs>
          <w:tab w:val="left" w:pos="7380"/>
        </w:tabs>
        <w:snapToGrid w:val="0"/>
        <w:spacing w:after="0" w:line="360" w:lineRule="auto"/>
        <w:ind w:firstLineChars="199"/>
        <w:rPr>
          <w:rFonts w:ascii="宋体"/>
          <w:color w:val="auto"/>
          <w:szCs w:val="21"/>
          <w:highlight w:val="none"/>
        </w:rPr>
      </w:pPr>
      <w:r>
        <w:rPr>
          <w:rFonts w:hint="eastAsia"/>
          <w:b/>
          <w:color w:val="auto"/>
          <w:szCs w:val="21"/>
          <w:highlight w:val="none"/>
        </w:rPr>
        <w:t>原文：</w:t>
      </w:r>
      <w:r>
        <w:rPr>
          <w:color w:val="auto"/>
          <w:szCs w:val="21"/>
          <w:highlight w:val="none"/>
        </w:rPr>
        <w:t>42.2</w:t>
      </w:r>
      <w:r>
        <w:rPr>
          <w:rFonts w:hint="eastAsia" w:ascii="宋体"/>
          <w:color w:val="auto"/>
          <w:szCs w:val="21"/>
          <w:highlight w:val="none"/>
        </w:rPr>
        <w:t>评标委员会的组成：方式</w:t>
      </w:r>
      <w:r>
        <w:rPr>
          <w:rFonts w:hint="eastAsia" w:ascii="宋体"/>
          <w:color w:val="auto"/>
          <w:szCs w:val="21"/>
          <w:highlight w:val="none"/>
          <w:u w:val="single"/>
        </w:rPr>
        <w:t xml:space="preserve">   </w:t>
      </w:r>
      <w:r>
        <w:rPr>
          <w:rFonts w:hint="eastAsia" w:ascii="宋体"/>
          <w:color w:val="auto"/>
          <w:szCs w:val="21"/>
          <w:highlight w:val="none"/>
        </w:rPr>
        <w:t>。</w:t>
      </w:r>
    </w:p>
    <w:p>
      <w:pPr>
        <w:snapToGrid w:val="0"/>
        <w:spacing w:line="360" w:lineRule="auto"/>
        <w:ind w:firstLine="420" w:firstLineChars="200"/>
        <w:rPr>
          <w:rFonts w:ascii="宋体"/>
          <w:color w:val="auto"/>
          <w:szCs w:val="21"/>
          <w:highlight w:val="none"/>
        </w:rPr>
      </w:pPr>
      <w:r>
        <w:rPr>
          <w:rFonts w:hint="eastAsia" w:ascii="宋体"/>
          <w:color w:val="auto"/>
          <w:szCs w:val="21"/>
          <w:highlight w:val="none"/>
        </w:rPr>
        <w:t>方式一：评标委员会为综合评标委员会，负责资格审查及评标工作。</w:t>
      </w:r>
    </w:p>
    <w:p>
      <w:pPr>
        <w:pStyle w:val="8"/>
        <w:tabs>
          <w:tab w:val="left" w:pos="7380"/>
        </w:tabs>
        <w:snapToGrid w:val="0"/>
        <w:spacing w:after="0" w:line="360" w:lineRule="auto"/>
        <w:rPr>
          <w:rFonts w:ascii="宋体"/>
          <w:color w:val="auto"/>
          <w:szCs w:val="21"/>
          <w:highlight w:val="none"/>
        </w:rPr>
      </w:pPr>
      <w:r>
        <w:rPr>
          <w:rFonts w:hint="eastAsia" w:ascii="宋体"/>
          <w:color w:val="auto"/>
          <w:szCs w:val="21"/>
          <w:highlight w:val="none"/>
        </w:rPr>
        <w:t>方式二：评标委员会由技术评审组和经济评审组组成。其中：资格审查及技术评审由技术评标组负责，经济评审由经济评审组负责。</w:t>
      </w:r>
    </w:p>
    <w:p>
      <w:pPr>
        <w:pBdr>
          <w:bottom w:val="single" w:color="auto" w:sz="6" w:space="1"/>
        </w:pBdr>
        <w:spacing w:line="360" w:lineRule="auto"/>
        <w:ind w:firstLine="422" w:firstLineChars="200"/>
        <w:rPr>
          <w:rFonts w:ascii="宋体"/>
          <w:color w:val="auto"/>
          <w:szCs w:val="21"/>
          <w:highlight w:val="none"/>
        </w:rPr>
      </w:pPr>
      <w:r>
        <w:rPr>
          <w:rFonts w:hint="eastAsia"/>
          <w:b/>
          <w:color w:val="auto"/>
          <w:szCs w:val="21"/>
          <w:highlight w:val="none"/>
        </w:rPr>
        <w:t>现文：</w:t>
      </w:r>
      <w:r>
        <w:rPr>
          <w:color w:val="auto"/>
          <w:szCs w:val="21"/>
          <w:highlight w:val="none"/>
        </w:rPr>
        <w:t>42.2</w:t>
      </w:r>
      <w:r>
        <w:rPr>
          <w:rFonts w:hint="eastAsia" w:ascii="宋体"/>
          <w:color w:val="auto"/>
          <w:szCs w:val="21"/>
          <w:highlight w:val="none"/>
        </w:rPr>
        <w:t>评标委员会的组成：方式</w:t>
      </w:r>
      <w:r>
        <w:rPr>
          <w:rFonts w:hint="eastAsia" w:ascii="宋体"/>
          <w:color w:val="auto"/>
          <w:szCs w:val="21"/>
          <w:highlight w:val="none"/>
          <w:u w:val="single"/>
        </w:rPr>
        <w:t xml:space="preserve"> 一 </w:t>
      </w:r>
      <w:r>
        <w:rPr>
          <w:rFonts w:hint="eastAsia" w:ascii="宋体"/>
          <w:color w:val="auto"/>
          <w:szCs w:val="21"/>
          <w:highlight w:val="none"/>
        </w:rPr>
        <w:t xml:space="preserve">。 </w:t>
      </w:r>
    </w:p>
    <w:p>
      <w:pPr>
        <w:pBdr>
          <w:bottom w:val="single" w:color="auto" w:sz="6" w:space="1"/>
        </w:pBdr>
        <w:spacing w:line="360" w:lineRule="auto"/>
        <w:ind w:firstLine="420" w:firstLineChars="200"/>
        <w:rPr>
          <w:rFonts w:ascii="宋体"/>
          <w:color w:val="auto"/>
          <w:szCs w:val="21"/>
          <w:highlight w:val="none"/>
        </w:rPr>
      </w:pPr>
      <w:r>
        <w:rPr>
          <w:rFonts w:hint="eastAsia" w:ascii="宋体"/>
          <w:color w:val="auto"/>
          <w:szCs w:val="21"/>
          <w:highlight w:val="none"/>
        </w:rPr>
        <w:t>方式一：评标委员会为综合评标委员会，负责资格审查及评标工作。</w:t>
      </w:r>
    </w:p>
    <w:p>
      <w:pPr>
        <w:spacing w:line="480" w:lineRule="auto"/>
        <w:ind w:firstLine="422" w:firstLineChars="200"/>
        <w:rPr>
          <w:rFonts w:ascii="宋体" w:hAnsi="宋体"/>
          <w:b/>
          <w:color w:val="auto"/>
          <w:szCs w:val="21"/>
          <w:highlight w:val="none"/>
        </w:rPr>
      </w:pPr>
      <w:r>
        <w:rPr>
          <w:rFonts w:hint="eastAsia" w:ascii="宋体" w:hAnsi="宋体"/>
          <w:b/>
          <w:color w:val="auto"/>
          <w:szCs w:val="21"/>
          <w:highlight w:val="none"/>
        </w:rPr>
        <w:t>条款号：45.1             修改类型：修改</w:t>
      </w:r>
    </w:p>
    <w:p>
      <w:pPr>
        <w:pStyle w:val="8"/>
        <w:tabs>
          <w:tab w:val="left" w:pos="7380"/>
        </w:tabs>
        <w:snapToGrid w:val="0"/>
        <w:spacing w:after="0" w:line="360" w:lineRule="auto"/>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45.1若通过技术标有效性审查的投标人中所有投标报价均大于等于最高投标限价*D%（D的取值范围为[94,100],由招标人自主确定）的（具体金额为：</w:t>
      </w:r>
      <w:r>
        <w:rPr>
          <w:rFonts w:hint="eastAsia" w:ascii="宋体" w:hAnsi="宋体"/>
          <w:color w:val="auto"/>
          <w:szCs w:val="21"/>
          <w:highlight w:val="none"/>
          <w:u w:val="single"/>
        </w:rPr>
        <w:t xml:space="preserve">      </w:t>
      </w:r>
      <w:r>
        <w:rPr>
          <w:rFonts w:hint="eastAsia" w:ascii="宋体" w:hAnsi="宋体"/>
          <w:color w:val="auto"/>
          <w:szCs w:val="21"/>
          <w:highlight w:val="none"/>
        </w:rPr>
        <w:t>元），则本项目招标失败，由招标人依法重新招标。</w:t>
      </w:r>
    </w:p>
    <w:p>
      <w:pPr>
        <w:pBdr>
          <w:bottom w:val="single" w:color="auto" w:sz="6" w:space="1"/>
        </w:pBd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45.1若通过技术标有效性审查的投标人中所有投标报价均大于等于最高投标限价*</w:t>
      </w:r>
      <w:r>
        <w:rPr>
          <w:rFonts w:hint="eastAsia" w:ascii="宋体" w:hAnsi="宋体"/>
          <w:color w:val="auto"/>
          <w:szCs w:val="21"/>
          <w:highlight w:val="none"/>
          <w:u w:val="single"/>
        </w:rPr>
        <w:t xml:space="preserve"> </w:t>
      </w:r>
      <w:r>
        <w:rPr>
          <w:rFonts w:hint="eastAsia" w:ascii="宋体" w:hAnsi="宋体"/>
          <w:color w:val="auto"/>
          <w:szCs w:val="21"/>
          <w:highlight w:val="none"/>
        </w:rPr>
        <w:t>D%（D的取值为</w:t>
      </w:r>
      <w:r>
        <w:rPr>
          <w:rFonts w:hint="eastAsia" w:ascii="宋体" w:hAnsi="宋体"/>
          <w:color w:val="auto"/>
          <w:szCs w:val="21"/>
          <w:highlight w:val="none"/>
          <w:u w:val="single"/>
        </w:rPr>
        <w:t>97</w:t>
      </w:r>
      <w:r>
        <w:rPr>
          <w:rFonts w:hint="eastAsia" w:ascii="宋体" w:hAnsi="宋体"/>
          <w:color w:val="auto"/>
          <w:szCs w:val="21"/>
          <w:highlight w:val="none"/>
        </w:rPr>
        <w:t>，由招标人自主确定）的（具体金额为：</w:t>
      </w:r>
      <w:r>
        <w:rPr>
          <w:rFonts w:hint="eastAsia" w:ascii="宋体" w:hAnsi="宋体"/>
          <w:b/>
          <w:bCs/>
          <w:color w:val="auto"/>
          <w:szCs w:val="21"/>
          <w:highlight w:val="none"/>
          <w:u w:val="single"/>
        </w:rPr>
        <w:t>5722561.51</w:t>
      </w:r>
      <w:r>
        <w:rPr>
          <w:rFonts w:hint="eastAsia" w:ascii="宋体" w:hAnsi="宋体"/>
          <w:color w:val="auto"/>
          <w:szCs w:val="21"/>
          <w:highlight w:val="none"/>
          <w:u w:val="single"/>
        </w:rPr>
        <w:t>元</w:t>
      </w:r>
      <w:r>
        <w:rPr>
          <w:rFonts w:hint="eastAsia" w:ascii="宋体" w:hAnsi="宋体"/>
          <w:color w:val="auto"/>
          <w:szCs w:val="21"/>
          <w:highlight w:val="none"/>
        </w:rPr>
        <w:t>），则本项目招标失败，由招标人依法重新招标。</w:t>
      </w:r>
    </w:p>
    <w:p>
      <w:pPr>
        <w:spacing w:line="480" w:lineRule="auto"/>
        <w:ind w:firstLine="422" w:firstLineChars="200"/>
        <w:rPr>
          <w:b/>
          <w:color w:val="auto"/>
          <w:szCs w:val="21"/>
          <w:highlight w:val="none"/>
        </w:rPr>
      </w:pPr>
      <w:r>
        <w:rPr>
          <w:rFonts w:hint="eastAsia"/>
          <w:b/>
          <w:color w:val="auto"/>
          <w:szCs w:val="21"/>
          <w:highlight w:val="none"/>
        </w:rPr>
        <w:t>条款号：</w:t>
      </w:r>
      <w:r>
        <w:rPr>
          <w:b/>
          <w:color w:val="auto"/>
          <w:szCs w:val="21"/>
          <w:highlight w:val="none"/>
        </w:rPr>
        <w:t xml:space="preserve">45.2             </w:t>
      </w:r>
      <w:r>
        <w:rPr>
          <w:rFonts w:hint="eastAsia"/>
          <w:b/>
          <w:color w:val="auto"/>
          <w:szCs w:val="21"/>
          <w:highlight w:val="none"/>
        </w:rPr>
        <w:t>修改类型：修改</w:t>
      </w:r>
    </w:p>
    <w:p>
      <w:pPr>
        <w:pStyle w:val="8"/>
        <w:tabs>
          <w:tab w:val="left" w:pos="7380"/>
        </w:tabs>
        <w:snapToGrid w:val="0"/>
        <w:spacing w:after="0" w:line="360" w:lineRule="auto"/>
        <w:ind w:firstLineChars="199"/>
        <w:rPr>
          <w:rFonts w:ascii="宋体"/>
          <w:color w:val="auto"/>
          <w:szCs w:val="21"/>
          <w:highlight w:val="none"/>
        </w:rPr>
      </w:pPr>
      <w:r>
        <w:rPr>
          <w:rFonts w:hint="eastAsia"/>
          <w:b/>
          <w:color w:val="auto"/>
          <w:szCs w:val="21"/>
          <w:highlight w:val="none"/>
        </w:rPr>
        <w:t>原文：</w:t>
      </w:r>
      <w:r>
        <w:rPr>
          <w:rFonts w:hint="eastAsia" w:ascii="宋体" w:hAnsi="宋体"/>
          <w:color w:val="auto"/>
          <w:szCs w:val="21"/>
          <w:highlight w:val="none"/>
        </w:rPr>
        <w:t>45.2按方法</w:t>
      </w:r>
      <w:r>
        <w:rPr>
          <w:rFonts w:hint="eastAsia" w:ascii="宋体" w:hAnsi="宋体"/>
          <w:color w:val="auto"/>
          <w:szCs w:val="21"/>
          <w:highlight w:val="none"/>
          <w:u w:val="single"/>
        </w:rPr>
        <w:t xml:space="preserve">    </w:t>
      </w:r>
      <w:r>
        <w:rPr>
          <w:rFonts w:hint="eastAsia" w:ascii="宋体" w:hAnsi="宋体"/>
          <w:color w:val="auto"/>
          <w:szCs w:val="21"/>
          <w:highlight w:val="none"/>
        </w:rPr>
        <w:t>计算评标参考价：</w:t>
      </w:r>
    </w:p>
    <w:p>
      <w:pPr>
        <w:pStyle w:val="8"/>
        <w:tabs>
          <w:tab w:val="left" w:pos="7380"/>
        </w:tabs>
        <w:snapToGrid w:val="0"/>
        <w:spacing w:after="0" w:line="360" w:lineRule="auto"/>
        <w:ind w:firstLineChars="199"/>
        <w:rPr>
          <w:rFonts w:ascii="宋体" w:hAnsi="宋体"/>
          <w:b/>
          <w:bCs/>
          <w:color w:val="auto"/>
          <w:szCs w:val="21"/>
          <w:highlight w:val="none"/>
        </w:rPr>
      </w:pPr>
      <w:r>
        <w:rPr>
          <w:rFonts w:hint="eastAsia" w:ascii="宋体" w:hAnsi="宋体" w:cs="仿宋"/>
          <w:b/>
          <w:bCs/>
          <w:color w:val="auto"/>
          <w:szCs w:val="21"/>
          <w:highlight w:val="none"/>
        </w:rPr>
        <w:t>方法一：加权平均法</w:t>
      </w:r>
    </w:p>
    <w:p>
      <w:pPr>
        <w:pStyle w:val="8"/>
        <w:tabs>
          <w:tab w:val="left" w:pos="7380"/>
        </w:tabs>
        <w:snapToGrid w:val="0"/>
        <w:spacing w:after="0" w:line="360" w:lineRule="auto"/>
        <w:rPr>
          <w:rFonts w:ascii="宋体" w:hAnsi="宋体" w:cs="仿宋"/>
          <w:color w:val="auto"/>
          <w:szCs w:val="21"/>
          <w:highlight w:val="none"/>
        </w:rPr>
      </w:pPr>
      <w:r>
        <w:rPr>
          <w:rFonts w:hint="eastAsia" w:ascii="宋体" w:hAnsi="宋体" w:cs="仿宋"/>
          <w:color w:val="auto"/>
          <w:szCs w:val="21"/>
          <w:highlight w:val="none"/>
        </w:rPr>
        <w:t>技术标或技术标加诚信得分（具体由招标人自定）前N名（N≥5，具体由招标人自定）的经济报价加权平均，计算评标参考价。公式如下：</w:t>
      </w:r>
    </w:p>
    <w:p>
      <w:pPr>
        <w:pStyle w:val="8"/>
        <w:tabs>
          <w:tab w:val="left" w:pos="7380"/>
        </w:tabs>
        <w:snapToGrid w:val="0"/>
        <w:spacing w:after="0" w:line="360" w:lineRule="auto"/>
        <w:ind w:firstLineChars="200"/>
        <w:rPr>
          <w:rFonts w:ascii="宋体" w:hAnsi="宋体" w:cs="仿宋"/>
          <w:color w:val="auto"/>
          <w:szCs w:val="21"/>
          <w:highlight w:val="none"/>
        </w:rPr>
      </w:pPr>
      <w:r>
        <w:rPr>
          <w:rFonts w:hint="eastAsia" w:ascii="宋体" w:hAnsi="宋体" w:cs="仿宋"/>
          <w:color w:val="auto"/>
          <w:szCs w:val="21"/>
          <w:highlight w:val="none"/>
        </w:rPr>
        <w:t>评标参考价=Σ（投标人的投标报价*报价权重）。</w:t>
      </w:r>
    </w:p>
    <w:p>
      <w:pPr>
        <w:pStyle w:val="8"/>
        <w:tabs>
          <w:tab w:val="left" w:pos="7380"/>
        </w:tabs>
        <w:snapToGrid w:val="0"/>
        <w:spacing w:after="0" w:line="360" w:lineRule="auto"/>
        <w:ind w:firstLine="0"/>
        <w:rPr>
          <w:rFonts w:ascii="宋体" w:hAnsi="宋体" w:cs="仿宋"/>
          <w:color w:val="auto"/>
          <w:szCs w:val="21"/>
          <w:highlight w:val="none"/>
        </w:rPr>
      </w:pPr>
      <w:r>
        <w:rPr>
          <w:rFonts w:hint="eastAsia" w:ascii="宋体" w:hAnsi="宋体" w:cs="仿宋"/>
          <w:color w:val="auto"/>
          <w:szCs w:val="21"/>
          <w:highlight w:val="none"/>
        </w:rPr>
        <w:t>其中：报价权重的计算方法为：将N名投标人按技术分由高至低进行排序，第一名投标人的权重为（</w:t>
      </w:r>
      <w:r>
        <w:rPr>
          <w:rFonts w:hint="eastAsia" w:ascii="宋体" w:hAnsi="宋体" w:cs="仿宋"/>
          <w:color w:val="auto"/>
          <w:szCs w:val="21"/>
          <w:highlight w:val="none"/>
        </w:rPr>
        <w:fldChar w:fldCharType="begin"/>
      </w:r>
      <w:r>
        <w:rPr>
          <w:rFonts w:hint="eastAsia" w:ascii="宋体" w:hAnsi="宋体" w:cs="仿宋"/>
          <w:color w:val="auto"/>
          <w:szCs w:val="21"/>
          <w:highlight w:val="none"/>
        </w:rPr>
        <w:instrText xml:space="preserve"> QUOTE </w:instrText>
      </w:r>
      <w:r>
        <w:rPr>
          <w:rFonts w:ascii="宋体" w:hAnsi="宋体"/>
          <w:color w:val="auto"/>
          <w:szCs w:val="21"/>
          <w:highlight w:val="none"/>
        </w:rPr>
        <w:drawing>
          <wp:inline distT="0" distB="0" distL="114300" distR="114300">
            <wp:extent cx="382270" cy="448310"/>
            <wp:effectExtent l="0" t="0" r="17780" b="889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5"/>
                    <a:stretch>
                      <a:fillRect/>
                    </a:stretch>
                  </pic:blipFill>
                  <pic:spPr>
                    <a:xfrm>
                      <a:off x="0" y="0"/>
                      <a:ext cx="382270" cy="448310"/>
                    </a:xfrm>
                    <a:prstGeom prst="rect">
                      <a:avLst/>
                    </a:prstGeom>
                    <a:noFill/>
                    <a:ln>
                      <a:noFill/>
                    </a:ln>
                  </pic:spPr>
                </pic:pic>
              </a:graphicData>
            </a:graphic>
          </wp:inline>
        </w:drawing>
      </w:r>
      <w:r>
        <w:rPr>
          <w:rFonts w:ascii="宋体" w:hAnsi="宋体"/>
          <w:color w:val="auto"/>
          <w:szCs w:val="21"/>
          <w:highlight w:val="none"/>
        </w:rPr>
        <w:instrText xml:space="preserve"> \* MERGEFORMAT </w:instrText>
      </w:r>
      <w:r>
        <w:rPr>
          <w:rFonts w:hint="eastAsia" w:ascii="宋体" w:hAnsi="宋体" w:cs="仿宋"/>
          <w:color w:val="auto"/>
          <w:szCs w:val="21"/>
          <w:highlight w:val="none"/>
        </w:rPr>
        <w:fldChar w:fldCharType="separate"/>
      </w:r>
      <w:r>
        <w:rPr>
          <w:rFonts w:ascii="宋体" w:hAnsi="宋体"/>
          <w:color w:val="auto"/>
          <w:szCs w:val="21"/>
          <w:highlight w:val="none"/>
        </w:rPr>
        <w:drawing>
          <wp:inline distT="0" distB="0" distL="114300" distR="114300">
            <wp:extent cx="382270" cy="448310"/>
            <wp:effectExtent l="0" t="0" r="17780" b="889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a:stretch>
                      <a:fillRect/>
                    </a:stretch>
                  </pic:blipFill>
                  <pic:spPr>
                    <a:xfrm>
                      <a:off x="0" y="0"/>
                      <a:ext cx="382270" cy="448310"/>
                    </a:xfrm>
                    <a:prstGeom prst="rect">
                      <a:avLst/>
                    </a:prstGeom>
                    <a:noFill/>
                    <a:ln>
                      <a:noFill/>
                    </a:ln>
                  </pic:spPr>
                </pic:pic>
              </a:graphicData>
            </a:graphic>
          </wp:inline>
        </w:drawing>
      </w:r>
      <w:r>
        <w:rPr>
          <w:rFonts w:hint="eastAsia" w:ascii="宋体" w:hAnsi="宋体" w:cs="仿宋"/>
          <w:color w:val="auto"/>
          <w:szCs w:val="21"/>
          <w:highlight w:val="none"/>
        </w:rPr>
        <w:fldChar w:fldCharType="end"/>
      </w:r>
      <w:r>
        <w:rPr>
          <w:rFonts w:hint="eastAsia" w:ascii="宋体" w:hAnsi="宋体" w:cs="仿宋"/>
          <w:color w:val="auto"/>
          <w:szCs w:val="21"/>
          <w:highlight w:val="none"/>
        </w:rPr>
        <w:t>），第二名投标人的权重为（</w:t>
      </w:r>
      <w:r>
        <w:rPr>
          <w:rFonts w:hint="eastAsia" w:ascii="宋体" w:hAnsi="宋体" w:cs="仿宋"/>
          <w:color w:val="auto"/>
          <w:szCs w:val="21"/>
          <w:highlight w:val="none"/>
        </w:rPr>
        <w:fldChar w:fldCharType="begin"/>
      </w:r>
      <w:r>
        <w:rPr>
          <w:rFonts w:hint="eastAsia"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0040" cy="394970"/>
            <wp:effectExtent l="0" t="0" r="3810" b="508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6"/>
                    <a:stretch>
                      <a:fillRect/>
                    </a:stretch>
                  </pic:blipFill>
                  <pic:spPr>
                    <a:xfrm>
                      <a:off x="0" y="0"/>
                      <a:ext cx="320040" cy="394970"/>
                    </a:xfrm>
                    <a:prstGeom prst="rect">
                      <a:avLst/>
                    </a:prstGeom>
                    <a:noFill/>
                    <a:ln>
                      <a:noFill/>
                    </a:ln>
                  </pic:spPr>
                </pic:pic>
              </a:graphicData>
            </a:graphic>
          </wp:inline>
        </w:drawing>
      </w:r>
      <w:r>
        <w:rPr>
          <w:rFonts w:ascii="宋体" w:hAnsi="宋体"/>
          <w:color w:val="auto"/>
          <w:position w:val="-23"/>
          <w:szCs w:val="21"/>
          <w:highlight w:val="none"/>
        </w:rPr>
        <w:instrText xml:space="preserve"> \* MERGEFORMAT </w:instrText>
      </w:r>
      <w:r>
        <w:rPr>
          <w:rFonts w:hint="eastAsia"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0040" cy="394970"/>
            <wp:effectExtent l="0" t="0" r="3810" b="508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6"/>
                    <a:stretch>
                      <a:fillRect/>
                    </a:stretch>
                  </pic:blipFill>
                  <pic:spPr>
                    <a:xfrm>
                      <a:off x="0" y="0"/>
                      <a:ext cx="320040" cy="394970"/>
                    </a:xfrm>
                    <a:prstGeom prst="rect">
                      <a:avLst/>
                    </a:prstGeom>
                    <a:noFill/>
                    <a:ln>
                      <a:noFill/>
                    </a:ln>
                  </pic:spPr>
                </pic:pic>
              </a:graphicData>
            </a:graphic>
          </wp:inline>
        </w:drawing>
      </w:r>
      <w:r>
        <w:rPr>
          <w:rFonts w:hint="eastAsia" w:ascii="宋体" w:hAnsi="宋体" w:cs="仿宋"/>
          <w:color w:val="auto"/>
          <w:szCs w:val="21"/>
          <w:highlight w:val="none"/>
        </w:rPr>
        <w:fldChar w:fldCharType="end"/>
      </w:r>
      <w:r>
        <w:rPr>
          <w:rFonts w:hint="eastAsia" w:ascii="宋体" w:hAnsi="宋体" w:cs="仿宋"/>
          <w:color w:val="auto"/>
          <w:szCs w:val="21"/>
          <w:highlight w:val="none"/>
        </w:rPr>
        <w:t>），以此类推，最后一名投标人的权重为（</w:t>
      </w:r>
      <w:r>
        <w:rPr>
          <w:rFonts w:hint="eastAsia" w:ascii="宋体" w:hAnsi="宋体" w:cs="仿宋"/>
          <w:color w:val="auto"/>
          <w:szCs w:val="21"/>
          <w:highlight w:val="none"/>
        </w:rPr>
        <w:fldChar w:fldCharType="begin"/>
      </w:r>
      <w:r>
        <w:rPr>
          <w:rFonts w:hint="eastAsia"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0040" cy="394970"/>
            <wp:effectExtent l="0" t="0" r="3810" b="508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17"/>
                    <a:stretch>
                      <a:fillRect/>
                    </a:stretch>
                  </pic:blipFill>
                  <pic:spPr>
                    <a:xfrm>
                      <a:off x="0" y="0"/>
                      <a:ext cx="320040" cy="394970"/>
                    </a:xfrm>
                    <a:prstGeom prst="rect">
                      <a:avLst/>
                    </a:prstGeom>
                    <a:noFill/>
                    <a:ln>
                      <a:noFill/>
                    </a:ln>
                  </pic:spPr>
                </pic:pic>
              </a:graphicData>
            </a:graphic>
          </wp:inline>
        </w:drawing>
      </w:r>
      <w:r>
        <w:rPr>
          <w:rFonts w:ascii="宋体" w:hAnsi="宋体"/>
          <w:color w:val="auto"/>
          <w:position w:val="-23"/>
          <w:szCs w:val="21"/>
          <w:highlight w:val="none"/>
        </w:rPr>
        <w:instrText xml:space="preserve"> \* MERGEFORMAT </w:instrText>
      </w:r>
      <w:r>
        <w:rPr>
          <w:rFonts w:hint="eastAsia"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0040" cy="394970"/>
            <wp:effectExtent l="0" t="0" r="3810" b="508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7"/>
                    <a:stretch>
                      <a:fillRect/>
                    </a:stretch>
                  </pic:blipFill>
                  <pic:spPr>
                    <a:xfrm>
                      <a:off x="0" y="0"/>
                      <a:ext cx="320040" cy="394970"/>
                    </a:xfrm>
                    <a:prstGeom prst="rect">
                      <a:avLst/>
                    </a:prstGeom>
                    <a:noFill/>
                    <a:ln>
                      <a:noFill/>
                    </a:ln>
                  </pic:spPr>
                </pic:pic>
              </a:graphicData>
            </a:graphic>
          </wp:inline>
        </w:drawing>
      </w:r>
      <w:r>
        <w:rPr>
          <w:rFonts w:hint="eastAsia" w:ascii="宋体" w:hAnsi="宋体" w:cs="仿宋"/>
          <w:color w:val="auto"/>
          <w:szCs w:val="21"/>
          <w:highlight w:val="none"/>
        </w:rPr>
        <w:fldChar w:fldCharType="end"/>
      </w:r>
      <w:r>
        <w:rPr>
          <w:rFonts w:hint="eastAsia" w:ascii="宋体" w:hAnsi="宋体" w:cs="仿宋"/>
          <w:color w:val="auto"/>
          <w:szCs w:val="21"/>
          <w:highlight w:val="none"/>
        </w:rPr>
        <w:t>）。</w:t>
      </w:r>
    </w:p>
    <w:p>
      <w:pPr>
        <w:pStyle w:val="8"/>
        <w:tabs>
          <w:tab w:val="left" w:pos="7380"/>
        </w:tabs>
        <w:snapToGrid w:val="0"/>
        <w:spacing w:after="0" w:line="360" w:lineRule="auto"/>
        <w:ind w:firstLine="422" w:firstLineChars="200"/>
        <w:rPr>
          <w:rFonts w:ascii="宋体" w:hAnsi="宋体"/>
          <w:b/>
          <w:bCs/>
          <w:color w:val="auto"/>
          <w:szCs w:val="21"/>
          <w:highlight w:val="none"/>
        </w:rPr>
      </w:pPr>
      <w:r>
        <w:rPr>
          <w:rFonts w:hint="eastAsia" w:ascii="宋体" w:hAnsi="宋体" w:cs="仿宋"/>
          <w:b/>
          <w:bCs/>
          <w:color w:val="auto"/>
          <w:szCs w:val="21"/>
          <w:highlight w:val="none"/>
        </w:rPr>
        <w:t>方法二：区间抽取法</w:t>
      </w:r>
    </w:p>
    <w:p>
      <w:pPr>
        <w:pStyle w:val="8"/>
        <w:tabs>
          <w:tab w:val="left" w:pos="7380"/>
        </w:tabs>
        <w:snapToGrid w:val="0"/>
        <w:spacing w:after="0" w:line="360" w:lineRule="auto"/>
        <w:rPr>
          <w:rFonts w:ascii="宋体" w:hAnsi="宋体"/>
          <w:color w:val="auto"/>
          <w:szCs w:val="21"/>
          <w:highlight w:val="none"/>
        </w:rPr>
      </w:pPr>
      <w:r>
        <w:rPr>
          <w:rFonts w:hint="eastAsia" w:ascii="宋体" w:hAnsi="宋体" w:cs="仿宋"/>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pStyle w:val="8"/>
        <w:tabs>
          <w:tab w:val="left" w:pos="7380"/>
        </w:tabs>
        <w:snapToGrid w:val="0"/>
        <w:spacing w:after="0" w:line="360" w:lineRule="auto"/>
        <w:ind w:firstLineChars="200"/>
        <w:rPr>
          <w:rFonts w:ascii="宋体" w:hAnsi="宋体"/>
          <w:color w:val="auto"/>
          <w:szCs w:val="21"/>
          <w:highlight w:val="none"/>
          <w:vertAlign w:val="subscript"/>
        </w:rPr>
      </w:pPr>
      <w:r>
        <w:rPr>
          <w:rFonts w:hint="eastAsia" w:ascii="宋体" w:hAnsi="宋体" w:cs="仿宋"/>
          <w:color w:val="auto"/>
          <w:szCs w:val="21"/>
          <w:highlight w:val="none"/>
        </w:rPr>
        <w:t>评标参考价=（Q</w:t>
      </w:r>
      <w:r>
        <w:rPr>
          <w:rFonts w:hint="eastAsia" w:ascii="宋体" w:hAnsi="宋体" w:cs="仿宋"/>
          <w:color w:val="auto"/>
          <w:szCs w:val="21"/>
          <w:highlight w:val="none"/>
          <w:vertAlign w:val="subscript"/>
        </w:rPr>
        <w:t>高</w:t>
      </w:r>
      <w:r>
        <w:rPr>
          <w:rFonts w:hint="eastAsia" w:ascii="宋体" w:hAnsi="宋体" w:cs="仿宋"/>
          <w:color w:val="auto"/>
          <w:szCs w:val="21"/>
          <w:highlight w:val="none"/>
        </w:rPr>
        <w:t>-Q</w:t>
      </w:r>
      <w:r>
        <w:rPr>
          <w:rFonts w:hint="eastAsia" w:ascii="宋体" w:hAnsi="宋体" w:cs="仿宋"/>
          <w:color w:val="auto"/>
          <w:szCs w:val="21"/>
          <w:highlight w:val="none"/>
          <w:vertAlign w:val="subscript"/>
        </w:rPr>
        <w:t>低</w:t>
      </w:r>
      <w:r>
        <w:rPr>
          <w:rFonts w:hint="eastAsia" w:ascii="宋体" w:hAnsi="宋体" w:cs="仿宋"/>
          <w:color w:val="auto"/>
          <w:szCs w:val="21"/>
          <w:highlight w:val="none"/>
        </w:rPr>
        <w:t>）/100*Ｘ+Q</w:t>
      </w:r>
      <w:r>
        <w:rPr>
          <w:rFonts w:hint="eastAsia" w:ascii="宋体" w:hAnsi="宋体" w:cs="仿宋"/>
          <w:color w:val="auto"/>
          <w:szCs w:val="21"/>
          <w:highlight w:val="none"/>
          <w:vertAlign w:val="subscript"/>
        </w:rPr>
        <w:t>低</w:t>
      </w:r>
    </w:p>
    <w:p>
      <w:pPr>
        <w:pStyle w:val="8"/>
        <w:tabs>
          <w:tab w:val="left" w:pos="7380"/>
        </w:tabs>
        <w:snapToGrid w:val="0"/>
        <w:spacing w:after="0" w:line="360" w:lineRule="auto"/>
        <w:rPr>
          <w:rFonts w:ascii="宋体" w:hAnsi="宋体"/>
          <w:color w:val="auto"/>
          <w:szCs w:val="21"/>
          <w:highlight w:val="none"/>
        </w:rPr>
      </w:pPr>
      <w:r>
        <w:rPr>
          <w:rFonts w:hint="eastAsia" w:ascii="宋体" w:hAnsi="宋体" w:cs="仿宋"/>
          <w:color w:val="auto"/>
          <w:szCs w:val="21"/>
          <w:highlight w:val="none"/>
        </w:rPr>
        <w:t>Q</w:t>
      </w:r>
      <w:r>
        <w:rPr>
          <w:rFonts w:hint="eastAsia" w:ascii="宋体" w:hAnsi="宋体" w:cs="仿宋"/>
          <w:color w:val="auto"/>
          <w:szCs w:val="21"/>
          <w:highlight w:val="none"/>
          <w:vertAlign w:val="subscript"/>
        </w:rPr>
        <w:t>低</w:t>
      </w:r>
      <w:r>
        <w:rPr>
          <w:rFonts w:hint="eastAsia" w:ascii="宋体" w:hAnsi="宋体" w:cs="仿宋"/>
          <w:color w:val="auto"/>
          <w:szCs w:val="21"/>
          <w:highlight w:val="none"/>
        </w:rPr>
        <w:t>：为达到或超过技术标及格分数线的投标人最低报价与工程成本警示价两者中的较高值；</w:t>
      </w:r>
    </w:p>
    <w:p>
      <w:pPr>
        <w:pStyle w:val="8"/>
        <w:tabs>
          <w:tab w:val="left" w:pos="7380"/>
        </w:tabs>
        <w:snapToGrid w:val="0"/>
        <w:spacing w:after="0" w:line="360" w:lineRule="auto"/>
        <w:ind w:firstLineChars="200"/>
        <w:rPr>
          <w:rFonts w:ascii="宋体" w:hAnsi="宋体" w:cs="仿宋"/>
          <w:color w:val="auto"/>
          <w:szCs w:val="21"/>
          <w:highlight w:val="none"/>
        </w:rPr>
      </w:pPr>
      <w:r>
        <w:rPr>
          <w:rFonts w:hint="eastAsia" w:ascii="宋体" w:hAnsi="宋体" w:cs="仿宋"/>
          <w:color w:val="auto"/>
          <w:szCs w:val="21"/>
          <w:highlight w:val="none"/>
        </w:rPr>
        <w:t>Q</w:t>
      </w:r>
      <w:r>
        <w:rPr>
          <w:rFonts w:hint="eastAsia" w:ascii="宋体" w:hAnsi="宋体" w:cs="仿宋"/>
          <w:color w:val="auto"/>
          <w:szCs w:val="21"/>
          <w:highlight w:val="none"/>
          <w:vertAlign w:val="subscript"/>
        </w:rPr>
        <w:t>高</w:t>
      </w:r>
      <w:r>
        <w:rPr>
          <w:rFonts w:hint="eastAsia" w:ascii="宋体" w:hAnsi="宋体" w:cs="仿宋"/>
          <w:color w:val="auto"/>
          <w:szCs w:val="21"/>
          <w:highlight w:val="none"/>
        </w:rPr>
        <w:t>：为（最高投标限价*D%）（D的取值范围为[94,100],由招标人自定）</w:t>
      </w:r>
    </w:p>
    <w:p>
      <w:pPr>
        <w:pStyle w:val="8"/>
        <w:tabs>
          <w:tab w:val="left" w:pos="7380"/>
        </w:tabs>
        <w:snapToGrid w:val="0"/>
        <w:spacing w:after="0" w:line="360" w:lineRule="auto"/>
        <w:ind w:firstLineChars="200"/>
        <w:rPr>
          <w:b/>
          <w:color w:val="auto"/>
          <w:szCs w:val="21"/>
          <w:highlight w:val="none"/>
        </w:rPr>
      </w:pPr>
      <w:r>
        <w:rPr>
          <w:rFonts w:hint="eastAsia" w:ascii="宋体" w:hAnsi="宋体" w:cs="仿宋"/>
          <w:color w:val="auto"/>
          <w:szCs w:val="21"/>
          <w:highlight w:val="none"/>
        </w:rPr>
        <w:t>X：为等分点值，在开标前从[0,100]整数中随机抽取。</w:t>
      </w:r>
    </w:p>
    <w:p>
      <w:pPr>
        <w:pStyle w:val="8"/>
        <w:tabs>
          <w:tab w:val="left" w:pos="7380"/>
        </w:tabs>
        <w:snapToGrid w:val="0"/>
        <w:spacing w:after="0" w:line="360" w:lineRule="auto"/>
        <w:rPr>
          <w:rFonts w:hint="eastAsia"/>
          <w:b/>
          <w:color w:val="auto"/>
          <w:szCs w:val="21"/>
          <w:highlight w:val="none"/>
        </w:rPr>
      </w:pPr>
      <w:r>
        <w:rPr>
          <w:rFonts w:hint="eastAsia"/>
          <w:b/>
          <w:color w:val="auto"/>
          <w:szCs w:val="21"/>
          <w:highlight w:val="none"/>
        </w:rPr>
        <w:t>现文：</w:t>
      </w:r>
    </w:p>
    <w:p>
      <w:pPr>
        <w:pStyle w:val="8"/>
        <w:tabs>
          <w:tab w:val="left" w:pos="7380"/>
        </w:tabs>
        <w:snapToGrid w:val="0"/>
        <w:spacing w:after="0" w:line="360" w:lineRule="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45.2按方法一计算评标参考价：</w:t>
      </w:r>
    </w:p>
    <w:p>
      <w:pPr>
        <w:pStyle w:val="8"/>
        <w:tabs>
          <w:tab w:val="left" w:pos="7380"/>
        </w:tabs>
        <w:snapToGrid w:val="0"/>
        <w:spacing w:after="0" w:line="360" w:lineRule="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方法一：加权平均法</w:t>
      </w:r>
    </w:p>
    <w:p>
      <w:pPr>
        <w:pStyle w:val="8"/>
        <w:tabs>
          <w:tab w:val="left" w:pos="7380"/>
        </w:tabs>
        <w:snapToGrid w:val="0"/>
        <w:spacing w:after="0" w:line="360" w:lineRule="auto"/>
        <w:rPr>
          <w:rFonts w:ascii="宋体" w:hAnsi="宋体" w:cs="仿宋"/>
          <w:color w:val="auto"/>
          <w:szCs w:val="21"/>
          <w:highlight w:val="none"/>
        </w:rPr>
      </w:pPr>
      <w:r>
        <w:rPr>
          <w:rFonts w:hint="eastAsia" w:ascii="宋体" w:hAnsi="宋体" w:cs="宋体"/>
          <w:bCs/>
          <w:color w:val="auto"/>
          <w:szCs w:val="21"/>
          <w:highlight w:val="none"/>
          <w:u w:val="single"/>
        </w:rPr>
        <w:t>通过技术标有效性审查的投标人技术标得分前N名（N=5，不足5名时，取所有满足前述条件的投标人数量，如技术标得分相同的，</w:t>
      </w:r>
      <w:r>
        <w:rPr>
          <w:rFonts w:hint="eastAsia" w:ascii="宋体" w:hAnsi="宋体" w:cs="仿宋"/>
          <w:color w:val="auto"/>
          <w:szCs w:val="21"/>
          <w:highlight w:val="none"/>
          <w:u w:val="single"/>
        </w:rPr>
        <w:t>以投标报价较低的排前，</w:t>
      </w:r>
      <w:r>
        <w:rPr>
          <w:rFonts w:hint="eastAsia" w:ascii="宋体" w:hAnsi="宋体"/>
          <w:color w:val="auto"/>
          <w:szCs w:val="21"/>
          <w:highlight w:val="none"/>
          <w:u w:val="single"/>
        </w:rPr>
        <w:t>如仍存在相同情况，则由评标委员会采用记名投票方式，以得票多的优先。</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的经济报价加权平均</w:t>
      </w:r>
      <w:r>
        <w:rPr>
          <w:rFonts w:hint="eastAsia" w:ascii="宋体" w:hAnsi="宋体" w:cs="仿宋"/>
          <w:color w:val="auto"/>
          <w:szCs w:val="21"/>
          <w:highlight w:val="none"/>
        </w:rPr>
        <w:t>，计算评标参考价。公式如下：</w:t>
      </w:r>
    </w:p>
    <w:p>
      <w:pPr>
        <w:pStyle w:val="8"/>
        <w:tabs>
          <w:tab w:val="left" w:pos="7380"/>
        </w:tabs>
        <w:snapToGrid w:val="0"/>
        <w:spacing w:after="0" w:line="360" w:lineRule="auto"/>
        <w:ind w:firstLineChars="200"/>
        <w:rPr>
          <w:rFonts w:ascii="宋体" w:hAnsi="宋体" w:cs="仿宋"/>
          <w:color w:val="auto"/>
          <w:szCs w:val="21"/>
          <w:highlight w:val="none"/>
        </w:rPr>
      </w:pPr>
      <w:r>
        <w:rPr>
          <w:rFonts w:hint="eastAsia" w:ascii="宋体" w:hAnsi="宋体" w:cs="仿宋"/>
          <w:color w:val="auto"/>
          <w:szCs w:val="21"/>
          <w:highlight w:val="none"/>
        </w:rPr>
        <w:t>评标参考价=Σ（投标人的投标报价*报价权重）。</w:t>
      </w:r>
    </w:p>
    <w:p>
      <w:pPr>
        <w:pBdr>
          <w:bottom w:val="single" w:color="auto" w:sz="6" w:space="1"/>
        </w:pBd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其中：报价权重的计算方法为：将N名投标人按技术分由高至低进行排序，第一名投标人的权重为（</w:t>
      </w:r>
      <w:r>
        <w:rPr>
          <w:rFonts w:hint="eastAsia" w:ascii="宋体" w:hAnsi="宋体" w:cs="仿宋"/>
          <w:color w:val="auto"/>
          <w:szCs w:val="21"/>
          <w:highlight w:val="none"/>
        </w:rPr>
        <w:fldChar w:fldCharType="begin"/>
      </w:r>
      <w:r>
        <w:rPr>
          <w:rFonts w:hint="eastAsia" w:ascii="宋体" w:hAnsi="宋体" w:cs="仿宋"/>
          <w:color w:val="auto"/>
          <w:szCs w:val="21"/>
          <w:highlight w:val="none"/>
        </w:rPr>
        <w:instrText xml:space="preserve"> QUOTE </w:instrText>
      </w:r>
      <w:r>
        <w:rPr>
          <w:rFonts w:ascii="宋体" w:hAnsi="宋体"/>
          <w:color w:val="auto"/>
          <w:szCs w:val="21"/>
          <w:highlight w:val="none"/>
        </w:rPr>
        <w:drawing>
          <wp:inline distT="0" distB="0" distL="114300" distR="114300">
            <wp:extent cx="382270" cy="448310"/>
            <wp:effectExtent l="0" t="0" r="17780" b="889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5"/>
                    <a:stretch>
                      <a:fillRect/>
                    </a:stretch>
                  </pic:blipFill>
                  <pic:spPr>
                    <a:xfrm>
                      <a:off x="0" y="0"/>
                      <a:ext cx="382270" cy="448310"/>
                    </a:xfrm>
                    <a:prstGeom prst="rect">
                      <a:avLst/>
                    </a:prstGeom>
                    <a:noFill/>
                    <a:ln>
                      <a:noFill/>
                    </a:ln>
                  </pic:spPr>
                </pic:pic>
              </a:graphicData>
            </a:graphic>
          </wp:inline>
        </w:drawing>
      </w:r>
      <w:r>
        <w:rPr>
          <w:rFonts w:ascii="宋体" w:hAnsi="宋体"/>
          <w:color w:val="auto"/>
          <w:szCs w:val="21"/>
          <w:highlight w:val="none"/>
        </w:rPr>
        <w:instrText xml:space="preserve"> \* MERGEFORMAT </w:instrText>
      </w:r>
      <w:r>
        <w:rPr>
          <w:rFonts w:hint="eastAsia" w:ascii="宋体" w:hAnsi="宋体" w:cs="仿宋"/>
          <w:color w:val="auto"/>
          <w:szCs w:val="21"/>
          <w:highlight w:val="none"/>
        </w:rPr>
        <w:fldChar w:fldCharType="separate"/>
      </w:r>
      <w:r>
        <w:rPr>
          <w:rFonts w:ascii="宋体" w:hAnsi="宋体"/>
          <w:color w:val="auto"/>
          <w:szCs w:val="21"/>
          <w:highlight w:val="none"/>
        </w:rPr>
        <w:drawing>
          <wp:inline distT="0" distB="0" distL="114300" distR="114300">
            <wp:extent cx="382270" cy="448310"/>
            <wp:effectExtent l="0" t="0" r="17780" b="889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15"/>
                    <a:stretch>
                      <a:fillRect/>
                    </a:stretch>
                  </pic:blipFill>
                  <pic:spPr>
                    <a:xfrm>
                      <a:off x="0" y="0"/>
                      <a:ext cx="382270" cy="448310"/>
                    </a:xfrm>
                    <a:prstGeom prst="rect">
                      <a:avLst/>
                    </a:prstGeom>
                    <a:noFill/>
                    <a:ln>
                      <a:noFill/>
                    </a:ln>
                  </pic:spPr>
                </pic:pic>
              </a:graphicData>
            </a:graphic>
          </wp:inline>
        </w:drawing>
      </w:r>
      <w:r>
        <w:rPr>
          <w:rFonts w:hint="eastAsia" w:ascii="宋体" w:hAnsi="宋体" w:cs="仿宋"/>
          <w:color w:val="auto"/>
          <w:szCs w:val="21"/>
          <w:highlight w:val="none"/>
        </w:rPr>
        <w:fldChar w:fldCharType="end"/>
      </w:r>
      <w:r>
        <w:rPr>
          <w:rFonts w:hint="eastAsia" w:ascii="宋体" w:hAnsi="宋体" w:cs="仿宋"/>
          <w:color w:val="auto"/>
          <w:szCs w:val="21"/>
          <w:highlight w:val="none"/>
        </w:rPr>
        <w:t>），第二名投标人的权重为（</w:t>
      </w:r>
      <w:r>
        <w:rPr>
          <w:rFonts w:hint="eastAsia" w:ascii="宋体" w:hAnsi="宋体" w:cs="仿宋"/>
          <w:color w:val="auto"/>
          <w:szCs w:val="21"/>
          <w:highlight w:val="none"/>
        </w:rPr>
        <w:fldChar w:fldCharType="begin"/>
      </w:r>
      <w:r>
        <w:rPr>
          <w:rFonts w:hint="eastAsia"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0040" cy="394970"/>
            <wp:effectExtent l="0" t="0" r="3810" b="508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16"/>
                    <a:stretch>
                      <a:fillRect/>
                    </a:stretch>
                  </pic:blipFill>
                  <pic:spPr>
                    <a:xfrm>
                      <a:off x="0" y="0"/>
                      <a:ext cx="320040" cy="394970"/>
                    </a:xfrm>
                    <a:prstGeom prst="rect">
                      <a:avLst/>
                    </a:prstGeom>
                    <a:noFill/>
                    <a:ln>
                      <a:noFill/>
                    </a:ln>
                  </pic:spPr>
                </pic:pic>
              </a:graphicData>
            </a:graphic>
          </wp:inline>
        </w:drawing>
      </w:r>
      <w:r>
        <w:rPr>
          <w:rFonts w:ascii="宋体" w:hAnsi="宋体"/>
          <w:color w:val="auto"/>
          <w:position w:val="-23"/>
          <w:szCs w:val="21"/>
          <w:highlight w:val="none"/>
        </w:rPr>
        <w:instrText xml:space="preserve"> \* MERGEFORMAT </w:instrText>
      </w:r>
      <w:r>
        <w:rPr>
          <w:rFonts w:hint="eastAsia"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0040" cy="394970"/>
            <wp:effectExtent l="0" t="0" r="3810" b="5080"/>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pic:cNvPicPr>
                      <a:picLocks noChangeAspect="1"/>
                    </pic:cNvPicPr>
                  </pic:nvPicPr>
                  <pic:blipFill>
                    <a:blip r:embed="rId16"/>
                    <a:stretch>
                      <a:fillRect/>
                    </a:stretch>
                  </pic:blipFill>
                  <pic:spPr>
                    <a:xfrm>
                      <a:off x="0" y="0"/>
                      <a:ext cx="320040" cy="394970"/>
                    </a:xfrm>
                    <a:prstGeom prst="rect">
                      <a:avLst/>
                    </a:prstGeom>
                    <a:noFill/>
                    <a:ln>
                      <a:noFill/>
                    </a:ln>
                  </pic:spPr>
                </pic:pic>
              </a:graphicData>
            </a:graphic>
          </wp:inline>
        </w:drawing>
      </w:r>
      <w:r>
        <w:rPr>
          <w:rFonts w:hint="eastAsia" w:ascii="宋体" w:hAnsi="宋体" w:cs="仿宋"/>
          <w:color w:val="auto"/>
          <w:szCs w:val="21"/>
          <w:highlight w:val="none"/>
        </w:rPr>
        <w:fldChar w:fldCharType="end"/>
      </w:r>
      <w:r>
        <w:rPr>
          <w:rFonts w:hint="eastAsia" w:ascii="宋体" w:hAnsi="宋体" w:cs="仿宋"/>
          <w:color w:val="auto"/>
          <w:szCs w:val="21"/>
          <w:highlight w:val="none"/>
        </w:rPr>
        <w:t>），以此类推，最后一名投标人的权重为（</w:t>
      </w:r>
      <w:r>
        <w:rPr>
          <w:rFonts w:hint="eastAsia" w:ascii="宋体" w:hAnsi="宋体" w:cs="仿宋"/>
          <w:color w:val="auto"/>
          <w:szCs w:val="21"/>
          <w:highlight w:val="none"/>
        </w:rPr>
        <w:fldChar w:fldCharType="begin"/>
      </w:r>
      <w:r>
        <w:rPr>
          <w:rFonts w:hint="eastAsia"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0040" cy="394970"/>
            <wp:effectExtent l="0" t="0" r="3810" b="5080"/>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pic:cNvPicPr>
                      <a:picLocks noChangeAspect="1"/>
                    </pic:cNvPicPr>
                  </pic:nvPicPr>
                  <pic:blipFill>
                    <a:blip r:embed="rId17"/>
                    <a:stretch>
                      <a:fillRect/>
                    </a:stretch>
                  </pic:blipFill>
                  <pic:spPr>
                    <a:xfrm>
                      <a:off x="0" y="0"/>
                      <a:ext cx="320040" cy="394970"/>
                    </a:xfrm>
                    <a:prstGeom prst="rect">
                      <a:avLst/>
                    </a:prstGeom>
                    <a:noFill/>
                    <a:ln>
                      <a:noFill/>
                    </a:ln>
                  </pic:spPr>
                </pic:pic>
              </a:graphicData>
            </a:graphic>
          </wp:inline>
        </w:drawing>
      </w:r>
      <w:r>
        <w:rPr>
          <w:rFonts w:ascii="宋体" w:hAnsi="宋体"/>
          <w:color w:val="auto"/>
          <w:position w:val="-23"/>
          <w:szCs w:val="21"/>
          <w:highlight w:val="none"/>
        </w:rPr>
        <w:instrText xml:space="preserve"> \* MERGEFORMAT </w:instrText>
      </w:r>
      <w:r>
        <w:rPr>
          <w:rFonts w:hint="eastAsia"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0040" cy="394970"/>
            <wp:effectExtent l="0" t="0" r="3810" b="5080"/>
            <wp:docPr id="1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pic:cNvPicPr>
                      <a:picLocks noChangeAspect="1"/>
                    </pic:cNvPicPr>
                  </pic:nvPicPr>
                  <pic:blipFill>
                    <a:blip r:embed="rId17"/>
                    <a:stretch>
                      <a:fillRect/>
                    </a:stretch>
                  </pic:blipFill>
                  <pic:spPr>
                    <a:xfrm>
                      <a:off x="0" y="0"/>
                      <a:ext cx="320040" cy="394970"/>
                    </a:xfrm>
                    <a:prstGeom prst="rect">
                      <a:avLst/>
                    </a:prstGeom>
                    <a:noFill/>
                    <a:ln>
                      <a:noFill/>
                    </a:ln>
                  </pic:spPr>
                </pic:pic>
              </a:graphicData>
            </a:graphic>
          </wp:inline>
        </w:drawing>
      </w:r>
      <w:r>
        <w:rPr>
          <w:rFonts w:hint="eastAsia" w:ascii="宋体" w:hAnsi="宋体" w:cs="仿宋"/>
          <w:color w:val="auto"/>
          <w:szCs w:val="21"/>
          <w:highlight w:val="none"/>
        </w:rPr>
        <w:fldChar w:fldCharType="end"/>
      </w:r>
      <w:r>
        <w:rPr>
          <w:rFonts w:hint="eastAsia" w:ascii="宋体" w:hAnsi="宋体" w:cs="仿宋"/>
          <w:color w:val="auto"/>
          <w:szCs w:val="21"/>
          <w:highlight w:val="none"/>
        </w:rPr>
        <w:t>）</w:t>
      </w:r>
      <w:r>
        <w:rPr>
          <w:rFonts w:hint="eastAsia" w:ascii="宋体" w:hAnsi="宋体" w:cs="仿宋"/>
          <w:color w:val="auto"/>
          <w:szCs w:val="21"/>
          <w:highlight w:val="none"/>
          <w:u w:val="single"/>
        </w:rPr>
        <w:t>。</w:t>
      </w:r>
    </w:p>
    <w:p>
      <w:pPr>
        <w:spacing w:line="480" w:lineRule="auto"/>
        <w:ind w:firstLine="422" w:firstLineChars="200"/>
        <w:rPr>
          <w:rFonts w:ascii="宋体" w:hAnsi="宋体"/>
          <w:b/>
          <w:color w:val="auto"/>
          <w:szCs w:val="21"/>
          <w:highlight w:val="none"/>
        </w:rPr>
      </w:pPr>
      <w:r>
        <w:rPr>
          <w:rFonts w:hint="eastAsia" w:ascii="宋体" w:hAnsi="宋体"/>
          <w:b/>
          <w:color w:val="auto"/>
          <w:szCs w:val="21"/>
          <w:highlight w:val="none"/>
        </w:rPr>
        <w:t>条款号：45.3             修改类型：修改</w:t>
      </w:r>
    </w:p>
    <w:p>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s="宋体"/>
          <w:color w:val="auto"/>
          <w:kern w:val="0"/>
          <w:szCs w:val="21"/>
          <w:highlight w:val="none"/>
        </w:rPr>
        <w:t>45.3</w:t>
      </w:r>
      <w:r>
        <w:rPr>
          <w:rFonts w:hint="eastAsia" w:ascii="宋体" w:hAnsi="宋体"/>
          <w:color w:val="auto"/>
          <w:szCs w:val="21"/>
          <w:highlight w:val="none"/>
        </w:rPr>
        <w:t>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422" w:firstLineChars="200"/>
        <w:rPr>
          <w:rFonts w:ascii="宋体"/>
          <w:color w:val="auto"/>
          <w:szCs w:val="21"/>
          <w:highlight w:val="none"/>
        </w:rPr>
      </w:pPr>
      <w:r>
        <w:rPr>
          <w:rFonts w:hint="eastAsia"/>
          <w:b/>
          <w:color w:val="auto"/>
          <w:szCs w:val="21"/>
          <w:highlight w:val="none"/>
        </w:rPr>
        <w:t>现文：</w:t>
      </w:r>
      <w:r>
        <w:rPr>
          <w:rFonts w:hint="eastAsia" w:ascii="宋体" w:hAnsi="宋体"/>
          <w:color w:val="auto"/>
          <w:szCs w:val="21"/>
          <w:highlight w:val="none"/>
        </w:rPr>
        <w:t>45.3当标价等于评标参考价时得100分，标价每高于评标参考价1%，扣</w:t>
      </w:r>
      <w:r>
        <w:rPr>
          <w:rFonts w:hint="eastAsia" w:ascii="宋体" w:hAnsi="宋体"/>
          <w:color w:val="auto"/>
          <w:szCs w:val="21"/>
          <w:highlight w:val="none"/>
          <w:u w:val="single"/>
        </w:rPr>
        <w:t>0.5</w:t>
      </w:r>
      <w:r>
        <w:rPr>
          <w:rFonts w:hint="eastAsia" w:ascii="宋体" w:hAnsi="宋体"/>
          <w:color w:val="auto"/>
          <w:szCs w:val="21"/>
          <w:highlight w:val="none"/>
        </w:rPr>
        <w:t>分，每低于评标参考价1%，扣</w:t>
      </w:r>
      <w:r>
        <w:rPr>
          <w:rFonts w:hint="eastAsia" w:ascii="宋体" w:hAnsi="宋体"/>
          <w:color w:val="auto"/>
          <w:szCs w:val="21"/>
          <w:highlight w:val="none"/>
          <w:u w:val="single"/>
        </w:rPr>
        <w:t>0.3</w:t>
      </w:r>
      <w:r>
        <w:rPr>
          <w:rFonts w:hint="eastAsia" w:ascii="宋体" w:hAnsi="宋体"/>
          <w:color w:val="auto"/>
          <w:szCs w:val="21"/>
          <w:highlight w:val="none"/>
        </w:rPr>
        <w:t>分，扣至0分为止，得出经济分，精确到小数点后两位。</w:t>
      </w:r>
    </w:p>
    <w:p>
      <w:pPr>
        <w:spacing w:line="480" w:lineRule="auto"/>
        <w:ind w:firstLine="422" w:firstLineChars="200"/>
        <w:rPr>
          <w:rFonts w:ascii="宋体" w:hAnsi="宋体"/>
          <w:b/>
          <w:color w:val="auto"/>
          <w:szCs w:val="21"/>
          <w:highlight w:val="none"/>
        </w:rPr>
      </w:pPr>
      <w:r>
        <w:rPr>
          <w:rFonts w:hint="eastAsia" w:ascii="宋体" w:hAnsi="宋体"/>
          <w:b/>
          <w:color w:val="auto"/>
          <w:szCs w:val="21"/>
          <w:highlight w:val="none"/>
        </w:rPr>
        <w:t>条款号：45.4             修改类型：修改</w:t>
      </w:r>
    </w:p>
    <w:p>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s="宋体"/>
          <w:color w:val="auto"/>
          <w:kern w:val="0"/>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422" w:firstLineChars="200"/>
        <w:rPr>
          <w:rFonts w:ascii="宋体"/>
          <w:color w:val="auto"/>
          <w:szCs w:val="21"/>
          <w:highlight w:val="none"/>
          <w:u w:val="single"/>
        </w:rPr>
      </w:pPr>
      <w:r>
        <w:rPr>
          <w:rFonts w:hint="eastAsia"/>
          <w:b/>
          <w:color w:val="auto"/>
          <w:szCs w:val="21"/>
          <w:highlight w:val="none"/>
        </w:rPr>
        <w:t>现文：</w:t>
      </w:r>
      <w:r>
        <w:rPr>
          <w:rFonts w:hint="eastAsia" w:ascii="宋体" w:hAnsi="宋体"/>
          <w:color w:val="auto"/>
          <w:szCs w:val="21"/>
          <w:highlight w:val="none"/>
        </w:rPr>
        <w:t>45.4计算通过技术标有效性审查的投标人总得分。</w:t>
      </w:r>
      <w:r>
        <w:rPr>
          <w:rFonts w:hint="eastAsia" w:ascii="宋体" w:hAnsi="宋体"/>
          <w:color w:val="auto"/>
          <w:szCs w:val="21"/>
          <w:highlight w:val="none"/>
          <w:u w:val="single"/>
        </w:rPr>
        <w:t>投标人总得分=技术得分×技术得分权重(20%)＋经济得分×经济得分权重(80%)。</w:t>
      </w:r>
      <w:r>
        <w:rPr>
          <w:rFonts w:hint="eastAsia" w:ascii="宋体" w:hAnsi="宋体"/>
          <w:color w:val="auto"/>
          <w:szCs w:val="21"/>
          <w:highlight w:val="none"/>
        </w:rPr>
        <w:t>技术、经济得分权重按投标须知前附表的规定执行。总得分四舍五入保留两位小数。</w:t>
      </w:r>
      <w:r>
        <w:rPr>
          <w:rFonts w:hint="eastAsia" w:ascii="宋体" w:hAnsi="宋体"/>
          <w:color w:val="auto"/>
          <w:szCs w:val="21"/>
          <w:highlight w:val="none"/>
          <w:u w:val="single"/>
        </w:rPr>
        <w:t>总得分相同的，</w:t>
      </w:r>
      <w:r>
        <w:rPr>
          <w:rFonts w:hint="eastAsia" w:ascii="宋体" w:hAnsi="宋体" w:cs="仿宋"/>
          <w:color w:val="auto"/>
          <w:szCs w:val="21"/>
          <w:highlight w:val="none"/>
          <w:u w:val="single"/>
        </w:rPr>
        <w:t>以投标报价较低的排前</w:t>
      </w:r>
      <w:r>
        <w:rPr>
          <w:rFonts w:hint="eastAsia" w:ascii="宋体" w:hAnsi="宋体"/>
          <w:color w:val="auto"/>
          <w:szCs w:val="21"/>
          <w:highlight w:val="none"/>
          <w:u w:val="single"/>
        </w:rPr>
        <w:t>；总得分及</w:t>
      </w:r>
      <w:r>
        <w:rPr>
          <w:rFonts w:hint="eastAsia" w:ascii="宋体" w:hAnsi="宋体" w:cs="仿宋"/>
          <w:color w:val="auto"/>
          <w:szCs w:val="21"/>
          <w:highlight w:val="none"/>
          <w:u w:val="single"/>
        </w:rPr>
        <w:t>投标报价</w:t>
      </w:r>
      <w:r>
        <w:rPr>
          <w:rFonts w:hint="eastAsia" w:ascii="宋体" w:hAnsi="宋体"/>
          <w:color w:val="auto"/>
          <w:szCs w:val="21"/>
          <w:highlight w:val="none"/>
          <w:u w:val="single"/>
        </w:rPr>
        <w:t>均相同的，以技术分较高的排前；如仍存在相同情况，则由评标委员会采用记名投票方式，以得票多的优先。</w:t>
      </w:r>
    </w:p>
    <w:p>
      <w:pPr>
        <w:spacing w:line="360" w:lineRule="auto"/>
        <w:ind w:firstLine="422" w:firstLineChars="200"/>
        <w:rPr>
          <w:b/>
          <w:color w:val="auto"/>
          <w:szCs w:val="21"/>
          <w:highlight w:val="none"/>
        </w:rPr>
      </w:pPr>
      <w:r>
        <w:rPr>
          <w:rFonts w:hint="eastAsia"/>
          <w:b/>
          <w:color w:val="auto"/>
          <w:szCs w:val="21"/>
          <w:highlight w:val="none"/>
        </w:rPr>
        <w:t>条款号：附表一</w:t>
      </w:r>
      <w:r>
        <w:rPr>
          <w:b/>
          <w:color w:val="auto"/>
          <w:szCs w:val="21"/>
          <w:highlight w:val="none"/>
        </w:rPr>
        <w:t xml:space="preserve"> </w:t>
      </w:r>
      <w:r>
        <w:rPr>
          <w:rFonts w:hint="eastAsia"/>
          <w:b/>
          <w:color w:val="auto"/>
          <w:szCs w:val="21"/>
          <w:highlight w:val="none"/>
        </w:rPr>
        <w:t>《资格审查表》</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b/>
          <w:color w:val="auto"/>
          <w:szCs w:val="21"/>
          <w:highlight w:val="none"/>
        </w:rPr>
      </w:pPr>
      <w:r>
        <w:rPr>
          <w:rFonts w:hint="eastAsia"/>
          <w:b/>
          <w:color w:val="auto"/>
          <w:szCs w:val="21"/>
          <w:highlight w:val="none"/>
        </w:rPr>
        <w:t>原文：</w:t>
      </w:r>
      <w:r>
        <w:rPr>
          <w:rFonts w:hint="eastAsia"/>
          <w:color w:val="auto"/>
          <w:szCs w:val="21"/>
          <w:highlight w:val="none"/>
        </w:rPr>
        <w:t>见范本</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color w:val="auto"/>
          <w:szCs w:val="21"/>
          <w:highlight w:val="none"/>
        </w:rPr>
        <w:t>见后附（现文：附表一《资格审查表》）</w:t>
      </w:r>
    </w:p>
    <w:p>
      <w:pPr>
        <w:spacing w:line="360" w:lineRule="auto"/>
        <w:ind w:firstLine="422" w:firstLineChars="200"/>
        <w:rPr>
          <w:b/>
          <w:color w:val="auto"/>
          <w:szCs w:val="21"/>
          <w:highlight w:val="none"/>
        </w:rPr>
      </w:pPr>
      <w:r>
        <w:rPr>
          <w:rFonts w:hint="eastAsia"/>
          <w:b/>
          <w:color w:val="auto"/>
          <w:szCs w:val="21"/>
          <w:highlight w:val="none"/>
        </w:rPr>
        <w:t xml:space="preserve">条款号：附表二 《技术标有效性审查表》 </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422" w:firstLineChars="200"/>
        <w:rPr>
          <w:color w:val="auto"/>
          <w:szCs w:val="21"/>
          <w:highlight w:val="none"/>
        </w:rPr>
      </w:pPr>
      <w:r>
        <w:rPr>
          <w:rFonts w:hint="eastAsia"/>
          <w:b/>
          <w:color w:val="auto"/>
          <w:szCs w:val="21"/>
          <w:highlight w:val="none"/>
        </w:rPr>
        <w:t>原文：</w:t>
      </w:r>
      <w:r>
        <w:rPr>
          <w:rFonts w:hint="eastAsia"/>
          <w:color w:val="auto"/>
          <w:szCs w:val="21"/>
          <w:highlight w:val="none"/>
        </w:rPr>
        <w:t>见范本</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color w:val="auto"/>
          <w:szCs w:val="21"/>
          <w:highlight w:val="none"/>
        </w:rPr>
        <w:t>见后附（现文：附表二《技术标有效性审查表》）</w:t>
      </w:r>
    </w:p>
    <w:p>
      <w:pPr>
        <w:spacing w:line="360" w:lineRule="auto"/>
        <w:ind w:firstLine="422" w:firstLineChars="200"/>
        <w:rPr>
          <w:b/>
          <w:color w:val="auto"/>
          <w:szCs w:val="21"/>
          <w:highlight w:val="none"/>
        </w:rPr>
      </w:pPr>
      <w:r>
        <w:rPr>
          <w:rFonts w:hint="eastAsia"/>
          <w:b/>
          <w:color w:val="auto"/>
          <w:szCs w:val="21"/>
          <w:highlight w:val="none"/>
        </w:rPr>
        <w:t xml:space="preserve">条款号：附表三 《经济标有效性审查表》 </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b/>
          <w:color w:val="auto"/>
          <w:szCs w:val="21"/>
          <w:highlight w:val="none"/>
        </w:rPr>
      </w:pPr>
      <w:r>
        <w:rPr>
          <w:rFonts w:hint="eastAsia"/>
          <w:b/>
          <w:color w:val="auto"/>
          <w:szCs w:val="21"/>
          <w:highlight w:val="none"/>
        </w:rPr>
        <w:t>原文：</w:t>
      </w:r>
      <w:r>
        <w:rPr>
          <w:rFonts w:hint="eastAsia"/>
          <w:color w:val="auto"/>
          <w:szCs w:val="21"/>
          <w:highlight w:val="none"/>
        </w:rPr>
        <w:t>见范本</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color w:val="auto"/>
          <w:szCs w:val="21"/>
          <w:highlight w:val="none"/>
        </w:rPr>
        <w:t>见后附（现文：附表三《经济标有效性审查表》）</w:t>
      </w:r>
    </w:p>
    <w:p>
      <w:pPr>
        <w:spacing w:line="360" w:lineRule="auto"/>
        <w:ind w:firstLine="422" w:firstLineChars="200"/>
        <w:rPr>
          <w:b/>
          <w:color w:val="auto"/>
          <w:szCs w:val="21"/>
          <w:highlight w:val="none"/>
        </w:rPr>
      </w:pPr>
      <w:r>
        <w:rPr>
          <w:rFonts w:hint="eastAsia"/>
          <w:b/>
          <w:color w:val="auto"/>
          <w:szCs w:val="21"/>
          <w:highlight w:val="none"/>
        </w:rPr>
        <w:t xml:space="preserve">条款号：附表四《技术标详细审查评分表》 </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b/>
          <w:color w:val="auto"/>
          <w:szCs w:val="21"/>
          <w:highlight w:val="none"/>
        </w:rPr>
      </w:pPr>
      <w:r>
        <w:rPr>
          <w:rFonts w:hint="eastAsia"/>
          <w:b/>
          <w:color w:val="auto"/>
          <w:szCs w:val="21"/>
          <w:highlight w:val="none"/>
        </w:rPr>
        <w:t>原文：</w:t>
      </w:r>
      <w:r>
        <w:rPr>
          <w:rFonts w:hint="eastAsia"/>
          <w:color w:val="auto"/>
          <w:szCs w:val="21"/>
          <w:highlight w:val="none"/>
        </w:rPr>
        <w:t>见范本</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color w:val="auto"/>
          <w:szCs w:val="21"/>
          <w:highlight w:val="none"/>
        </w:rPr>
        <w:t>见后附（现文：附表四《技术标详细审查评分表》）</w:t>
      </w:r>
    </w:p>
    <w:p>
      <w:pPr>
        <w:spacing w:line="360" w:lineRule="auto"/>
        <w:ind w:firstLine="472" w:firstLineChars="224"/>
        <w:rPr>
          <w:b/>
          <w:color w:val="auto"/>
          <w:szCs w:val="21"/>
          <w:highlight w:val="none"/>
        </w:rPr>
      </w:pPr>
      <w:r>
        <w:rPr>
          <w:rFonts w:hint="eastAsia"/>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spacing w:line="360" w:lineRule="auto"/>
        <w:ind w:firstLine="420"/>
        <w:rPr>
          <w:color w:val="auto"/>
          <w:kern w:val="0"/>
          <w:sz w:val="20"/>
          <w:szCs w:val="20"/>
          <w:highlight w:val="none"/>
        </w:rPr>
      </w:pPr>
      <w:r>
        <w:rPr>
          <w:color w:val="auto"/>
          <w:kern w:val="0"/>
          <w:sz w:val="20"/>
          <w:szCs w:val="20"/>
          <w:highlight w:val="none"/>
        </w:rPr>
        <w:br w:type="page"/>
      </w:r>
    </w:p>
    <w:p>
      <w:pPr>
        <w:keepNext/>
        <w:keepLines/>
        <w:spacing w:before="120" w:after="120" w:line="412" w:lineRule="auto"/>
        <w:ind w:left="454" w:firstLine="525"/>
        <w:jc w:val="center"/>
        <w:outlineLvl w:val="1"/>
        <w:rPr>
          <w:b/>
          <w:color w:val="auto"/>
          <w:kern w:val="0"/>
          <w:sz w:val="24"/>
          <w:szCs w:val="30"/>
          <w:highlight w:val="none"/>
        </w:rPr>
      </w:pPr>
      <w:bookmarkStart w:id="44" w:name="_Toc40024382"/>
      <w:bookmarkStart w:id="45" w:name="_Toc9700"/>
      <w:bookmarkStart w:id="46" w:name="_Toc25724"/>
      <w:bookmarkStart w:id="47" w:name="_Toc2272556"/>
      <w:bookmarkStart w:id="48" w:name="_Toc62056025"/>
      <w:r>
        <w:rPr>
          <w:rFonts w:hint="eastAsia"/>
          <w:b/>
          <w:color w:val="auto"/>
          <w:kern w:val="0"/>
          <w:sz w:val="24"/>
          <w:szCs w:val="24"/>
          <w:highlight w:val="none"/>
        </w:rPr>
        <w:t>二、开标、评标及定标办法</w:t>
      </w:r>
      <w:r>
        <w:rPr>
          <w:rFonts w:hint="eastAsia"/>
          <w:b/>
          <w:color w:val="auto"/>
          <w:kern w:val="0"/>
          <w:sz w:val="24"/>
          <w:szCs w:val="30"/>
          <w:highlight w:val="none"/>
        </w:rPr>
        <w:t>通用条款（详见范本）</w:t>
      </w:r>
      <w:bookmarkEnd w:id="44"/>
      <w:bookmarkEnd w:id="45"/>
      <w:bookmarkEnd w:id="46"/>
    </w:p>
    <w:p>
      <w:pPr>
        <w:pStyle w:val="5"/>
        <w:spacing w:before="156" w:after="156"/>
        <w:ind w:firstLine="540" w:firstLineChars="200"/>
        <w:rPr>
          <w:color w:val="auto"/>
          <w:highlight w:val="none"/>
        </w:rPr>
      </w:pPr>
      <w:bookmarkStart w:id="49" w:name="_Toc31246"/>
      <w:bookmarkStart w:id="50" w:name="_Toc21525501"/>
      <w:bookmarkStart w:id="51" w:name="_Toc27802"/>
      <w:r>
        <w:rPr>
          <w:rFonts w:hint="eastAsia"/>
          <w:color w:val="auto"/>
          <w:highlight w:val="none"/>
        </w:rPr>
        <w:t>（一）总则</w:t>
      </w:r>
      <w:bookmarkEnd w:id="49"/>
      <w:bookmarkEnd w:id="50"/>
      <w:bookmarkEnd w:id="51"/>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《广东省加强建设工程招标投标监督管理的若干规定》（粤发[2004]4号）；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8《广州市工程建设项目招标投标管理办法》（穗府办规〔2017〕5号）。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35.9本项目招标文件。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36.1 </w:t>
      </w:r>
      <w:r>
        <w:rPr>
          <w:rFonts w:hint="eastAsia" w:ascii="宋体" w:hAnsi="宋体"/>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36.5.1在投标截止时间后半小时内，投标人通过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36.5.2备用光盘的读取按投标须知前附表第36项的规定执行；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36.5.4开标结束。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w:t>
      </w:r>
      <w:r>
        <w:rPr>
          <w:rFonts w:hint="eastAsia" w:ascii="宋体" w:hAnsi="宋体"/>
          <w:color w:val="auto"/>
          <w:sz w:val="24"/>
          <w:szCs w:val="24"/>
          <w:highlight w:val="none"/>
        </w:rPr>
        <w:t>评标委员会的职责及守则：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37.2.2</w:t>
      </w:r>
      <w:r>
        <w:rPr>
          <w:rFonts w:hint="eastAsia" w:ascii="宋体" w:hAnsi="宋体"/>
          <w:color w:val="auto"/>
          <w:sz w:val="24"/>
          <w:szCs w:val="24"/>
          <w:highlight w:val="none"/>
        </w:rPr>
        <w:t>向招标人报告评审意见，推荐合格的中标候选人。</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37.2.3</w:t>
      </w:r>
      <w:r>
        <w:rPr>
          <w:rFonts w:ascii="宋体" w:hAnsi="宋体"/>
          <w:b/>
          <w:bCs/>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37.2.4</w:t>
      </w:r>
      <w:r>
        <w:rPr>
          <w:rFonts w:hint="eastAsia" w:ascii="宋体" w:hAnsi="宋体"/>
          <w:color w:val="auto"/>
          <w:sz w:val="24"/>
          <w:szCs w:val="24"/>
          <w:highlight w:val="none"/>
        </w:rPr>
        <w:t>全体参与评标人员：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37.2.4.1 </w:t>
      </w:r>
      <w:r>
        <w:rPr>
          <w:rFonts w:hint="eastAsia" w:ascii="宋体" w:hAnsi="宋体"/>
          <w:color w:val="auto"/>
          <w:sz w:val="24"/>
          <w:szCs w:val="24"/>
          <w:highlight w:val="none"/>
        </w:rPr>
        <w:t>必须遵守评标纪律、不得泄密；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37.2.4.2 </w:t>
      </w:r>
      <w:r>
        <w:rPr>
          <w:rFonts w:hint="eastAsia" w:ascii="宋体" w:hAnsi="宋体"/>
          <w:color w:val="auto"/>
          <w:sz w:val="24"/>
          <w:szCs w:val="24"/>
          <w:highlight w:val="none"/>
        </w:rPr>
        <w:t>必须公正、不得循私；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37.2.4.3 </w:t>
      </w:r>
      <w:r>
        <w:rPr>
          <w:rFonts w:hint="eastAsia" w:ascii="宋体" w:hAnsi="宋体"/>
          <w:color w:val="auto"/>
          <w:sz w:val="24"/>
          <w:szCs w:val="24"/>
          <w:highlight w:val="none"/>
        </w:rPr>
        <w:t>必须科学、不得草率；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37.2.4.4 </w:t>
      </w:r>
      <w:r>
        <w:rPr>
          <w:rFonts w:hint="eastAsia" w:ascii="宋体" w:hAnsi="宋体"/>
          <w:color w:val="auto"/>
          <w:sz w:val="24"/>
          <w:szCs w:val="24"/>
          <w:highlight w:val="none"/>
        </w:rPr>
        <w:t>必须客观、不得带有成见；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37.2.4.5 </w:t>
      </w:r>
      <w:r>
        <w:rPr>
          <w:rFonts w:hint="eastAsia" w:ascii="宋体" w:hAnsi="宋体"/>
          <w:color w:val="auto"/>
          <w:sz w:val="24"/>
          <w:szCs w:val="24"/>
          <w:highlight w:val="none"/>
        </w:rPr>
        <w:t>必须平等、不得强加于人；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37.2.4.6 </w:t>
      </w:r>
      <w:r>
        <w:rPr>
          <w:rFonts w:hint="eastAsia" w:ascii="宋体" w:hAnsi="宋体"/>
          <w:color w:val="auto"/>
          <w:sz w:val="24"/>
          <w:szCs w:val="24"/>
          <w:highlight w:val="none"/>
        </w:rPr>
        <w:t>必须严谨、不得随意马虎。</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37.3 </w:t>
      </w:r>
      <w:r>
        <w:rPr>
          <w:rFonts w:hint="eastAsia" w:ascii="宋体" w:hAnsi="宋体"/>
          <w:color w:val="auto"/>
          <w:sz w:val="24"/>
          <w:szCs w:val="24"/>
          <w:highlight w:val="none"/>
        </w:rPr>
        <w:t>评标结束后，评标委员会递交评标报告并依法推荐中标候选人。</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5"/>
        <w:spacing w:before="156" w:after="156"/>
        <w:ind w:firstLine="540" w:firstLineChars="200"/>
        <w:rPr>
          <w:color w:val="auto"/>
          <w:highlight w:val="none"/>
        </w:rPr>
      </w:pPr>
      <w:bookmarkStart w:id="52" w:name="_Toc21525502"/>
      <w:bookmarkStart w:id="53" w:name="_Toc5146"/>
      <w:bookmarkStart w:id="54" w:name="_Toc19046"/>
      <w:r>
        <w:rPr>
          <w:rFonts w:hint="eastAsia"/>
          <w:color w:val="auto"/>
          <w:highlight w:val="none"/>
        </w:rPr>
        <w:t>（二）开标评标办法程序和细则</w:t>
      </w:r>
      <w:bookmarkEnd w:id="52"/>
      <w:bookmarkEnd w:id="53"/>
      <w:bookmarkEnd w:id="54"/>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注：以下七种评标办法所述企业综合诚信评价分数即投标截止当日广州市工程招标代理行业协会网站上公布的企业综合诚信评价</w:t>
      </w:r>
      <w:r>
        <w:rPr>
          <w:rFonts w:ascii="宋体" w:hAnsi="宋体"/>
          <w:color w:val="auto"/>
          <w:sz w:val="24"/>
          <w:szCs w:val="24"/>
          <w:highlight w:val="none"/>
        </w:rPr>
        <w:t>60</w:t>
      </w:r>
      <w:r>
        <w:rPr>
          <w:rFonts w:hint="eastAsia" w:ascii="宋体" w:hAnsi="宋体"/>
          <w:color w:val="auto"/>
          <w:sz w:val="24"/>
          <w:szCs w:val="24"/>
          <w:highlight w:val="none"/>
        </w:rPr>
        <w:t>日诚信分。</w:t>
      </w:r>
    </w:p>
    <w:p>
      <w:pPr>
        <w:pStyle w:val="5"/>
        <w:spacing w:before="156" w:after="156"/>
        <w:ind w:firstLine="540" w:firstLineChars="200"/>
        <w:rPr>
          <w:color w:val="auto"/>
          <w:highlight w:val="none"/>
        </w:rPr>
      </w:pPr>
      <w:bookmarkStart w:id="55" w:name="_Toc31613"/>
      <w:bookmarkStart w:id="56" w:name="_Toc4811"/>
      <w:bookmarkStart w:id="57" w:name="_Toc21525509"/>
      <w:r>
        <w:rPr>
          <w:rFonts w:hint="eastAsia"/>
          <w:color w:val="auto"/>
          <w:highlight w:val="none"/>
        </w:rPr>
        <w:t>可选办法七（适合综合评分法四，技术标与经济标同时开启）</w:t>
      </w:r>
      <w:bookmarkEnd w:id="55"/>
      <w:bookmarkEnd w:id="56"/>
      <w:bookmarkEnd w:id="57"/>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40.1技术标（含资格审查文件）与经济标投标文件同时公开开标；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40.2由评标委员会对所有已公开开标的投标人进行资格审查；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40.3技术标投标文件有效性审查；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40.4技术标详细审查评分；</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40.5经济标详细审查评分；</w:t>
      </w:r>
      <w:r>
        <w:rPr>
          <w:rFonts w:ascii="宋体"/>
          <w:color w:val="auto"/>
          <w:sz w:val="24"/>
          <w:szCs w:val="24"/>
          <w:highlight w:val="none"/>
        </w:rPr>
        <w:t xml:space="preserve">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40.6评标委员会按照投标人总得分由高至低排序；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40.7经济标投标文件有效性审查；</w:t>
      </w:r>
    </w:p>
    <w:p>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41.1开标由招标人主持；</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41.2.1投标截止期前，各投标人递交投标文件（包括技术标投标文件、经济标投标文件）至</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交易平台。有关投标文件提交的事项详见第一章投标须知。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41.2.2开标前，首先由招标人随机抽取确定该工程计算评标参考价的等分点值X。</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41.2.4.1开标时，公布：a、投标人名称；b、</w:t>
      </w:r>
      <w:r>
        <w:rPr>
          <w:rFonts w:hint="eastAsia" w:ascii="宋体" w:hAnsi="宋体"/>
          <w:color w:val="auto"/>
          <w:sz w:val="24"/>
          <w:highlight w:val="none"/>
        </w:rPr>
        <w:t>投标文件</w:t>
      </w:r>
      <w:r>
        <w:rPr>
          <w:rFonts w:hint="eastAsia" w:asci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41.3招标人对开标过程进行记录，并存档备查，投标人在技术标开标记录上签字。</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pPr>
        <w:pStyle w:val="8"/>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pPr>
        <w:pStyle w:val="8"/>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pPr>
        <w:pStyle w:val="8"/>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42.2评标委员会的组成：方式</w:t>
      </w:r>
      <w:r>
        <w:rPr>
          <w:rFonts w:hint="eastAsia" w:ascii="宋体"/>
          <w:color w:val="auto"/>
          <w:sz w:val="24"/>
          <w:szCs w:val="24"/>
          <w:highlight w:val="none"/>
          <w:u w:val="single"/>
        </w:rPr>
        <w:t xml:space="preserve">   </w:t>
      </w:r>
      <w:r>
        <w:rPr>
          <w:rFonts w:hint="eastAsia" w:ascii="宋体"/>
          <w:color w:val="auto"/>
          <w:sz w:val="24"/>
          <w:szCs w:val="24"/>
          <w:highlight w:val="none"/>
        </w:rPr>
        <w:t>。</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方式一：评标委员会为综合评标委员会，负责资格审查及评标工作。</w:t>
      </w:r>
    </w:p>
    <w:p>
      <w:pPr>
        <w:pStyle w:val="8"/>
        <w:tabs>
          <w:tab w:val="left" w:pos="7380"/>
        </w:tabs>
        <w:snapToGrid w:val="0"/>
        <w:spacing w:after="0" w:line="360" w:lineRule="auto"/>
        <w:rPr>
          <w:rFonts w:ascii="宋体"/>
          <w:color w:val="auto"/>
          <w:sz w:val="24"/>
          <w:szCs w:val="24"/>
          <w:highlight w:val="none"/>
        </w:rPr>
      </w:pPr>
      <w:r>
        <w:rPr>
          <w:rFonts w:hint="eastAsia" w:ascii="宋体"/>
          <w:color w:val="auto"/>
          <w:sz w:val="24"/>
          <w:szCs w:val="24"/>
          <w:highlight w:val="none"/>
        </w:rPr>
        <w:t>方式二：评标委员会由技术评审组和经济评审组组成。其中：资格审查及技术评审由技术评标组负责，经济评审由经济评审组负责。</w:t>
      </w:r>
    </w:p>
    <w:p>
      <w:pPr>
        <w:pStyle w:val="8"/>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pPr>
        <w:pStyle w:val="8"/>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8"/>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pPr>
        <w:pStyle w:val="8"/>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pPr>
        <w:pStyle w:val="8"/>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8"/>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pPr>
        <w:pStyle w:val="8"/>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43.6资格审查合格的投标人少于3名的（当N个标段同时招标且不允许兼中时，资格审查合格的投标人少于N+2名），则本项目招标失败。</w:t>
      </w:r>
    </w:p>
    <w:p>
      <w:pPr>
        <w:pStyle w:val="8"/>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pPr>
        <w:pStyle w:val="8"/>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8"/>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8"/>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45．经济标评审和得分汇总</w:t>
      </w:r>
    </w:p>
    <w:p>
      <w:pPr>
        <w:pStyle w:val="8"/>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45.1若通过技术标有效性审查的投标人中所有投标报价均大于等于最高投标限价*D%（D的取值范围为[94,100],由招标人自主确定）的（具体金额为：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元），则本项目招标失败，由招标人依法重新招标。</w:t>
      </w:r>
    </w:p>
    <w:p>
      <w:pPr>
        <w:pStyle w:val="8"/>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 xml:space="preserve"> 45.2按方法</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计算评标参考价：</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技术标或技术标加诚信得分（具体由招标人自定）前</w:t>
      </w:r>
      <w:r>
        <w:rPr>
          <w:rFonts w:ascii="宋体" w:hAnsi="宋体" w:cs="仿宋"/>
          <w:color w:val="auto"/>
          <w:sz w:val="24"/>
          <w:szCs w:val="24"/>
          <w:highlight w:val="none"/>
        </w:rPr>
        <w:t>N</w:t>
      </w:r>
      <w:r>
        <w:rPr>
          <w:rFonts w:hint="eastAsia" w:ascii="宋体" w:hAnsi="宋体" w:cs="仿宋"/>
          <w:color w:val="auto"/>
          <w:sz w:val="24"/>
          <w:szCs w:val="24"/>
          <w:highlight w:val="none"/>
        </w:rPr>
        <w:t>名（N≥5，具体由招标人自定）的经济报价加权平均，计算评标参考价。公式如下：</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114300" distR="114300">
            <wp:extent cx="382270" cy="447040"/>
            <wp:effectExtent l="0" t="0" r="17780" b="1016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5"/>
                    <a:stretch>
                      <a:fillRect/>
                    </a:stretch>
                  </pic:blipFill>
                  <pic:spPr>
                    <a:xfrm>
                      <a:off x="0" y="0"/>
                      <a:ext cx="382270" cy="447040"/>
                    </a:xfrm>
                    <a:prstGeom prst="rect">
                      <a:avLst/>
                    </a:prstGeom>
                    <a:noFill/>
                    <a:ln>
                      <a:noFill/>
                    </a:ln>
                  </pic:spPr>
                </pic:pic>
              </a:graphicData>
            </a:graphic>
          </wp:inline>
        </w:drawing>
      </w:r>
      <w:r>
        <w:rPr>
          <w:rFonts w:ascii="宋体" w:hAnsi="宋体"/>
          <w:color w:val="auto"/>
          <w:sz w:val="24"/>
          <w:szCs w:val="24"/>
          <w:highlight w:val="none"/>
        </w:rPr>
        <w:instrText xml:space="preserve"> \* MERGEFORMAT </w:instrText>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114300" distR="114300">
            <wp:extent cx="382270" cy="447040"/>
            <wp:effectExtent l="0" t="0" r="17780" b="1016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5"/>
                    <a:stretch>
                      <a:fillRect/>
                    </a:stretch>
                  </pic:blipFill>
                  <pic:spPr>
                    <a:xfrm>
                      <a:off x="0" y="0"/>
                      <a:ext cx="382270" cy="44704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114300" distR="114300">
            <wp:extent cx="323850" cy="401955"/>
            <wp:effectExtent l="0" t="0" r="0" b="17145"/>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6"/>
                    <a:stretch>
                      <a:fillRect/>
                    </a:stretch>
                  </pic:blipFill>
                  <pic:spPr>
                    <a:xfrm>
                      <a:off x="0" y="0"/>
                      <a:ext cx="323850" cy="401955"/>
                    </a:xfrm>
                    <a:prstGeom prst="rect">
                      <a:avLst/>
                    </a:prstGeom>
                    <a:noFill/>
                    <a:ln>
                      <a:noFill/>
                    </a:ln>
                  </pic:spPr>
                </pic:pic>
              </a:graphicData>
            </a:graphic>
          </wp:inline>
        </w:drawing>
      </w:r>
      <w:r>
        <w:rPr>
          <w:rFonts w:ascii="宋体" w:hAnsi="宋体"/>
          <w:color w:val="auto"/>
          <w:position w:val="-23"/>
          <w:sz w:val="24"/>
          <w:szCs w:val="24"/>
          <w:highlight w:val="none"/>
        </w:rPr>
        <w:instrText xml:space="preserve"> \* MERGEFORMAT </w:instrText>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114300" distR="114300">
            <wp:extent cx="323850" cy="401955"/>
            <wp:effectExtent l="0" t="0" r="0" b="171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6"/>
                    <a:stretch>
                      <a:fillRect/>
                    </a:stretch>
                  </pic:blipFill>
                  <pic:spPr>
                    <a:xfrm>
                      <a:off x="0" y="0"/>
                      <a:ext cx="323850" cy="40195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114300" distR="114300">
            <wp:extent cx="323850" cy="401955"/>
            <wp:effectExtent l="0" t="0" r="0" b="17145"/>
            <wp:docPr id="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
                    <pic:cNvPicPr>
                      <a:picLocks noChangeAspect="1"/>
                    </pic:cNvPicPr>
                  </pic:nvPicPr>
                  <pic:blipFill>
                    <a:blip r:embed="rId17"/>
                    <a:stretch>
                      <a:fillRect/>
                    </a:stretch>
                  </pic:blipFill>
                  <pic:spPr>
                    <a:xfrm>
                      <a:off x="0" y="0"/>
                      <a:ext cx="323850" cy="401955"/>
                    </a:xfrm>
                    <a:prstGeom prst="rect">
                      <a:avLst/>
                    </a:prstGeom>
                    <a:noFill/>
                    <a:ln>
                      <a:noFill/>
                    </a:ln>
                  </pic:spPr>
                </pic:pic>
              </a:graphicData>
            </a:graphic>
          </wp:inline>
        </w:drawing>
      </w:r>
      <w:r>
        <w:rPr>
          <w:rFonts w:ascii="宋体" w:hAnsi="宋体"/>
          <w:color w:val="auto"/>
          <w:position w:val="-23"/>
          <w:sz w:val="24"/>
          <w:szCs w:val="24"/>
          <w:highlight w:val="none"/>
        </w:rPr>
        <w:instrText xml:space="preserve"> \* MERGEFORMAT </w:instrText>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114300" distR="114300">
            <wp:extent cx="323850" cy="401955"/>
            <wp:effectExtent l="0" t="0" r="0" b="17145"/>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17"/>
                    <a:stretch>
                      <a:fillRect/>
                    </a:stretch>
                  </pic:blipFill>
                  <pic:spPr>
                    <a:xfrm>
                      <a:off x="0" y="0"/>
                      <a:ext cx="323850" cy="40195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方法二：区间抽取法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：为（最高投标限价</w:t>
      </w:r>
      <w:r>
        <w:rPr>
          <w:rFonts w:ascii="宋体" w:hAnsi="宋体" w:cs="仿宋"/>
          <w:color w:val="auto"/>
          <w:sz w:val="24"/>
          <w:szCs w:val="24"/>
          <w:highlight w:val="none"/>
        </w:rPr>
        <w:t>*D%</w:t>
      </w:r>
      <w:r>
        <w:rPr>
          <w:rFonts w:hint="eastAsia" w:ascii="宋体" w:hAnsi="宋体" w:cs="仿宋"/>
          <w:color w:val="auto"/>
          <w:sz w:val="24"/>
          <w:szCs w:val="24"/>
          <w:highlight w:val="none"/>
        </w:rPr>
        <w:t>）（</w:t>
      </w:r>
      <w:r>
        <w:rPr>
          <w:rFonts w:ascii="宋体" w:hAnsi="宋体" w:cs="仿宋"/>
          <w:color w:val="auto"/>
          <w:sz w:val="24"/>
          <w:szCs w:val="24"/>
          <w:highlight w:val="none"/>
        </w:rPr>
        <w:t>D</w:t>
      </w:r>
      <w:r>
        <w:rPr>
          <w:rFonts w:hint="eastAsia" w:ascii="宋体" w:hAnsi="宋体" w:cs="仿宋"/>
          <w:color w:val="auto"/>
          <w:sz w:val="24"/>
          <w:szCs w:val="24"/>
          <w:highlight w:val="none"/>
        </w:rPr>
        <w:t>的取值范围为</w:t>
      </w:r>
      <w:r>
        <w:rPr>
          <w:rFonts w:ascii="宋体" w:hAnsi="宋体" w:cs="仿宋"/>
          <w:color w:val="auto"/>
          <w:sz w:val="24"/>
          <w:szCs w:val="24"/>
          <w:highlight w:val="none"/>
        </w:rPr>
        <w:t>[94,100],</w:t>
      </w:r>
      <w:r>
        <w:rPr>
          <w:rFonts w:hint="eastAsia" w:ascii="宋体" w:hAnsi="宋体" w:cs="仿宋"/>
          <w:color w:val="auto"/>
          <w:sz w:val="24"/>
          <w:szCs w:val="24"/>
          <w:highlight w:val="none"/>
        </w:rPr>
        <w:t>由招标人自定）</w:t>
      </w:r>
    </w:p>
    <w:p>
      <w:pPr>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pStyle w:val="8"/>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45.4</w:t>
      </w:r>
      <w:r>
        <w:rPr>
          <w:rFonts w:hint="eastAsia" w:ascii="宋体"/>
          <w:color w:val="auto"/>
          <w:sz w:val="24"/>
          <w:szCs w:val="24"/>
          <w:highlight w:val="none"/>
        </w:rPr>
        <w:t>计算通过技术标有效性审查的投标人总得分。投标人总得分=（技术得分×技术得分权重</w:t>
      </w:r>
      <w:r>
        <w:rPr>
          <w:rFonts w:hint="eastAsia" w:ascii="宋体" w:cs="宋体"/>
          <w:color w:val="auto"/>
          <w:sz w:val="24"/>
          <w:szCs w:val="24"/>
          <w:highlight w:val="none"/>
        </w:rPr>
        <w:t>＋</w:t>
      </w:r>
      <w:r>
        <w:rPr>
          <w:rFonts w:hint="eastAsia" w:ascii="宋体"/>
          <w:color w:val="auto"/>
          <w:sz w:val="24"/>
          <w:szCs w:val="24"/>
          <w:highlight w:val="none"/>
        </w:rPr>
        <w:t>经济得分×经济得分权重）×（1-综合诚信评价分数权重）</w:t>
      </w:r>
      <w:r>
        <w:rPr>
          <w:rFonts w:hint="eastAsia" w:ascii="宋体" w:cs="宋体"/>
          <w:color w:val="auto"/>
          <w:sz w:val="24"/>
          <w:szCs w:val="24"/>
          <w:highlight w:val="none"/>
        </w:rPr>
        <w:t>＋</w:t>
      </w:r>
      <w:r>
        <w:rPr>
          <w:rFonts w:hint="eastAsia" w:ascii="宋体"/>
          <w:color w:val="auto"/>
          <w:sz w:val="24"/>
          <w:szCs w:val="24"/>
          <w:highlight w:val="none"/>
        </w:rPr>
        <w:t>综合诚信评价排名得分×综合诚信评价分数权重）。技术、经济得分权重按投标须知前附表的规定执行。总得分四舍五入保留两位小数。</w:t>
      </w:r>
    </w:p>
    <w:p>
      <w:pPr>
        <w:pStyle w:val="8"/>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46.经济标的有效性审查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8.评标委员会应在通过投标文件经济标有效性审查的投标人中，按步骤45.4确定的投标人第二阶段排序，推荐前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bookmarkEnd w:id="47"/>
    <w:bookmarkEnd w:id="48"/>
    <w:p>
      <w:pPr>
        <w:spacing w:after="120" w:line="360" w:lineRule="auto"/>
        <w:ind w:firstLine="480" w:firstLineChars="200"/>
        <w:rPr>
          <w:rFonts w:ascii="宋体" w:hAnsi="宋体"/>
          <w:color w:val="auto"/>
          <w:kern w:val="0"/>
          <w:sz w:val="24"/>
          <w:szCs w:val="24"/>
          <w:highlight w:val="none"/>
        </w:rPr>
      </w:pPr>
    </w:p>
    <w:p>
      <w:pPr>
        <w:spacing w:line="360" w:lineRule="auto"/>
        <w:rPr>
          <w:rFonts w:ascii="宋体" w:hAnsi="宋体"/>
          <w:color w:val="auto"/>
          <w:sz w:val="24"/>
          <w:szCs w:val="24"/>
          <w:highlight w:val="none"/>
        </w:rPr>
      </w:pPr>
      <w:r>
        <w:rPr>
          <w:rFonts w:ascii="宋体" w:hAnsi="宋体"/>
          <w:color w:val="auto"/>
          <w:sz w:val="24"/>
          <w:szCs w:val="24"/>
          <w:highlight w:val="none"/>
        </w:rPr>
        <w:br w:type="page"/>
      </w:r>
      <w:r>
        <w:rPr>
          <w:rFonts w:hint="eastAsia" w:ascii="宋体" w:hAnsi="宋体"/>
          <w:color w:val="auto"/>
          <w:szCs w:val="21"/>
          <w:highlight w:val="none"/>
        </w:rPr>
        <w:t>附表一：</w:t>
      </w:r>
    </w:p>
    <w:p>
      <w:pPr>
        <w:jc w:val="center"/>
        <w:outlineLvl w:val="1"/>
        <w:rPr>
          <w:b/>
          <w:color w:val="auto"/>
          <w:sz w:val="32"/>
          <w:szCs w:val="32"/>
          <w:highlight w:val="none"/>
        </w:rPr>
      </w:pPr>
      <w:bookmarkStart w:id="58" w:name="_Toc16882"/>
      <w:bookmarkStart w:id="59" w:name="_Toc16107"/>
      <w:r>
        <w:rPr>
          <w:rFonts w:hint="eastAsia"/>
          <w:b/>
          <w:color w:val="auto"/>
          <w:sz w:val="32"/>
          <w:szCs w:val="32"/>
          <w:highlight w:val="none"/>
        </w:rPr>
        <w:t>资格审查表</w:t>
      </w:r>
      <w:bookmarkEnd w:id="58"/>
      <w:bookmarkEnd w:id="59"/>
    </w:p>
    <w:p>
      <w:pPr>
        <w:spacing w:line="480" w:lineRule="auto"/>
        <w:rPr>
          <w:color w:val="auto"/>
          <w:sz w:val="24"/>
          <w:szCs w:val="24"/>
          <w:highlight w:val="none"/>
        </w:rPr>
      </w:pPr>
      <w:r>
        <w:rPr>
          <w:rFonts w:hint="eastAsia"/>
          <w:color w:val="auto"/>
          <w:sz w:val="24"/>
          <w:szCs w:val="24"/>
          <w:highlight w:val="none"/>
        </w:rPr>
        <w:t>工程名称：</w:t>
      </w:r>
    </w:p>
    <w:p>
      <w:pPr>
        <w:spacing w:line="480" w:lineRule="auto"/>
        <w:rPr>
          <w:color w:val="auto"/>
          <w:sz w:val="24"/>
          <w:szCs w:val="24"/>
          <w:highlight w:val="none"/>
        </w:rPr>
      </w:pPr>
      <w:r>
        <w:rPr>
          <w:rFonts w:hint="eastAsia"/>
          <w:color w:val="auto"/>
          <w:sz w:val="24"/>
          <w:szCs w:val="24"/>
          <w:highlight w:val="none"/>
        </w:rPr>
        <w:t>投标人名称：</w:t>
      </w:r>
    </w:p>
    <w:tbl>
      <w:tblPr>
        <w:tblStyle w:val="22"/>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210"/>
        <w:gridCol w:w="3853"/>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42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85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ascii="宋体" w:hAnsi="宋体"/>
                <w:color w:val="auto"/>
                <w:szCs w:val="21"/>
                <w:highlight w:val="none"/>
              </w:rPr>
              <w:t>1</w:t>
            </w:r>
          </w:p>
        </w:tc>
        <w:tc>
          <w:tcPr>
            <w:tcW w:w="42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85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2</w:t>
            </w:r>
          </w:p>
        </w:tc>
        <w:tc>
          <w:tcPr>
            <w:tcW w:w="42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385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营业执照在广州市住建行业信用管理平台内上传件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3</w:t>
            </w:r>
          </w:p>
        </w:tc>
        <w:tc>
          <w:tcPr>
            <w:tcW w:w="42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投标人均持有建设行政主管部门颁发的企业资质证书及安全生产许可证；投标人资质符合公告要求</w:t>
            </w:r>
          </w:p>
        </w:tc>
        <w:tc>
          <w:tcPr>
            <w:tcW w:w="385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资质证书及安全生产许可证在广州市住建行业信用管理平台内上传件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4</w:t>
            </w:r>
          </w:p>
        </w:tc>
        <w:tc>
          <w:tcPr>
            <w:tcW w:w="42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85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使用有效期内的建造师证书在广州市住建行业信用管理平台内上传件</w:t>
            </w:r>
          </w:p>
          <w:p>
            <w:pPr>
              <w:keepNext/>
              <w:keepLines/>
              <w:spacing w:before="120" w:after="120"/>
              <w:jc w:val="center"/>
              <w:outlineLvl w:val="1"/>
              <w:rPr>
                <w:rFonts w:ascii="Arial" w:hAnsi="Arial"/>
                <w:b/>
                <w:color w:val="auto"/>
                <w:sz w:val="28"/>
                <w:szCs w:val="24"/>
                <w:highlight w:val="none"/>
              </w:rPr>
            </w:pPr>
            <w:bookmarkStart w:id="60" w:name="_Toc21984"/>
            <w:bookmarkStart w:id="61" w:name="_Toc30164"/>
            <w:r>
              <w:rPr>
                <w:rFonts w:ascii="宋体" w:hAnsi="宋体" w:cs="宋体"/>
                <w:color w:val="auto"/>
                <w:szCs w:val="21"/>
                <w:highlight w:val="none"/>
              </w:rPr>
              <w:t>（注：打印建造师电子证书后，应在个人签名处手写本人签名再上传广州市住建行业信用平台，上传件未手写签名或与签名图像笔迹不一致的，该电子证书无效。）</w:t>
            </w:r>
            <w:bookmarkEnd w:id="60"/>
            <w:bookmarkEnd w:id="61"/>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5</w:t>
            </w:r>
          </w:p>
        </w:tc>
        <w:tc>
          <w:tcPr>
            <w:tcW w:w="42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持有项目负责人安全</w:t>
            </w:r>
            <w:r>
              <w:rPr>
                <w:rFonts w:ascii="宋体" w:hAnsi="宋体"/>
                <w:color w:val="auto"/>
                <w:szCs w:val="21"/>
                <w:highlight w:val="none"/>
              </w:rPr>
              <w:t>生产</w:t>
            </w:r>
            <w:r>
              <w:rPr>
                <w:rFonts w:hint="eastAsia" w:ascii="宋体" w:hAnsi="宋体"/>
                <w:color w:val="auto"/>
                <w:szCs w:val="21"/>
                <w:highlight w:val="none"/>
              </w:rPr>
              <w:t>考核合格证（B类）或建筑施工企业项目负责人安全生产考核合格证</w:t>
            </w:r>
          </w:p>
        </w:tc>
        <w:tc>
          <w:tcPr>
            <w:tcW w:w="385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项目负责人安全</w:t>
            </w:r>
            <w:r>
              <w:rPr>
                <w:rFonts w:ascii="宋体" w:hAnsi="宋体" w:cs="宋体"/>
                <w:color w:val="auto"/>
                <w:szCs w:val="21"/>
                <w:highlight w:val="none"/>
              </w:rPr>
              <w:t>生产</w:t>
            </w:r>
            <w:r>
              <w:rPr>
                <w:rFonts w:hint="eastAsia" w:ascii="宋体" w:hAnsi="宋体" w:cs="宋体"/>
                <w:color w:val="auto"/>
                <w:szCs w:val="21"/>
                <w:highlight w:val="none"/>
              </w:rPr>
              <w:t>考核合格证（B类）或建筑施工企业项目负责人安全生产考核合格证在广州市住建行业信用管理平台内上传件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6</w:t>
            </w:r>
          </w:p>
        </w:tc>
        <w:tc>
          <w:tcPr>
            <w:tcW w:w="42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投标人拟担任本工程技术负责人符合公告要求</w:t>
            </w:r>
          </w:p>
        </w:tc>
        <w:tc>
          <w:tcPr>
            <w:tcW w:w="385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技术负责人的需具有机电类或电气类或电力类相关专业中级工程师或以上技术职称，附相关证明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7</w:t>
            </w:r>
          </w:p>
        </w:tc>
        <w:tc>
          <w:tcPr>
            <w:tcW w:w="42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专职安全员须具有安全生产考核合格证（C证）或建筑施工企业专职安全生产管理人员安全生产考核合格证(</w:t>
            </w:r>
            <w:r>
              <w:rPr>
                <w:rFonts w:ascii="宋体" w:hAnsi="宋体"/>
                <w:color w:val="auto"/>
                <w:szCs w:val="21"/>
                <w:highlight w:val="none"/>
              </w:rPr>
              <w:t>C3)</w:t>
            </w:r>
          </w:p>
        </w:tc>
        <w:tc>
          <w:tcPr>
            <w:tcW w:w="385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专职安全员的安全生产考核合格证（C证）或建筑施工企业专职安全生产管理人员安全生产考核合格证</w:t>
            </w:r>
            <w:r>
              <w:rPr>
                <w:rFonts w:hint="eastAsia" w:ascii="宋体" w:hAnsi="宋体"/>
                <w:color w:val="auto"/>
                <w:szCs w:val="21"/>
                <w:highlight w:val="none"/>
              </w:rPr>
              <w:t>(</w:t>
            </w:r>
            <w:r>
              <w:rPr>
                <w:rFonts w:ascii="宋体" w:hAnsi="宋体"/>
                <w:color w:val="auto"/>
                <w:szCs w:val="21"/>
                <w:highlight w:val="none"/>
              </w:rPr>
              <w:t>C3)</w:t>
            </w:r>
            <w:r>
              <w:rPr>
                <w:rFonts w:hint="eastAsia" w:ascii="宋体" w:hAnsi="宋体" w:cs="宋体"/>
                <w:color w:val="auto"/>
                <w:szCs w:val="21"/>
                <w:highlight w:val="none"/>
              </w:rPr>
              <w:t>在广州市住建行业信用管理平台内上传件。</w:t>
            </w:r>
            <w:r>
              <w:rPr>
                <w:rFonts w:hint="eastAsia" w:ascii="宋体" w:hAnsi="宋体" w:cs="宋体"/>
                <w:b/>
                <w:color w:val="auto"/>
                <w:szCs w:val="21"/>
                <w:highlight w:val="none"/>
              </w:rPr>
              <w:t>项目负责人和</w:t>
            </w:r>
            <w:r>
              <w:rPr>
                <w:rFonts w:ascii="宋体" w:hAnsi="宋体" w:cs="宋体"/>
                <w:b/>
                <w:color w:val="auto"/>
                <w:szCs w:val="21"/>
                <w:highlight w:val="none"/>
              </w:rPr>
              <w:t>专职</w:t>
            </w:r>
            <w:r>
              <w:rPr>
                <w:rFonts w:hint="eastAsia" w:ascii="宋体" w:hAnsi="宋体" w:cs="宋体"/>
                <w:b/>
                <w:color w:val="auto"/>
                <w:szCs w:val="21"/>
                <w:highlight w:val="none"/>
              </w:rPr>
              <w:t>安全员不为同一人</w:t>
            </w:r>
            <w:r>
              <w:rPr>
                <w:rFonts w:hint="eastAsia" w:ascii="宋体" w:hAnsi="宋体" w:cs="宋体"/>
                <w:color w:val="auto"/>
                <w:szCs w:val="21"/>
                <w:highlight w:val="none"/>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8</w:t>
            </w:r>
          </w:p>
        </w:tc>
        <w:tc>
          <w:tcPr>
            <w:tcW w:w="42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85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9</w:t>
            </w:r>
          </w:p>
        </w:tc>
        <w:tc>
          <w:tcPr>
            <w:tcW w:w="42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385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网上登记时选择拟投标的项目负责人、资格审查文件中拟委派的技术负责人及投标人声明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10</w:t>
            </w:r>
          </w:p>
        </w:tc>
        <w:tc>
          <w:tcPr>
            <w:tcW w:w="42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highlight w:val="none"/>
              </w:rPr>
            </w:pPr>
            <w:r>
              <w:rPr>
                <w:rFonts w:hint="eastAsia" w:ascii="宋体" w:hAnsi="宋体"/>
                <w:color w:val="auto"/>
                <w:highlight w:val="none"/>
              </w:rPr>
              <w:t>本次招标不接受联合体投标</w:t>
            </w:r>
          </w:p>
        </w:tc>
        <w:tc>
          <w:tcPr>
            <w:tcW w:w="385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highlight w:val="none"/>
              </w:rPr>
            </w:pPr>
            <w:r>
              <w:rPr>
                <w:rFonts w:hint="eastAsia" w:ascii="宋体" w:hAnsi="宋体" w:cs="宋体"/>
                <w:color w:val="auto"/>
                <w:szCs w:val="21"/>
                <w:highlight w:val="none"/>
                <w:u w:val="single"/>
              </w:rPr>
              <w:t>未以联合体进行投标</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11</w:t>
            </w:r>
          </w:p>
        </w:tc>
        <w:tc>
          <w:tcPr>
            <w:tcW w:w="42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资格审查前，投标人须在广州市住房和城乡建设局建立企业信用档案及拟担任本工程项目负责人、专职安全员须是本企业中的在册人员</w:t>
            </w:r>
          </w:p>
        </w:tc>
        <w:tc>
          <w:tcPr>
            <w:tcW w:w="385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投标人在广州市住建行业信用管理平台内企业信用档案的企业和人员信息</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12</w:t>
            </w:r>
          </w:p>
        </w:tc>
        <w:tc>
          <w:tcPr>
            <w:tcW w:w="42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未在以往工程中因不诚信行为或不充分履约行为被本项目招标人书面拒绝投标的</w:t>
            </w:r>
          </w:p>
        </w:tc>
        <w:tc>
          <w:tcPr>
            <w:tcW w:w="385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u w:val="single"/>
              </w:rPr>
              <w:t>按招标公告附件二《被招标人拒绝投标的企业名单》进行评审</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13</w:t>
            </w:r>
          </w:p>
        </w:tc>
        <w:tc>
          <w:tcPr>
            <w:tcW w:w="421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投标人未出现以下情形：与其它投标人的单位负责人为同一人或者存在控股、管理关系的（按投标人提供的《投标人声明》第八条内容进行评审）</w:t>
            </w:r>
          </w:p>
        </w:tc>
        <w:tc>
          <w:tcPr>
            <w:tcW w:w="385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14</w:t>
            </w:r>
          </w:p>
        </w:tc>
        <w:tc>
          <w:tcPr>
            <w:tcW w:w="42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u w:val="single"/>
              </w:rPr>
            </w:pPr>
            <w:r>
              <w:rPr>
                <w:rFonts w:hint="eastAsia" w:ascii="宋体" w:hAnsi="宋体"/>
                <w:color w:val="auto"/>
                <w:szCs w:val="21"/>
                <w:highlight w:val="none"/>
                <w:u w:val="single"/>
              </w:rPr>
              <w:t>未被列入拖欠农民工工资失信联合惩戒对象名单</w:t>
            </w:r>
          </w:p>
        </w:tc>
        <w:tc>
          <w:tcPr>
            <w:tcW w:w="385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u w:val="single"/>
              </w:rPr>
            </w:pPr>
            <w:r>
              <w:rPr>
                <w:rFonts w:hint="eastAsia"/>
                <w:color w:val="auto"/>
                <w:szCs w:val="21"/>
                <w:highlight w:val="none"/>
                <w:u w:val="single"/>
              </w:rPr>
              <w:t>投标人无需提供资料，按交易系统比对的结果进行评审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bl>
    <w:p>
      <w:pPr>
        <w:spacing w:line="480" w:lineRule="auto"/>
        <w:ind w:firstLine="470" w:firstLineChars="224"/>
        <w:rPr>
          <w:rFonts w:ascii="宋体"/>
          <w:color w:val="auto"/>
          <w:szCs w:val="21"/>
          <w:highlight w:val="none"/>
        </w:rPr>
      </w:pPr>
      <w:r>
        <w:rPr>
          <w:rFonts w:hint="eastAsia" w:ascii="宋体" w:hAnsi="宋体"/>
          <w:color w:val="auto"/>
          <w:szCs w:val="21"/>
          <w:highlight w:val="none"/>
        </w:rPr>
        <w:t>备注：</w:t>
      </w:r>
    </w:p>
    <w:p>
      <w:pPr>
        <w:spacing w:line="480" w:lineRule="auto"/>
        <w:ind w:firstLine="470" w:firstLineChars="224"/>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、每一项目符合的打“○”，不符合的打“×”；</w:t>
      </w:r>
      <w:r>
        <w:rPr>
          <w:rFonts w:ascii="宋体" w:hAnsi="宋体"/>
          <w:color w:val="auto"/>
          <w:szCs w:val="21"/>
          <w:highlight w:val="none"/>
        </w:rPr>
        <w:t xml:space="preserve"> </w:t>
      </w:r>
    </w:p>
    <w:p>
      <w:pPr>
        <w:widowControl/>
        <w:spacing w:line="480" w:lineRule="auto"/>
        <w:ind w:firstLine="470" w:firstLineChars="224"/>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、若评委意见不一致时，则按少数服从多数的原则，作出评审结论。汇总后，出现一个“×”的结论为“不通过”。</w:t>
      </w:r>
    </w:p>
    <w:p>
      <w:pPr>
        <w:widowControl/>
        <w:spacing w:line="480" w:lineRule="auto"/>
        <w:ind w:firstLine="470" w:firstLineChars="224"/>
        <w:jc w:val="left"/>
        <w:rPr>
          <w:color w:val="auto"/>
          <w:highlight w:val="none"/>
        </w:rPr>
        <w:sectPr>
          <w:footerReference r:id="rId5" w:type="default"/>
          <w:pgSz w:w="11906" w:h="16838"/>
          <w:pgMar w:top="1134" w:right="1418" w:bottom="1247" w:left="1418" w:header="851" w:footer="992" w:gutter="0"/>
          <w:cols w:space="720" w:num="1"/>
          <w:docGrid w:type="lines" w:linePitch="312" w:charSpace="0"/>
        </w:sectPr>
      </w:pPr>
      <w:r>
        <w:rPr>
          <w:rFonts w:ascii="宋体" w:hAnsi="宋体"/>
          <w:color w:val="auto"/>
          <w:szCs w:val="21"/>
          <w:highlight w:val="none"/>
          <w:lang w:bidi="ar"/>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color w:val="auto"/>
          <w:szCs w:val="21"/>
          <w:highlight w:val="none"/>
        </w:rPr>
      </w:pPr>
      <w:bookmarkStart w:id="62" w:name="_Toc2272566"/>
      <w:r>
        <w:rPr>
          <w:rFonts w:hint="eastAsia"/>
          <w:color w:val="auto"/>
          <w:szCs w:val="21"/>
          <w:highlight w:val="none"/>
        </w:rPr>
        <w:t>附表二</w:t>
      </w:r>
    </w:p>
    <w:p>
      <w:pPr>
        <w:jc w:val="center"/>
        <w:outlineLvl w:val="1"/>
        <w:rPr>
          <w:b/>
          <w:color w:val="auto"/>
          <w:sz w:val="36"/>
          <w:szCs w:val="36"/>
          <w:highlight w:val="none"/>
        </w:rPr>
      </w:pPr>
      <w:bookmarkStart w:id="63" w:name="_Toc18204"/>
      <w:bookmarkStart w:id="64" w:name="_Toc17206"/>
      <w:r>
        <w:rPr>
          <w:rFonts w:hint="eastAsia"/>
          <w:b/>
          <w:color w:val="auto"/>
          <w:sz w:val="36"/>
          <w:szCs w:val="36"/>
          <w:highlight w:val="none"/>
        </w:rPr>
        <w:t>技术标有效性审查表</w:t>
      </w:r>
      <w:bookmarkEnd w:id="63"/>
      <w:bookmarkEnd w:id="64"/>
    </w:p>
    <w:p>
      <w:pPr>
        <w:rPr>
          <w:color w:val="auto"/>
          <w:szCs w:val="21"/>
          <w:highlight w:val="none"/>
        </w:rPr>
      </w:pPr>
      <w:r>
        <w:rPr>
          <w:rFonts w:hint="eastAsia"/>
          <w:color w:val="auto"/>
          <w:szCs w:val="21"/>
          <w:highlight w:val="none"/>
        </w:rPr>
        <w:t>工程名称：</w:t>
      </w:r>
      <w:r>
        <w:rPr>
          <w:color w:val="auto"/>
          <w:szCs w:val="21"/>
          <w:highlight w:val="none"/>
        </w:rPr>
        <w:t xml:space="preserve"> </w:t>
      </w:r>
    </w:p>
    <w:tbl>
      <w:tblPr>
        <w:tblStyle w:val="22"/>
        <w:tblW w:w="15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7098"/>
        <w:gridCol w:w="1276"/>
        <w:gridCol w:w="1276"/>
        <w:gridCol w:w="1134"/>
        <w:gridCol w:w="1275"/>
        <w:gridCol w:w="127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序号</w:t>
            </w:r>
          </w:p>
        </w:tc>
        <w:tc>
          <w:tcPr>
            <w:tcW w:w="7098"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p>
          <w:p>
            <w:pPr>
              <w:adjustRightInd w:val="0"/>
              <w:rPr>
                <w:rFonts w:ascii="宋体" w:hAnsi="宋体"/>
                <w:color w:val="auto"/>
                <w:szCs w:val="21"/>
                <w:highlight w:val="none"/>
              </w:rPr>
            </w:pPr>
          </w:p>
          <w:p>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1</w:t>
            </w:r>
          </w:p>
        </w:tc>
        <w:tc>
          <w:tcPr>
            <w:tcW w:w="709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u w:val="single"/>
              </w:rPr>
              <w:t>《广州建设工程施工招标投标书》中工期不能满足完成投标项目工期的</w:t>
            </w: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2</w:t>
            </w:r>
          </w:p>
        </w:tc>
        <w:tc>
          <w:tcPr>
            <w:tcW w:w="709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u w:val="single"/>
              </w:rPr>
              <w:t>《广州建设工程施工招标投标书》中质量标准不符合招标文件的</w:t>
            </w: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3</w:t>
            </w:r>
          </w:p>
        </w:tc>
        <w:tc>
          <w:tcPr>
            <w:tcW w:w="709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投标文件中没有有效的法定代表人证明书，或由委托代理人签署</w:t>
            </w:r>
            <w:r>
              <w:rPr>
                <w:rFonts w:hint="eastAsia"/>
                <w:color w:val="auto"/>
                <w:szCs w:val="21"/>
                <w:highlight w:val="none"/>
              </w:rPr>
              <w:t>或盖章</w:t>
            </w:r>
            <w:r>
              <w:rPr>
                <w:rFonts w:hint="eastAsia" w:ascii="宋体" w:hAnsi="宋体"/>
                <w:color w:val="auto"/>
                <w:szCs w:val="21"/>
                <w:highlight w:val="none"/>
              </w:rPr>
              <w:t>的投标文件中没有法定代表人授权书</w:t>
            </w: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4</w:t>
            </w:r>
          </w:p>
        </w:tc>
        <w:tc>
          <w:tcPr>
            <w:tcW w:w="709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投标文件未按规定的格式（技术标投标文件格式三、格式八、格式九）填写，或主要内容不全，或关键字迹模糊、无法辨认的</w:t>
            </w: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5</w:t>
            </w:r>
          </w:p>
        </w:tc>
        <w:tc>
          <w:tcPr>
            <w:tcW w:w="709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1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6</w:t>
            </w:r>
          </w:p>
        </w:tc>
        <w:tc>
          <w:tcPr>
            <w:tcW w:w="709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7</w:t>
            </w:r>
          </w:p>
        </w:tc>
        <w:tc>
          <w:tcPr>
            <w:tcW w:w="709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投标人与</w:t>
            </w:r>
            <w:r>
              <w:rPr>
                <w:rFonts w:hint="eastAsia"/>
                <w:color w:val="auto"/>
                <w:szCs w:val="21"/>
                <w:highlight w:val="none"/>
              </w:rPr>
              <w:t>本项目</w:t>
            </w:r>
            <w:r>
              <w:rPr>
                <w:rFonts w:hint="eastAsia" w:ascii="宋体" w:hAnsi="宋体"/>
                <w:color w:val="auto"/>
                <w:szCs w:val="21"/>
                <w:highlight w:val="none"/>
              </w:rPr>
              <w:t>其他投标人加密打包投标文件电脑机器特征码一致的(以</w:t>
            </w:r>
            <w:r>
              <w:rPr>
                <w:rFonts w:ascii="宋体" w:hAnsi="宋体"/>
                <w:color w:val="auto"/>
                <w:szCs w:val="21"/>
                <w:highlight w:val="none"/>
                <w:u w:val="single"/>
              </w:rPr>
              <w:t xml:space="preserve">        </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bl>
    <w:p>
      <w:pPr>
        <w:rPr>
          <w:color w:val="auto"/>
          <w:szCs w:val="21"/>
          <w:highlight w:val="none"/>
        </w:rPr>
      </w:pPr>
      <w:r>
        <w:rPr>
          <w:rFonts w:hint="eastAsia" w:ascii="宋体" w:hAnsi="宋体"/>
          <w:color w:val="auto"/>
          <w:szCs w:val="21"/>
          <w:highlight w:val="none"/>
        </w:rPr>
        <w:t>注：</w:t>
      </w:r>
      <w:r>
        <w:rPr>
          <w:rFonts w:hint="eastAsia" w:ascii="宋体" w:hAnsi="宋体" w:cs="宋体"/>
          <w:color w:val="auto"/>
          <w:szCs w:val="21"/>
          <w:highlight w:val="none"/>
          <w:lang w:bidi="ar"/>
        </w:rPr>
        <w:t>1.本表使用GZZB2018-3招标文件范本，与范本内容不同之处均以下划线标明。技术标评审中，响应性、承诺性内容不应作为评分因素，可在该表中对上述内容进行符合性审查。审查标准须具备可操作性。</w:t>
      </w:r>
    </w:p>
    <w:p>
      <w:pPr>
        <w:rPr>
          <w:color w:val="auto"/>
          <w:szCs w:val="21"/>
          <w:highlight w:val="none"/>
        </w:rPr>
      </w:pPr>
      <w:r>
        <w:rPr>
          <w:rFonts w:hint="eastAsia" w:ascii="宋体" w:hAnsi="宋体" w:cs="宋体"/>
          <w:color w:val="auto"/>
          <w:szCs w:val="21"/>
          <w:highlight w:val="none"/>
          <w:lang w:bidi="ar"/>
        </w:rPr>
        <w:t xml:space="preserve">    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color w:val="auto"/>
          <w:szCs w:val="21"/>
          <w:highlight w:val="none"/>
        </w:rPr>
      </w:pPr>
      <w:r>
        <w:rPr>
          <w:rFonts w:hint="eastAsia" w:ascii="宋体" w:hAnsi="宋体" w:cs="宋体"/>
          <w:color w:val="auto"/>
          <w:szCs w:val="21"/>
          <w:highlight w:val="none"/>
          <w:lang w:bidi="ar"/>
        </w:rPr>
        <w:t xml:space="preserve">    3.凡出现以上任何一项情形，结论均为无效，否则就为有效。</w:t>
      </w:r>
    </w:p>
    <w:p>
      <w:pPr>
        <w:ind w:firstLine="420" w:firstLineChars="200"/>
        <w:rPr>
          <w:color w:val="auto"/>
          <w:highlight w:val="none"/>
        </w:rPr>
      </w:pPr>
      <w:r>
        <w:rPr>
          <w:rFonts w:hint="eastAsia" w:ascii="宋体" w:hAnsi="宋体" w:cs="宋体"/>
          <w:color w:val="auto"/>
          <w:szCs w:val="21"/>
          <w:highlight w:val="none"/>
          <w:lang w:bidi="ar"/>
        </w:rPr>
        <w:t>4.如对本表中某种情形的评审意见不一致时，以评标委员会过半数成员的意见作为评标委员会对该情形的认定结论。</w:t>
      </w:r>
    </w:p>
    <w:p>
      <w:pPr>
        <w:ind w:firstLine="420" w:firstLineChars="200"/>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评委签名：</w:t>
      </w:r>
    </w:p>
    <w:p>
      <w:pPr>
        <w:rPr>
          <w:color w:val="auto"/>
          <w:szCs w:val="21"/>
          <w:highlight w:val="none"/>
        </w:rPr>
      </w:pPr>
      <w:r>
        <w:rPr>
          <w:color w:val="auto"/>
          <w:highlight w:val="none"/>
        </w:rPr>
        <w:br w:type="page"/>
      </w:r>
      <w:r>
        <w:rPr>
          <w:rFonts w:hint="eastAsia"/>
          <w:color w:val="auto"/>
          <w:szCs w:val="21"/>
          <w:highlight w:val="none"/>
        </w:rPr>
        <w:t>附表三</w:t>
      </w:r>
    </w:p>
    <w:p>
      <w:pPr>
        <w:jc w:val="center"/>
        <w:outlineLvl w:val="1"/>
        <w:rPr>
          <w:b/>
          <w:color w:val="auto"/>
          <w:sz w:val="36"/>
          <w:szCs w:val="36"/>
          <w:highlight w:val="none"/>
        </w:rPr>
      </w:pPr>
      <w:bookmarkStart w:id="65" w:name="_Toc6147"/>
      <w:bookmarkStart w:id="66" w:name="_Toc17515"/>
      <w:r>
        <w:rPr>
          <w:rFonts w:hint="eastAsia"/>
          <w:b/>
          <w:color w:val="auto"/>
          <w:sz w:val="36"/>
          <w:szCs w:val="36"/>
          <w:highlight w:val="none"/>
        </w:rPr>
        <w:t>经济标有效性审查表</w:t>
      </w:r>
      <w:bookmarkEnd w:id="65"/>
      <w:bookmarkEnd w:id="66"/>
    </w:p>
    <w:p>
      <w:pPr>
        <w:rPr>
          <w:color w:val="auto"/>
          <w:szCs w:val="21"/>
          <w:highlight w:val="none"/>
        </w:rPr>
      </w:pPr>
      <w:r>
        <w:rPr>
          <w:rFonts w:hint="eastAsia"/>
          <w:color w:val="auto"/>
          <w:szCs w:val="21"/>
          <w:highlight w:val="none"/>
        </w:rPr>
        <w:t>工程名称：</w:t>
      </w:r>
      <w:r>
        <w:rPr>
          <w:color w:val="auto"/>
          <w:szCs w:val="21"/>
          <w:highlight w:val="none"/>
        </w:rPr>
        <w:t xml:space="preserve"> </w:t>
      </w:r>
    </w:p>
    <w:tbl>
      <w:tblPr>
        <w:tblStyle w:val="22"/>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投标报价高于最高投标限价的</w:t>
            </w:r>
            <w:r>
              <w:rPr>
                <w:rFonts w:hint="eastAsia" w:ascii="宋体" w:hAnsi="宋体"/>
                <w:color w:val="auto"/>
                <w:szCs w:val="21"/>
                <w:highlight w:val="none"/>
                <w:u w:val="single"/>
              </w:rPr>
              <w:t>（以最高投标限价公布函公布的各项控制数据为准）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olor w:val="auto"/>
                <w:szCs w:val="21"/>
                <w:highlight w:val="none"/>
              </w:rPr>
            </w:pPr>
            <w:r>
              <w:rPr>
                <w:rFonts w:hint="eastAsia" w:ascii="宋体" w:hAnsi="宋体"/>
                <w:color w:val="auto"/>
                <w:szCs w:val="21"/>
                <w:highlight w:val="none"/>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算术复核后的投标报价与原投标报价相比存在</w:t>
            </w:r>
            <w:r>
              <w:rPr>
                <w:rFonts w:ascii="宋体" w:hAnsi="宋体"/>
                <w:color w:val="auto"/>
                <w:szCs w:val="21"/>
                <w:highlight w:val="none"/>
              </w:rPr>
              <w:t>1%</w:t>
            </w:r>
            <w:r>
              <w:rPr>
                <w:rFonts w:hint="eastAsia" w:ascii="宋体" w:hAnsi="宋体"/>
                <w:color w:val="auto"/>
                <w:szCs w:val="21"/>
                <w:highlight w:val="none"/>
              </w:rPr>
              <w:t>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投标文件未按规定的格式（经济标投标文件格式三、格式四）填写，或主要内容不全，或关键字迹模糊、无法辨认的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rPr>
              <w:t>不同投标人的投标报价中分部分项工程量清单综合单价相似度达到80%及以上的(以</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10</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rPr>
              <w:t>投标人与本项目其他投标人的投标文件工程量清单编制机器硬件信息一致的（以</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ind w:firstLine="458"/>
        <w:rPr>
          <w:color w:val="auto"/>
          <w:szCs w:val="21"/>
          <w:highlight w:val="none"/>
        </w:rPr>
      </w:pPr>
      <w:r>
        <w:rPr>
          <w:rFonts w:hint="eastAsia" w:ascii="宋体" w:hAnsi="宋体"/>
          <w:color w:val="auto"/>
          <w:szCs w:val="21"/>
          <w:highlight w:val="none"/>
        </w:rPr>
        <w:t>注：</w:t>
      </w:r>
      <w:r>
        <w:rPr>
          <w:rFonts w:hint="eastAsia" w:ascii="宋体" w:hAnsi="宋体" w:cs="宋体"/>
          <w:color w:val="auto"/>
          <w:szCs w:val="21"/>
          <w:highlight w:val="none"/>
          <w:lang w:bidi="ar"/>
        </w:rPr>
        <w:t>1.本表使用GZZB2018-3招标文件范本，与范本内容不同之处均以下划线标明。</w:t>
      </w:r>
    </w:p>
    <w:p>
      <w:pPr>
        <w:ind w:firstLine="458"/>
        <w:rPr>
          <w:color w:val="auto"/>
          <w:szCs w:val="21"/>
          <w:highlight w:val="none"/>
        </w:rPr>
      </w:pPr>
      <w:r>
        <w:rPr>
          <w:rFonts w:hint="eastAsia" w:ascii="宋体" w:hAnsi="宋体" w:cs="宋体"/>
          <w:color w:val="auto"/>
          <w:szCs w:val="21"/>
          <w:highlight w:val="none"/>
          <w:lang w:bidi="ar"/>
        </w:rPr>
        <w:t>2.凡出现以上任何一项情形，结论均为无效，否则就为有效。</w:t>
      </w:r>
    </w:p>
    <w:p>
      <w:pPr>
        <w:ind w:firstLine="458"/>
        <w:rPr>
          <w:rFonts w:hint="eastAsia" w:ascii="宋体" w:hAnsi="宋体" w:cs="宋体"/>
          <w:color w:val="auto"/>
          <w:szCs w:val="21"/>
          <w:highlight w:val="none"/>
          <w:lang w:bidi="ar"/>
        </w:rPr>
      </w:pPr>
      <w:r>
        <w:rPr>
          <w:rFonts w:hint="eastAsia" w:ascii="宋体" w:hAnsi="宋体" w:cs="宋体"/>
          <w:color w:val="auto"/>
          <w:szCs w:val="21"/>
          <w:highlight w:val="none"/>
          <w:lang w:bidi="ar"/>
        </w:rPr>
        <w:t>3.如对本表中某种情形的评审意见不一致时，以评标委员会过半数成员的意见作为评标委员会对该情形的认定结论。</w:t>
      </w:r>
    </w:p>
    <w:p>
      <w:pPr>
        <w:ind w:firstLine="458"/>
        <w:rPr>
          <w:color w:val="auto"/>
          <w:highlight w:val="none"/>
        </w:rPr>
      </w:pPr>
      <w:r>
        <w:rPr>
          <w:rFonts w:hint="eastAsia" w:ascii="宋体" w:hAnsi="宋体" w:cs="宋体"/>
          <w:color w:val="auto"/>
          <w:szCs w:val="21"/>
          <w:highlight w:val="none"/>
          <w:lang w:bidi="ar"/>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ind w:firstLine="458"/>
        <w:rPr>
          <w:rFonts w:ascii="宋体" w:hAnsi="宋体"/>
          <w:color w:val="auto"/>
          <w:szCs w:val="21"/>
          <w:highlight w:val="none"/>
        </w:rPr>
      </w:pPr>
    </w:p>
    <w:p>
      <w:pPr>
        <w:spacing w:after="120"/>
        <w:ind w:firstLine="458"/>
        <w:rPr>
          <w:rFonts w:ascii="宋体" w:hAnsi="宋体"/>
          <w:color w:val="auto"/>
          <w:kern w:val="0"/>
          <w:sz w:val="20"/>
          <w:szCs w:val="21"/>
          <w:highlight w:val="none"/>
        </w:rPr>
        <w:sectPr>
          <w:endnotePr>
            <w:numFmt w:val="decimal"/>
          </w:endnotePr>
          <w:pgSz w:w="16838" w:h="11906" w:orient="landscape"/>
          <w:pgMar w:top="1418" w:right="1247" w:bottom="1418" w:left="1134" w:header="851" w:footer="907" w:gutter="0"/>
          <w:cols w:space="720" w:num="1"/>
          <w:titlePg/>
          <w:docGrid w:type="lines" w:linePitch="312" w:charSpace="0"/>
        </w:sectPr>
      </w:pPr>
      <w:r>
        <w:rPr>
          <w:rFonts w:hint="eastAsia" w:ascii="宋体" w:hAnsi="宋体"/>
          <w:color w:val="auto"/>
          <w:kern w:val="0"/>
          <w:sz w:val="20"/>
          <w:szCs w:val="21"/>
          <w:highlight w:val="none"/>
        </w:rPr>
        <w:t>评委签名：</w:t>
      </w:r>
    </w:p>
    <w:p>
      <w:pPr>
        <w:rPr>
          <w:color w:val="auto"/>
          <w:szCs w:val="21"/>
          <w:highlight w:val="none"/>
        </w:rPr>
      </w:pPr>
      <w:r>
        <w:rPr>
          <w:rFonts w:hint="eastAsia"/>
          <w:color w:val="auto"/>
          <w:szCs w:val="21"/>
          <w:highlight w:val="none"/>
        </w:rPr>
        <w:t>附表四</w:t>
      </w:r>
    </w:p>
    <w:p>
      <w:pPr>
        <w:pStyle w:val="19"/>
        <w:widowControl/>
        <w:jc w:val="center"/>
        <w:rPr>
          <w:rFonts w:ascii="微软雅黑" w:hAnsi="微软雅黑" w:eastAsia="微软雅黑" w:cs="微软雅黑"/>
          <w:color w:val="auto"/>
          <w:highlight w:val="none"/>
        </w:rPr>
      </w:pPr>
      <w:r>
        <w:rPr>
          <w:rStyle w:val="24"/>
          <w:rFonts w:hint="eastAsia" w:ascii="宋体" w:hAnsi="宋体" w:cs="宋体"/>
          <w:b w:val="0"/>
          <w:bCs/>
          <w:color w:val="auto"/>
          <w:sz w:val="36"/>
          <w:szCs w:val="36"/>
          <w:highlight w:val="none"/>
          <w:shd w:val="clear" w:color="auto" w:fill="FFFFFF"/>
        </w:rPr>
        <w:t>技术标详细审查评分表</w:t>
      </w:r>
    </w:p>
    <w:p>
      <w:pPr>
        <w:pStyle w:val="19"/>
        <w:widowControl/>
        <w:jc w:val="left"/>
        <w:rPr>
          <w:rFonts w:ascii="微软雅黑" w:hAnsi="微软雅黑" w:eastAsia="微软雅黑" w:cs="微软雅黑"/>
          <w:color w:val="auto"/>
          <w:highlight w:val="none"/>
        </w:rPr>
      </w:pPr>
      <w:r>
        <w:rPr>
          <w:rFonts w:hint="eastAsia" w:ascii="宋体" w:hAnsi="宋体" w:cs="宋体"/>
          <w:color w:val="auto"/>
          <w:sz w:val="22"/>
          <w:highlight w:val="none"/>
          <w:shd w:val="clear" w:color="auto" w:fill="FFFFFF"/>
        </w:rPr>
        <w:t>工程名称：</w:t>
      </w:r>
    </w:p>
    <w:tbl>
      <w:tblPr>
        <w:tblStyle w:val="22"/>
        <w:tblpPr w:leftFromText="180" w:rightFromText="180" w:vertAnchor="text" w:horzAnchor="page" w:tblpX="1002" w:tblpY="313"/>
        <w:tblOverlap w:val="never"/>
        <w:tblW w:w="52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100"/>
        <w:gridCol w:w="1241"/>
        <w:gridCol w:w="665"/>
        <w:gridCol w:w="1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361" w:type="pct"/>
            <w:shd w:val="clear" w:color="auto" w:fill="FFFFFF"/>
            <w:vAlign w:val="center"/>
          </w:tcPr>
          <w:p>
            <w:pPr>
              <w:widowControl/>
              <w:spacing w:line="276" w:lineRule="auto"/>
              <w:jc w:val="center"/>
              <w:rPr>
                <w:rFonts w:ascii="宋体" w:hAnsi="宋体" w:cs="宋体"/>
                <w:color w:val="auto"/>
                <w:kern w:val="0"/>
                <w:szCs w:val="21"/>
                <w:highlight w:val="none"/>
                <w:shd w:val="clear" w:color="auto" w:fill="FFFFFF"/>
                <w:lang w:val="zh-TW"/>
              </w:rPr>
            </w:pPr>
            <w:r>
              <w:rPr>
                <w:rFonts w:hint="eastAsia" w:ascii="宋体" w:hAnsi="宋体" w:cs="宋体"/>
                <w:bCs/>
                <w:color w:val="auto"/>
                <w:kern w:val="0"/>
                <w:szCs w:val="21"/>
                <w:highlight w:val="none"/>
              </w:rPr>
              <w:t>评分项目</w:t>
            </w:r>
          </w:p>
        </w:tc>
        <w:tc>
          <w:tcPr>
            <w:tcW w:w="406" w:type="pct"/>
            <w:shd w:val="clear" w:color="auto" w:fill="FFFFFF"/>
            <w:vAlign w:val="center"/>
          </w:tcPr>
          <w:p>
            <w:pPr>
              <w:widowControl/>
              <w:spacing w:line="276" w:lineRule="auto"/>
              <w:jc w:val="center"/>
              <w:rPr>
                <w:rStyle w:val="31"/>
                <w:rFonts w:ascii="宋体" w:hAnsi="宋体" w:cs="宋体"/>
                <w:b/>
                <w:bCs/>
                <w:color w:val="auto"/>
                <w:szCs w:val="21"/>
                <w:highlight w:val="none"/>
              </w:rPr>
            </w:pPr>
            <w:r>
              <w:rPr>
                <w:rFonts w:hint="eastAsia" w:ascii="宋体" w:hAnsi="宋体" w:cs="宋体"/>
                <w:bCs/>
                <w:color w:val="auto"/>
                <w:kern w:val="0"/>
                <w:szCs w:val="21"/>
                <w:highlight w:val="none"/>
              </w:rPr>
              <w:t>评分内容</w:t>
            </w:r>
          </w:p>
        </w:tc>
        <w:tc>
          <w:tcPr>
            <w:tcW w:w="218" w:type="pct"/>
            <w:shd w:val="clear" w:color="auto" w:fill="FFFFFF"/>
            <w:vAlign w:val="center"/>
          </w:tcPr>
          <w:p>
            <w:pPr>
              <w:widowControl/>
              <w:spacing w:line="276"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分值</w:t>
            </w:r>
          </w:p>
        </w:tc>
        <w:tc>
          <w:tcPr>
            <w:tcW w:w="4012" w:type="pct"/>
            <w:shd w:val="clear" w:color="auto" w:fill="FFFFFF"/>
            <w:vAlign w:val="center"/>
          </w:tcPr>
          <w:p>
            <w:pPr>
              <w:widowControl/>
              <w:spacing w:line="276" w:lineRule="auto"/>
              <w:jc w:val="center"/>
              <w:rPr>
                <w:rFonts w:ascii="宋体" w:hAnsi="宋体" w:cs="宋体"/>
                <w:color w:val="auto"/>
                <w:szCs w:val="21"/>
                <w:highlight w:val="none"/>
              </w:rPr>
            </w:pPr>
            <w:r>
              <w:rPr>
                <w:rFonts w:hint="eastAsia" w:ascii="宋体" w:hAnsi="宋体" w:cs="宋体"/>
                <w:bCs/>
                <w:color w:val="auto"/>
                <w:kern w:val="0"/>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24" w:hRule="atLeast"/>
        </w:trPr>
        <w:tc>
          <w:tcPr>
            <w:tcW w:w="361" w:type="pct"/>
            <w:vMerge w:val="restart"/>
            <w:shd w:val="clear" w:color="auto" w:fill="FFFFFF"/>
            <w:vAlign w:val="center"/>
          </w:tcPr>
          <w:p>
            <w:pPr>
              <w:snapToGrid w:val="0"/>
              <w:jc w:val="center"/>
              <w:rPr>
                <w:rFonts w:ascii="宋体" w:hAnsi="宋体" w:cs="宋体"/>
                <w:color w:val="auto"/>
                <w:kern w:val="0"/>
                <w:szCs w:val="21"/>
                <w:highlight w:val="none"/>
                <w:shd w:val="clear" w:color="auto" w:fill="FFFFFF"/>
                <w:lang w:val="zh-TW"/>
              </w:rPr>
            </w:pPr>
            <w:r>
              <w:rPr>
                <w:rFonts w:hint="eastAsia" w:ascii="宋体" w:hAnsi="宋体" w:cs="宋体"/>
                <w:color w:val="auto"/>
                <w:kern w:val="0"/>
                <w:szCs w:val="21"/>
                <w:highlight w:val="none"/>
                <w:shd w:val="clear" w:color="auto" w:fill="FFFFFF"/>
                <w:lang w:val="zh-TW"/>
              </w:rPr>
              <w:t>项目管理</w:t>
            </w:r>
          </w:p>
          <w:p>
            <w:pPr>
              <w:snapToGrid w:val="0"/>
              <w:jc w:val="center"/>
              <w:rPr>
                <w:rFonts w:ascii="宋体" w:hAnsi="宋体" w:cs="宋体"/>
                <w:color w:val="auto"/>
                <w:kern w:val="0"/>
                <w:szCs w:val="21"/>
                <w:highlight w:val="none"/>
                <w:shd w:val="clear" w:color="auto" w:fill="FFFFFF"/>
                <w:lang w:val="zh-TW"/>
              </w:rPr>
            </w:pPr>
            <w:r>
              <w:rPr>
                <w:rFonts w:hint="eastAsia" w:ascii="宋体" w:hAnsi="宋体" w:cs="宋体"/>
                <w:color w:val="auto"/>
                <w:kern w:val="0"/>
                <w:szCs w:val="21"/>
                <w:highlight w:val="none"/>
                <w:shd w:val="clear" w:color="auto" w:fill="FFFFFF"/>
                <w:lang w:val="zh-TW"/>
              </w:rPr>
              <w:t>机构能力</w:t>
            </w:r>
          </w:p>
          <w:p>
            <w:pPr>
              <w:snapToGrid w:val="0"/>
              <w:jc w:val="center"/>
              <w:rPr>
                <w:rFonts w:ascii="宋体" w:hAnsi="宋体" w:cs="宋体"/>
                <w:color w:val="auto"/>
                <w:kern w:val="0"/>
                <w:szCs w:val="21"/>
                <w:highlight w:val="none"/>
              </w:rPr>
            </w:pPr>
            <w:r>
              <w:rPr>
                <w:rFonts w:hint="eastAsia" w:ascii="宋体" w:hAnsi="宋体" w:cs="宋体"/>
                <w:bCs/>
                <w:color w:val="auto"/>
                <w:spacing w:val="10"/>
                <w:kern w:val="0"/>
                <w:szCs w:val="21"/>
                <w:highlight w:val="none"/>
                <w:shd w:val="clear" w:color="auto" w:fill="FFFFFF"/>
              </w:rPr>
              <w:t>(70</w:t>
            </w:r>
            <w:r>
              <w:rPr>
                <w:rFonts w:hint="eastAsia" w:ascii="宋体" w:hAnsi="宋体" w:cs="宋体"/>
                <w:color w:val="auto"/>
                <w:kern w:val="0"/>
                <w:szCs w:val="21"/>
                <w:highlight w:val="none"/>
                <w:shd w:val="clear" w:color="auto" w:fill="FFFFFF"/>
                <w:lang w:val="zh-TW"/>
              </w:rPr>
              <w:t>分)</w:t>
            </w:r>
          </w:p>
        </w:tc>
        <w:tc>
          <w:tcPr>
            <w:tcW w:w="406" w:type="pct"/>
            <w:shd w:val="clear" w:color="auto" w:fill="FFFFFF"/>
            <w:vAlign w:val="center"/>
          </w:tcPr>
          <w:p>
            <w:pPr>
              <w:spacing w:before="100" w:beforeAutospacing="1" w:after="100" w:afterAutospacing="1" w:line="408" w:lineRule="auto"/>
              <w:jc w:val="center"/>
              <w:rPr>
                <w:rFonts w:ascii="宋体" w:hAnsi="宋体" w:cs="宋体"/>
                <w:b/>
                <w:bCs/>
                <w:color w:val="auto"/>
                <w:szCs w:val="21"/>
                <w:highlight w:val="none"/>
              </w:rPr>
            </w:pPr>
            <w:r>
              <w:rPr>
                <w:rStyle w:val="31"/>
                <w:rFonts w:hint="eastAsia" w:ascii="宋体" w:hAnsi="宋体" w:cs="宋体"/>
                <w:b/>
                <w:bCs/>
                <w:color w:val="auto"/>
                <w:szCs w:val="21"/>
                <w:highlight w:val="none"/>
              </w:rPr>
              <w:t>技术负责人</w:t>
            </w:r>
          </w:p>
        </w:tc>
        <w:tc>
          <w:tcPr>
            <w:tcW w:w="218" w:type="pct"/>
            <w:shd w:val="clear" w:color="auto" w:fill="FFFFFF"/>
            <w:vAlign w:val="center"/>
          </w:tcPr>
          <w:p>
            <w:pPr>
              <w:spacing w:before="100" w:beforeAutospacing="1" w:after="100" w:afterAutospacing="1" w:line="40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4012" w:type="pct"/>
            <w:shd w:val="clear" w:color="auto" w:fill="FFFFFF"/>
            <w:vAlign w:val="center"/>
          </w:tcPr>
          <w:p>
            <w:pPr>
              <w:widowControl/>
              <w:jc w:val="left"/>
              <w:rPr>
                <w:rFonts w:ascii="宋体" w:hAnsi="宋体"/>
                <w:color w:val="auto"/>
                <w:szCs w:val="21"/>
                <w:highlight w:val="none"/>
              </w:rPr>
            </w:pPr>
            <w:r>
              <w:rPr>
                <w:rFonts w:hint="eastAsia" w:ascii="宋体" w:hAnsi="宋体"/>
                <w:color w:val="auto"/>
                <w:szCs w:val="21"/>
                <w:highlight w:val="none"/>
              </w:rPr>
              <w:t>投标人拟委派的本工程技术负责人：</w:t>
            </w:r>
          </w:p>
          <w:p>
            <w:pPr>
              <w:widowControl/>
              <w:jc w:val="left"/>
              <w:rPr>
                <w:rFonts w:ascii="宋体" w:hAnsi="宋体"/>
                <w:color w:val="auto"/>
                <w:szCs w:val="21"/>
                <w:highlight w:val="none"/>
              </w:rPr>
            </w:pPr>
            <w:r>
              <w:rPr>
                <w:rFonts w:hint="eastAsia" w:ascii="宋体" w:hAnsi="宋体"/>
                <w:color w:val="auto"/>
                <w:szCs w:val="21"/>
                <w:highlight w:val="none"/>
              </w:rPr>
              <w:t>1、具备机电或电气类专业高级工程师（或以上）职称10年或以上的，得6分； 5年至9年的，得3分；1年至4年的，得1分；不满足上述条件的，不得分。</w:t>
            </w:r>
          </w:p>
          <w:p>
            <w:pPr>
              <w:widowControl/>
              <w:jc w:val="left"/>
              <w:rPr>
                <w:rFonts w:ascii="宋体" w:hAnsi="宋体"/>
                <w:color w:val="auto"/>
                <w:szCs w:val="21"/>
                <w:highlight w:val="none"/>
              </w:rPr>
            </w:pPr>
            <w:r>
              <w:rPr>
                <w:rFonts w:hint="eastAsia" w:ascii="宋体" w:hAnsi="宋体"/>
                <w:color w:val="auto"/>
                <w:szCs w:val="21"/>
                <w:highlight w:val="none"/>
              </w:rPr>
              <w:t>2、工作年限20年或以上的，得4分；15年至19年的，得2分；10年至14年的，得1分；10年以下的，得0.5分。</w:t>
            </w:r>
          </w:p>
          <w:p>
            <w:pPr>
              <w:rPr>
                <w:rFonts w:ascii="宋体" w:hAnsi="宋体"/>
                <w:color w:val="auto"/>
                <w:szCs w:val="21"/>
                <w:highlight w:val="none"/>
              </w:rPr>
            </w:pPr>
            <w:r>
              <w:rPr>
                <w:rFonts w:hint="eastAsia" w:ascii="宋体" w:hAnsi="宋体"/>
                <w:color w:val="auto"/>
                <w:szCs w:val="21"/>
                <w:highlight w:val="none"/>
              </w:rPr>
              <w:t xml:space="preserve">  本项最高得10分。</w:t>
            </w:r>
          </w:p>
          <w:p>
            <w:pPr>
              <w:rPr>
                <w:rFonts w:ascii="宋体" w:hAnsi="宋体" w:cs="宋体"/>
                <w:color w:val="auto"/>
                <w:szCs w:val="21"/>
                <w:highlight w:val="none"/>
              </w:rPr>
            </w:pPr>
            <w:r>
              <w:rPr>
                <w:rFonts w:hint="eastAsia" w:ascii="宋体" w:hAnsi="宋体"/>
                <w:color w:val="auto"/>
                <w:szCs w:val="21"/>
                <w:highlight w:val="none"/>
              </w:rPr>
              <w:t>注：</w:t>
            </w:r>
            <w:r>
              <w:rPr>
                <w:rFonts w:hint="eastAsia" w:ascii="宋体" w:hAnsi="宋体" w:cs="宋体"/>
                <w:color w:val="auto"/>
                <w:szCs w:val="21"/>
                <w:highlight w:val="none"/>
              </w:rPr>
              <w:t>获多个职称证书的只计算最高得分职称，不重复累计。工作年限以毕业证书（专科或以上）毕业时间为准，须提供毕业证书扫描件，否则不得分。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61" w:type="pct"/>
            <w:vMerge w:val="continue"/>
            <w:shd w:val="clear" w:color="auto" w:fill="FFFFFF"/>
            <w:vAlign w:val="center"/>
          </w:tcPr>
          <w:p>
            <w:pPr>
              <w:snapToGrid w:val="0"/>
              <w:jc w:val="center"/>
              <w:rPr>
                <w:rFonts w:ascii="宋体" w:hAnsi="宋体" w:cs="宋体"/>
                <w:color w:val="auto"/>
                <w:kern w:val="0"/>
                <w:szCs w:val="21"/>
                <w:highlight w:val="none"/>
                <w:shd w:val="clear" w:color="auto" w:fill="FFFFFF"/>
                <w:lang w:val="zh-TW"/>
              </w:rPr>
            </w:pPr>
          </w:p>
        </w:tc>
        <w:tc>
          <w:tcPr>
            <w:tcW w:w="406" w:type="pct"/>
            <w:shd w:val="clear" w:color="auto" w:fill="FFFFFF"/>
            <w:vAlign w:val="center"/>
          </w:tcPr>
          <w:p>
            <w:pPr>
              <w:widowControl/>
              <w:spacing w:before="100" w:beforeAutospacing="1" w:after="100" w:afterAutospacing="1" w:line="408" w:lineRule="auto"/>
              <w:jc w:val="center"/>
              <w:rPr>
                <w:rFonts w:ascii="宋体" w:hAnsi="宋体" w:cs="宋体"/>
                <w:b/>
                <w:bCs/>
                <w:color w:val="auto"/>
                <w:szCs w:val="21"/>
                <w:highlight w:val="none"/>
              </w:rPr>
            </w:pPr>
            <w:r>
              <w:rPr>
                <w:rStyle w:val="31"/>
                <w:rFonts w:hint="eastAsia" w:ascii="宋体" w:hAnsi="宋体" w:cs="宋体"/>
                <w:b/>
                <w:bCs/>
                <w:color w:val="auto"/>
                <w:szCs w:val="21"/>
                <w:highlight w:val="none"/>
              </w:rPr>
              <w:t>质量负责人</w:t>
            </w:r>
          </w:p>
        </w:tc>
        <w:tc>
          <w:tcPr>
            <w:tcW w:w="218" w:type="pct"/>
            <w:shd w:val="clear" w:color="auto" w:fill="FFFFFF"/>
            <w:vAlign w:val="center"/>
          </w:tcPr>
          <w:p>
            <w:pPr>
              <w:spacing w:before="100" w:beforeAutospacing="1" w:after="100" w:afterAutospacing="1" w:line="40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4012" w:type="pct"/>
            <w:shd w:val="clear" w:color="auto" w:fill="FFFFFF"/>
            <w:vAlign w:val="center"/>
          </w:tcPr>
          <w:p>
            <w:pPr>
              <w:widowControl/>
              <w:jc w:val="left"/>
              <w:rPr>
                <w:rFonts w:ascii="宋体" w:hAnsi="宋体" w:cs="宋体"/>
                <w:color w:val="auto"/>
                <w:szCs w:val="21"/>
                <w:highlight w:val="none"/>
              </w:rPr>
            </w:pPr>
            <w:r>
              <w:rPr>
                <w:rFonts w:hint="eastAsia" w:ascii="宋体" w:hAnsi="宋体" w:cs="宋体"/>
                <w:color w:val="auto"/>
                <w:szCs w:val="21"/>
                <w:highlight w:val="none"/>
              </w:rPr>
              <w:t>投标人拟委派的本工程质量负责人：</w:t>
            </w:r>
          </w:p>
          <w:p>
            <w:pPr>
              <w:widowControl/>
              <w:jc w:val="left"/>
              <w:rPr>
                <w:rFonts w:ascii="宋体" w:hAnsi="宋体" w:cs="宋体"/>
                <w:color w:val="auto"/>
                <w:szCs w:val="21"/>
                <w:highlight w:val="none"/>
              </w:rPr>
            </w:pPr>
            <w:r>
              <w:rPr>
                <w:rFonts w:hint="eastAsia" w:ascii="宋体" w:hAnsi="宋体" w:cs="宋体"/>
                <w:color w:val="auto"/>
                <w:szCs w:val="21"/>
                <w:highlight w:val="none"/>
              </w:rPr>
              <w:t>1、具备机电或电气类专业高级工程师（或以上）职称10年或以上的，得6分； 5年至9年的，得3分；1年至4年的，得1分；不满足上述条件的，不得分。</w:t>
            </w:r>
          </w:p>
          <w:p>
            <w:pPr>
              <w:widowControl/>
              <w:jc w:val="left"/>
              <w:rPr>
                <w:rFonts w:ascii="宋体" w:hAnsi="宋体" w:cs="宋体"/>
                <w:color w:val="auto"/>
                <w:szCs w:val="21"/>
                <w:highlight w:val="none"/>
              </w:rPr>
            </w:pPr>
            <w:r>
              <w:rPr>
                <w:rFonts w:hint="eastAsia" w:ascii="宋体" w:hAnsi="宋体" w:cs="宋体"/>
                <w:color w:val="auto"/>
                <w:szCs w:val="21"/>
                <w:highlight w:val="none"/>
              </w:rPr>
              <w:t>2、工作年限20年或以上的，得4分；15年至19年的，得2分；10年至14年的，得1分；10年以下的，得0.5分。</w:t>
            </w:r>
          </w:p>
          <w:p>
            <w:pPr>
              <w:rPr>
                <w:rFonts w:ascii="宋体" w:hAnsi="宋体" w:cs="宋体"/>
                <w:color w:val="auto"/>
                <w:szCs w:val="21"/>
                <w:highlight w:val="none"/>
              </w:rPr>
            </w:pPr>
            <w:r>
              <w:rPr>
                <w:rFonts w:hint="eastAsia" w:ascii="宋体" w:hAnsi="宋体" w:cs="宋体"/>
                <w:color w:val="auto"/>
                <w:szCs w:val="21"/>
                <w:highlight w:val="none"/>
              </w:rPr>
              <w:t xml:space="preserve">  本项最高得10分。</w:t>
            </w:r>
          </w:p>
          <w:p>
            <w:pPr>
              <w:rPr>
                <w:rFonts w:ascii="宋体" w:hAnsi="宋体" w:cs="宋体"/>
                <w:color w:val="auto"/>
                <w:szCs w:val="21"/>
                <w:highlight w:val="none"/>
                <w:lang w:val="zh-TW"/>
              </w:rPr>
            </w:pPr>
            <w:r>
              <w:rPr>
                <w:rFonts w:hint="eastAsia" w:ascii="宋体" w:hAnsi="宋体" w:cs="宋体"/>
                <w:color w:val="auto"/>
                <w:szCs w:val="21"/>
                <w:highlight w:val="none"/>
              </w:rPr>
              <w:t>注：获多个职称证书的只计算最高得分职称，不重复累计。工作年限以毕业证书（专科或以上）毕业时间为准，须提供毕业证书扫描件，否则不得分。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2" w:hRule="atLeast"/>
        </w:trPr>
        <w:tc>
          <w:tcPr>
            <w:tcW w:w="361" w:type="pct"/>
            <w:vMerge w:val="continue"/>
            <w:shd w:val="clear" w:color="auto" w:fill="FFFFFF"/>
            <w:vAlign w:val="center"/>
          </w:tcPr>
          <w:p>
            <w:pPr>
              <w:snapToGrid w:val="0"/>
              <w:jc w:val="center"/>
              <w:rPr>
                <w:rFonts w:ascii="宋体" w:hAnsi="宋体" w:cs="宋体"/>
                <w:color w:val="auto"/>
                <w:kern w:val="0"/>
                <w:szCs w:val="21"/>
                <w:highlight w:val="none"/>
                <w:shd w:val="clear" w:color="auto" w:fill="FFFFFF"/>
                <w:lang w:val="zh-TW"/>
              </w:rPr>
            </w:pPr>
          </w:p>
        </w:tc>
        <w:tc>
          <w:tcPr>
            <w:tcW w:w="406" w:type="pct"/>
            <w:shd w:val="clear" w:color="auto" w:fill="FFFFFF"/>
            <w:vAlign w:val="center"/>
          </w:tcPr>
          <w:p>
            <w:pPr>
              <w:widowControl/>
              <w:spacing w:before="100" w:beforeAutospacing="1" w:after="100" w:afterAutospacing="1" w:line="408" w:lineRule="auto"/>
              <w:jc w:val="center"/>
              <w:rPr>
                <w:rFonts w:ascii="宋体" w:hAnsi="宋体" w:cs="宋体"/>
                <w:b/>
                <w:bCs/>
                <w:color w:val="auto"/>
                <w:szCs w:val="21"/>
                <w:highlight w:val="none"/>
              </w:rPr>
            </w:pPr>
            <w:r>
              <w:rPr>
                <w:rStyle w:val="31"/>
                <w:rFonts w:hint="eastAsia" w:ascii="宋体" w:hAnsi="宋体" w:cs="宋体"/>
                <w:b/>
                <w:bCs/>
                <w:color w:val="auto"/>
                <w:szCs w:val="21"/>
                <w:highlight w:val="none"/>
              </w:rPr>
              <w:t>造价负责人</w:t>
            </w:r>
          </w:p>
        </w:tc>
        <w:tc>
          <w:tcPr>
            <w:tcW w:w="218" w:type="pct"/>
            <w:shd w:val="clear" w:color="auto" w:fill="FFFFFF"/>
            <w:vAlign w:val="center"/>
          </w:tcPr>
          <w:p>
            <w:pPr>
              <w:spacing w:before="100" w:beforeAutospacing="1" w:after="100" w:afterAutospacing="1" w:line="40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4012" w:type="pct"/>
            <w:shd w:val="clear" w:color="auto" w:fill="FFFFFF"/>
            <w:vAlign w:val="center"/>
          </w:tcPr>
          <w:p>
            <w:pPr>
              <w:widowControl/>
              <w:jc w:val="left"/>
              <w:rPr>
                <w:rFonts w:ascii="宋体" w:hAnsi="宋体" w:cs="宋体"/>
                <w:color w:val="auto"/>
                <w:szCs w:val="21"/>
                <w:highlight w:val="none"/>
              </w:rPr>
            </w:pPr>
            <w:r>
              <w:rPr>
                <w:rFonts w:hint="eastAsia" w:ascii="宋体" w:hAnsi="宋体" w:cs="宋体"/>
                <w:color w:val="auto"/>
                <w:szCs w:val="21"/>
                <w:highlight w:val="none"/>
              </w:rPr>
              <w:t>投标人拟委派的本工程造价负责人：</w:t>
            </w:r>
          </w:p>
          <w:p>
            <w:pPr>
              <w:widowControl/>
              <w:jc w:val="left"/>
              <w:rPr>
                <w:rFonts w:ascii="宋体" w:hAnsi="宋体" w:cs="宋体"/>
                <w:color w:val="auto"/>
                <w:szCs w:val="21"/>
                <w:highlight w:val="none"/>
              </w:rPr>
            </w:pPr>
            <w:r>
              <w:rPr>
                <w:rFonts w:hint="eastAsia" w:ascii="宋体" w:hAnsi="宋体" w:cs="宋体"/>
                <w:color w:val="auto"/>
                <w:szCs w:val="21"/>
                <w:highlight w:val="none"/>
              </w:rPr>
              <w:t>1、具备机电或电气类专业高级工程师（或以上）职称10年或以上的，得4分； 5年至9年的，得2分；1年至4年的，得1分；不满足上述条件的，不得分。</w:t>
            </w:r>
          </w:p>
          <w:p>
            <w:pPr>
              <w:widowControl/>
              <w:jc w:val="left"/>
              <w:rPr>
                <w:rFonts w:ascii="宋体" w:hAnsi="宋体" w:cs="宋体"/>
                <w:color w:val="auto"/>
                <w:szCs w:val="21"/>
                <w:highlight w:val="none"/>
              </w:rPr>
            </w:pPr>
            <w:r>
              <w:rPr>
                <w:rFonts w:hint="eastAsia" w:ascii="宋体" w:hAnsi="宋体" w:cs="宋体"/>
                <w:color w:val="auto"/>
                <w:szCs w:val="21"/>
                <w:highlight w:val="none"/>
              </w:rPr>
              <w:t>2、具备安装专业注册造价工程师或安装专业一级造价工程师资格的，得2分；具备其他专业注册造价工程师或其他专业一级造价工程师资格的，得1分，没有则不得分。</w:t>
            </w:r>
          </w:p>
          <w:p>
            <w:pPr>
              <w:widowControl/>
              <w:jc w:val="left"/>
              <w:rPr>
                <w:rFonts w:ascii="宋体" w:hAnsi="宋体" w:cs="宋体"/>
                <w:color w:val="auto"/>
                <w:szCs w:val="21"/>
                <w:highlight w:val="none"/>
              </w:rPr>
            </w:pPr>
            <w:r>
              <w:rPr>
                <w:rFonts w:hint="eastAsia" w:ascii="宋体" w:hAnsi="宋体" w:cs="宋体"/>
                <w:color w:val="auto"/>
                <w:szCs w:val="21"/>
                <w:highlight w:val="none"/>
              </w:rPr>
              <w:t>3、工作年限20年或以上的，得4分；15年至19年的，得2分；10年至14年的，得1分；10年以下的，得0.5分。</w:t>
            </w:r>
          </w:p>
          <w:p>
            <w:pPr>
              <w:widowControl/>
              <w:jc w:val="left"/>
              <w:rPr>
                <w:rFonts w:ascii="宋体" w:hAnsi="宋体" w:cs="宋体"/>
                <w:color w:val="auto"/>
                <w:szCs w:val="21"/>
                <w:highlight w:val="none"/>
              </w:rPr>
            </w:pPr>
            <w:r>
              <w:rPr>
                <w:rFonts w:hint="eastAsia" w:ascii="宋体" w:hAnsi="宋体" w:cs="宋体"/>
                <w:color w:val="auto"/>
                <w:szCs w:val="21"/>
                <w:highlight w:val="none"/>
              </w:rPr>
              <w:t xml:space="preserve">  本项最高得10分。</w:t>
            </w:r>
          </w:p>
          <w:p>
            <w:pPr>
              <w:rPr>
                <w:rFonts w:ascii="宋体" w:hAnsi="宋体" w:cs="宋体"/>
                <w:color w:val="auto"/>
                <w:szCs w:val="21"/>
                <w:highlight w:val="none"/>
              </w:rPr>
            </w:pPr>
            <w:r>
              <w:rPr>
                <w:rFonts w:hint="eastAsia" w:ascii="宋体" w:hAnsi="宋体" w:cs="宋体"/>
                <w:color w:val="auto"/>
                <w:szCs w:val="21"/>
                <w:highlight w:val="none"/>
              </w:rPr>
              <w:t>注：须提供注册造价工程师或一级造价工程师注册证书、资格证书及职称证书扫描件、注册造价工程师注册信息查询网站（http://zaojiasys.jianshe99.com/cecaopsys/queryAndSearch/view.do?op=queryUserInfoInit）查询结果网上打印页，否则不得分。获多个职称证书的只计算最高得分职称，不重复累计。工作年限以毕业证书毕业时间为准，须提供毕业证书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61" w:type="pct"/>
            <w:vMerge w:val="continue"/>
            <w:shd w:val="clear" w:color="auto" w:fill="FFFFFF"/>
            <w:vAlign w:val="center"/>
          </w:tcPr>
          <w:p>
            <w:pPr>
              <w:snapToGrid w:val="0"/>
              <w:jc w:val="center"/>
              <w:rPr>
                <w:rFonts w:ascii="宋体" w:hAnsi="宋体" w:cs="宋体"/>
                <w:color w:val="auto"/>
                <w:szCs w:val="21"/>
                <w:highlight w:val="none"/>
              </w:rPr>
            </w:pPr>
          </w:p>
        </w:tc>
        <w:tc>
          <w:tcPr>
            <w:tcW w:w="406" w:type="pct"/>
            <w:shd w:val="clear" w:color="auto" w:fill="FFFFFF"/>
            <w:vAlign w:val="center"/>
          </w:tcPr>
          <w:p>
            <w:pPr>
              <w:widowControl/>
              <w:spacing w:before="100" w:beforeAutospacing="1" w:after="100" w:afterAutospacing="1" w:line="408" w:lineRule="auto"/>
              <w:jc w:val="center"/>
              <w:rPr>
                <w:rFonts w:ascii="宋体" w:hAnsi="宋体" w:cs="宋体"/>
                <w:b/>
                <w:bCs/>
                <w:color w:val="auto"/>
                <w:szCs w:val="21"/>
                <w:highlight w:val="none"/>
              </w:rPr>
            </w:pPr>
            <w:r>
              <w:rPr>
                <w:rStyle w:val="31"/>
                <w:rFonts w:hint="eastAsia" w:ascii="宋体" w:hAnsi="宋体" w:cs="宋体"/>
                <w:b/>
                <w:bCs/>
                <w:color w:val="auto"/>
                <w:szCs w:val="21"/>
                <w:highlight w:val="none"/>
              </w:rPr>
              <w:t>安全负责人</w:t>
            </w:r>
          </w:p>
        </w:tc>
        <w:tc>
          <w:tcPr>
            <w:tcW w:w="218" w:type="pct"/>
            <w:shd w:val="clear" w:color="auto" w:fill="FFFFFF"/>
            <w:vAlign w:val="center"/>
          </w:tcPr>
          <w:p>
            <w:pPr>
              <w:spacing w:before="100" w:beforeAutospacing="1" w:after="100" w:afterAutospacing="1" w:line="40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4012" w:type="pct"/>
            <w:shd w:val="clear" w:color="auto" w:fill="FFFFFF"/>
            <w:vAlign w:val="center"/>
          </w:tcPr>
          <w:p>
            <w:pPr>
              <w:widowControl/>
              <w:jc w:val="left"/>
              <w:rPr>
                <w:rFonts w:ascii="宋体" w:hAnsi="宋体" w:cs="宋体"/>
                <w:color w:val="auto"/>
                <w:szCs w:val="21"/>
                <w:highlight w:val="none"/>
              </w:rPr>
            </w:pPr>
            <w:r>
              <w:rPr>
                <w:rFonts w:hint="eastAsia" w:ascii="宋体" w:hAnsi="宋体" w:cs="宋体"/>
                <w:color w:val="auto"/>
                <w:szCs w:val="21"/>
                <w:highlight w:val="none"/>
              </w:rPr>
              <w:t>投标人拟委派的本工程安全负责人：</w:t>
            </w:r>
          </w:p>
          <w:p>
            <w:pPr>
              <w:widowControl/>
              <w:jc w:val="left"/>
              <w:rPr>
                <w:rFonts w:ascii="宋体" w:hAnsi="宋体" w:cs="宋体"/>
                <w:color w:val="auto"/>
                <w:szCs w:val="21"/>
                <w:highlight w:val="none"/>
              </w:rPr>
            </w:pPr>
            <w:r>
              <w:rPr>
                <w:rFonts w:hint="eastAsia" w:ascii="宋体" w:hAnsi="宋体" w:cs="宋体"/>
                <w:color w:val="auto"/>
                <w:szCs w:val="21"/>
                <w:highlight w:val="none"/>
              </w:rPr>
              <w:t>1、具备机电或电气类专业高级工程师（或以上）职称10年或以上的，得4分； 5年至9年的，得2分；1年至4年的，得1分；不满足上述条件的，不得分。</w:t>
            </w:r>
          </w:p>
          <w:p>
            <w:pPr>
              <w:widowControl/>
              <w:jc w:val="left"/>
              <w:rPr>
                <w:rFonts w:ascii="宋体" w:hAnsi="宋体" w:cs="宋体"/>
                <w:color w:val="auto"/>
                <w:szCs w:val="21"/>
                <w:highlight w:val="none"/>
              </w:rPr>
            </w:pPr>
            <w:r>
              <w:rPr>
                <w:rFonts w:hint="eastAsia" w:ascii="宋体" w:hAnsi="宋体" w:cs="宋体"/>
                <w:color w:val="auto"/>
                <w:szCs w:val="21"/>
                <w:highlight w:val="none"/>
              </w:rPr>
              <w:t xml:space="preserve"> 2、具备注册安全工程师资格的，得2分，没有则不得分。</w:t>
            </w:r>
          </w:p>
          <w:p>
            <w:pPr>
              <w:widowControl/>
              <w:jc w:val="left"/>
              <w:rPr>
                <w:rFonts w:ascii="宋体" w:hAnsi="宋体" w:cs="宋体"/>
                <w:color w:val="auto"/>
                <w:szCs w:val="21"/>
                <w:highlight w:val="none"/>
              </w:rPr>
            </w:pPr>
            <w:r>
              <w:rPr>
                <w:rFonts w:hint="eastAsia" w:ascii="宋体" w:hAnsi="宋体" w:cs="宋体"/>
                <w:color w:val="auto"/>
                <w:szCs w:val="21"/>
                <w:highlight w:val="none"/>
              </w:rPr>
              <w:t>3、工作年限20年或以上的，得4分；15年至19年的，得2分；10年至14年的，得1分；10年以下的，得0.5分。</w:t>
            </w:r>
          </w:p>
          <w:p>
            <w:pPr>
              <w:widowControl/>
              <w:jc w:val="left"/>
              <w:rPr>
                <w:rFonts w:ascii="宋体" w:hAnsi="宋体" w:cs="宋体"/>
                <w:color w:val="auto"/>
                <w:szCs w:val="21"/>
                <w:highlight w:val="none"/>
              </w:rPr>
            </w:pPr>
            <w:r>
              <w:rPr>
                <w:rFonts w:hint="eastAsia" w:ascii="宋体" w:hAnsi="宋体" w:cs="宋体"/>
                <w:color w:val="auto"/>
                <w:szCs w:val="21"/>
                <w:highlight w:val="none"/>
              </w:rPr>
              <w:t xml:space="preserve">  本项最高得10分。</w:t>
            </w:r>
          </w:p>
          <w:p>
            <w:pPr>
              <w:rPr>
                <w:rFonts w:ascii="宋体" w:hAnsi="宋体" w:cs="宋体"/>
                <w:color w:val="auto"/>
                <w:szCs w:val="21"/>
                <w:highlight w:val="none"/>
              </w:rPr>
            </w:pPr>
            <w:r>
              <w:rPr>
                <w:rFonts w:hint="eastAsia" w:ascii="宋体" w:hAnsi="宋体" w:cs="宋体"/>
                <w:color w:val="auto"/>
                <w:szCs w:val="21"/>
                <w:highlight w:val="none"/>
              </w:rPr>
              <w:t>注:须提供注册安全工程师资格证、职称证书扫描件、注册安全工程师注册管理系统网站（http://rmocse.chinasafety.ac.cn/）查询结果网上打印页，否则不得分。安全负责人与专职安全员不能为同一人。工作年限以毕业证书毕业时间为准，须提供毕业证书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61" w:type="pct"/>
            <w:vMerge w:val="continue"/>
            <w:shd w:val="clear" w:color="auto" w:fill="FFFFFF"/>
            <w:vAlign w:val="center"/>
          </w:tcPr>
          <w:p>
            <w:pPr>
              <w:snapToGrid w:val="0"/>
              <w:jc w:val="center"/>
              <w:rPr>
                <w:rFonts w:ascii="宋体" w:hAnsi="宋体" w:cs="宋体"/>
                <w:color w:val="auto"/>
                <w:szCs w:val="21"/>
                <w:highlight w:val="none"/>
              </w:rPr>
            </w:pPr>
          </w:p>
        </w:tc>
        <w:tc>
          <w:tcPr>
            <w:tcW w:w="406" w:type="pct"/>
            <w:shd w:val="clear" w:color="auto" w:fill="FFFFFF"/>
            <w:vAlign w:val="center"/>
          </w:tcPr>
          <w:p>
            <w:pPr>
              <w:widowControl/>
              <w:jc w:val="center"/>
              <w:rPr>
                <w:rFonts w:ascii="宋体" w:hAnsi="宋体" w:cs="宋体"/>
                <w:b/>
                <w:bCs/>
                <w:color w:val="auto"/>
                <w:szCs w:val="21"/>
                <w:highlight w:val="none"/>
              </w:rPr>
            </w:pPr>
            <w:r>
              <w:rPr>
                <w:rStyle w:val="31"/>
                <w:rFonts w:hint="eastAsia" w:ascii="宋体" w:hAnsi="宋体" w:cs="宋体"/>
                <w:b/>
                <w:bCs/>
                <w:color w:val="auto"/>
                <w:szCs w:val="21"/>
                <w:highlight w:val="none"/>
              </w:rPr>
              <w:t>其他人员</w:t>
            </w:r>
          </w:p>
        </w:tc>
        <w:tc>
          <w:tcPr>
            <w:tcW w:w="218" w:type="pct"/>
            <w:shd w:val="clear" w:color="auto" w:fill="FFFFFF"/>
            <w:vAlign w:val="center"/>
          </w:tcPr>
          <w:p>
            <w:pPr>
              <w:jc w:val="center"/>
              <w:rPr>
                <w:rFonts w:ascii="宋体" w:hAnsi="宋体" w:cs="宋体"/>
                <w:color w:val="auto"/>
                <w:kern w:val="0"/>
                <w:szCs w:val="21"/>
                <w:highlight w:val="none"/>
                <w:shd w:val="clear" w:color="auto" w:fill="FFFFFF"/>
              </w:rPr>
            </w:pPr>
            <w:r>
              <w:rPr>
                <w:rFonts w:hint="eastAsia" w:ascii="宋体" w:hAnsi="宋体" w:cs="宋体"/>
                <w:color w:val="auto"/>
                <w:szCs w:val="21"/>
                <w:highlight w:val="none"/>
              </w:rPr>
              <w:t>30</w:t>
            </w:r>
          </w:p>
        </w:tc>
        <w:tc>
          <w:tcPr>
            <w:tcW w:w="4012" w:type="pct"/>
            <w:shd w:val="clear" w:color="auto" w:fill="FFFFFF"/>
            <w:vAlign w:val="center"/>
          </w:tcPr>
          <w:p>
            <w:pPr>
              <w:widowControl/>
              <w:jc w:val="left"/>
              <w:rPr>
                <w:rFonts w:ascii="宋体" w:hAnsi="宋体" w:cs="宋体"/>
                <w:color w:val="auto"/>
                <w:szCs w:val="21"/>
                <w:highlight w:val="none"/>
              </w:rPr>
            </w:pPr>
            <w:r>
              <w:rPr>
                <w:rFonts w:hint="eastAsia" w:ascii="宋体" w:hAnsi="宋体" w:cs="宋体"/>
                <w:color w:val="auto"/>
                <w:szCs w:val="21"/>
                <w:highlight w:val="none"/>
              </w:rPr>
              <w:t>拟投入本项目的各专业人员配置（除项目负责人、技术负责人、质量负责人、安全负责人、造价负责人外）：</w:t>
            </w:r>
          </w:p>
          <w:p>
            <w:pPr>
              <w:widowControl/>
              <w:jc w:val="left"/>
              <w:rPr>
                <w:rFonts w:ascii="宋体" w:hAnsi="宋体" w:cs="宋体"/>
                <w:color w:val="auto"/>
                <w:szCs w:val="21"/>
                <w:highlight w:val="none"/>
              </w:rPr>
            </w:pPr>
            <w:r>
              <w:rPr>
                <w:rFonts w:hint="eastAsia" w:ascii="宋体" w:hAnsi="宋体" w:cs="宋体"/>
                <w:color w:val="auto"/>
                <w:szCs w:val="21"/>
                <w:highlight w:val="none"/>
              </w:rPr>
              <w:t>1、机电或电气类专业高级或以上职称6人、注册电气工程师1人、施工员3人、质检员3人、安全员（含专职安全员）3人、材料员3人、资料员3人、测量员3人、劳务员3人，达到以上标准或以上的，得30分；</w:t>
            </w:r>
          </w:p>
          <w:p>
            <w:pPr>
              <w:widowControl/>
              <w:jc w:val="left"/>
              <w:rPr>
                <w:rFonts w:ascii="宋体" w:hAnsi="宋体" w:cs="宋体"/>
                <w:color w:val="auto"/>
                <w:szCs w:val="21"/>
                <w:highlight w:val="none"/>
              </w:rPr>
            </w:pPr>
            <w:r>
              <w:rPr>
                <w:rFonts w:hint="eastAsia" w:ascii="宋体" w:hAnsi="宋体" w:cs="宋体"/>
                <w:color w:val="auto"/>
                <w:szCs w:val="21"/>
                <w:highlight w:val="none"/>
              </w:rPr>
              <w:t>2、机电或电气类专业高级或以上职称4人、注册电气工程师1人、施工员2人、质检员2人、安全员（含专职安全员）2人、材料员2人、资料员2人、测量员2人、劳务员2人，达到以上标准的，得20分；</w:t>
            </w:r>
          </w:p>
          <w:p>
            <w:pPr>
              <w:widowControl/>
              <w:jc w:val="left"/>
              <w:rPr>
                <w:rFonts w:ascii="宋体" w:hAnsi="宋体" w:cs="宋体"/>
                <w:color w:val="auto"/>
                <w:szCs w:val="21"/>
                <w:highlight w:val="none"/>
              </w:rPr>
            </w:pPr>
            <w:r>
              <w:rPr>
                <w:rFonts w:hint="eastAsia" w:ascii="宋体" w:hAnsi="宋体" w:cs="宋体"/>
                <w:color w:val="auto"/>
                <w:szCs w:val="21"/>
                <w:highlight w:val="none"/>
              </w:rPr>
              <w:t>3、机电或电气类专业高级或以上职称2人、注册电气工程师1人、施工员1人、质检员1人、安全员（含专职安全员）1人、材料员1人、资料员1人、测量员1人、劳务员1人，达到以上标准的，得10分；</w:t>
            </w:r>
          </w:p>
          <w:p>
            <w:pPr>
              <w:widowControl/>
              <w:jc w:val="left"/>
              <w:rPr>
                <w:rFonts w:ascii="宋体" w:hAnsi="宋体" w:cs="宋体"/>
                <w:color w:val="auto"/>
                <w:szCs w:val="21"/>
                <w:highlight w:val="none"/>
              </w:rPr>
            </w:pPr>
            <w:r>
              <w:rPr>
                <w:rFonts w:hint="eastAsia" w:ascii="宋体" w:hAnsi="宋体" w:cs="宋体"/>
                <w:color w:val="auto"/>
                <w:szCs w:val="21"/>
                <w:highlight w:val="none"/>
              </w:rPr>
              <w:t>4、不满足上述情况的，得0分。</w:t>
            </w:r>
          </w:p>
          <w:p>
            <w:pPr>
              <w:widowControl/>
              <w:jc w:val="left"/>
              <w:rPr>
                <w:rFonts w:ascii="宋体" w:hAnsi="宋体" w:cs="宋体"/>
                <w:color w:val="auto"/>
                <w:szCs w:val="21"/>
                <w:highlight w:val="none"/>
              </w:rPr>
            </w:pPr>
            <w:r>
              <w:rPr>
                <w:rFonts w:hint="eastAsia" w:ascii="宋体" w:hAnsi="宋体" w:cs="宋体"/>
                <w:color w:val="auto"/>
                <w:szCs w:val="21"/>
                <w:highlight w:val="none"/>
              </w:rPr>
              <w:t>本项最高得分30分。</w:t>
            </w:r>
          </w:p>
          <w:p>
            <w:pPr>
              <w:widowControl/>
              <w:jc w:val="left"/>
              <w:rPr>
                <w:rFonts w:ascii="宋体" w:hAnsi="宋体" w:cs="宋体"/>
                <w:color w:val="auto"/>
                <w:szCs w:val="21"/>
                <w:highlight w:val="none"/>
              </w:rPr>
            </w:pPr>
            <w:r>
              <w:rPr>
                <w:rFonts w:hint="eastAsia" w:ascii="宋体" w:hAnsi="宋体" w:cs="宋体"/>
                <w:color w:val="auto"/>
                <w:szCs w:val="21"/>
                <w:highlight w:val="none"/>
              </w:rPr>
              <w:t>注：须提供职称证、注册证书、岗位证（培训证）扫描件并加盖投标单位电子印章，否则不得分。</w:t>
            </w:r>
          </w:p>
          <w:p>
            <w:pPr>
              <w:rPr>
                <w:rFonts w:ascii="宋体" w:hAnsi="宋体" w:cs="宋体"/>
                <w:color w:val="auto"/>
                <w:szCs w:val="21"/>
                <w:highlight w:val="none"/>
              </w:rPr>
            </w:pPr>
            <w:r>
              <w:rPr>
                <w:rFonts w:hint="eastAsia" w:ascii="宋体" w:hAnsi="宋体" w:cs="宋体"/>
                <w:color w:val="auto"/>
                <w:szCs w:val="21"/>
                <w:highlight w:val="none"/>
              </w:rPr>
              <w:t>工作票专业人员须提供供电部门系统颁发的考试合格证明文件扫描件并加盖投标单位电子印章，否则不得分。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61" w:type="pct"/>
            <w:vMerge w:val="restart"/>
            <w:shd w:val="clear" w:color="auto" w:fill="FFFFFF"/>
            <w:vAlign w:val="center"/>
          </w:tcPr>
          <w:p>
            <w:pPr>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shd w:val="clear" w:color="auto" w:fill="FFFFFF"/>
                <w:lang w:val="zh-TW"/>
              </w:rPr>
              <w:t>企业资信</w:t>
            </w:r>
            <w:r>
              <w:rPr>
                <w:rFonts w:hint="eastAsia" w:ascii="宋体" w:hAnsi="宋体" w:cs="宋体"/>
                <w:bCs/>
                <w:color w:val="auto"/>
                <w:spacing w:val="10"/>
                <w:kern w:val="0"/>
                <w:szCs w:val="21"/>
                <w:highlight w:val="none"/>
                <w:shd w:val="clear" w:color="auto" w:fill="FFFFFF"/>
              </w:rPr>
              <w:t>(30</w:t>
            </w:r>
            <w:r>
              <w:rPr>
                <w:rFonts w:hint="eastAsia" w:ascii="宋体" w:hAnsi="宋体" w:cs="宋体"/>
                <w:color w:val="auto"/>
                <w:kern w:val="0"/>
                <w:szCs w:val="21"/>
                <w:highlight w:val="none"/>
                <w:shd w:val="clear" w:color="auto" w:fill="FFFFFF"/>
                <w:lang w:val="zh-TW"/>
              </w:rPr>
              <w:t>分</w:t>
            </w:r>
            <w:r>
              <w:rPr>
                <w:rFonts w:hint="eastAsia" w:ascii="宋体" w:hAnsi="宋体" w:cs="宋体"/>
                <w:bCs/>
                <w:color w:val="auto"/>
                <w:spacing w:val="10"/>
                <w:kern w:val="0"/>
                <w:szCs w:val="21"/>
                <w:highlight w:val="none"/>
                <w:shd w:val="clear" w:color="auto" w:fill="FFFFFF"/>
              </w:rPr>
              <w:t>)</w:t>
            </w:r>
          </w:p>
        </w:tc>
        <w:tc>
          <w:tcPr>
            <w:tcW w:w="406" w:type="pct"/>
            <w:shd w:val="clear" w:color="auto" w:fill="FFFFFF"/>
            <w:vAlign w:val="center"/>
          </w:tcPr>
          <w:p>
            <w:pPr>
              <w:spacing w:before="156" w:beforeLines="50" w:after="156" w:afterLines="50"/>
              <w:ind w:right="105" w:rightChars="50"/>
              <w:jc w:val="center"/>
              <w:rPr>
                <w:rFonts w:ascii="宋体" w:hAnsi="宋体" w:cs="宋体"/>
                <w:b/>
                <w:bCs/>
                <w:color w:val="auto"/>
                <w:spacing w:val="-10"/>
                <w:szCs w:val="21"/>
                <w:highlight w:val="none"/>
              </w:rPr>
            </w:pPr>
            <w:r>
              <w:rPr>
                <w:rFonts w:hint="eastAsia" w:ascii="宋体" w:hAnsi="宋体" w:cs="宋体"/>
                <w:b/>
                <w:bCs/>
                <w:color w:val="auto"/>
                <w:szCs w:val="21"/>
                <w:highlight w:val="none"/>
              </w:rPr>
              <w:t>企业业绩</w:t>
            </w:r>
          </w:p>
        </w:tc>
        <w:tc>
          <w:tcPr>
            <w:tcW w:w="218" w:type="pct"/>
            <w:shd w:val="clear" w:color="auto" w:fill="FFFFFF"/>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4012" w:type="pct"/>
            <w:shd w:val="clear" w:color="auto" w:fill="FFFFFF"/>
            <w:vAlign w:val="center"/>
          </w:tcPr>
          <w:p>
            <w:pPr>
              <w:widowControl/>
              <w:jc w:val="left"/>
              <w:rPr>
                <w:rFonts w:ascii="宋体" w:hAnsi="宋体" w:cs="宋体"/>
                <w:color w:val="auto"/>
                <w:szCs w:val="21"/>
                <w:highlight w:val="none"/>
              </w:rPr>
            </w:pPr>
            <w:r>
              <w:rPr>
                <w:rFonts w:hint="eastAsia" w:ascii="宋体" w:hAnsi="宋体" w:cs="宋体"/>
                <w:color w:val="auto"/>
                <w:szCs w:val="21"/>
                <w:highlight w:val="none"/>
              </w:rPr>
              <w:t>投标人自2020年1月1日至今完成过质量合格且电压等级为10kV或以上的单项合同金额大于或等于300万元的类似工程业绩，每项得2分。</w:t>
            </w:r>
          </w:p>
          <w:p>
            <w:pPr>
              <w:widowControl/>
              <w:jc w:val="left"/>
              <w:rPr>
                <w:rFonts w:ascii="宋体" w:hAnsi="宋体" w:cs="宋体"/>
                <w:color w:val="auto"/>
                <w:szCs w:val="21"/>
                <w:highlight w:val="none"/>
              </w:rPr>
            </w:pPr>
            <w:r>
              <w:rPr>
                <w:rFonts w:hint="eastAsia" w:ascii="宋体" w:hAnsi="宋体" w:cs="宋体"/>
                <w:color w:val="auto"/>
                <w:szCs w:val="21"/>
                <w:highlight w:val="none"/>
              </w:rPr>
              <w:t>本项最高得8分。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7" w:hRule="atLeast"/>
        </w:trPr>
        <w:tc>
          <w:tcPr>
            <w:tcW w:w="361" w:type="pct"/>
            <w:vMerge w:val="continue"/>
            <w:shd w:val="clear" w:color="auto" w:fill="FFFFFF"/>
            <w:vAlign w:val="center"/>
          </w:tcPr>
          <w:p>
            <w:pPr>
              <w:snapToGrid w:val="0"/>
              <w:jc w:val="center"/>
              <w:rPr>
                <w:rFonts w:ascii="宋体" w:hAnsi="宋体" w:cs="宋体"/>
                <w:color w:val="auto"/>
                <w:kern w:val="0"/>
                <w:szCs w:val="21"/>
                <w:highlight w:val="none"/>
                <w:shd w:val="clear" w:color="auto" w:fill="FFFFFF"/>
                <w:lang w:val="zh-TW"/>
              </w:rPr>
            </w:pPr>
          </w:p>
        </w:tc>
        <w:tc>
          <w:tcPr>
            <w:tcW w:w="406" w:type="pct"/>
            <w:shd w:val="clear" w:color="auto" w:fill="FFFFFF"/>
            <w:vAlign w:val="center"/>
          </w:tcPr>
          <w:p>
            <w:pPr>
              <w:snapToGrid w:val="0"/>
              <w:spacing w:before="156" w:beforeLines="50" w:after="156" w:afterLines="50"/>
              <w:ind w:right="105" w:rightChars="50"/>
              <w:jc w:val="center"/>
              <w:rPr>
                <w:rFonts w:ascii="宋体" w:hAnsi="宋体" w:cs="宋体"/>
                <w:b/>
                <w:bCs/>
                <w:color w:val="auto"/>
                <w:szCs w:val="21"/>
                <w:highlight w:val="none"/>
              </w:rPr>
            </w:pPr>
            <w:r>
              <w:rPr>
                <w:rFonts w:hint="eastAsia" w:ascii="宋体" w:hAnsi="宋体" w:cs="宋体"/>
                <w:b/>
                <w:bCs/>
                <w:color w:val="auto"/>
                <w:szCs w:val="21"/>
                <w:highlight w:val="none"/>
              </w:rPr>
              <w:t>工程奖项</w:t>
            </w:r>
          </w:p>
        </w:tc>
        <w:tc>
          <w:tcPr>
            <w:tcW w:w="218" w:type="pct"/>
            <w:shd w:val="clear" w:color="auto" w:fill="FFFFF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8</w:t>
            </w:r>
          </w:p>
        </w:tc>
        <w:tc>
          <w:tcPr>
            <w:tcW w:w="4012" w:type="pct"/>
            <w:shd w:val="clear" w:color="auto" w:fill="FFFFFF"/>
            <w:vAlign w:val="center"/>
          </w:tcPr>
          <w:p>
            <w:pPr>
              <w:widowControl/>
              <w:jc w:val="left"/>
              <w:rPr>
                <w:rFonts w:ascii="宋体" w:hAnsi="宋体" w:cs="宋体"/>
                <w:color w:val="auto"/>
                <w:szCs w:val="21"/>
                <w:highlight w:val="none"/>
              </w:rPr>
            </w:pPr>
            <w:r>
              <w:rPr>
                <w:rFonts w:hint="eastAsia" w:ascii="宋体" w:hAnsi="宋体" w:cs="宋体"/>
                <w:color w:val="auto"/>
                <w:szCs w:val="21"/>
                <w:highlight w:val="none"/>
              </w:rPr>
              <w:t>1、投标人自2020年1月1日至今承接工程，获得过国家级工程质量奖项的，每项得2分；</w:t>
            </w:r>
          </w:p>
          <w:p>
            <w:pPr>
              <w:widowControl/>
              <w:jc w:val="left"/>
              <w:rPr>
                <w:rFonts w:ascii="宋体" w:hAnsi="宋体" w:cs="宋体"/>
                <w:color w:val="auto"/>
                <w:szCs w:val="21"/>
                <w:highlight w:val="none"/>
              </w:rPr>
            </w:pPr>
            <w:r>
              <w:rPr>
                <w:rFonts w:hint="eastAsia" w:ascii="宋体" w:hAnsi="宋体" w:cs="宋体"/>
                <w:color w:val="auto"/>
                <w:szCs w:val="21"/>
                <w:highlight w:val="none"/>
              </w:rPr>
              <w:t>2、投标人自2020年1月1日至今承接工程，获得过省级工程质量奖项的，每项得1分；</w:t>
            </w:r>
          </w:p>
          <w:p>
            <w:pPr>
              <w:widowControl/>
              <w:jc w:val="left"/>
              <w:rPr>
                <w:rFonts w:ascii="宋体" w:hAnsi="宋体" w:cs="宋体"/>
                <w:color w:val="auto"/>
                <w:szCs w:val="21"/>
                <w:highlight w:val="none"/>
              </w:rPr>
            </w:pPr>
            <w:r>
              <w:rPr>
                <w:rFonts w:hint="eastAsia" w:ascii="宋体" w:hAnsi="宋体" w:cs="宋体"/>
                <w:color w:val="auto"/>
                <w:szCs w:val="21"/>
                <w:highlight w:val="none"/>
              </w:rPr>
              <w:t>3、投标人自2020年1月1日至今承接工程，获得过市级工程质量奖项的，每项得0.5分。</w:t>
            </w:r>
          </w:p>
          <w:p>
            <w:pPr>
              <w:widowControl/>
              <w:jc w:val="left"/>
              <w:rPr>
                <w:rFonts w:ascii="宋体" w:hAnsi="宋体" w:cs="宋体"/>
                <w:color w:val="auto"/>
                <w:szCs w:val="21"/>
                <w:highlight w:val="none"/>
              </w:rPr>
            </w:pPr>
            <w:r>
              <w:rPr>
                <w:rFonts w:hint="eastAsia" w:ascii="宋体" w:hAnsi="宋体" w:cs="宋体"/>
                <w:color w:val="auto"/>
                <w:szCs w:val="21"/>
                <w:highlight w:val="none"/>
              </w:rPr>
              <w:t>本项最高得8分。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61" w:type="pct"/>
            <w:vMerge w:val="continue"/>
            <w:shd w:val="clear" w:color="auto" w:fill="FFFFFF"/>
            <w:vAlign w:val="center"/>
          </w:tcPr>
          <w:p>
            <w:pPr>
              <w:snapToGrid w:val="0"/>
              <w:jc w:val="center"/>
              <w:rPr>
                <w:rFonts w:ascii="宋体" w:hAnsi="宋体" w:cs="宋体"/>
                <w:color w:val="auto"/>
                <w:kern w:val="0"/>
                <w:szCs w:val="21"/>
                <w:highlight w:val="none"/>
                <w:shd w:val="clear" w:color="auto" w:fill="FFFFFF"/>
                <w:lang w:val="zh-TW"/>
              </w:rPr>
            </w:pPr>
          </w:p>
        </w:tc>
        <w:tc>
          <w:tcPr>
            <w:tcW w:w="406" w:type="pct"/>
            <w:shd w:val="clear" w:color="auto" w:fill="FFFFFF"/>
            <w:vAlign w:val="center"/>
          </w:tcPr>
          <w:p>
            <w:pPr>
              <w:snapToGrid w:val="0"/>
              <w:spacing w:before="156" w:beforeLines="50" w:after="156" w:afterLines="50"/>
              <w:ind w:right="105" w:rightChars="50"/>
              <w:jc w:val="center"/>
              <w:rPr>
                <w:rFonts w:ascii="宋体" w:hAnsi="宋体" w:cs="宋体"/>
                <w:b/>
                <w:bCs/>
                <w:color w:val="auto"/>
                <w:szCs w:val="21"/>
                <w:highlight w:val="none"/>
              </w:rPr>
            </w:pPr>
            <w:r>
              <w:rPr>
                <w:rFonts w:hint="eastAsia" w:ascii="宋体" w:hAnsi="宋体" w:cs="宋体"/>
                <w:b/>
                <w:bCs/>
                <w:color w:val="auto"/>
                <w:szCs w:val="21"/>
                <w:highlight w:val="none"/>
              </w:rPr>
              <w:t>第三方评价</w:t>
            </w:r>
          </w:p>
        </w:tc>
        <w:tc>
          <w:tcPr>
            <w:tcW w:w="218" w:type="pct"/>
            <w:shd w:val="clear" w:color="auto" w:fill="FFFFF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4012" w:type="pct"/>
            <w:shd w:val="clear" w:color="auto" w:fill="FFFFFF"/>
            <w:vAlign w:val="center"/>
          </w:tcPr>
          <w:p>
            <w:pPr>
              <w:widowControl/>
              <w:jc w:val="left"/>
              <w:rPr>
                <w:rFonts w:ascii="宋体" w:hAnsi="宋体" w:cs="宋体"/>
                <w:color w:val="auto"/>
                <w:szCs w:val="21"/>
                <w:highlight w:val="none"/>
              </w:rPr>
            </w:pPr>
            <w:r>
              <w:rPr>
                <w:rFonts w:hint="eastAsia" w:ascii="宋体" w:hAnsi="宋体" w:cs="宋体"/>
                <w:color w:val="auto"/>
                <w:szCs w:val="21"/>
                <w:highlight w:val="none"/>
              </w:rPr>
              <w:t>投标人具备有效期内的质量管理体系、职业健康安全管理体系、环境管理体系认证证书、知识产权体系认证证书,全部满足的得6分；每少一证扣2分。</w:t>
            </w:r>
          </w:p>
          <w:p>
            <w:pPr>
              <w:widowControl/>
              <w:jc w:val="left"/>
              <w:rPr>
                <w:rFonts w:ascii="宋体" w:hAnsi="宋体" w:cs="宋体"/>
                <w:color w:val="auto"/>
                <w:szCs w:val="21"/>
                <w:highlight w:val="none"/>
              </w:rPr>
            </w:pPr>
            <w:r>
              <w:rPr>
                <w:rFonts w:hint="eastAsia" w:ascii="宋体" w:hAnsi="宋体" w:cs="宋体"/>
                <w:color w:val="auto"/>
                <w:szCs w:val="21"/>
                <w:highlight w:val="none"/>
              </w:rPr>
              <w:t>本项最高得6分</w:t>
            </w:r>
            <w:r>
              <w:rPr>
                <w:rFonts w:hint="eastAsia"/>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61" w:type="pct"/>
            <w:vMerge w:val="continue"/>
            <w:shd w:val="clear" w:color="auto" w:fill="FFFFFF"/>
            <w:vAlign w:val="center"/>
          </w:tcPr>
          <w:p>
            <w:pPr>
              <w:snapToGrid w:val="0"/>
              <w:jc w:val="center"/>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99</w:t>
            </w:r>
          </w:p>
        </w:tc>
        <w:tc>
          <w:tcPr>
            <w:tcW w:w="406" w:type="pct"/>
            <w:shd w:val="clear" w:color="auto" w:fill="FFFFFF"/>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szCs w:val="21"/>
                <w:highlight w:val="none"/>
                <w:lang w:val="zh-CN"/>
              </w:rPr>
              <w:t>企业研发能力</w:t>
            </w:r>
          </w:p>
        </w:tc>
        <w:tc>
          <w:tcPr>
            <w:tcW w:w="218" w:type="pct"/>
            <w:shd w:val="clear" w:color="auto" w:fill="FFFFFF"/>
            <w:vAlign w:val="center"/>
          </w:tcPr>
          <w:p>
            <w:pPr>
              <w:widowControl/>
              <w:jc w:val="center"/>
              <w:rPr>
                <w:rFonts w:ascii="宋体" w:hAnsi="宋体" w:cs="宋体"/>
                <w:bCs/>
                <w:color w:val="auto"/>
                <w:kern w:val="0"/>
                <w:szCs w:val="21"/>
                <w:highlight w:val="none"/>
              </w:rPr>
            </w:pPr>
            <w:r>
              <w:rPr>
                <w:rFonts w:hint="eastAsia" w:ascii="宋体" w:hAnsi="宋体" w:cs="宋体"/>
                <w:color w:val="auto"/>
                <w:szCs w:val="21"/>
                <w:highlight w:val="none"/>
              </w:rPr>
              <w:t>8</w:t>
            </w:r>
          </w:p>
        </w:tc>
        <w:tc>
          <w:tcPr>
            <w:tcW w:w="4012" w:type="pct"/>
            <w:shd w:val="clear" w:color="auto" w:fill="FFFFFF"/>
            <w:vAlign w:val="center"/>
          </w:tcPr>
          <w:p>
            <w:pPr>
              <w:widowControl/>
              <w:jc w:val="left"/>
              <w:rPr>
                <w:rFonts w:ascii="宋体" w:hAnsi="宋体" w:cs="宋体"/>
                <w:color w:val="auto"/>
                <w:szCs w:val="21"/>
                <w:highlight w:val="none"/>
              </w:rPr>
            </w:pPr>
            <w:r>
              <w:rPr>
                <w:rFonts w:hint="eastAsia" w:ascii="宋体" w:hAnsi="宋体" w:cs="宋体"/>
                <w:color w:val="auto"/>
                <w:szCs w:val="21"/>
                <w:highlight w:val="none"/>
              </w:rPr>
              <w:t>投标人自2020年1月1日至今作为主要完成单位获得省级或以上工法奖项证书的，每个得0.5分。</w:t>
            </w:r>
          </w:p>
          <w:p>
            <w:pPr>
              <w:rPr>
                <w:rFonts w:ascii="宋体" w:hAnsi="宋体" w:cs="宋体"/>
                <w:color w:val="auto"/>
                <w:szCs w:val="21"/>
                <w:highlight w:val="none"/>
              </w:rPr>
            </w:pPr>
            <w:r>
              <w:rPr>
                <w:rFonts w:hint="eastAsia" w:ascii="宋体" w:hAnsi="宋体" w:cs="宋体"/>
                <w:color w:val="auto"/>
                <w:szCs w:val="21"/>
                <w:highlight w:val="none"/>
              </w:rPr>
              <w:t>本项最高得8分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768" w:type="pct"/>
            <w:gridSpan w:val="2"/>
            <w:shd w:val="clear" w:color="auto" w:fill="FFFFFF"/>
            <w:vAlign w:val="center"/>
          </w:tcPr>
          <w:p>
            <w:pPr>
              <w:snapToGrid w:val="0"/>
              <w:jc w:val="center"/>
              <w:rPr>
                <w:rFonts w:ascii="宋体" w:hAnsi="宋体" w:cs="宋体"/>
                <w:color w:val="auto"/>
                <w:kern w:val="0"/>
                <w:szCs w:val="21"/>
                <w:highlight w:val="none"/>
                <w:shd w:val="clear" w:color="auto" w:fill="FFFFFF"/>
                <w:lang w:val="zh-TW"/>
              </w:rPr>
            </w:pPr>
            <w:r>
              <w:rPr>
                <w:rFonts w:hint="eastAsia" w:ascii="宋体" w:hAnsi="宋体" w:cs="宋体"/>
                <w:color w:val="auto"/>
                <w:kern w:val="0"/>
                <w:szCs w:val="21"/>
                <w:highlight w:val="none"/>
                <w:shd w:val="clear" w:color="auto" w:fill="FFFFFF"/>
                <w:lang w:val="zh-TW"/>
              </w:rPr>
              <w:t>合计</w:t>
            </w:r>
          </w:p>
        </w:tc>
        <w:tc>
          <w:tcPr>
            <w:tcW w:w="218" w:type="pct"/>
            <w:shd w:val="clear" w:color="auto" w:fill="FFFFFF"/>
            <w:vAlign w:val="center"/>
          </w:tcPr>
          <w:p>
            <w:pPr>
              <w:snapToGrid w:val="0"/>
              <w:jc w:val="center"/>
              <w:rPr>
                <w:rFonts w:ascii="宋体" w:hAnsi="宋体" w:cs="宋体"/>
                <w:color w:val="auto"/>
                <w:spacing w:val="10"/>
                <w:kern w:val="0"/>
                <w:szCs w:val="21"/>
                <w:highlight w:val="none"/>
                <w:shd w:val="clear" w:color="auto" w:fill="FFFFFF"/>
              </w:rPr>
            </w:pPr>
            <w:r>
              <w:rPr>
                <w:rFonts w:hint="eastAsia" w:ascii="宋体" w:hAnsi="宋体" w:cs="宋体"/>
                <w:bCs/>
                <w:color w:val="auto"/>
                <w:spacing w:val="10"/>
                <w:kern w:val="0"/>
                <w:szCs w:val="21"/>
                <w:highlight w:val="none"/>
                <w:shd w:val="clear" w:color="auto" w:fill="FFFFFF"/>
              </w:rPr>
              <w:t>100</w:t>
            </w:r>
          </w:p>
        </w:tc>
        <w:tc>
          <w:tcPr>
            <w:tcW w:w="4012" w:type="pct"/>
            <w:shd w:val="clear" w:color="auto" w:fill="FFFFFF"/>
            <w:vAlign w:val="center"/>
          </w:tcPr>
          <w:p>
            <w:pPr>
              <w:snapToGrid w:val="0"/>
              <w:jc w:val="left"/>
              <w:rPr>
                <w:rFonts w:ascii="宋体" w:hAnsi="宋体" w:cs="宋体"/>
                <w:color w:val="auto"/>
                <w:kern w:val="0"/>
                <w:szCs w:val="21"/>
                <w:highlight w:val="none"/>
                <w:shd w:val="clear" w:color="auto" w:fill="FFFFFF"/>
                <w:lang w:val="zh-TW"/>
              </w:rPr>
            </w:pPr>
          </w:p>
        </w:tc>
      </w:tr>
    </w:tbl>
    <w:p>
      <w:pPr>
        <w:spacing w:line="360" w:lineRule="exact"/>
        <w:jc w:val="left"/>
        <w:rPr>
          <w:rFonts w:ascii="宋体" w:hAnsi="宋体" w:cs="宋体"/>
          <w:color w:val="auto"/>
          <w:szCs w:val="21"/>
          <w:highlight w:val="none"/>
        </w:rPr>
      </w:pPr>
      <w:r>
        <w:rPr>
          <w:rFonts w:hint="eastAsia" w:ascii="宋体" w:hAnsi="宋体" w:cs="宋体"/>
          <w:color w:val="auto"/>
          <w:szCs w:val="21"/>
          <w:highlight w:val="none"/>
        </w:rPr>
        <w:t>备注：</w:t>
      </w:r>
    </w:p>
    <w:p>
      <w:pPr>
        <w:spacing w:line="360" w:lineRule="exact"/>
        <w:ind w:left="180" w:hanging="180" w:hangingChars="100"/>
        <w:jc w:val="left"/>
        <w:rPr>
          <w:rFonts w:ascii="宋体" w:hAnsi="宋体" w:cs="宋体"/>
          <w:color w:val="auto"/>
          <w:sz w:val="18"/>
          <w:szCs w:val="18"/>
          <w:highlight w:val="none"/>
        </w:rPr>
      </w:pPr>
      <w:r>
        <w:rPr>
          <w:rFonts w:hint="eastAsia" w:ascii="宋体" w:hAnsi="宋体" w:cs="宋体"/>
          <w:color w:val="auto"/>
          <w:sz w:val="18"/>
          <w:szCs w:val="18"/>
          <w:highlight w:val="none"/>
        </w:rPr>
        <w:t>1.类似业绩：指</w:t>
      </w:r>
      <w:r>
        <w:rPr>
          <w:rFonts w:ascii="宋体" w:hAnsi="宋体" w:cs="宋体"/>
          <w:color w:val="auto"/>
          <w:sz w:val="18"/>
          <w:szCs w:val="18"/>
          <w:highlight w:val="none"/>
        </w:rPr>
        <w:t>20</w:t>
      </w:r>
      <w:r>
        <w:rPr>
          <w:rFonts w:hint="eastAsia" w:ascii="宋体" w:hAnsi="宋体" w:cs="宋体"/>
          <w:color w:val="auto"/>
          <w:sz w:val="18"/>
          <w:szCs w:val="18"/>
          <w:highlight w:val="none"/>
        </w:rPr>
        <w:t>20年1月1日至今完成的质量合格且电压等级为10kV或以上的单项合同金额大于或等于300万元的电力施工工程。</w:t>
      </w:r>
    </w:p>
    <w:p>
      <w:pPr>
        <w:spacing w:line="360" w:lineRule="exact"/>
        <w:ind w:left="180" w:hanging="180" w:hangingChars="100"/>
        <w:jc w:val="left"/>
        <w:rPr>
          <w:rFonts w:ascii="宋体" w:hAnsi="宋体" w:cs="宋体"/>
          <w:color w:val="auto"/>
          <w:sz w:val="18"/>
          <w:szCs w:val="18"/>
          <w:highlight w:val="none"/>
        </w:rPr>
      </w:pPr>
      <w:r>
        <w:rPr>
          <w:rFonts w:hint="eastAsia" w:ascii="宋体" w:hAnsi="宋体" w:cs="宋体"/>
          <w:color w:val="auto"/>
          <w:sz w:val="18"/>
          <w:szCs w:val="18"/>
          <w:highlight w:val="none"/>
        </w:rPr>
        <w:t>（1）施工总承包业绩或单独发包的专业工程业绩：需同时提供中标通知书或免招标的相关证明、施工合同、竣工验收报告或竣工验收证明。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如以上资料不能证明业绩规模的技术指标（指电压等级、金额等）的，须另提供可证明业绩技术指标的其他资料；</w:t>
      </w:r>
    </w:p>
    <w:p>
      <w:pPr>
        <w:spacing w:line="360" w:lineRule="exact"/>
        <w:ind w:left="210" w:leftChars="100"/>
        <w:jc w:val="left"/>
        <w:rPr>
          <w:rFonts w:ascii="宋体" w:hAnsi="宋体" w:cs="宋体"/>
          <w:color w:val="auto"/>
          <w:sz w:val="18"/>
          <w:szCs w:val="18"/>
          <w:highlight w:val="none"/>
        </w:rPr>
      </w:pPr>
      <w:r>
        <w:rPr>
          <w:rFonts w:hint="eastAsia" w:ascii="宋体" w:hAnsi="宋体" w:cs="宋体"/>
          <w:color w:val="auto"/>
          <w:sz w:val="18"/>
          <w:szCs w:val="18"/>
          <w:highlight w:val="none"/>
        </w:rPr>
        <w:t>完成时间：①适用于施工总承包业绩：完成时间以竣工验收文件为准。②适用于单独发包的专业工程业绩：完成时间以子分部工程质量验收记录时间为准。</w:t>
      </w:r>
    </w:p>
    <w:p>
      <w:pPr>
        <w:spacing w:line="360" w:lineRule="exact"/>
        <w:ind w:left="180" w:hanging="180" w:hangingChars="100"/>
        <w:jc w:val="left"/>
        <w:rPr>
          <w:rFonts w:ascii="宋体" w:hAnsi="宋体" w:cs="宋体"/>
          <w:color w:val="auto"/>
          <w:sz w:val="18"/>
          <w:szCs w:val="18"/>
          <w:highlight w:val="none"/>
        </w:rPr>
      </w:pPr>
      <w:r>
        <w:rPr>
          <w:rFonts w:hint="eastAsia" w:ascii="宋体" w:hAnsi="宋体" w:cs="宋体"/>
          <w:color w:val="auto"/>
          <w:sz w:val="18"/>
          <w:szCs w:val="18"/>
          <w:highlight w:val="none"/>
        </w:rPr>
        <w:t>（2）由总承包单位依法分包的专业工程业绩，需同时提供总承包单位的中标通知书或免招标的相关证明、分包合同、竣工验收报告或竣工验收证明。金额以分包合同中约定的合同金额为准。如以上资料不能证明业绩规模的技术指标（指电压等级、金额等）的，须另提供可证明业绩技术指标的其他资料；完成时间以子分部工程质量验收记录时间为准。验收记录至少具有建设单位、设计、施工和监理单位盖章。</w:t>
      </w:r>
    </w:p>
    <w:p>
      <w:pPr>
        <w:spacing w:line="360" w:lineRule="exact"/>
        <w:ind w:left="241" w:hanging="241" w:hangingChars="134"/>
        <w:rPr>
          <w:rFonts w:ascii="宋体" w:hAnsi="宋体" w:cs="宋体"/>
          <w:color w:val="auto"/>
          <w:sz w:val="18"/>
          <w:szCs w:val="18"/>
          <w:highlight w:val="none"/>
        </w:rPr>
      </w:pPr>
      <w:r>
        <w:rPr>
          <w:rFonts w:hint="eastAsia" w:ascii="宋体" w:hAnsi="宋体" w:cs="宋体"/>
          <w:color w:val="auto"/>
          <w:sz w:val="18"/>
          <w:szCs w:val="18"/>
          <w:highlight w:val="none"/>
        </w:rPr>
        <w:t>（3）须提供上述证明材料清晰扫描件并加盖投标人电子印章，否则将不予以计分。投标单位可提供施工合同关键页，但应至少包括合同封面、合同指标金额规模页、合同盖章页）。</w:t>
      </w:r>
    </w:p>
    <w:p>
      <w:pPr>
        <w:spacing w:line="360" w:lineRule="exact"/>
        <w:ind w:left="141" w:leftChars="40" w:hanging="57" w:hangingChars="32"/>
        <w:rPr>
          <w:rFonts w:ascii="宋体" w:hAnsi="宋体" w:cs="宋体"/>
          <w:color w:val="auto"/>
          <w:sz w:val="18"/>
          <w:szCs w:val="18"/>
          <w:highlight w:val="none"/>
        </w:rPr>
      </w:pPr>
      <w:r>
        <w:rPr>
          <w:rFonts w:hint="eastAsia" w:ascii="宋体" w:hAnsi="宋体" w:cs="宋体"/>
          <w:color w:val="auto"/>
          <w:sz w:val="18"/>
          <w:szCs w:val="18"/>
          <w:highlight w:val="none"/>
        </w:rPr>
        <w:t>(4）不符合上述条件或未提供上述资料的不得分。</w:t>
      </w:r>
    </w:p>
    <w:p>
      <w:pPr>
        <w:spacing w:line="360" w:lineRule="exact"/>
        <w:ind w:left="180" w:hanging="180" w:hangingChars="100"/>
        <w:jc w:val="left"/>
        <w:rPr>
          <w:rFonts w:ascii="宋体" w:hAnsi="宋体" w:cs="宋体"/>
          <w:color w:val="auto"/>
          <w:sz w:val="18"/>
          <w:szCs w:val="18"/>
          <w:highlight w:val="none"/>
        </w:rPr>
      </w:pPr>
      <w:r>
        <w:rPr>
          <w:rFonts w:hint="eastAsia" w:ascii="宋体" w:hAnsi="宋体" w:cs="宋体"/>
          <w:color w:val="auto"/>
          <w:sz w:val="18"/>
          <w:szCs w:val="18"/>
          <w:highlight w:val="none"/>
        </w:rPr>
        <w:t>2.工程奖项：①同一项目获奖按最高级别奖项只计一次得分，获奖时间以发证日期为准；②国家级奖项包括：中国建设工程鲁班奖、国家优质工程金质奖、国家优质工程奖、中国土木工程詹天佑奖、中国电力工程优质奖；省级奖项是指由省级建设行政主管部门或行业协会颁发（行业协会须在民政部门备案）的质量奖项；市级奖项是指由市级建设行政主管部门或行业协会颁发（行业协会须在民政部门备案）的质量奖项；③只计算建筑工程及电力工程获奖得分，其他非房建项目，如：路桥、铁路、水利、化工、冶金等获奖不参与计分；④按项目最高获奖只计算一次得分，不重复计算，参建项目获奖不计分。不按要求提供的不计分；⑤投标人须提供获奖证书原件清晰扫描件并加盖投标单位电子印章，否则将不予以计分。</w:t>
      </w:r>
    </w:p>
    <w:p>
      <w:pPr>
        <w:spacing w:line="360" w:lineRule="exact"/>
        <w:ind w:left="180" w:hanging="180" w:hangingChars="100"/>
        <w:jc w:val="left"/>
        <w:rPr>
          <w:rFonts w:ascii="宋体" w:hAnsi="宋体" w:cs="宋体"/>
          <w:color w:val="auto"/>
          <w:sz w:val="18"/>
          <w:szCs w:val="18"/>
          <w:highlight w:val="none"/>
        </w:rPr>
      </w:pPr>
      <w:r>
        <w:rPr>
          <w:rFonts w:hint="eastAsia" w:cs="宋体"/>
          <w:color w:val="auto"/>
          <w:sz w:val="18"/>
          <w:szCs w:val="18"/>
          <w:highlight w:val="none"/>
        </w:rPr>
        <w:t>3</w:t>
      </w:r>
      <w:r>
        <w:rPr>
          <w:rFonts w:hint="eastAsia" w:ascii="宋体" w:hAnsi="宋体" w:cs="宋体"/>
          <w:color w:val="auto"/>
          <w:sz w:val="18"/>
          <w:szCs w:val="18"/>
          <w:highlight w:val="none"/>
        </w:rPr>
        <w:t>.第三方评价：需提供证书清晰扫描件并加盖投标人电子印章及在中国国家认证认可监督管理委员会认证认可业务信息统一查询平台（</w:t>
      </w:r>
      <w:r>
        <w:rPr>
          <w:rFonts w:cs="宋体"/>
          <w:color w:val="auto"/>
          <w:sz w:val="18"/>
          <w:szCs w:val="18"/>
          <w:highlight w:val="none"/>
        </w:rPr>
        <w:t>http://cx.cnca.cn/CertECloud/index/index/page</w:t>
      </w:r>
      <w:r>
        <w:rPr>
          <w:rFonts w:hint="eastAsia" w:ascii="宋体" w:hAnsi="宋体" w:cs="宋体"/>
          <w:color w:val="auto"/>
          <w:sz w:val="18"/>
          <w:szCs w:val="18"/>
          <w:highlight w:val="none"/>
        </w:rPr>
        <w:t>）上查询结果的截图，证书状态必须为“有效”，不提供、提供不全或不符合要求不得分。</w:t>
      </w:r>
    </w:p>
    <w:p>
      <w:pPr>
        <w:spacing w:line="360" w:lineRule="exact"/>
        <w:ind w:left="241" w:hanging="241" w:hangingChars="134"/>
        <w:rPr>
          <w:rFonts w:ascii="宋体" w:hAnsi="宋体" w:cs="宋体"/>
          <w:color w:val="auto"/>
          <w:sz w:val="18"/>
          <w:szCs w:val="18"/>
          <w:highlight w:val="none"/>
        </w:rPr>
      </w:pPr>
      <w:r>
        <w:rPr>
          <w:rFonts w:hint="eastAsia" w:ascii="宋体" w:hAnsi="宋体" w:cs="宋体"/>
          <w:color w:val="auto"/>
          <w:sz w:val="18"/>
          <w:szCs w:val="18"/>
          <w:highlight w:val="none"/>
        </w:rPr>
        <w:t>4.企业研发能力，提供经建设行政主管部门认定的获奖证书原件清晰扫描件并加盖投标单位电子印章，相同工法按最高级别奖项只计一次得分。获奖时间以发证时间为准。如颁奖单位为协会的，还须提供该协会在“中国社会组织政务服务平台”有登记的网页查询截图（网址：https://chinanpo.mca.gov.cn/），证明其有登记备案，否则不得分。</w:t>
      </w:r>
    </w:p>
    <w:p>
      <w:pPr>
        <w:spacing w:line="360" w:lineRule="exact"/>
        <w:ind w:left="241" w:hanging="241" w:hangingChars="134"/>
        <w:rPr>
          <w:rFonts w:ascii="宋体" w:hAnsi="宋体" w:cs="宋体"/>
          <w:color w:val="auto"/>
          <w:sz w:val="18"/>
          <w:szCs w:val="18"/>
          <w:highlight w:val="none"/>
        </w:rPr>
      </w:pPr>
      <w:r>
        <w:rPr>
          <w:rFonts w:hint="eastAsia" w:ascii="宋体" w:hAnsi="宋体" w:cs="宋体"/>
          <w:color w:val="auto"/>
          <w:sz w:val="18"/>
          <w:szCs w:val="18"/>
          <w:highlight w:val="none"/>
        </w:rPr>
        <w:t>5.项目管理机构人员均要求为投标单位在职人员，各岗位人员不得相互兼职，投标人须提供相应证书和202</w:t>
      </w: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年</w:t>
      </w:r>
      <w:r>
        <w:rPr>
          <w:rFonts w:hint="eastAsia" w:ascii="宋体" w:hAnsi="宋体" w:cs="宋体"/>
          <w:color w:val="auto"/>
          <w:sz w:val="18"/>
          <w:szCs w:val="18"/>
          <w:highlight w:val="none"/>
          <w:lang w:val="en-US" w:eastAsia="zh-CN"/>
        </w:rPr>
        <w:t>10</w:t>
      </w:r>
      <w:r>
        <w:rPr>
          <w:rFonts w:hint="eastAsia" w:ascii="宋体" w:hAnsi="宋体" w:cs="宋体"/>
          <w:color w:val="auto"/>
          <w:sz w:val="18"/>
          <w:szCs w:val="18"/>
          <w:highlight w:val="none"/>
        </w:rPr>
        <w:t>月的社保缴纳证明材料扫描件并加盖投标人电子印章；社保缴纳期限包含疫情期的，若当地政府部门允许企业在疫情期间缓缴社会保险费且投标人未缴纳的，投标人可提供当地政府部门允许缓缴社保的相关文件作为缴纳社保的证明。中标后需提供投标文件中人员的社保补缴情况相关证明报招标人核实。取得职称证的年限以发证时间开始计算；投标人须按上表要求提交相应的证明文件原件清晰扫描件并加盖投标人电子印章，否则将不予以计分。</w:t>
      </w:r>
    </w:p>
    <w:p>
      <w:pPr>
        <w:spacing w:line="360" w:lineRule="exact"/>
        <w:ind w:left="241" w:hanging="241" w:hangingChars="134"/>
        <w:rPr>
          <w:rFonts w:ascii="宋体" w:hAnsi="宋体" w:cs="宋体"/>
          <w:color w:val="auto"/>
          <w:sz w:val="18"/>
          <w:szCs w:val="18"/>
          <w:highlight w:val="none"/>
        </w:rPr>
      </w:pPr>
      <w:r>
        <w:rPr>
          <w:rFonts w:hint="eastAsia" w:ascii="宋体" w:hAnsi="宋体" w:cs="宋体"/>
          <w:color w:val="auto"/>
          <w:sz w:val="18"/>
          <w:szCs w:val="18"/>
          <w:highlight w:val="none"/>
        </w:rPr>
        <w:t>6.本表按百分制评分，所有评委每个分项的分数汇总后去掉一个最高分和一个最低分的算术平均值为投标人的最终得分。分数出现小数点，保留小数点后二位小数，第三位小数四舍五入。</w:t>
      </w:r>
    </w:p>
    <w:p>
      <w:pPr>
        <w:rPr>
          <w:color w:val="auto"/>
          <w:highlight w:val="none"/>
        </w:rPr>
      </w:pPr>
    </w:p>
    <w:p>
      <w:pPr>
        <w:rPr>
          <w:color w:val="auto"/>
          <w:szCs w:val="21"/>
          <w:highlight w:val="none"/>
        </w:rPr>
      </w:pPr>
    </w:p>
    <w:p>
      <w:pPr>
        <w:rPr>
          <w:color w:val="auto"/>
          <w:sz w:val="24"/>
          <w:szCs w:val="24"/>
          <w:highlight w:val="none"/>
        </w:rPr>
      </w:pPr>
      <w:r>
        <w:rPr>
          <w:rFonts w:hint="eastAsia"/>
          <w:color w:val="auto"/>
          <w:szCs w:val="21"/>
          <w:highlight w:val="none"/>
        </w:rPr>
        <w:br w:type="page"/>
      </w:r>
      <w:r>
        <w:rPr>
          <w:rFonts w:hint="eastAsia"/>
          <w:color w:val="auto"/>
          <w:szCs w:val="21"/>
          <w:highlight w:val="none"/>
        </w:rPr>
        <w:t>附表五（适用于加权平均法）</w:t>
      </w:r>
    </w:p>
    <w:p>
      <w:pPr>
        <w:jc w:val="center"/>
        <w:rPr>
          <w:b/>
          <w:color w:val="auto"/>
          <w:sz w:val="36"/>
          <w:szCs w:val="36"/>
          <w:highlight w:val="none"/>
        </w:rPr>
      </w:pPr>
      <w:r>
        <w:rPr>
          <w:rFonts w:hint="eastAsia"/>
          <w:b/>
          <w:color w:val="auto"/>
          <w:sz w:val="36"/>
          <w:szCs w:val="36"/>
          <w:highlight w:val="none"/>
        </w:rPr>
        <w:t>经济标评分表</w:t>
      </w:r>
    </w:p>
    <w:p>
      <w:pPr>
        <w:rPr>
          <w:color w:val="auto"/>
          <w:szCs w:val="21"/>
          <w:highlight w:val="none"/>
        </w:rPr>
      </w:pPr>
      <w:r>
        <w:rPr>
          <w:rFonts w:hint="eastAsia"/>
          <w:color w:val="auto"/>
          <w:szCs w:val="21"/>
          <w:highlight w:val="none"/>
        </w:rPr>
        <w:t>工程名称：</w:t>
      </w:r>
    </w:p>
    <w:tbl>
      <w:tblPr>
        <w:tblStyle w:val="22"/>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10"/>
        <w:gridCol w:w="1009"/>
        <w:gridCol w:w="21"/>
        <w:gridCol w:w="1013"/>
        <w:gridCol w:w="18"/>
        <w:gridCol w:w="1015"/>
        <w:gridCol w:w="16"/>
        <w:gridCol w:w="1017"/>
        <w:gridCol w:w="14"/>
        <w:gridCol w:w="1019"/>
        <w:gridCol w:w="12"/>
        <w:gridCol w:w="1021"/>
        <w:gridCol w:w="10"/>
        <w:gridCol w:w="1023"/>
        <w:gridCol w:w="8"/>
        <w:gridCol w:w="1025"/>
        <w:gridCol w:w="6"/>
        <w:gridCol w:w="1031"/>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投标人名称</w:t>
            </w:r>
          </w:p>
        </w:tc>
        <w:tc>
          <w:tcPr>
            <w:tcW w:w="103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投标报价PT（元）</w:t>
            </w:r>
          </w:p>
        </w:tc>
        <w:tc>
          <w:tcPr>
            <w:tcW w:w="103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报价权重</w:t>
            </w:r>
          </w:p>
        </w:tc>
        <w:tc>
          <w:tcPr>
            <w:tcW w:w="103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评标参考价PC（元）</w:t>
            </w:r>
          </w:p>
        </w:tc>
        <w:tc>
          <w:tcPr>
            <w:tcW w:w="12384" w:type="dxa"/>
            <w:gridSpan w:val="21"/>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偏差（（PT-PC）/PC）（%）</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4"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减分（A）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4"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得分(I=100-A)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4"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4"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bl>
    <w:p>
      <w:pPr>
        <w:rPr>
          <w:color w:val="auto"/>
          <w:szCs w:val="21"/>
          <w:highlight w:val="none"/>
        </w:rPr>
      </w:pPr>
      <w:r>
        <w:rPr>
          <w:rFonts w:hint="eastAsia"/>
          <w:color w:val="auto"/>
          <w:szCs w:val="21"/>
          <w:highlight w:val="none"/>
        </w:rPr>
        <w:t>评委签名：</w:t>
      </w:r>
    </w:p>
    <w:p>
      <w:pPr>
        <w:rPr>
          <w:color w:val="auto"/>
          <w:szCs w:val="21"/>
          <w:highlight w:val="none"/>
        </w:rPr>
      </w:pPr>
    </w:p>
    <w:p>
      <w:pPr>
        <w:rPr>
          <w:color w:val="auto"/>
          <w:szCs w:val="21"/>
          <w:highlight w:val="none"/>
        </w:rPr>
      </w:pPr>
    </w:p>
    <w:p>
      <w:pPr>
        <w:rPr>
          <w:b/>
          <w:color w:val="auto"/>
          <w:szCs w:val="21"/>
          <w:highlight w:val="none"/>
        </w:rPr>
      </w:pPr>
      <w:r>
        <w:rPr>
          <w:color w:val="auto"/>
          <w:szCs w:val="21"/>
          <w:highlight w:val="none"/>
        </w:rPr>
        <w:br w:type="page"/>
      </w:r>
      <w:r>
        <w:rPr>
          <w:rFonts w:hint="eastAsia"/>
          <w:color w:val="auto"/>
          <w:szCs w:val="21"/>
          <w:highlight w:val="none"/>
        </w:rPr>
        <w:t>附表六</w:t>
      </w:r>
    </w:p>
    <w:p>
      <w:pPr>
        <w:jc w:val="center"/>
        <w:rPr>
          <w:b/>
          <w:color w:val="auto"/>
          <w:sz w:val="36"/>
          <w:szCs w:val="36"/>
          <w:highlight w:val="none"/>
        </w:rPr>
      </w:pPr>
      <w:r>
        <w:rPr>
          <w:rFonts w:hint="eastAsia"/>
          <w:b/>
          <w:color w:val="auto"/>
          <w:sz w:val="36"/>
          <w:szCs w:val="36"/>
          <w:highlight w:val="none"/>
        </w:rPr>
        <w:t>算术复核表</w:t>
      </w:r>
    </w:p>
    <w:p>
      <w:pPr>
        <w:rPr>
          <w:rFonts w:ascii="宋体" w:hAnsi="宋体"/>
          <w:color w:val="auto"/>
          <w:kern w:val="0"/>
          <w:szCs w:val="21"/>
          <w:highlight w:val="none"/>
        </w:rPr>
      </w:pPr>
      <w:r>
        <w:rPr>
          <w:rFonts w:hint="eastAsia"/>
          <w:color w:val="auto"/>
          <w:kern w:val="0"/>
          <w:szCs w:val="21"/>
          <w:highlight w:val="none"/>
        </w:rPr>
        <w:t>工程名称：</w:t>
      </w:r>
      <w:r>
        <w:rPr>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22"/>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修正前投标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修正后投标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修正率</w:t>
            </w:r>
          </w:p>
          <w:p>
            <w:pPr>
              <w:rPr>
                <w:rFonts w:ascii="宋体" w:hAnsi="宋体"/>
                <w:color w:val="auto"/>
                <w:kern w:val="0"/>
                <w:szCs w:val="21"/>
                <w:highlight w:val="none"/>
              </w:rPr>
            </w:pP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pPr>
        <w:rPr>
          <w:color w:val="auto"/>
          <w:highlight w:val="none"/>
        </w:rPr>
      </w:pPr>
    </w:p>
    <w:p>
      <w:pPr>
        <w:rPr>
          <w:color w:val="auto"/>
          <w:highlight w:val="none"/>
        </w:rPr>
      </w:pPr>
      <w:r>
        <w:rPr>
          <w:color w:val="auto"/>
          <w:highlight w:val="none"/>
        </w:rPr>
        <w:br w:type="page"/>
      </w:r>
    </w:p>
    <w:p>
      <w:pPr>
        <w:jc w:val="center"/>
        <w:rPr>
          <w:b/>
          <w:color w:val="auto"/>
          <w:sz w:val="36"/>
          <w:szCs w:val="36"/>
          <w:highlight w:val="none"/>
        </w:rPr>
      </w:pPr>
      <w:r>
        <w:rPr>
          <w:rFonts w:hint="eastAsia"/>
          <w:b/>
          <w:color w:val="auto"/>
          <w:sz w:val="36"/>
          <w:szCs w:val="36"/>
          <w:highlight w:val="none"/>
        </w:rPr>
        <w:t>算术复核表</w:t>
      </w:r>
    </w:p>
    <w:p>
      <w:pPr>
        <w:rPr>
          <w:color w:val="auto"/>
          <w:szCs w:val="21"/>
          <w:highlight w:val="none"/>
        </w:rPr>
      </w:pPr>
      <w:r>
        <w:rPr>
          <w:rFonts w:hint="eastAsia"/>
          <w:color w:val="auto"/>
          <w:szCs w:val="21"/>
          <w:highlight w:val="none"/>
        </w:rPr>
        <w:t>工程名称：</w:t>
      </w:r>
      <w:r>
        <w:rPr>
          <w:color w:val="auto"/>
          <w:szCs w:val="21"/>
          <w:highlight w:val="none"/>
        </w:rPr>
        <w:t xml:space="preserve"> </w:t>
      </w:r>
    </w:p>
    <w:tbl>
      <w:tblPr>
        <w:tblStyle w:val="2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原投标报价（</w:t>
            </w:r>
            <w:r>
              <w:rPr>
                <w:b/>
                <w:color w:val="auto"/>
                <w:sz w:val="28"/>
                <w:szCs w:val="28"/>
                <w:highlight w:val="none"/>
              </w:rPr>
              <w:t>A</w:t>
            </w:r>
            <w:r>
              <w:rPr>
                <w:rFonts w:hint="eastAsia"/>
                <w:b/>
                <w:color w:val="auto"/>
                <w:sz w:val="28"/>
                <w:szCs w:val="28"/>
                <w:highlight w:val="none"/>
              </w:rPr>
              <w:t>）</w:t>
            </w:r>
          </w:p>
        </w:tc>
        <w:tc>
          <w:tcPr>
            <w:tcW w:w="3101"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算数复核后投标报价（</w:t>
            </w:r>
            <w:r>
              <w:rPr>
                <w:b/>
                <w:color w:val="auto"/>
                <w:sz w:val="28"/>
                <w:szCs w:val="28"/>
                <w:highlight w:val="none"/>
              </w:rPr>
              <w:t>B</w:t>
            </w:r>
            <w:r>
              <w:rPr>
                <w:rFonts w:hint="eastAsia"/>
                <w:b/>
                <w:color w:val="auto"/>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误差率（</w:t>
            </w:r>
            <w:r>
              <w:rPr>
                <w:b/>
                <w:color w:val="auto"/>
                <w:sz w:val="28"/>
                <w:szCs w:val="28"/>
                <w:highlight w:val="none"/>
              </w:rPr>
              <w:t>r=|A-B|/A*100%</w:t>
            </w:r>
            <w:r>
              <w:rPr>
                <w:rFonts w:hint="eastAsia"/>
                <w:b/>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bl>
    <w:p>
      <w:pPr>
        <w:rPr>
          <w:color w:val="auto"/>
          <w:szCs w:val="21"/>
          <w:highlight w:val="none"/>
        </w:rPr>
      </w:pPr>
      <w:r>
        <w:rPr>
          <w:rFonts w:hint="eastAsia"/>
          <w:color w:val="auto"/>
          <w:szCs w:val="21"/>
          <w:highlight w:val="none"/>
        </w:rPr>
        <w:t>评委签名：</w:t>
      </w:r>
    </w:p>
    <w:p>
      <w:pPr>
        <w:widowControl/>
        <w:jc w:val="left"/>
        <w:rPr>
          <w:rFonts w:ascii="仿宋_GB2312" w:hAnsi="宋体" w:eastAsia="仿宋_GB2312"/>
          <w:color w:val="auto"/>
          <w:szCs w:val="21"/>
          <w:highlight w:val="none"/>
        </w:rPr>
        <w:sectPr>
          <w:headerReference r:id="rId8" w:type="first"/>
          <w:footerReference r:id="rId11" w:type="first"/>
          <w:headerReference r:id="rId6" w:type="default"/>
          <w:footerReference r:id="rId9" w:type="default"/>
          <w:headerReference r:id="rId7" w:type="even"/>
          <w:footerReference r:id="rId10" w:type="even"/>
          <w:endnotePr>
            <w:numFmt w:val="decimal"/>
          </w:endnotePr>
          <w:pgSz w:w="16838" w:h="11906" w:orient="landscape"/>
          <w:pgMar w:top="1418" w:right="1247" w:bottom="1418" w:left="1134" w:header="851" w:footer="907" w:gutter="0"/>
          <w:cols w:space="720" w:num="1"/>
          <w:titlePg/>
          <w:docGrid w:type="lines" w:linePitch="312" w:charSpace="0"/>
        </w:sectPr>
      </w:pPr>
    </w:p>
    <w:p>
      <w:pPr>
        <w:keepNext/>
        <w:keepLines/>
        <w:spacing w:before="120" w:after="120" w:line="360" w:lineRule="auto"/>
        <w:jc w:val="center"/>
        <w:outlineLvl w:val="0"/>
        <w:rPr>
          <w:b/>
          <w:color w:val="auto"/>
          <w:kern w:val="44"/>
          <w:sz w:val="28"/>
          <w:szCs w:val="28"/>
          <w:highlight w:val="none"/>
        </w:rPr>
      </w:pPr>
      <w:bookmarkStart w:id="67" w:name="_Toc26851"/>
      <w:bookmarkStart w:id="68" w:name="_Toc62056029"/>
      <w:bookmarkStart w:id="69" w:name="_Toc4407"/>
      <w:r>
        <w:rPr>
          <w:rFonts w:hint="eastAsia"/>
          <w:b/>
          <w:color w:val="auto"/>
          <w:kern w:val="44"/>
          <w:sz w:val="28"/>
          <w:szCs w:val="28"/>
          <w:highlight w:val="none"/>
        </w:rPr>
        <w:t>第三章</w:t>
      </w:r>
      <w:r>
        <w:rPr>
          <w:b/>
          <w:color w:val="auto"/>
          <w:kern w:val="44"/>
          <w:sz w:val="28"/>
          <w:szCs w:val="28"/>
          <w:highlight w:val="none"/>
        </w:rPr>
        <w:t xml:space="preserve">  </w:t>
      </w:r>
      <w:r>
        <w:rPr>
          <w:rFonts w:hint="eastAsia"/>
          <w:b/>
          <w:color w:val="auto"/>
          <w:kern w:val="44"/>
          <w:sz w:val="28"/>
          <w:szCs w:val="28"/>
          <w:highlight w:val="none"/>
        </w:rPr>
        <w:t>合同条款</w:t>
      </w:r>
      <w:bookmarkEnd w:id="62"/>
      <w:bookmarkEnd w:id="67"/>
      <w:bookmarkEnd w:id="68"/>
      <w:bookmarkEnd w:id="69"/>
    </w:p>
    <w:p>
      <w:pPr>
        <w:jc w:val="center"/>
        <w:rPr>
          <w:rFonts w:ascii="宋体"/>
          <w:b/>
          <w:color w:val="auto"/>
          <w:sz w:val="28"/>
          <w:szCs w:val="24"/>
          <w:highlight w:val="none"/>
        </w:rPr>
      </w:pPr>
      <w:r>
        <w:rPr>
          <w:rFonts w:hint="eastAsia"/>
          <w:color w:val="auto"/>
          <w:sz w:val="28"/>
          <w:szCs w:val="24"/>
          <w:highlight w:val="none"/>
        </w:rPr>
        <w:t>（</w:t>
      </w:r>
      <w:r>
        <w:rPr>
          <w:rFonts w:hint="eastAsia" w:ascii="宋体" w:hAnsi="宋体"/>
          <w:color w:val="auto"/>
          <w:sz w:val="28"/>
          <w:szCs w:val="24"/>
          <w:highlight w:val="none"/>
        </w:rPr>
        <w:t>另册</w:t>
      </w:r>
      <w:r>
        <w:rPr>
          <w:rFonts w:hint="eastAsia"/>
          <w:color w:val="auto"/>
          <w:sz w:val="28"/>
          <w:szCs w:val="24"/>
          <w:highlight w:val="none"/>
        </w:rPr>
        <w:t>）</w:t>
      </w:r>
    </w:p>
    <w:p>
      <w:pPr>
        <w:rPr>
          <w:b/>
          <w:color w:val="auto"/>
          <w:kern w:val="44"/>
          <w:sz w:val="28"/>
          <w:szCs w:val="28"/>
          <w:highlight w:val="none"/>
        </w:rPr>
      </w:pPr>
      <w:bookmarkStart w:id="70" w:name="_Toc62056030"/>
      <w:bookmarkStart w:id="71" w:name="_Toc2272567"/>
      <w:r>
        <w:rPr>
          <w:rFonts w:hint="eastAsia"/>
          <w:b/>
          <w:color w:val="auto"/>
          <w:kern w:val="44"/>
          <w:sz w:val="28"/>
          <w:szCs w:val="28"/>
          <w:highlight w:val="none"/>
        </w:rPr>
        <w:br w:type="page"/>
      </w:r>
    </w:p>
    <w:p>
      <w:pPr>
        <w:jc w:val="center"/>
        <w:outlineLvl w:val="0"/>
        <w:rPr>
          <w:b/>
          <w:color w:val="auto"/>
          <w:kern w:val="44"/>
          <w:sz w:val="28"/>
          <w:szCs w:val="28"/>
          <w:highlight w:val="none"/>
        </w:rPr>
      </w:pPr>
      <w:bookmarkStart w:id="72" w:name="_Toc22365"/>
      <w:r>
        <w:rPr>
          <w:rFonts w:hint="eastAsia"/>
          <w:b/>
          <w:color w:val="auto"/>
          <w:kern w:val="44"/>
          <w:sz w:val="28"/>
          <w:szCs w:val="28"/>
          <w:highlight w:val="none"/>
        </w:rPr>
        <w:t>第四章</w:t>
      </w:r>
      <w:r>
        <w:rPr>
          <w:b/>
          <w:color w:val="auto"/>
          <w:kern w:val="44"/>
          <w:sz w:val="28"/>
          <w:szCs w:val="28"/>
          <w:highlight w:val="none"/>
        </w:rPr>
        <w:t xml:space="preserve">  </w:t>
      </w:r>
      <w:r>
        <w:rPr>
          <w:rFonts w:hint="eastAsia"/>
          <w:b/>
          <w:color w:val="auto"/>
          <w:kern w:val="44"/>
          <w:sz w:val="28"/>
          <w:szCs w:val="28"/>
          <w:highlight w:val="none"/>
        </w:rPr>
        <w:t>投标文件格式</w:t>
      </w:r>
      <w:bookmarkEnd w:id="70"/>
      <w:bookmarkEnd w:id="71"/>
      <w:bookmarkEnd w:id="72"/>
    </w:p>
    <w:p>
      <w:pPr>
        <w:spacing w:after="120"/>
        <w:ind w:firstLine="420"/>
        <w:jc w:val="center"/>
        <w:outlineLvl w:val="1"/>
        <w:rPr>
          <w:rFonts w:ascii="宋体" w:hAnsi="宋体"/>
          <w:b/>
          <w:color w:val="auto"/>
          <w:sz w:val="28"/>
          <w:szCs w:val="24"/>
          <w:highlight w:val="none"/>
        </w:rPr>
      </w:pPr>
      <w:bookmarkStart w:id="73" w:name="_Toc62056031"/>
      <w:bookmarkStart w:id="74" w:name="_Toc9279"/>
      <w:bookmarkStart w:id="75" w:name="_Toc21532"/>
      <w:bookmarkStart w:id="76" w:name="_Toc504722502"/>
      <w:bookmarkStart w:id="77" w:name="_Toc15311"/>
      <w:r>
        <w:rPr>
          <w:rFonts w:hint="eastAsia" w:ascii="宋体" w:hAnsi="宋体"/>
          <w:b/>
          <w:color w:val="auto"/>
          <w:sz w:val="28"/>
          <w:szCs w:val="24"/>
          <w:highlight w:val="none"/>
        </w:rPr>
        <w:t>一、技术标投标文件格式</w:t>
      </w:r>
      <w:bookmarkEnd w:id="73"/>
      <w:bookmarkEnd w:id="74"/>
      <w:bookmarkEnd w:id="75"/>
      <w:bookmarkEnd w:id="76"/>
      <w:bookmarkEnd w:id="77"/>
    </w:p>
    <w:p>
      <w:pPr>
        <w:widowControl/>
        <w:topLinePunct/>
        <w:adjustRightInd w:val="0"/>
        <w:snapToGrid w:val="0"/>
        <w:spacing w:after="200"/>
        <w:jc w:val="left"/>
        <w:outlineLvl w:val="2"/>
        <w:rPr>
          <w:rFonts w:ascii="宋体" w:hAnsi="宋体"/>
          <w:color w:val="auto"/>
          <w:spacing w:val="4"/>
          <w:kern w:val="0"/>
          <w:sz w:val="24"/>
          <w:szCs w:val="24"/>
          <w:highlight w:val="none"/>
        </w:rPr>
      </w:pPr>
      <w:r>
        <w:rPr>
          <w:rFonts w:ascii="宋体" w:hAnsi="宋体"/>
          <w:b/>
          <w:color w:val="auto"/>
          <w:sz w:val="28"/>
          <w:szCs w:val="24"/>
          <w:highlight w:val="none"/>
        </w:rPr>
        <w:br w:type="page"/>
      </w:r>
      <w:bookmarkStart w:id="78" w:name="_Toc504722503"/>
      <w:bookmarkStart w:id="79" w:name="_Toc24194"/>
      <w:bookmarkStart w:id="80" w:name="_Toc4489935"/>
      <w:bookmarkStart w:id="81" w:name="_Toc17738"/>
      <w:bookmarkStart w:id="82" w:name="_Toc26942"/>
      <w:bookmarkStart w:id="83" w:name="_Toc62056032"/>
      <w:bookmarkStart w:id="84" w:name="_Toc29476911"/>
      <w:r>
        <w:rPr>
          <w:rFonts w:hint="eastAsia" w:ascii="宋体" w:hAnsi="宋体"/>
          <w:color w:val="auto"/>
          <w:spacing w:val="4"/>
          <w:kern w:val="0"/>
          <w:sz w:val="24"/>
          <w:szCs w:val="24"/>
          <w:highlight w:val="none"/>
        </w:rPr>
        <w:t>格式一：技术标封面</w:t>
      </w:r>
      <w:bookmarkEnd w:id="78"/>
      <w:bookmarkEnd w:id="79"/>
      <w:bookmarkEnd w:id="80"/>
      <w:bookmarkEnd w:id="81"/>
      <w:bookmarkEnd w:id="82"/>
      <w:bookmarkEnd w:id="83"/>
      <w:bookmarkEnd w:id="84"/>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jc w:val="center"/>
        <w:rPr>
          <w:rFonts w:ascii="宋体" w:hAnsi="宋体"/>
          <w:color w:val="auto"/>
          <w:spacing w:val="4"/>
          <w:kern w:val="0"/>
          <w:sz w:val="36"/>
          <w:szCs w:val="36"/>
          <w:highlight w:val="none"/>
          <w:u w:val="single"/>
        </w:rPr>
      </w:pPr>
      <w:r>
        <w:rPr>
          <w:rFonts w:hint="eastAsia" w:ascii="宋体" w:hAnsi="宋体"/>
          <w:color w:val="auto"/>
          <w:spacing w:val="4"/>
          <w:kern w:val="0"/>
          <w:sz w:val="36"/>
          <w:szCs w:val="36"/>
          <w:highlight w:val="none"/>
          <w:u w:val="single"/>
        </w:rPr>
        <w:t xml:space="preserve">[工程名称] </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jc w:val="center"/>
        <w:rPr>
          <w:rFonts w:ascii="宋体" w:hAnsi="宋体"/>
          <w:color w:val="auto"/>
          <w:spacing w:val="4"/>
          <w:kern w:val="0"/>
          <w:sz w:val="84"/>
          <w:szCs w:val="84"/>
          <w:highlight w:val="none"/>
        </w:rPr>
      </w:pPr>
      <w:r>
        <w:rPr>
          <w:rFonts w:hint="eastAsia" w:ascii="宋体" w:hAnsi="宋体"/>
          <w:color w:val="auto"/>
          <w:spacing w:val="4"/>
          <w:kern w:val="0"/>
          <w:sz w:val="84"/>
          <w:szCs w:val="84"/>
          <w:highlight w:val="none"/>
        </w:rPr>
        <w:t>投标文件</w:t>
      </w:r>
    </w:p>
    <w:p>
      <w:pPr>
        <w:widowControl/>
        <w:topLinePunct/>
        <w:adjustRightInd w:val="0"/>
        <w:snapToGrid w:val="0"/>
        <w:spacing w:after="200" w:line="360" w:lineRule="auto"/>
        <w:jc w:val="center"/>
        <w:rPr>
          <w:rFonts w:ascii="宋体" w:hAnsi="宋体"/>
          <w:color w:val="auto"/>
          <w:spacing w:val="4"/>
          <w:kern w:val="0"/>
          <w:sz w:val="36"/>
          <w:szCs w:val="36"/>
          <w:highlight w:val="none"/>
        </w:rPr>
      </w:pPr>
      <w:r>
        <w:rPr>
          <w:rFonts w:hint="eastAsia" w:ascii="宋体" w:hAnsi="宋体"/>
          <w:color w:val="auto"/>
          <w:spacing w:val="4"/>
          <w:kern w:val="0"/>
          <w:sz w:val="36"/>
          <w:szCs w:val="36"/>
          <w:highlight w:val="none"/>
        </w:rPr>
        <w:t>第一册  【技术投标书（含资格审查文件）】</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投标人：</w:t>
      </w:r>
      <w:r>
        <w:rPr>
          <w:rFonts w:hint="eastAsia" w:ascii="宋体" w:hAnsi="宋体"/>
          <w:color w:val="auto"/>
          <w:spacing w:val="4"/>
          <w:kern w:val="0"/>
          <w:sz w:val="30"/>
          <w:szCs w:val="30"/>
          <w:highlight w:val="none"/>
          <w:u w:val="single"/>
        </w:rPr>
        <w:t xml:space="preserve">    </w:t>
      </w:r>
      <w:bookmarkStart w:id="85" w:name="_Toc226209002"/>
      <w:bookmarkStart w:id="86" w:name="_Toc239311745"/>
      <w:bookmarkStart w:id="87" w:name="_Toc239216030"/>
      <w:bookmarkStart w:id="88" w:name="_Toc318924494"/>
      <w:bookmarkStart w:id="89" w:name="_Toc337720090"/>
      <w:bookmarkStart w:id="90" w:name="_Toc163337619"/>
      <w:bookmarkStart w:id="91" w:name="_Toc352623420"/>
      <w:bookmarkStart w:id="92" w:name="_Toc464131223"/>
      <w:bookmarkStart w:id="93" w:name="_Toc358370577"/>
      <w:bookmarkStart w:id="94" w:name="_Toc369536769"/>
      <w:bookmarkStart w:id="95" w:name="_Toc352240522"/>
      <w:bookmarkStart w:id="96" w:name="_Toc484958691"/>
      <w:bookmarkStart w:id="97" w:name="_Toc449308419"/>
      <w:bookmarkStart w:id="98" w:name="_Toc395261098"/>
      <w:r>
        <w:rPr>
          <w:rFonts w:hint="eastAsia" w:ascii="宋体" w:hAnsi="宋体"/>
          <w:color w:val="auto"/>
          <w:spacing w:val="4"/>
          <w:kern w:val="0"/>
          <w:sz w:val="30"/>
          <w:szCs w:val="30"/>
          <w:highlight w:val="none"/>
          <w:u w:val="single"/>
        </w:rPr>
        <w:t xml:space="preserve">    （填写投标人单位名称）</w:t>
      </w:r>
      <w:bookmarkEnd w:id="85"/>
      <w:bookmarkEnd w:id="86"/>
      <w:bookmarkEnd w:id="87"/>
      <w:bookmarkEnd w:id="88"/>
      <w:bookmarkEnd w:id="89"/>
      <w:bookmarkEnd w:id="90"/>
      <w:r>
        <w:rPr>
          <w:rFonts w:hint="eastAsia" w:ascii="宋体" w:hAnsi="宋体"/>
          <w:color w:val="auto"/>
          <w:spacing w:val="4"/>
          <w:kern w:val="0"/>
          <w:sz w:val="30"/>
          <w:szCs w:val="30"/>
          <w:highlight w:val="none"/>
          <w:u w:val="single"/>
        </w:rPr>
        <w:t xml:space="preserve">  （</w:t>
      </w:r>
      <w:bookmarkEnd w:id="91"/>
      <w:bookmarkEnd w:id="92"/>
      <w:bookmarkEnd w:id="93"/>
      <w:bookmarkEnd w:id="94"/>
      <w:bookmarkEnd w:id="95"/>
      <w:bookmarkEnd w:id="96"/>
      <w:bookmarkEnd w:id="97"/>
      <w:bookmarkEnd w:id="98"/>
      <w:r>
        <w:rPr>
          <w:rFonts w:hint="eastAsia" w:ascii="宋体" w:hAnsi="宋体"/>
          <w:color w:val="auto"/>
          <w:spacing w:val="4"/>
          <w:kern w:val="0"/>
          <w:sz w:val="30"/>
          <w:szCs w:val="30"/>
          <w:highlight w:val="none"/>
          <w:u w:val="single"/>
        </w:rPr>
        <w:t>盖章）</w:t>
      </w:r>
    </w:p>
    <w:p>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p>
    <w:p>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法定代表人或</w:t>
      </w:r>
    </w:p>
    <w:p>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其委托代理人：</w:t>
      </w:r>
      <w:r>
        <w:rPr>
          <w:rFonts w:hint="eastAsia" w:ascii="宋体" w:hAnsi="宋体"/>
          <w:color w:val="auto"/>
          <w:spacing w:val="4"/>
          <w:kern w:val="0"/>
          <w:sz w:val="30"/>
          <w:szCs w:val="30"/>
          <w:highlight w:val="none"/>
          <w:u w:val="single"/>
        </w:rPr>
        <w:t xml:space="preserve">                   （签名或盖章）</w:t>
      </w:r>
    </w:p>
    <w:p>
      <w:pPr>
        <w:ind w:firstLine="924" w:firstLineChars="300"/>
        <w:rPr>
          <w:rFonts w:ascii="宋体" w:hAnsi="宋体"/>
          <w:color w:val="auto"/>
          <w:sz w:val="24"/>
          <w:szCs w:val="24"/>
          <w:highlight w:val="none"/>
        </w:rPr>
      </w:pPr>
      <w:r>
        <w:rPr>
          <w:rFonts w:hint="eastAsia" w:ascii="宋体" w:hAnsi="宋体"/>
          <w:snapToGrid w:val="0"/>
          <w:color w:val="auto"/>
          <w:spacing w:val="4"/>
          <w:kern w:val="0"/>
          <w:sz w:val="30"/>
          <w:szCs w:val="30"/>
          <w:highlight w:val="none"/>
        </w:rPr>
        <w:t>日  期：</w:t>
      </w:r>
      <w:r>
        <w:rPr>
          <w:rFonts w:hint="eastAsia" w:ascii="宋体" w:hAnsi="宋体"/>
          <w:color w:val="auto"/>
          <w:highlight w:val="none"/>
          <w:u w:val="single"/>
        </w:rPr>
        <w:t xml:space="preserve">                                            </w:t>
      </w:r>
    </w:p>
    <w:p>
      <w:pPr>
        <w:widowControl/>
        <w:topLinePunct/>
        <w:adjustRightInd w:val="0"/>
        <w:snapToGrid w:val="0"/>
        <w:spacing w:after="200"/>
        <w:jc w:val="left"/>
        <w:outlineLvl w:val="2"/>
        <w:rPr>
          <w:rFonts w:ascii="宋体" w:hAnsi="宋体"/>
          <w:color w:val="auto"/>
          <w:spacing w:val="4"/>
          <w:kern w:val="0"/>
          <w:sz w:val="24"/>
          <w:szCs w:val="24"/>
          <w:highlight w:val="none"/>
        </w:rPr>
      </w:pPr>
      <w:r>
        <w:rPr>
          <w:b/>
          <w:color w:val="auto"/>
          <w:highlight w:val="none"/>
        </w:rPr>
        <w:br w:type="page"/>
      </w:r>
      <w:bookmarkStart w:id="99" w:name="_Toc17241"/>
      <w:bookmarkStart w:id="100" w:name="_Toc62056033"/>
      <w:bookmarkStart w:id="101" w:name="_Toc28944"/>
      <w:bookmarkStart w:id="102" w:name="_Toc29476912"/>
      <w:bookmarkStart w:id="103" w:name="_Toc4489936"/>
      <w:r>
        <w:rPr>
          <w:rFonts w:hint="eastAsia" w:ascii="宋体" w:hAnsi="宋体"/>
          <w:color w:val="auto"/>
          <w:spacing w:val="4"/>
          <w:kern w:val="0"/>
          <w:sz w:val="24"/>
          <w:szCs w:val="24"/>
          <w:highlight w:val="none"/>
        </w:rPr>
        <w:t>格式二：广州建设工程施工招标投标书</w:t>
      </w:r>
      <w:bookmarkEnd w:id="99"/>
      <w:bookmarkEnd w:id="100"/>
      <w:bookmarkEnd w:id="101"/>
      <w:bookmarkEnd w:id="102"/>
      <w:bookmarkEnd w:id="103"/>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ind w:left="-540" w:leftChars="-257" w:firstLine="1135"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22"/>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程</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名</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称</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color w:val="auto"/>
                <w:sz w:val="24"/>
                <w:szCs w:val="24"/>
                <w:highlight w:val="none"/>
                <w:lang w:val="zh-CN"/>
              </w:rPr>
            </w:pPr>
            <w:r>
              <w:rPr>
                <w:rFonts w:hint="eastAsia" w:ascii="宋体" w:hAnsi="宋体" w:cs="宋体"/>
                <w:b/>
                <w:color w:val="auto"/>
                <w:sz w:val="24"/>
                <w:szCs w:val="24"/>
                <w:highlight w:val="none"/>
                <w:lang w:val="zh-CN"/>
              </w:rPr>
              <w:t>投</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标</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总工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 w:val="24"/>
                <w:szCs w:val="24"/>
                <w:highlight w:val="none"/>
              </w:rPr>
            </w:pPr>
            <w:r>
              <w:rPr>
                <w:rFonts w:hint="eastAsia" w:ascii="宋体" w:hAnsi="宋体"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2038" w:firstLineChars="846"/>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保</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修</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限</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p>
        </w:tc>
      </w:tr>
    </w:tbl>
    <w:p>
      <w:pPr>
        <w:tabs>
          <w:tab w:val="left" w:pos="720"/>
        </w:tabs>
        <w:snapToGrid w:val="0"/>
        <w:spacing w:line="360" w:lineRule="auto"/>
        <w:rPr>
          <w:color w:val="auto"/>
          <w:sz w:val="24"/>
          <w:szCs w:val="24"/>
          <w:highlight w:val="none"/>
        </w:rPr>
      </w:pPr>
    </w:p>
    <w:p>
      <w:pPr>
        <w:rPr>
          <w:rFonts w:ascii="宋体" w:hAnsi="宋体"/>
          <w:b/>
          <w:snapToGrid w:val="0"/>
          <w:color w:val="auto"/>
          <w:spacing w:val="4"/>
          <w:sz w:val="24"/>
          <w:szCs w:val="24"/>
          <w:highlight w:val="none"/>
        </w:rPr>
      </w:pPr>
      <w:r>
        <w:rPr>
          <w:color w:val="auto"/>
          <w:sz w:val="24"/>
          <w:szCs w:val="24"/>
          <w:highlight w:val="none"/>
        </w:rPr>
        <w:br w:type="page"/>
      </w:r>
    </w:p>
    <w:p>
      <w:pPr>
        <w:widowControl/>
        <w:topLinePunct/>
        <w:adjustRightInd w:val="0"/>
        <w:snapToGrid w:val="0"/>
        <w:spacing w:after="200"/>
        <w:jc w:val="left"/>
        <w:outlineLvl w:val="2"/>
        <w:rPr>
          <w:rFonts w:ascii="宋体" w:hAnsi="宋体"/>
          <w:color w:val="auto"/>
          <w:spacing w:val="4"/>
          <w:kern w:val="0"/>
          <w:sz w:val="24"/>
          <w:szCs w:val="24"/>
          <w:highlight w:val="none"/>
        </w:rPr>
      </w:pPr>
      <w:bookmarkStart w:id="104" w:name="_Toc3854"/>
      <w:bookmarkStart w:id="105" w:name="_Toc62056034"/>
      <w:bookmarkStart w:id="106" w:name="_Toc4489937"/>
      <w:bookmarkStart w:id="107" w:name="_Toc29476913"/>
      <w:bookmarkStart w:id="108" w:name="_Toc4022"/>
      <w:bookmarkStart w:id="109" w:name="_Toc504722505"/>
      <w:bookmarkStart w:id="110" w:name="_Toc22278"/>
      <w:r>
        <w:rPr>
          <w:rFonts w:hint="eastAsia" w:ascii="宋体" w:hAnsi="宋体"/>
          <w:color w:val="auto"/>
          <w:spacing w:val="4"/>
          <w:kern w:val="0"/>
          <w:sz w:val="24"/>
          <w:szCs w:val="24"/>
          <w:highlight w:val="none"/>
        </w:rPr>
        <w:t>格式三：投标函</w:t>
      </w:r>
      <w:bookmarkEnd w:id="104"/>
      <w:bookmarkEnd w:id="105"/>
      <w:bookmarkEnd w:id="106"/>
      <w:bookmarkEnd w:id="107"/>
      <w:bookmarkEnd w:id="108"/>
      <w:bookmarkEnd w:id="109"/>
      <w:bookmarkEnd w:id="110"/>
    </w:p>
    <w:p>
      <w:pPr>
        <w:widowControl/>
        <w:topLinePunct/>
        <w:adjustRightInd w:val="0"/>
        <w:snapToGrid w:val="0"/>
        <w:spacing w:after="200" w:line="360" w:lineRule="auto"/>
        <w:jc w:val="center"/>
        <w:rPr>
          <w:rFonts w:ascii="宋体" w:hAnsi="宋体"/>
          <w:b/>
          <w:color w:val="auto"/>
          <w:spacing w:val="4"/>
          <w:kern w:val="0"/>
          <w:sz w:val="36"/>
          <w:szCs w:val="36"/>
          <w:highlight w:val="none"/>
        </w:rPr>
      </w:pPr>
      <w:r>
        <w:rPr>
          <w:rFonts w:hint="eastAsia" w:ascii="宋体" w:hAnsi="宋体"/>
          <w:b/>
          <w:color w:val="auto"/>
          <w:spacing w:val="4"/>
          <w:kern w:val="0"/>
          <w:sz w:val="36"/>
          <w:szCs w:val="36"/>
          <w:highlight w:val="none"/>
        </w:rPr>
        <w:t>投 标 函</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致：</w:t>
      </w:r>
      <w:r>
        <w:rPr>
          <w:rFonts w:hint="eastAsia" w:ascii="宋体" w:hAnsi="宋体"/>
          <w:color w:val="auto"/>
          <w:spacing w:val="4"/>
          <w:kern w:val="0"/>
          <w:sz w:val="24"/>
          <w:szCs w:val="24"/>
          <w:highlight w:val="none"/>
          <w:u w:val="single"/>
        </w:rPr>
        <w:t xml:space="preserve"> （招标人名称） </w:t>
      </w:r>
    </w:p>
    <w:p>
      <w:pPr>
        <w:widowControl/>
        <w:topLinePunct/>
        <w:adjustRightInd w:val="0"/>
        <w:snapToGrid w:val="0"/>
        <w:spacing w:after="1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1.根据招标人</w:t>
      </w:r>
      <w:r>
        <w:rPr>
          <w:rFonts w:hint="eastAsia" w:ascii="宋体" w:hAnsi="宋体"/>
          <w:color w:val="auto"/>
          <w:spacing w:val="4"/>
          <w:kern w:val="0"/>
          <w:sz w:val="24"/>
          <w:szCs w:val="24"/>
          <w:highlight w:val="none"/>
          <w:u w:val="single"/>
        </w:rPr>
        <w:t xml:space="preserve"> （工程项目名称） </w:t>
      </w:r>
      <w:r>
        <w:rPr>
          <w:rFonts w:hint="eastAsia" w:ascii="宋体" w:hAnsi="宋体"/>
          <w:color w:val="auto"/>
          <w:spacing w:val="4"/>
          <w:kern w:val="0"/>
          <w:sz w:val="24"/>
          <w:szCs w:val="24"/>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widowControl/>
        <w:topLinePunct/>
        <w:adjustRightInd w:val="0"/>
        <w:snapToGrid w:val="0"/>
        <w:spacing w:after="1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2.我方已详细审核全部招标文件，包括修改文件（如有时）及有关附件。</w:t>
      </w:r>
    </w:p>
    <w:p>
      <w:pPr>
        <w:widowControl/>
        <w:topLinePunct/>
        <w:adjustRightInd w:val="0"/>
        <w:snapToGrid w:val="0"/>
        <w:spacing w:after="1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3.如果我方中标，我方保证按照合同文件中规定的开工日期开始施工，并按规定的预计竣工日期完成和交付全部工程。</w:t>
      </w:r>
    </w:p>
    <w:p>
      <w:pPr>
        <w:widowControl/>
        <w:topLinePunct/>
        <w:adjustRightInd w:val="0"/>
        <w:snapToGrid w:val="0"/>
        <w:spacing w:after="1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4.如果我方中标，我方承诺在充分考虑场地环境变化及政策性调整等风险因素的前提下，继续补充完善施工组织设计，直至招标人满意为止并加以实施，由此产生的费用已包含在投标报价中。</w:t>
      </w:r>
    </w:p>
    <w:p>
      <w:pPr>
        <w:widowControl/>
        <w:topLinePunct/>
        <w:adjustRightInd w:val="0"/>
        <w:snapToGrid w:val="0"/>
        <w:spacing w:after="100" w:line="360" w:lineRule="auto"/>
        <w:ind w:firstLine="496" w:firstLineChars="200"/>
        <w:jc w:val="left"/>
        <w:rPr>
          <w:rFonts w:ascii="宋体" w:hAnsi="宋体"/>
          <w:color w:val="auto"/>
          <w:spacing w:val="4"/>
          <w:kern w:val="0"/>
          <w:sz w:val="24"/>
          <w:szCs w:val="24"/>
          <w:highlight w:val="none"/>
          <w:u w:val="single"/>
        </w:rPr>
      </w:pPr>
      <w:r>
        <w:rPr>
          <w:rFonts w:hint="eastAsia" w:ascii="宋体" w:hAnsi="宋体"/>
          <w:color w:val="auto"/>
          <w:spacing w:val="4"/>
          <w:kern w:val="0"/>
          <w:sz w:val="24"/>
          <w:szCs w:val="24"/>
          <w:highlight w:val="none"/>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widowControl/>
        <w:topLinePunct/>
        <w:adjustRightInd w:val="0"/>
        <w:snapToGrid w:val="0"/>
        <w:spacing w:after="1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6.如果我方中标，我方将按照招标文件的规定，按时提交履约担保，以保障本项目优质、优价、按期、顺利完成。</w:t>
      </w:r>
    </w:p>
    <w:p>
      <w:pPr>
        <w:widowControl/>
        <w:topLinePunct/>
        <w:adjustRightInd w:val="0"/>
        <w:snapToGrid w:val="0"/>
        <w:spacing w:after="1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7.我方同意所提交的投标文件在招标文件投标须知中第13条规定的投标有效期内有效，在此期限届满之前，本投标书始终将对我方具有约束力，并随时接受中标。</w:t>
      </w:r>
    </w:p>
    <w:p>
      <w:pPr>
        <w:widowControl/>
        <w:topLinePunct/>
        <w:adjustRightInd w:val="0"/>
        <w:snapToGrid w:val="0"/>
        <w:spacing w:after="1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8.在合同协议书正式签署生效之前，本投标书连同你单位的中标通知书将构成我们双方之间共同遵守的文件，对双方具有约束力。</w:t>
      </w:r>
    </w:p>
    <w:p>
      <w:pPr>
        <w:widowControl/>
        <w:topLinePunct/>
        <w:adjustRightInd w:val="0"/>
        <w:snapToGrid w:val="0"/>
        <w:spacing w:after="1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9.随同本投标文件，我方已提交人民币</w:t>
      </w:r>
      <w:r>
        <w:rPr>
          <w:rFonts w:hint="eastAsia" w:ascii="宋体" w:hAnsi="宋体"/>
          <w:color w:val="auto"/>
          <w:spacing w:val="4"/>
          <w:kern w:val="0"/>
          <w:sz w:val="24"/>
          <w:szCs w:val="24"/>
          <w:highlight w:val="none"/>
          <w:u w:val="single"/>
        </w:rPr>
        <w:t xml:space="preserve">            </w:t>
      </w:r>
      <w:r>
        <w:rPr>
          <w:rFonts w:hint="eastAsia" w:ascii="宋体" w:hAnsi="宋体"/>
          <w:color w:val="auto"/>
          <w:spacing w:val="4"/>
          <w:kern w:val="0"/>
          <w:sz w:val="24"/>
          <w:szCs w:val="24"/>
          <w:highlight w:val="none"/>
        </w:rPr>
        <w:t>元的投标担保。如果我方在投标文件有效期内撤回投标文件；或在接到中标通知书后28天内未能或拒绝签订合同协议书；或未能按招标文件要求提交履约担保，你单位有权</w:t>
      </w:r>
      <w:r>
        <w:rPr>
          <w:rFonts w:hint="eastAsia" w:ascii="宋体" w:hAnsi="宋体"/>
          <w:b/>
          <w:bCs/>
          <w:color w:val="auto"/>
          <w:spacing w:val="4"/>
          <w:kern w:val="0"/>
          <w:sz w:val="24"/>
          <w:szCs w:val="24"/>
          <w:highlight w:val="none"/>
          <w:u w:val="single"/>
        </w:rPr>
        <w:t>要求我方对由此造成的损失作出赔偿</w:t>
      </w:r>
      <w:r>
        <w:rPr>
          <w:rFonts w:hint="eastAsia" w:ascii="宋体" w:hAnsi="宋体"/>
          <w:color w:val="auto"/>
          <w:spacing w:val="4"/>
          <w:kern w:val="0"/>
          <w:sz w:val="24"/>
          <w:szCs w:val="24"/>
          <w:highlight w:val="none"/>
        </w:rPr>
        <w:t>，另选中</w:t>
      </w:r>
      <w:bookmarkStart w:id="111" w:name="_Toc484958693"/>
      <w:bookmarkStart w:id="112" w:name="_Toc226209004"/>
      <w:bookmarkStart w:id="113" w:name="_Toc358370579"/>
      <w:bookmarkStart w:id="114" w:name="_Toc369536771"/>
      <w:bookmarkStart w:id="115" w:name="_Toc291101119"/>
      <w:bookmarkStart w:id="116" w:name="_Toc248650371"/>
      <w:bookmarkStart w:id="117" w:name="_Toc254961556"/>
      <w:bookmarkStart w:id="118" w:name="_Toc337720092"/>
      <w:bookmarkStart w:id="119" w:name="_Toc352623422"/>
      <w:bookmarkStart w:id="120" w:name="_Toc395261100"/>
      <w:bookmarkStart w:id="121" w:name="_Toc352240524"/>
      <w:bookmarkStart w:id="122" w:name="_Toc464131225"/>
      <w:bookmarkStart w:id="123" w:name="_Toc449308421"/>
      <w:r>
        <w:rPr>
          <w:rFonts w:hint="eastAsia" w:ascii="宋体" w:hAnsi="宋体"/>
          <w:color w:val="auto"/>
          <w:spacing w:val="4"/>
          <w:kern w:val="0"/>
          <w:sz w:val="24"/>
          <w:szCs w:val="24"/>
          <w:highlight w:val="none"/>
        </w:rPr>
        <w:t>标单位。</w:t>
      </w:r>
    </w:p>
    <w:p>
      <w:pPr>
        <w:widowControl/>
        <w:topLinePunct/>
        <w:adjustRightInd w:val="0"/>
        <w:snapToGrid w:val="0"/>
        <w:spacing w:after="1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10.我方</w:t>
      </w:r>
      <w:bookmarkEnd w:id="111"/>
      <w:r>
        <w:rPr>
          <w:rFonts w:hint="eastAsia" w:ascii="宋体" w:hAnsi="宋体"/>
          <w:color w:val="auto"/>
          <w:spacing w:val="4"/>
          <w:kern w:val="0"/>
          <w:sz w:val="24"/>
          <w:szCs w:val="24"/>
          <w:highlight w:val="none"/>
        </w:rPr>
        <w:t>理解</w:t>
      </w:r>
      <w:bookmarkStart w:id="124" w:name="_Toc484958694"/>
      <w:r>
        <w:rPr>
          <w:rFonts w:hint="eastAsia" w:ascii="宋体" w:hAnsi="宋体"/>
          <w:color w:val="auto"/>
          <w:spacing w:val="4"/>
          <w:kern w:val="0"/>
          <w:sz w:val="24"/>
          <w:szCs w:val="24"/>
          <w:highlight w:val="none"/>
        </w:rPr>
        <w:t>，你单位不一</w:t>
      </w:r>
      <w:bookmarkEnd w:id="124"/>
      <w:r>
        <w:rPr>
          <w:rFonts w:hint="eastAsia" w:ascii="宋体" w:hAnsi="宋体"/>
          <w:color w:val="auto"/>
          <w:spacing w:val="4"/>
          <w:kern w:val="0"/>
          <w:sz w:val="24"/>
          <w:szCs w:val="24"/>
          <w:highlight w:val="none"/>
        </w:rPr>
        <w:t>定</w:t>
      </w:r>
      <w:bookmarkStart w:id="125" w:name="_Toc484958695"/>
      <w:r>
        <w:rPr>
          <w:rFonts w:hint="eastAsia" w:ascii="宋体" w:hAnsi="宋体"/>
          <w:color w:val="auto"/>
          <w:spacing w:val="4"/>
          <w:kern w:val="0"/>
          <w:sz w:val="24"/>
          <w:szCs w:val="24"/>
          <w:highlight w:val="none"/>
        </w:rPr>
        <w:t>接受最低</w:t>
      </w:r>
      <w:bookmarkEnd w:id="125"/>
      <w:r>
        <w:rPr>
          <w:rFonts w:hint="eastAsia" w:ascii="宋体" w:hAnsi="宋体"/>
          <w:color w:val="auto"/>
          <w:spacing w:val="4"/>
          <w:kern w:val="0"/>
          <w:sz w:val="24"/>
          <w:szCs w:val="24"/>
          <w:highlight w:val="none"/>
        </w:rPr>
        <w:t>标</w:t>
      </w:r>
      <w:bookmarkStart w:id="126" w:name="_Toc484958696"/>
      <w:r>
        <w:rPr>
          <w:rFonts w:hint="eastAsia" w:ascii="宋体" w:hAnsi="宋体"/>
          <w:color w:val="auto"/>
          <w:spacing w:val="4"/>
          <w:kern w:val="0"/>
          <w:sz w:val="24"/>
          <w:szCs w:val="24"/>
          <w:highlight w:val="none"/>
        </w:rPr>
        <w:t>价的</w:t>
      </w:r>
      <w:bookmarkEnd w:id="126"/>
      <w:r>
        <w:rPr>
          <w:rFonts w:hint="eastAsia" w:ascii="宋体" w:hAnsi="宋体"/>
          <w:color w:val="auto"/>
          <w:spacing w:val="4"/>
          <w:kern w:val="0"/>
          <w:sz w:val="24"/>
          <w:szCs w:val="24"/>
          <w:highlight w:val="none"/>
        </w:rPr>
        <w:t>投</w:t>
      </w:r>
      <w:bookmarkStart w:id="127" w:name="_Toc484958697"/>
      <w:r>
        <w:rPr>
          <w:rFonts w:hint="eastAsia" w:ascii="宋体" w:hAnsi="宋体"/>
          <w:color w:val="auto"/>
          <w:spacing w:val="4"/>
          <w:kern w:val="0"/>
          <w:sz w:val="24"/>
          <w:szCs w:val="24"/>
          <w:highlight w:val="none"/>
        </w:rPr>
        <w:t>标或你单位接到的其它任何投标。同</w:t>
      </w:r>
      <w:bookmarkEnd w:id="127"/>
      <w:r>
        <w:rPr>
          <w:rFonts w:hint="eastAsia" w:ascii="宋体" w:hAnsi="宋体"/>
          <w:color w:val="auto"/>
          <w:spacing w:val="4"/>
          <w:kern w:val="0"/>
          <w:sz w:val="24"/>
          <w:szCs w:val="24"/>
          <w:highlight w:val="none"/>
        </w:rPr>
        <w:t>时</w:t>
      </w:r>
      <w:bookmarkStart w:id="128" w:name="_Toc484958698"/>
      <w:r>
        <w:rPr>
          <w:rFonts w:hint="eastAsia" w:ascii="宋体" w:hAnsi="宋体"/>
          <w:color w:val="auto"/>
          <w:spacing w:val="4"/>
          <w:kern w:val="0"/>
          <w:sz w:val="24"/>
          <w:szCs w:val="24"/>
          <w:highlight w:val="none"/>
        </w:rPr>
        <w:t>也理解，你单位不负担我方的任何投</w:t>
      </w:r>
      <w:bookmarkEnd w:id="128"/>
      <w:r>
        <w:rPr>
          <w:rFonts w:hint="eastAsia" w:ascii="宋体" w:hAnsi="宋体"/>
          <w:color w:val="auto"/>
          <w:spacing w:val="4"/>
          <w:kern w:val="0"/>
          <w:sz w:val="24"/>
          <w:szCs w:val="24"/>
          <w:highlight w:val="none"/>
        </w:rPr>
        <w:t>标</w:t>
      </w:r>
      <w:bookmarkStart w:id="129" w:name="_Toc484958699"/>
      <w:r>
        <w:rPr>
          <w:rFonts w:hint="eastAsia" w:ascii="宋体" w:hAnsi="宋体"/>
          <w:color w:val="auto"/>
          <w:spacing w:val="4"/>
          <w:kern w:val="0"/>
          <w:sz w:val="24"/>
          <w:szCs w:val="24"/>
          <w:highlight w:val="none"/>
        </w:rPr>
        <w:t>费用</w:t>
      </w:r>
      <w:bookmarkEnd w:id="129"/>
      <w:bookmarkStart w:id="130" w:name="_Toc484958700"/>
      <w:r>
        <w:rPr>
          <w:rFonts w:hint="eastAsia" w:ascii="宋体" w:hAnsi="宋体"/>
          <w:color w:val="auto"/>
          <w:spacing w:val="4"/>
          <w:kern w:val="0"/>
          <w:sz w:val="24"/>
          <w:szCs w:val="24"/>
          <w:highlight w:val="none"/>
        </w:rPr>
        <w:t>。</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691" w:firstLineChars="279"/>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投 标 人：（盖章</w:t>
      </w:r>
      <w:bookmarkEnd w:id="130"/>
      <w:r>
        <w:rPr>
          <w:rFonts w:hint="eastAsia" w:ascii="宋体" w:hAnsi="宋体"/>
          <w:color w:val="auto"/>
          <w:spacing w:val="4"/>
          <w:kern w:val="0"/>
          <w:sz w:val="24"/>
          <w:szCs w:val="24"/>
          <w:highlight w:val="none"/>
        </w:rPr>
        <w:t>）</w:t>
      </w:r>
    </w:p>
    <w:p>
      <w:pPr>
        <w:widowControl/>
        <w:topLinePunct/>
        <w:adjustRightInd w:val="0"/>
        <w:snapToGrid w:val="0"/>
        <w:spacing w:after="200" w:line="360" w:lineRule="auto"/>
        <w:ind w:firstLine="691" w:firstLineChars="279"/>
        <w:jc w:val="left"/>
        <w:rPr>
          <w:rFonts w:ascii="宋体" w:hAnsi="宋体"/>
          <w:color w:val="auto"/>
          <w:spacing w:val="4"/>
          <w:kern w:val="0"/>
          <w:sz w:val="24"/>
          <w:szCs w:val="24"/>
          <w:highlight w:val="none"/>
        </w:rPr>
      </w:pPr>
      <w:bookmarkStart w:id="131" w:name="_Toc484958701"/>
      <w:r>
        <w:rPr>
          <w:rFonts w:hint="eastAsia" w:ascii="宋体" w:hAnsi="宋体"/>
          <w:color w:val="auto"/>
          <w:spacing w:val="4"/>
          <w:kern w:val="0"/>
          <w:sz w:val="24"/>
          <w:szCs w:val="24"/>
          <w:highlight w:val="none"/>
        </w:rPr>
        <w:t>法定代表人或授权代理人（签字或盖章）</w:t>
      </w:r>
      <w:bookmarkEnd w:id="131"/>
      <w:r>
        <w:rPr>
          <w:rFonts w:hint="eastAsia" w:ascii="宋体" w:hAnsi="宋体"/>
          <w:color w:val="auto"/>
          <w:spacing w:val="4"/>
          <w:kern w:val="0"/>
          <w:sz w:val="24"/>
          <w:szCs w:val="24"/>
          <w:highlight w:val="none"/>
        </w:rPr>
        <w:t>：</w:t>
      </w:r>
    </w:p>
    <w:p>
      <w:pPr>
        <w:widowControl/>
        <w:topLinePunct/>
        <w:adjustRightInd w:val="0"/>
        <w:snapToGrid w:val="0"/>
        <w:spacing w:after="200" w:line="360" w:lineRule="auto"/>
        <w:ind w:firstLine="691" w:firstLineChars="279"/>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 xml:space="preserve">日    期：   年    月    日 </w:t>
      </w:r>
    </w:p>
    <w:p>
      <w:pPr>
        <w:widowControl/>
        <w:topLinePunct/>
        <w:adjustRightInd w:val="0"/>
        <w:snapToGrid w:val="0"/>
        <w:spacing w:after="200"/>
        <w:jc w:val="left"/>
        <w:outlineLvl w:val="2"/>
        <w:rPr>
          <w:rFonts w:ascii="宋体" w:hAnsi="宋体"/>
          <w:color w:val="auto"/>
          <w:spacing w:val="4"/>
          <w:kern w:val="0"/>
          <w:sz w:val="24"/>
          <w:szCs w:val="24"/>
          <w:highlight w:val="none"/>
        </w:rPr>
      </w:pPr>
      <w:r>
        <w:rPr>
          <w:rFonts w:ascii="宋体" w:hAnsi="宋体" w:eastAsia="黑体"/>
          <w:b/>
          <w:color w:val="auto"/>
          <w:spacing w:val="4"/>
          <w:kern w:val="0"/>
          <w:sz w:val="24"/>
          <w:szCs w:val="24"/>
          <w:highlight w:val="none"/>
        </w:rPr>
        <w:br w:type="page"/>
      </w:r>
      <w:bookmarkStart w:id="132" w:name="_Toc62056035"/>
      <w:bookmarkStart w:id="133" w:name="_Toc29476914"/>
      <w:bookmarkStart w:id="134" w:name="_Toc20655"/>
      <w:bookmarkStart w:id="135" w:name="_Toc4489938"/>
      <w:bookmarkStart w:id="136" w:name="_Toc9047"/>
      <w:bookmarkStart w:id="137" w:name="_Toc25857"/>
      <w:bookmarkStart w:id="138" w:name="_Toc504722506"/>
      <w:r>
        <w:rPr>
          <w:rFonts w:hint="eastAsia" w:ascii="宋体" w:hAnsi="宋体"/>
          <w:color w:val="auto"/>
          <w:spacing w:val="4"/>
          <w:kern w:val="0"/>
          <w:sz w:val="24"/>
          <w:szCs w:val="24"/>
          <w:highlight w:val="none"/>
        </w:rPr>
        <w:t>格式四：企业相关资料</w:t>
      </w:r>
      <w:bookmarkEnd w:id="132"/>
      <w:bookmarkEnd w:id="133"/>
      <w:bookmarkEnd w:id="134"/>
      <w:bookmarkEnd w:id="135"/>
      <w:bookmarkEnd w:id="136"/>
      <w:bookmarkEnd w:id="137"/>
      <w:bookmarkEnd w:id="138"/>
    </w:p>
    <w:p>
      <w:pPr>
        <w:jc w:val="center"/>
        <w:rPr>
          <w:rFonts w:ascii="宋体" w:hAnsi="宋体"/>
          <w:b/>
          <w:color w:val="auto"/>
          <w:spacing w:val="4"/>
          <w:kern w:val="0"/>
          <w:sz w:val="36"/>
          <w:szCs w:val="32"/>
          <w:highlight w:val="none"/>
        </w:rPr>
      </w:pPr>
      <w:bookmarkStart w:id="139" w:name="_Toc504722507"/>
      <w:bookmarkStart w:id="140" w:name="_Toc4489939"/>
      <w:bookmarkStart w:id="141" w:name="_Toc4339790"/>
      <w:bookmarkStart w:id="142" w:name="_Toc4486071"/>
      <w:bookmarkStart w:id="143" w:name="_Toc4340128"/>
      <w:bookmarkStart w:id="144" w:name="_Toc5083"/>
      <w:r>
        <w:rPr>
          <w:rFonts w:hint="eastAsia" w:ascii="宋体" w:hAnsi="宋体"/>
          <w:b/>
          <w:color w:val="auto"/>
          <w:spacing w:val="4"/>
          <w:kern w:val="0"/>
          <w:sz w:val="36"/>
          <w:szCs w:val="32"/>
          <w:highlight w:val="none"/>
        </w:rPr>
        <w:t>企业相关资料</w:t>
      </w:r>
      <w:bookmarkEnd w:id="139"/>
      <w:bookmarkEnd w:id="140"/>
      <w:bookmarkEnd w:id="141"/>
      <w:bookmarkEnd w:id="142"/>
      <w:bookmarkEnd w:id="143"/>
      <w:bookmarkEnd w:id="144"/>
    </w:p>
    <w:p>
      <w:pPr>
        <w:spacing w:line="360" w:lineRule="auto"/>
        <w:jc w:val="center"/>
        <w:rPr>
          <w:color w:val="auto"/>
          <w:sz w:val="24"/>
          <w:highlight w:val="none"/>
        </w:rPr>
      </w:pPr>
      <w:bookmarkStart w:id="145" w:name="_Toc4486072"/>
      <w:bookmarkStart w:id="146" w:name="_Toc504722508"/>
      <w:bookmarkStart w:id="147" w:name="_Toc4340129"/>
      <w:bookmarkStart w:id="148" w:name="_Toc4489940"/>
      <w:bookmarkStart w:id="149" w:name="_Toc913"/>
      <w:bookmarkStart w:id="150" w:name="_Toc4339791"/>
      <w:r>
        <w:rPr>
          <w:rFonts w:hint="eastAsia"/>
          <w:color w:val="auto"/>
          <w:sz w:val="24"/>
          <w:highlight w:val="none"/>
        </w:rPr>
        <w:t>(如有)</w:t>
      </w:r>
      <w:bookmarkEnd w:id="145"/>
      <w:bookmarkEnd w:id="146"/>
      <w:bookmarkEnd w:id="147"/>
      <w:bookmarkEnd w:id="148"/>
      <w:bookmarkEnd w:id="149"/>
      <w:bookmarkEnd w:id="150"/>
    </w:p>
    <w:p>
      <w:pPr>
        <w:rPr>
          <w:color w:val="auto"/>
          <w:sz w:val="24"/>
          <w:highlight w:val="none"/>
        </w:rPr>
      </w:pPr>
      <w:bookmarkStart w:id="151" w:name="_Toc4339792"/>
      <w:bookmarkStart w:id="152" w:name="_Toc4486073"/>
      <w:bookmarkStart w:id="153" w:name="_Toc504722509"/>
      <w:bookmarkStart w:id="154" w:name="_Toc4340130"/>
      <w:bookmarkStart w:id="155" w:name="_Toc4489941"/>
      <w:bookmarkStart w:id="156" w:name="_Toc27564"/>
      <w:r>
        <w:rPr>
          <w:rFonts w:hint="eastAsia"/>
          <w:color w:val="auto"/>
          <w:sz w:val="24"/>
          <w:highlight w:val="none"/>
        </w:rPr>
        <w:t>注：</w:t>
      </w:r>
      <w:bookmarkEnd w:id="151"/>
      <w:bookmarkEnd w:id="152"/>
      <w:bookmarkEnd w:id="153"/>
      <w:bookmarkEnd w:id="154"/>
      <w:bookmarkEnd w:id="155"/>
      <w:bookmarkEnd w:id="156"/>
    </w:p>
    <w:p>
      <w:pPr>
        <w:spacing w:line="360" w:lineRule="auto"/>
        <w:rPr>
          <w:color w:val="auto"/>
          <w:sz w:val="24"/>
          <w:highlight w:val="none"/>
        </w:rPr>
      </w:pPr>
      <w:bookmarkStart w:id="157" w:name="_Toc9431"/>
      <w:bookmarkStart w:id="158" w:name="_Toc4340131"/>
      <w:bookmarkStart w:id="159" w:name="_Toc4486074"/>
      <w:bookmarkStart w:id="160" w:name="_Toc4339793"/>
      <w:bookmarkStart w:id="161" w:name="_Toc504722510"/>
      <w:bookmarkStart w:id="162" w:name="_Toc4489942"/>
      <w:r>
        <w:rPr>
          <w:rFonts w:hint="eastAsia"/>
          <w:color w:val="auto"/>
          <w:sz w:val="24"/>
          <w:highlight w:val="none"/>
        </w:rPr>
        <w:t>1.</w:t>
      </w:r>
      <w:bookmarkEnd w:id="157"/>
      <w:bookmarkEnd w:id="158"/>
      <w:bookmarkEnd w:id="159"/>
      <w:bookmarkEnd w:id="160"/>
      <w:bookmarkEnd w:id="161"/>
      <w:bookmarkEnd w:id="162"/>
      <w:bookmarkStart w:id="163" w:name="_Toc4339797"/>
      <w:bookmarkStart w:id="164" w:name="_Toc4489946"/>
      <w:bookmarkStart w:id="165" w:name="_Toc8019"/>
      <w:bookmarkStart w:id="166" w:name="_Toc4340135"/>
      <w:r>
        <w:rPr>
          <w:rFonts w:hint="eastAsia"/>
          <w:color w:val="auto"/>
          <w:sz w:val="24"/>
          <w:highlight w:val="none"/>
        </w:rPr>
        <w:t xml:space="preserve"> 按《技术标详细审查评分表》中的评分要求进行提供；</w:t>
      </w:r>
    </w:p>
    <w:p>
      <w:pPr>
        <w:spacing w:line="360" w:lineRule="auto"/>
        <w:rPr>
          <w:color w:val="auto"/>
          <w:sz w:val="24"/>
          <w:highlight w:val="none"/>
        </w:rPr>
      </w:pPr>
      <w:r>
        <w:rPr>
          <w:rFonts w:hint="eastAsia"/>
          <w:color w:val="auto"/>
          <w:sz w:val="24"/>
          <w:highlight w:val="none"/>
        </w:rPr>
        <w:t>2. 其他投标人认为须提交的资料。</w:t>
      </w:r>
    </w:p>
    <w:p>
      <w:pPr>
        <w:outlineLvl w:val="2"/>
        <w:rPr>
          <w:color w:val="auto"/>
          <w:highlight w:val="none"/>
        </w:rPr>
      </w:pPr>
      <w:r>
        <w:rPr>
          <w:color w:val="auto"/>
          <w:highlight w:val="none"/>
        </w:rPr>
        <w:br w:type="page"/>
      </w:r>
      <w:bookmarkStart w:id="167" w:name="_Toc504722513"/>
      <w:bookmarkStart w:id="168" w:name="_Toc25889"/>
      <w:bookmarkStart w:id="169" w:name="_Toc62056036"/>
      <w:bookmarkStart w:id="170" w:name="_Toc5806"/>
      <w:bookmarkStart w:id="171" w:name="_Toc29476915"/>
      <w:r>
        <w:rPr>
          <w:rFonts w:hint="eastAsia" w:ascii="宋体" w:hAnsi="宋体"/>
          <w:color w:val="auto"/>
          <w:spacing w:val="4"/>
          <w:kern w:val="0"/>
          <w:sz w:val="24"/>
          <w:szCs w:val="24"/>
          <w:highlight w:val="none"/>
        </w:rPr>
        <w:t>格式五：法定代表人证明书、授权委托书</w:t>
      </w:r>
      <w:bookmarkEnd w:id="163"/>
      <w:bookmarkEnd w:id="164"/>
      <w:bookmarkEnd w:id="165"/>
      <w:bookmarkEnd w:id="166"/>
      <w:bookmarkEnd w:id="167"/>
      <w:bookmarkEnd w:id="168"/>
      <w:bookmarkEnd w:id="169"/>
      <w:bookmarkEnd w:id="170"/>
      <w:bookmarkEnd w:id="171"/>
    </w:p>
    <w:p>
      <w:pPr>
        <w:widowControl/>
        <w:topLinePunct/>
        <w:adjustRightInd w:val="0"/>
        <w:snapToGrid w:val="0"/>
        <w:spacing w:after="200"/>
        <w:jc w:val="center"/>
        <w:rPr>
          <w:rFonts w:ascii="宋体" w:hAnsi="宋体"/>
          <w:color w:val="auto"/>
          <w:spacing w:val="4"/>
          <w:kern w:val="0"/>
          <w:sz w:val="32"/>
          <w:szCs w:val="32"/>
          <w:highlight w:val="none"/>
        </w:rPr>
      </w:pPr>
    </w:p>
    <w:p>
      <w:pPr>
        <w:widowControl/>
        <w:topLinePunct/>
        <w:adjustRightInd w:val="0"/>
        <w:snapToGrid w:val="0"/>
        <w:spacing w:after="200"/>
        <w:jc w:val="center"/>
        <w:rPr>
          <w:rFonts w:ascii="宋体" w:hAnsi="宋体"/>
          <w:b/>
          <w:color w:val="auto"/>
          <w:spacing w:val="4"/>
          <w:kern w:val="0"/>
          <w:sz w:val="32"/>
          <w:szCs w:val="32"/>
          <w:highlight w:val="none"/>
        </w:rPr>
      </w:pPr>
      <w:r>
        <w:rPr>
          <w:rFonts w:hint="eastAsia" w:ascii="宋体" w:hAnsi="宋体"/>
          <w:b/>
          <w:color w:val="auto"/>
          <w:spacing w:val="4"/>
          <w:kern w:val="0"/>
          <w:sz w:val="32"/>
          <w:szCs w:val="32"/>
          <w:highlight w:val="none"/>
        </w:rPr>
        <w:t>法定代表人证明书、授权委托书</w:t>
      </w:r>
    </w:p>
    <w:bookmarkEnd w:id="112"/>
    <w:bookmarkEnd w:id="113"/>
    <w:bookmarkEnd w:id="114"/>
    <w:bookmarkEnd w:id="115"/>
    <w:bookmarkEnd w:id="116"/>
    <w:bookmarkEnd w:id="117"/>
    <w:bookmarkEnd w:id="118"/>
    <w:bookmarkEnd w:id="119"/>
    <w:bookmarkEnd w:id="120"/>
    <w:bookmarkEnd w:id="121"/>
    <w:bookmarkEnd w:id="122"/>
    <w:bookmarkEnd w:id="123"/>
    <w:p>
      <w:pPr>
        <w:topLinePunct/>
        <w:adjustRightInd w:val="0"/>
        <w:snapToGrid w:val="0"/>
        <w:rPr>
          <w:snapToGrid w:val="0"/>
          <w:color w:val="auto"/>
          <w:spacing w:val="4"/>
          <w:sz w:val="24"/>
          <w:szCs w:val="24"/>
          <w:highlight w:val="none"/>
        </w:rPr>
      </w:pPr>
      <w:r>
        <w:rPr>
          <w:rFonts w:hint="eastAsia"/>
          <w:snapToGrid w:val="0"/>
          <w:color w:val="auto"/>
          <w:spacing w:val="4"/>
          <w:sz w:val="24"/>
          <w:szCs w:val="24"/>
          <w:highlight w:val="none"/>
        </w:rPr>
        <w:t>（1）法定代表人证明书</w:t>
      </w:r>
    </w:p>
    <w:p>
      <w:pPr>
        <w:topLinePunct/>
        <w:adjustRightInd w:val="0"/>
        <w:snapToGrid w:val="0"/>
        <w:ind w:right="668"/>
        <w:jc w:val="right"/>
        <w:rPr>
          <w:snapToGrid w:val="0"/>
          <w:color w:val="auto"/>
          <w:spacing w:val="4"/>
          <w:sz w:val="24"/>
          <w:szCs w:val="24"/>
          <w:highlight w:val="none"/>
        </w:rPr>
      </w:pPr>
      <w:r>
        <w:rPr>
          <w:color w:val="auto"/>
          <w:highlight w:val="none"/>
        </w:rPr>
        <mc:AlternateContent>
          <mc:Choice Requires="wps">
            <w:drawing>
              <wp:anchor distT="0" distB="0" distL="114300" distR="114300" simplePos="0" relativeHeight="251660288" behindDoc="0" locked="0" layoutInCell="1" allowOverlap="0">
                <wp:simplePos x="0" y="0"/>
                <wp:positionH relativeFrom="column">
                  <wp:align>center</wp:align>
                </wp:positionH>
                <wp:positionV relativeFrom="paragraph">
                  <wp:posOffset>270510</wp:posOffset>
                </wp:positionV>
                <wp:extent cx="5550535" cy="2762885"/>
                <wp:effectExtent l="4445" t="4445" r="7620" b="13970"/>
                <wp:wrapSquare wrapText="bothSides"/>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5791200" cy="2809875"/>
                        </a:xfrm>
                        <a:prstGeom prst="rect">
                          <a:avLst/>
                        </a:prstGeom>
                        <a:solidFill>
                          <a:srgbClr val="FFFFFF"/>
                        </a:solidFill>
                        <a:ln w="9525">
                          <a:solidFill>
                            <a:srgbClr val="000000"/>
                          </a:solidFill>
                          <a:miter lim="800000"/>
                        </a:ln>
                        <a:effectLst/>
                      </wps:spPr>
                      <wps:txbx>
                        <w:txbxContent>
                          <w:p>
                            <w:pPr>
                              <w:pStyle w:val="29"/>
                              <w:spacing w:before="240"/>
                              <w:ind w:firstLine="0" w:firstLineChars="0"/>
                              <w:rPr>
                                <w:rFonts w:ascii="宋体" w:hAnsi="宋体"/>
                                <w:szCs w:val="28"/>
                              </w:rPr>
                            </w:pPr>
                            <w:r>
                              <w:rPr>
                                <w:rFonts w:hint="eastAsia"/>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pPr>
                              <w:pStyle w:val="29"/>
                              <w:ind w:firstLine="0" w:firstLineChars="0"/>
                              <w:rPr>
                                <w:rFonts w:ascii="宋体" w:hAnsi="宋体"/>
                                <w:szCs w:val="28"/>
                              </w:rPr>
                            </w:pPr>
                            <w:r>
                              <w:rPr>
                                <w:rFonts w:hint="eastAsia" w:ascii="宋体" w:hAnsi="宋体"/>
                                <w:szCs w:val="28"/>
                              </w:rPr>
                              <w:t>特此证明。</w:t>
                            </w:r>
                          </w:p>
                          <w:p>
                            <w:pPr>
                              <w:pStyle w:val="29"/>
                              <w:ind w:firstLine="0" w:firstLineChars="0"/>
                              <w:rPr>
                                <w:rFonts w:ascii="宋体" w:hAnsi="宋体"/>
                                <w:szCs w:val="28"/>
                              </w:rPr>
                            </w:pPr>
                            <w:r>
                              <w:rPr>
                                <w:rFonts w:hint="eastAsia" w:ascii="宋体" w:hAnsi="宋体"/>
                                <w:szCs w:val="28"/>
                              </w:rPr>
                              <w:t>有效期限：</w:t>
                            </w:r>
                            <w:r>
                              <w:rPr>
                                <w:rFonts w:hint="eastAsia" w:ascii="宋体" w:hAnsi="宋体"/>
                                <w:szCs w:val="28"/>
                                <w:u w:val="single"/>
                              </w:rPr>
                              <w:t xml:space="preserve">                                  </w:t>
                            </w:r>
                          </w:p>
                          <w:p>
                            <w:pPr>
                              <w:pStyle w:val="29"/>
                              <w:ind w:firstLine="0" w:firstLineChars="0"/>
                              <w:rPr>
                                <w:rFonts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pPr>
                              <w:pStyle w:val="29"/>
                              <w:ind w:firstLine="0" w:firstLineChars="0"/>
                              <w:rPr>
                                <w:rFonts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pPr>
                              <w:pStyle w:val="29"/>
                              <w:ind w:firstLine="0" w:firstLineChars="0"/>
                              <w:rPr>
                                <w:rFonts w:ascii="宋体" w:hAnsi="宋体"/>
                                <w:szCs w:val="28"/>
                              </w:rPr>
                            </w:pPr>
                            <w:r>
                              <w:rPr>
                                <w:rFonts w:hint="eastAsia" w:ascii="宋体" w:hAnsi="宋体"/>
                                <w:szCs w:val="28"/>
                              </w:rPr>
                              <w:t>经营范围：</w:t>
                            </w:r>
                            <w:r>
                              <w:rPr>
                                <w:rFonts w:hint="eastAsia" w:ascii="宋体" w:hAnsi="宋体"/>
                                <w:szCs w:val="28"/>
                                <w:u w:val="single"/>
                              </w:rPr>
                              <w:t xml:space="preserve">                                       </w:t>
                            </w:r>
                          </w:p>
                          <w:p>
                            <w:pPr>
                              <w:pStyle w:val="29"/>
                              <w:ind w:firstLine="0" w:firstLineChars="0"/>
                              <w:rPr>
                                <w:rFonts w:ascii="宋体" w:hAnsi="宋体"/>
                                <w:szCs w:val="28"/>
                              </w:rPr>
                            </w:pPr>
                            <w:r>
                              <w:rPr>
                                <w:rFonts w:hint="eastAsia" w:ascii="宋体" w:hAnsi="宋体"/>
                                <w:szCs w:val="28"/>
                              </w:rPr>
                              <w:t>　　　　　　　　　　单位：　　　　　　　　　　　（盖章）</w:t>
                            </w:r>
                          </w:p>
                          <w:p>
                            <w:pPr>
                              <w:pStyle w:val="29"/>
                              <w:ind w:firstLine="0" w:firstLineChars="0"/>
                              <w:rPr>
                                <w:rFonts w:ascii="宋体" w:hAnsi="宋体"/>
                                <w:szCs w:val="28"/>
                              </w:rPr>
                            </w:pPr>
                            <w:r>
                              <w:rPr>
                                <w:rFonts w:hint="eastAsia" w:ascii="宋体" w:hAnsi="宋体"/>
                                <w:szCs w:val="28"/>
                              </w:rPr>
                              <w:t>　　　　　　　　　　　　　　　　　　　　</w:t>
                            </w:r>
                            <w:r>
                              <w:rPr>
                                <w:rFonts w:hint="eastAsia" w:ascii="宋体" w:hAnsi="宋体" w:eastAsia="宋体"/>
                                <w:szCs w:val="28"/>
                              </w:rPr>
                              <w:t xml:space="preserve">      </w:t>
                            </w:r>
                            <w:r>
                              <w:rPr>
                                <w:rFonts w:hint="eastAsia" w:ascii="宋体" w:hAnsi="宋体"/>
                                <w:szCs w:val="28"/>
                              </w:rPr>
                              <w:t>　    年　</w:t>
                            </w:r>
                            <w:r>
                              <w:rPr>
                                <w:rFonts w:hint="eastAsia" w:ascii="宋体" w:hAnsi="宋体" w:eastAsia="宋体"/>
                                <w:szCs w:val="28"/>
                              </w:rPr>
                              <w:t xml:space="preserve">  </w:t>
                            </w:r>
                            <w:r>
                              <w:rPr>
                                <w:rFonts w:hint="eastAsia" w:ascii="宋体" w:hAnsi="宋体"/>
                                <w:szCs w:val="28"/>
                              </w:rPr>
                              <w:t>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top:21.3pt;height:217.55pt;width:437.05pt;mso-position-horizontal:center;mso-wrap-distance-bottom:0pt;mso-wrap-distance-left:9pt;mso-wrap-distance-right:9pt;mso-wrap-distance-top:0pt;z-index:251660288;mso-width-relative:page;mso-height-relative:page;" fillcolor="#FFFFFF" filled="t" stroked="t" coordsize="21600,21600" o:allowoverlap="f" o:gfxdata="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ungE1wAAAAcBAAAPAAAAAAAAAAEA&#10;IAAAACIAAABkcnMvZG93bnJldi54bWxQSwECFAAUAAAACACHTuJAD887SkkCAACYBAAADgAAAAAA&#10;AAABACAAAAAmAQAAZHJzL2Uyb0RvYy54bWxQSwUGAAAAAAYABgBZAQAA4QUAAAAA&#10;">
                <v:fill on="t" focussize="0,0"/>
                <v:stroke color="#000000" miterlimit="8" joinstyle="miter"/>
                <v:imagedata o:title=""/>
                <o:lock v:ext="edit" aspectratio="f"/>
                <v:textbox>
                  <w:txbxContent>
                    <w:p>
                      <w:pPr>
                        <w:pStyle w:val="29"/>
                        <w:spacing w:before="240"/>
                        <w:ind w:firstLine="0" w:firstLineChars="0"/>
                        <w:rPr>
                          <w:rFonts w:ascii="宋体" w:hAnsi="宋体"/>
                          <w:szCs w:val="28"/>
                        </w:rPr>
                      </w:pPr>
                      <w:r>
                        <w:rPr>
                          <w:rFonts w:hint="eastAsia"/>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pPr>
                        <w:pStyle w:val="29"/>
                        <w:ind w:firstLine="0" w:firstLineChars="0"/>
                        <w:rPr>
                          <w:rFonts w:ascii="宋体" w:hAnsi="宋体"/>
                          <w:szCs w:val="28"/>
                        </w:rPr>
                      </w:pPr>
                      <w:r>
                        <w:rPr>
                          <w:rFonts w:hint="eastAsia" w:ascii="宋体" w:hAnsi="宋体"/>
                          <w:szCs w:val="28"/>
                        </w:rPr>
                        <w:t>特此证明。</w:t>
                      </w:r>
                    </w:p>
                    <w:p>
                      <w:pPr>
                        <w:pStyle w:val="29"/>
                        <w:ind w:firstLine="0" w:firstLineChars="0"/>
                        <w:rPr>
                          <w:rFonts w:ascii="宋体" w:hAnsi="宋体"/>
                          <w:szCs w:val="28"/>
                        </w:rPr>
                      </w:pPr>
                      <w:r>
                        <w:rPr>
                          <w:rFonts w:hint="eastAsia" w:ascii="宋体" w:hAnsi="宋体"/>
                          <w:szCs w:val="28"/>
                        </w:rPr>
                        <w:t>有效期限：</w:t>
                      </w:r>
                      <w:r>
                        <w:rPr>
                          <w:rFonts w:hint="eastAsia" w:ascii="宋体" w:hAnsi="宋体"/>
                          <w:szCs w:val="28"/>
                          <w:u w:val="single"/>
                        </w:rPr>
                        <w:t xml:space="preserve">                                  </w:t>
                      </w:r>
                    </w:p>
                    <w:p>
                      <w:pPr>
                        <w:pStyle w:val="29"/>
                        <w:ind w:firstLine="0" w:firstLineChars="0"/>
                        <w:rPr>
                          <w:rFonts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pPr>
                        <w:pStyle w:val="29"/>
                        <w:ind w:firstLine="0" w:firstLineChars="0"/>
                        <w:rPr>
                          <w:rFonts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pPr>
                        <w:pStyle w:val="29"/>
                        <w:ind w:firstLine="0" w:firstLineChars="0"/>
                        <w:rPr>
                          <w:rFonts w:ascii="宋体" w:hAnsi="宋体"/>
                          <w:szCs w:val="28"/>
                        </w:rPr>
                      </w:pPr>
                      <w:r>
                        <w:rPr>
                          <w:rFonts w:hint="eastAsia" w:ascii="宋体" w:hAnsi="宋体"/>
                          <w:szCs w:val="28"/>
                        </w:rPr>
                        <w:t>经营范围：</w:t>
                      </w:r>
                      <w:r>
                        <w:rPr>
                          <w:rFonts w:hint="eastAsia" w:ascii="宋体" w:hAnsi="宋体"/>
                          <w:szCs w:val="28"/>
                          <w:u w:val="single"/>
                        </w:rPr>
                        <w:t xml:space="preserve">                                       </w:t>
                      </w:r>
                    </w:p>
                    <w:p>
                      <w:pPr>
                        <w:pStyle w:val="29"/>
                        <w:ind w:firstLine="0" w:firstLineChars="0"/>
                        <w:rPr>
                          <w:rFonts w:ascii="宋体" w:hAnsi="宋体"/>
                          <w:szCs w:val="28"/>
                        </w:rPr>
                      </w:pPr>
                      <w:r>
                        <w:rPr>
                          <w:rFonts w:hint="eastAsia" w:ascii="宋体" w:hAnsi="宋体"/>
                          <w:szCs w:val="28"/>
                        </w:rPr>
                        <w:t>　　　　　　　　　　单位：　　　　　　　　　　　（盖章）</w:t>
                      </w:r>
                    </w:p>
                    <w:p>
                      <w:pPr>
                        <w:pStyle w:val="29"/>
                        <w:ind w:firstLine="0" w:firstLineChars="0"/>
                        <w:rPr>
                          <w:rFonts w:ascii="宋体" w:hAnsi="宋体"/>
                          <w:szCs w:val="28"/>
                        </w:rPr>
                      </w:pPr>
                      <w:r>
                        <w:rPr>
                          <w:rFonts w:hint="eastAsia" w:ascii="宋体" w:hAnsi="宋体"/>
                          <w:szCs w:val="28"/>
                        </w:rPr>
                        <w:t>　　　　　　　　　　　　　　　　　　　　</w:t>
                      </w:r>
                      <w:r>
                        <w:rPr>
                          <w:rFonts w:hint="eastAsia" w:ascii="宋体" w:hAnsi="宋体" w:eastAsia="宋体"/>
                          <w:szCs w:val="28"/>
                        </w:rPr>
                        <w:t xml:space="preserve">      </w:t>
                      </w:r>
                      <w:r>
                        <w:rPr>
                          <w:rFonts w:hint="eastAsia" w:ascii="宋体" w:hAnsi="宋体"/>
                          <w:szCs w:val="28"/>
                        </w:rPr>
                        <w:t>　    年　</w:t>
                      </w:r>
                      <w:r>
                        <w:rPr>
                          <w:rFonts w:hint="eastAsia" w:ascii="宋体" w:hAnsi="宋体" w:eastAsia="宋体"/>
                          <w:szCs w:val="28"/>
                        </w:rPr>
                        <w:t xml:space="preserve">  </w:t>
                      </w:r>
                      <w:r>
                        <w:rPr>
                          <w:rFonts w:hint="eastAsia" w:ascii="宋体" w:hAnsi="宋体"/>
                          <w:szCs w:val="28"/>
                        </w:rPr>
                        <w:t>月　　日</w:t>
                      </w:r>
                    </w:p>
                  </w:txbxContent>
                </v:textbox>
                <w10:wrap type="square"/>
              </v:shape>
            </w:pict>
          </mc:Fallback>
        </mc:AlternateContent>
      </w:r>
      <w:r>
        <w:rPr>
          <w:rFonts w:hint="eastAsia"/>
          <w:snapToGrid w:val="0"/>
          <w:color w:val="auto"/>
          <w:spacing w:val="4"/>
          <w:sz w:val="24"/>
          <w:szCs w:val="24"/>
          <w:highlight w:val="none"/>
        </w:rPr>
        <w:t>（　 ）第　号</w:t>
      </w:r>
    </w:p>
    <w:p>
      <w:pPr>
        <w:topLinePunct/>
        <w:adjustRightInd w:val="0"/>
        <w:snapToGrid w:val="0"/>
        <w:spacing w:line="360" w:lineRule="auto"/>
        <w:rPr>
          <w:snapToGrid w:val="0"/>
          <w:color w:val="auto"/>
          <w:spacing w:val="4"/>
          <w:sz w:val="24"/>
          <w:szCs w:val="24"/>
          <w:highlight w:val="none"/>
        </w:rPr>
      </w:pPr>
    </w:p>
    <w:p>
      <w:pPr>
        <w:topLinePunct/>
        <w:adjustRightInd w:val="0"/>
        <w:snapToGrid w:val="0"/>
        <w:ind w:firstLine="496" w:firstLineChars="200"/>
        <w:rPr>
          <w:snapToGrid w:val="0"/>
          <w:color w:val="auto"/>
          <w:spacing w:val="4"/>
          <w:sz w:val="24"/>
          <w:szCs w:val="24"/>
          <w:highlight w:val="none"/>
        </w:rPr>
      </w:pPr>
      <w:r>
        <w:rPr>
          <w:rFonts w:hint="eastAsia"/>
          <w:snapToGrid w:val="0"/>
          <w:color w:val="auto"/>
          <w:spacing w:val="4"/>
          <w:sz w:val="24"/>
          <w:szCs w:val="24"/>
          <w:highlight w:val="none"/>
        </w:rPr>
        <w:t>（2）法定代表人授权委托书</w:t>
      </w:r>
    </w:p>
    <w:p>
      <w:pPr>
        <w:topLinePunct/>
        <w:adjustRightInd w:val="0"/>
        <w:snapToGrid w:val="0"/>
        <w:ind w:firstLine="496" w:firstLineChars="200"/>
        <w:rPr>
          <w:snapToGrid w:val="0"/>
          <w:color w:val="auto"/>
          <w:spacing w:val="4"/>
          <w:sz w:val="24"/>
          <w:szCs w:val="24"/>
          <w:highlight w:val="none"/>
        </w:rPr>
      </w:pPr>
      <w:r>
        <w:rPr>
          <w:rFonts w:hint="eastAsia"/>
          <w:snapToGrid w:val="0"/>
          <w:color w:val="auto"/>
          <w:spacing w:val="4"/>
          <w:sz w:val="24"/>
          <w:szCs w:val="24"/>
          <w:highlight w:val="none"/>
        </w:rPr>
        <w:t xml:space="preserve">                                                 （   ）第  号</w:t>
      </w:r>
    </w:p>
    <w:p>
      <w:pPr>
        <w:topLinePunct/>
        <w:adjustRightInd w:val="0"/>
        <w:snapToGrid w:val="0"/>
        <w:spacing w:line="360" w:lineRule="auto"/>
        <w:ind w:firstLine="420" w:firstLineChars="200"/>
        <w:rPr>
          <w:snapToGrid w:val="0"/>
          <w:color w:val="auto"/>
          <w:spacing w:val="4"/>
          <w:sz w:val="24"/>
          <w:szCs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80645</wp:posOffset>
                </wp:positionV>
                <wp:extent cx="5550535" cy="2748915"/>
                <wp:effectExtent l="4445" t="4445" r="7620" b="8890"/>
                <wp:wrapSquare wrapText="bothSides"/>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5791200" cy="2748915"/>
                        </a:xfrm>
                        <a:prstGeom prst="rect">
                          <a:avLst/>
                        </a:prstGeom>
                        <a:solidFill>
                          <a:srgbClr val="FFFFFF"/>
                        </a:solidFill>
                        <a:ln w="9525">
                          <a:solidFill>
                            <a:srgbClr val="000000"/>
                          </a:solidFill>
                          <a:miter lim="800000"/>
                        </a:ln>
                        <a:effectLst/>
                      </wps:spPr>
                      <wps:txbx>
                        <w:txbxContent>
                          <w:p>
                            <w:pPr>
                              <w:pStyle w:val="29"/>
                              <w:spacing w:before="240"/>
                              <w:ind w:firstLine="0" w:firstLineChars="0"/>
                              <w:rPr>
                                <w:rFonts w:ascii="宋体" w:hAnsi="宋体"/>
                              </w:rPr>
                            </w:pPr>
                            <w:r>
                              <w:rPr>
                                <w:rFonts w:hint="eastAsia" w:ascii="宋体" w:hAnsi="宋体"/>
                              </w:rPr>
                              <w:t>兹授权</w:t>
                            </w:r>
                            <w:r>
                              <w:rPr>
                                <w:rFonts w:ascii="宋体" w:hAnsi="宋体"/>
                                <w:u w:val="single"/>
                              </w:rPr>
                              <w:t xml:space="preserve">                </w:t>
                            </w:r>
                            <w:r>
                              <w:rPr>
                                <w:rFonts w:hint="eastAsia" w:ascii="宋体" w:hAnsi="宋体"/>
                              </w:rPr>
                              <w:t>为我方委托代理人，其权限是：</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29"/>
                              <w:ind w:firstLine="0" w:firstLineChars="0"/>
                              <w:rPr>
                                <w:rFonts w:ascii="宋体" w:hAnsi="宋体"/>
                              </w:rPr>
                            </w:pPr>
                            <w:r>
                              <w:rPr>
                                <w:rFonts w:hint="eastAsia" w:ascii="宋体" w:hAnsi="宋体"/>
                              </w:rPr>
                              <w:t>有效期限：</w:t>
                            </w:r>
                            <w:r>
                              <w:rPr>
                                <w:rFonts w:ascii="宋体" w:hAnsi="宋体"/>
                                <w:u w:val="single"/>
                              </w:rPr>
                              <w:t xml:space="preserve">                                                   </w:t>
                            </w:r>
                            <w:r>
                              <w:rPr>
                                <w:rFonts w:hint="eastAsia" w:ascii="宋体" w:hAnsi="宋体"/>
                                <w:u w:val="single"/>
                              </w:rPr>
                              <w:t xml:space="preserve">     </w:t>
                            </w:r>
                          </w:p>
                          <w:p>
                            <w:pPr>
                              <w:pStyle w:val="29"/>
                              <w:ind w:firstLine="0" w:firstLineChars="0"/>
                              <w:rPr>
                                <w:rFonts w:ascii="宋体" w:hAnsi="宋体"/>
                              </w:rPr>
                            </w:pPr>
                            <w:r>
                              <w:rPr>
                                <w:rFonts w:hint="eastAsia" w:ascii="宋体" w:hAnsi="宋体"/>
                              </w:rPr>
                              <w:t>附：代理人性别：</w:t>
                            </w:r>
                            <w:r>
                              <w:rPr>
                                <w:rFonts w:ascii="宋体" w:hAnsi="宋体"/>
                                <w:u w:val="single"/>
                              </w:rPr>
                              <w:t xml:space="preserve">     </w:t>
                            </w:r>
                            <w:r>
                              <w:rPr>
                                <w:rFonts w:hint="eastAsia" w:ascii="宋体" w:hAnsi="宋体"/>
                              </w:rPr>
                              <w:t>年龄：</w:t>
                            </w:r>
                            <w:r>
                              <w:rPr>
                                <w:rFonts w:ascii="宋体" w:hAnsi="宋体"/>
                                <w:u w:val="single"/>
                              </w:rPr>
                              <w:t xml:space="preserve">     </w:t>
                            </w:r>
                            <w:r>
                              <w:rPr>
                                <w:rFonts w:hint="eastAsia" w:ascii="宋体" w:hAnsi="宋体"/>
                              </w:rPr>
                              <w:t>身份证号码：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29"/>
                              <w:ind w:firstLine="0" w:firstLineChars="0"/>
                              <w:rPr>
                                <w:rFonts w:ascii="宋体" w:hAnsi="宋体"/>
                              </w:rPr>
                            </w:pPr>
                            <w:r>
                              <w:rPr>
                                <w:rFonts w:hint="eastAsia" w:ascii="宋体" w:hAnsi="宋体"/>
                              </w:rPr>
                              <w:t>注册号码：</w:t>
                            </w:r>
                            <w:r>
                              <w:rPr>
                                <w:rFonts w:ascii="宋体" w:hAnsi="宋体"/>
                                <w:u w:val="single"/>
                              </w:rPr>
                              <w:t xml:space="preserve">                  </w:t>
                            </w:r>
                            <w:r>
                              <w:rPr>
                                <w:rFonts w:hint="eastAsia" w:ascii="宋体" w:hAnsi="宋体"/>
                              </w:rPr>
                              <w:t>企业类型：</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29"/>
                              <w:ind w:firstLine="0" w:firstLineChars="0"/>
                              <w:rPr>
                                <w:rFonts w:ascii="宋体" w:hAnsi="宋体"/>
                              </w:rPr>
                            </w:pPr>
                            <w:r>
                              <w:rPr>
                                <w:rFonts w:hint="eastAsia" w:ascii="宋体" w:hAnsi="宋体"/>
                              </w:rPr>
                              <w:t>经营范围：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29"/>
                              <w:ind w:firstLine="0" w:firstLineChars="0"/>
                              <w:rPr>
                                <w:rFonts w:ascii="宋体" w:hAnsi="宋体"/>
                              </w:rPr>
                            </w:pPr>
                            <w:r>
                              <w:rPr>
                                <w:rFonts w:hint="eastAsia" w:ascii="宋体" w:hAnsi="宋体"/>
                              </w:rPr>
                              <w:t>法定代表人（负责人）：</w:t>
                            </w:r>
                            <w:r>
                              <w:rPr>
                                <w:rFonts w:ascii="宋体" w:hAnsi="宋体"/>
                                <w:u w:val="single"/>
                              </w:rPr>
                              <w:t xml:space="preserve">                 </w:t>
                            </w:r>
                            <w:r>
                              <w:rPr>
                                <w:rFonts w:hint="eastAsia" w:ascii="宋体" w:hAnsi="宋体"/>
                              </w:rPr>
                              <w:t>（签字或盖章）</w:t>
                            </w:r>
                          </w:p>
                          <w:p>
                            <w:pPr>
                              <w:pStyle w:val="29"/>
                              <w:ind w:firstLine="0" w:firstLineChars="0"/>
                              <w:rPr>
                                <w:rFonts w:ascii="宋体" w:hAnsi="宋体"/>
                              </w:rPr>
                            </w:pPr>
                            <w:r>
                              <w:rPr>
                                <w:rFonts w:hint="eastAsia" w:ascii="宋体" w:hAnsi="宋体"/>
                              </w:rPr>
                              <w:t>授权单位：（盖章）</w:t>
                            </w:r>
                            <w:r>
                              <w:rPr>
                                <w:rFonts w:ascii="宋体" w:hAnsi="宋体"/>
                                <w:u w:val="single"/>
                              </w:rPr>
                              <w:t xml:space="preserve">                      </w:t>
                            </w:r>
                          </w:p>
                          <w:p>
                            <w:pPr>
                              <w:pStyle w:val="29"/>
                              <w:ind w:firstLine="496"/>
                              <w:rPr>
                                <w:rFonts w:ascii="宋体" w:hAnsi="宋体"/>
                              </w:rPr>
                            </w:pPr>
                            <w:r>
                              <w:rPr>
                                <w:rFonts w:hint="eastAsia" w:ascii="宋体" w:hAnsi="宋体"/>
                              </w:rPr>
                              <w:t>年</w:t>
                            </w:r>
                            <w:r>
                              <w:rPr>
                                <w:rFonts w:ascii="宋体" w:hAnsi="宋体"/>
                              </w:rPr>
                              <w:t xml:space="preserve"> </w:t>
                            </w:r>
                            <w:r>
                              <w:rPr>
                                <w:rFonts w:hint="eastAsia" w:ascii="宋体" w:hAnsi="宋体" w:eastAsia="宋体"/>
                              </w:rPr>
                              <w:t xml:space="preserve"> </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top:6.35pt;height:216.45pt;width:437.05pt;mso-position-horizontal:center;mso-wrap-distance-bottom:0pt;mso-wrap-distance-left:9pt;mso-wrap-distance-right:9pt;mso-wrap-distance-top:0pt;z-index:251659264;mso-width-relative:page;mso-height-relative:page;" fillcolor="#FFFFFF" filled="t" stroked="t" coordsize="21600,21600" o:gfxdata="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S+mZN1wAAAAcBAAAPAAAAAAAAAAEA&#10;IAAAACIAAABkcnMvZG93bnJldi54bWxQSwECFAAUAAAACACHTuJArj9i0UkCAACYBAAADgAAAAAA&#10;AAABACAAAAAmAQAAZHJzL2Uyb0RvYy54bWxQSwUGAAAAAAYABgBZAQAA4QUAAAAA&#10;">
                <v:fill on="t" focussize="0,0"/>
                <v:stroke color="#000000" miterlimit="8" joinstyle="miter"/>
                <v:imagedata o:title=""/>
                <o:lock v:ext="edit" aspectratio="f"/>
                <v:textbox>
                  <w:txbxContent>
                    <w:p>
                      <w:pPr>
                        <w:pStyle w:val="29"/>
                        <w:spacing w:before="240"/>
                        <w:ind w:firstLine="0" w:firstLineChars="0"/>
                        <w:rPr>
                          <w:rFonts w:ascii="宋体" w:hAnsi="宋体"/>
                        </w:rPr>
                      </w:pPr>
                      <w:r>
                        <w:rPr>
                          <w:rFonts w:hint="eastAsia" w:ascii="宋体" w:hAnsi="宋体"/>
                        </w:rPr>
                        <w:t>兹授权</w:t>
                      </w:r>
                      <w:r>
                        <w:rPr>
                          <w:rFonts w:ascii="宋体" w:hAnsi="宋体"/>
                          <w:u w:val="single"/>
                        </w:rPr>
                        <w:t xml:space="preserve">                </w:t>
                      </w:r>
                      <w:r>
                        <w:rPr>
                          <w:rFonts w:hint="eastAsia" w:ascii="宋体" w:hAnsi="宋体"/>
                        </w:rPr>
                        <w:t>为我方委托代理人，其权限是：</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29"/>
                        <w:ind w:firstLine="0" w:firstLineChars="0"/>
                        <w:rPr>
                          <w:rFonts w:ascii="宋体" w:hAnsi="宋体"/>
                        </w:rPr>
                      </w:pPr>
                      <w:r>
                        <w:rPr>
                          <w:rFonts w:hint="eastAsia" w:ascii="宋体" w:hAnsi="宋体"/>
                        </w:rPr>
                        <w:t>有效期限：</w:t>
                      </w:r>
                      <w:r>
                        <w:rPr>
                          <w:rFonts w:ascii="宋体" w:hAnsi="宋体"/>
                          <w:u w:val="single"/>
                        </w:rPr>
                        <w:t xml:space="preserve">                                                   </w:t>
                      </w:r>
                      <w:r>
                        <w:rPr>
                          <w:rFonts w:hint="eastAsia" w:ascii="宋体" w:hAnsi="宋体"/>
                          <w:u w:val="single"/>
                        </w:rPr>
                        <w:t xml:space="preserve">     </w:t>
                      </w:r>
                    </w:p>
                    <w:p>
                      <w:pPr>
                        <w:pStyle w:val="29"/>
                        <w:ind w:firstLine="0" w:firstLineChars="0"/>
                        <w:rPr>
                          <w:rFonts w:ascii="宋体" w:hAnsi="宋体"/>
                        </w:rPr>
                      </w:pPr>
                      <w:r>
                        <w:rPr>
                          <w:rFonts w:hint="eastAsia" w:ascii="宋体" w:hAnsi="宋体"/>
                        </w:rPr>
                        <w:t>附：代理人性别：</w:t>
                      </w:r>
                      <w:r>
                        <w:rPr>
                          <w:rFonts w:ascii="宋体" w:hAnsi="宋体"/>
                          <w:u w:val="single"/>
                        </w:rPr>
                        <w:t xml:space="preserve">     </w:t>
                      </w:r>
                      <w:r>
                        <w:rPr>
                          <w:rFonts w:hint="eastAsia" w:ascii="宋体" w:hAnsi="宋体"/>
                        </w:rPr>
                        <w:t>年龄：</w:t>
                      </w:r>
                      <w:r>
                        <w:rPr>
                          <w:rFonts w:ascii="宋体" w:hAnsi="宋体"/>
                          <w:u w:val="single"/>
                        </w:rPr>
                        <w:t xml:space="preserve">     </w:t>
                      </w:r>
                      <w:r>
                        <w:rPr>
                          <w:rFonts w:hint="eastAsia" w:ascii="宋体" w:hAnsi="宋体"/>
                        </w:rPr>
                        <w:t>身份证号码：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29"/>
                        <w:ind w:firstLine="0" w:firstLineChars="0"/>
                        <w:rPr>
                          <w:rFonts w:ascii="宋体" w:hAnsi="宋体"/>
                        </w:rPr>
                      </w:pPr>
                      <w:r>
                        <w:rPr>
                          <w:rFonts w:hint="eastAsia" w:ascii="宋体" w:hAnsi="宋体"/>
                        </w:rPr>
                        <w:t>注册号码：</w:t>
                      </w:r>
                      <w:r>
                        <w:rPr>
                          <w:rFonts w:ascii="宋体" w:hAnsi="宋体"/>
                          <w:u w:val="single"/>
                        </w:rPr>
                        <w:t xml:space="preserve">                  </w:t>
                      </w:r>
                      <w:r>
                        <w:rPr>
                          <w:rFonts w:hint="eastAsia" w:ascii="宋体" w:hAnsi="宋体"/>
                        </w:rPr>
                        <w:t>企业类型：</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29"/>
                        <w:ind w:firstLine="0" w:firstLineChars="0"/>
                        <w:rPr>
                          <w:rFonts w:ascii="宋体" w:hAnsi="宋体"/>
                        </w:rPr>
                      </w:pPr>
                      <w:r>
                        <w:rPr>
                          <w:rFonts w:hint="eastAsia" w:ascii="宋体" w:hAnsi="宋体"/>
                        </w:rPr>
                        <w:t>经营范围：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29"/>
                        <w:ind w:firstLine="0" w:firstLineChars="0"/>
                        <w:rPr>
                          <w:rFonts w:ascii="宋体" w:hAnsi="宋体"/>
                        </w:rPr>
                      </w:pPr>
                      <w:r>
                        <w:rPr>
                          <w:rFonts w:hint="eastAsia" w:ascii="宋体" w:hAnsi="宋体"/>
                        </w:rPr>
                        <w:t>法定代表人（负责人）：</w:t>
                      </w:r>
                      <w:r>
                        <w:rPr>
                          <w:rFonts w:ascii="宋体" w:hAnsi="宋体"/>
                          <w:u w:val="single"/>
                        </w:rPr>
                        <w:t xml:space="preserve">                 </w:t>
                      </w:r>
                      <w:r>
                        <w:rPr>
                          <w:rFonts w:hint="eastAsia" w:ascii="宋体" w:hAnsi="宋体"/>
                        </w:rPr>
                        <w:t>（签字或盖章）</w:t>
                      </w:r>
                    </w:p>
                    <w:p>
                      <w:pPr>
                        <w:pStyle w:val="29"/>
                        <w:ind w:firstLine="0" w:firstLineChars="0"/>
                        <w:rPr>
                          <w:rFonts w:ascii="宋体" w:hAnsi="宋体"/>
                        </w:rPr>
                      </w:pPr>
                      <w:r>
                        <w:rPr>
                          <w:rFonts w:hint="eastAsia" w:ascii="宋体" w:hAnsi="宋体"/>
                        </w:rPr>
                        <w:t>授权单位：（盖章）</w:t>
                      </w:r>
                      <w:r>
                        <w:rPr>
                          <w:rFonts w:ascii="宋体" w:hAnsi="宋体"/>
                          <w:u w:val="single"/>
                        </w:rPr>
                        <w:t xml:space="preserve">                      </w:t>
                      </w:r>
                    </w:p>
                    <w:p>
                      <w:pPr>
                        <w:pStyle w:val="29"/>
                        <w:ind w:firstLine="496"/>
                        <w:rPr>
                          <w:rFonts w:ascii="宋体" w:hAnsi="宋体"/>
                        </w:rPr>
                      </w:pPr>
                      <w:r>
                        <w:rPr>
                          <w:rFonts w:hint="eastAsia" w:ascii="宋体" w:hAnsi="宋体"/>
                        </w:rPr>
                        <w:t>年</w:t>
                      </w:r>
                      <w:r>
                        <w:rPr>
                          <w:rFonts w:ascii="宋体" w:hAnsi="宋体"/>
                        </w:rPr>
                        <w:t xml:space="preserve"> </w:t>
                      </w:r>
                      <w:r>
                        <w:rPr>
                          <w:rFonts w:hint="eastAsia" w:ascii="宋体" w:hAnsi="宋体" w:eastAsia="宋体"/>
                        </w:rPr>
                        <w:t xml:space="preserve"> </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xbxContent>
                </v:textbox>
                <w10:wrap type="square"/>
              </v:shape>
            </w:pict>
          </mc:Fallback>
        </mc:AlternateContent>
      </w:r>
    </w:p>
    <w:p>
      <w:pPr>
        <w:rPr>
          <w:color w:val="auto"/>
          <w:highlight w:val="none"/>
        </w:rPr>
      </w:pPr>
      <w:bookmarkStart w:id="172" w:name="_Toc3736"/>
      <w:bookmarkStart w:id="173" w:name="_Toc4339798"/>
      <w:bookmarkStart w:id="174" w:name="_Toc4486079"/>
      <w:bookmarkStart w:id="175" w:name="_Toc4489947"/>
      <w:bookmarkStart w:id="176" w:name="_Toc4340136"/>
      <w:r>
        <w:rPr>
          <w:rFonts w:hint="eastAsia"/>
          <w:color w:val="auto"/>
          <w:highlight w:val="none"/>
        </w:rPr>
        <w:t>注：按提供的格式或使用从工商管理部门购买的格式填写。</w:t>
      </w:r>
      <w:bookmarkEnd w:id="172"/>
      <w:bookmarkEnd w:id="173"/>
      <w:bookmarkEnd w:id="174"/>
      <w:bookmarkEnd w:id="175"/>
      <w:bookmarkEnd w:id="176"/>
    </w:p>
    <w:p>
      <w:pPr>
        <w:widowControl/>
        <w:topLinePunct/>
        <w:adjustRightInd w:val="0"/>
        <w:snapToGrid w:val="0"/>
        <w:spacing w:after="200"/>
        <w:jc w:val="left"/>
        <w:outlineLvl w:val="2"/>
        <w:rPr>
          <w:rFonts w:ascii="宋体" w:hAnsi="宋体"/>
          <w:color w:val="auto"/>
          <w:spacing w:val="4"/>
          <w:kern w:val="0"/>
          <w:sz w:val="24"/>
          <w:szCs w:val="24"/>
          <w:highlight w:val="none"/>
        </w:rPr>
      </w:pPr>
      <w:bookmarkStart w:id="177" w:name="_Toc504722514"/>
      <w:bookmarkStart w:id="178" w:name="_Toc29321"/>
      <w:r>
        <w:rPr>
          <w:rFonts w:ascii="宋体" w:hAnsi="宋体"/>
          <w:color w:val="auto"/>
          <w:spacing w:val="4"/>
          <w:kern w:val="0"/>
          <w:sz w:val="24"/>
          <w:szCs w:val="24"/>
          <w:highlight w:val="none"/>
        </w:rPr>
        <w:br w:type="page"/>
      </w:r>
      <w:bookmarkEnd w:id="177"/>
      <w:bookmarkEnd w:id="178"/>
      <w:bookmarkStart w:id="179" w:name="_Toc4489950"/>
      <w:bookmarkStart w:id="180" w:name="_Toc2795"/>
      <w:bookmarkStart w:id="181" w:name="_Toc1924"/>
      <w:bookmarkStart w:id="182" w:name="_Toc62056040"/>
      <w:bookmarkStart w:id="183" w:name="_Toc29476918"/>
      <w:r>
        <w:rPr>
          <w:rFonts w:hint="eastAsia" w:ascii="宋体" w:hAnsi="宋体"/>
          <w:color w:val="auto"/>
          <w:spacing w:val="4"/>
          <w:kern w:val="0"/>
          <w:sz w:val="24"/>
          <w:szCs w:val="24"/>
          <w:highlight w:val="none"/>
        </w:rPr>
        <w:t>格式六：</w:t>
      </w:r>
      <w:bookmarkEnd w:id="179"/>
      <w:r>
        <w:rPr>
          <w:rFonts w:hint="eastAsia" w:ascii="宋体" w:hAnsi="宋体"/>
          <w:color w:val="auto"/>
          <w:spacing w:val="4"/>
          <w:kern w:val="0"/>
          <w:sz w:val="24"/>
          <w:szCs w:val="24"/>
          <w:highlight w:val="none"/>
        </w:rPr>
        <w:t>主要人员简历表</w:t>
      </w:r>
      <w:bookmarkEnd w:id="180"/>
      <w:bookmarkEnd w:id="181"/>
      <w:bookmarkEnd w:id="182"/>
      <w:bookmarkEnd w:id="183"/>
    </w:p>
    <w:p>
      <w:pPr>
        <w:widowControl/>
        <w:topLinePunct/>
        <w:adjustRightInd w:val="0"/>
        <w:snapToGrid w:val="0"/>
        <w:spacing w:after="200" w:line="360" w:lineRule="auto"/>
        <w:jc w:val="center"/>
        <w:rPr>
          <w:rFonts w:ascii="宋体" w:hAnsi="宋体"/>
          <w:b/>
          <w:color w:val="auto"/>
          <w:spacing w:val="4"/>
          <w:kern w:val="0"/>
          <w:sz w:val="36"/>
          <w:szCs w:val="36"/>
          <w:highlight w:val="none"/>
        </w:rPr>
      </w:pPr>
      <w:r>
        <w:rPr>
          <w:rFonts w:hint="eastAsia" w:ascii="宋体" w:hAnsi="宋体"/>
          <w:b/>
          <w:color w:val="auto"/>
          <w:spacing w:val="4"/>
          <w:kern w:val="0"/>
          <w:sz w:val="36"/>
          <w:szCs w:val="36"/>
          <w:highlight w:val="none"/>
        </w:rPr>
        <w:t>主要人员简历表</w:t>
      </w:r>
    </w:p>
    <w:tbl>
      <w:tblPr>
        <w:tblStyle w:val="22"/>
        <w:tblpPr w:leftFromText="180" w:rightFromText="180" w:vertAnchor="text" w:tblpX="-206" w:tblpY="76"/>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378"/>
        <w:gridCol w:w="1405"/>
        <w:gridCol w:w="296"/>
        <w:gridCol w:w="1182"/>
        <w:gridCol w:w="69"/>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526" w:type="dxa"/>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姓名</w:t>
            </w:r>
          </w:p>
        </w:tc>
        <w:tc>
          <w:tcPr>
            <w:tcW w:w="2126" w:type="dxa"/>
            <w:gridSpan w:val="3"/>
            <w:vAlign w:val="center"/>
          </w:tcPr>
          <w:p>
            <w:pPr>
              <w:keepNext/>
              <w:keepLines/>
              <w:widowControl/>
              <w:topLinePunct/>
              <w:adjustRightInd w:val="0"/>
              <w:snapToGrid w:val="0"/>
              <w:spacing w:before="120" w:after="120" w:line="360" w:lineRule="auto"/>
              <w:jc w:val="center"/>
              <w:outlineLvl w:val="0"/>
              <w:rPr>
                <w:rFonts w:ascii="宋体" w:hAnsi="宋体" w:eastAsia="等线"/>
                <w:b/>
                <w:snapToGrid w:val="0"/>
                <w:color w:val="auto"/>
                <w:spacing w:val="4"/>
                <w:sz w:val="24"/>
                <w:szCs w:val="24"/>
                <w:highlight w:val="none"/>
                <w:lang w:bidi="en-US"/>
              </w:rPr>
            </w:pPr>
          </w:p>
        </w:tc>
        <w:tc>
          <w:tcPr>
            <w:tcW w:w="1370" w:type="dxa"/>
            <w:gridSpan w:val="2"/>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性别</w:t>
            </w:r>
          </w:p>
        </w:tc>
        <w:tc>
          <w:tcPr>
            <w:tcW w:w="1701" w:type="dxa"/>
            <w:gridSpan w:val="2"/>
            <w:vAlign w:val="center"/>
          </w:tcPr>
          <w:p>
            <w:pPr>
              <w:keepNext/>
              <w:keepLines/>
              <w:widowControl/>
              <w:topLinePunct/>
              <w:adjustRightInd w:val="0"/>
              <w:snapToGrid w:val="0"/>
              <w:spacing w:before="120" w:after="120" w:line="360" w:lineRule="auto"/>
              <w:jc w:val="center"/>
              <w:outlineLvl w:val="0"/>
              <w:rPr>
                <w:rFonts w:ascii="宋体" w:hAnsi="宋体" w:eastAsia="等线"/>
                <w:b/>
                <w:snapToGrid w:val="0"/>
                <w:color w:val="auto"/>
                <w:spacing w:val="4"/>
                <w:sz w:val="24"/>
                <w:szCs w:val="24"/>
                <w:highlight w:val="none"/>
                <w:lang w:bidi="en-US"/>
              </w:rPr>
            </w:pPr>
          </w:p>
        </w:tc>
        <w:tc>
          <w:tcPr>
            <w:tcW w:w="1182" w:type="dxa"/>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年龄</w:t>
            </w:r>
          </w:p>
        </w:tc>
        <w:tc>
          <w:tcPr>
            <w:tcW w:w="1620" w:type="dxa"/>
            <w:gridSpan w:val="2"/>
            <w:vAlign w:val="center"/>
          </w:tcPr>
          <w:p>
            <w:pPr>
              <w:keepNext/>
              <w:keepLines/>
              <w:widowControl/>
              <w:topLinePunct/>
              <w:adjustRightInd w:val="0"/>
              <w:snapToGrid w:val="0"/>
              <w:spacing w:before="120" w:after="120" w:line="360" w:lineRule="auto"/>
              <w:jc w:val="center"/>
              <w:outlineLvl w:val="0"/>
              <w:rPr>
                <w:rFonts w:ascii="宋体" w:hAnsi="宋体" w:eastAsia="等线"/>
                <w:b/>
                <w:snapToGrid w:val="0"/>
                <w:color w:val="auto"/>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26" w:type="dxa"/>
            <w:vAlign w:val="center"/>
          </w:tcPr>
          <w:p>
            <w:pPr>
              <w:widowControl/>
              <w:spacing w:after="200" w:line="276" w:lineRule="auto"/>
              <w:jc w:val="center"/>
              <w:rPr>
                <w:rFonts w:ascii="宋体" w:hAnsi="宋体"/>
                <w:b/>
                <w:color w:val="auto"/>
                <w:kern w:val="0"/>
                <w:sz w:val="24"/>
                <w:szCs w:val="24"/>
                <w:highlight w:val="none"/>
                <w:lang w:eastAsia="en-US" w:bidi="en-US"/>
              </w:rPr>
            </w:pPr>
            <w:r>
              <w:rPr>
                <w:rFonts w:ascii="宋体" w:hAnsi="宋体"/>
                <w:b/>
                <w:bCs/>
                <w:color w:val="auto"/>
                <w:kern w:val="0"/>
                <w:sz w:val="22"/>
                <w:szCs w:val="21"/>
                <w:highlight w:val="none"/>
                <w:lang w:eastAsia="en-US" w:bidi="en-US"/>
              </w:rPr>
              <w:t>身份证号码</w:t>
            </w:r>
          </w:p>
        </w:tc>
        <w:tc>
          <w:tcPr>
            <w:tcW w:w="7999" w:type="dxa"/>
            <w:gridSpan w:val="10"/>
            <w:vAlign w:val="center"/>
          </w:tcPr>
          <w:p>
            <w:pPr>
              <w:widowControl/>
              <w:topLinePunct/>
              <w:adjustRightInd w:val="0"/>
              <w:snapToGrid w:val="0"/>
              <w:spacing w:after="200" w:line="360" w:lineRule="auto"/>
              <w:jc w:val="center"/>
              <w:rPr>
                <w:rFonts w:ascii="宋体" w:hAnsi="宋体" w:eastAsia="等线"/>
                <w:b/>
                <w:snapToGrid w:val="0"/>
                <w:color w:val="auto"/>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26" w:type="dxa"/>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职务</w:t>
            </w:r>
          </w:p>
        </w:tc>
        <w:tc>
          <w:tcPr>
            <w:tcW w:w="2126" w:type="dxa"/>
            <w:gridSpan w:val="3"/>
            <w:vAlign w:val="center"/>
          </w:tcPr>
          <w:p>
            <w:pPr>
              <w:keepNext/>
              <w:keepLines/>
              <w:widowControl/>
              <w:topLinePunct/>
              <w:adjustRightInd w:val="0"/>
              <w:snapToGrid w:val="0"/>
              <w:spacing w:before="120" w:after="120" w:line="360" w:lineRule="auto"/>
              <w:jc w:val="center"/>
              <w:outlineLvl w:val="0"/>
              <w:rPr>
                <w:rFonts w:ascii="宋体" w:hAnsi="宋体" w:eastAsia="等线"/>
                <w:b/>
                <w:snapToGrid w:val="0"/>
                <w:color w:val="auto"/>
                <w:spacing w:val="4"/>
                <w:sz w:val="24"/>
                <w:szCs w:val="24"/>
                <w:highlight w:val="none"/>
                <w:lang w:bidi="en-US"/>
              </w:rPr>
            </w:pPr>
          </w:p>
        </w:tc>
        <w:tc>
          <w:tcPr>
            <w:tcW w:w="1370" w:type="dxa"/>
            <w:gridSpan w:val="2"/>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职称</w:t>
            </w:r>
          </w:p>
        </w:tc>
        <w:tc>
          <w:tcPr>
            <w:tcW w:w="1701" w:type="dxa"/>
            <w:gridSpan w:val="2"/>
            <w:vAlign w:val="center"/>
          </w:tcPr>
          <w:p>
            <w:pPr>
              <w:keepNext/>
              <w:keepLines/>
              <w:widowControl/>
              <w:topLinePunct/>
              <w:adjustRightInd w:val="0"/>
              <w:snapToGrid w:val="0"/>
              <w:spacing w:before="120" w:after="120" w:line="360" w:lineRule="auto"/>
              <w:jc w:val="center"/>
              <w:outlineLvl w:val="0"/>
              <w:rPr>
                <w:rFonts w:ascii="宋体" w:hAnsi="宋体" w:eastAsia="等线"/>
                <w:b/>
                <w:snapToGrid w:val="0"/>
                <w:color w:val="auto"/>
                <w:spacing w:val="4"/>
                <w:sz w:val="24"/>
                <w:szCs w:val="24"/>
                <w:highlight w:val="none"/>
                <w:lang w:bidi="en-US"/>
              </w:rPr>
            </w:pPr>
          </w:p>
        </w:tc>
        <w:tc>
          <w:tcPr>
            <w:tcW w:w="1182" w:type="dxa"/>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学历</w:t>
            </w:r>
          </w:p>
        </w:tc>
        <w:tc>
          <w:tcPr>
            <w:tcW w:w="1620" w:type="dxa"/>
            <w:gridSpan w:val="2"/>
            <w:vAlign w:val="center"/>
          </w:tcPr>
          <w:p>
            <w:pPr>
              <w:keepNext/>
              <w:keepLines/>
              <w:widowControl/>
              <w:topLinePunct/>
              <w:adjustRightInd w:val="0"/>
              <w:snapToGrid w:val="0"/>
              <w:spacing w:before="120" w:after="120" w:line="360" w:lineRule="auto"/>
              <w:jc w:val="center"/>
              <w:outlineLvl w:val="0"/>
              <w:rPr>
                <w:rFonts w:ascii="宋体" w:hAnsi="宋体" w:eastAsia="等线"/>
                <w:b/>
                <w:snapToGrid w:val="0"/>
                <w:color w:val="auto"/>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526" w:type="dxa"/>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参加工作</w:t>
            </w:r>
          </w:p>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时间</w:t>
            </w:r>
          </w:p>
        </w:tc>
        <w:tc>
          <w:tcPr>
            <w:tcW w:w="2126" w:type="dxa"/>
            <w:gridSpan w:val="3"/>
            <w:vAlign w:val="center"/>
          </w:tcPr>
          <w:p>
            <w:pPr>
              <w:keepNext/>
              <w:keepLines/>
              <w:widowControl/>
              <w:topLinePunct/>
              <w:adjustRightInd w:val="0"/>
              <w:snapToGrid w:val="0"/>
              <w:spacing w:before="120" w:after="120" w:line="360" w:lineRule="auto"/>
              <w:jc w:val="center"/>
              <w:outlineLvl w:val="0"/>
              <w:rPr>
                <w:rFonts w:ascii="宋体" w:hAnsi="宋体" w:eastAsia="等线"/>
                <w:b/>
                <w:snapToGrid w:val="0"/>
                <w:color w:val="auto"/>
                <w:spacing w:val="4"/>
                <w:sz w:val="24"/>
                <w:szCs w:val="24"/>
                <w:highlight w:val="none"/>
                <w:lang w:bidi="en-US"/>
              </w:rPr>
            </w:pPr>
          </w:p>
        </w:tc>
        <w:tc>
          <w:tcPr>
            <w:tcW w:w="1370" w:type="dxa"/>
            <w:gridSpan w:val="2"/>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担任相应职务年限</w:t>
            </w:r>
          </w:p>
        </w:tc>
        <w:tc>
          <w:tcPr>
            <w:tcW w:w="4503" w:type="dxa"/>
            <w:gridSpan w:val="5"/>
            <w:vAlign w:val="center"/>
          </w:tcPr>
          <w:p>
            <w:pPr>
              <w:keepNext/>
              <w:keepLines/>
              <w:widowControl/>
              <w:spacing w:before="120" w:after="120" w:line="276" w:lineRule="auto"/>
              <w:jc w:val="center"/>
              <w:outlineLvl w:val="0"/>
              <w:rPr>
                <w:rFonts w:ascii="宋体" w:hAnsi="宋体"/>
                <w:b/>
                <w:color w:val="auto"/>
                <w:kern w:val="0"/>
                <w:sz w:val="24"/>
                <w:szCs w:val="24"/>
                <w:highlight w:val="none"/>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526" w:type="dxa"/>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资</w:t>
            </w:r>
            <w:bookmarkStart w:id="184" w:name="_Toc337720098"/>
            <w:bookmarkStart w:id="185" w:name="_Toc352240530"/>
            <w:bookmarkStart w:id="186" w:name="_Toc239216038"/>
            <w:bookmarkStart w:id="187" w:name="_Toc395261106"/>
            <w:bookmarkStart w:id="188" w:name="_Toc226209010"/>
            <w:bookmarkStart w:id="189" w:name="_Toc352623428"/>
            <w:bookmarkStart w:id="190" w:name="_Toc358370585"/>
            <w:bookmarkStart w:id="191" w:name="_Toc239311753"/>
            <w:bookmarkStart w:id="192" w:name="_Toc318924502"/>
            <w:bookmarkStart w:id="193" w:name="_Toc449308427"/>
            <w:bookmarkStart w:id="194" w:name="_Toc163337627"/>
            <w:bookmarkStart w:id="195" w:name="_Toc369536777"/>
            <w:r>
              <w:rPr>
                <w:rFonts w:hint="eastAsia" w:ascii="宋体" w:hAnsi="宋体"/>
                <w:b/>
                <w:color w:val="auto"/>
                <w:kern w:val="0"/>
                <w:sz w:val="24"/>
                <w:szCs w:val="24"/>
                <w:highlight w:val="none"/>
                <w:lang w:eastAsia="en-US" w:bidi="en-US"/>
              </w:rPr>
              <w:t>格证书号</w:t>
            </w:r>
          </w:p>
        </w:tc>
        <w:tc>
          <w:tcPr>
            <w:tcW w:w="7999" w:type="dxa"/>
            <w:gridSpan w:val="10"/>
            <w:vAlign w:val="center"/>
          </w:tcPr>
          <w:p>
            <w:pPr>
              <w:keepNext/>
              <w:keepLines/>
              <w:widowControl/>
              <w:topLinePunct/>
              <w:adjustRightInd w:val="0"/>
              <w:snapToGrid w:val="0"/>
              <w:spacing w:before="120" w:after="120" w:line="360" w:lineRule="auto"/>
              <w:jc w:val="center"/>
              <w:outlineLvl w:val="0"/>
              <w:rPr>
                <w:rFonts w:ascii="宋体" w:hAnsi="宋体" w:eastAsia="等线"/>
                <w:b/>
                <w:snapToGrid w:val="0"/>
                <w:color w:val="auto"/>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525" w:type="dxa"/>
            <w:gridSpan w:val="11"/>
            <w:vAlign w:val="center"/>
          </w:tcPr>
          <w:p>
            <w:pPr>
              <w:widowControl/>
              <w:topLinePunct/>
              <w:adjustRightInd w:val="0"/>
              <w:snapToGrid w:val="0"/>
              <w:spacing w:before="240" w:after="200"/>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建设单位</w:t>
            </w:r>
            <w:bookmarkEnd w:id="184"/>
            <w:bookmarkEnd w:id="185"/>
            <w:bookmarkEnd w:id="186"/>
            <w:bookmarkEnd w:id="187"/>
            <w:bookmarkEnd w:id="188"/>
            <w:bookmarkEnd w:id="189"/>
            <w:bookmarkEnd w:id="190"/>
            <w:bookmarkEnd w:id="191"/>
            <w:bookmarkEnd w:id="192"/>
            <w:bookmarkEnd w:id="193"/>
            <w:bookmarkEnd w:id="194"/>
            <w:bookmarkEnd w:id="195"/>
          </w:p>
        </w:tc>
        <w:tc>
          <w:tcPr>
            <w:tcW w:w="1547" w:type="dxa"/>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项目名称</w:t>
            </w:r>
          </w:p>
        </w:tc>
        <w:tc>
          <w:tcPr>
            <w:tcW w:w="1549" w:type="dxa"/>
            <w:gridSpan w:val="2"/>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建设规模</w:t>
            </w:r>
          </w:p>
        </w:tc>
        <w:tc>
          <w:tcPr>
            <w:tcW w:w="1783" w:type="dxa"/>
            <w:gridSpan w:val="2"/>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开、竣工日期</w:t>
            </w:r>
          </w:p>
        </w:tc>
        <w:tc>
          <w:tcPr>
            <w:tcW w:w="1547" w:type="dxa"/>
            <w:gridSpan w:val="3"/>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在建或已完</w:t>
            </w:r>
          </w:p>
        </w:tc>
        <w:tc>
          <w:tcPr>
            <w:tcW w:w="1551" w:type="dxa"/>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48" w:type="dxa"/>
            <w:gridSpan w:val="2"/>
            <w:vAlign w:val="center"/>
          </w:tcPr>
          <w:p>
            <w:pPr>
              <w:widowControl/>
              <w:topLinePunct/>
              <w:adjustRightInd w:val="0"/>
              <w:snapToGrid w:val="0"/>
              <w:spacing w:after="200" w:line="360" w:lineRule="auto"/>
              <w:jc w:val="center"/>
              <w:rPr>
                <w:rFonts w:ascii="宋体" w:hAnsi="宋体" w:eastAsia="等线"/>
                <w:b/>
                <w:snapToGrid w:val="0"/>
                <w:color w:val="auto"/>
                <w:spacing w:val="4"/>
                <w:sz w:val="24"/>
                <w:szCs w:val="24"/>
                <w:highlight w:val="none"/>
                <w:lang w:bidi="en-US"/>
              </w:rPr>
            </w:pPr>
          </w:p>
        </w:tc>
        <w:tc>
          <w:tcPr>
            <w:tcW w:w="1547" w:type="dxa"/>
            <w:vAlign w:val="center"/>
          </w:tcPr>
          <w:p>
            <w:pPr>
              <w:widowControl/>
              <w:topLinePunct/>
              <w:adjustRightInd w:val="0"/>
              <w:snapToGrid w:val="0"/>
              <w:spacing w:after="200" w:line="360" w:lineRule="auto"/>
              <w:jc w:val="center"/>
              <w:rPr>
                <w:rFonts w:ascii="宋体" w:hAnsi="宋体" w:eastAsia="等线"/>
                <w:b/>
                <w:snapToGrid w:val="0"/>
                <w:color w:val="auto"/>
                <w:spacing w:val="4"/>
                <w:sz w:val="24"/>
                <w:szCs w:val="24"/>
                <w:highlight w:val="none"/>
                <w:lang w:bidi="en-US"/>
              </w:rPr>
            </w:pPr>
          </w:p>
        </w:tc>
        <w:tc>
          <w:tcPr>
            <w:tcW w:w="1549" w:type="dxa"/>
            <w:gridSpan w:val="2"/>
            <w:vAlign w:val="center"/>
          </w:tcPr>
          <w:p>
            <w:pPr>
              <w:widowControl/>
              <w:topLinePunct/>
              <w:adjustRightInd w:val="0"/>
              <w:snapToGrid w:val="0"/>
              <w:spacing w:after="200" w:line="360" w:lineRule="auto"/>
              <w:jc w:val="center"/>
              <w:rPr>
                <w:rFonts w:ascii="宋体" w:hAnsi="宋体" w:eastAsia="等线"/>
                <w:b/>
                <w:snapToGrid w:val="0"/>
                <w:color w:val="auto"/>
                <w:spacing w:val="4"/>
                <w:sz w:val="24"/>
                <w:szCs w:val="24"/>
                <w:highlight w:val="none"/>
                <w:lang w:bidi="en-US"/>
              </w:rPr>
            </w:pPr>
          </w:p>
        </w:tc>
        <w:tc>
          <w:tcPr>
            <w:tcW w:w="1783" w:type="dxa"/>
            <w:gridSpan w:val="2"/>
            <w:vAlign w:val="center"/>
          </w:tcPr>
          <w:p>
            <w:pPr>
              <w:widowControl/>
              <w:topLinePunct/>
              <w:adjustRightInd w:val="0"/>
              <w:snapToGrid w:val="0"/>
              <w:spacing w:after="200" w:line="360" w:lineRule="auto"/>
              <w:jc w:val="center"/>
              <w:rPr>
                <w:rFonts w:ascii="宋体" w:hAnsi="宋体" w:eastAsia="等线"/>
                <w:b/>
                <w:snapToGrid w:val="0"/>
                <w:color w:val="auto"/>
                <w:spacing w:val="4"/>
                <w:sz w:val="24"/>
                <w:szCs w:val="24"/>
                <w:highlight w:val="none"/>
                <w:lang w:bidi="en-US"/>
              </w:rPr>
            </w:pPr>
          </w:p>
        </w:tc>
        <w:tc>
          <w:tcPr>
            <w:tcW w:w="1547" w:type="dxa"/>
            <w:gridSpan w:val="3"/>
            <w:vAlign w:val="center"/>
          </w:tcPr>
          <w:p>
            <w:pPr>
              <w:widowControl/>
              <w:topLinePunct/>
              <w:adjustRightInd w:val="0"/>
              <w:snapToGrid w:val="0"/>
              <w:spacing w:after="200" w:line="360" w:lineRule="auto"/>
              <w:jc w:val="center"/>
              <w:rPr>
                <w:rFonts w:ascii="宋体" w:hAnsi="宋体" w:eastAsia="等线"/>
                <w:b/>
                <w:snapToGrid w:val="0"/>
                <w:color w:val="auto"/>
                <w:spacing w:val="4"/>
                <w:sz w:val="24"/>
                <w:szCs w:val="24"/>
                <w:highlight w:val="none"/>
                <w:lang w:bidi="en-US"/>
              </w:rPr>
            </w:pPr>
          </w:p>
        </w:tc>
        <w:tc>
          <w:tcPr>
            <w:tcW w:w="1551" w:type="dxa"/>
            <w:vAlign w:val="center"/>
          </w:tcPr>
          <w:p>
            <w:pPr>
              <w:widowControl/>
              <w:topLinePunct/>
              <w:adjustRightInd w:val="0"/>
              <w:snapToGrid w:val="0"/>
              <w:spacing w:after="200" w:line="360" w:lineRule="auto"/>
              <w:jc w:val="center"/>
              <w:rPr>
                <w:rFonts w:ascii="宋体" w:hAnsi="宋体" w:eastAsia="等线"/>
                <w:b/>
                <w:snapToGrid w:val="0"/>
                <w:color w:val="auto"/>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48" w:type="dxa"/>
            <w:gridSpan w:val="2"/>
            <w:vAlign w:val="center"/>
          </w:tcPr>
          <w:p>
            <w:pPr>
              <w:widowControl/>
              <w:topLinePunct/>
              <w:adjustRightInd w:val="0"/>
              <w:snapToGrid w:val="0"/>
              <w:spacing w:after="200" w:line="360" w:lineRule="auto"/>
              <w:jc w:val="center"/>
              <w:rPr>
                <w:rFonts w:ascii="宋体" w:hAnsi="宋体" w:eastAsia="等线"/>
                <w:snapToGrid w:val="0"/>
                <w:color w:val="auto"/>
                <w:spacing w:val="4"/>
                <w:sz w:val="24"/>
                <w:szCs w:val="24"/>
                <w:highlight w:val="none"/>
                <w:lang w:bidi="en-US"/>
              </w:rPr>
            </w:pPr>
          </w:p>
        </w:tc>
        <w:tc>
          <w:tcPr>
            <w:tcW w:w="1547" w:type="dxa"/>
            <w:vAlign w:val="center"/>
          </w:tcPr>
          <w:p>
            <w:pPr>
              <w:widowControl/>
              <w:topLinePunct/>
              <w:adjustRightInd w:val="0"/>
              <w:snapToGrid w:val="0"/>
              <w:spacing w:after="200" w:line="360" w:lineRule="auto"/>
              <w:jc w:val="center"/>
              <w:rPr>
                <w:rFonts w:ascii="宋体" w:hAnsi="宋体" w:eastAsia="等线"/>
                <w:snapToGrid w:val="0"/>
                <w:color w:val="auto"/>
                <w:spacing w:val="4"/>
                <w:sz w:val="24"/>
                <w:szCs w:val="24"/>
                <w:highlight w:val="none"/>
                <w:lang w:bidi="en-US"/>
              </w:rPr>
            </w:pPr>
          </w:p>
        </w:tc>
        <w:tc>
          <w:tcPr>
            <w:tcW w:w="1549" w:type="dxa"/>
            <w:gridSpan w:val="2"/>
            <w:vAlign w:val="center"/>
          </w:tcPr>
          <w:p>
            <w:pPr>
              <w:widowControl/>
              <w:topLinePunct/>
              <w:adjustRightInd w:val="0"/>
              <w:snapToGrid w:val="0"/>
              <w:spacing w:after="200" w:line="360" w:lineRule="auto"/>
              <w:jc w:val="center"/>
              <w:rPr>
                <w:rFonts w:ascii="宋体" w:hAnsi="宋体" w:eastAsia="等线"/>
                <w:snapToGrid w:val="0"/>
                <w:color w:val="auto"/>
                <w:spacing w:val="4"/>
                <w:sz w:val="24"/>
                <w:szCs w:val="24"/>
                <w:highlight w:val="none"/>
                <w:lang w:bidi="en-US"/>
              </w:rPr>
            </w:pPr>
          </w:p>
        </w:tc>
        <w:tc>
          <w:tcPr>
            <w:tcW w:w="1783" w:type="dxa"/>
            <w:gridSpan w:val="2"/>
            <w:vAlign w:val="center"/>
          </w:tcPr>
          <w:p>
            <w:pPr>
              <w:widowControl/>
              <w:topLinePunct/>
              <w:adjustRightInd w:val="0"/>
              <w:snapToGrid w:val="0"/>
              <w:spacing w:after="200" w:line="360" w:lineRule="auto"/>
              <w:jc w:val="center"/>
              <w:rPr>
                <w:rFonts w:ascii="宋体" w:hAnsi="宋体" w:eastAsia="等线"/>
                <w:snapToGrid w:val="0"/>
                <w:color w:val="auto"/>
                <w:spacing w:val="4"/>
                <w:sz w:val="24"/>
                <w:szCs w:val="24"/>
                <w:highlight w:val="none"/>
                <w:lang w:bidi="en-US"/>
              </w:rPr>
            </w:pPr>
          </w:p>
        </w:tc>
        <w:tc>
          <w:tcPr>
            <w:tcW w:w="1547" w:type="dxa"/>
            <w:gridSpan w:val="3"/>
            <w:vAlign w:val="center"/>
          </w:tcPr>
          <w:p>
            <w:pPr>
              <w:widowControl/>
              <w:topLinePunct/>
              <w:adjustRightInd w:val="0"/>
              <w:snapToGrid w:val="0"/>
              <w:spacing w:after="200" w:line="360" w:lineRule="auto"/>
              <w:jc w:val="center"/>
              <w:rPr>
                <w:rFonts w:ascii="宋体" w:hAnsi="宋体" w:eastAsia="等线"/>
                <w:snapToGrid w:val="0"/>
                <w:color w:val="auto"/>
                <w:spacing w:val="4"/>
                <w:sz w:val="24"/>
                <w:szCs w:val="24"/>
                <w:highlight w:val="none"/>
                <w:lang w:bidi="en-US"/>
              </w:rPr>
            </w:pPr>
          </w:p>
        </w:tc>
        <w:tc>
          <w:tcPr>
            <w:tcW w:w="1551" w:type="dxa"/>
            <w:vAlign w:val="center"/>
          </w:tcPr>
          <w:p>
            <w:pPr>
              <w:widowControl/>
              <w:topLinePunct/>
              <w:adjustRightInd w:val="0"/>
              <w:snapToGrid w:val="0"/>
              <w:spacing w:after="200" w:line="360" w:lineRule="auto"/>
              <w:jc w:val="center"/>
              <w:rPr>
                <w:rFonts w:ascii="宋体" w:hAnsi="宋体" w:eastAsia="等线"/>
                <w:snapToGrid w:val="0"/>
                <w:color w:val="auto"/>
                <w:spacing w:val="4"/>
                <w:sz w:val="24"/>
                <w:szCs w:val="24"/>
                <w:highlight w:val="none"/>
                <w:lang w:bidi="en-US"/>
              </w:rPr>
            </w:pPr>
          </w:p>
        </w:tc>
      </w:tr>
    </w:tbl>
    <w:p>
      <w:pPr>
        <w:ind w:firstLine="551" w:firstLineChars="196"/>
        <w:rPr>
          <w:rFonts w:ascii="仿宋" w:hAnsi="仿宋" w:eastAsia="仿宋"/>
          <w:b/>
          <w:bCs/>
          <w:color w:val="auto"/>
          <w:sz w:val="28"/>
          <w:szCs w:val="28"/>
          <w:highlight w:val="none"/>
        </w:rPr>
      </w:pPr>
    </w:p>
    <w:p>
      <w:pPr>
        <w:widowControl/>
        <w:topLinePunct/>
        <w:adjustRightInd w:val="0"/>
        <w:snapToGrid w:val="0"/>
        <w:spacing w:after="200" w:line="360" w:lineRule="auto"/>
        <w:ind w:firstLine="198" w:firstLineChars="8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3596" w:firstLineChars="145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投标人：　　（盖章）</w:t>
      </w:r>
    </w:p>
    <w:p>
      <w:pPr>
        <w:widowControl/>
        <w:topLinePunct/>
        <w:adjustRightInd w:val="0"/>
        <w:snapToGrid w:val="0"/>
        <w:spacing w:after="200" w:line="360" w:lineRule="auto"/>
        <w:ind w:firstLine="3596" w:firstLineChars="145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法定代表人或授权代理人(签字或盖章)：</w:t>
      </w:r>
    </w:p>
    <w:p>
      <w:pPr>
        <w:ind w:right="420" w:firstLine="3596" w:firstLineChars="1450"/>
        <w:rPr>
          <w:color w:val="auto"/>
          <w:highlight w:val="none"/>
        </w:rPr>
      </w:pPr>
      <w:r>
        <w:rPr>
          <w:rFonts w:hint="eastAsia" w:ascii="宋体" w:hAnsi="宋体"/>
          <w:color w:val="auto"/>
          <w:spacing w:val="4"/>
          <w:kern w:val="0"/>
          <w:sz w:val="24"/>
          <w:szCs w:val="24"/>
          <w:highlight w:val="none"/>
        </w:rPr>
        <w:t xml:space="preserve">日   期：    年    月    日 </w:t>
      </w:r>
      <w:bookmarkStart w:id="196" w:name="_Toc4489951"/>
      <w:bookmarkStart w:id="197" w:name="_Toc182301153"/>
      <w:bookmarkStart w:id="198" w:name="_Toc177015447"/>
      <w:bookmarkStart w:id="199" w:name="_Toc174439519"/>
      <w:bookmarkStart w:id="200" w:name="_Toc4486083"/>
      <w:bookmarkStart w:id="201" w:name="_Toc177015373"/>
      <w:bookmarkStart w:id="202" w:name="_Toc181984153"/>
      <w:bookmarkStart w:id="203" w:name="_Toc177015504"/>
    </w:p>
    <w:p>
      <w:pPr>
        <w:widowControl/>
        <w:topLinePunct/>
        <w:adjustRightInd w:val="0"/>
        <w:snapToGrid w:val="0"/>
        <w:spacing w:after="200"/>
        <w:jc w:val="left"/>
        <w:outlineLvl w:val="2"/>
        <w:rPr>
          <w:rFonts w:ascii="宋体" w:hAnsi="宋体"/>
          <w:color w:val="auto"/>
          <w:spacing w:val="4"/>
          <w:kern w:val="0"/>
          <w:sz w:val="24"/>
          <w:szCs w:val="24"/>
          <w:highlight w:val="none"/>
        </w:rPr>
      </w:pPr>
      <w:r>
        <w:rPr>
          <w:rFonts w:ascii="宋体"/>
          <w:color w:val="auto"/>
          <w:kern w:val="0"/>
          <w:highlight w:val="none"/>
        </w:rPr>
        <w:br w:type="page"/>
      </w:r>
      <w:bookmarkStart w:id="204" w:name="_Toc30873"/>
      <w:bookmarkStart w:id="205" w:name="_Toc32264"/>
      <w:bookmarkStart w:id="206" w:name="_Toc29476920"/>
      <w:bookmarkStart w:id="207" w:name="_Toc62056042"/>
      <w:r>
        <w:rPr>
          <w:rFonts w:hint="eastAsia" w:ascii="宋体" w:hAnsi="宋体"/>
          <w:color w:val="auto"/>
          <w:spacing w:val="4"/>
          <w:kern w:val="0"/>
          <w:sz w:val="24"/>
          <w:szCs w:val="24"/>
          <w:highlight w:val="none"/>
        </w:rPr>
        <w:t>格式七：类似工程业绩表</w:t>
      </w:r>
      <w:bookmarkEnd w:id="196"/>
      <w:bookmarkEnd w:id="204"/>
      <w:bookmarkEnd w:id="205"/>
      <w:bookmarkEnd w:id="206"/>
      <w:bookmarkEnd w:id="207"/>
    </w:p>
    <w:bookmarkEnd w:id="197"/>
    <w:bookmarkEnd w:id="198"/>
    <w:bookmarkEnd w:id="199"/>
    <w:bookmarkEnd w:id="200"/>
    <w:bookmarkEnd w:id="201"/>
    <w:bookmarkEnd w:id="202"/>
    <w:bookmarkEnd w:id="203"/>
    <w:p>
      <w:pPr>
        <w:topLinePunct/>
        <w:adjustRightInd w:val="0"/>
        <w:snapToGrid w:val="0"/>
        <w:spacing w:line="360" w:lineRule="auto"/>
        <w:jc w:val="center"/>
        <w:rPr>
          <w:rFonts w:eastAsia="黑体"/>
          <w:snapToGrid w:val="0"/>
          <w:color w:val="auto"/>
          <w:spacing w:val="4"/>
          <w:kern w:val="0"/>
          <w:sz w:val="36"/>
          <w:szCs w:val="36"/>
          <w:highlight w:val="none"/>
        </w:rPr>
      </w:pPr>
      <w:bookmarkStart w:id="208" w:name="_Toc163337629"/>
      <w:bookmarkStart w:id="209" w:name="_Toc352623430"/>
      <w:bookmarkStart w:id="210" w:name="_Toc358370587"/>
      <w:bookmarkStart w:id="211" w:name="_Toc226209012"/>
      <w:bookmarkStart w:id="212" w:name="_Toc318924504"/>
      <w:bookmarkStart w:id="213" w:name="_Toc337720100"/>
      <w:bookmarkStart w:id="214" w:name="_Toc369536779"/>
      <w:bookmarkStart w:id="215" w:name="_Toc239216040"/>
      <w:bookmarkStart w:id="216" w:name="_Toc352240532"/>
      <w:bookmarkStart w:id="217" w:name="_Toc395261108"/>
      <w:bookmarkStart w:id="218" w:name="_Toc464131231"/>
      <w:bookmarkStart w:id="219" w:name="_Toc449308428"/>
      <w:bookmarkStart w:id="220" w:name="_Toc239311755"/>
      <w:r>
        <w:rPr>
          <w:rFonts w:hint="eastAsia" w:eastAsia="黑体"/>
          <w:snapToGrid w:val="0"/>
          <w:color w:val="auto"/>
          <w:spacing w:val="4"/>
          <w:kern w:val="0"/>
          <w:sz w:val="36"/>
          <w:szCs w:val="36"/>
          <w:highlight w:val="none"/>
        </w:rPr>
        <w:t>类似工程业绩表</w:t>
      </w:r>
    </w:p>
    <w:tbl>
      <w:tblPr>
        <w:tblStyle w:val="22"/>
        <w:tblW w:w="9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45"/>
        <w:gridCol w:w="1160"/>
        <w:gridCol w:w="2135"/>
        <w:gridCol w:w="191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47" w:type="dxa"/>
            <w:gridSpan w:val="3"/>
            <w:vMerge w:val="restart"/>
            <w:vAlign w:val="center"/>
          </w:tcPr>
          <w:p>
            <w:pPr>
              <w:jc w:val="left"/>
              <w:rPr>
                <w:rFonts w:ascii="宋体" w:hAnsi="宋体"/>
                <w:color w:val="auto"/>
                <w:szCs w:val="21"/>
                <w:highlight w:val="none"/>
              </w:rPr>
            </w:pPr>
            <w:r>
              <w:rPr>
                <w:rFonts w:hint="eastAsia" w:ascii="宋体" w:hAnsi="宋体"/>
                <w:color w:val="auto"/>
                <w:szCs w:val="21"/>
                <w:highlight w:val="none"/>
              </w:rPr>
              <w:t>项目</w:t>
            </w:r>
          </w:p>
        </w:tc>
        <w:tc>
          <w:tcPr>
            <w:tcW w:w="5835" w:type="dxa"/>
            <w:gridSpan w:val="3"/>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47" w:type="dxa"/>
            <w:gridSpan w:val="3"/>
            <w:vMerge w:val="continue"/>
          </w:tcPr>
          <w:p>
            <w:pPr>
              <w:jc w:val="left"/>
              <w:rPr>
                <w:rFonts w:ascii="宋体" w:hAnsi="宋体"/>
                <w:color w:val="auto"/>
                <w:szCs w:val="21"/>
                <w:highlight w:val="none"/>
              </w:rPr>
            </w:pPr>
          </w:p>
        </w:tc>
        <w:tc>
          <w:tcPr>
            <w:tcW w:w="2135" w:type="dxa"/>
          </w:tcPr>
          <w:p>
            <w:pPr>
              <w:jc w:val="left"/>
              <w:rPr>
                <w:rFonts w:ascii="宋体" w:hAnsi="宋体"/>
                <w:color w:val="auto"/>
                <w:szCs w:val="21"/>
                <w:highlight w:val="none"/>
              </w:rPr>
            </w:pPr>
            <w:r>
              <w:rPr>
                <w:rFonts w:hint="eastAsia" w:ascii="宋体" w:hAnsi="宋体"/>
                <w:color w:val="auto"/>
                <w:szCs w:val="21"/>
                <w:highlight w:val="none"/>
              </w:rPr>
              <w:t>1</w:t>
            </w:r>
          </w:p>
        </w:tc>
        <w:tc>
          <w:tcPr>
            <w:tcW w:w="1915" w:type="dxa"/>
          </w:tcPr>
          <w:p>
            <w:pPr>
              <w:jc w:val="left"/>
              <w:rPr>
                <w:rFonts w:ascii="宋体" w:hAnsi="宋体"/>
                <w:color w:val="auto"/>
                <w:szCs w:val="21"/>
                <w:highlight w:val="none"/>
              </w:rPr>
            </w:pPr>
            <w:r>
              <w:rPr>
                <w:rFonts w:hint="eastAsia" w:ascii="宋体" w:hAnsi="宋体"/>
                <w:color w:val="auto"/>
                <w:szCs w:val="21"/>
                <w:highlight w:val="none"/>
              </w:rPr>
              <w:t>2</w:t>
            </w:r>
          </w:p>
        </w:tc>
        <w:tc>
          <w:tcPr>
            <w:tcW w:w="1785" w:type="dxa"/>
          </w:tcPr>
          <w:p>
            <w:pPr>
              <w:jc w:val="left"/>
              <w:rPr>
                <w:rFonts w:ascii="宋体" w:hAnsi="宋体"/>
                <w:color w:val="auto"/>
                <w:szCs w:val="21"/>
                <w:highlight w:val="none"/>
              </w:rPr>
            </w:pPr>
            <w:r>
              <w:rPr>
                <w:rFonts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7" w:type="dxa"/>
            <w:gridSpan w:val="3"/>
          </w:tcPr>
          <w:p>
            <w:pPr>
              <w:jc w:val="left"/>
              <w:rPr>
                <w:rFonts w:ascii="宋体" w:hAnsi="宋体"/>
                <w:color w:val="auto"/>
                <w:szCs w:val="21"/>
                <w:highlight w:val="none"/>
              </w:rPr>
            </w:pPr>
            <w:r>
              <w:rPr>
                <w:rFonts w:hint="eastAsia" w:ascii="宋体" w:hAnsi="宋体"/>
                <w:color w:val="auto"/>
                <w:szCs w:val="21"/>
                <w:highlight w:val="none"/>
              </w:rPr>
              <w:t>工程名称</w:t>
            </w:r>
          </w:p>
        </w:tc>
        <w:tc>
          <w:tcPr>
            <w:tcW w:w="2135" w:type="dxa"/>
          </w:tcPr>
          <w:p>
            <w:pPr>
              <w:jc w:val="left"/>
              <w:rPr>
                <w:rFonts w:ascii="宋体" w:hAnsi="宋体"/>
                <w:color w:val="auto"/>
                <w:szCs w:val="21"/>
                <w:highlight w:val="none"/>
              </w:rPr>
            </w:pPr>
          </w:p>
        </w:tc>
        <w:tc>
          <w:tcPr>
            <w:tcW w:w="1915" w:type="dxa"/>
          </w:tcPr>
          <w:p>
            <w:pPr>
              <w:jc w:val="left"/>
              <w:rPr>
                <w:rFonts w:ascii="宋体" w:hAnsi="宋体"/>
                <w:color w:val="auto"/>
                <w:szCs w:val="21"/>
                <w:highlight w:val="none"/>
              </w:rPr>
            </w:pPr>
          </w:p>
        </w:tc>
        <w:tc>
          <w:tcPr>
            <w:tcW w:w="1785" w:type="dxa"/>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7" w:type="dxa"/>
            <w:gridSpan w:val="3"/>
          </w:tcPr>
          <w:p>
            <w:pPr>
              <w:jc w:val="left"/>
              <w:rPr>
                <w:rFonts w:ascii="宋体" w:hAnsi="宋体"/>
                <w:color w:val="auto"/>
                <w:szCs w:val="21"/>
                <w:highlight w:val="none"/>
              </w:rPr>
            </w:pPr>
            <w:r>
              <w:rPr>
                <w:rFonts w:hint="eastAsia" w:ascii="宋体" w:hAnsi="宋体"/>
                <w:color w:val="auto"/>
                <w:szCs w:val="21"/>
                <w:highlight w:val="none"/>
              </w:rPr>
              <w:t>工程对应的企业资质</w:t>
            </w:r>
          </w:p>
        </w:tc>
        <w:tc>
          <w:tcPr>
            <w:tcW w:w="2135" w:type="dxa"/>
          </w:tcPr>
          <w:p>
            <w:pPr>
              <w:jc w:val="left"/>
              <w:rPr>
                <w:rFonts w:ascii="宋体" w:hAnsi="宋体"/>
                <w:color w:val="auto"/>
                <w:szCs w:val="21"/>
                <w:highlight w:val="none"/>
              </w:rPr>
            </w:pPr>
          </w:p>
        </w:tc>
        <w:tc>
          <w:tcPr>
            <w:tcW w:w="1915" w:type="dxa"/>
          </w:tcPr>
          <w:p>
            <w:pPr>
              <w:jc w:val="left"/>
              <w:rPr>
                <w:rFonts w:ascii="宋体" w:hAnsi="宋体"/>
                <w:color w:val="auto"/>
                <w:szCs w:val="21"/>
                <w:highlight w:val="none"/>
              </w:rPr>
            </w:pPr>
          </w:p>
        </w:tc>
        <w:tc>
          <w:tcPr>
            <w:tcW w:w="1785" w:type="dxa"/>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7" w:type="dxa"/>
            <w:gridSpan w:val="3"/>
          </w:tcPr>
          <w:p>
            <w:pPr>
              <w:jc w:val="left"/>
              <w:rPr>
                <w:rFonts w:ascii="宋体" w:hAnsi="宋体"/>
                <w:color w:val="auto"/>
                <w:szCs w:val="21"/>
                <w:highlight w:val="none"/>
              </w:rPr>
            </w:pPr>
            <w:r>
              <w:rPr>
                <w:rFonts w:hint="eastAsia" w:ascii="宋体" w:hAnsi="宋体"/>
                <w:color w:val="auto"/>
                <w:szCs w:val="21"/>
                <w:highlight w:val="none"/>
              </w:rPr>
              <w:t>项目地点</w:t>
            </w:r>
          </w:p>
        </w:tc>
        <w:tc>
          <w:tcPr>
            <w:tcW w:w="2135" w:type="dxa"/>
          </w:tcPr>
          <w:p>
            <w:pPr>
              <w:jc w:val="left"/>
              <w:rPr>
                <w:rFonts w:ascii="宋体" w:hAnsi="宋体"/>
                <w:color w:val="auto"/>
                <w:szCs w:val="21"/>
                <w:highlight w:val="none"/>
              </w:rPr>
            </w:pPr>
          </w:p>
        </w:tc>
        <w:tc>
          <w:tcPr>
            <w:tcW w:w="1915" w:type="dxa"/>
          </w:tcPr>
          <w:p>
            <w:pPr>
              <w:jc w:val="left"/>
              <w:rPr>
                <w:rFonts w:ascii="宋体" w:hAnsi="宋体"/>
                <w:color w:val="auto"/>
                <w:szCs w:val="21"/>
                <w:highlight w:val="none"/>
              </w:rPr>
            </w:pPr>
          </w:p>
        </w:tc>
        <w:tc>
          <w:tcPr>
            <w:tcW w:w="1785" w:type="dxa"/>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7" w:type="dxa"/>
            <w:gridSpan w:val="3"/>
          </w:tcPr>
          <w:p>
            <w:pPr>
              <w:jc w:val="left"/>
              <w:rPr>
                <w:rFonts w:ascii="宋体" w:hAnsi="宋体"/>
                <w:color w:val="auto"/>
                <w:szCs w:val="21"/>
                <w:highlight w:val="none"/>
              </w:rPr>
            </w:pPr>
            <w:r>
              <w:rPr>
                <w:rFonts w:hint="eastAsia" w:ascii="宋体" w:hAnsi="宋体"/>
                <w:color w:val="auto"/>
                <w:szCs w:val="21"/>
                <w:highlight w:val="none"/>
              </w:rPr>
              <w:t>所包含的子项内容</w:t>
            </w:r>
          </w:p>
        </w:tc>
        <w:tc>
          <w:tcPr>
            <w:tcW w:w="2135" w:type="dxa"/>
          </w:tcPr>
          <w:p>
            <w:pPr>
              <w:jc w:val="left"/>
              <w:rPr>
                <w:rFonts w:ascii="宋体" w:hAnsi="宋体"/>
                <w:color w:val="auto"/>
                <w:szCs w:val="21"/>
                <w:highlight w:val="none"/>
              </w:rPr>
            </w:pPr>
          </w:p>
        </w:tc>
        <w:tc>
          <w:tcPr>
            <w:tcW w:w="1915" w:type="dxa"/>
          </w:tcPr>
          <w:p>
            <w:pPr>
              <w:jc w:val="left"/>
              <w:rPr>
                <w:rFonts w:ascii="宋体" w:hAnsi="宋体"/>
                <w:color w:val="auto"/>
                <w:szCs w:val="21"/>
                <w:highlight w:val="none"/>
              </w:rPr>
            </w:pPr>
          </w:p>
        </w:tc>
        <w:tc>
          <w:tcPr>
            <w:tcW w:w="1785" w:type="dxa"/>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2" w:type="dxa"/>
            <w:vMerge w:val="restart"/>
          </w:tcPr>
          <w:p>
            <w:pPr>
              <w:jc w:val="left"/>
              <w:rPr>
                <w:rFonts w:ascii="宋体" w:hAnsi="宋体"/>
                <w:color w:val="auto"/>
                <w:szCs w:val="21"/>
                <w:highlight w:val="none"/>
              </w:rPr>
            </w:pPr>
            <w:r>
              <w:rPr>
                <w:rFonts w:hint="eastAsia" w:ascii="宋体" w:hAnsi="宋体"/>
                <w:color w:val="auto"/>
                <w:szCs w:val="21"/>
                <w:highlight w:val="none"/>
              </w:rPr>
              <w:t>总价(人民币：万元)</w:t>
            </w:r>
          </w:p>
        </w:tc>
        <w:tc>
          <w:tcPr>
            <w:tcW w:w="1205" w:type="dxa"/>
            <w:gridSpan w:val="2"/>
          </w:tcPr>
          <w:p>
            <w:pPr>
              <w:jc w:val="left"/>
              <w:rPr>
                <w:rFonts w:ascii="宋体" w:hAnsi="宋体"/>
                <w:color w:val="auto"/>
                <w:szCs w:val="21"/>
                <w:highlight w:val="none"/>
              </w:rPr>
            </w:pPr>
            <w:r>
              <w:rPr>
                <w:rFonts w:hint="eastAsia" w:ascii="宋体" w:hAnsi="宋体"/>
                <w:color w:val="auto"/>
                <w:szCs w:val="21"/>
                <w:highlight w:val="none"/>
              </w:rPr>
              <w:t>合同造价</w:t>
            </w:r>
          </w:p>
        </w:tc>
        <w:tc>
          <w:tcPr>
            <w:tcW w:w="2135" w:type="dxa"/>
          </w:tcPr>
          <w:p>
            <w:pPr>
              <w:jc w:val="left"/>
              <w:rPr>
                <w:rFonts w:ascii="宋体" w:hAnsi="宋体"/>
                <w:color w:val="auto"/>
                <w:szCs w:val="21"/>
                <w:highlight w:val="none"/>
              </w:rPr>
            </w:pPr>
          </w:p>
        </w:tc>
        <w:tc>
          <w:tcPr>
            <w:tcW w:w="1915" w:type="dxa"/>
          </w:tcPr>
          <w:p>
            <w:pPr>
              <w:jc w:val="left"/>
              <w:rPr>
                <w:rFonts w:ascii="宋体" w:hAnsi="宋体"/>
                <w:color w:val="auto"/>
                <w:szCs w:val="21"/>
                <w:highlight w:val="none"/>
              </w:rPr>
            </w:pPr>
          </w:p>
        </w:tc>
        <w:tc>
          <w:tcPr>
            <w:tcW w:w="1785" w:type="dxa"/>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2" w:type="dxa"/>
            <w:vMerge w:val="continue"/>
          </w:tcPr>
          <w:p>
            <w:pPr>
              <w:jc w:val="left"/>
              <w:rPr>
                <w:rFonts w:ascii="宋体" w:hAnsi="宋体"/>
                <w:color w:val="auto"/>
                <w:szCs w:val="21"/>
                <w:highlight w:val="none"/>
              </w:rPr>
            </w:pPr>
          </w:p>
        </w:tc>
        <w:tc>
          <w:tcPr>
            <w:tcW w:w="1205" w:type="dxa"/>
            <w:gridSpan w:val="2"/>
          </w:tcPr>
          <w:p>
            <w:pPr>
              <w:jc w:val="left"/>
              <w:rPr>
                <w:rFonts w:ascii="宋体" w:hAnsi="宋体"/>
                <w:color w:val="auto"/>
                <w:szCs w:val="21"/>
                <w:highlight w:val="none"/>
              </w:rPr>
            </w:pPr>
            <w:r>
              <w:rPr>
                <w:rFonts w:hint="eastAsia" w:ascii="宋体" w:hAnsi="宋体"/>
                <w:color w:val="auto"/>
                <w:szCs w:val="21"/>
                <w:highlight w:val="none"/>
              </w:rPr>
              <w:t>结算造价</w:t>
            </w:r>
          </w:p>
        </w:tc>
        <w:tc>
          <w:tcPr>
            <w:tcW w:w="2135" w:type="dxa"/>
          </w:tcPr>
          <w:p>
            <w:pPr>
              <w:jc w:val="left"/>
              <w:rPr>
                <w:rFonts w:ascii="宋体" w:hAnsi="宋体"/>
                <w:color w:val="auto"/>
                <w:szCs w:val="21"/>
                <w:highlight w:val="none"/>
              </w:rPr>
            </w:pPr>
          </w:p>
        </w:tc>
        <w:tc>
          <w:tcPr>
            <w:tcW w:w="1915" w:type="dxa"/>
          </w:tcPr>
          <w:p>
            <w:pPr>
              <w:jc w:val="left"/>
              <w:rPr>
                <w:rFonts w:ascii="宋体" w:hAnsi="宋体"/>
                <w:color w:val="auto"/>
                <w:szCs w:val="21"/>
                <w:highlight w:val="none"/>
              </w:rPr>
            </w:pPr>
          </w:p>
        </w:tc>
        <w:tc>
          <w:tcPr>
            <w:tcW w:w="1785" w:type="dxa"/>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7" w:type="dxa"/>
            <w:gridSpan w:val="3"/>
          </w:tcPr>
          <w:p>
            <w:pPr>
              <w:jc w:val="left"/>
              <w:rPr>
                <w:rFonts w:ascii="宋体" w:hAnsi="宋体"/>
                <w:color w:val="auto"/>
                <w:szCs w:val="21"/>
                <w:highlight w:val="none"/>
              </w:rPr>
            </w:pPr>
            <w:r>
              <w:rPr>
                <w:rFonts w:hint="eastAsia" w:ascii="宋体" w:hAnsi="宋体"/>
                <w:color w:val="auto"/>
                <w:szCs w:val="21"/>
                <w:highlight w:val="none"/>
              </w:rPr>
              <w:t>竣工日期</w:t>
            </w:r>
          </w:p>
        </w:tc>
        <w:tc>
          <w:tcPr>
            <w:tcW w:w="2135" w:type="dxa"/>
          </w:tcPr>
          <w:p>
            <w:pPr>
              <w:jc w:val="left"/>
              <w:rPr>
                <w:rFonts w:ascii="宋体" w:hAnsi="宋体"/>
                <w:color w:val="auto"/>
                <w:szCs w:val="21"/>
                <w:highlight w:val="none"/>
              </w:rPr>
            </w:pPr>
          </w:p>
        </w:tc>
        <w:tc>
          <w:tcPr>
            <w:tcW w:w="1915" w:type="dxa"/>
          </w:tcPr>
          <w:p>
            <w:pPr>
              <w:jc w:val="left"/>
              <w:rPr>
                <w:rFonts w:ascii="宋体" w:hAnsi="宋体"/>
                <w:color w:val="auto"/>
                <w:szCs w:val="21"/>
                <w:highlight w:val="none"/>
              </w:rPr>
            </w:pPr>
          </w:p>
        </w:tc>
        <w:tc>
          <w:tcPr>
            <w:tcW w:w="1785" w:type="dxa"/>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87" w:type="dxa"/>
            <w:gridSpan w:val="2"/>
            <w:vMerge w:val="restart"/>
            <w:vAlign w:val="center"/>
          </w:tcPr>
          <w:p>
            <w:pPr>
              <w:jc w:val="left"/>
              <w:rPr>
                <w:rFonts w:ascii="宋体" w:hAnsi="宋体"/>
                <w:color w:val="auto"/>
                <w:szCs w:val="21"/>
                <w:highlight w:val="none"/>
              </w:rPr>
            </w:pPr>
            <w:r>
              <w:rPr>
                <w:rFonts w:hint="eastAsia" w:ascii="宋体" w:hAnsi="宋体"/>
                <w:color w:val="auto"/>
                <w:szCs w:val="21"/>
                <w:highlight w:val="none"/>
              </w:rPr>
              <w:t>工期(月)</w:t>
            </w:r>
          </w:p>
        </w:tc>
        <w:tc>
          <w:tcPr>
            <w:tcW w:w="1160" w:type="dxa"/>
          </w:tcPr>
          <w:p>
            <w:pPr>
              <w:jc w:val="left"/>
              <w:rPr>
                <w:rFonts w:ascii="宋体" w:hAnsi="宋体"/>
                <w:color w:val="auto"/>
                <w:szCs w:val="21"/>
                <w:highlight w:val="none"/>
              </w:rPr>
            </w:pPr>
            <w:r>
              <w:rPr>
                <w:rFonts w:hint="eastAsia" w:ascii="宋体" w:hAnsi="宋体"/>
                <w:color w:val="auto"/>
                <w:szCs w:val="21"/>
                <w:highlight w:val="none"/>
              </w:rPr>
              <w:t>合同</w:t>
            </w:r>
          </w:p>
        </w:tc>
        <w:tc>
          <w:tcPr>
            <w:tcW w:w="2135" w:type="dxa"/>
          </w:tcPr>
          <w:p>
            <w:pPr>
              <w:jc w:val="left"/>
              <w:rPr>
                <w:rFonts w:ascii="宋体" w:hAnsi="宋体"/>
                <w:color w:val="auto"/>
                <w:szCs w:val="21"/>
                <w:highlight w:val="none"/>
              </w:rPr>
            </w:pPr>
          </w:p>
        </w:tc>
        <w:tc>
          <w:tcPr>
            <w:tcW w:w="1915" w:type="dxa"/>
          </w:tcPr>
          <w:p>
            <w:pPr>
              <w:jc w:val="left"/>
              <w:rPr>
                <w:rFonts w:ascii="宋体" w:hAnsi="宋体"/>
                <w:color w:val="auto"/>
                <w:szCs w:val="21"/>
                <w:highlight w:val="none"/>
              </w:rPr>
            </w:pPr>
          </w:p>
        </w:tc>
        <w:tc>
          <w:tcPr>
            <w:tcW w:w="1785" w:type="dxa"/>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87" w:type="dxa"/>
            <w:gridSpan w:val="2"/>
            <w:vMerge w:val="continue"/>
          </w:tcPr>
          <w:p>
            <w:pPr>
              <w:jc w:val="left"/>
              <w:rPr>
                <w:rFonts w:ascii="宋体" w:hAnsi="宋体"/>
                <w:color w:val="auto"/>
                <w:szCs w:val="21"/>
                <w:highlight w:val="none"/>
              </w:rPr>
            </w:pPr>
          </w:p>
        </w:tc>
        <w:tc>
          <w:tcPr>
            <w:tcW w:w="1160" w:type="dxa"/>
          </w:tcPr>
          <w:p>
            <w:pPr>
              <w:jc w:val="left"/>
              <w:rPr>
                <w:rFonts w:ascii="宋体" w:hAnsi="宋体"/>
                <w:color w:val="auto"/>
                <w:szCs w:val="21"/>
                <w:highlight w:val="none"/>
              </w:rPr>
            </w:pPr>
            <w:r>
              <w:rPr>
                <w:rFonts w:hint="eastAsia" w:ascii="宋体" w:hAnsi="宋体"/>
                <w:color w:val="auto"/>
                <w:szCs w:val="21"/>
                <w:highlight w:val="none"/>
              </w:rPr>
              <w:t>实际</w:t>
            </w:r>
          </w:p>
        </w:tc>
        <w:tc>
          <w:tcPr>
            <w:tcW w:w="2135" w:type="dxa"/>
          </w:tcPr>
          <w:p>
            <w:pPr>
              <w:jc w:val="left"/>
              <w:rPr>
                <w:rFonts w:ascii="宋体" w:hAnsi="宋体"/>
                <w:color w:val="auto"/>
                <w:szCs w:val="21"/>
                <w:highlight w:val="none"/>
              </w:rPr>
            </w:pPr>
          </w:p>
        </w:tc>
        <w:tc>
          <w:tcPr>
            <w:tcW w:w="1915" w:type="dxa"/>
          </w:tcPr>
          <w:p>
            <w:pPr>
              <w:jc w:val="left"/>
              <w:rPr>
                <w:rFonts w:ascii="宋体" w:hAnsi="宋体"/>
                <w:color w:val="auto"/>
                <w:szCs w:val="21"/>
                <w:highlight w:val="none"/>
              </w:rPr>
            </w:pPr>
          </w:p>
        </w:tc>
        <w:tc>
          <w:tcPr>
            <w:tcW w:w="1785" w:type="dxa"/>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7" w:type="dxa"/>
            <w:gridSpan w:val="3"/>
          </w:tcPr>
          <w:p>
            <w:pPr>
              <w:jc w:val="left"/>
              <w:rPr>
                <w:rFonts w:ascii="宋体" w:hAnsi="宋体"/>
                <w:color w:val="auto"/>
                <w:szCs w:val="21"/>
                <w:highlight w:val="none"/>
              </w:rPr>
            </w:pPr>
            <w:r>
              <w:rPr>
                <w:rFonts w:hint="eastAsia" w:ascii="宋体" w:hAnsi="宋体"/>
                <w:color w:val="auto"/>
                <w:szCs w:val="21"/>
                <w:highlight w:val="none"/>
              </w:rPr>
              <w:t>贵公司所占比例</w:t>
            </w:r>
          </w:p>
        </w:tc>
        <w:tc>
          <w:tcPr>
            <w:tcW w:w="2135" w:type="dxa"/>
          </w:tcPr>
          <w:p>
            <w:pPr>
              <w:jc w:val="left"/>
              <w:rPr>
                <w:rFonts w:ascii="宋体" w:hAnsi="宋体"/>
                <w:color w:val="auto"/>
                <w:szCs w:val="21"/>
                <w:highlight w:val="none"/>
              </w:rPr>
            </w:pPr>
          </w:p>
        </w:tc>
        <w:tc>
          <w:tcPr>
            <w:tcW w:w="1915" w:type="dxa"/>
          </w:tcPr>
          <w:p>
            <w:pPr>
              <w:jc w:val="left"/>
              <w:rPr>
                <w:rFonts w:ascii="宋体" w:hAnsi="宋体"/>
                <w:color w:val="auto"/>
                <w:szCs w:val="21"/>
                <w:highlight w:val="none"/>
              </w:rPr>
            </w:pPr>
          </w:p>
        </w:tc>
        <w:tc>
          <w:tcPr>
            <w:tcW w:w="1785" w:type="dxa"/>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7" w:type="dxa"/>
            <w:gridSpan w:val="3"/>
          </w:tcPr>
          <w:p>
            <w:pPr>
              <w:jc w:val="left"/>
              <w:rPr>
                <w:rFonts w:ascii="宋体" w:hAnsi="宋体"/>
                <w:color w:val="auto"/>
                <w:szCs w:val="21"/>
                <w:highlight w:val="none"/>
              </w:rPr>
            </w:pPr>
            <w:r>
              <w:rPr>
                <w:rFonts w:hint="eastAsia" w:ascii="宋体" w:hAnsi="宋体"/>
                <w:color w:val="auto"/>
                <w:szCs w:val="21"/>
                <w:highlight w:val="none"/>
              </w:rPr>
              <w:t>项目经理姓名</w:t>
            </w:r>
          </w:p>
        </w:tc>
        <w:tc>
          <w:tcPr>
            <w:tcW w:w="2135" w:type="dxa"/>
          </w:tcPr>
          <w:p>
            <w:pPr>
              <w:jc w:val="left"/>
              <w:rPr>
                <w:rFonts w:ascii="宋体" w:hAnsi="宋体"/>
                <w:color w:val="auto"/>
                <w:szCs w:val="21"/>
                <w:highlight w:val="none"/>
              </w:rPr>
            </w:pPr>
          </w:p>
        </w:tc>
        <w:tc>
          <w:tcPr>
            <w:tcW w:w="1915" w:type="dxa"/>
          </w:tcPr>
          <w:p>
            <w:pPr>
              <w:jc w:val="left"/>
              <w:rPr>
                <w:rFonts w:ascii="宋体" w:hAnsi="宋体"/>
                <w:color w:val="auto"/>
                <w:szCs w:val="21"/>
                <w:highlight w:val="none"/>
              </w:rPr>
            </w:pPr>
          </w:p>
        </w:tc>
        <w:tc>
          <w:tcPr>
            <w:tcW w:w="1785" w:type="dxa"/>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7" w:type="dxa"/>
            <w:gridSpan w:val="3"/>
          </w:tcPr>
          <w:p>
            <w:pPr>
              <w:jc w:val="left"/>
              <w:rPr>
                <w:rFonts w:ascii="宋体" w:hAnsi="宋体"/>
                <w:color w:val="auto"/>
                <w:szCs w:val="21"/>
                <w:highlight w:val="none"/>
              </w:rPr>
            </w:pPr>
            <w:r>
              <w:rPr>
                <w:rFonts w:hint="eastAsia" w:ascii="宋体" w:hAnsi="宋体"/>
                <w:color w:val="auto"/>
                <w:szCs w:val="21"/>
                <w:highlight w:val="none"/>
              </w:rPr>
              <w:t>项目业主名称</w:t>
            </w:r>
          </w:p>
        </w:tc>
        <w:tc>
          <w:tcPr>
            <w:tcW w:w="2135" w:type="dxa"/>
          </w:tcPr>
          <w:p>
            <w:pPr>
              <w:jc w:val="left"/>
              <w:rPr>
                <w:rFonts w:ascii="宋体" w:hAnsi="宋体"/>
                <w:color w:val="auto"/>
                <w:szCs w:val="21"/>
                <w:highlight w:val="none"/>
              </w:rPr>
            </w:pPr>
          </w:p>
        </w:tc>
        <w:tc>
          <w:tcPr>
            <w:tcW w:w="1915" w:type="dxa"/>
          </w:tcPr>
          <w:p>
            <w:pPr>
              <w:jc w:val="left"/>
              <w:rPr>
                <w:rFonts w:ascii="宋体" w:hAnsi="宋体"/>
                <w:color w:val="auto"/>
                <w:szCs w:val="21"/>
                <w:highlight w:val="none"/>
              </w:rPr>
            </w:pPr>
          </w:p>
        </w:tc>
        <w:tc>
          <w:tcPr>
            <w:tcW w:w="1785" w:type="dxa"/>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7" w:type="dxa"/>
            <w:gridSpan w:val="3"/>
          </w:tcPr>
          <w:p>
            <w:pPr>
              <w:jc w:val="left"/>
              <w:rPr>
                <w:rFonts w:ascii="宋体" w:hAnsi="宋体"/>
                <w:color w:val="auto"/>
                <w:szCs w:val="21"/>
                <w:highlight w:val="none"/>
              </w:rPr>
            </w:pPr>
            <w:r>
              <w:rPr>
                <w:rFonts w:hint="eastAsia" w:ascii="宋体" w:hAnsi="宋体"/>
                <w:color w:val="auto"/>
                <w:szCs w:val="21"/>
                <w:highlight w:val="none"/>
              </w:rPr>
              <w:t>项目监理名称</w:t>
            </w:r>
          </w:p>
        </w:tc>
        <w:tc>
          <w:tcPr>
            <w:tcW w:w="2135" w:type="dxa"/>
          </w:tcPr>
          <w:p>
            <w:pPr>
              <w:jc w:val="left"/>
              <w:rPr>
                <w:rFonts w:ascii="宋体" w:hAnsi="宋体"/>
                <w:color w:val="auto"/>
                <w:szCs w:val="21"/>
                <w:highlight w:val="none"/>
              </w:rPr>
            </w:pPr>
          </w:p>
        </w:tc>
        <w:tc>
          <w:tcPr>
            <w:tcW w:w="1915" w:type="dxa"/>
          </w:tcPr>
          <w:p>
            <w:pPr>
              <w:jc w:val="left"/>
              <w:rPr>
                <w:rFonts w:ascii="宋体" w:hAnsi="宋体"/>
                <w:color w:val="auto"/>
                <w:szCs w:val="21"/>
                <w:highlight w:val="none"/>
              </w:rPr>
            </w:pPr>
          </w:p>
        </w:tc>
        <w:tc>
          <w:tcPr>
            <w:tcW w:w="1785" w:type="dxa"/>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47" w:type="dxa"/>
            <w:gridSpan w:val="3"/>
          </w:tcPr>
          <w:p>
            <w:pPr>
              <w:jc w:val="left"/>
              <w:rPr>
                <w:rFonts w:ascii="宋体" w:hAnsi="宋体"/>
                <w:color w:val="auto"/>
                <w:szCs w:val="21"/>
                <w:highlight w:val="none"/>
              </w:rPr>
            </w:pPr>
            <w:r>
              <w:rPr>
                <w:rFonts w:hint="eastAsia" w:ascii="宋体" w:hAnsi="宋体"/>
                <w:color w:val="auto"/>
                <w:szCs w:val="21"/>
                <w:highlight w:val="none"/>
              </w:rPr>
              <w:t>竣工质量评定等级</w:t>
            </w:r>
          </w:p>
        </w:tc>
        <w:tc>
          <w:tcPr>
            <w:tcW w:w="2135" w:type="dxa"/>
          </w:tcPr>
          <w:p>
            <w:pPr>
              <w:jc w:val="left"/>
              <w:rPr>
                <w:rFonts w:ascii="宋体" w:hAnsi="宋体"/>
                <w:color w:val="auto"/>
                <w:szCs w:val="21"/>
                <w:highlight w:val="none"/>
              </w:rPr>
            </w:pPr>
          </w:p>
        </w:tc>
        <w:tc>
          <w:tcPr>
            <w:tcW w:w="1915" w:type="dxa"/>
          </w:tcPr>
          <w:p>
            <w:pPr>
              <w:jc w:val="left"/>
              <w:rPr>
                <w:rFonts w:ascii="宋体" w:hAnsi="宋体"/>
                <w:color w:val="auto"/>
                <w:szCs w:val="21"/>
                <w:highlight w:val="none"/>
              </w:rPr>
            </w:pPr>
          </w:p>
        </w:tc>
        <w:tc>
          <w:tcPr>
            <w:tcW w:w="1785" w:type="dxa"/>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47" w:type="dxa"/>
            <w:gridSpan w:val="3"/>
          </w:tcPr>
          <w:p>
            <w:pPr>
              <w:jc w:val="left"/>
              <w:rPr>
                <w:rFonts w:ascii="宋体" w:hAnsi="宋体"/>
                <w:color w:val="auto"/>
                <w:szCs w:val="21"/>
                <w:highlight w:val="none"/>
              </w:rPr>
            </w:pPr>
            <w:r>
              <w:rPr>
                <w:rFonts w:hint="eastAsia" w:ascii="宋体" w:hAnsi="宋体"/>
                <w:color w:val="auto"/>
                <w:szCs w:val="21"/>
                <w:highlight w:val="none"/>
              </w:rPr>
              <w:t>工程获奖情况</w:t>
            </w:r>
          </w:p>
        </w:tc>
        <w:tc>
          <w:tcPr>
            <w:tcW w:w="2135" w:type="dxa"/>
          </w:tcPr>
          <w:p>
            <w:pPr>
              <w:jc w:val="left"/>
              <w:rPr>
                <w:rFonts w:ascii="宋体" w:hAnsi="宋体"/>
                <w:color w:val="auto"/>
                <w:szCs w:val="21"/>
                <w:highlight w:val="none"/>
              </w:rPr>
            </w:pPr>
          </w:p>
        </w:tc>
        <w:tc>
          <w:tcPr>
            <w:tcW w:w="1915" w:type="dxa"/>
          </w:tcPr>
          <w:p>
            <w:pPr>
              <w:jc w:val="left"/>
              <w:rPr>
                <w:rFonts w:ascii="宋体" w:hAnsi="宋体"/>
                <w:color w:val="auto"/>
                <w:szCs w:val="21"/>
                <w:highlight w:val="none"/>
              </w:rPr>
            </w:pPr>
          </w:p>
        </w:tc>
        <w:tc>
          <w:tcPr>
            <w:tcW w:w="1785" w:type="dxa"/>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47" w:type="dxa"/>
            <w:gridSpan w:val="3"/>
          </w:tcPr>
          <w:p>
            <w:pPr>
              <w:jc w:val="left"/>
              <w:rPr>
                <w:rFonts w:ascii="宋体" w:hAnsi="宋体"/>
                <w:color w:val="auto"/>
                <w:szCs w:val="21"/>
                <w:highlight w:val="none"/>
              </w:rPr>
            </w:pPr>
            <w:r>
              <w:rPr>
                <w:rFonts w:hint="eastAsia" w:ascii="宋体" w:hAnsi="宋体"/>
                <w:color w:val="auto"/>
                <w:szCs w:val="21"/>
                <w:highlight w:val="none"/>
              </w:rPr>
              <w:t>项目业主联系地址</w:t>
            </w:r>
          </w:p>
        </w:tc>
        <w:tc>
          <w:tcPr>
            <w:tcW w:w="2135" w:type="dxa"/>
          </w:tcPr>
          <w:p>
            <w:pPr>
              <w:jc w:val="left"/>
              <w:rPr>
                <w:rFonts w:ascii="宋体" w:hAnsi="宋体"/>
                <w:color w:val="auto"/>
                <w:szCs w:val="21"/>
                <w:highlight w:val="none"/>
              </w:rPr>
            </w:pPr>
          </w:p>
        </w:tc>
        <w:tc>
          <w:tcPr>
            <w:tcW w:w="1915" w:type="dxa"/>
          </w:tcPr>
          <w:p>
            <w:pPr>
              <w:jc w:val="left"/>
              <w:rPr>
                <w:rFonts w:ascii="宋体" w:hAnsi="宋体"/>
                <w:color w:val="auto"/>
                <w:szCs w:val="21"/>
                <w:highlight w:val="none"/>
              </w:rPr>
            </w:pPr>
          </w:p>
        </w:tc>
        <w:tc>
          <w:tcPr>
            <w:tcW w:w="1785" w:type="dxa"/>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7" w:type="dxa"/>
            <w:gridSpan w:val="3"/>
          </w:tcPr>
          <w:p>
            <w:pPr>
              <w:jc w:val="left"/>
              <w:rPr>
                <w:rFonts w:ascii="宋体" w:hAnsi="宋体"/>
                <w:color w:val="auto"/>
                <w:szCs w:val="21"/>
                <w:highlight w:val="none"/>
              </w:rPr>
            </w:pPr>
            <w:r>
              <w:rPr>
                <w:rFonts w:hint="eastAsia" w:ascii="宋体" w:hAnsi="宋体"/>
                <w:color w:val="auto"/>
                <w:szCs w:val="21"/>
                <w:highlight w:val="none"/>
              </w:rPr>
              <w:t>项目业主联系人姓名</w:t>
            </w:r>
          </w:p>
        </w:tc>
        <w:tc>
          <w:tcPr>
            <w:tcW w:w="2135" w:type="dxa"/>
          </w:tcPr>
          <w:p>
            <w:pPr>
              <w:jc w:val="left"/>
              <w:rPr>
                <w:rFonts w:ascii="宋体" w:hAnsi="宋体"/>
                <w:color w:val="auto"/>
                <w:szCs w:val="21"/>
                <w:highlight w:val="none"/>
              </w:rPr>
            </w:pPr>
          </w:p>
        </w:tc>
        <w:tc>
          <w:tcPr>
            <w:tcW w:w="1915" w:type="dxa"/>
          </w:tcPr>
          <w:p>
            <w:pPr>
              <w:jc w:val="left"/>
              <w:rPr>
                <w:rFonts w:ascii="宋体" w:hAnsi="宋体"/>
                <w:color w:val="auto"/>
                <w:szCs w:val="21"/>
                <w:highlight w:val="none"/>
              </w:rPr>
            </w:pPr>
          </w:p>
        </w:tc>
        <w:tc>
          <w:tcPr>
            <w:tcW w:w="1785" w:type="dxa"/>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7" w:type="dxa"/>
            <w:gridSpan w:val="3"/>
          </w:tcPr>
          <w:p>
            <w:pPr>
              <w:jc w:val="left"/>
              <w:rPr>
                <w:rFonts w:ascii="宋体" w:hAnsi="宋体"/>
                <w:color w:val="auto"/>
                <w:szCs w:val="21"/>
                <w:highlight w:val="none"/>
              </w:rPr>
            </w:pPr>
            <w:r>
              <w:rPr>
                <w:rFonts w:hint="eastAsia" w:ascii="宋体" w:hAnsi="宋体"/>
                <w:color w:val="auto"/>
                <w:szCs w:val="21"/>
                <w:highlight w:val="none"/>
              </w:rPr>
              <w:t>项目业主联系电话</w:t>
            </w:r>
          </w:p>
        </w:tc>
        <w:tc>
          <w:tcPr>
            <w:tcW w:w="2135" w:type="dxa"/>
          </w:tcPr>
          <w:p>
            <w:pPr>
              <w:jc w:val="left"/>
              <w:rPr>
                <w:rFonts w:ascii="宋体" w:hAnsi="宋体"/>
                <w:color w:val="auto"/>
                <w:szCs w:val="21"/>
                <w:highlight w:val="none"/>
              </w:rPr>
            </w:pPr>
          </w:p>
        </w:tc>
        <w:tc>
          <w:tcPr>
            <w:tcW w:w="1915" w:type="dxa"/>
          </w:tcPr>
          <w:p>
            <w:pPr>
              <w:jc w:val="left"/>
              <w:rPr>
                <w:rFonts w:ascii="宋体" w:hAnsi="宋体"/>
                <w:color w:val="auto"/>
                <w:szCs w:val="21"/>
                <w:highlight w:val="none"/>
              </w:rPr>
            </w:pPr>
          </w:p>
        </w:tc>
        <w:tc>
          <w:tcPr>
            <w:tcW w:w="1785" w:type="dxa"/>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7" w:type="dxa"/>
            <w:gridSpan w:val="3"/>
          </w:tcPr>
          <w:p>
            <w:pPr>
              <w:jc w:val="left"/>
              <w:rPr>
                <w:rFonts w:ascii="宋体" w:hAnsi="宋体"/>
                <w:color w:val="auto"/>
                <w:szCs w:val="21"/>
                <w:highlight w:val="none"/>
              </w:rPr>
            </w:pPr>
            <w:r>
              <w:rPr>
                <w:rFonts w:hint="eastAsia" w:ascii="宋体" w:hAnsi="宋体"/>
                <w:color w:val="auto"/>
                <w:szCs w:val="21"/>
                <w:highlight w:val="none"/>
              </w:rPr>
              <w:t>项目业主传真电话</w:t>
            </w:r>
          </w:p>
        </w:tc>
        <w:tc>
          <w:tcPr>
            <w:tcW w:w="2135" w:type="dxa"/>
          </w:tcPr>
          <w:p>
            <w:pPr>
              <w:jc w:val="left"/>
              <w:rPr>
                <w:rFonts w:ascii="宋体" w:hAnsi="宋体"/>
                <w:color w:val="auto"/>
                <w:szCs w:val="21"/>
                <w:highlight w:val="none"/>
              </w:rPr>
            </w:pPr>
          </w:p>
        </w:tc>
        <w:tc>
          <w:tcPr>
            <w:tcW w:w="1915" w:type="dxa"/>
          </w:tcPr>
          <w:p>
            <w:pPr>
              <w:jc w:val="left"/>
              <w:rPr>
                <w:rFonts w:ascii="宋体" w:hAnsi="宋体"/>
                <w:color w:val="auto"/>
                <w:szCs w:val="21"/>
                <w:highlight w:val="none"/>
              </w:rPr>
            </w:pPr>
          </w:p>
        </w:tc>
        <w:tc>
          <w:tcPr>
            <w:tcW w:w="1785" w:type="dxa"/>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7" w:type="dxa"/>
            <w:gridSpan w:val="3"/>
          </w:tcPr>
          <w:p>
            <w:pPr>
              <w:jc w:val="left"/>
              <w:rPr>
                <w:rFonts w:ascii="宋体" w:hAnsi="宋体"/>
                <w:color w:val="auto"/>
                <w:szCs w:val="21"/>
                <w:highlight w:val="none"/>
              </w:rPr>
            </w:pPr>
            <w:r>
              <w:rPr>
                <w:rFonts w:hint="eastAsia" w:ascii="宋体" w:hAnsi="宋体"/>
                <w:color w:val="auto"/>
                <w:szCs w:val="21"/>
                <w:highlight w:val="none"/>
              </w:rPr>
              <w:t>项目业主邮政编码</w:t>
            </w:r>
          </w:p>
        </w:tc>
        <w:tc>
          <w:tcPr>
            <w:tcW w:w="2135" w:type="dxa"/>
          </w:tcPr>
          <w:p>
            <w:pPr>
              <w:jc w:val="left"/>
              <w:rPr>
                <w:rFonts w:ascii="宋体" w:hAnsi="宋体"/>
                <w:color w:val="auto"/>
                <w:szCs w:val="21"/>
                <w:highlight w:val="none"/>
              </w:rPr>
            </w:pPr>
          </w:p>
        </w:tc>
        <w:tc>
          <w:tcPr>
            <w:tcW w:w="1915" w:type="dxa"/>
          </w:tcPr>
          <w:p>
            <w:pPr>
              <w:jc w:val="left"/>
              <w:rPr>
                <w:rFonts w:ascii="宋体" w:hAnsi="宋体"/>
                <w:color w:val="auto"/>
                <w:szCs w:val="21"/>
                <w:highlight w:val="none"/>
              </w:rPr>
            </w:pPr>
          </w:p>
        </w:tc>
        <w:tc>
          <w:tcPr>
            <w:tcW w:w="1785" w:type="dxa"/>
          </w:tcPr>
          <w:p>
            <w:pPr>
              <w:jc w:val="left"/>
              <w:rPr>
                <w:rFonts w:ascii="宋体" w:hAnsi="宋体"/>
                <w:color w:val="auto"/>
                <w:szCs w:val="21"/>
                <w:highlight w:val="none"/>
              </w:rPr>
            </w:pPr>
          </w:p>
        </w:tc>
      </w:tr>
    </w:tbl>
    <w:p>
      <w:pPr>
        <w:spacing w:line="360" w:lineRule="auto"/>
        <w:jc w:val="left"/>
        <w:rPr>
          <w:rFonts w:ascii="宋体" w:hAnsi="宋体"/>
          <w:color w:val="auto"/>
          <w:szCs w:val="21"/>
          <w:highlight w:val="none"/>
        </w:rPr>
      </w:pPr>
      <w:r>
        <w:rPr>
          <w:rFonts w:hint="eastAsia" w:ascii="宋体" w:hAnsi="宋体"/>
          <w:color w:val="auto"/>
          <w:szCs w:val="21"/>
          <w:highlight w:val="none"/>
        </w:rPr>
        <w:t>注：</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1、指20</w:t>
      </w:r>
      <w:r>
        <w:rPr>
          <w:rFonts w:ascii="宋体" w:hAnsi="宋体"/>
          <w:color w:val="auto"/>
          <w:szCs w:val="21"/>
          <w:highlight w:val="none"/>
        </w:rPr>
        <w:t>20</w:t>
      </w:r>
      <w:r>
        <w:rPr>
          <w:rFonts w:hint="eastAsia" w:ascii="宋体" w:hAnsi="宋体"/>
          <w:color w:val="auto"/>
          <w:szCs w:val="21"/>
          <w:highlight w:val="none"/>
        </w:rPr>
        <w:t>年1月1日至今完成的质量合格且电压等级为10</w:t>
      </w:r>
      <w:r>
        <w:rPr>
          <w:rFonts w:ascii="宋体" w:hAnsi="宋体"/>
          <w:color w:val="auto"/>
          <w:szCs w:val="21"/>
          <w:highlight w:val="none"/>
        </w:rPr>
        <w:t>kV</w:t>
      </w:r>
      <w:r>
        <w:rPr>
          <w:rFonts w:hint="eastAsia" w:ascii="宋体" w:hAnsi="宋体"/>
          <w:color w:val="auto"/>
          <w:szCs w:val="21"/>
          <w:highlight w:val="none"/>
        </w:rPr>
        <w:t>(或以上)的单项合同金额</w:t>
      </w:r>
      <w:r>
        <w:rPr>
          <w:rFonts w:ascii="宋体" w:hAnsi="宋体"/>
          <w:color w:val="auto"/>
          <w:szCs w:val="21"/>
          <w:highlight w:val="none"/>
        </w:rPr>
        <w:t>3</w:t>
      </w:r>
      <w:r>
        <w:rPr>
          <w:rFonts w:hint="eastAsia" w:ascii="宋体" w:hAnsi="宋体"/>
          <w:color w:val="auto"/>
          <w:szCs w:val="21"/>
          <w:highlight w:val="none"/>
        </w:rPr>
        <w:t>00万元(或以上)电力施工工程业绩。</w:t>
      </w:r>
    </w:p>
    <w:p>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注：（1）施工总承包业绩或单独发包的专业工程业绩：需同时提供中标通知书或免招标的相关证明、施工合同、竣工验收报告或竣工验收证明。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如以上资料不能证明业绩规模的技术指标（指电压等级、金额等）的，须另提供可证明业绩技术指标的其他资料；</w:t>
      </w:r>
    </w:p>
    <w:p>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完成时间：①适用于施工总承包业绩：完成时间以竣工验收文件为准。②适用于单独发包的专业工程业绩：完成时间以子分部工程质量验收记录时间为准。</w:t>
      </w:r>
    </w:p>
    <w:p>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2）由总承包单位依法分包的专业工程业绩，需同时提供总承包单位的中标通知书或免招标的相关证明、分包合同、竣工验收报告或竣工验收证明。金额以分包合同中约定的合同金额为准。如以上资料不能证明业绩规模的技术指标（指电压等级、金额等）的，须另提供可证明业绩技术指标的其他资料；完成时间以子分部工程质量验收记录时间为准。验收记录至少具有建设单位、设计、施工和监理单位盖章。</w:t>
      </w:r>
    </w:p>
    <w:p>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（3）须提供上述证明材料清晰扫描件并加盖投标人电子印章，否则将不予以计分。投标单位可提供施工合同关键页，但应至少包括合同封面、合同指标金额规模页、合同盖章页）。</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2、如无已竣工验收的同类工程业绩的，在项目栏中填写“无”，并需签名和盖公章提交。</w:t>
      </w:r>
    </w:p>
    <w:p>
      <w:pPr>
        <w:rPr>
          <w:rFonts w:ascii="宋体" w:hAnsi="宋体"/>
          <w:color w:val="auto"/>
          <w:szCs w:val="21"/>
          <w:highlight w:val="none"/>
        </w:rPr>
      </w:pPr>
    </w:p>
    <w:p>
      <w:pPr>
        <w:widowControl/>
        <w:topLinePunct/>
        <w:adjustRightInd w:val="0"/>
        <w:snapToGrid w:val="0"/>
        <w:spacing w:line="360" w:lineRule="auto"/>
        <w:ind w:firstLine="3596" w:firstLineChars="1450"/>
        <w:jc w:val="left"/>
        <w:rPr>
          <w:snapToGrid w:val="0"/>
          <w:color w:val="auto"/>
          <w:spacing w:val="4"/>
          <w:kern w:val="0"/>
          <w:sz w:val="24"/>
          <w:szCs w:val="24"/>
          <w:highlight w:val="none"/>
        </w:rPr>
      </w:pPr>
      <w:r>
        <w:rPr>
          <w:rFonts w:hint="eastAsia"/>
          <w:snapToGrid w:val="0"/>
          <w:color w:val="auto"/>
          <w:spacing w:val="4"/>
          <w:kern w:val="0"/>
          <w:sz w:val="24"/>
          <w:szCs w:val="24"/>
          <w:highlight w:val="none"/>
        </w:rPr>
        <w:t>投标人：　　（盖章）</w:t>
      </w:r>
    </w:p>
    <w:p>
      <w:pPr>
        <w:widowControl/>
        <w:topLinePunct/>
        <w:adjustRightInd w:val="0"/>
        <w:snapToGrid w:val="0"/>
        <w:spacing w:line="360" w:lineRule="auto"/>
        <w:ind w:firstLine="3596" w:firstLineChars="1450"/>
        <w:jc w:val="left"/>
        <w:rPr>
          <w:snapToGrid w:val="0"/>
          <w:color w:val="auto"/>
          <w:spacing w:val="4"/>
          <w:kern w:val="0"/>
          <w:sz w:val="24"/>
          <w:szCs w:val="24"/>
          <w:highlight w:val="none"/>
        </w:rPr>
      </w:pPr>
      <w:r>
        <w:rPr>
          <w:rFonts w:hint="eastAsia"/>
          <w:snapToGrid w:val="0"/>
          <w:color w:val="auto"/>
          <w:spacing w:val="4"/>
          <w:kern w:val="0"/>
          <w:sz w:val="24"/>
          <w:szCs w:val="24"/>
          <w:highlight w:val="none"/>
        </w:rPr>
        <w:t>法定代表人或授权代理人(签名或盖章)：</w:t>
      </w:r>
    </w:p>
    <w:p>
      <w:pPr>
        <w:widowControl/>
        <w:topLinePunct/>
        <w:adjustRightInd w:val="0"/>
        <w:snapToGrid w:val="0"/>
        <w:spacing w:line="360" w:lineRule="auto"/>
        <w:ind w:firstLine="3596" w:firstLineChars="1450"/>
        <w:jc w:val="left"/>
        <w:rPr>
          <w:snapToGrid w:val="0"/>
          <w:color w:val="auto"/>
          <w:spacing w:val="4"/>
          <w:kern w:val="0"/>
          <w:sz w:val="24"/>
          <w:szCs w:val="24"/>
          <w:highlight w:val="none"/>
        </w:rPr>
      </w:pPr>
      <w:r>
        <w:rPr>
          <w:rFonts w:hint="eastAsia"/>
          <w:snapToGrid w:val="0"/>
          <w:color w:val="auto"/>
          <w:spacing w:val="4"/>
          <w:kern w:val="0"/>
          <w:sz w:val="24"/>
          <w:szCs w:val="24"/>
          <w:highlight w:val="none"/>
        </w:rPr>
        <w:t xml:space="preserve">日   期：    年    月    日 </w:t>
      </w:r>
    </w:p>
    <w:p>
      <w:pPr>
        <w:widowControl/>
        <w:jc w:val="left"/>
        <w:rPr>
          <w:color w:val="auto"/>
          <w:highlight w:val="none"/>
        </w:rPr>
      </w:pPr>
    </w:p>
    <w:bookmarkEnd w:id="208"/>
    <w:bookmarkEnd w:id="209"/>
    <w:bookmarkEnd w:id="210"/>
    <w:bookmarkEnd w:id="211"/>
    <w:bookmarkEnd w:id="212"/>
    <w:bookmarkEnd w:id="213"/>
    <w:bookmarkEnd w:id="214"/>
    <w:bookmarkEnd w:id="215"/>
    <w:bookmarkEnd w:id="216"/>
    <w:bookmarkEnd w:id="217"/>
    <w:bookmarkEnd w:id="218"/>
    <w:bookmarkEnd w:id="219"/>
    <w:bookmarkEnd w:id="220"/>
    <w:p>
      <w:pPr>
        <w:widowControl/>
        <w:topLinePunct/>
        <w:adjustRightInd w:val="0"/>
        <w:snapToGrid w:val="0"/>
        <w:spacing w:after="200" w:line="360" w:lineRule="auto"/>
        <w:ind w:firstLine="3472" w:firstLineChars="1400"/>
        <w:jc w:val="left"/>
        <w:rPr>
          <w:rFonts w:ascii="宋体" w:hAnsi="宋体"/>
          <w:color w:val="auto"/>
          <w:spacing w:val="4"/>
          <w:kern w:val="0"/>
          <w:sz w:val="24"/>
          <w:szCs w:val="24"/>
          <w:highlight w:val="none"/>
        </w:rPr>
      </w:pPr>
    </w:p>
    <w:p>
      <w:pPr>
        <w:widowControl/>
        <w:topLinePunct/>
        <w:adjustRightInd w:val="0"/>
        <w:snapToGrid w:val="0"/>
        <w:spacing w:after="200"/>
        <w:jc w:val="left"/>
        <w:outlineLvl w:val="2"/>
        <w:rPr>
          <w:rFonts w:ascii="宋体"/>
          <w:color w:val="auto"/>
          <w:sz w:val="24"/>
          <w:szCs w:val="24"/>
          <w:highlight w:val="none"/>
        </w:rPr>
      </w:pPr>
      <w:r>
        <w:rPr>
          <w:color w:val="auto"/>
          <w:szCs w:val="21"/>
          <w:highlight w:val="none"/>
        </w:rPr>
        <w:br w:type="page"/>
      </w:r>
      <w:bookmarkStart w:id="221" w:name="_Toc673"/>
      <w:bookmarkStart w:id="222" w:name="_Toc24016"/>
      <w:bookmarkStart w:id="223" w:name="_Toc62056045"/>
      <w:r>
        <w:rPr>
          <w:rFonts w:hint="eastAsia" w:ascii="宋体" w:hAnsi="宋体"/>
          <w:color w:val="auto"/>
          <w:spacing w:val="4"/>
          <w:kern w:val="0"/>
          <w:sz w:val="24"/>
          <w:szCs w:val="24"/>
          <w:highlight w:val="none"/>
        </w:rPr>
        <w:t>格式八：参与编制技术标投标文件人员名单</w:t>
      </w:r>
      <w:bookmarkEnd w:id="221"/>
      <w:bookmarkEnd w:id="222"/>
      <w:bookmarkEnd w:id="223"/>
    </w:p>
    <w:p>
      <w:pPr>
        <w:autoSpaceDE w:val="0"/>
        <w:autoSpaceDN w:val="0"/>
        <w:adjustRightInd w:val="0"/>
        <w:rPr>
          <w:color w:val="auto"/>
          <w:szCs w:val="21"/>
          <w:highlight w:val="none"/>
        </w:rPr>
      </w:pPr>
    </w:p>
    <w:p>
      <w:pPr>
        <w:tabs>
          <w:tab w:val="left" w:pos="720"/>
        </w:tabs>
        <w:snapToGrid w:val="0"/>
        <w:spacing w:line="360" w:lineRule="auto"/>
        <w:jc w:val="center"/>
        <w:rPr>
          <w:b/>
          <w:color w:val="auto"/>
          <w:sz w:val="30"/>
          <w:szCs w:val="30"/>
          <w:highlight w:val="none"/>
        </w:rPr>
      </w:pPr>
      <w:r>
        <w:rPr>
          <w:rFonts w:hint="eastAsia"/>
          <w:b/>
          <w:color w:val="auto"/>
          <w:sz w:val="30"/>
          <w:szCs w:val="30"/>
          <w:highlight w:val="none"/>
        </w:rPr>
        <w:t>参与编制技术标投标文件人员名单</w:t>
      </w: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2"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spacing w:line="360" w:lineRule="auto"/>
        <w:ind w:left="-2" w:leftChars="-1" w:firstLine="350" w:firstLineChars="175"/>
        <w:jc w:val="left"/>
        <w:rPr>
          <w:color w:val="auto"/>
          <w:kern w:val="0"/>
          <w:sz w:val="20"/>
          <w:szCs w:val="21"/>
          <w:highlight w:val="none"/>
        </w:rPr>
      </w:pPr>
      <w:r>
        <w:rPr>
          <w:rFonts w:hint="eastAsia"/>
          <w:color w:val="auto"/>
          <w:kern w:val="0"/>
          <w:sz w:val="20"/>
          <w:szCs w:val="21"/>
          <w:highlight w:val="none"/>
        </w:rPr>
        <w:t>注：参与编制技术标投标文件所有人员名单应包括如编制技术投标方案、负责清样校对、负责打印及复印等所有人员在内的人员名单。</w:t>
      </w:r>
    </w:p>
    <w:p>
      <w:pPr>
        <w:rPr>
          <w:color w:val="auto"/>
          <w:highlight w:val="none"/>
        </w:rPr>
      </w:pPr>
      <w:bookmarkStart w:id="224" w:name="_Toc62056046"/>
      <w:r>
        <w:rPr>
          <w:rFonts w:hint="eastAsia"/>
          <w:color w:val="auto"/>
          <w:highlight w:val="none"/>
        </w:rPr>
        <w:t xml:space="preserve"> </w:t>
      </w:r>
      <w:bookmarkEnd w:id="224"/>
    </w:p>
    <w:p>
      <w:pPr>
        <w:ind w:firstLine="420"/>
        <w:rPr>
          <w:color w:val="auto"/>
          <w:kern w:val="0"/>
          <w:sz w:val="20"/>
          <w:szCs w:val="20"/>
          <w:highlight w:val="none"/>
        </w:rPr>
      </w:pPr>
      <w:r>
        <w:rPr>
          <w:color w:val="auto"/>
          <w:kern w:val="0"/>
          <w:sz w:val="20"/>
          <w:szCs w:val="20"/>
          <w:highlight w:val="none"/>
        </w:rPr>
        <w:br w:type="page"/>
      </w:r>
    </w:p>
    <w:p>
      <w:pPr>
        <w:widowControl/>
        <w:topLinePunct/>
        <w:adjustRightInd w:val="0"/>
        <w:snapToGrid w:val="0"/>
        <w:spacing w:after="200"/>
        <w:jc w:val="left"/>
        <w:outlineLvl w:val="2"/>
        <w:rPr>
          <w:rFonts w:ascii="宋体" w:hAnsi="宋体"/>
          <w:color w:val="auto"/>
          <w:spacing w:val="4"/>
          <w:kern w:val="0"/>
          <w:sz w:val="24"/>
          <w:szCs w:val="24"/>
          <w:highlight w:val="none"/>
        </w:rPr>
      </w:pPr>
      <w:bookmarkStart w:id="225" w:name="_Toc15125"/>
      <w:bookmarkStart w:id="226" w:name="_Toc30936"/>
      <w:r>
        <w:rPr>
          <w:rFonts w:hint="eastAsia" w:ascii="宋体" w:hAnsi="宋体"/>
          <w:color w:val="auto"/>
          <w:spacing w:val="4"/>
          <w:kern w:val="0"/>
          <w:sz w:val="24"/>
          <w:szCs w:val="24"/>
          <w:highlight w:val="none"/>
        </w:rPr>
        <w:t>格式九：危险性较大的分部分项工程清单及超过一定规模的危险性较大的分部分项工程清单</w:t>
      </w:r>
      <w:bookmarkEnd w:id="225"/>
      <w:bookmarkEnd w:id="226"/>
    </w:p>
    <w:p>
      <w:pPr>
        <w:widowControl/>
        <w:topLinePunct/>
        <w:adjustRightInd w:val="0"/>
        <w:snapToGrid w:val="0"/>
        <w:spacing w:before="156" w:beforeLines="50" w:after="156"/>
        <w:jc w:val="center"/>
        <w:rPr>
          <w:rFonts w:ascii="宋体" w:hAnsi="宋体"/>
          <w:b/>
          <w:color w:val="auto"/>
          <w:spacing w:val="4"/>
          <w:kern w:val="0"/>
          <w:sz w:val="32"/>
          <w:szCs w:val="32"/>
          <w:highlight w:val="none"/>
        </w:rPr>
      </w:pPr>
      <w:r>
        <w:rPr>
          <w:rFonts w:hint="eastAsia" w:ascii="宋体" w:hAnsi="宋体"/>
          <w:b/>
          <w:color w:val="auto"/>
          <w:spacing w:val="4"/>
          <w:kern w:val="0"/>
          <w:sz w:val="32"/>
          <w:szCs w:val="32"/>
          <w:highlight w:val="none"/>
        </w:rPr>
        <w:t>危险性较大的分部分项工程清单及</w:t>
      </w:r>
    </w:p>
    <w:p>
      <w:pPr>
        <w:widowControl/>
        <w:topLinePunct/>
        <w:adjustRightInd w:val="0"/>
        <w:snapToGrid w:val="0"/>
        <w:spacing w:before="156" w:beforeLines="50" w:after="156"/>
        <w:jc w:val="center"/>
        <w:rPr>
          <w:rFonts w:ascii="宋体" w:hAnsi="宋体"/>
          <w:b/>
          <w:color w:val="auto"/>
          <w:spacing w:val="4"/>
          <w:kern w:val="0"/>
          <w:sz w:val="32"/>
          <w:szCs w:val="32"/>
          <w:highlight w:val="none"/>
        </w:rPr>
      </w:pPr>
      <w:r>
        <w:rPr>
          <w:rFonts w:hint="eastAsia" w:ascii="宋体" w:hAnsi="宋体"/>
          <w:b/>
          <w:color w:val="auto"/>
          <w:spacing w:val="4"/>
          <w:kern w:val="0"/>
          <w:sz w:val="32"/>
          <w:szCs w:val="32"/>
          <w:highlight w:val="none"/>
        </w:rPr>
        <w:t>超过一定规模的危险性较大的分部分项工程清单</w:t>
      </w:r>
    </w:p>
    <w:p>
      <w:pPr>
        <w:numPr>
          <w:ilvl w:val="0"/>
          <w:numId w:val="1"/>
        </w:numPr>
        <w:autoSpaceDE w:val="0"/>
        <w:autoSpaceDN w:val="0"/>
        <w:adjustRightInd w:val="0"/>
        <w:spacing w:line="276" w:lineRule="auto"/>
        <w:jc w:val="left"/>
        <w:rPr>
          <w:rFonts w:ascii="宋体" w:hAnsi="宋体"/>
          <w:color w:val="auto"/>
          <w:szCs w:val="21"/>
          <w:highlight w:val="none"/>
        </w:rPr>
      </w:pPr>
      <w:r>
        <w:rPr>
          <w:rFonts w:hint="eastAsia" w:ascii="宋体" w:hAnsi="宋体"/>
          <w:color w:val="auto"/>
          <w:szCs w:val="21"/>
          <w:highlight w:val="none"/>
        </w:rPr>
        <w:t>根据中华人民共和国住房和城乡建设部令第37号《危险性较大的分部分项工程安全管理规定》（以下简称“37号文”），</w:t>
      </w:r>
      <w:r>
        <w:rPr>
          <w:rFonts w:hint="eastAsia"/>
          <w:color w:val="auto"/>
          <w:szCs w:val="21"/>
          <w:highlight w:val="none"/>
        </w:rPr>
        <w:t>投标人在投标时须补充完善危大工程清单</w:t>
      </w:r>
      <w:r>
        <w:rPr>
          <w:rFonts w:hint="eastAsia" w:ascii="宋体" w:hAnsi="宋体" w:cs="宋体"/>
          <w:color w:val="auto"/>
          <w:kern w:val="0"/>
          <w:szCs w:val="21"/>
          <w:highlight w:val="none"/>
        </w:rPr>
        <w:t>并</w:t>
      </w:r>
      <w:r>
        <w:rPr>
          <w:rFonts w:hint="eastAsia" w:ascii="宋体" w:hAnsi="宋体" w:cs="宋体"/>
          <w:snapToGrid w:val="0"/>
          <w:color w:val="auto"/>
          <w:spacing w:val="4"/>
          <w:kern w:val="0"/>
          <w:szCs w:val="21"/>
          <w:highlight w:val="none"/>
        </w:rPr>
        <w:t>结合本工程的类型和特点，科学、合理地设置本项目的危险性较大的分部分项工程安全管理措施，危险性较大的分部分项工程安全管理措施由投标人结合招标人对本工程的具体要求自行设定</w:t>
      </w:r>
      <w:r>
        <w:rPr>
          <w:rFonts w:hint="eastAsia" w:ascii="宋体" w:hAnsi="宋体"/>
          <w:color w:val="auto"/>
          <w:szCs w:val="21"/>
          <w:highlight w:val="none"/>
        </w:rPr>
        <w:t>。</w:t>
      </w:r>
    </w:p>
    <w:p>
      <w:pPr>
        <w:numPr>
          <w:ilvl w:val="0"/>
          <w:numId w:val="1"/>
        </w:numPr>
        <w:autoSpaceDE w:val="0"/>
        <w:autoSpaceDN w:val="0"/>
        <w:adjustRightInd w:val="0"/>
        <w:spacing w:line="276" w:lineRule="auto"/>
        <w:jc w:val="left"/>
        <w:rPr>
          <w:rFonts w:ascii="宋体" w:hAnsi="宋体"/>
          <w:b/>
          <w:bCs/>
          <w:color w:val="auto"/>
          <w:szCs w:val="21"/>
          <w:highlight w:val="none"/>
        </w:rPr>
      </w:pPr>
      <w:r>
        <w:rPr>
          <w:rFonts w:hint="eastAsia" w:ascii="宋体" w:hAnsi="宋体"/>
          <w:b/>
          <w:bCs/>
          <w:color w:val="auto"/>
          <w:szCs w:val="21"/>
          <w:highlight w:val="none"/>
        </w:rPr>
        <w:t>投标人根据设计文件的要求及37号文的规定列出“危险性较大的分部分项工程清单及超过一定规模的危险性较大的分部分项工程清单”中与本招标项目相关的清单项，具体请在第5点“打√”标识。</w:t>
      </w:r>
    </w:p>
    <w:p>
      <w:pPr>
        <w:numPr>
          <w:ilvl w:val="0"/>
          <w:numId w:val="1"/>
        </w:numPr>
        <w:autoSpaceDE w:val="0"/>
        <w:autoSpaceDN w:val="0"/>
        <w:adjustRightInd w:val="0"/>
        <w:spacing w:line="276" w:lineRule="auto"/>
        <w:jc w:val="left"/>
        <w:rPr>
          <w:rFonts w:ascii="宋体" w:hAnsi="宋体"/>
          <w:color w:val="auto"/>
          <w:szCs w:val="21"/>
          <w:highlight w:val="none"/>
        </w:rPr>
      </w:pPr>
      <w:r>
        <w:rPr>
          <w:rFonts w:hint="eastAsia" w:ascii="宋体" w:hAnsi="宋体"/>
          <w:color w:val="auto"/>
          <w:szCs w:val="21"/>
          <w:highlight w:val="none"/>
        </w:rPr>
        <w:t>投标单位应当在投标时根据招标人提供的下述第5点清单，在投标文件中编制专项施工方案</w:t>
      </w:r>
      <w:r>
        <w:rPr>
          <w:rFonts w:hint="eastAsia" w:ascii="宋体" w:hAnsi="宋体"/>
          <w:b/>
          <w:bCs/>
          <w:color w:val="auto"/>
          <w:szCs w:val="21"/>
          <w:highlight w:val="none"/>
        </w:rPr>
        <w:t>，提供相应的安全管理措施</w:t>
      </w:r>
      <w:r>
        <w:rPr>
          <w:rFonts w:hint="eastAsia" w:ascii="宋体" w:hAnsi="宋体"/>
          <w:color w:val="auto"/>
          <w:szCs w:val="21"/>
          <w:highlight w:val="none"/>
        </w:rPr>
        <w:t>。</w:t>
      </w:r>
    </w:p>
    <w:p>
      <w:pPr>
        <w:numPr>
          <w:ilvl w:val="0"/>
          <w:numId w:val="1"/>
        </w:numPr>
        <w:autoSpaceDE w:val="0"/>
        <w:autoSpaceDN w:val="0"/>
        <w:adjustRightInd w:val="0"/>
        <w:spacing w:line="276" w:lineRule="auto"/>
        <w:jc w:val="left"/>
        <w:rPr>
          <w:rFonts w:ascii="宋体" w:hAnsi="宋体"/>
          <w:color w:val="auto"/>
          <w:szCs w:val="21"/>
          <w:highlight w:val="none"/>
        </w:rPr>
      </w:pPr>
      <w:r>
        <w:rPr>
          <w:rFonts w:hint="eastAsia" w:ascii="宋体" w:hAnsi="宋体"/>
          <w:color w:val="auto"/>
          <w:szCs w:val="21"/>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numPr>
          <w:ilvl w:val="0"/>
          <w:numId w:val="1"/>
        </w:numPr>
        <w:autoSpaceDE w:val="0"/>
        <w:autoSpaceDN w:val="0"/>
        <w:adjustRightInd w:val="0"/>
        <w:spacing w:line="276" w:lineRule="auto"/>
        <w:jc w:val="left"/>
        <w:rPr>
          <w:rFonts w:ascii="宋体" w:hAnsi="宋体"/>
          <w:color w:val="auto"/>
          <w:szCs w:val="21"/>
          <w:highlight w:val="none"/>
        </w:rPr>
      </w:pPr>
      <w:r>
        <w:rPr>
          <w:rFonts w:hint="eastAsia" w:ascii="宋体" w:hAnsi="宋体"/>
          <w:color w:val="auto"/>
          <w:szCs w:val="21"/>
          <w:highlight w:val="none"/>
        </w:rPr>
        <w:t>危险性较大的分部分项工程清单及超过一定规模的危险性较大的分部分项工程清单：</w:t>
      </w:r>
    </w:p>
    <w:tbl>
      <w:tblPr>
        <w:tblStyle w:val="22"/>
        <w:tblW w:w="9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1931"/>
        <w:gridCol w:w="1931"/>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vAlign w:val="center"/>
          </w:tcPr>
          <w:p>
            <w:pPr>
              <w:spacing w:line="276" w:lineRule="auto"/>
              <w:jc w:val="center"/>
              <w:rPr>
                <w:rFonts w:ascii="宋体" w:hAnsi="宋体"/>
                <w:b/>
                <w:color w:val="auto"/>
                <w:szCs w:val="21"/>
                <w:highlight w:val="none"/>
              </w:rPr>
            </w:pPr>
            <w:r>
              <w:rPr>
                <w:rFonts w:hint="eastAsia" w:ascii="宋体" w:hAnsi="宋体"/>
                <w:b/>
                <w:color w:val="auto"/>
                <w:szCs w:val="21"/>
                <w:highlight w:val="none"/>
              </w:rPr>
              <w:t>一、危险性较大的分部分项工程清单</w:t>
            </w: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建设单位</w:t>
            </w: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投标单位</w:t>
            </w:r>
          </w:p>
        </w:tc>
        <w:tc>
          <w:tcPr>
            <w:tcW w:w="1173"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一、基坑支护</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（一）开挖深度超过3m（含3m）的基坑（槽）的土方开挖、支护、降水工程。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（二）开挖深度虽未超过3m，但地质条件、周围环境和地下管线复杂，或影响毗邻建、构筑物安全的基坑（槽）的土方开挖、支护、降水工程。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二、模板工程及支撑体系</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（一）各类工具式模板工程：包括滑模、爬模、飞模、隧道模等工程。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widowControl/>
              <w:spacing w:line="276" w:lineRule="auto"/>
              <w:jc w:val="left"/>
              <w:rPr>
                <w:rFonts w:ascii="宋体" w:hAnsi="宋体" w:cs="宋体"/>
                <w:color w:val="auto"/>
                <w:szCs w:val="21"/>
                <w:highlight w:val="none"/>
              </w:rPr>
            </w:pPr>
            <w:r>
              <w:rPr>
                <w:rFonts w:hint="eastAsia" w:ascii="宋体" w:hAnsi="宋体" w:cs="宋体"/>
                <w:color w:val="auto"/>
                <w:szCs w:val="21"/>
                <w:highlight w:val="none"/>
              </w:rPr>
              <w:t>（三）承重支撑体系：用于钢结构安装等满堂支撑体系。</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widowControl/>
              <w:spacing w:line="276" w:lineRule="auto"/>
              <w:jc w:val="left"/>
              <w:rPr>
                <w:rFonts w:ascii="宋体" w:hAnsi="宋体" w:cs="宋体"/>
                <w:color w:val="auto"/>
                <w:szCs w:val="21"/>
                <w:highlight w:val="none"/>
              </w:rPr>
            </w:pPr>
            <w:r>
              <w:rPr>
                <w:rFonts w:hint="eastAsia" w:ascii="宋体" w:hAnsi="宋体" w:cs="宋体"/>
                <w:color w:val="auto"/>
                <w:szCs w:val="21"/>
                <w:highlight w:val="none"/>
              </w:rPr>
              <w:t>　三、起重吊装及起重机械安装拆卸工程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widowControl/>
              <w:spacing w:line="276" w:lineRule="auto"/>
              <w:jc w:val="left"/>
              <w:rPr>
                <w:rFonts w:ascii="宋体" w:hAnsi="宋体" w:cs="宋体"/>
                <w:color w:val="auto"/>
                <w:szCs w:val="21"/>
                <w:highlight w:val="none"/>
              </w:rPr>
            </w:pPr>
            <w:r>
              <w:rPr>
                <w:rFonts w:hint="eastAsia" w:ascii="宋体" w:hAnsi="宋体" w:cs="宋体"/>
                <w:color w:val="auto"/>
                <w:szCs w:val="21"/>
                <w:highlight w:val="none"/>
              </w:rPr>
              <w:t>（一）采用非常规起重设备、方法，且单件起吊重量在10kN及以上的起重吊装工程。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s="宋体"/>
                <w:color w:val="auto"/>
                <w:szCs w:val="21"/>
                <w:highlight w:val="none"/>
              </w:rPr>
              <w:t>（二）采用起重机械进行安装的工程。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s="宋体"/>
                <w:color w:val="auto"/>
                <w:szCs w:val="21"/>
                <w:highlight w:val="none"/>
              </w:rPr>
            </w:pPr>
            <w:r>
              <w:rPr>
                <w:rFonts w:hint="eastAsia" w:ascii="宋体" w:hAnsi="宋体" w:cs="宋体"/>
                <w:color w:val="auto"/>
                <w:szCs w:val="21"/>
                <w:highlight w:val="none"/>
              </w:rPr>
              <w:t>（三）起重机械安装和拆卸工程。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四、脚手架工程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（一）搭设高度24m及以上的落地式钢管脚手架工程（包括采光井、电梯井脚手架）。</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（二）附着式升降脚手架工程。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（三）悬挑式脚手架工程。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（四）高处作业吊篮。</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（五）卸料平台、操作平台工程。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（六）异型脚手架工程。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五、拆除工程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可能影响行人、交通、电力设施、通讯设施或其它建、构筑物安全的拆除工程。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　六、暗挖工程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采用矿山法、盾构法、顶管法施工的隧道、洞室工程。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七、其它</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（一）建筑幕墙安装工程。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（二）钢结构、网架和索膜结构安装工程。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（三）人工挖孔桩工程。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（四）水下作业工程。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（五）装配式建筑混凝土预制构件安装工程。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（六）采用新技术、新工艺、新材料、新设备可能影响工程施工安全，尚无国家、行业及地方技术标准的分部分项工程。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vAlign w:val="center"/>
          </w:tcPr>
          <w:p>
            <w:pPr>
              <w:widowControl/>
              <w:spacing w:line="276" w:lineRule="auto"/>
              <w:rPr>
                <w:rFonts w:ascii="宋体" w:hAnsi="宋体" w:cs="宋体"/>
                <w:b/>
                <w:color w:val="auto"/>
                <w:szCs w:val="21"/>
                <w:highlight w:val="none"/>
              </w:rPr>
            </w:pPr>
            <w:r>
              <w:rPr>
                <w:rFonts w:hint="eastAsia" w:ascii="宋体" w:hAnsi="宋体" w:cs="宋体"/>
                <w:b/>
                <w:bCs/>
                <w:color w:val="auto"/>
                <w:szCs w:val="21"/>
                <w:highlight w:val="none"/>
              </w:rPr>
              <w:t>二、超过一定规模的危险性较大的分部分项工程清单</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一、深基坑工程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ind w:firstLine="480"/>
              <w:jc w:val="left"/>
              <w:rPr>
                <w:rFonts w:ascii="宋体" w:hAnsi="宋体"/>
                <w:color w:val="auto"/>
                <w:szCs w:val="21"/>
                <w:highlight w:val="none"/>
              </w:rPr>
            </w:pPr>
            <w:r>
              <w:rPr>
                <w:rFonts w:hint="eastAsia" w:ascii="宋体" w:hAnsi="宋体"/>
                <w:color w:val="auto"/>
                <w:szCs w:val="21"/>
                <w:highlight w:val="none"/>
              </w:rPr>
              <w:t>开挖深度超过5m（含5m）的基坑（槽）的土方开挖、支护、降水工程。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ind w:firstLine="48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ind w:firstLine="480"/>
              <w:jc w:val="left"/>
              <w:rPr>
                <w:rFonts w:ascii="宋体" w:hAnsi="宋体"/>
                <w:color w:val="auto"/>
                <w:szCs w:val="21"/>
                <w:highlight w:val="none"/>
              </w:rPr>
            </w:pPr>
            <w:r>
              <w:rPr>
                <w:rFonts w:hint="eastAsia" w:ascii="宋体" w:hAnsi="宋体"/>
                <w:color w:val="auto"/>
                <w:szCs w:val="21"/>
                <w:highlight w:val="none"/>
              </w:rPr>
              <w:t>二、模板工程及支撑体系</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ind w:firstLine="48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ind w:firstLine="480"/>
              <w:jc w:val="left"/>
              <w:rPr>
                <w:rFonts w:ascii="宋体" w:hAnsi="宋体"/>
                <w:color w:val="auto"/>
                <w:szCs w:val="21"/>
                <w:highlight w:val="none"/>
              </w:rPr>
            </w:pPr>
            <w:r>
              <w:rPr>
                <w:rFonts w:hint="eastAsia" w:ascii="宋体" w:hAnsi="宋体"/>
                <w:color w:val="auto"/>
                <w:szCs w:val="21"/>
                <w:highlight w:val="none"/>
              </w:rPr>
              <w:t>（一）各类工具式模板工程：包括滑模、爬模、飞模、隧道模等工程。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ind w:firstLine="48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ind w:firstLine="480"/>
              <w:jc w:val="left"/>
              <w:rPr>
                <w:rFonts w:ascii="宋体" w:hAnsi="宋体"/>
                <w:color w:val="auto"/>
                <w:szCs w:val="21"/>
                <w:highlight w:val="none"/>
              </w:rPr>
            </w:pPr>
            <w:r>
              <w:rPr>
                <w:rFonts w:hint="eastAsia" w:ascii="宋体" w:hAnsi="宋体"/>
                <w:color w:val="auto"/>
                <w:szCs w:val="21"/>
                <w:highlight w:val="none"/>
              </w:rPr>
              <w:t>（二）混凝土模板支撑工程：搭设高度8m及以上，或搭设跨度18m及以上，或施工总荷载（设计值）15kN/m2及以上，或集中线荷载（设计值）20kN/m及以上。</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（三）承重支撑体系：用于钢结构安装等满堂支撑体系，承受单点集中荷载7kN及以上。</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　三、起重吊装及起重机械安装拆卸工程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（一）采用非常规起重设备、方法，且单件起吊重量在100kN及以上的起重吊装工程。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（二）起重量300kN及以上，或搭设总高度200m及以上，或搭设基础标高在200m及以上的起重机械安装和拆卸工程。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四、脚手架工程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（一）搭设高度50m及以上的落地式钢管脚手架工程。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（二）提升高度在150m及以上的附着式升降脚手架工程或附着式升降操作平台工程。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（三）分段架体搭设高度20m及以上的悬挑式脚手架工程。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五、拆除工程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（一）码头、桥梁、高架、烟囱、水塔或拆除中容易引起有毒有害气（液）体或粉尘扩散、易燃易爆事故发生的特殊建、构筑物的拆除工程。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（二）文物保护建筑、优秀历史建筑或历史文化风貌区影响范围内的拆除工程。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六、暗挖工程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采用矿山法、盾构法、顶管法施工的隧道、洞室工程。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七、其它</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（一）施工高度50m及以上的建筑幕墙安装工程。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（二）跨度36m及以上的钢结构安装工程，或跨度60m及以上的网架和索膜结构安装工程。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（三）开挖深度16m及以上的人工挖孔桩工程。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（四）水下作业工程。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（五）重量1000kN及以上的大型结构整体顶升、平移、转体等施工工艺。</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spacing w:line="276" w:lineRule="auto"/>
              <w:jc w:val="left"/>
              <w:rPr>
                <w:rFonts w:ascii="宋体" w:hAnsi="宋体"/>
                <w:color w:val="auto"/>
                <w:szCs w:val="21"/>
                <w:highlight w:val="none"/>
              </w:rPr>
            </w:pPr>
            <w:r>
              <w:rPr>
                <w:rFonts w:hint="eastAsia" w:ascii="宋体" w:hAnsi="宋体"/>
                <w:color w:val="auto"/>
                <w:szCs w:val="21"/>
                <w:highlight w:val="none"/>
              </w:rPr>
              <w:t>（六）采用新技术、新工艺、新材料、新设备可能影响工程施工安全，尚无国家、行业及地方技术标准的分部分项工程。</w:t>
            </w:r>
          </w:p>
        </w:tc>
        <w:tc>
          <w:tcPr>
            <w:tcW w:w="1931" w:type="dxa"/>
            <w:vAlign w:val="center"/>
          </w:tcPr>
          <w:p>
            <w:pPr>
              <w:spacing w:line="276" w:lineRule="auto"/>
              <w:jc w:val="center"/>
              <w:rPr>
                <w:rFonts w:ascii="宋体" w:hAnsi="宋体"/>
                <w:color w:val="auto"/>
                <w:szCs w:val="21"/>
                <w:highlight w:val="none"/>
              </w:rPr>
            </w:pPr>
          </w:p>
        </w:tc>
        <w:tc>
          <w:tcPr>
            <w:tcW w:w="1931"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73" w:type="dxa"/>
            <w:vAlign w:val="center"/>
          </w:tcPr>
          <w:p>
            <w:pPr>
              <w:spacing w:line="276" w:lineRule="auto"/>
              <w:jc w:val="center"/>
              <w:rPr>
                <w:rFonts w:ascii="宋体" w:hAnsi="宋体"/>
                <w:color w:val="auto"/>
                <w:szCs w:val="21"/>
                <w:highlight w:val="none"/>
              </w:rPr>
            </w:pPr>
          </w:p>
        </w:tc>
      </w:tr>
    </w:tbl>
    <w:p>
      <w:pPr>
        <w:spacing w:line="360" w:lineRule="auto"/>
        <w:ind w:firstLine="3000" w:firstLineChars="1250"/>
        <w:rPr>
          <w:rFonts w:ascii="宋体" w:hAnsi="宋体" w:cs="宋体"/>
          <w:color w:val="auto"/>
          <w:sz w:val="24"/>
          <w:szCs w:val="20"/>
          <w:highlight w:val="none"/>
        </w:rPr>
      </w:pPr>
    </w:p>
    <w:p>
      <w:pPr>
        <w:spacing w:line="360" w:lineRule="auto"/>
        <w:jc w:val="center"/>
        <w:rPr>
          <w:rFonts w:ascii="宋体" w:hAnsi="宋体" w:cs="宋体"/>
          <w:color w:val="auto"/>
          <w:sz w:val="24"/>
          <w:szCs w:val="20"/>
          <w:highlight w:val="none"/>
          <w:u w:val="single"/>
        </w:rPr>
      </w:pPr>
      <w:r>
        <w:rPr>
          <w:rFonts w:hint="eastAsia" w:ascii="宋体" w:hAnsi="宋体" w:cs="宋体"/>
          <w:color w:val="auto"/>
          <w:sz w:val="24"/>
          <w:szCs w:val="20"/>
          <w:highlight w:val="none"/>
        </w:rPr>
        <w:t xml:space="preserve">                        投标人名称（盖法人公章）：</w:t>
      </w:r>
    </w:p>
    <w:p>
      <w:pPr>
        <w:spacing w:line="360" w:lineRule="auto"/>
        <w:jc w:val="center"/>
        <w:rPr>
          <w:rFonts w:ascii="宋体" w:hAnsi="宋体" w:cs="宋体"/>
          <w:color w:val="auto"/>
          <w:sz w:val="24"/>
          <w:szCs w:val="20"/>
          <w:highlight w:val="none"/>
          <w:u w:val="single"/>
        </w:rPr>
      </w:pPr>
      <w:r>
        <w:rPr>
          <w:rFonts w:hint="eastAsia" w:ascii="宋体" w:hAnsi="宋体" w:cs="宋体"/>
          <w:color w:val="auto"/>
          <w:sz w:val="24"/>
          <w:szCs w:val="20"/>
          <w:highlight w:val="none"/>
        </w:rPr>
        <w:t xml:space="preserve">                                  法定代表人或被授权人（签字或盖章）：</w:t>
      </w:r>
    </w:p>
    <w:p>
      <w:pPr>
        <w:spacing w:line="360" w:lineRule="auto"/>
        <w:jc w:val="center"/>
        <w:rPr>
          <w:color w:val="auto"/>
          <w:highlight w:val="none"/>
        </w:rPr>
      </w:pPr>
      <w:r>
        <w:rPr>
          <w:rFonts w:hint="eastAsia" w:ascii="宋体" w:hAnsi="宋体" w:cs="宋体"/>
          <w:color w:val="auto"/>
          <w:sz w:val="24"/>
          <w:szCs w:val="20"/>
          <w:highlight w:val="none"/>
        </w:rPr>
        <w:t xml:space="preserve">                       日  期：   年   月   日</w:t>
      </w:r>
    </w:p>
    <w:p>
      <w:pPr>
        <w:spacing w:line="360" w:lineRule="auto"/>
        <w:jc w:val="center"/>
        <w:rPr>
          <w:b/>
          <w:color w:val="auto"/>
          <w:highlight w:val="none"/>
        </w:rPr>
      </w:pPr>
    </w:p>
    <w:p>
      <w:pPr>
        <w:ind w:firstLine="420"/>
        <w:rPr>
          <w:color w:val="auto"/>
          <w:kern w:val="0"/>
          <w:sz w:val="20"/>
          <w:szCs w:val="20"/>
          <w:highlight w:val="none"/>
        </w:rPr>
      </w:pPr>
      <w:r>
        <w:rPr>
          <w:color w:val="auto"/>
          <w:kern w:val="0"/>
          <w:sz w:val="20"/>
          <w:szCs w:val="20"/>
          <w:highlight w:val="none"/>
        </w:rPr>
        <w:br w:type="page"/>
      </w:r>
    </w:p>
    <w:p>
      <w:pPr>
        <w:widowControl/>
        <w:topLinePunct/>
        <w:adjustRightInd w:val="0"/>
        <w:snapToGrid w:val="0"/>
        <w:spacing w:after="200"/>
        <w:jc w:val="left"/>
        <w:outlineLvl w:val="1"/>
        <w:rPr>
          <w:rFonts w:ascii="宋体" w:hAnsi="宋体"/>
          <w:b/>
          <w:color w:val="auto"/>
          <w:sz w:val="28"/>
          <w:highlight w:val="none"/>
        </w:rPr>
      </w:pPr>
      <w:bookmarkStart w:id="227" w:name="_Toc5339"/>
      <w:bookmarkStart w:id="228" w:name="_Toc62056047"/>
      <w:bookmarkStart w:id="229" w:name="_Toc504722518"/>
      <w:bookmarkStart w:id="230" w:name="_Toc30074"/>
      <w:bookmarkStart w:id="231" w:name="_Toc1507"/>
      <w:r>
        <w:rPr>
          <w:rFonts w:hint="eastAsia" w:ascii="宋体" w:hAnsi="宋体"/>
          <w:b/>
          <w:color w:val="auto"/>
          <w:sz w:val="28"/>
          <w:highlight w:val="none"/>
        </w:rPr>
        <w:t>二、经济标投标文件格式</w:t>
      </w:r>
      <w:bookmarkEnd w:id="227"/>
      <w:bookmarkEnd w:id="228"/>
      <w:bookmarkEnd w:id="229"/>
      <w:bookmarkEnd w:id="230"/>
      <w:bookmarkEnd w:id="231"/>
    </w:p>
    <w:p>
      <w:pPr>
        <w:widowControl/>
        <w:topLinePunct/>
        <w:adjustRightInd w:val="0"/>
        <w:snapToGrid w:val="0"/>
        <w:spacing w:after="200"/>
        <w:jc w:val="left"/>
        <w:outlineLvl w:val="2"/>
        <w:rPr>
          <w:rFonts w:ascii="宋体" w:hAnsi="宋体"/>
          <w:color w:val="auto"/>
          <w:spacing w:val="4"/>
          <w:kern w:val="0"/>
          <w:sz w:val="24"/>
          <w:szCs w:val="24"/>
          <w:highlight w:val="none"/>
        </w:rPr>
      </w:pPr>
      <w:bookmarkStart w:id="232" w:name="_Toc4489953"/>
      <w:bookmarkStart w:id="233" w:name="_Toc22912"/>
      <w:bookmarkStart w:id="234" w:name="_Toc29476922"/>
      <w:bookmarkStart w:id="235" w:name="_Toc25804"/>
      <w:bookmarkStart w:id="236" w:name="_Toc62056048"/>
      <w:bookmarkStart w:id="237" w:name="_Toc504722519"/>
      <w:bookmarkStart w:id="238" w:name="_Toc9441"/>
      <w:r>
        <w:rPr>
          <w:rFonts w:hint="eastAsia" w:ascii="宋体" w:hAnsi="宋体"/>
          <w:color w:val="auto"/>
          <w:spacing w:val="4"/>
          <w:kern w:val="0"/>
          <w:sz w:val="24"/>
          <w:szCs w:val="24"/>
          <w:highlight w:val="none"/>
        </w:rPr>
        <w:t>格式一：经济标封面</w:t>
      </w:r>
      <w:bookmarkEnd w:id="232"/>
      <w:bookmarkEnd w:id="233"/>
      <w:bookmarkEnd w:id="234"/>
      <w:bookmarkEnd w:id="235"/>
      <w:bookmarkEnd w:id="236"/>
      <w:bookmarkEnd w:id="237"/>
      <w:bookmarkEnd w:id="238"/>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jc w:val="center"/>
        <w:rPr>
          <w:rFonts w:ascii="宋体" w:hAnsi="宋体"/>
          <w:color w:val="auto"/>
          <w:spacing w:val="4"/>
          <w:kern w:val="0"/>
          <w:sz w:val="36"/>
          <w:szCs w:val="36"/>
          <w:highlight w:val="none"/>
          <w:u w:val="single"/>
        </w:rPr>
      </w:pPr>
      <w:r>
        <w:rPr>
          <w:rFonts w:hint="eastAsia" w:ascii="宋体" w:hAnsi="宋体"/>
          <w:color w:val="auto"/>
          <w:spacing w:val="4"/>
          <w:kern w:val="0"/>
          <w:sz w:val="36"/>
          <w:szCs w:val="36"/>
          <w:highlight w:val="none"/>
          <w:u w:val="single"/>
        </w:rPr>
        <w:t xml:space="preserve">[工程名称] </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jc w:val="center"/>
        <w:rPr>
          <w:rFonts w:ascii="宋体" w:hAnsi="宋体"/>
          <w:color w:val="auto"/>
          <w:spacing w:val="4"/>
          <w:kern w:val="0"/>
          <w:sz w:val="84"/>
          <w:szCs w:val="84"/>
          <w:highlight w:val="none"/>
        </w:rPr>
      </w:pPr>
      <w:r>
        <w:rPr>
          <w:rFonts w:hint="eastAsia" w:ascii="宋体" w:hAnsi="宋体"/>
          <w:color w:val="auto"/>
          <w:spacing w:val="4"/>
          <w:kern w:val="0"/>
          <w:sz w:val="84"/>
          <w:szCs w:val="84"/>
          <w:highlight w:val="none"/>
        </w:rPr>
        <w:t>投标文件</w:t>
      </w:r>
    </w:p>
    <w:p>
      <w:pPr>
        <w:widowControl/>
        <w:topLinePunct/>
        <w:adjustRightInd w:val="0"/>
        <w:snapToGrid w:val="0"/>
        <w:spacing w:after="200" w:line="360" w:lineRule="auto"/>
        <w:jc w:val="center"/>
        <w:rPr>
          <w:rFonts w:ascii="宋体" w:hAnsi="宋体"/>
          <w:color w:val="auto"/>
          <w:spacing w:val="4"/>
          <w:kern w:val="0"/>
          <w:sz w:val="36"/>
          <w:szCs w:val="36"/>
          <w:highlight w:val="none"/>
        </w:rPr>
      </w:pPr>
      <w:r>
        <w:rPr>
          <w:rFonts w:hint="eastAsia" w:ascii="宋体" w:hAnsi="宋体"/>
          <w:color w:val="auto"/>
          <w:spacing w:val="4"/>
          <w:kern w:val="0"/>
          <w:sz w:val="36"/>
          <w:szCs w:val="36"/>
          <w:highlight w:val="none"/>
        </w:rPr>
        <w:t>第二册 （经济标书）</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 xml:space="preserve">   </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投标人：</w:t>
      </w:r>
      <w:bookmarkStart w:id="239" w:name="_Toc318924517"/>
      <w:bookmarkStart w:id="240" w:name="_Toc163337643"/>
      <w:bookmarkStart w:id="241" w:name="_Toc337720111"/>
      <w:bookmarkStart w:id="242" w:name="_Toc226209025"/>
      <w:bookmarkStart w:id="243" w:name="_Toc239216052"/>
      <w:bookmarkStart w:id="244" w:name="_Toc239311767"/>
      <w:bookmarkStart w:id="245" w:name="_Toc352240543"/>
      <w:bookmarkStart w:id="246" w:name="_Toc352623441"/>
      <w:bookmarkStart w:id="247" w:name="_Toc395261116"/>
      <w:bookmarkStart w:id="248" w:name="_Toc484958710"/>
      <w:bookmarkStart w:id="249" w:name="_Toc369536788"/>
      <w:bookmarkStart w:id="250" w:name="_Toc358370596"/>
      <w:bookmarkStart w:id="251" w:name="_Toc449308436"/>
      <w:bookmarkStart w:id="252" w:name="_Toc464131240"/>
      <w:r>
        <w:rPr>
          <w:rFonts w:hint="eastAsia" w:ascii="宋体" w:hAnsi="宋体"/>
          <w:color w:val="auto"/>
          <w:spacing w:val="4"/>
          <w:kern w:val="0"/>
          <w:sz w:val="30"/>
          <w:szCs w:val="30"/>
          <w:highlight w:val="none"/>
          <w:u w:val="single"/>
        </w:rPr>
        <w:t xml:space="preserve">       （填写投标人单位</w:t>
      </w:r>
      <w:bookmarkEnd w:id="239"/>
      <w:bookmarkEnd w:id="240"/>
      <w:bookmarkEnd w:id="241"/>
      <w:bookmarkEnd w:id="242"/>
      <w:bookmarkEnd w:id="243"/>
      <w:bookmarkEnd w:id="244"/>
      <w:r>
        <w:rPr>
          <w:rFonts w:hint="eastAsia" w:ascii="宋体" w:hAnsi="宋体"/>
          <w:color w:val="auto"/>
          <w:spacing w:val="4"/>
          <w:kern w:val="0"/>
          <w:sz w:val="30"/>
          <w:szCs w:val="30"/>
          <w:highlight w:val="none"/>
          <w:u w:val="single"/>
        </w:rPr>
        <w:t xml:space="preserve">名称）  </w:t>
      </w:r>
      <w:bookmarkEnd w:id="245"/>
      <w:bookmarkEnd w:id="246"/>
      <w:bookmarkEnd w:id="247"/>
      <w:bookmarkEnd w:id="248"/>
      <w:bookmarkEnd w:id="249"/>
      <w:bookmarkEnd w:id="250"/>
      <w:bookmarkEnd w:id="251"/>
      <w:bookmarkEnd w:id="252"/>
      <w:r>
        <w:rPr>
          <w:rFonts w:hint="eastAsia" w:ascii="宋体" w:hAnsi="宋体"/>
          <w:color w:val="auto"/>
          <w:spacing w:val="4"/>
          <w:kern w:val="0"/>
          <w:sz w:val="30"/>
          <w:szCs w:val="30"/>
          <w:highlight w:val="none"/>
          <w:u w:val="single"/>
        </w:rPr>
        <w:t xml:space="preserve">     （盖章）</w:t>
      </w:r>
    </w:p>
    <w:p>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p>
    <w:p>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法定代表人或</w:t>
      </w:r>
    </w:p>
    <w:p>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其委托代理人：</w:t>
      </w:r>
      <w:r>
        <w:rPr>
          <w:rFonts w:hint="eastAsia" w:ascii="宋体" w:hAnsi="宋体"/>
          <w:color w:val="auto"/>
          <w:spacing w:val="4"/>
          <w:kern w:val="0"/>
          <w:sz w:val="30"/>
          <w:szCs w:val="30"/>
          <w:highlight w:val="none"/>
          <w:u w:val="single"/>
        </w:rPr>
        <w:t xml:space="preserve">                       （签字或盖章）</w:t>
      </w:r>
    </w:p>
    <w:p>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日  期：</w:t>
      </w:r>
      <w:r>
        <w:rPr>
          <w:rFonts w:hint="eastAsia" w:ascii="宋体" w:hAnsi="宋体"/>
          <w:color w:val="auto"/>
          <w:spacing w:val="4"/>
          <w:kern w:val="0"/>
          <w:sz w:val="30"/>
          <w:szCs w:val="30"/>
          <w:highlight w:val="none"/>
          <w:u w:val="single"/>
        </w:rPr>
        <w:t xml:space="preserve">                                        </w:t>
      </w:r>
      <w:r>
        <w:rPr>
          <w:rFonts w:ascii="宋体" w:hAnsi="宋体"/>
          <w:color w:val="auto"/>
          <w:spacing w:val="4"/>
          <w:kern w:val="0"/>
          <w:sz w:val="30"/>
          <w:szCs w:val="30"/>
          <w:highlight w:val="none"/>
        </w:rPr>
        <w:t xml:space="preserve"> </w:t>
      </w:r>
    </w:p>
    <w:p>
      <w:pPr>
        <w:widowControl/>
        <w:topLinePunct/>
        <w:adjustRightInd w:val="0"/>
        <w:snapToGrid w:val="0"/>
        <w:spacing w:after="200"/>
        <w:jc w:val="left"/>
        <w:outlineLvl w:val="2"/>
        <w:rPr>
          <w:rFonts w:ascii="黑体" w:hAnsi="宋体" w:eastAsia="黑体"/>
          <w:b/>
          <w:color w:val="auto"/>
          <w:spacing w:val="4"/>
          <w:kern w:val="0"/>
          <w:sz w:val="24"/>
          <w:szCs w:val="24"/>
          <w:highlight w:val="none"/>
        </w:rPr>
      </w:pPr>
      <w:r>
        <w:rPr>
          <w:rFonts w:ascii="宋体" w:hAnsi="宋体"/>
          <w:color w:val="auto"/>
          <w:spacing w:val="4"/>
          <w:kern w:val="0"/>
          <w:sz w:val="24"/>
          <w:szCs w:val="24"/>
          <w:highlight w:val="none"/>
        </w:rPr>
        <w:br w:type="page"/>
      </w:r>
      <w:bookmarkStart w:id="253" w:name="_Toc62056049"/>
      <w:bookmarkStart w:id="254" w:name="_Toc4489954"/>
      <w:bookmarkStart w:id="255" w:name="_Toc26939"/>
      <w:bookmarkStart w:id="256" w:name="_Toc29476923"/>
      <w:bookmarkStart w:id="257" w:name="_Toc15194"/>
      <w:r>
        <w:rPr>
          <w:rFonts w:hint="eastAsia" w:ascii="宋体" w:hAnsi="宋体"/>
          <w:color w:val="auto"/>
          <w:spacing w:val="4"/>
          <w:kern w:val="0"/>
          <w:sz w:val="24"/>
          <w:szCs w:val="24"/>
          <w:highlight w:val="none"/>
        </w:rPr>
        <w:t>格式二</w:t>
      </w:r>
      <w:bookmarkStart w:id="258" w:name="_Toc29524"/>
      <w:bookmarkStart w:id="259" w:name="_Toc504722521"/>
      <w:r>
        <w:rPr>
          <w:rFonts w:hint="eastAsia" w:ascii="宋体" w:hAnsi="宋体"/>
          <w:color w:val="auto"/>
          <w:spacing w:val="4"/>
          <w:kern w:val="0"/>
          <w:sz w:val="24"/>
          <w:szCs w:val="24"/>
          <w:highlight w:val="none"/>
        </w:rPr>
        <w:t>：工程量清单计价表</w:t>
      </w:r>
      <w:bookmarkEnd w:id="253"/>
      <w:bookmarkEnd w:id="254"/>
      <w:bookmarkEnd w:id="255"/>
      <w:bookmarkEnd w:id="256"/>
      <w:bookmarkEnd w:id="257"/>
      <w:bookmarkEnd w:id="258"/>
      <w:bookmarkEnd w:id="259"/>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617"/>
        <w:jc w:val="center"/>
        <w:rPr>
          <w:rFonts w:ascii="宋体" w:hAnsi="宋体"/>
          <w:color w:val="auto"/>
          <w:spacing w:val="4"/>
          <w:kern w:val="0"/>
          <w:sz w:val="36"/>
          <w:szCs w:val="36"/>
          <w:highlight w:val="none"/>
        </w:rPr>
      </w:pPr>
      <w:r>
        <w:rPr>
          <w:rFonts w:hint="eastAsia" w:ascii="宋体" w:hAnsi="宋体"/>
          <w:color w:val="auto"/>
          <w:spacing w:val="4"/>
          <w:kern w:val="0"/>
          <w:sz w:val="36"/>
          <w:szCs w:val="36"/>
          <w:highlight w:val="none"/>
        </w:rPr>
        <w:t>工程量清单计价表</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tabs>
          <w:tab w:val="left" w:pos="720"/>
        </w:tabs>
        <w:snapToGrid w:val="0"/>
        <w:spacing w:line="360" w:lineRule="auto"/>
        <w:jc w:val="center"/>
        <w:rPr>
          <w:rFonts w:ascii="宋体" w:hAnsi="宋体"/>
          <w:color w:val="auto"/>
          <w:highlight w:val="none"/>
        </w:rPr>
      </w:pPr>
      <w:r>
        <w:rPr>
          <w:rFonts w:hint="eastAsia" w:ascii="宋体" w:hAnsi="宋体"/>
          <w:color w:val="auto"/>
          <w:highlight w:val="none"/>
        </w:rPr>
        <w:t>本部分内容详见招标文件第七章工程量清单。</w:t>
      </w:r>
    </w:p>
    <w:p>
      <w:pPr>
        <w:tabs>
          <w:tab w:val="left" w:pos="720"/>
        </w:tabs>
        <w:snapToGrid w:val="0"/>
        <w:spacing w:line="360" w:lineRule="auto"/>
        <w:outlineLvl w:val="2"/>
        <w:rPr>
          <w:rFonts w:ascii="宋体" w:hAnsi="宋体"/>
          <w:snapToGrid w:val="0"/>
          <w:color w:val="auto"/>
          <w:spacing w:val="4"/>
          <w:kern w:val="0"/>
          <w:sz w:val="24"/>
          <w:szCs w:val="24"/>
          <w:highlight w:val="none"/>
        </w:rPr>
      </w:pPr>
      <w:r>
        <w:rPr>
          <w:color w:val="auto"/>
          <w:highlight w:val="none"/>
        </w:rPr>
        <w:br w:type="page"/>
      </w:r>
      <w:bookmarkStart w:id="260" w:name="_Toc7833"/>
      <w:bookmarkStart w:id="261" w:name="_Toc2192"/>
      <w:bookmarkStart w:id="262" w:name="_Toc62056050"/>
      <w:r>
        <w:rPr>
          <w:rFonts w:hint="eastAsia" w:ascii="宋体" w:hAnsi="宋体"/>
          <w:snapToGrid w:val="0"/>
          <w:color w:val="auto"/>
          <w:spacing w:val="4"/>
          <w:kern w:val="0"/>
          <w:sz w:val="24"/>
          <w:szCs w:val="24"/>
          <w:highlight w:val="none"/>
        </w:rPr>
        <w:t>格式三：</w:t>
      </w:r>
      <w:r>
        <w:rPr>
          <w:rFonts w:hint="eastAsia"/>
          <w:color w:val="auto"/>
          <w:sz w:val="24"/>
          <w:szCs w:val="24"/>
          <w:highlight w:val="none"/>
        </w:rPr>
        <w:t>参与编制经济标投标文件人员名单</w:t>
      </w:r>
      <w:bookmarkEnd w:id="260"/>
      <w:bookmarkEnd w:id="261"/>
      <w:bookmarkEnd w:id="262"/>
    </w:p>
    <w:p>
      <w:pPr>
        <w:tabs>
          <w:tab w:val="left" w:pos="720"/>
        </w:tabs>
        <w:snapToGrid w:val="0"/>
        <w:spacing w:line="360" w:lineRule="auto"/>
        <w:jc w:val="center"/>
        <w:rPr>
          <w:b/>
          <w:color w:val="auto"/>
          <w:szCs w:val="21"/>
          <w:highlight w:val="none"/>
        </w:rPr>
      </w:pPr>
      <w:r>
        <w:rPr>
          <w:rFonts w:hint="eastAsia"/>
          <w:b/>
          <w:color w:val="auto"/>
          <w:szCs w:val="21"/>
          <w:highlight w:val="none"/>
        </w:rPr>
        <w:t>参与编制经济标投标文件人员名单</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spacing w:line="360" w:lineRule="auto"/>
        <w:ind w:left="-2" w:leftChars="-1" w:firstLine="350" w:firstLineChars="175"/>
        <w:jc w:val="left"/>
        <w:rPr>
          <w:color w:val="auto"/>
          <w:kern w:val="0"/>
          <w:sz w:val="20"/>
          <w:szCs w:val="21"/>
          <w:highlight w:val="none"/>
        </w:rPr>
      </w:pPr>
      <w:r>
        <w:rPr>
          <w:rFonts w:hint="eastAsia"/>
          <w:color w:val="auto"/>
          <w:kern w:val="0"/>
          <w:sz w:val="20"/>
          <w:szCs w:val="21"/>
          <w:highlight w:val="none"/>
        </w:rPr>
        <w:t>注：参与编制经济标投标文件所有人员名单应包括编制各种专业工程量清单投标报价、负责清样校对、负责打印及复印等所有人员在内的人员名单。</w:t>
      </w:r>
    </w:p>
    <w:p>
      <w:pPr>
        <w:spacing w:line="360" w:lineRule="auto"/>
        <w:ind w:left="-2" w:leftChars="-1" w:firstLine="420" w:firstLineChars="175"/>
        <w:jc w:val="center"/>
        <w:rPr>
          <w:color w:val="auto"/>
          <w:kern w:val="0"/>
          <w:sz w:val="24"/>
          <w:szCs w:val="24"/>
          <w:highlight w:val="none"/>
        </w:rPr>
      </w:pPr>
    </w:p>
    <w:p>
      <w:pPr>
        <w:autoSpaceDE w:val="0"/>
        <w:autoSpaceDN w:val="0"/>
        <w:adjustRightInd w:val="0"/>
        <w:outlineLvl w:val="2"/>
        <w:rPr>
          <w:color w:val="auto"/>
          <w:szCs w:val="21"/>
          <w:highlight w:val="none"/>
        </w:rPr>
      </w:pPr>
      <w:r>
        <w:rPr>
          <w:color w:val="auto"/>
          <w:szCs w:val="21"/>
          <w:highlight w:val="none"/>
        </w:rPr>
        <w:br w:type="page"/>
      </w:r>
      <w:bookmarkStart w:id="263" w:name="_Toc6185"/>
      <w:bookmarkStart w:id="264" w:name="_Toc13054"/>
      <w:bookmarkStart w:id="265" w:name="_Toc62056051"/>
      <w:r>
        <w:rPr>
          <w:rFonts w:hint="eastAsia" w:ascii="宋体" w:hAnsi="宋体"/>
          <w:snapToGrid w:val="0"/>
          <w:color w:val="auto"/>
          <w:spacing w:val="4"/>
          <w:kern w:val="0"/>
          <w:sz w:val="24"/>
          <w:szCs w:val="24"/>
          <w:highlight w:val="none"/>
        </w:rPr>
        <w:t>格式四：对投标文件编制的承诺</w:t>
      </w:r>
      <w:bookmarkEnd w:id="263"/>
      <w:bookmarkEnd w:id="264"/>
      <w:bookmarkEnd w:id="265"/>
    </w:p>
    <w:p>
      <w:pPr>
        <w:spacing w:line="360" w:lineRule="auto"/>
        <w:jc w:val="center"/>
        <w:rPr>
          <w:color w:val="auto"/>
          <w:kern w:val="0"/>
          <w:sz w:val="32"/>
          <w:szCs w:val="32"/>
          <w:highlight w:val="none"/>
        </w:rPr>
      </w:pPr>
      <w:r>
        <w:rPr>
          <w:rFonts w:hint="eastAsia"/>
          <w:b/>
          <w:color w:val="auto"/>
          <w:kern w:val="0"/>
          <w:sz w:val="32"/>
          <w:szCs w:val="32"/>
          <w:highlight w:val="none"/>
        </w:rPr>
        <w:t>对投标文件编制的承诺</w:t>
      </w:r>
    </w:p>
    <w:p>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本公司授权</w:t>
      </w:r>
      <w:r>
        <w:rPr>
          <w:rFonts w:hint="eastAsia" w:ascii="宋体" w:hAnsi="宋体"/>
          <w:color w:val="auto"/>
          <w:kern w:val="0"/>
          <w:sz w:val="24"/>
          <w:szCs w:val="24"/>
          <w:highlight w:val="none"/>
          <w:u w:val="single"/>
        </w:rPr>
        <w:t xml:space="preserve">         （身份证号：               ）</w:t>
      </w:r>
      <w:r>
        <w:rPr>
          <w:rFonts w:hint="eastAsia" w:ascii="宋体" w:hAnsi="宋体"/>
          <w:color w:val="auto"/>
          <w:kern w:val="0"/>
          <w:sz w:val="24"/>
          <w:szCs w:val="24"/>
          <w:highlight w:val="none"/>
        </w:rPr>
        <w:t>负责对投标文件的编制及内容进行解释、说明，并承诺以下事项：</w:t>
      </w:r>
    </w:p>
    <w:p>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1.被授权人清楚投标文件编制的具体情况，包括技术方案文件、工程量清单、以及投标文件的加密打包的理解；</w:t>
      </w:r>
    </w:p>
    <w:p>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2.在本项目开标至评标结束前，努力确保被授权人在项目评标所在地附近；</w:t>
      </w:r>
    </w:p>
    <w:p>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3.从评标委员会要求澄清起二小时内，被授权人应如实地书面澄清。</w:t>
      </w:r>
    </w:p>
    <w:p>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 xml:space="preserve">如由于未遵守上述承诺内容之一导致无法进行澄清的，我公司认可和接受评标委员会作出的评审结论。                                 </w:t>
      </w:r>
    </w:p>
    <w:p>
      <w:pPr>
        <w:spacing w:line="360" w:lineRule="auto"/>
        <w:ind w:firstLine="360" w:firstLineChars="150"/>
        <w:rPr>
          <w:rFonts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附件：《投标文件编制情况》</w:t>
      </w:r>
    </w:p>
    <w:p>
      <w:pPr>
        <w:spacing w:line="360" w:lineRule="auto"/>
        <w:ind w:right="90" w:firstLine="3240" w:firstLineChars="135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投标人名称（盖法人公章）：</w:t>
      </w:r>
      <w:r>
        <w:rPr>
          <w:rFonts w:hint="eastAsia" w:ascii="宋体" w:hAnsi="宋体"/>
          <w:color w:val="auto"/>
          <w:sz w:val="24"/>
          <w:szCs w:val="24"/>
          <w:highlight w:val="none"/>
          <w:u w:val="single"/>
        </w:rPr>
        <w:t xml:space="preserve">                  </w:t>
      </w:r>
    </w:p>
    <w:p>
      <w:pPr>
        <w:spacing w:line="360" w:lineRule="auto"/>
        <w:ind w:firstLine="2160" w:firstLineChars="9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r>
        <w:rPr>
          <w:rFonts w:hint="eastAsia" w:ascii="宋体" w:hAnsi="宋体"/>
          <w:color w:val="auto"/>
          <w:sz w:val="24"/>
          <w:szCs w:val="24"/>
          <w:highlight w:val="none"/>
          <w:u w:val="single"/>
        </w:rPr>
        <w:t xml:space="preserve">                  </w:t>
      </w:r>
    </w:p>
    <w:p>
      <w:pPr>
        <w:spacing w:line="360" w:lineRule="auto"/>
        <w:ind w:firstLine="4440" w:firstLineChars="1850"/>
        <w:jc w:val="center"/>
        <w:rPr>
          <w:color w:val="auto"/>
          <w:sz w:val="24"/>
          <w:szCs w:val="24"/>
          <w:highlight w:val="none"/>
        </w:rPr>
      </w:pPr>
      <w:r>
        <w:rPr>
          <w:rFonts w:hint="eastAsia"/>
          <w:color w:val="auto"/>
          <w:sz w:val="24"/>
          <w:szCs w:val="24"/>
          <w:highlight w:val="none"/>
        </w:rPr>
        <w:t xml:space="preserve"> 日期：      年   月   日 </w:t>
      </w:r>
      <w:r>
        <w:rPr>
          <w:rFonts w:hint="eastAsia"/>
          <w:color w:val="auto"/>
          <w:sz w:val="18"/>
          <w:szCs w:val="18"/>
          <w:highlight w:val="none"/>
        </w:rPr>
        <w:t xml:space="preserve"> </w:t>
      </w:r>
      <w:r>
        <w:rPr>
          <w:rFonts w:hint="eastAsia"/>
          <w:color w:val="auto"/>
          <w:sz w:val="24"/>
          <w:szCs w:val="24"/>
          <w:highlight w:val="none"/>
        </w:rPr>
        <w:t xml:space="preserve">    </w:t>
      </w:r>
    </w:p>
    <w:p>
      <w:pPr>
        <w:spacing w:line="360" w:lineRule="auto"/>
        <w:rPr>
          <w:b/>
          <w:color w:val="auto"/>
          <w:kern w:val="0"/>
          <w:sz w:val="32"/>
          <w:szCs w:val="32"/>
          <w:highlight w:val="none"/>
        </w:rPr>
      </w:pPr>
    </w:p>
    <w:p>
      <w:pPr>
        <w:spacing w:line="360" w:lineRule="auto"/>
        <w:ind w:firstLine="643" w:firstLineChars="200"/>
        <w:jc w:val="center"/>
        <w:rPr>
          <w:color w:val="auto"/>
          <w:kern w:val="0"/>
          <w:sz w:val="18"/>
          <w:szCs w:val="18"/>
          <w:highlight w:val="none"/>
        </w:rPr>
      </w:pPr>
      <w:r>
        <w:rPr>
          <w:rFonts w:hint="eastAsia"/>
          <w:b/>
          <w:color w:val="auto"/>
          <w:kern w:val="0"/>
          <w:sz w:val="32"/>
          <w:szCs w:val="32"/>
          <w:highlight w:val="none"/>
        </w:rPr>
        <w:t>投标文件编制情况</w:t>
      </w:r>
    </w:p>
    <w:p>
      <w:pPr>
        <w:spacing w:line="360" w:lineRule="auto"/>
        <w:ind w:firstLine="480" w:firstLineChars="200"/>
        <w:rPr>
          <w:rFonts w:ascii="宋体" w:hAnsi="宋体"/>
          <w:color w:val="auto"/>
          <w:kern w:val="0"/>
          <w:sz w:val="24"/>
          <w:szCs w:val="24"/>
          <w:highlight w:val="none"/>
          <w:u w:val="single"/>
        </w:rPr>
      </w:pPr>
      <w:r>
        <w:rPr>
          <w:rFonts w:hint="eastAsia" w:ascii="宋体" w:hAnsi="宋体"/>
          <w:color w:val="auto"/>
          <w:kern w:val="0"/>
          <w:sz w:val="24"/>
          <w:szCs w:val="24"/>
          <w:highlight w:val="none"/>
        </w:rPr>
        <w:t>1.投标文件报价编制方式: □自行编制的，编制的负责人：</w:t>
      </w:r>
      <w:r>
        <w:rPr>
          <w:rFonts w:hint="eastAsia" w:ascii="宋体" w:hAnsi="宋体"/>
          <w:color w:val="auto"/>
          <w:kern w:val="0"/>
          <w:sz w:val="24"/>
          <w:szCs w:val="24"/>
          <w:highlight w:val="none"/>
          <w:u w:val="single"/>
        </w:rPr>
        <w:t xml:space="preserve"> （盖造价工程师执业专用章或全国建设工程造价员章，执业单位应与投标人一致） </w:t>
      </w:r>
      <w:r>
        <w:rPr>
          <w:rFonts w:hint="eastAsia" w:ascii="宋体" w:hAnsi="宋体"/>
          <w:color w:val="auto"/>
          <w:kern w:val="0"/>
          <w:sz w:val="24"/>
          <w:szCs w:val="24"/>
          <w:highlight w:val="none"/>
        </w:rPr>
        <w:t>。□委托编制的，受委托单位</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，编制的负责人：</w:t>
      </w:r>
      <w:r>
        <w:rPr>
          <w:rFonts w:hint="eastAsia" w:ascii="宋体" w:hAnsi="宋体"/>
          <w:color w:val="auto"/>
          <w:kern w:val="0"/>
          <w:sz w:val="24"/>
          <w:szCs w:val="24"/>
          <w:highlight w:val="none"/>
          <w:u w:val="single"/>
        </w:rPr>
        <w:t xml:space="preserve"> （盖造价工程师执业专用章或全国建设工程造价员章，执业单位应与受委托单位一致） </w:t>
      </w:r>
      <w:r>
        <w:rPr>
          <w:rFonts w:hint="eastAsia" w:ascii="宋体" w:hAnsi="宋体"/>
          <w:color w:val="auto"/>
          <w:kern w:val="0"/>
          <w:sz w:val="24"/>
          <w:szCs w:val="24"/>
          <w:highlight w:val="none"/>
        </w:rPr>
        <w:t>。</w:t>
      </w:r>
    </w:p>
    <w:p>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2.投标文件加密打包的电脑情况</w:t>
      </w:r>
    </w:p>
    <w:tbl>
      <w:tblPr>
        <w:tblStyle w:val="22"/>
        <w:tblW w:w="8522" w:type="dxa"/>
        <w:tblInd w:w="0" w:type="dxa"/>
        <w:tblLayout w:type="fixed"/>
        <w:tblCellMar>
          <w:top w:w="0" w:type="dxa"/>
          <w:left w:w="108" w:type="dxa"/>
          <w:bottom w:w="0" w:type="dxa"/>
          <w:right w:w="108" w:type="dxa"/>
        </w:tblCellMar>
      </w:tblPr>
      <w:tblGrid>
        <w:gridCol w:w="8522"/>
      </w:tblGrid>
      <w:tr>
        <w:trPr>
          <w:trHeight w:val="2819" w:hRule="atLeast"/>
        </w:trPr>
        <w:tc>
          <w:tcPr>
            <w:tcW w:w="8522" w:type="dxa"/>
          </w:tcPr>
          <w:p>
            <w:pPr>
              <w:spacing w:line="360" w:lineRule="auto"/>
              <w:rPr>
                <w:rFonts w:ascii="宋体" w:hAnsi="宋体"/>
                <w:color w:val="auto"/>
                <w:sz w:val="24"/>
                <w:szCs w:val="24"/>
                <w:highlight w:val="none"/>
              </w:rPr>
            </w:pPr>
            <w:r>
              <w:rPr>
                <w:rFonts w:hint="eastAsia" w:ascii="宋体" w:hAnsi="宋体"/>
                <w:color w:val="auto"/>
                <w:sz w:val="24"/>
                <w:szCs w:val="24"/>
                <w:highlight w:val="none"/>
              </w:rPr>
              <w:t>投标文件加密打包的电脑     自有    □      外包    □     其他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电脑类型</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电脑所属单位</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电脑所在地址   （如××市××区(县) ××街（路）××号××大厦××房）</w:t>
            </w:r>
          </w:p>
        </w:tc>
      </w:tr>
    </w:tbl>
    <w:p>
      <w:pPr>
        <w:tabs>
          <w:tab w:val="left" w:pos="720"/>
        </w:tabs>
        <w:snapToGrid w:val="0"/>
        <w:spacing w:line="360" w:lineRule="auto"/>
        <w:jc w:val="center"/>
        <w:outlineLvl w:val="0"/>
        <w:rPr>
          <w:rFonts w:ascii="Arial" w:hAnsi="Arial"/>
          <w:b/>
          <w:color w:val="auto"/>
          <w:kern w:val="44"/>
          <w:sz w:val="32"/>
          <w:szCs w:val="36"/>
          <w:highlight w:val="none"/>
        </w:rPr>
      </w:pPr>
      <w:bookmarkStart w:id="266" w:name="_Toc2272568"/>
      <w:r>
        <w:rPr>
          <w:rFonts w:hint="eastAsia" w:ascii="Arial" w:hAnsi="Arial"/>
          <w:b/>
          <w:color w:val="auto"/>
          <w:kern w:val="44"/>
          <w:sz w:val="32"/>
          <w:szCs w:val="36"/>
          <w:highlight w:val="none"/>
        </w:rPr>
        <w:br w:type="page"/>
      </w:r>
      <w:bookmarkStart w:id="267" w:name="_Toc31084"/>
      <w:bookmarkStart w:id="268" w:name="_Toc29110"/>
      <w:bookmarkStart w:id="269" w:name="_Toc62056052"/>
      <w:r>
        <w:rPr>
          <w:rFonts w:hint="eastAsia" w:ascii="Arial" w:hAnsi="Arial"/>
          <w:b/>
          <w:color w:val="auto"/>
          <w:kern w:val="44"/>
          <w:sz w:val="32"/>
          <w:szCs w:val="36"/>
          <w:highlight w:val="none"/>
        </w:rPr>
        <w:t>第五章  技术条件（工程建设标准）</w:t>
      </w:r>
      <w:bookmarkEnd w:id="266"/>
      <w:bookmarkEnd w:id="267"/>
      <w:bookmarkEnd w:id="268"/>
      <w:bookmarkEnd w:id="269"/>
    </w:p>
    <w:p>
      <w:pPr>
        <w:spacing w:line="360" w:lineRule="auto"/>
        <w:ind w:firstLine="562" w:firstLineChars="200"/>
        <w:rPr>
          <w:b/>
          <w:color w:val="auto"/>
          <w:sz w:val="28"/>
          <w:szCs w:val="28"/>
          <w:highlight w:val="none"/>
        </w:rPr>
      </w:pPr>
      <w:r>
        <w:rPr>
          <w:rFonts w:hint="eastAsia"/>
          <w:b/>
          <w:color w:val="auto"/>
          <w:sz w:val="28"/>
          <w:szCs w:val="28"/>
          <w:highlight w:val="none"/>
        </w:rPr>
        <w:t>一、项目施工技术要求与施工管理</w:t>
      </w:r>
    </w:p>
    <w:p>
      <w:pPr>
        <w:snapToGrid w:val="0"/>
        <w:spacing w:line="360" w:lineRule="auto"/>
        <w:ind w:firstLine="480" w:firstLineChars="200"/>
        <w:contextualSpacing/>
        <w:rPr>
          <w:rFonts w:ascii="宋体" w:hAnsi="宋体"/>
          <w:color w:val="auto"/>
          <w:sz w:val="24"/>
          <w:szCs w:val="24"/>
          <w:highlight w:val="none"/>
        </w:rPr>
      </w:pPr>
      <w:bookmarkStart w:id="270" w:name="_Toc329467382"/>
      <w:r>
        <w:rPr>
          <w:rFonts w:hint="eastAsia" w:ascii="宋体" w:hAnsi="宋体"/>
          <w:color w:val="auto"/>
          <w:sz w:val="24"/>
          <w:szCs w:val="24"/>
          <w:highlight w:val="none"/>
        </w:rPr>
        <w:t>1.投标人必须对项目情况进行了解，并保证能协调工作场地及现场工作情况，以保证项目顺利进行；</w:t>
      </w:r>
    </w:p>
    <w:bookmarkEnd w:id="270"/>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2.投标人必须严格按照已经确认的响应招标文件所附施工组织设计要点承诺书组织施工，并接受采购人对工程质量、工期、安全、文明施工、环保及工地纪律的监督和管理。</w:t>
      </w:r>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3.投标人在工程施工期间，须严格遵守政府职能部门的各项规章制度，由于管理不善，导致政府职能部门的罚款和停工整改，由其发生的费用与损失由投标人自行承担，且采购人保留暂缓支付工程款的权利，以确保文明施工有效实行。</w:t>
      </w:r>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4.投标人在工程施工期间，必须配备专职安全员，建立健全安全制度。</w:t>
      </w:r>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5.本工程项目的材料、设备、施工须达到现行中华人民共和国以及广东省行业的工程建设标准、规范的要求。</w:t>
      </w:r>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6.投标人在投标文件中必须承诺自行解决工人宿舍用地、食堂与生活设施等场地问题。</w:t>
      </w:r>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8.施工过程中应采取必要的有效措施减少对学校师生等进出人员的生活、工作造成的影响，并确保各方人员及财产的安全，施工区域内由于投标人的责任造成的一切人员的伤亡及财产损失，均由投标人承担由此产生的一切赔偿等后果。</w:t>
      </w:r>
    </w:p>
    <w:p>
      <w:pPr>
        <w:snapToGrid w:val="0"/>
        <w:spacing w:line="360" w:lineRule="auto"/>
        <w:ind w:firstLine="480" w:firstLineChars="200"/>
        <w:contextualSpacing/>
        <w:rPr>
          <w:rFonts w:ascii="宋体" w:hAnsi="宋体"/>
          <w:color w:val="auto"/>
          <w:sz w:val="24"/>
          <w:szCs w:val="24"/>
          <w:highlight w:val="none"/>
        </w:rPr>
      </w:pPr>
      <w:bookmarkStart w:id="271" w:name="_Toc329467383"/>
      <w:r>
        <w:rPr>
          <w:rFonts w:hint="eastAsia" w:ascii="宋体" w:hAnsi="宋体"/>
          <w:color w:val="auto"/>
          <w:sz w:val="24"/>
          <w:szCs w:val="24"/>
          <w:highlight w:val="none"/>
        </w:rPr>
        <w:t>9.安全文明施工：按国家省市安全文明施工规范执行，如因措施不当造成人身安全或工伤死亡事故，一切责任由投标人负责。</w:t>
      </w:r>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10.原建筑物、构筑物等的保护：投标人施工，应采用可行的措施对原有的建筑物、构筑物等进行保护，如由于投标人原因造成原有的建筑物、构筑物等损坏，由投标人负责修复，建筑垃圾必须及时漕运干净。</w:t>
      </w:r>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11.投标人在施工期间应严格遵守国家、省、市有关防为、防爆和施工安全以及文明施，深夜施工、环卫、治安与城管等规定，应建立规章制度和防护、防范措施，并承担由于自身措施不力造.成事故责任和发生的费用；</w:t>
      </w:r>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12.工期要求和规定</w:t>
      </w:r>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12.1工期要求</w:t>
      </w:r>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（1）本项目工期均</w:t>
      </w:r>
      <w:r>
        <w:rPr>
          <w:rFonts w:ascii="宋体" w:hAnsi="宋体"/>
          <w:color w:val="auto"/>
          <w:sz w:val="24"/>
          <w:szCs w:val="24"/>
          <w:highlight w:val="none"/>
        </w:rPr>
        <w:t>90</w:t>
      </w:r>
      <w:r>
        <w:rPr>
          <w:rFonts w:hint="eastAsia" w:ascii="宋体" w:hAnsi="宋体"/>
          <w:color w:val="auto"/>
          <w:sz w:val="24"/>
          <w:szCs w:val="24"/>
          <w:highlight w:val="none"/>
        </w:rPr>
        <w:t>个日历日。具体开工、竣工日期以开工报告及竣工验收报告时间及合同要求为准。</w:t>
      </w:r>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2）投标人根据企业自身实际能力，在施工组织和施工方法合理、可行的前提下，对本工程的工期进行优化，缩短工期。其中雨天、节假日及因施工单位的施工质量不合格或施工工序颠倒造成的返工所耽误的工期，不能顺延。遇不可抗力因素影响，工期可以顺延，要求工程能全部按期完成，按期完成不奖不罚。</w:t>
      </w:r>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12.2工期延误处罚</w:t>
      </w:r>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（1）因招标人原因造成工期延误的，经确认后，工期可相应顺延；若因中标单位的原因造成工期延误的，每延迟一天扣罚合同价款0.5%，罚款合计不超过合同价款5%，结算时扣罚。</w:t>
      </w:r>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2）在工程施工期间，由于投标人原因造成工期延误，当工程实际施工进度比计划施工进度慢5天时，招标人对投标人提出警告，并要求投标人在规定的时间内将工期赶回，赶工产生的费用由中标单位自行承担。若投标人在此期间不能将工期赶回，并被招标人认定不能按要求工期完工，则招标人有权单方终止该项工程的施工合同，并更换施工队伍。投标人工期延误给招标人造成的损失及赶工产生的费用，由投标人承担。</w:t>
      </w:r>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3）由于中标单位原因造成工期延误累计达到3次时（累计15天），招标人有权取消中标单位的总承包资格，并终止承包合同。并由建设行政主管部门根据相关法律、法规对违约的中标单位给予相应的行政和经济处罚。</w:t>
      </w:r>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13.工程变更要求</w:t>
      </w:r>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（1）施工中，如果工程发生现场签证或设计变更，应经招标人确认并按招标人的有关规定办理相关手续，否则不认可。</w:t>
      </w:r>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（2）所有工程变更应经招标人及监理单位核认才有效。</w:t>
      </w:r>
    </w:p>
    <w:p>
      <w:pPr>
        <w:tabs>
          <w:tab w:val="left" w:pos="360"/>
        </w:tabs>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14.投标人应承担的风险</w:t>
      </w:r>
    </w:p>
    <w:p>
      <w:pPr>
        <w:tabs>
          <w:tab w:val="left" w:pos="360"/>
        </w:tabs>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（1）施工期间人工费（工程造价管理机构发布的造价调整除外）、材料（（水泥、钢筋、商品混凝土及其它主材（具体由采购人根据项目特点及主材造价占总造价权重指定）除外））及机械台班价格上涨。</w:t>
      </w:r>
    </w:p>
    <w:p>
      <w:pPr>
        <w:tabs>
          <w:tab w:val="left" w:pos="360"/>
        </w:tabs>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（2）施工期间主材市场价格上涨。</w:t>
      </w:r>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（3）在合同工期内除不可抗力原因外，所有为达到在合同工期内完工所需的各种项目措施和费用。</w:t>
      </w:r>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15.工程竣工资料要求</w:t>
      </w:r>
    </w:p>
    <w:p>
      <w:pPr>
        <w:tabs>
          <w:tab w:val="left" w:pos="7740"/>
        </w:tabs>
        <w:autoSpaceDE w:val="0"/>
        <w:autoSpaceDN w:val="0"/>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（1）档案收集：中标单位应按照城市建设档案管理的有关规定，在工程施工过程中及时做好工程档案的收集、汇总、整理工作。</w:t>
      </w:r>
    </w:p>
    <w:p>
      <w:pPr>
        <w:tabs>
          <w:tab w:val="left" w:pos="7740"/>
        </w:tabs>
        <w:autoSpaceDE w:val="0"/>
        <w:autoSpaceDN w:val="0"/>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2）档案提交：投标人在工程竣工验收后10天内，应向招标人提供符合国家档案部门要求，按规格编制成册的完整的工程竣工图、有关的工程技术档案资料及结算书一式四份（其中原件一份、复印件三份）提交招标人归档，并同时提交有关归档的证明文件。</w:t>
      </w:r>
    </w:p>
    <w:p>
      <w:pPr>
        <w:tabs>
          <w:tab w:val="left" w:pos="7740"/>
        </w:tabs>
        <w:autoSpaceDE w:val="0"/>
        <w:autoSpaceDN w:val="0"/>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16. 保修要求</w:t>
      </w:r>
    </w:p>
    <w:p>
      <w:pPr>
        <w:tabs>
          <w:tab w:val="left" w:pos="7740"/>
        </w:tabs>
        <w:autoSpaceDE w:val="0"/>
        <w:autoSpaceDN w:val="0"/>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（1）工程的保修按中华人民共和国国务院令第279号《建设工程质量管理条例》规定执行。</w:t>
      </w:r>
    </w:p>
    <w:p>
      <w:pPr>
        <w:tabs>
          <w:tab w:val="left" w:pos="7740"/>
        </w:tabs>
        <w:autoSpaceDE w:val="0"/>
        <w:autoSpaceDN w:val="0"/>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（2）投标人在提交竣工验收报告时，应出具质量保修书。质量保修书中应当明确工程的保修范围，保修期限和保修责任等。</w:t>
      </w:r>
    </w:p>
    <w:p>
      <w:pPr>
        <w:tabs>
          <w:tab w:val="left" w:pos="7740"/>
        </w:tabs>
        <w:autoSpaceDE w:val="0"/>
        <w:autoSpaceDN w:val="0"/>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（3）响应时间：接到招标人通知后一天内赶到现场，3天内修复。</w:t>
      </w:r>
    </w:p>
    <w:p>
      <w:pPr>
        <w:tabs>
          <w:tab w:val="left" w:pos="7740"/>
        </w:tabs>
        <w:autoSpaceDE w:val="0"/>
        <w:autoSpaceDN w:val="0"/>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（4）保修期内，投标人负责对其提供的整个项目进行维修和维护，不再收取任何费用，但非投标人责任的人为因素、自然因素（如火灾、雷击等）造成的故障除外。</w:t>
      </w:r>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（5）质保服务方式均为投标人上门维修，即由投标人派员到招标人现场维修，由此产生的一切费用均由投标人承担。</w:t>
      </w:r>
    </w:p>
    <w:p>
      <w:pPr>
        <w:tabs>
          <w:tab w:val="left" w:pos="7740"/>
        </w:tabs>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（6）本工程项目的质量保修金为结算审定价的3%。正常情况下，工程质量保修金在工程竣工验收满2年后15个工作日内无息退回投标人。</w:t>
      </w:r>
    </w:p>
    <w:p>
      <w:pPr>
        <w:tabs>
          <w:tab w:val="left" w:pos="7740"/>
        </w:tabs>
        <w:snapToGrid w:val="0"/>
        <w:spacing w:line="360" w:lineRule="auto"/>
        <w:ind w:firstLine="480" w:firstLineChars="200"/>
        <w:contextualSpacing/>
        <w:rPr>
          <w:rFonts w:ascii="宋体" w:hAnsi="宋体"/>
          <w:color w:val="auto"/>
          <w:sz w:val="24"/>
          <w:szCs w:val="24"/>
          <w:highlight w:val="none"/>
        </w:rPr>
      </w:pPr>
    </w:p>
    <w:p>
      <w:pPr>
        <w:spacing w:before="0" w:after="0" w:line="360" w:lineRule="auto"/>
        <w:ind w:firstLine="480" w:firstLineChars="200"/>
        <w:rPr>
          <w:color w:val="auto"/>
          <w:sz w:val="24"/>
          <w:szCs w:val="24"/>
          <w:highlight w:val="none"/>
        </w:rPr>
      </w:pPr>
      <w:bookmarkStart w:id="272" w:name="_Toc24311"/>
      <w:r>
        <w:rPr>
          <w:rFonts w:hint="eastAsia"/>
          <w:color w:val="auto"/>
          <w:sz w:val="24"/>
          <w:szCs w:val="24"/>
          <w:highlight w:val="none"/>
        </w:rPr>
        <w:t>二、材料及设备供应要求</w:t>
      </w:r>
      <w:bookmarkEnd w:id="272"/>
    </w:p>
    <w:bookmarkEnd w:id="271"/>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1.本工程所承包范围内所需的材料、成品、未成品的采购、运输、保管、质量等责任均由投标人承担，采购人不提供任何材料；</w:t>
      </w:r>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2.采购供应的材料，其名称、品种、型号、规格、质量等，均应符合相关国家标准以及行业标准，并能满足采购人的要求，对不符合要求的材料不得进入施工现场。由于投标人提供的伪劣、假冒等所有不合格材料而导致的损失。事故及一切后果，均由投标人负责并赔偿采购人所有损失，并负责免费更换所有已施工的不合格材料；投标范围之内工程所用之设备，由投标人提供；</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hint="eastAsia"/>
          <w:color w:val="auto"/>
          <w:highlight w:val="none"/>
        </w:rPr>
        <w:t xml:space="preserve"> </w:t>
      </w:r>
      <w:r>
        <w:rPr>
          <w:rFonts w:hint="eastAsia" w:ascii="宋体" w:hAnsi="宋体"/>
          <w:color w:val="auto"/>
          <w:sz w:val="24"/>
          <w:szCs w:val="24"/>
          <w:highlight w:val="none"/>
        </w:rPr>
        <w:t>本项目使用的主要材料如高压柜、变压器、低压柜、电缆等主</w:t>
      </w:r>
      <w:r>
        <w:rPr>
          <w:rFonts w:ascii="宋体" w:hAnsi="宋体"/>
          <w:color w:val="auto"/>
          <w:sz w:val="24"/>
          <w:szCs w:val="24"/>
          <w:highlight w:val="none"/>
        </w:rPr>
        <w:t>要</w:t>
      </w:r>
      <w:r>
        <w:rPr>
          <w:rFonts w:hint="eastAsia" w:ascii="宋体" w:hAnsi="宋体"/>
          <w:color w:val="auto"/>
          <w:sz w:val="24"/>
          <w:szCs w:val="24"/>
          <w:highlight w:val="none"/>
        </w:rPr>
        <w:t>材料提供</w:t>
      </w:r>
      <w:r>
        <w:rPr>
          <w:rFonts w:ascii="宋体" w:hAnsi="宋体"/>
          <w:color w:val="auto"/>
          <w:sz w:val="24"/>
          <w:szCs w:val="24"/>
          <w:highlight w:val="none"/>
        </w:rPr>
        <w:t>了品牌推荐表，</w:t>
      </w:r>
      <w:r>
        <w:rPr>
          <w:rFonts w:hint="eastAsia" w:ascii="宋体" w:hAnsi="宋体"/>
          <w:color w:val="auto"/>
          <w:sz w:val="24"/>
          <w:szCs w:val="24"/>
          <w:highlight w:val="none"/>
        </w:rPr>
        <w:t>具</w:t>
      </w:r>
      <w:r>
        <w:rPr>
          <w:rFonts w:ascii="宋体" w:hAnsi="宋体"/>
          <w:color w:val="auto"/>
          <w:sz w:val="24"/>
          <w:szCs w:val="24"/>
          <w:highlight w:val="none"/>
        </w:rPr>
        <w:t>体详见附件，</w:t>
      </w:r>
      <w:r>
        <w:rPr>
          <w:rFonts w:ascii="宋体" w:hAnsi="宋体"/>
          <w:color w:val="auto"/>
          <w:sz w:val="24"/>
          <w:szCs w:val="24"/>
          <w:highlight w:val="none"/>
          <w:u w:val="none"/>
        </w:rPr>
        <w:t>主要材料</w:t>
      </w:r>
      <w:r>
        <w:rPr>
          <w:rFonts w:hint="eastAsia"/>
          <w:color w:val="auto"/>
          <w:sz w:val="24"/>
          <w:szCs w:val="24"/>
          <w:highlight w:val="none"/>
          <w:u w:val="none"/>
        </w:rPr>
        <w:t>需采用</w:t>
      </w:r>
      <w:r>
        <w:rPr>
          <w:rFonts w:ascii="宋体" w:hAnsi="宋体"/>
          <w:color w:val="auto"/>
          <w:sz w:val="24"/>
          <w:szCs w:val="24"/>
          <w:highlight w:val="none"/>
          <w:u w:val="none"/>
        </w:rPr>
        <w:t>品牌推荐表</w:t>
      </w:r>
      <w:r>
        <w:rPr>
          <w:rFonts w:hint="eastAsia" w:ascii="宋体" w:hAnsi="宋体"/>
          <w:color w:val="auto"/>
          <w:sz w:val="24"/>
          <w:szCs w:val="24"/>
          <w:highlight w:val="none"/>
          <w:u w:val="none"/>
        </w:rPr>
        <w:t>（详见下表）</w:t>
      </w:r>
      <w:r>
        <w:rPr>
          <w:rFonts w:hint="eastAsia"/>
          <w:color w:val="auto"/>
          <w:sz w:val="24"/>
          <w:szCs w:val="24"/>
          <w:highlight w:val="none"/>
          <w:u w:val="none"/>
        </w:rPr>
        <w:t>中的一种。如选用品牌推荐表范围外的材料、设备，</w:t>
      </w:r>
      <w:r>
        <w:rPr>
          <w:rFonts w:hint="eastAsia" w:ascii="宋体" w:hAnsi="宋体"/>
          <w:color w:val="auto"/>
          <w:sz w:val="24"/>
          <w:szCs w:val="24"/>
          <w:highlight w:val="none"/>
        </w:rPr>
        <w:t>需经设计、监理、建设方审核确认后方可使用。如发现货不对板和质量问题的，招标人有权拒用，并由中标单位承担损失。</w:t>
      </w:r>
    </w:p>
    <w:tbl>
      <w:tblPr>
        <w:tblStyle w:val="22"/>
        <w:tblW w:w="8428" w:type="dxa"/>
        <w:tblInd w:w="91" w:type="dxa"/>
        <w:tblLayout w:type="autofit"/>
        <w:tblCellMar>
          <w:top w:w="0" w:type="dxa"/>
          <w:left w:w="108" w:type="dxa"/>
          <w:bottom w:w="0" w:type="dxa"/>
          <w:right w:w="108" w:type="dxa"/>
        </w:tblCellMar>
      </w:tblPr>
      <w:tblGrid>
        <w:gridCol w:w="1107"/>
        <w:gridCol w:w="1564"/>
        <w:gridCol w:w="1439"/>
        <w:gridCol w:w="1439"/>
        <w:gridCol w:w="1439"/>
        <w:gridCol w:w="1440"/>
      </w:tblGrid>
      <w:tr>
        <w:tblPrEx>
          <w:tblCellMar>
            <w:top w:w="0" w:type="dxa"/>
            <w:left w:w="108" w:type="dxa"/>
            <w:bottom w:w="0" w:type="dxa"/>
            <w:right w:w="108" w:type="dxa"/>
          </w:tblCellMar>
        </w:tblPrEx>
        <w:trPr>
          <w:trHeight w:val="825" w:hRule="atLeast"/>
        </w:trPr>
        <w:tc>
          <w:tcPr>
            <w:tcW w:w="8428" w:type="dxa"/>
            <w:gridSpan w:val="6"/>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auto"/>
                <w:kern w:val="0"/>
                <w:sz w:val="32"/>
                <w:szCs w:val="32"/>
                <w:highlight w:val="none"/>
                <w:lang w:bidi="ar"/>
              </w:rPr>
            </w:pPr>
            <w:r>
              <w:rPr>
                <w:rFonts w:hint="eastAsia" w:ascii="宋体" w:hAnsi="宋体" w:cs="宋体"/>
                <w:b/>
                <w:bCs/>
                <w:color w:val="auto"/>
                <w:kern w:val="0"/>
                <w:sz w:val="32"/>
                <w:szCs w:val="32"/>
                <w:highlight w:val="none"/>
                <w:lang w:bidi="ar"/>
              </w:rPr>
              <w:t>主要材料备选品牌表</w:t>
            </w:r>
          </w:p>
        </w:tc>
      </w:tr>
      <w:tr>
        <w:tblPrEx>
          <w:tblCellMar>
            <w:top w:w="0" w:type="dxa"/>
            <w:left w:w="108" w:type="dxa"/>
            <w:bottom w:w="0" w:type="dxa"/>
            <w:right w:w="108" w:type="dxa"/>
          </w:tblCellMar>
        </w:tblPrEx>
        <w:trPr>
          <w:trHeight w:val="572" w:hRule="atLeast"/>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序号</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名称</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品牌一</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品牌二</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品牌三</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2"/>
                <w:highlight w:val="none"/>
                <w:lang w:bidi="ar"/>
              </w:rPr>
            </w:pPr>
            <w:r>
              <w:rPr>
                <w:rFonts w:hint="eastAsia" w:ascii="宋体" w:hAnsi="宋体" w:cs="宋体"/>
                <w:color w:val="auto"/>
                <w:kern w:val="0"/>
                <w:sz w:val="22"/>
                <w:highlight w:val="none"/>
                <w:lang w:bidi="ar"/>
              </w:rPr>
              <w:t>备注</w:t>
            </w:r>
          </w:p>
        </w:tc>
      </w:tr>
      <w:tr>
        <w:tblPrEx>
          <w:tblCellMar>
            <w:top w:w="0" w:type="dxa"/>
            <w:left w:w="108" w:type="dxa"/>
            <w:bottom w:w="0" w:type="dxa"/>
            <w:right w:w="108" w:type="dxa"/>
          </w:tblCellMar>
        </w:tblPrEx>
        <w:trPr>
          <w:trHeight w:val="572" w:hRule="atLeast"/>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auto"/>
                <w:sz w:val="20"/>
                <w:szCs w:val="20"/>
                <w:highlight w:val="none"/>
              </w:rPr>
            </w:pPr>
            <w:r>
              <w:rPr>
                <w:rFonts w:ascii="Arial" w:hAnsi="Arial" w:cs="Arial"/>
                <w:color w:val="auto"/>
                <w:kern w:val="0"/>
                <w:sz w:val="20"/>
                <w:szCs w:val="20"/>
                <w:highlight w:val="none"/>
                <w:lang w:bidi="ar"/>
              </w:rPr>
              <w:t>1</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高压柜、低压柜</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广东金泽</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广东新会</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广东顺开</w:t>
            </w:r>
          </w:p>
        </w:tc>
        <w:tc>
          <w:tcPr>
            <w:tcW w:w="1440"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参照或相当于</w:t>
            </w:r>
          </w:p>
        </w:tc>
      </w:tr>
      <w:tr>
        <w:tblPrEx>
          <w:tblCellMar>
            <w:top w:w="0" w:type="dxa"/>
            <w:left w:w="108" w:type="dxa"/>
            <w:bottom w:w="0" w:type="dxa"/>
            <w:right w:w="108" w:type="dxa"/>
          </w:tblCellMar>
        </w:tblPrEx>
        <w:trPr>
          <w:trHeight w:val="572" w:hRule="atLeast"/>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auto"/>
                <w:sz w:val="20"/>
                <w:szCs w:val="20"/>
                <w:highlight w:val="none"/>
              </w:rPr>
            </w:pPr>
            <w:r>
              <w:rPr>
                <w:rFonts w:ascii="Arial" w:hAnsi="Arial" w:cs="Arial"/>
                <w:color w:val="auto"/>
                <w:kern w:val="0"/>
                <w:sz w:val="20"/>
                <w:szCs w:val="20"/>
                <w:highlight w:val="none"/>
                <w:lang w:bidi="ar"/>
              </w:rPr>
              <w:t>2</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变压器</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明珠</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广州市一变</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永丰</w:t>
            </w:r>
          </w:p>
        </w:tc>
        <w:tc>
          <w:tcPr>
            <w:tcW w:w="144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0"/>
                <w:szCs w:val="20"/>
                <w:highlight w:val="none"/>
                <w:lang w:bidi="ar"/>
              </w:rPr>
            </w:pPr>
          </w:p>
        </w:tc>
      </w:tr>
      <w:tr>
        <w:tblPrEx>
          <w:tblCellMar>
            <w:top w:w="0" w:type="dxa"/>
            <w:left w:w="108" w:type="dxa"/>
            <w:bottom w:w="0" w:type="dxa"/>
            <w:right w:w="108" w:type="dxa"/>
          </w:tblCellMar>
        </w:tblPrEx>
        <w:trPr>
          <w:trHeight w:val="572" w:hRule="atLeast"/>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auto"/>
                <w:sz w:val="20"/>
                <w:szCs w:val="20"/>
                <w:highlight w:val="none"/>
              </w:rPr>
            </w:pPr>
            <w:r>
              <w:rPr>
                <w:rFonts w:ascii="Arial" w:hAnsi="Arial" w:cs="Arial"/>
                <w:color w:val="auto"/>
                <w:kern w:val="0"/>
                <w:sz w:val="20"/>
                <w:szCs w:val="20"/>
                <w:highlight w:val="none"/>
                <w:lang w:bidi="ar"/>
              </w:rPr>
              <w:t>3</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综合继电保护器</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珠海科众</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珠海瑞捷</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安科瑞</w:t>
            </w:r>
          </w:p>
        </w:tc>
        <w:tc>
          <w:tcPr>
            <w:tcW w:w="144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szCs w:val="20"/>
                <w:highlight w:val="none"/>
                <w:lang w:bidi="ar"/>
              </w:rPr>
            </w:pPr>
          </w:p>
        </w:tc>
      </w:tr>
      <w:tr>
        <w:tblPrEx>
          <w:tblCellMar>
            <w:top w:w="0" w:type="dxa"/>
            <w:left w:w="108" w:type="dxa"/>
            <w:bottom w:w="0" w:type="dxa"/>
            <w:right w:w="108" w:type="dxa"/>
          </w:tblCellMar>
        </w:tblPrEx>
        <w:trPr>
          <w:trHeight w:val="572" w:hRule="atLeast"/>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auto"/>
                <w:sz w:val="20"/>
                <w:szCs w:val="20"/>
                <w:highlight w:val="none"/>
              </w:rPr>
            </w:pPr>
            <w:r>
              <w:rPr>
                <w:rFonts w:ascii="Arial" w:hAnsi="Arial" w:cs="Arial"/>
                <w:color w:val="auto"/>
                <w:kern w:val="0"/>
                <w:sz w:val="20"/>
                <w:szCs w:val="20"/>
                <w:highlight w:val="none"/>
                <w:lang w:bidi="ar"/>
              </w:rPr>
              <w:t>4</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电缆</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番禺电缆</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南洋电缆</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广州电缆厂</w:t>
            </w:r>
          </w:p>
        </w:tc>
        <w:tc>
          <w:tcPr>
            <w:tcW w:w="144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0"/>
                <w:szCs w:val="20"/>
                <w:highlight w:val="none"/>
                <w:lang w:bidi="ar"/>
              </w:rPr>
            </w:pPr>
          </w:p>
        </w:tc>
      </w:tr>
      <w:tr>
        <w:tblPrEx>
          <w:tblCellMar>
            <w:top w:w="0" w:type="dxa"/>
            <w:left w:w="108" w:type="dxa"/>
            <w:bottom w:w="0" w:type="dxa"/>
            <w:right w:w="108" w:type="dxa"/>
          </w:tblCellMar>
        </w:tblPrEx>
        <w:trPr>
          <w:trHeight w:val="572" w:hRule="atLeast"/>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auto"/>
                <w:sz w:val="20"/>
                <w:szCs w:val="20"/>
                <w:highlight w:val="none"/>
              </w:rPr>
            </w:pPr>
            <w:r>
              <w:rPr>
                <w:rFonts w:ascii="Arial" w:hAnsi="Arial" w:cs="Arial"/>
                <w:color w:val="auto"/>
                <w:kern w:val="0"/>
                <w:sz w:val="20"/>
                <w:szCs w:val="20"/>
                <w:highlight w:val="none"/>
                <w:lang w:bidi="ar"/>
              </w:rPr>
              <w:t>5</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母线槽</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广东中安</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广东格朗特尔</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广东大龙</w:t>
            </w:r>
          </w:p>
        </w:tc>
        <w:tc>
          <w:tcPr>
            <w:tcW w:w="144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0"/>
                <w:szCs w:val="20"/>
                <w:highlight w:val="none"/>
                <w:lang w:bidi="ar"/>
              </w:rPr>
            </w:pPr>
          </w:p>
        </w:tc>
      </w:tr>
      <w:tr>
        <w:tblPrEx>
          <w:tblCellMar>
            <w:top w:w="0" w:type="dxa"/>
            <w:left w:w="108" w:type="dxa"/>
            <w:bottom w:w="0" w:type="dxa"/>
            <w:right w:w="108" w:type="dxa"/>
          </w:tblCellMar>
        </w:tblPrEx>
        <w:trPr>
          <w:trHeight w:val="572" w:hRule="atLeast"/>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auto"/>
                <w:sz w:val="20"/>
                <w:szCs w:val="20"/>
                <w:highlight w:val="none"/>
              </w:rPr>
            </w:pPr>
            <w:r>
              <w:rPr>
                <w:rFonts w:ascii="Arial" w:hAnsi="Arial" w:cs="Arial"/>
                <w:color w:val="auto"/>
                <w:kern w:val="0"/>
                <w:sz w:val="20"/>
                <w:szCs w:val="20"/>
                <w:highlight w:val="none"/>
                <w:lang w:bidi="ar"/>
              </w:rPr>
              <w:t>6</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电柜内高、低压开关</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创民</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常熟</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精益</w:t>
            </w:r>
          </w:p>
        </w:tc>
        <w:tc>
          <w:tcPr>
            <w:tcW w:w="144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0"/>
                <w:szCs w:val="20"/>
                <w:highlight w:val="none"/>
                <w:lang w:bidi="ar"/>
              </w:rPr>
            </w:pPr>
          </w:p>
        </w:tc>
      </w:tr>
      <w:tr>
        <w:tblPrEx>
          <w:tblCellMar>
            <w:top w:w="0" w:type="dxa"/>
            <w:left w:w="108" w:type="dxa"/>
            <w:bottom w:w="0" w:type="dxa"/>
            <w:right w:w="108" w:type="dxa"/>
          </w:tblCellMar>
        </w:tblPrEx>
        <w:trPr>
          <w:trHeight w:val="572" w:hRule="atLeast"/>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auto"/>
                <w:sz w:val="20"/>
                <w:szCs w:val="20"/>
                <w:highlight w:val="none"/>
              </w:rPr>
            </w:pPr>
            <w:r>
              <w:rPr>
                <w:rFonts w:ascii="Arial" w:hAnsi="Arial" w:cs="Arial"/>
                <w:color w:val="auto"/>
                <w:kern w:val="0"/>
                <w:sz w:val="20"/>
                <w:szCs w:val="20"/>
                <w:highlight w:val="none"/>
                <w:lang w:bidi="ar"/>
              </w:rPr>
              <w:t>7</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10KV电流互感器</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广州通用特互</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广东四会</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浙江泰成</w:t>
            </w:r>
          </w:p>
        </w:tc>
        <w:tc>
          <w:tcPr>
            <w:tcW w:w="144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0"/>
                <w:szCs w:val="20"/>
                <w:highlight w:val="none"/>
                <w:lang w:bidi="ar"/>
              </w:rPr>
            </w:pPr>
          </w:p>
        </w:tc>
      </w:tr>
      <w:tr>
        <w:tblPrEx>
          <w:tblCellMar>
            <w:top w:w="0" w:type="dxa"/>
            <w:left w:w="108" w:type="dxa"/>
            <w:bottom w:w="0" w:type="dxa"/>
            <w:right w:w="108" w:type="dxa"/>
          </w:tblCellMar>
        </w:tblPrEx>
        <w:trPr>
          <w:trHeight w:val="582" w:hRule="atLeast"/>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auto"/>
                <w:sz w:val="20"/>
                <w:szCs w:val="20"/>
                <w:highlight w:val="none"/>
              </w:rPr>
            </w:pPr>
            <w:r>
              <w:rPr>
                <w:rFonts w:ascii="Arial" w:hAnsi="Arial" w:cs="Arial"/>
                <w:color w:val="auto"/>
                <w:kern w:val="0"/>
                <w:sz w:val="20"/>
                <w:szCs w:val="20"/>
                <w:highlight w:val="none"/>
                <w:lang w:bidi="ar"/>
              </w:rPr>
              <w:t>8</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电容器</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广东汇之华</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德力西</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正泰</w:t>
            </w:r>
          </w:p>
        </w:tc>
        <w:tc>
          <w:tcPr>
            <w:tcW w:w="1440"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0"/>
                <w:szCs w:val="20"/>
                <w:highlight w:val="none"/>
                <w:lang w:bidi="ar"/>
              </w:rPr>
            </w:pPr>
          </w:p>
        </w:tc>
      </w:tr>
    </w:tbl>
    <w:p>
      <w:pPr>
        <w:pStyle w:val="2"/>
        <w:rPr>
          <w:color w:val="auto"/>
          <w:highlight w:val="none"/>
        </w:rPr>
      </w:pPr>
    </w:p>
    <w:p>
      <w:pPr>
        <w:pStyle w:val="13"/>
        <w:tabs>
          <w:tab w:val="left" w:pos="7740"/>
        </w:tabs>
        <w:adjustRightInd w:val="0"/>
        <w:snapToGrid w:val="0"/>
        <w:spacing w:line="360" w:lineRule="auto"/>
        <w:ind w:firstLine="482" w:firstLineChars="200"/>
        <w:contextualSpacing/>
        <w:outlineLvl w:val="9"/>
        <w:rPr>
          <w:rFonts w:ascii="Times New Roman" w:hAnsi="Times New Roman"/>
          <w:b/>
          <w:color w:val="auto"/>
          <w:sz w:val="24"/>
          <w:szCs w:val="24"/>
          <w:highlight w:val="none"/>
        </w:rPr>
      </w:pPr>
    </w:p>
    <w:p>
      <w:pPr>
        <w:pStyle w:val="13"/>
        <w:tabs>
          <w:tab w:val="left" w:pos="7740"/>
        </w:tabs>
        <w:adjustRightInd w:val="0"/>
        <w:snapToGrid w:val="0"/>
        <w:spacing w:line="360" w:lineRule="auto"/>
        <w:ind w:firstLine="482" w:firstLineChars="200"/>
        <w:contextualSpacing/>
        <w:outlineLvl w:val="9"/>
        <w:rPr>
          <w:rFonts w:ascii="Times New Roman" w:hAnsi="Times New Roman"/>
          <w:b/>
          <w:color w:val="auto"/>
          <w:sz w:val="24"/>
          <w:szCs w:val="24"/>
          <w:highlight w:val="none"/>
        </w:rPr>
      </w:pPr>
      <w:bookmarkStart w:id="273" w:name="_Toc12454"/>
      <w:r>
        <w:rPr>
          <w:rFonts w:hint="eastAsia" w:ascii="Times New Roman" w:hAnsi="Times New Roman"/>
          <w:b/>
          <w:color w:val="auto"/>
          <w:sz w:val="24"/>
          <w:szCs w:val="24"/>
          <w:highlight w:val="none"/>
        </w:rPr>
        <w:t>三、采购项目商务要求</w:t>
      </w:r>
      <w:bookmarkEnd w:id="273"/>
    </w:p>
    <w:p>
      <w:pPr>
        <w:tabs>
          <w:tab w:val="left" w:pos="7740"/>
        </w:tabs>
        <w:autoSpaceDE w:val="0"/>
        <w:autoSpaceDN w:val="0"/>
        <w:snapToGrid w:val="0"/>
        <w:spacing w:line="360" w:lineRule="auto"/>
        <w:ind w:firstLine="480" w:firstLineChars="200"/>
        <w:contextualSpacing/>
        <w:rPr>
          <w:color w:val="auto"/>
          <w:sz w:val="24"/>
          <w:szCs w:val="24"/>
          <w:highlight w:val="none"/>
          <w:lang w:val="zh-CN"/>
        </w:rPr>
      </w:pPr>
      <w:r>
        <w:rPr>
          <w:rFonts w:hint="eastAsia"/>
          <w:color w:val="auto"/>
          <w:sz w:val="24"/>
          <w:szCs w:val="24"/>
          <w:highlight w:val="none"/>
          <w:lang w:val="zh-CN"/>
        </w:rPr>
        <w:t>1、采购预算及投标价格组成</w:t>
      </w:r>
    </w:p>
    <w:p>
      <w:pPr>
        <w:pStyle w:val="13"/>
        <w:tabs>
          <w:tab w:val="left" w:pos="7740"/>
        </w:tabs>
        <w:adjustRightInd w:val="0"/>
        <w:snapToGrid w:val="0"/>
        <w:spacing w:line="360" w:lineRule="auto"/>
        <w:ind w:firstLine="480" w:firstLineChars="200"/>
        <w:contextualSpacing/>
        <w:outlineLvl w:val="9"/>
        <w:rPr>
          <w:rFonts w:hAnsi="宋体"/>
          <w:color w:val="auto"/>
          <w:sz w:val="24"/>
          <w:szCs w:val="24"/>
          <w:highlight w:val="none"/>
          <w:lang w:val="zh-CN"/>
        </w:rPr>
      </w:pPr>
      <w:bookmarkStart w:id="274" w:name="_Toc28209"/>
      <w:r>
        <w:rPr>
          <w:rFonts w:hint="eastAsia" w:hAnsi="宋体"/>
          <w:color w:val="auto"/>
          <w:sz w:val="24"/>
          <w:szCs w:val="24"/>
          <w:highlight w:val="none"/>
          <w:lang w:val="zh-CN"/>
        </w:rPr>
        <w:t>1.1采购预算：</w:t>
      </w:r>
      <w:bookmarkEnd w:id="274"/>
    </w:p>
    <w:p>
      <w:pPr>
        <w:pStyle w:val="13"/>
        <w:tabs>
          <w:tab w:val="left" w:pos="7740"/>
        </w:tabs>
        <w:adjustRightInd w:val="0"/>
        <w:snapToGrid w:val="0"/>
        <w:spacing w:line="360" w:lineRule="auto"/>
        <w:ind w:firstLine="480" w:firstLineChars="200"/>
        <w:contextualSpacing/>
        <w:outlineLvl w:val="9"/>
        <w:rPr>
          <w:rFonts w:hAnsi="宋体"/>
          <w:color w:val="auto"/>
          <w:sz w:val="24"/>
          <w:szCs w:val="24"/>
          <w:highlight w:val="none"/>
          <w:lang w:val="zh-CN"/>
        </w:rPr>
      </w:pPr>
      <w:bookmarkStart w:id="275" w:name="_Toc24827"/>
      <w:r>
        <w:rPr>
          <w:rFonts w:hint="eastAsia" w:hAnsi="宋体"/>
          <w:color w:val="auto"/>
          <w:sz w:val="24"/>
          <w:szCs w:val="24"/>
          <w:highlight w:val="none"/>
          <w:lang w:val="zh-CN"/>
        </w:rPr>
        <w:t>本项目采用总价包干方式实行承包。采购预算作为其最高限价值，投标人的投标总报价不得高于此限价（注：投标报价高于最高限价值的为无效投标）。投标人的报价文件需提供综合单价分析表，未提供的报价则不予接受。</w:t>
      </w:r>
      <w:bookmarkEnd w:id="275"/>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1.2项目预算说明</w:t>
      </w:r>
    </w:p>
    <w:p>
      <w:pPr>
        <w:pStyle w:val="30"/>
        <w:ind w:firstLine="480"/>
        <w:rPr>
          <w:rFonts w:ascii="宋体" w:hAnsi="宋体"/>
          <w:color w:val="auto"/>
          <w:highlight w:val="none"/>
        </w:rPr>
      </w:pPr>
      <w:r>
        <w:rPr>
          <w:rFonts w:hint="eastAsia" w:ascii="宋体" w:hAnsi="宋体"/>
          <w:color w:val="auto"/>
          <w:highlight w:val="none"/>
        </w:rPr>
        <w:t>（1）项目按清单计价办法，执行《建设工程工程量清单计价规范》及省市的有关规定。主要工程量依据委托单位提供工程量清单并结合项目实际施工情况确定。套用：《建设工程工程量清单计价规范》（GB50500-2013），《广东省建设工程计价依据（2018）》，《广东省市政工程综合定额（2018）》，《广东省安装工程综合定额（2018年）》及其计价办法。</w:t>
      </w:r>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（2）按照《广东省建设厅建筑工程安全防护、文明施工措施费用管理办法》的有关规定，工程预算中各专业工程的安全防护、文明施工措施费用实行单列支付、专款专用。</w:t>
      </w:r>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3）本项目各专业工程的安全防护、文明施工措施费等有关费率详见清单预算说明。各投标人在报价时按以上取费费率乘以各类工程的取费基础计算该类工程的安全防护、文明施工措施费等，在中标后专款专用。</w:t>
      </w:r>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（4）中标单位出现严重不平衡报价时，招标人保留调整单价的权利。本项目中标价为中标单位所报投标总价，中标价经确认无严重不平衡报价后作为合同价。</w:t>
      </w:r>
    </w:p>
    <w:p>
      <w:pPr>
        <w:tabs>
          <w:tab w:val="left" w:pos="900"/>
        </w:tabs>
        <w:snapToGrid w:val="0"/>
        <w:spacing w:line="360" w:lineRule="auto"/>
        <w:ind w:firstLine="480" w:firstLineChars="200"/>
        <w:contextualSpacing/>
        <w:rPr>
          <w:rFonts w:ascii="宋体" w:hAnsi="宋体" w:cs="Arial"/>
          <w:color w:val="auto"/>
          <w:kern w:val="28"/>
          <w:sz w:val="24"/>
          <w:szCs w:val="24"/>
          <w:highlight w:val="none"/>
        </w:rPr>
      </w:pPr>
      <w:r>
        <w:rPr>
          <w:rFonts w:hint="eastAsia" w:ascii="宋体" w:hAnsi="宋体"/>
          <w:color w:val="auto"/>
          <w:sz w:val="24"/>
          <w:szCs w:val="24"/>
          <w:highlight w:val="none"/>
        </w:rPr>
        <w:t>1.3</w:t>
      </w:r>
      <w:r>
        <w:rPr>
          <w:rFonts w:hint="eastAsia" w:ascii="宋体" w:hAnsi="宋体" w:cs="Arial"/>
          <w:color w:val="auto"/>
          <w:kern w:val="28"/>
          <w:sz w:val="24"/>
          <w:szCs w:val="24"/>
          <w:highlight w:val="none"/>
        </w:rPr>
        <w:t>投标价格应包括：</w:t>
      </w:r>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（1）投标报价为投标人在投标文件中提出的各项支付金额的总和。</w:t>
      </w:r>
    </w:p>
    <w:p>
      <w:pPr>
        <w:pStyle w:val="13"/>
        <w:tabs>
          <w:tab w:val="left" w:pos="7740"/>
        </w:tabs>
        <w:adjustRightInd w:val="0"/>
        <w:snapToGrid w:val="0"/>
        <w:spacing w:line="360" w:lineRule="auto"/>
        <w:ind w:firstLine="480" w:firstLineChars="200"/>
        <w:contextualSpacing/>
        <w:outlineLvl w:val="9"/>
        <w:rPr>
          <w:rFonts w:hAnsi="宋体" w:cs="宋体"/>
          <w:bCs/>
          <w:color w:val="auto"/>
          <w:sz w:val="24"/>
          <w:szCs w:val="24"/>
          <w:highlight w:val="none"/>
        </w:rPr>
      </w:pPr>
      <w:bookmarkStart w:id="276" w:name="_Toc31947"/>
      <w:r>
        <w:rPr>
          <w:rFonts w:hint="eastAsia" w:hAnsi="宋体"/>
          <w:color w:val="auto"/>
          <w:sz w:val="24"/>
          <w:szCs w:val="24"/>
          <w:highlight w:val="none"/>
        </w:rPr>
        <w:t>（2）</w:t>
      </w:r>
      <w:r>
        <w:rPr>
          <w:rFonts w:hint="eastAsia" w:hAnsi="宋体" w:cs="宋体"/>
          <w:bCs/>
          <w:color w:val="auto"/>
          <w:sz w:val="24"/>
          <w:szCs w:val="24"/>
          <w:highlight w:val="none"/>
        </w:rPr>
        <w:t>投标人应对所有的招标内容进行投标，不允许只对部分内容进行投标。</w:t>
      </w:r>
      <w:r>
        <w:rPr>
          <w:rFonts w:hint="eastAsia" w:hAnsi="宋体"/>
          <w:color w:val="auto"/>
          <w:sz w:val="24"/>
          <w:szCs w:val="24"/>
          <w:highlight w:val="none"/>
        </w:rPr>
        <w:t>投标人的投标报价，应是完成本项目施工等全费用。</w:t>
      </w:r>
      <w:r>
        <w:rPr>
          <w:rFonts w:hint="eastAsia" w:hAnsi="宋体" w:cs="宋体"/>
          <w:bCs/>
          <w:color w:val="auto"/>
          <w:sz w:val="24"/>
          <w:szCs w:val="24"/>
          <w:highlight w:val="none"/>
        </w:rPr>
        <w:t>投标价格包括:</w:t>
      </w:r>
      <w:bookmarkEnd w:id="276"/>
    </w:p>
    <w:p>
      <w:pPr>
        <w:pStyle w:val="13"/>
        <w:tabs>
          <w:tab w:val="left" w:pos="7740"/>
        </w:tabs>
        <w:adjustRightInd w:val="0"/>
        <w:snapToGrid w:val="0"/>
        <w:spacing w:line="360" w:lineRule="auto"/>
        <w:ind w:firstLine="480" w:firstLineChars="200"/>
        <w:contextualSpacing/>
        <w:outlineLvl w:val="9"/>
        <w:rPr>
          <w:rFonts w:hAnsi="宋体" w:cs="宋体"/>
          <w:bCs/>
          <w:color w:val="auto"/>
          <w:sz w:val="24"/>
          <w:szCs w:val="24"/>
          <w:highlight w:val="none"/>
        </w:rPr>
      </w:pPr>
      <w:bookmarkStart w:id="277" w:name="_Toc10622"/>
      <w:r>
        <w:rPr>
          <w:rFonts w:hint="eastAsia" w:hAnsi="宋体" w:cs="宋体"/>
          <w:bCs/>
          <w:color w:val="auto"/>
          <w:sz w:val="24"/>
          <w:szCs w:val="24"/>
          <w:highlight w:val="none"/>
        </w:rPr>
        <w:t>1）合同范围内材料的采购、施工和安装、运输、质保期售后服务、全额含税发票、人工费用、管理费利润、措施费、合同实施过程中应预见和不可预见费用；</w:t>
      </w:r>
      <w:bookmarkEnd w:id="277"/>
    </w:p>
    <w:p>
      <w:pPr>
        <w:pStyle w:val="13"/>
        <w:tabs>
          <w:tab w:val="left" w:pos="7740"/>
        </w:tabs>
        <w:adjustRightInd w:val="0"/>
        <w:snapToGrid w:val="0"/>
        <w:spacing w:line="360" w:lineRule="auto"/>
        <w:ind w:firstLine="480" w:firstLineChars="200"/>
        <w:contextualSpacing/>
        <w:outlineLvl w:val="9"/>
        <w:rPr>
          <w:rFonts w:hAnsi="宋体" w:cs="宋体"/>
          <w:bCs/>
          <w:color w:val="auto"/>
          <w:sz w:val="24"/>
          <w:szCs w:val="24"/>
          <w:highlight w:val="none"/>
        </w:rPr>
      </w:pPr>
      <w:bookmarkStart w:id="278" w:name="_Toc19697"/>
      <w:r>
        <w:rPr>
          <w:rFonts w:hint="eastAsia" w:hAnsi="宋体" w:cs="宋体"/>
          <w:bCs/>
          <w:color w:val="auto"/>
          <w:sz w:val="24"/>
          <w:szCs w:val="24"/>
          <w:highlight w:val="none"/>
        </w:rPr>
        <w:t>2）施工中的相关费用（包括施工过程中损耗、额外材料、材料检测费、局部设计费等）。所有价格均应以人民币报价，金额单位为元。</w:t>
      </w:r>
      <w:bookmarkEnd w:id="278"/>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3）除非采购人对招标文件予以修改，投标人应按采购人提供的项目清单中列出的工程项目和工程量填报单价和合价。每一项目只允许有一个报价。任何有选择的报价将不予接受。投标人未填单价或合价的工程项目，在实施后，用户将不予以支付，并视为该项费用已包括在其他有价款的单价或合价内。</w:t>
      </w:r>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4）除非合同中另有规定，投标人在报价中具有标价的工程量清单中所报的单价和合价，以及投标报价汇总表中的价格均包括完成该工程项目的成本、利润、税金、开办费、技术措施费、大型机械进出场费、风险费、政策性文件规定费用等所有费用。</w:t>
      </w:r>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（5）投标人按本招标文件充分了解工地位置、情况、道路、储存空间、装卸限制及任何其他足以影响承包价的情况，任何因忽视或误解工地情况而导致的索赔或工期延长申请将不被批准。</w:t>
      </w:r>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（6）投标人应根据采购人提供的项目清单等资料，按照项目清单详细列出投标报价表</w:t>
      </w:r>
    </w:p>
    <w:p>
      <w:pPr>
        <w:snapToGrid w:val="0"/>
        <w:spacing w:line="360" w:lineRule="auto"/>
        <w:ind w:firstLine="480" w:firstLineChars="200"/>
        <w:contextualSpacing/>
        <w:rPr>
          <w:rFonts w:ascii="宋体" w:hAnsi="宋体" w:cs="宋体"/>
          <w:color w:val="auto"/>
          <w:sz w:val="24"/>
          <w:szCs w:val="24"/>
          <w:highlight w:val="none"/>
        </w:rPr>
      </w:pPr>
      <w:r>
        <w:rPr>
          <w:rFonts w:hint="eastAsia" w:ascii="宋体" w:hAnsi="宋体"/>
          <w:color w:val="auto"/>
          <w:sz w:val="24"/>
          <w:szCs w:val="24"/>
          <w:highlight w:val="none"/>
        </w:rPr>
        <w:t>2</w:t>
      </w:r>
      <w:r>
        <w:rPr>
          <w:rFonts w:hint="eastAsia" w:hAnsi="宋体" w:cs="宋体"/>
          <w:bCs/>
          <w:color w:val="auto"/>
          <w:sz w:val="24"/>
          <w:szCs w:val="24"/>
          <w:highlight w:val="none"/>
        </w:rPr>
        <w:t>.报价方式：</w:t>
      </w:r>
      <w:r>
        <w:rPr>
          <w:rFonts w:hint="eastAsia" w:hAnsi="宋体"/>
          <w:color w:val="auto"/>
          <w:sz w:val="24"/>
          <w:szCs w:val="24"/>
          <w:highlight w:val="none"/>
          <w:lang w:val="zh-CN"/>
        </w:rPr>
        <w:t>本项目实行总价包干，投标报价需附综合单位分析表，</w:t>
      </w:r>
      <w:r>
        <w:rPr>
          <w:rFonts w:hint="eastAsia" w:hAnsi="宋体" w:cs="Arial"/>
          <w:color w:val="auto"/>
          <w:sz w:val="24"/>
          <w:szCs w:val="24"/>
          <w:highlight w:val="none"/>
        </w:rPr>
        <w:t>项目措施费包干</w:t>
      </w:r>
      <w:r>
        <w:rPr>
          <w:rFonts w:hint="eastAsia" w:ascii="宋体" w:hAnsi="宋体" w:cs="宋体"/>
          <w:color w:val="auto"/>
          <w:sz w:val="24"/>
          <w:szCs w:val="24"/>
          <w:highlight w:val="none"/>
        </w:rPr>
        <w:t>。</w:t>
      </w:r>
    </w:p>
    <w:p>
      <w:pPr>
        <w:tabs>
          <w:tab w:val="left" w:pos="7740"/>
        </w:tabs>
        <w:autoSpaceDE w:val="0"/>
        <w:autoSpaceDN w:val="0"/>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3.付款方式</w:t>
      </w:r>
    </w:p>
    <w:p>
      <w:pPr>
        <w:snapToGrid w:val="0"/>
        <w:spacing w:line="360" w:lineRule="auto"/>
        <w:ind w:firstLine="480" w:firstLineChars="200"/>
        <w:contextualSpacing/>
        <w:rPr>
          <w:rFonts w:ascii="仿宋" w:hAnsi="仿宋" w:cs="Microsoft JhengHei"/>
          <w:color w:val="auto"/>
          <w:position w:val="1"/>
          <w:sz w:val="24"/>
          <w:szCs w:val="24"/>
          <w:highlight w:val="none"/>
          <w:u w:val="none"/>
        </w:rPr>
      </w:pPr>
      <w:r>
        <w:rPr>
          <w:rFonts w:hint="eastAsia" w:ascii="仿宋" w:hAnsi="仿宋" w:cs="Microsoft JhengHei"/>
          <w:color w:val="auto"/>
          <w:position w:val="1"/>
          <w:sz w:val="24"/>
          <w:szCs w:val="24"/>
          <w:highlight w:val="none"/>
        </w:rPr>
        <w:t>（1）预付款：</w:t>
      </w:r>
      <w:r>
        <w:rPr>
          <w:rFonts w:hint="eastAsia" w:ascii="仿宋" w:hAnsi="仿宋" w:cs="Microsoft JhengHei"/>
          <w:color w:val="auto"/>
          <w:position w:val="1"/>
          <w:sz w:val="24"/>
          <w:szCs w:val="24"/>
          <w:highlight w:val="none"/>
          <w:u w:val="none"/>
        </w:rPr>
        <w:t>预付款的金额为合同价（扣除暂列金额）的</w:t>
      </w:r>
      <w:bookmarkStart w:id="292" w:name="_GoBack"/>
      <w:bookmarkEnd w:id="292"/>
      <w:r>
        <w:rPr>
          <w:rFonts w:hint="eastAsia" w:ascii="仿宋" w:hAnsi="仿宋" w:cs="Microsoft JhengHei"/>
          <w:color w:val="auto"/>
          <w:position w:val="1"/>
          <w:sz w:val="24"/>
          <w:szCs w:val="24"/>
          <w:highlight w:val="none"/>
          <w:u w:val="none"/>
        </w:rPr>
        <w:t>30%；</w:t>
      </w:r>
    </w:p>
    <w:p>
      <w:pPr>
        <w:snapToGrid w:val="0"/>
        <w:spacing w:line="360" w:lineRule="auto"/>
        <w:ind w:firstLine="480" w:firstLineChars="200"/>
        <w:contextualSpacing/>
        <w:rPr>
          <w:rFonts w:ascii="宋体" w:hAnsi="宋体" w:cs="SimSun-Identity-H"/>
          <w:color w:val="auto"/>
          <w:sz w:val="24"/>
          <w:szCs w:val="24"/>
          <w:highlight w:val="none"/>
        </w:rPr>
      </w:pPr>
      <w:r>
        <w:rPr>
          <w:rFonts w:hint="eastAsia" w:ascii="仿宋" w:hAnsi="仿宋" w:cs="Microsoft JhengHei"/>
          <w:color w:val="auto"/>
          <w:position w:val="1"/>
          <w:sz w:val="24"/>
          <w:szCs w:val="24"/>
          <w:highlight w:val="none"/>
          <w:u w:val="none"/>
        </w:rPr>
        <w:t>（2）进度款：</w:t>
      </w:r>
      <w:r>
        <w:rPr>
          <w:rFonts w:hint="eastAsia"/>
          <w:color w:val="auto"/>
          <w:sz w:val="24"/>
          <w:highlight w:val="none"/>
          <w:u w:val="none"/>
        </w:rPr>
        <w:t>土</w:t>
      </w:r>
      <w:r>
        <w:rPr>
          <w:color w:val="auto"/>
          <w:sz w:val="24"/>
          <w:highlight w:val="none"/>
          <w:u w:val="none"/>
        </w:rPr>
        <w:t>建</w:t>
      </w:r>
      <w:r>
        <w:rPr>
          <w:rFonts w:hint="eastAsia"/>
          <w:color w:val="auto"/>
          <w:sz w:val="24"/>
          <w:highlight w:val="none"/>
          <w:u w:val="none"/>
        </w:rPr>
        <w:t>工程完成且新</w:t>
      </w:r>
      <w:r>
        <w:rPr>
          <w:color w:val="auto"/>
          <w:sz w:val="24"/>
          <w:highlight w:val="none"/>
          <w:u w:val="none"/>
        </w:rPr>
        <w:t>建</w:t>
      </w:r>
      <w:r>
        <w:rPr>
          <w:rFonts w:hint="eastAsia"/>
          <w:color w:val="auto"/>
          <w:sz w:val="24"/>
          <w:highlight w:val="none"/>
          <w:u w:val="none"/>
        </w:rPr>
        <w:t>电房高</w:t>
      </w:r>
      <w:r>
        <w:rPr>
          <w:color w:val="auto"/>
          <w:sz w:val="24"/>
          <w:highlight w:val="none"/>
          <w:u w:val="none"/>
        </w:rPr>
        <w:t>压柜、变压</w:t>
      </w:r>
      <w:r>
        <w:rPr>
          <w:rFonts w:hint="eastAsia"/>
          <w:color w:val="auto"/>
          <w:sz w:val="24"/>
          <w:highlight w:val="none"/>
          <w:u w:val="none"/>
        </w:rPr>
        <w:t>器</w:t>
      </w:r>
      <w:r>
        <w:rPr>
          <w:color w:val="auto"/>
          <w:sz w:val="24"/>
          <w:highlight w:val="none"/>
          <w:u w:val="none"/>
        </w:rPr>
        <w:t>、低压柜等</w:t>
      </w:r>
      <w:r>
        <w:rPr>
          <w:rFonts w:hint="eastAsia"/>
          <w:color w:val="auto"/>
          <w:sz w:val="24"/>
          <w:highlight w:val="none"/>
          <w:u w:val="none"/>
        </w:rPr>
        <w:t>主</w:t>
      </w:r>
      <w:r>
        <w:rPr>
          <w:color w:val="auto"/>
          <w:sz w:val="24"/>
          <w:highlight w:val="none"/>
          <w:u w:val="none"/>
        </w:rPr>
        <w:t>要设备确认订货</w:t>
      </w:r>
      <w:r>
        <w:rPr>
          <w:rFonts w:hint="eastAsia"/>
          <w:color w:val="auto"/>
          <w:sz w:val="24"/>
          <w:highlight w:val="none"/>
          <w:u w:val="none"/>
        </w:rPr>
        <w:t>后支付合同价（扣除暂列金额）的</w:t>
      </w:r>
      <w:r>
        <w:rPr>
          <w:color w:val="auto"/>
          <w:sz w:val="24"/>
          <w:highlight w:val="none"/>
          <w:u w:val="none"/>
        </w:rPr>
        <w:t>30</w:t>
      </w:r>
      <w:r>
        <w:rPr>
          <w:rFonts w:hint="eastAsia"/>
          <w:color w:val="auto"/>
          <w:sz w:val="24"/>
          <w:highlight w:val="none"/>
          <w:u w:val="none"/>
        </w:rPr>
        <w:t>%，上述所有设备到达项目所在地后支付合同价（扣除暂列金额）的</w:t>
      </w:r>
      <w:r>
        <w:rPr>
          <w:color w:val="auto"/>
          <w:sz w:val="24"/>
          <w:highlight w:val="none"/>
          <w:u w:val="none"/>
        </w:rPr>
        <w:t>20%</w:t>
      </w:r>
      <w:r>
        <w:rPr>
          <w:rFonts w:hint="eastAsia"/>
          <w:color w:val="auto"/>
          <w:sz w:val="24"/>
          <w:highlight w:val="none"/>
          <w:u w:val="none"/>
        </w:rPr>
        <w:t>，工程竣工验收合格后支付至合同价（扣除暂列金额）的85%；</w:t>
      </w:r>
    </w:p>
    <w:p>
      <w:pPr>
        <w:snapToGrid w:val="0"/>
        <w:spacing w:line="360" w:lineRule="auto"/>
        <w:ind w:firstLine="480" w:firstLineChars="200"/>
        <w:contextualSpacing/>
        <w:rPr>
          <w:rFonts w:ascii="宋体" w:hAnsi="宋体" w:cs="SimSun-Identity-H"/>
          <w:color w:val="auto"/>
          <w:sz w:val="24"/>
          <w:szCs w:val="24"/>
          <w:highlight w:val="none"/>
        </w:rPr>
      </w:pPr>
      <w:r>
        <w:rPr>
          <w:rFonts w:hint="eastAsia" w:ascii="宋体" w:hAnsi="宋体" w:cs="SimSun-Identity-H"/>
          <w:color w:val="auto"/>
          <w:sz w:val="24"/>
          <w:szCs w:val="24"/>
          <w:highlight w:val="none"/>
        </w:rPr>
        <w:t>（3）结算款：通过发包人委托的审计单位审核、工程档案资料按发包方规定移交后，承包人向发包人支付审定结算价的3%作为工程质量保修金后，发包人向承包人支付至结算价的100%，质量保修期满贰年且完成全部保修项目后退还。承包人向发包人提出退还质保金的书面申请，经发包人审批一个月内退还。（扣除不按本合同专用条款</w:t>
      </w:r>
      <w:r>
        <w:rPr>
          <w:rFonts w:hint="eastAsia" w:ascii="仿宋" w:hAnsi="仿宋"/>
          <w:color w:val="auto"/>
          <w:sz w:val="24"/>
          <w:szCs w:val="24"/>
          <w:highlight w:val="none"/>
        </w:rPr>
        <w:t>的违约金</w:t>
      </w:r>
      <w:r>
        <w:rPr>
          <w:rFonts w:hint="eastAsia" w:ascii="宋体" w:hAnsi="宋体" w:cs="SimSun-Identity-H"/>
          <w:color w:val="auto"/>
          <w:sz w:val="24"/>
          <w:szCs w:val="24"/>
          <w:highlight w:val="none"/>
        </w:rPr>
        <w:t>）。</w:t>
      </w:r>
    </w:p>
    <w:p>
      <w:pPr>
        <w:snapToGrid w:val="0"/>
        <w:spacing w:line="360" w:lineRule="auto"/>
        <w:ind w:firstLine="480" w:firstLineChars="200"/>
        <w:contextualSpacing/>
        <w:rPr>
          <w:rFonts w:ascii="宋体" w:hAnsi="宋体" w:cs="SimSun-Identity-H"/>
          <w:color w:val="auto"/>
          <w:sz w:val="24"/>
          <w:szCs w:val="24"/>
          <w:highlight w:val="none"/>
        </w:rPr>
      </w:pPr>
    </w:p>
    <w:p>
      <w:pPr>
        <w:spacing w:before="0" w:after="0" w:line="360" w:lineRule="auto"/>
        <w:ind w:firstLine="480" w:firstLineChars="200"/>
        <w:rPr>
          <w:color w:val="auto"/>
          <w:sz w:val="24"/>
          <w:szCs w:val="24"/>
          <w:highlight w:val="none"/>
        </w:rPr>
      </w:pPr>
      <w:bookmarkStart w:id="279" w:name="_Toc10278"/>
      <w:r>
        <w:rPr>
          <w:rFonts w:hint="eastAsia"/>
          <w:color w:val="auto"/>
          <w:sz w:val="24"/>
          <w:szCs w:val="24"/>
          <w:highlight w:val="none"/>
        </w:rPr>
        <w:t>四、其它服务要求</w:t>
      </w:r>
      <w:bookmarkEnd w:id="279"/>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1.项目负责人负责整个项目全过程管理及与招标人协调沟通，承诺全程合同期内项目负责人未经招标人许可不得易人。</w:t>
      </w:r>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2.配备满足项目要求的各类专业人员和施工人员。建造师（或项目经理）、技术负责人应亲自管理施工全过程，施工中不得更换。</w:t>
      </w:r>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3.项目负责人在接到招标人书面或电话通知后的30分钟内须到达施工现场提供服务，特殊情况下应做到随叫随到。</w:t>
      </w:r>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4.中标单位在施工期间应严格遵守国家、省、市有关防火、爆破和施工安全以及文明施工、深夜施工、环卫和城管、计划生育等规定，建立规章制度和防护措施。由于自身措施不力造成的事故责任、法律责任和经济责任，均由中标单位负责。</w:t>
      </w:r>
    </w:p>
    <w:p>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5.中标单位应按安全施工的要求，采取严格科学的安全措施，确保施工安全和第三者的安全，承担由于自身安全措施不力所造成的事故责任、法律责任和经济责任。</w:t>
      </w:r>
    </w:p>
    <w:p>
      <w:pPr>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6.在施工合同签订之日起48小时内投标人应提交开工报告，办理进场开工相关手续，工期自签发开工报告之日起计算。</w:t>
      </w:r>
    </w:p>
    <w:p>
      <w:pPr>
        <w:snapToGrid w:val="0"/>
        <w:spacing w:line="360" w:lineRule="auto"/>
        <w:ind w:firstLine="480" w:firstLineChars="200"/>
        <w:contextualSpacing/>
        <w:jc w:val="left"/>
        <w:rPr>
          <w:rFonts w:ascii="宋体" w:hAnsi="宋体" w:cs="宋体"/>
          <w:snapToGrid w:val="0"/>
          <w:color w:val="auto"/>
          <w:spacing w:val="4"/>
          <w:sz w:val="24"/>
          <w:szCs w:val="24"/>
          <w:highlight w:val="none"/>
        </w:rPr>
      </w:pPr>
      <w:r>
        <w:rPr>
          <w:rFonts w:hint="eastAsia" w:ascii="宋体" w:hAnsi="宋体"/>
          <w:color w:val="auto"/>
          <w:sz w:val="24"/>
          <w:szCs w:val="24"/>
          <w:highlight w:val="none"/>
        </w:rPr>
        <w:t>7.投标人在合同期内应遵守招标人的有关规章制度。</w:t>
      </w:r>
    </w:p>
    <w:p>
      <w:pPr>
        <w:adjustRightInd w:val="0"/>
        <w:snapToGrid w:val="0"/>
        <w:spacing w:line="360" w:lineRule="auto"/>
        <w:rPr>
          <w:b/>
          <w:color w:val="auto"/>
          <w:highlight w:val="none"/>
        </w:rPr>
      </w:pPr>
    </w:p>
    <w:p>
      <w:pPr>
        <w:rPr>
          <w:color w:val="auto"/>
          <w:highlight w:val="none"/>
        </w:rPr>
      </w:pPr>
    </w:p>
    <w:p>
      <w:pPr>
        <w:jc w:val="left"/>
        <w:rPr>
          <w:b/>
          <w:color w:val="auto"/>
          <w:kern w:val="44"/>
          <w:sz w:val="28"/>
          <w:szCs w:val="28"/>
          <w:highlight w:val="none"/>
        </w:rPr>
      </w:pPr>
      <w:bookmarkStart w:id="280" w:name="_Toc2272569"/>
      <w:bookmarkStart w:id="281" w:name="_Toc62056136"/>
      <w:r>
        <w:rPr>
          <w:rFonts w:hint="eastAsia"/>
          <w:b/>
          <w:color w:val="auto"/>
          <w:kern w:val="44"/>
          <w:sz w:val="28"/>
          <w:szCs w:val="28"/>
          <w:highlight w:val="none"/>
        </w:rPr>
        <w:br w:type="page"/>
      </w:r>
    </w:p>
    <w:p>
      <w:pPr>
        <w:keepNext/>
        <w:keepLines/>
        <w:spacing w:before="120" w:after="120" w:line="360" w:lineRule="auto"/>
        <w:jc w:val="center"/>
        <w:outlineLvl w:val="0"/>
        <w:rPr>
          <w:b/>
          <w:color w:val="auto"/>
          <w:kern w:val="44"/>
          <w:sz w:val="28"/>
          <w:szCs w:val="28"/>
          <w:highlight w:val="none"/>
        </w:rPr>
      </w:pPr>
      <w:bookmarkStart w:id="282" w:name="_Toc16200"/>
      <w:bookmarkStart w:id="283" w:name="_Toc23294"/>
      <w:r>
        <w:rPr>
          <w:rFonts w:hint="eastAsia"/>
          <w:b/>
          <w:color w:val="auto"/>
          <w:kern w:val="44"/>
          <w:sz w:val="28"/>
          <w:szCs w:val="28"/>
          <w:highlight w:val="none"/>
        </w:rPr>
        <w:t>第六章</w:t>
      </w:r>
      <w:r>
        <w:rPr>
          <w:b/>
          <w:color w:val="auto"/>
          <w:kern w:val="44"/>
          <w:sz w:val="28"/>
          <w:szCs w:val="28"/>
          <w:highlight w:val="none"/>
        </w:rPr>
        <w:t xml:space="preserve">  </w:t>
      </w:r>
      <w:r>
        <w:rPr>
          <w:rFonts w:hint="eastAsia"/>
          <w:b/>
          <w:color w:val="auto"/>
          <w:kern w:val="44"/>
          <w:sz w:val="28"/>
          <w:szCs w:val="28"/>
          <w:highlight w:val="none"/>
        </w:rPr>
        <w:t>图纸及勘察资料</w:t>
      </w:r>
      <w:bookmarkEnd w:id="280"/>
      <w:bookmarkEnd w:id="281"/>
      <w:bookmarkEnd w:id="282"/>
      <w:bookmarkEnd w:id="283"/>
    </w:p>
    <w:p>
      <w:pPr>
        <w:spacing w:line="360" w:lineRule="auto"/>
        <w:rPr>
          <w:rFonts w:ascii="宋体" w:hAnsi="宋体"/>
          <w:color w:val="auto"/>
          <w:sz w:val="24"/>
          <w:szCs w:val="24"/>
          <w:highlight w:val="none"/>
        </w:rPr>
      </w:pPr>
      <w:r>
        <w:rPr>
          <w:rFonts w:hint="eastAsia" w:ascii="宋体" w:hAnsi="宋体"/>
          <w:color w:val="auto"/>
          <w:sz w:val="24"/>
          <w:szCs w:val="24"/>
          <w:highlight w:val="none"/>
        </w:rPr>
        <w:t>注：本项目所有招标图纸、资料知识产权属招标人所有，不得用于除本次招标项目外其它用途，否则应承担由此所引起的全部法律责任。</w:t>
      </w:r>
    </w:p>
    <w:p>
      <w:pPr>
        <w:rPr>
          <w:rFonts w:ascii="宋体" w:hAnsi="宋体" w:cs="宋体"/>
          <w:color w:val="auto"/>
          <w:sz w:val="24"/>
          <w:szCs w:val="24"/>
          <w:highlight w:val="none"/>
        </w:rPr>
      </w:pPr>
    </w:p>
    <w:p>
      <w:pPr>
        <w:rPr>
          <w:rFonts w:ascii="宋体" w:hAnsi="宋体" w:cs="宋体"/>
          <w:b/>
          <w:color w:val="auto"/>
          <w:sz w:val="24"/>
          <w:szCs w:val="24"/>
          <w:highlight w:val="none"/>
        </w:rPr>
      </w:pPr>
      <w:r>
        <w:rPr>
          <w:rFonts w:hint="eastAsia" w:ascii="宋体" w:hAnsi="宋体" w:cs="宋体"/>
          <w:color w:val="auto"/>
          <w:sz w:val="24"/>
          <w:szCs w:val="24"/>
          <w:highlight w:val="none"/>
        </w:rPr>
        <w:t>注：招标图纸，另册。</w:t>
      </w:r>
    </w:p>
    <w:p>
      <w:pPr>
        <w:keepNext/>
        <w:keepLines/>
        <w:spacing w:before="120" w:after="120" w:line="360" w:lineRule="auto"/>
        <w:jc w:val="center"/>
        <w:outlineLvl w:val="0"/>
        <w:rPr>
          <w:b/>
          <w:color w:val="auto"/>
          <w:kern w:val="44"/>
          <w:sz w:val="28"/>
          <w:szCs w:val="28"/>
          <w:highlight w:val="none"/>
        </w:rPr>
      </w:pPr>
      <w:r>
        <w:rPr>
          <w:color w:val="auto"/>
          <w:kern w:val="44"/>
          <w:sz w:val="24"/>
          <w:szCs w:val="24"/>
          <w:highlight w:val="none"/>
        </w:rPr>
        <w:br w:type="page"/>
      </w:r>
      <w:bookmarkStart w:id="284" w:name="_Toc21326"/>
      <w:bookmarkStart w:id="285" w:name="_Toc2272570"/>
      <w:bookmarkStart w:id="286" w:name="_Toc62056137"/>
      <w:bookmarkStart w:id="287" w:name="_Toc6313"/>
      <w:r>
        <w:rPr>
          <w:rFonts w:hint="eastAsia"/>
          <w:b/>
          <w:color w:val="auto"/>
          <w:kern w:val="44"/>
          <w:sz w:val="28"/>
          <w:szCs w:val="28"/>
          <w:highlight w:val="none"/>
        </w:rPr>
        <w:t>第七章</w:t>
      </w:r>
      <w:r>
        <w:rPr>
          <w:b/>
          <w:color w:val="auto"/>
          <w:kern w:val="44"/>
          <w:sz w:val="28"/>
          <w:szCs w:val="28"/>
          <w:highlight w:val="none"/>
        </w:rPr>
        <w:t xml:space="preserve">  </w:t>
      </w:r>
      <w:r>
        <w:rPr>
          <w:rFonts w:hint="eastAsia"/>
          <w:b/>
          <w:color w:val="auto"/>
          <w:kern w:val="44"/>
          <w:sz w:val="28"/>
          <w:szCs w:val="28"/>
          <w:highlight w:val="none"/>
        </w:rPr>
        <w:t>工程量清单</w:t>
      </w:r>
      <w:bookmarkEnd w:id="284"/>
      <w:bookmarkEnd w:id="285"/>
      <w:bookmarkEnd w:id="286"/>
      <w:bookmarkEnd w:id="287"/>
    </w:p>
    <w:p>
      <w:pPr>
        <w:rPr>
          <w:rFonts w:ascii="宋体"/>
          <w:b/>
          <w:color w:val="auto"/>
          <w:sz w:val="24"/>
          <w:szCs w:val="24"/>
          <w:highlight w:val="none"/>
        </w:rPr>
      </w:pPr>
      <w:r>
        <w:rPr>
          <w:rFonts w:hint="eastAsia" w:ascii="宋体" w:hAnsi="宋体"/>
          <w:color w:val="auto"/>
          <w:sz w:val="24"/>
          <w:szCs w:val="24"/>
          <w:highlight w:val="none"/>
        </w:rPr>
        <w:t>注：另册。</w:t>
      </w:r>
    </w:p>
    <w:p>
      <w:pPr>
        <w:keepNext/>
        <w:keepLines/>
        <w:spacing w:before="120" w:after="120" w:line="360" w:lineRule="auto"/>
        <w:jc w:val="center"/>
        <w:outlineLvl w:val="0"/>
        <w:rPr>
          <w:rFonts w:ascii="宋体"/>
          <w:b/>
          <w:color w:val="auto"/>
          <w:kern w:val="44"/>
          <w:sz w:val="28"/>
          <w:szCs w:val="28"/>
          <w:highlight w:val="none"/>
        </w:rPr>
      </w:pPr>
      <w:r>
        <w:rPr>
          <w:color w:val="auto"/>
          <w:kern w:val="44"/>
          <w:sz w:val="24"/>
          <w:szCs w:val="24"/>
          <w:highlight w:val="none"/>
        </w:rPr>
        <w:br w:type="page"/>
      </w:r>
      <w:bookmarkStart w:id="288" w:name="_Toc62056138"/>
      <w:bookmarkStart w:id="289" w:name="_Toc8497"/>
      <w:bookmarkStart w:id="290" w:name="_Toc20454"/>
      <w:bookmarkStart w:id="291" w:name="_Toc2272571"/>
      <w:r>
        <w:rPr>
          <w:rFonts w:hint="eastAsia"/>
          <w:b/>
          <w:color w:val="auto"/>
          <w:kern w:val="44"/>
          <w:sz w:val="28"/>
          <w:szCs w:val="28"/>
          <w:highlight w:val="none"/>
        </w:rPr>
        <w:t>第八章</w:t>
      </w:r>
      <w:r>
        <w:rPr>
          <w:b/>
          <w:color w:val="auto"/>
          <w:kern w:val="44"/>
          <w:sz w:val="28"/>
          <w:szCs w:val="28"/>
          <w:highlight w:val="none"/>
        </w:rPr>
        <w:t xml:space="preserve">  </w:t>
      </w:r>
      <w:r>
        <w:rPr>
          <w:rFonts w:hint="eastAsia"/>
          <w:b/>
          <w:color w:val="auto"/>
          <w:kern w:val="44"/>
          <w:sz w:val="28"/>
          <w:szCs w:val="28"/>
          <w:highlight w:val="none"/>
        </w:rPr>
        <w:t>最高投标限价</w:t>
      </w:r>
      <w:bookmarkEnd w:id="288"/>
      <w:bookmarkEnd w:id="289"/>
      <w:bookmarkEnd w:id="290"/>
      <w:bookmarkEnd w:id="291"/>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招标人应当在发布招标文件时，公布最高投标限价的总价，分部分项工程费、措施项目费、其他项目费、税金，以及绿色施工安全防护措施费、暂列金额等投标人不可竞争的固定报价。</w:t>
      </w:r>
    </w:p>
    <w:p>
      <w:pPr>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具体见本项目《最高投标限价公布函》。</w:t>
      </w:r>
    </w:p>
    <w:p>
      <w:pPr>
        <w:rPr>
          <w:color w:val="auto"/>
          <w:highlight w:val="none"/>
        </w:rPr>
      </w:pPr>
    </w:p>
    <w:sectPr>
      <w:headerReference r:id="rId12" w:type="default"/>
      <w:footerReference r:id="rId1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087" w:usb1="28AF4000" w:usb2="00000016" w:usb3="00000000" w:csb0="00100009" w:csb1="00000000"/>
  </w:font>
  <w:font w:name="SimSun-Identity-H">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92"/>
      <w:rPr>
        <w:rStyle w:val="25"/>
      </w:rPr>
    </w:pPr>
    <w:r>
      <w:fldChar w:fldCharType="begin"/>
    </w:r>
    <w:r>
      <w:rPr>
        <w:rStyle w:val="25"/>
      </w:rPr>
      <w:instrText xml:space="preserve">PAGE  </w:instrText>
    </w:r>
    <w:r>
      <w:fldChar w:fldCharType="separate"/>
    </w:r>
    <w:r>
      <w:rPr>
        <w:rStyle w:val="25"/>
        <w:rFonts w:hint="eastAsia"/>
      </w:rPr>
      <w:t>一</w:t>
    </w:r>
    <w:r>
      <w:rPr>
        <w:rStyle w:val="25"/>
      </w:rPr>
      <w:t>–2</w:t>
    </w:r>
    <w:r>
      <w:fldChar w:fldCharType="end"/>
    </w:r>
  </w:p>
  <w:p>
    <w:pPr>
      <w:pStyle w:val="15"/>
      <w:ind w:firstLine="392"/>
    </w:pP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92"/>
      <w:jc w:val="center"/>
      <w:rPr>
        <w:rStyle w:val="25"/>
        <w:szCs w:val="22"/>
      </w:rPr>
    </w:pPr>
    <w:r>
      <w:fldChar w:fldCharType="begin"/>
    </w:r>
    <w:r>
      <w:rPr>
        <w:rStyle w:val="25"/>
      </w:rPr>
      <w:instrText xml:space="preserve">PAGE  </w:instrText>
    </w:r>
    <w:r>
      <w:fldChar w:fldCharType="separate"/>
    </w:r>
    <w:r>
      <w:rPr>
        <w:rStyle w:val="25"/>
      </w:rPr>
      <w:t>32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jc w:val="center"/>
      <w:rPr>
        <w:rStyle w:val="25"/>
      </w:rPr>
    </w:pPr>
    <w:r>
      <w:fldChar w:fldCharType="begin"/>
    </w:r>
    <w:r>
      <w:rPr>
        <w:rStyle w:val="25"/>
      </w:rPr>
      <w:instrText xml:space="preserve">PAGE  </w:instrText>
    </w:r>
    <w:r>
      <w:fldChar w:fldCharType="separate"/>
    </w:r>
    <w:r>
      <w:rPr>
        <w:rStyle w:val="25"/>
      </w:rPr>
      <w:t>53</w:t>
    </w:r>
    <w:r>
      <w:fldChar w:fldCharType="end"/>
    </w:r>
  </w:p>
  <w:p>
    <w:pPr>
      <w:pStyle w:val="15"/>
      <w:framePr w:wrap="around" w:vAnchor="text" w:hAnchor="margin" w:xAlign="outside" w:y="1"/>
      <w:ind w:left="-4410" w:leftChars="-2100" w:right="-4439" w:rightChars="-2114"/>
      <w:rPr>
        <w:rStyle w:val="25"/>
      </w:rPr>
    </w:pPr>
  </w:p>
  <w:p>
    <w:pPr>
      <w:pStyle w:val="15"/>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25"/>
      </w:rPr>
    </w:pPr>
    <w:r>
      <w:fldChar w:fldCharType="begin"/>
    </w:r>
    <w:r>
      <w:rPr>
        <w:rStyle w:val="25"/>
      </w:rPr>
      <w:instrText xml:space="preserve">PAGE  </w:instrText>
    </w:r>
    <w:r>
      <w:fldChar w:fldCharType="separate"/>
    </w:r>
    <w:r>
      <w:rPr>
        <w:rStyle w:val="25"/>
        <w:rFonts w:hint="eastAsia"/>
      </w:rPr>
      <w:t>一</w:t>
    </w:r>
    <w:r>
      <w:rPr>
        <w:rStyle w:val="25"/>
      </w:rPr>
      <w:t>–2</w:t>
    </w:r>
    <w:r>
      <w:fldChar w:fldCharType="end"/>
    </w:r>
  </w:p>
  <w:p>
    <w:pPr>
      <w:pStyle w:val="15"/>
      <w:ind w:right="360" w:firstLine="360"/>
      <w:jc w:val="center"/>
    </w:pPr>
    <w:r>
      <w:rPr>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rPr>
        <w:rStyle w:val="25"/>
      </w:rPr>
      <w:instrText xml:space="preserve"> PAGE </w:instrText>
    </w:r>
    <w:r>
      <w:fldChar w:fldCharType="separate"/>
    </w:r>
    <w:r>
      <w:rPr>
        <w:rStyle w:val="25"/>
      </w:rPr>
      <w:t>51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140" w:firstLineChars="2300"/>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ind w:firstLine="4140" w:firstLineChars="2300"/>
                          </w:pPr>
                          <w:r>
                            <w:fldChar w:fldCharType="begin"/>
                          </w:r>
                          <w:r>
                            <w:instrText xml:space="preserve"> PAGE   \* MERGEFORMAT </w:instrText>
                          </w:r>
                          <w:r>
                            <w:fldChar w:fldCharType="separate"/>
                          </w:r>
                          <w:r>
                            <w:rPr>
                              <w:lang w:val="zh-CN"/>
                            </w:rPr>
                            <w:t>59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dLr8gBAACZAwAADgAAAGRycy9lMm9Eb2MueG1srVPNjtMwEL4j8Q6W&#10;79RpD6gb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tHS6/IAQAAmQMAAA4AAAAAAAAAAQAgAAAAHgEAAGRycy9lMm9Eb2Mu&#10;eG1sUEsFBgAAAAAGAAYAWQEAAFgFAAAAAA==&#10;">
              <v:fill on="f" focussize="0,0"/>
              <v:stroke on="f"/>
              <v:imagedata o:title=""/>
              <o:lock v:ext="edit" aspectratio="f"/>
              <v:textbox inset="0mm,0mm,0mm,0mm" style="mso-fit-shape-to-text:t;">
                <w:txbxContent>
                  <w:p>
                    <w:pPr>
                      <w:pStyle w:val="15"/>
                      <w:ind w:firstLine="4140" w:firstLineChars="2300"/>
                    </w:pPr>
                    <w:r>
                      <w:fldChar w:fldCharType="begin"/>
                    </w:r>
                    <w:r>
                      <w:instrText xml:space="preserve"> PAGE   \* MERGEFORMAT </w:instrText>
                    </w:r>
                    <w:r>
                      <w:fldChar w:fldCharType="separate"/>
                    </w:r>
                    <w:r>
                      <w:rPr>
                        <w:lang w:val="zh-CN"/>
                      </w:rPr>
                      <w:t>59</w:t>
                    </w:r>
                    <w:r>
                      <w:fldChar w:fldCharType="end"/>
                    </w:r>
                  </w:p>
                </w:txbxContent>
              </v:textbox>
            </v:shape>
          </w:pict>
        </mc:Fallback>
      </mc:AlternateConten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92"/>
    </w:pPr>
    <w:r>
      <w:rPr>
        <w:rFonts w:hint="eastAsia"/>
      </w:rPr>
      <w:t>横枝岗路道路排水改造工程招标文件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i/>
        <w:iCs/>
      </w:rPr>
    </w:pPr>
    <w:r>
      <w:rPr>
        <w:rFonts w:hint="eastAsia"/>
        <w:i/>
        <w:iCs/>
      </w:rPr>
      <w:t>横枝岗路道路排水改造工程招标文件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right"/>
      <w:rPr>
        <w:i/>
        <w:iC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dit="trackedChange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1ZmUzY2U0ZDdhNjk5ZGEyZjdiZjkwMzVlM2FkMWUifQ=="/>
  </w:docVars>
  <w:rsids>
    <w:rsidRoot w:val="142B1BC6"/>
    <w:rsid w:val="00010B7A"/>
    <w:rsid w:val="00020C1A"/>
    <w:rsid w:val="00033DB0"/>
    <w:rsid w:val="001E7930"/>
    <w:rsid w:val="00261961"/>
    <w:rsid w:val="00267BE2"/>
    <w:rsid w:val="002F64AD"/>
    <w:rsid w:val="003D7ACC"/>
    <w:rsid w:val="00442BBB"/>
    <w:rsid w:val="0048611E"/>
    <w:rsid w:val="004862A8"/>
    <w:rsid w:val="0057184B"/>
    <w:rsid w:val="00583937"/>
    <w:rsid w:val="005E5FCA"/>
    <w:rsid w:val="0064782A"/>
    <w:rsid w:val="0070344C"/>
    <w:rsid w:val="00722580"/>
    <w:rsid w:val="00742356"/>
    <w:rsid w:val="00787F32"/>
    <w:rsid w:val="007E093E"/>
    <w:rsid w:val="007E50B6"/>
    <w:rsid w:val="007F1A1F"/>
    <w:rsid w:val="00897DDF"/>
    <w:rsid w:val="00911ECD"/>
    <w:rsid w:val="009A3166"/>
    <w:rsid w:val="00A05C01"/>
    <w:rsid w:val="00A21A2A"/>
    <w:rsid w:val="00AC3BA2"/>
    <w:rsid w:val="00B61D8D"/>
    <w:rsid w:val="00BB596D"/>
    <w:rsid w:val="00C46A8E"/>
    <w:rsid w:val="00C87670"/>
    <w:rsid w:val="00CE77BE"/>
    <w:rsid w:val="00D03FD8"/>
    <w:rsid w:val="00D22EBB"/>
    <w:rsid w:val="00D361A8"/>
    <w:rsid w:val="00D658C7"/>
    <w:rsid w:val="00DB6129"/>
    <w:rsid w:val="00DD13FF"/>
    <w:rsid w:val="00E22967"/>
    <w:rsid w:val="00F230FE"/>
    <w:rsid w:val="00F45CBC"/>
    <w:rsid w:val="00F52292"/>
    <w:rsid w:val="00F82B3E"/>
    <w:rsid w:val="00FB3F8B"/>
    <w:rsid w:val="00FB587E"/>
    <w:rsid w:val="04887CFD"/>
    <w:rsid w:val="05D830A9"/>
    <w:rsid w:val="066E369D"/>
    <w:rsid w:val="07273448"/>
    <w:rsid w:val="09622C8A"/>
    <w:rsid w:val="0A09393B"/>
    <w:rsid w:val="0C322DE7"/>
    <w:rsid w:val="0CA8201C"/>
    <w:rsid w:val="0D551E1E"/>
    <w:rsid w:val="0ED53C34"/>
    <w:rsid w:val="0F0861A4"/>
    <w:rsid w:val="0FA97864"/>
    <w:rsid w:val="10001C84"/>
    <w:rsid w:val="142B1BC6"/>
    <w:rsid w:val="18A25854"/>
    <w:rsid w:val="1CB55EC4"/>
    <w:rsid w:val="1D034C1E"/>
    <w:rsid w:val="1D5F40DB"/>
    <w:rsid w:val="1F6F63E5"/>
    <w:rsid w:val="1F862FC5"/>
    <w:rsid w:val="1FBF0E4C"/>
    <w:rsid w:val="1FE8583F"/>
    <w:rsid w:val="20623E68"/>
    <w:rsid w:val="206328EE"/>
    <w:rsid w:val="206670F5"/>
    <w:rsid w:val="209D176B"/>
    <w:rsid w:val="20DD5199"/>
    <w:rsid w:val="21B61F52"/>
    <w:rsid w:val="21F95081"/>
    <w:rsid w:val="23A323EE"/>
    <w:rsid w:val="24363C6A"/>
    <w:rsid w:val="24B93C4E"/>
    <w:rsid w:val="257E4457"/>
    <w:rsid w:val="25C81B45"/>
    <w:rsid w:val="25C90728"/>
    <w:rsid w:val="285F3FBC"/>
    <w:rsid w:val="288822B5"/>
    <w:rsid w:val="298F2523"/>
    <w:rsid w:val="2BC071BE"/>
    <w:rsid w:val="2C9A3D89"/>
    <w:rsid w:val="2C9E238F"/>
    <w:rsid w:val="2E9848D4"/>
    <w:rsid w:val="2F6E3672"/>
    <w:rsid w:val="2FF13484"/>
    <w:rsid w:val="323541A0"/>
    <w:rsid w:val="32800DDF"/>
    <w:rsid w:val="336A2CE3"/>
    <w:rsid w:val="337C2A9B"/>
    <w:rsid w:val="346D4BA0"/>
    <w:rsid w:val="356907C7"/>
    <w:rsid w:val="366F0610"/>
    <w:rsid w:val="36E50628"/>
    <w:rsid w:val="37201A7A"/>
    <w:rsid w:val="37757EA8"/>
    <w:rsid w:val="38594F43"/>
    <w:rsid w:val="395F1C11"/>
    <w:rsid w:val="39F01A68"/>
    <w:rsid w:val="3A692962"/>
    <w:rsid w:val="3BBB7C07"/>
    <w:rsid w:val="3D007DA8"/>
    <w:rsid w:val="3EE2CFE6"/>
    <w:rsid w:val="3F3D0829"/>
    <w:rsid w:val="40683756"/>
    <w:rsid w:val="412C782A"/>
    <w:rsid w:val="421A58D4"/>
    <w:rsid w:val="42387808"/>
    <w:rsid w:val="4438469C"/>
    <w:rsid w:val="45E05087"/>
    <w:rsid w:val="48082673"/>
    <w:rsid w:val="482B32FC"/>
    <w:rsid w:val="48A759E8"/>
    <w:rsid w:val="499F74D9"/>
    <w:rsid w:val="49D97E23"/>
    <w:rsid w:val="4A0550BC"/>
    <w:rsid w:val="4AEB42B2"/>
    <w:rsid w:val="4BD27749"/>
    <w:rsid w:val="4CEF0A6D"/>
    <w:rsid w:val="4CF23581"/>
    <w:rsid w:val="4E7B594C"/>
    <w:rsid w:val="4E7FFBDD"/>
    <w:rsid w:val="4E920EE8"/>
    <w:rsid w:val="4EF62833"/>
    <w:rsid w:val="50B23B3E"/>
    <w:rsid w:val="529D5295"/>
    <w:rsid w:val="53AC7200"/>
    <w:rsid w:val="53E774F6"/>
    <w:rsid w:val="5412239C"/>
    <w:rsid w:val="55AF14F9"/>
    <w:rsid w:val="55FE818E"/>
    <w:rsid w:val="563133E1"/>
    <w:rsid w:val="564C7BCE"/>
    <w:rsid w:val="576BDFDE"/>
    <w:rsid w:val="59B772F1"/>
    <w:rsid w:val="59D76A81"/>
    <w:rsid w:val="5BCF011B"/>
    <w:rsid w:val="5D2110F8"/>
    <w:rsid w:val="5D5A4109"/>
    <w:rsid w:val="5D697002"/>
    <w:rsid w:val="5D741621"/>
    <w:rsid w:val="5DB1138B"/>
    <w:rsid w:val="5FE57944"/>
    <w:rsid w:val="61E41603"/>
    <w:rsid w:val="62F2712F"/>
    <w:rsid w:val="63617DB9"/>
    <w:rsid w:val="640632E1"/>
    <w:rsid w:val="64671F23"/>
    <w:rsid w:val="64B04E9B"/>
    <w:rsid w:val="64E831B8"/>
    <w:rsid w:val="65F84530"/>
    <w:rsid w:val="66014A45"/>
    <w:rsid w:val="66F67C2B"/>
    <w:rsid w:val="672A7AB8"/>
    <w:rsid w:val="67364DA6"/>
    <w:rsid w:val="687F9075"/>
    <w:rsid w:val="68AE72CD"/>
    <w:rsid w:val="690C0CC9"/>
    <w:rsid w:val="699F653B"/>
    <w:rsid w:val="6D0C6BD9"/>
    <w:rsid w:val="6E5017A9"/>
    <w:rsid w:val="6EDF62B8"/>
    <w:rsid w:val="6F9D4995"/>
    <w:rsid w:val="705C0BE1"/>
    <w:rsid w:val="74717568"/>
    <w:rsid w:val="75ECFC9C"/>
    <w:rsid w:val="76C9543C"/>
    <w:rsid w:val="78DDB063"/>
    <w:rsid w:val="7A8F421B"/>
    <w:rsid w:val="7CC2081D"/>
    <w:rsid w:val="7D3D2B21"/>
    <w:rsid w:val="7ED70D8A"/>
    <w:rsid w:val="7EFFAF34"/>
    <w:rsid w:val="7F7EB943"/>
    <w:rsid w:val="7F9EED94"/>
    <w:rsid w:val="7FB9D497"/>
    <w:rsid w:val="7FF3D604"/>
    <w:rsid w:val="7FFB1CAD"/>
    <w:rsid w:val="7FFF6302"/>
    <w:rsid w:val="AF2B9846"/>
    <w:rsid w:val="AFDFC430"/>
    <w:rsid w:val="BEE74784"/>
    <w:rsid w:val="BFEDF7EA"/>
    <w:rsid w:val="BFEFC854"/>
    <w:rsid w:val="CFD7E06A"/>
    <w:rsid w:val="D7C6A07D"/>
    <w:rsid w:val="DAFFE97B"/>
    <w:rsid w:val="DD767C56"/>
    <w:rsid w:val="DF9B6720"/>
    <w:rsid w:val="E7FBD204"/>
    <w:rsid w:val="EED763E6"/>
    <w:rsid w:val="EFCB55F1"/>
    <w:rsid w:val="EFFF6FDF"/>
    <w:rsid w:val="F3FFC8D4"/>
    <w:rsid w:val="F7F5F3F1"/>
    <w:rsid w:val="F7FF10C5"/>
    <w:rsid w:val="F7FF1581"/>
    <w:rsid w:val="FB3629E0"/>
    <w:rsid w:val="FBFB649E"/>
    <w:rsid w:val="FBFDCA73"/>
    <w:rsid w:val="FCD1CA28"/>
    <w:rsid w:val="FD5218BF"/>
    <w:rsid w:val="FEEF3FDB"/>
    <w:rsid w:val="FF5AB529"/>
    <w:rsid w:val="FFDDBDA7"/>
    <w:rsid w:val="FFDFD4BB"/>
    <w:rsid w:val="FFECD27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120" w:after="120" w:line="415" w:lineRule="auto"/>
      <w:jc w:val="center"/>
      <w:outlineLvl w:val="1"/>
    </w:pPr>
    <w:rPr>
      <w:rFonts w:ascii="Arial" w:hAnsi="Arial"/>
      <w:b/>
      <w:color w:val="000000"/>
      <w:sz w:val="28"/>
      <w:szCs w:val="24"/>
    </w:rPr>
  </w:style>
  <w:style w:type="paragraph" w:styleId="5">
    <w:name w:val="heading 3"/>
    <w:basedOn w:val="1"/>
    <w:next w:val="1"/>
    <w:qFormat/>
    <w:uiPriority w:val="0"/>
    <w:pPr>
      <w:widowControl/>
      <w:spacing w:before="100" w:beforeAutospacing="1" w:after="100" w:afterAutospacing="1"/>
      <w:jc w:val="left"/>
      <w:outlineLvl w:val="2"/>
    </w:pPr>
    <w:rPr>
      <w:rFonts w:ascii="宋体" w:hAnsi="宋体"/>
      <w:kern w:val="0"/>
      <w:sz w:val="27"/>
      <w:szCs w:val="27"/>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kern w:val="0"/>
      <w:sz w:val="20"/>
      <w:szCs w:val="20"/>
    </w:rPr>
  </w:style>
  <w:style w:type="paragraph" w:styleId="6">
    <w:name w:val="annotation text"/>
    <w:basedOn w:val="1"/>
    <w:link w:val="34"/>
    <w:qFormat/>
    <w:uiPriority w:val="0"/>
    <w:pPr>
      <w:jc w:val="left"/>
    </w:pPr>
  </w:style>
  <w:style w:type="paragraph" w:styleId="7">
    <w:name w:val="Body Text"/>
    <w:basedOn w:val="1"/>
    <w:next w:val="8"/>
    <w:qFormat/>
    <w:uiPriority w:val="0"/>
    <w:pPr>
      <w:spacing w:after="120"/>
    </w:pPr>
  </w:style>
  <w:style w:type="paragraph" w:styleId="8">
    <w:name w:val="Body Text First Indent"/>
    <w:basedOn w:val="7"/>
    <w:next w:val="9"/>
    <w:qFormat/>
    <w:uiPriority w:val="0"/>
    <w:pPr>
      <w:ind w:firstLine="420"/>
    </w:pPr>
    <w:rPr>
      <w:rFonts w:ascii="Calibri" w:hAnsi="Calibri"/>
    </w:rPr>
  </w:style>
  <w:style w:type="paragraph" w:styleId="9">
    <w:name w:val="toc 6"/>
    <w:basedOn w:val="1"/>
    <w:next w:val="1"/>
    <w:qFormat/>
    <w:uiPriority w:val="0"/>
    <w:pPr>
      <w:ind w:left="1000" w:leftChars="1000"/>
    </w:pPr>
  </w:style>
  <w:style w:type="paragraph" w:styleId="10">
    <w:name w:val="Body Text Indent"/>
    <w:basedOn w:val="1"/>
    <w:next w:val="11"/>
    <w:unhideWhenUsed/>
    <w:qFormat/>
    <w:uiPriority w:val="0"/>
    <w:pPr>
      <w:ind w:firstLine="570"/>
    </w:pPr>
    <w:rPr>
      <w:rFonts w:ascii="Calibri" w:hAnsi="Calibri"/>
      <w:kern w:val="0"/>
      <w:sz w:val="28"/>
      <w:szCs w:val="20"/>
    </w:rPr>
  </w:style>
  <w:style w:type="paragraph" w:styleId="11">
    <w:name w:val="envelope return"/>
    <w:basedOn w:val="1"/>
    <w:qFormat/>
    <w:uiPriority w:val="0"/>
    <w:pPr>
      <w:snapToGrid w:val="0"/>
    </w:pPr>
    <w:rPr>
      <w:rFonts w:ascii="Arial" w:hAnsi="Arial"/>
      <w:szCs w:val="24"/>
    </w:rPr>
  </w:style>
  <w:style w:type="paragraph" w:styleId="12">
    <w:name w:val="toc 3"/>
    <w:basedOn w:val="1"/>
    <w:next w:val="1"/>
    <w:qFormat/>
    <w:uiPriority w:val="0"/>
    <w:pPr>
      <w:ind w:left="840" w:leftChars="400"/>
    </w:pPr>
  </w:style>
  <w:style w:type="paragraph" w:styleId="13">
    <w:name w:val="Plain Text"/>
    <w:basedOn w:val="1"/>
    <w:next w:val="1"/>
    <w:qFormat/>
    <w:uiPriority w:val="0"/>
    <w:rPr>
      <w:rFonts w:ascii="宋体" w:hAnsi="Courier New"/>
      <w:kern w:val="0"/>
      <w:sz w:val="20"/>
      <w:szCs w:val="20"/>
    </w:rPr>
  </w:style>
  <w:style w:type="paragraph" w:styleId="14">
    <w:name w:val="Balloon Text"/>
    <w:basedOn w:val="1"/>
    <w:link w:val="33"/>
    <w:qFormat/>
    <w:uiPriority w:val="0"/>
    <w:rPr>
      <w:sz w:val="18"/>
      <w:szCs w:val="18"/>
    </w:rPr>
  </w:style>
  <w:style w:type="paragraph" w:styleId="15">
    <w:name w:val="footer"/>
    <w:basedOn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unhideWhenUsed/>
    <w:qFormat/>
    <w:uiPriority w:val="99"/>
    <w:rPr>
      <w:sz w:val="24"/>
    </w:rPr>
  </w:style>
  <w:style w:type="paragraph" w:styleId="20">
    <w:name w:val="annotation subject"/>
    <w:basedOn w:val="6"/>
    <w:next w:val="6"/>
    <w:link w:val="35"/>
    <w:qFormat/>
    <w:uiPriority w:val="0"/>
    <w:rPr>
      <w:b/>
      <w:bCs/>
    </w:rPr>
  </w:style>
  <w:style w:type="paragraph" w:styleId="21">
    <w:name w:val="Body Text First Indent 2"/>
    <w:basedOn w:val="10"/>
    <w:unhideWhenUsed/>
    <w:qFormat/>
    <w:uiPriority w:val="99"/>
    <w:pPr>
      <w:spacing w:after="120"/>
      <w:ind w:left="420" w:leftChars="200" w:firstLine="420" w:firstLineChars="200"/>
    </w:pPr>
    <w:rPr>
      <w:rFonts w:ascii="Times New Roman" w:hAnsi="Times New Roman"/>
      <w:sz w:val="20"/>
    </w:rPr>
  </w:style>
  <w:style w:type="character" w:styleId="24">
    <w:name w:val="Strong"/>
    <w:basedOn w:val="23"/>
    <w:qFormat/>
    <w:uiPriority w:val="0"/>
    <w:rPr>
      <w:b/>
    </w:rPr>
  </w:style>
  <w:style w:type="character" w:styleId="25">
    <w:name w:val="page number"/>
    <w:qFormat/>
    <w:uiPriority w:val="0"/>
    <w:rPr>
      <w:rFonts w:ascii="Calibri" w:hAnsi="Calibri" w:eastAsia="宋体" w:cs="Times New Roman"/>
    </w:rPr>
  </w:style>
  <w:style w:type="character" w:styleId="26">
    <w:name w:val="Hyperlink"/>
    <w:qFormat/>
    <w:uiPriority w:val="99"/>
    <w:rPr>
      <w:rFonts w:ascii="Calibri" w:hAnsi="Calibri" w:eastAsia="宋体" w:cs="Times New Roman"/>
      <w:color w:val="0000FF"/>
      <w:u w:val="single"/>
    </w:rPr>
  </w:style>
  <w:style w:type="character" w:styleId="27">
    <w:name w:val="annotation reference"/>
    <w:basedOn w:val="23"/>
    <w:qFormat/>
    <w:uiPriority w:val="0"/>
    <w:rPr>
      <w:sz w:val="21"/>
      <w:szCs w:val="21"/>
    </w:rPr>
  </w:style>
  <w:style w:type="paragraph" w:customStyle="1" w:styleId="28">
    <w:name w:val="章节三"/>
    <w:basedOn w:val="29"/>
    <w:next w:val="29"/>
    <w:qFormat/>
    <w:uiPriority w:val="99"/>
    <w:pPr>
      <w:widowControl w:val="0"/>
      <w:spacing w:beforeLines="50" w:line="240" w:lineRule="auto"/>
      <w:ind w:firstLine="0" w:firstLineChars="0"/>
      <w:outlineLvl w:val="2"/>
    </w:pPr>
    <w:rPr>
      <w:rFonts w:ascii="黑体" w:hAnsi="宋体" w:eastAsia="黑体"/>
      <w:b/>
    </w:rPr>
  </w:style>
  <w:style w:type="paragraph" w:customStyle="1" w:styleId="29">
    <w:name w:val="文一"/>
    <w:qFormat/>
    <w:uiPriority w:val="0"/>
    <w:pPr>
      <w:topLinePunct/>
      <w:adjustRightInd w:val="0"/>
      <w:snapToGrid w:val="0"/>
      <w:spacing w:line="360" w:lineRule="auto"/>
      <w:ind w:firstLine="200" w:firstLineChars="200"/>
    </w:pPr>
    <w:rPr>
      <w:rFonts w:ascii="Times New Roman" w:hAnsi="Times New Roman" w:eastAsia="Times New Roman" w:cs="Times New Roman"/>
      <w:snapToGrid w:val="0"/>
      <w:spacing w:val="4"/>
      <w:kern w:val="2"/>
      <w:sz w:val="24"/>
      <w:szCs w:val="24"/>
      <w:lang w:val="en-US" w:eastAsia="zh-CN" w:bidi="ar-SA"/>
    </w:rPr>
  </w:style>
  <w:style w:type="paragraph" w:customStyle="1" w:styleId="30">
    <w:name w:val="正文1"/>
    <w:basedOn w:val="1"/>
    <w:qFormat/>
    <w:uiPriority w:val="0"/>
    <w:pPr>
      <w:spacing w:line="360" w:lineRule="auto"/>
      <w:ind w:firstLine="200" w:firstLineChars="200"/>
      <w:jc w:val="left"/>
    </w:pPr>
    <w:rPr>
      <w:rFonts w:ascii="Calibri" w:hAnsi="Calibri"/>
      <w:sz w:val="24"/>
    </w:rPr>
  </w:style>
  <w:style w:type="character" w:customStyle="1" w:styleId="31">
    <w:name w:val="s2"/>
    <w:qFormat/>
    <w:uiPriority w:val="0"/>
  </w:style>
  <w:style w:type="character" w:customStyle="1" w:styleId="32">
    <w:name w:val="NormalCharacter"/>
    <w:qFormat/>
    <w:uiPriority w:val="0"/>
    <w:rPr>
      <w:rFonts w:ascii="Calibri" w:hAnsi="Calibri" w:eastAsia="宋体" w:cs="Times New Roman"/>
    </w:rPr>
  </w:style>
  <w:style w:type="character" w:customStyle="1" w:styleId="33">
    <w:name w:val="批注框文本 字符"/>
    <w:basedOn w:val="23"/>
    <w:link w:val="14"/>
    <w:qFormat/>
    <w:uiPriority w:val="0"/>
    <w:rPr>
      <w:rFonts w:ascii="Times New Roman" w:hAnsi="Times New Roman" w:cs="Times New Roman"/>
      <w:kern w:val="2"/>
      <w:sz w:val="18"/>
      <w:szCs w:val="18"/>
    </w:rPr>
  </w:style>
  <w:style w:type="character" w:customStyle="1" w:styleId="34">
    <w:name w:val="批注文字 字符"/>
    <w:basedOn w:val="23"/>
    <w:link w:val="6"/>
    <w:qFormat/>
    <w:uiPriority w:val="0"/>
    <w:rPr>
      <w:rFonts w:ascii="Times New Roman" w:hAnsi="Times New Roman" w:cs="Times New Roman"/>
      <w:kern w:val="2"/>
      <w:sz w:val="21"/>
      <w:szCs w:val="22"/>
    </w:rPr>
  </w:style>
  <w:style w:type="character" w:customStyle="1" w:styleId="35">
    <w:name w:val="批注主题 字符"/>
    <w:basedOn w:val="34"/>
    <w:link w:val="20"/>
    <w:qFormat/>
    <w:uiPriority w:val="0"/>
    <w:rPr>
      <w:rFonts w:ascii="Times New Roman" w:hAnsi="Times New Roman" w:cs="Times New Roman"/>
      <w:b/>
      <w:bCs/>
      <w:kern w:val="2"/>
      <w:sz w:val="21"/>
      <w:szCs w:val="22"/>
    </w:rPr>
  </w:style>
  <w:style w:type="paragraph" w:customStyle="1" w:styleId="36">
    <w:name w:val="修订1"/>
    <w:hidden/>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1FE4C1-4080-4178-A122-B9435F95E0F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87</Pages>
  <Words>8423</Words>
  <Characters>48016</Characters>
  <Lines>400</Lines>
  <Paragraphs>112</Paragraphs>
  <TotalTime>28</TotalTime>
  <ScaleCrop>false</ScaleCrop>
  <LinksUpToDate>false</LinksUpToDate>
  <CharactersWithSpaces>56327</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2023-11-01T09:14:00Z</dcterms:created>
  <dc:creator>植暇荒宰募</dc:creator>
  <cp:lastModifiedBy>A</cp:lastModifiedBy>
  <cp:lastPrinted>2023-11-02T07:30:00Z</cp:lastPrinted>
  <dcterms:modified xsi:type="dcterms:W3CDTF">2023-11-10T03:39:50Z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27014AEB60B14038AEB1DEEA69D92358_13</vt:lpwstr>
  </property>
</Properties>
</file>