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firstLineChars="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drawing>
          <wp:inline distT="0" distB="0" distL="114300" distR="114300">
            <wp:extent cx="5862955" cy="8291195"/>
            <wp:effectExtent l="0" t="0" r="4445" b="14605"/>
            <wp:docPr id="3" name="图片 3"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标文件封面"/>
                    <pic:cNvPicPr>
                      <a:picLocks noChangeAspect="1"/>
                    </pic:cNvPicPr>
                  </pic:nvPicPr>
                  <pic:blipFill>
                    <a:blip r:embed="rId17"/>
                    <a:stretch>
                      <a:fillRect/>
                    </a:stretch>
                  </pic:blipFill>
                  <pic:spPr>
                    <a:xfrm>
                      <a:off x="0" y="0"/>
                      <a:ext cx="5862955" cy="8291195"/>
                    </a:xfrm>
                    <a:prstGeom prst="rect">
                      <a:avLst/>
                    </a:prstGeom>
                  </pic:spPr>
                </pic:pic>
              </a:graphicData>
            </a:graphic>
          </wp:inline>
        </w:drawing>
      </w:r>
    </w:p>
    <w:p>
      <w:pPr>
        <w:spacing w:line="400" w:lineRule="exact"/>
        <w:rPr>
          <w:rFonts w:hint="eastAsia" w:ascii="宋体" w:hAnsi="宋体" w:cs="宋体"/>
          <w:color w:val="auto"/>
          <w:highlight w:val="none"/>
        </w:rPr>
      </w:pPr>
    </w:p>
    <w:p>
      <w:pPr>
        <w:tabs>
          <w:tab w:val="left" w:pos="6575"/>
        </w:tabs>
        <w:spacing w:line="360" w:lineRule="auto"/>
        <w:ind w:firstLine="1500" w:firstLineChars="500"/>
        <w:rPr>
          <w:rFonts w:hint="eastAsia" w:ascii="宋体" w:hAnsi="宋体" w:eastAsia="宋体" w:cs="宋体"/>
          <w:b w:val="0"/>
          <w:bCs w:val="0"/>
          <w:color w:val="auto"/>
          <w:sz w:val="30"/>
          <w:szCs w:val="30"/>
          <w:highlight w:val="none"/>
          <w:u w:val="single"/>
        </w:rPr>
      </w:pPr>
    </w:p>
    <w:p>
      <w:pPr>
        <w:tabs>
          <w:tab w:val="left" w:pos="6575"/>
        </w:tabs>
        <w:spacing w:line="360" w:lineRule="auto"/>
        <w:ind w:firstLine="1500" w:firstLineChars="500"/>
        <w:rPr>
          <w:rFonts w:hint="eastAsia" w:ascii="宋体" w:hAnsi="宋体" w:eastAsia="宋体" w:cs="宋体"/>
          <w:b w:val="0"/>
          <w:bCs w:val="0"/>
          <w:color w:val="auto"/>
          <w:sz w:val="30"/>
          <w:szCs w:val="30"/>
          <w:highlight w:val="none"/>
          <w:u w:val="single"/>
        </w:rPr>
      </w:pPr>
    </w:p>
    <w:p>
      <w:pPr>
        <w:tabs>
          <w:tab w:val="left" w:pos="6575"/>
        </w:tabs>
        <w:spacing w:line="360" w:lineRule="auto"/>
        <w:ind w:firstLine="1606" w:firstLineChars="500"/>
        <w:jc w:val="left"/>
        <w:rPr>
          <w:rFonts w:hint="eastAsia" w:ascii="宋体" w:hAnsi="Calibri" w:cs="宋体"/>
          <w:b/>
          <w:bCs/>
          <w:color w:val="auto"/>
          <w:sz w:val="32"/>
          <w:szCs w:val="32"/>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sectPr>
          <w:pgSz w:w="11906" w:h="16838"/>
          <w:pgMar w:top="1440" w:right="1800" w:bottom="1440" w:left="1800" w:header="851" w:footer="992" w:gutter="0"/>
          <w:cols w:space="720" w:num="1"/>
          <w:docGrid w:type="lines" w:linePitch="312" w:charSpace="0"/>
        </w:sectPr>
      </w:pPr>
      <w:bookmarkStart w:id="0" w:name="_Toc152042286"/>
      <w:bookmarkStart w:id="1" w:name="_Toc144974478"/>
    </w:p>
    <w:p>
      <w:pPr>
        <w:rPr>
          <w:rFonts w:hint="eastAsia" w:ascii="宋体" w:hAnsi="宋体" w:cs="宋体"/>
          <w:color w:val="auto"/>
          <w:sz w:val="24"/>
          <w:highlight w:val="none"/>
        </w:rPr>
      </w:pPr>
      <w:bookmarkStart w:id="2" w:name="_Toc247527532"/>
      <w:bookmarkStart w:id="3" w:name="_Toc11895"/>
      <w:bookmarkStart w:id="4" w:name="_Toc300834926"/>
    </w:p>
    <w:p>
      <w:pPr>
        <w:jc w:val="center"/>
        <w:rPr>
          <w:rFonts w:hint="eastAsia"/>
          <w:b/>
          <w:bCs/>
          <w:color w:val="auto"/>
          <w:sz w:val="30"/>
          <w:szCs w:val="30"/>
          <w:highlight w:val="none"/>
        </w:rPr>
      </w:pPr>
      <w:r>
        <w:rPr>
          <w:rFonts w:hint="eastAsia"/>
          <w:b/>
          <w:bCs/>
          <w:color w:val="auto"/>
          <w:sz w:val="30"/>
          <w:szCs w:val="30"/>
          <w:highlight w:val="none"/>
        </w:rPr>
        <w:t>目  录</w:t>
      </w:r>
      <w:bookmarkEnd w:id="0"/>
      <w:bookmarkEnd w:id="1"/>
      <w:bookmarkEnd w:id="2"/>
      <w:bookmarkEnd w:id="3"/>
      <w:bookmarkEnd w:id="4"/>
    </w:p>
    <w:p>
      <w:pPr>
        <w:pStyle w:val="26"/>
        <w:tabs>
          <w:tab w:val="right" w:leader="dot" w:pos="9072"/>
        </w:tabs>
        <w:spacing w:before="0" w:after="0" w:line="320" w:lineRule="exact"/>
        <w:jc w:val="center"/>
        <w:rPr>
          <w:rFonts w:hint="eastAsia" w:ascii="宋体" w:hAnsi="宋体" w:cs="宋体"/>
          <w:caps w:val="0"/>
          <w:color w:val="auto"/>
          <w:highlight w:val="none"/>
        </w:rPr>
      </w:pPr>
      <w:bookmarkStart w:id="5" w:name="_Toc247513932"/>
      <w:bookmarkStart w:id="6" w:name="_Toc247527533"/>
      <w:bookmarkStart w:id="7" w:name="_Toc144974479"/>
      <w:bookmarkStart w:id="8" w:name="_Toc152042287"/>
      <w:bookmarkStart w:id="9" w:name="_Toc152045511"/>
    </w:p>
    <w:p>
      <w:pPr>
        <w:pStyle w:val="26"/>
        <w:tabs>
          <w:tab w:val="right" w:leader="dot" w:pos="9072"/>
        </w:tabs>
        <w:rPr>
          <w:highlight w:val="none"/>
        </w:rPr>
      </w:pPr>
      <w:r>
        <w:rPr>
          <w:rFonts w:hint="eastAsia" w:ascii="宋体" w:hAnsi="宋体" w:cs="宋体"/>
          <w:caps w:val="0"/>
          <w:color w:val="auto"/>
          <w:sz w:val="24"/>
          <w:szCs w:val="24"/>
          <w:highlight w:val="none"/>
        </w:rPr>
        <w:fldChar w:fldCharType="begin"/>
      </w:r>
      <w:r>
        <w:rPr>
          <w:rFonts w:hint="eastAsia" w:ascii="宋体" w:hAnsi="宋体" w:cs="宋体"/>
          <w:caps w:val="0"/>
          <w:color w:val="auto"/>
          <w:sz w:val="24"/>
          <w:szCs w:val="24"/>
          <w:highlight w:val="none"/>
        </w:rPr>
        <w:instrText xml:space="preserve"> TOC \o "1-3" \h \z \u </w:instrText>
      </w:r>
      <w:r>
        <w:rPr>
          <w:rFonts w:hint="eastAsia" w:ascii="宋体" w:hAnsi="宋体" w:cs="宋体"/>
          <w:caps w:val="0"/>
          <w:color w:val="auto"/>
          <w:sz w:val="24"/>
          <w:szCs w:val="24"/>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_Toc25358 </w:instrText>
      </w:r>
      <w:r>
        <w:rPr>
          <w:rFonts w:hint="eastAsia" w:ascii="宋体" w:hAnsi="宋体" w:cs="宋体"/>
          <w:highlight w:val="none"/>
        </w:rPr>
        <w:fldChar w:fldCharType="separate"/>
      </w:r>
      <w:r>
        <w:rPr>
          <w:rFonts w:hint="eastAsia" w:ascii="宋体" w:hAnsi="宋体" w:cs="宋体"/>
          <w:highlight w:val="none"/>
        </w:rPr>
        <w:t>第一章  招标公告</w:t>
      </w:r>
      <w:r>
        <w:rPr>
          <w:highlight w:val="none"/>
        </w:rPr>
        <w:tab/>
      </w:r>
      <w:r>
        <w:rPr>
          <w:highlight w:val="none"/>
        </w:rPr>
        <w:fldChar w:fldCharType="begin"/>
      </w:r>
      <w:r>
        <w:rPr>
          <w:highlight w:val="none"/>
        </w:rPr>
        <w:instrText xml:space="preserve"> PAGEREF _Toc25358 \h </w:instrText>
      </w:r>
      <w:r>
        <w:rPr>
          <w:highlight w:val="none"/>
        </w:rPr>
        <w:fldChar w:fldCharType="separate"/>
      </w:r>
      <w:r>
        <w:rPr>
          <w:highlight w:val="none"/>
        </w:rPr>
        <w:t>1</w:t>
      </w:r>
      <w:r>
        <w:rPr>
          <w:highlight w:val="none"/>
        </w:rPr>
        <w:fldChar w:fldCharType="end"/>
      </w:r>
      <w:r>
        <w:rPr>
          <w:rFonts w:hint="eastAsia" w:ascii="宋体" w:hAnsi="宋体" w:cs="宋体"/>
          <w:color w:val="auto"/>
          <w:highlight w:val="none"/>
        </w:rPr>
        <w:fldChar w:fldCharType="end"/>
      </w:r>
    </w:p>
    <w:p>
      <w:pPr>
        <w:pStyle w:val="26"/>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_Toc13605 </w:instrText>
      </w:r>
      <w:r>
        <w:rPr>
          <w:rFonts w:hint="eastAsia" w:ascii="宋体" w:hAnsi="宋体" w:cs="宋体"/>
          <w:highlight w:val="none"/>
        </w:rPr>
        <w:fldChar w:fldCharType="separate"/>
      </w:r>
      <w:r>
        <w:rPr>
          <w:rFonts w:hint="eastAsia" w:ascii="宋体" w:hAnsi="宋体" w:cs="宋体"/>
          <w:highlight w:val="none"/>
        </w:rPr>
        <w:t>第二章  投标人须知</w:t>
      </w:r>
      <w:r>
        <w:rPr>
          <w:highlight w:val="none"/>
        </w:rPr>
        <w:tab/>
      </w:r>
      <w:r>
        <w:rPr>
          <w:highlight w:val="none"/>
        </w:rPr>
        <w:fldChar w:fldCharType="begin"/>
      </w:r>
      <w:r>
        <w:rPr>
          <w:highlight w:val="none"/>
        </w:rPr>
        <w:instrText xml:space="preserve"> PAGEREF _Toc13605 \h </w:instrText>
      </w:r>
      <w:r>
        <w:rPr>
          <w:highlight w:val="none"/>
        </w:rPr>
        <w:fldChar w:fldCharType="separate"/>
      </w:r>
      <w:r>
        <w:rPr>
          <w:highlight w:val="none"/>
        </w:rPr>
        <w:t>2</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_Toc17976 </w:instrText>
      </w:r>
      <w:r>
        <w:rPr>
          <w:rFonts w:hint="eastAsia" w:ascii="宋体" w:hAnsi="宋体" w:cs="宋体"/>
          <w:highlight w:val="none"/>
        </w:rPr>
        <w:fldChar w:fldCharType="separate"/>
      </w:r>
      <w:r>
        <w:rPr>
          <w:rFonts w:hint="eastAsia" w:ascii="宋体" w:hAnsi="宋体" w:eastAsia="宋体" w:cs="宋体"/>
          <w:highlight w:val="none"/>
        </w:rPr>
        <w:t>投标人须知前附表</w:t>
      </w:r>
      <w:r>
        <w:rPr>
          <w:highlight w:val="none"/>
        </w:rPr>
        <w:tab/>
      </w:r>
      <w:r>
        <w:rPr>
          <w:highlight w:val="none"/>
        </w:rPr>
        <w:fldChar w:fldCharType="begin"/>
      </w:r>
      <w:r>
        <w:rPr>
          <w:highlight w:val="none"/>
        </w:rPr>
        <w:instrText xml:space="preserve"> PAGEREF _Toc17976 \h </w:instrText>
      </w:r>
      <w:r>
        <w:rPr>
          <w:highlight w:val="none"/>
        </w:rPr>
        <w:fldChar w:fldCharType="separate"/>
      </w:r>
      <w:r>
        <w:rPr>
          <w:highlight w:val="none"/>
        </w:rPr>
        <w:t>2</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_Toc8423 </w:instrText>
      </w:r>
      <w:r>
        <w:rPr>
          <w:rFonts w:hint="eastAsia" w:ascii="宋体" w:hAnsi="宋体" w:cs="宋体"/>
          <w:highlight w:val="none"/>
        </w:rPr>
        <w:fldChar w:fldCharType="separate"/>
      </w:r>
      <w:r>
        <w:rPr>
          <w:rFonts w:hint="eastAsia" w:ascii="宋体" w:hAnsi="宋体" w:eastAsia="宋体" w:cs="宋体"/>
          <w:highlight w:val="none"/>
        </w:rPr>
        <w:t>1. 总则</w:t>
      </w:r>
      <w:r>
        <w:rPr>
          <w:highlight w:val="none"/>
        </w:rPr>
        <w:tab/>
      </w:r>
      <w:r>
        <w:rPr>
          <w:highlight w:val="none"/>
        </w:rPr>
        <w:fldChar w:fldCharType="begin"/>
      </w:r>
      <w:r>
        <w:rPr>
          <w:highlight w:val="none"/>
        </w:rPr>
        <w:instrText xml:space="preserve"> PAGEREF _Toc8423 \h </w:instrText>
      </w:r>
      <w:r>
        <w:rPr>
          <w:highlight w:val="none"/>
        </w:rPr>
        <w:fldChar w:fldCharType="separate"/>
      </w:r>
      <w:r>
        <w:rPr>
          <w:highlight w:val="none"/>
        </w:rPr>
        <w:t>11</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_Toc18678 </w:instrText>
      </w:r>
      <w:r>
        <w:rPr>
          <w:rFonts w:hint="eastAsia" w:ascii="宋体" w:hAnsi="宋体" w:cs="宋体"/>
          <w:highlight w:val="none"/>
        </w:rPr>
        <w:fldChar w:fldCharType="separate"/>
      </w:r>
      <w:r>
        <w:rPr>
          <w:rFonts w:hint="eastAsia" w:ascii="宋体" w:hAnsi="宋体" w:eastAsia="宋体" w:cs="宋体"/>
          <w:highlight w:val="none"/>
        </w:rPr>
        <w:t>2. 招标文件</w:t>
      </w:r>
      <w:r>
        <w:rPr>
          <w:highlight w:val="none"/>
        </w:rPr>
        <w:tab/>
      </w:r>
      <w:r>
        <w:rPr>
          <w:highlight w:val="none"/>
        </w:rPr>
        <w:fldChar w:fldCharType="begin"/>
      </w:r>
      <w:r>
        <w:rPr>
          <w:highlight w:val="none"/>
        </w:rPr>
        <w:instrText xml:space="preserve"> PAGEREF _Toc18678 \h </w:instrText>
      </w:r>
      <w:r>
        <w:rPr>
          <w:highlight w:val="none"/>
        </w:rPr>
        <w:fldChar w:fldCharType="separate"/>
      </w:r>
      <w:r>
        <w:rPr>
          <w:highlight w:val="none"/>
        </w:rPr>
        <w:t>13</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_Toc11165 </w:instrText>
      </w:r>
      <w:r>
        <w:rPr>
          <w:rFonts w:hint="eastAsia" w:ascii="宋体" w:hAnsi="宋体" w:cs="宋体"/>
          <w:highlight w:val="none"/>
        </w:rPr>
        <w:fldChar w:fldCharType="separate"/>
      </w:r>
      <w:r>
        <w:rPr>
          <w:rFonts w:hint="eastAsia" w:ascii="宋体" w:hAnsi="宋体" w:eastAsia="宋体" w:cs="宋体"/>
          <w:highlight w:val="none"/>
        </w:rPr>
        <w:t>3. 投标文件</w:t>
      </w:r>
      <w:r>
        <w:rPr>
          <w:highlight w:val="none"/>
        </w:rPr>
        <w:tab/>
      </w:r>
      <w:r>
        <w:rPr>
          <w:highlight w:val="none"/>
        </w:rPr>
        <w:fldChar w:fldCharType="begin"/>
      </w:r>
      <w:r>
        <w:rPr>
          <w:highlight w:val="none"/>
        </w:rPr>
        <w:instrText xml:space="preserve"> PAGEREF _Toc11165 \h </w:instrText>
      </w:r>
      <w:r>
        <w:rPr>
          <w:highlight w:val="none"/>
        </w:rPr>
        <w:fldChar w:fldCharType="separate"/>
      </w:r>
      <w:r>
        <w:rPr>
          <w:highlight w:val="none"/>
        </w:rPr>
        <w:t>15</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_Toc7143 </w:instrText>
      </w:r>
      <w:r>
        <w:rPr>
          <w:rFonts w:hint="eastAsia" w:ascii="宋体" w:hAnsi="宋体" w:cs="宋体"/>
          <w:highlight w:val="none"/>
        </w:rPr>
        <w:fldChar w:fldCharType="separate"/>
      </w:r>
      <w:r>
        <w:rPr>
          <w:rFonts w:hint="eastAsia" w:ascii="宋体" w:hAnsi="宋体" w:eastAsia="宋体" w:cs="宋体"/>
          <w:highlight w:val="none"/>
        </w:rPr>
        <w:t>4. 投标</w:t>
      </w:r>
      <w:r>
        <w:rPr>
          <w:highlight w:val="none"/>
        </w:rPr>
        <w:tab/>
      </w:r>
      <w:r>
        <w:rPr>
          <w:highlight w:val="none"/>
        </w:rPr>
        <w:fldChar w:fldCharType="begin"/>
      </w:r>
      <w:r>
        <w:rPr>
          <w:highlight w:val="none"/>
        </w:rPr>
        <w:instrText xml:space="preserve"> PAGEREF _Toc7143 \h </w:instrText>
      </w:r>
      <w:r>
        <w:rPr>
          <w:highlight w:val="none"/>
        </w:rPr>
        <w:fldChar w:fldCharType="separate"/>
      </w:r>
      <w:r>
        <w:rPr>
          <w:highlight w:val="none"/>
        </w:rPr>
        <w:t>18</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_Toc2095 </w:instrText>
      </w:r>
      <w:r>
        <w:rPr>
          <w:rFonts w:hint="eastAsia" w:ascii="宋体" w:hAnsi="宋体" w:cs="宋体"/>
          <w:highlight w:val="none"/>
        </w:rPr>
        <w:fldChar w:fldCharType="separate"/>
      </w:r>
      <w:r>
        <w:rPr>
          <w:rFonts w:hint="eastAsia" w:ascii="宋体" w:hAnsi="宋体" w:eastAsia="宋体" w:cs="宋体"/>
          <w:highlight w:val="none"/>
        </w:rPr>
        <w:t>5. 开标</w:t>
      </w:r>
      <w:r>
        <w:rPr>
          <w:highlight w:val="none"/>
        </w:rPr>
        <w:tab/>
      </w:r>
      <w:r>
        <w:rPr>
          <w:highlight w:val="none"/>
        </w:rPr>
        <w:fldChar w:fldCharType="begin"/>
      </w:r>
      <w:r>
        <w:rPr>
          <w:highlight w:val="none"/>
        </w:rPr>
        <w:instrText xml:space="preserve"> PAGEREF _Toc2095 \h </w:instrText>
      </w:r>
      <w:r>
        <w:rPr>
          <w:highlight w:val="none"/>
        </w:rPr>
        <w:fldChar w:fldCharType="separate"/>
      </w:r>
      <w:r>
        <w:rPr>
          <w:highlight w:val="none"/>
        </w:rPr>
        <w:t>19</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_Toc5620 </w:instrText>
      </w:r>
      <w:r>
        <w:rPr>
          <w:rFonts w:hint="eastAsia" w:ascii="宋体" w:hAnsi="宋体" w:cs="宋体"/>
          <w:highlight w:val="none"/>
        </w:rPr>
        <w:fldChar w:fldCharType="separate"/>
      </w:r>
      <w:r>
        <w:rPr>
          <w:rFonts w:hint="eastAsia" w:ascii="宋体" w:hAnsi="宋体" w:eastAsia="宋体" w:cs="宋体"/>
          <w:highlight w:val="none"/>
        </w:rPr>
        <w:t>6.评标</w:t>
      </w:r>
      <w:r>
        <w:rPr>
          <w:highlight w:val="none"/>
        </w:rPr>
        <w:tab/>
      </w:r>
      <w:r>
        <w:rPr>
          <w:highlight w:val="none"/>
        </w:rPr>
        <w:fldChar w:fldCharType="begin"/>
      </w:r>
      <w:r>
        <w:rPr>
          <w:highlight w:val="none"/>
        </w:rPr>
        <w:instrText xml:space="preserve"> PAGEREF _Toc5620 \h </w:instrText>
      </w:r>
      <w:r>
        <w:rPr>
          <w:highlight w:val="none"/>
        </w:rPr>
        <w:fldChar w:fldCharType="separate"/>
      </w:r>
      <w:r>
        <w:rPr>
          <w:highlight w:val="none"/>
        </w:rPr>
        <w:t>20</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_Toc6848 </w:instrText>
      </w:r>
      <w:r>
        <w:rPr>
          <w:rFonts w:hint="eastAsia" w:ascii="宋体" w:hAnsi="宋体" w:cs="宋体"/>
          <w:highlight w:val="none"/>
        </w:rPr>
        <w:fldChar w:fldCharType="separate"/>
      </w:r>
      <w:r>
        <w:rPr>
          <w:rFonts w:hint="eastAsia" w:ascii="宋体" w:hAnsi="宋体" w:eastAsia="宋体" w:cs="宋体"/>
          <w:highlight w:val="none"/>
        </w:rPr>
        <w:t>7. 合同授予</w:t>
      </w:r>
      <w:r>
        <w:rPr>
          <w:highlight w:val="none"/>
        </w:rPr>
        <w:tab/>
      </w:r>
      <w:r>
        <w:rPr>
          <w:highlight w:val="none"/>
        </w:rPr>
        <w:fldChar w:fldCharType="begin"/>
      </w:r>
      <w:r>
        <w:rPr>
          <w:highlight w:val="none"/>
        </w:rPr>
        <w:instrText xml:space="preserve"> PAGEREF _Toc6848 \h </w:instrText>
      </w:r>
      <w:r>
        <w:rPr>
          <w:highlight w:val="none"/>
        </w:rPr>
        <w:fldChar w:fldCharType="separate"/>
      </w:r>
      <w:r>
        <w:rPr>
          <w:highlight w:val="none"/>
        </w:rPr>
        <w:t>22</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_Toc26180 </w:instrText>
      </w:r>
      <w:r>
        <w:rPr>
          <w:rFonts w:hint="eastAsia" w:ascii="宋体" w:hAnsi="宋体" w:cs="宋体"/>
          <w:highlight w:val="none"/>
        </w:rPr>
        <w:fldChar w:fldCharType="separate"/>
      </w:r>
      <w:r>
        <w:rPr>
          <w:rFonts w:hint="eastAsia" w:ascii="宋体" w:hAnsi="宋体" w:eastAsia="宋体" w:cs="宋体"/>
          <w:highlight w:val="none"/>
        </w:rPr>
        <w:t>8. 纪律和监督</w:t>
      </w:r>
      <w:r>
        <w:rPr>
          <w:highlight w:val="none"/>
        </w:rPr>
        <w:tab/>
      </w:r>
      <w:r>
        <w:rPr>
          <w:highlight w:val="none"/>
        </w:rPr>
        <w:fldChar w:fldCharType="begin"/>
      </w:r>
      <w:r>
        <w:rPr>
          <w:highlight w:val="none"/>
        </w:rPr>
        <w:instrText xml:space="preserve"> PAGEREF _Toc26180 \h </w:instrText>
      </w:r>
      <w:r>
        <w:rPr>
          <w:highlight w:val="none"/>
        </w:rPr>
        <w:fldChar w:fldCharType="separate"/>
      </w:r>
      <w:r>
        <w:rPr>
          <w:highlight w:val="none"/>
        </w:rPr>
        <w:t>23</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_Toc26772 </w:instrText>
      </w:r>
      <w:r>
        <w:rPr>
          <w:rFonts w:hint="eastAsia" w:ascii="宋体" w:hAnsi="宋体" w:cs="宋体"/>
          <w:highlight w:val="none"/>
        </w:rPr>
        <w:fldChar w:fldCharType="separate"/>
      </w:r>
      <w:r>
        <w:rPr>
          <w:rFonts w:hint="eastAsia" w:ascii="宋体" w:hAnsi="宋体" w:eastAsia="宋体" w:cs="宋体"/>
          <w:highlight w:val="none"/>
        </w:rPr>
        <w:t>9. 需要补充的其他内容</w:t>
      </w:r>
      <w:r>
        <w:rPr>
          <w:highlight w:val="none"/>
        </w:rPr>
        <w:tab/>
      </w:r>
      <w:r>
        <w:rPr>
          <w:highlight w:val="none"/>
        </w:rPr>
        <w:fldChar w:fldCharType="begin"/>
      </w:r>
      <w:r>
        <w:rPr>
          <w:highlight w:val="none"/>
        </w:rPr>
        <w:instrText xml:space="preserve"> PAGEREF _Toc26772 \h </w:instrText>
      </w:r>
      <w:r>
        <w:rPr>
          <w:highlight w:val="none"/>
        </w:rPr>
        <w:fldChar w:fldCharType="separate"/>
      </w:r>
      <w:r>
        <w:rPr>
          <w:highlight w:val="none"/>
        </w:rPr>
        <w:t>24</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_Toc836 </w:instrText>
      </w:r>
      <w:r>
        <w:rPr>
          <w:rFonts w:hint="eastAsia" w:ascii="宋体" w:hAnsi="宋体" w:cs="宋体"/>
          <w:highlight w:val="none"/>
        </w:rPr>
        <w:fldChar w:fldCharType="separate"/>
      </w:r>
      <w:r>
        <w:rPr>
          <w:rFonts w:hint="eastAsia" w:ascii="宋体" w:hAnsi="宋体" w:eastAsia="宋体" w:cs="宋体"/>
          <w:highlight w:val="none"/>
        </w:rPr>
        <w:t>10. 电子招标投标</w:t>
      </w:r>
      <w:r>
        <w:rPr>
          <w:highlight w:val="none"/>
        </w:rPr>
        <w:tab/>
      </w:r>
      <w:r>
        <w:rPr>
          <w:highlight w:val="none"/>
        </w:rPr>
        <w:fldChar w:fldCharType="begin"/>
      </w:r>
      <w:r>
        <w:rPr>
          <w:highlight w:val="none"/>
        </w:rPr>
        <w:instrText xml:space="preserve"> PAGEREF _Toc836 \h </w:instrText>
      </w:r>
      <w:r>
        <w:rPr>
          <w:highlight w:val="none"/>
        </w:rPr>
        <w:fldChar w:fldCharType="separate"/>
      </w:r>
      <w:r>
        <w:rPr>
          <w:highlight w:val="none"/>
        </w:rPr>
        <w:t>24</w:t>
      </w:r>
      <w:r>
        <w:rPr>
          <w:highlight w:val="none"/>
        </w:rPr>
        <w:fldChar w:fldCharType="end"/>
      </w:r>
      <w:r>
        <w:rPr>
          <w:rFonts w:hint="eastAsia" w:ascii="宋体" w:hAnsi="宋体" w:cs="宋体"/>
          <w:color w:val="auto"/>
          <w:highlight w:val="none"/>
        </w:rPr>
        <w:fldChar w:fldCharType="end"/>
      </w:r>
    </w:p>
    <w:p>
      <w:pPr>
        <w:pStyle w:val="26"/>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_Toc25406 </w:instrText>
      </w:r>
      <w:r>
        <w:rPr>
          <w:rFonts w:hint="eastAsia" w:ascii="宋体" w:hAnsi="宋体" w:cs="宋体"/>
          <w:highlight w:val="none"/>
        </w:rPr>
        <w:fldChar w:fldCharType="separate"/>
      </w:r>
      <w:r>
        <w:rPr>
          <w:rFonts w:hint="eastAsia" w:ascii="宋体" w:hAnsi="宋体" w:cs="宋体"/>
          <w:highlight w:val="none"/>
        </w:rPr>
        <w:t>第三章  评</w:t>
      </w:r>
      <w:r>
        <w:rPr>
          <w:rFonts w:hint="eastAsia" w:ascii="宋体" w:hAnsi="宋体" w:cs="宋体"/>
          <w:highlight w:val="none"/>
          <w:lang w:eastAsia="zh-CN"/>
        </w:rPr>
        <w:t>（定）</w:t>
      </w:r>
      <w:r>
        <w:rPr>
          <w:rFonts w:hint="eastAsia" w:ascii="宋体" w:hAnsi="宋体" w:cs="宋体"/>
          <w:highlight w:val="none"/>
        </w:rPr>
        <w:t>标办法（</w:t>
      </w:r>
      <w:r>
        <w:rPr>
          <w:rFonts w:hint="eastAsia" w:ascii="宋体" w:hAnsi="宋体" w:cs="宋体"/>
          <w:highlight w:val="none"/>
          <w:lang w:eastAsia="zh-CN"/>
        </w:rPr>
        <w:t>合格制评审法</w:t>
      </w:r>
      <w:r>
        <w:rPr>
          <w:rFonts w:hint="eastAsia" w:ascii="宋体" w:hAnsi="宋体" w:cs="宋体"/>
          <w:highlight w:val="none"/>
        </w:rPr>
        <w:t>）</w:t>
      </w:r>
      <w:r>
        <w:rPr>
          <w:highlight w:val="none"/>
        </w:rPr>
        <w:tab/>
      </w:r>
      <w:r>
        <w:rPr>
          <w:highlight w:val="none"/>
        </w:rPr>
        <w:fldChar w:fldCharType="begin"/>
      </w:r>
      <w:r>
        <w:rPr>
          <w:highlight w:val="none"/>
        </w:rPr>
        <w:instrText xml:space="preserve"> PAGEREF _Toc25406 \h </w:instrText>
      </w:r>
      <w:r>
        <w:rPr>
          <w:highlight w:val="none"/>
        </w:rPr>
        <w:fldChar w:fldCharType="separate"/>
      </w:r>
      <w:r>
        <w:rPr>
          <w:highlight w:val="none"/>
        </w:rPr>
        <w:t>29</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_Toc28773 </w:instrText>
      </w:r>
      <w:r>
        <w:rPr>
          <w:rFonts w:hint="eastAsia" w:ascii="宋体" w:hAnsi="宋体" w:cs="宋体"/>
          <w:highlight w:val="none"/>
        </w:rPr>
        <w:fldChar w:fldCharType="separate"/>
      </w:r>
      <w:r>
        <w:rPr>
          <w:rFonts w:hint="eastAsia" w:ascii="宋体" w:hAnsi="宋体" w:eastAsia="宋体" w:cs="宋体"/>
          <w:highlight w:val="none"/>
        </w:rPr>
        <w:t>1. 评</w:t>
      </w:r>
      <w:r>
        <w:rPr>
          <w:rFonts w:hint="eastAsia" w:ascii="宋体" w:hAnsi="宋体" w:eastAsia="宋体" w:cs="宋体"/>
          <w:highlight w:val="none"/>
          <w:lang w:eastAsia="zh-CN"/>
        </w:rPr>
        <w:t>（定）</w:t>
      </w:r>
      <w:r>
        <w:rPr>
          <w:rFonts w:hint="eastAsia" w:ascii="宋体" w:hAnsi="宋体" w:eastAsia="宋体" w:cs="宋体"/>
          <w:highlight w:val="none"/>
        </w:rPr>
        <w:t>标方法</w:t>
      </w:r>
      <w:r>
        <w:rPr>
          <w:highlight w:val="none"/>
        </w:rPr>
        <w:tab/>
      </w:r>
      <w:r>
        <w:rPr>
          <w:highlight w:val="none"/>
        </w:rPr>
        <w:fldChar w:fldCharType="begin"/>
      </w:r>
      <w:r>
        <w:rPr>
          <w:highlight w:val="none"/>
        </w:rPr>
        <w:instrText xml:space="preserve"> PAGEREF _Toc28773 \h </w:instrText>
      </w:r>
      <w:r>
        <w:rPr>
          <w:highlight w:val="none"/>
        </w:rPr>
        <w:fldChar w:fldCharType="separate"/>
      </w:r>
      <w:r>
        <w:rPr>
          <w:highlight w:val="none"/>
        </w:rPr>
        <w:t>30</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_Toc3849 </w:instrText>
      </w:r>
      <w:r>
        <w:rPr>
          <w:rFonts w:hint="eastAsia" w:ascii="宋体" w:hAnsi="宋体" w:cs="宋体"/>
          <w:highlight w:val="none"/>
        </w:rPr>
        <w:fldChar w:fldCharType="separate"/>
      </w:r>
      <w:r>
        <w:rPr>
          <w:rFonts w:hint="eastAsia" w:ascii="宋体" w:hAnsi="宋体" w:eastAsia="宋体" w:cs="宋体"/>
          <w:highlight w:val="none"/>
        </w:rPr>
        <w:t>2. 评审标准</w:t>
      </w:r>
      <w:r>
        <w:rPr>
          <w:highlight w:val="none"/>
        </w:rPr>
        <w:tab/>
      </w:r>
      <w:r>
        <w:rPr>
          <w:highlight w:val="none"/>
        </w:rPr>
        <w:fldChar w:fldCharType="begin"/>
      </w:r>
      <w:r>
        <w:rPr>
          <w:highlight w:val="none"/>
        </w:rPr>
        <w:instrText xml:space="preserve"> PAGEREF _Toc3849 \h </w:instrText>
      </w:r>
      <w:r>
        <w:rPr>
          <w:highlight w:val="none"/>
        </w:rPr>
        <w:fldChar w:fldCharType="separate"/>
      </w:r>
      <w:r>
        <w:rPr>
          <w:highlight w:val="none"/>
        </w:rPr>
        <w:t>30</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_Toc1137 </w:instrText>
      </w:r>
      <w:r>
        <w:rPr>
          <w:rFonts w:hint="eastAsia" w:ascii="宋体" w:hAnsi="宋体" w:cs="宋体"/>
          <w:highlight w:val="none"/>
        </w:rPr>
        <w:fldChar w:fldCharType="separate"/>
      </w:r>
      <w:r>
        <w:rPr>
          <w:rFonts w:hint="eastAsia" w:ascii="宋体" w:hAnsi="宋体" w:eastAsia="宋体" w:cs="宋体"/>
          <w:highlight w:val="none"/>
        </w:rPr>
        <w:t>3. 评标</w:t>
      </w:r>
      <w:r>
        <w:rPr>
          <w:rFonts w:hint="eastAsia" w:ascii="宋体" w:hAnsi="宋体" w:eastAsia="宋体" w:cs="宋体"/>
          <w:highlight w:val="none"/>
          <w:lang w:eastAsia="zh-CN"/>
        </w:rPr>
        <w:t>、定标</w:t>
      </w:r>
      <w:r>
        <w:rPr>
          <w:rFonts w:hint="eastAsia" w:ascii="宋体" w:hAnsi="宋体" w:eastAsia="宋体" w:cs="宋体"/>
          <w:highlight w:val="none"/>
        </w:rPr>
        <w:t>程序</w:t>
      </w:r>
      <w:r>
        <w:rPr>
          <w:highlight w:val="none"/>
        </w:rPr>
        <w:tab/>
      </w:r>
      <w:r>
        <w:rPr>
          <w:highlight w:val="none"/>
        </w:rPr>
        <w:fldChar w:fldCharType="begin"/>
      </w:r>
      <w:r>
        <w:rPr>
          <w:highlight w:val="none"/>
        </w:rPr>
        <w:instrText xml:space="preserve"> PAGEREF _Toc1137 \h </w:instrText>
      </w:r>
      <w:r>
        <w:rPr>
          <w:highlight w:val="none"/>
        </w:rPr>
        <w:fldChar w:fldCharType="separate"/>
      </w:r>
      <w:r>
        <w:rPr>
          <w:highlight w:val="none"/>
        </w:rPr>
        <w:t>31</w:t>
      </w:r>
      <w:r>
        <w:rPr>
          <w:highlight w:val="none"/>
        </w:rPr>
        <w:fldChar w:fldCharType="end"/>
      </w:r>
      <w:r>
        <w:rPr>
          <w:rFonts w:hint="eastAsia" w:ascii="宋体" w:hAnsi="宋体" w:cs="宋体"/>
          <w:color w:val="auto"/>
          <w:highlight w:val="none"/>
        </w:rPr>
        <w:fldChar w:fldCharType="end"/>
      </w:r>
    </w:p>
    <w:p>
      <w:pPr>
        <w:pStyle w:val="30"/>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_Toc31859 </w:instrText>
      </w:r>
      <w:r>
        <w:rPr>
          <w:rFonts w:hint="eastAsia" w:ascii="宋体" w:hAnsi="宋体" w:cs="宋体"/>
          <w:highlight w:val="none"/>
        </w:rPr>
        <w:fldChar w:fldCharType="separate"/>
      </w:r>
      <w:r>
        <w:rPr>
          <w:rFonts w:hint="eastAsia" w:ascii="宋体" w:hAnsi="宋体" w:eastAsia="宋体" w:cs="宋体"/>
          <w:highlight w:val="none"/>
          <w:lang w:val="zh-CN"/>
        </w:rPr>
        <w:t>4. 评标表格</w:t>
      </w:r>
      <w:r>
        <w:rPr>
          <w:highlight w:val="none"/>
        </w:rPr>
        <w:tab/>
      </w:r>
      <w:r>
        <w:rPr>
          <w:highlight w:val="none"/>
        </w:rPr>
        <w:fldChar w:fldCharType="begin"/>
      </w:r>
      <w:r>
        <w:rPr>
          <w:highlight w:val="none"/>
        </w:rPr>
        <w:instrText xml:space="preserve"> PAGEREF _Toc31859 \h </w:instrText>
      </w:r>
      <w:r>
        <w:rPr>
          <w:highlight w:val="none"/>
        </w:rPr>
        <w:fldChar w:fldCharType="separate"/>
      </w:r>
      <w:r>
        <w:rPr>
          <w:highlight w:val="none"/>
        </w:rPr>
        <w:t>33</w:t>
      </w:r>
      <w:r>
        <w:rPr>
          <w:highlight w:val="none"/>
        </w:rPr>
        <w:fldChar w:fldCharType="end"/>
      </w:r>
      <w:r>
        <w:rPr>
          <w:rFonts w:hint="eastAsia" w:ascii="宋体" w:hAnsi="宋体" w:cs="宋体"/>
          <w:color w:val="auto"/>
          <w:highlight w:val="none"/>
        </w:rPr>
        <w:fldChar w:fldCharType="end"/>
      </w:r>
    </w:p>
    <w:p>
      <w:pPr>
        <w:pStyle w:val="26"/>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_Toc5123 </w:instrText>
      </w:r>
      <w:r>
        <w:rPr>
          <w:rFonts w:hint="eastAsia" w:ascii="宋体" w:hAnsi="宋体" w:cs="宋体"/>
          <w:highlight w:val="none"/>
        </w:rPr>
        <w:fldChar w:fldCharType="separate"/>
      </w:r>
      <w:r>
        <w:rPr>
          <w:rFonts w:hint="eastAsia" w:ascii="宋体" w:hAnsi="宋体" w:cs="宋体"/>
          <w:highlight w:val="none"/>
        </w:rPr>
        <w:t>第四章  合同条款及格式</w:t>
      </w:r>
      <w:r>
        <w:rPr>
          <w:highlight w:val="none"/>
        </w:rPr>
        <w:tab/>
      </w:r>
      <w:r>
        <w:rPr>
          <w:highlight w:val="none"/>
        </w:rPr>
        <w:fldChar w:fldCharType="begin"/>
      </w:r>
      <w:r>
        <w:rPr>
          <w:highlight w:val="none"/>
        </w:rPr>
        <w:instrText xml:space="preserve"> PAGEREF _Toc5123 \h </w:instrText>
      </w:r>
      <w:r>
        <w:rPr>
          <w:highlight w:val="none"/>
        </w:rPr>
        <w:fldChar w:fldCharType="separate"/>
      </w:r>
      <w:r>
        <w:rPr>
          <w:highlight w:val="none"/>
        </w:rPr>
        <w:t>46</w:t>
      </w:r>
      <w:r>
        <w:rPr>
          <w:highlight w:val="none"/>
        </w:rPr>
        <w:fldChar w:fldCharType="end"/>
      </w:r>
      <w:r>
        <w:rPr>
          <w:rFonts w:hint="eastAsia" w:ascii="宋体" w:hAnsi="宋体" w:cs="宋体"/>
          <w:color w:val="auto"/>
          <w:highlight w:val="none"/>
        </w:rPr>
        <w:fldChar w:fldCharType="end"/>
      </w:r>
    </w:p>
    <w:p>
      <w:pPr>
        <w:pStyle w:val="26"/>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_Toc25338 </w:instrText>
      </w:r>
      <w:r>
        <w:rPr>
          <w:rFonts w:hint="eastAsia" w:ascii="宋体" w:hAnsi="宋体" w:cs="宋体"/>
          <w:highlight w:val="none"/>
        </w:rPr>
        <w:fldChar w:fldCharType="separate"/>
      </w:r>
      <w:r>
        <w:rPr>
          <w:rFonts w:hint="eastAsia" w:ascii="宋体" w:hAnsi="宋体" w:cs="宋体"/>
          <w:highlight w:val="none"/>
        </w:rPr>
        <w:t>第五章 招标人要求</w:t>
      </w:r>
      <w:r>
        <w:rPr>
          <w:highlight w:val="none"/>
        </w:rPr>
        <w:tab/>
      </w:r>
      <w:r>
        <w:rPr>
          <w:highlight w:val="none"/>
        </w:rPr>
        <w:fldChar w:fldCharType="begin"/>
      </w:r>
      <w:r>
        <w:rPr>
          <w:highlight w:val="none"/>
        </w:rPr>
        <w:instrText xml:space="preserve"> PAGEREF _Toc25338 \h </w:instrText>
      </w:r>
      <w:r>
        <w:rPr>
          <w:highlight w:val="none"/>
        </w:rPr>
        <w:fldChar w:fldCharType="separate"/>
      </w:r>
      <w:r>
        <w:rPr>
          <w:highlight w:val="none"/>
        </w:rPr>
        <w:t>47</w:t>
      </w:r>
      <w:r>
        <w:rPr>
          <w:highlight w:val="none"/>
        </w:rPr>
        <w:fldChar w:fldCharType="end"/>
      </w:r>
      <w:r>
        <w:rPr>
          <w:rFonts w:hint="eastAsia" w:ascii="宋体" w:hAnsi="宋体" w:cs="宋体"/>
          <w:color w:val="auto"/>
          <w:highlight w:val="none"/>
        </w:rPr>
        <w:fldChar w:fldCharType="end"/>
      </w:r>
    </w:p>
    <w:p>
      <w:pPr>
        <w:pStyle w:val="26"/>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_Toc28434 </w:instrText>
      </w:r>
      <w:r>
        <w:rPr>
          <w:rFonts w:hint="eastAsia" w:ascii="宋体" w:hAnsi="宋体" w:cs="宋体"/>
          <w:highlight w:val="none"/>
        </w:rPr>
        <w:fldChar w:fldCharType="separate"/>
      </w:r>
      <w:r>
        <w:rPr>
          <w:rFonts w:hint="eastAsia" w:ascii="宋体" w:hAnsi="宋体" w:cs="宋体"/>
          <w:highlight w:val="none"/>
        </w:rPr>
        <w:t>第六章  招标人提供的资料</w:t>
      </w:r>
      <w:r>
        <w:rPr>
          <w:highlight w:val="none"/>
        </w:rPr>
        <w:tab/>
      </w:r>
      <w:r>
        <w:rPr>
          <w:highlight w:val="none"/>
        </w:rPr>
        <w:fldChar w:fldCharType="begin"/>
      </w:r>
      <w:r>
        <w:rPr>
          <w:highlight w:val="none"/>
        </w:rPr>
        <w:instrText xml:space="preserve"> PAGEREF _Toc28434 \h </w:instrText>
      </w:r>
      <w:r>
        <w:rPr>
          <w:highlight w:val="none"/>
        </w:rPr>
        <w:fldChar w:fldCharType="separate"/>
      </w:r>
      <w:r>
        <w:rPr>
          <w:highlight w:val="none"/>
        </w:rPr>
        <w:t>49</w:t>
      </w:r>
      <w:r>
        <w:rPr>
          <w:highlight w:val="none"/>
        </w:rPr>
        <w:fldChar w:fldCharType="end"/>
      </w:r>
      <w:r>
        <w:rPr>
          <w:rFonts w:hint="eastAsia" w:ascii="宋体" w:hAnsi="宋体" w:cs="宋体"/>
          <w:color w:val="auto"/>
          <w:highlight w:val="none"/>
        </w:rPr>
        <w:fldChar w:fldCharType="end"/>
      </w:r>
    </w:p>
    <w:p>
      <w:pPr>
        <w:pStyle w:val="26"/>
        <w:tabs>
          <w:tab w:val="right" w:leader="dot" w:pos="9072"/>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_Toc29183 </w:instrText>
      </w:r>
      <w:r>
        <w:rPr>
          <w:rFonts w:hint="eastAsia" w:ascii="宋体" w:hAnsi="宋体" w:cs="宋体"/>
          <w:highlight w:val="none"/>
        </w:rPr>
        <w:fldChar w:fldCharType="separate"/>
      </w:r>
      <w:r>
        <w:rPr>
          <w:rFonts w:hint="eastAsia" w:ascii="宋体" w:hAnsi="宋体" w:cs="宋体"/>
          <w:highlight w:val="none"/>
        </w:rPr>
        <w:t>第七章  投标文件格式</w:t>
      </w:r>
      <w:r>
        <w:rPr>
          <w:highlight w:val="none"/>
        </w:rPr>
        <w:tab/>
      </w:r>
      <w:r>
        <w:rPr>
          <w:highlight w:val="none"/>
        </w:rPr>
        <w:fldChar w:fldCharType="begin"/>
      </w:r>
      <w:r>
        <w:rPr>
          <w:highlight w:val="none"/>
        </w:rPr>
        <w:instrText xml:space="preserve"> PAGEREF _Toc29183 \h </w:instrText>
      </w:r>
      <w:r>
        <w:rPr>
          <w:highlight w:val="none"/>
        </w:rPr>
        <w:fldChar w:fldCharType="separate"/>
      </w:r>
      <w:r>
        <w:rPr>
          <w:highlight w:val="none"/>
        </w:rPr>
        <w:t>50</w:t>
      </w:r>
      <w:r>
        <w:rPr>
          <w:highlight w:val="none"/>
        </w:rPr>
        <w:fldChar w:fldCharType="end"/>
      </w:r>
      <w:r>
        <w:rPr>
          <w:rFonts w:hint="eastAsia" w:ascii="宋体" w:hAnsi="宋体" w:cs="宋体"/>
          <w:color w:val="auto"/>
          <w:highlight w:val="none"/>
        </w:rPr>
        <w:fldChar w:fldCharType="end"/>
      </w:r>
    </w:p>
    <w:p>
      <w:pPr>
        <w:spacing w:line="360" w:lineRule="auto"/>
        <w:rPr>
          <w:rFonts w:hint="eastAsia" w:ascii="宋体" w:hAnsi="宋体" w:cs="宋体"/>
          <w:color w:val="auto"/>
          <w:highlight w:val="none"/>
        </w:rPr>
      </w:pPr>
      <w:r>
        <w:rPr>
          <w:rFonts w:hint="eastAsia" w:ascii="宋体" w:hAnsi="宋体" w:cs="宋体"/>
          <w:color w:val="auto"/>
          <w:sz w:val="24"/>
          <w:highlight w:val="none"/>
        </w:rPr>
        <w:fldChar w:fldCharType="end"/>
      </w:r>
    </w:p>
    <w:p>
      <w:pPr>
        <w:rPr>
          <w:rFonts w:hint="eastAsia" w:ascii="宋体" w:hAnsi="宋体" w:cs="宋体"/>
          <w:caps/>
          <w:color w:val="auto"/>
          <w:sz w:val="20"/>
          <w:szCs w:val="20"/>
          <w:highlight w:val="none"/>
        </w:rPr>
      </w:pPr>
    </w:p>
    <w:p>
      <w:pPr>
        <w:jc w:val="center"/>
        <w:rPr>
          <w:rFonts w:hint="eastAsia" w:ascii="宋体" w:hAnsi="宋体" w:cs="宋体"/>
          <w:caps/>
          <w:color w:val="auto"/>
          <w:sz w:val="20"/>
          <w:szCs w:val="20"/>
          <w:highlight w:val="none"/>
        </w:rPr>
        <w:sectPr>
          <w:footerReference r:id="rId3" w:type="default"/>
          <w:pgSz w:w="11906" w:h="16838"/>
          <w:pgMar w:top="1418" w:right="1417" w:bottom="1418" w:left="1417" w:header="851" w:footer="992" w:gutter="0"/>
          <w:pgNumType w:fmt="upperRoman" w:start="1"/>
          <w:cols w:space="720" w:num="1"/>
          <w:docGrid w:type="lines" w:linePitch="312" w:charSpace="0"/>
        </w:sectPr>
      </w:pPr>
    </w:p>
    <w:p>
      <w:pPr>
        <w:rPr>
          <w:rFonts w:hint="eastAsia" w:ascii="宋体" w:hAnsi="宋体" w:cs="宋体"/>
          <w:caps/>
          <w:color w:val="auto"/>
          <w:sz w:val="20"/>
          <w:szCs w:val="20"/>
          <w:highlight w:val="none"/>
        </w:rPr>
      </w:pPr>
    </w:p>
    <w:p>
      <w:pPr>
        <w:pStyle w:val="21"/>
        <w:rPr>
          <w:rFonts w:hint="eastAsia"/>
          <w:color w:val="auto"/>
          <w:highlight w:val="none"/>
        </w:rPr>
      </w:pPr>
    </w:p>
    <w:bookmarkEnd w:id="5"/>
    <w:bookmarkEnd w:id="6"/>
    <w:p>
      <w:pPr>
        <w:pStyle w:val="21"/>
        <w:rPr>
          <w:rFonts w:hint="eastAsia"/>
          <w:color w:val="auto"/>
          <w:highlight w:val="none"/>
        </w:rPr>
      </w:pPr>
    </w:p>
    <w:p>
      <w:pPr>
        <w:pStyle w:val="21"/>
        <w:rPr>
          <w:rFonts w:hint="eastAsia"/>
          <w:color w:val="auto"/>
          <w:highlight w:val="none"/>
        </w:rPr>
      </w:pPr>
    </w:p>
    <w:p>
      <w:pPr>
        <w:pStyle w:val="3"/>
        <w:spacing w:line="240" w:lineRule="auto"/>
        <w:jc w:val="center"/>
        <w:rPr>
          <w:rFonts w:hint="eastAsia" w:ascii="宋体" w:hAnsi="宋体" w:cs="宋体"/>
          <w:color w:val="auto"/>
          <w:highlight w:val="none"/>
        </w:rPr>
      </w:pPr>
      <w:bookmarkStart w:id="10" w:name="_Toc25358"/>
      <w:bookmarkStart w:id="11" w:name="_Toc247513933"/>
      <w:bookmarkStart w:id="12" w:name="_Toc247527534"/>
      <w:bookmarkStart w:id="13" w:name="_Toc25304"/>
      <w:bookmarkStart w:id="14" w:name="_Toc713"/>
      <w:bookmarkStart w:id="15" w:name="_Toc29409"/>
      <w:r>
        <w:rPr>
          <w:rFonts w:hint="eastAsia" w:ascii="宋体" w:hAnsi="宋体" w:cs="宋体"/>
          <w:color w:val="auto"/>
          <w:highlight w:val="none"/>
        </w:rPr>
        <w:t>第一章  招标公告</w:t>
      </w:r>
      <w:bookmarkEnd w:id="7"/>
      <w:bookmarkEnd w:id="8"/>
      <w:bookmarkEnd w:id="9"/>
      <w:bookmarkEnd w:id="10"/>
      <w:bookmarkEnd w:id="11"/>
      <w:bookmarkEnd w:id="12"/>
      <w:bookmarkEnd w:id="13"/>
      <w:bookmarkEnd w:id="14"/>
      <w:bookmarkEnd w:id="15"/>
    </w:p>
    <w:p>
      <w:pPr>
        <w:jc w:val="center"/>
        <w:rPr>
          <w:rFonts w:hint="eastAsia" w:ascii="宋体" w:hAnsi="宋体" w:cs="宋体"/>
          <w:color w:val="auto"/>
          <w:sz w:val="36"/>
          <w:szCs w:val="36"/>
          <w:highlight w:val="none"/>
        </w:rPr>
      </w:pPr>
    </w:p>
    <w:p>
      <w:pPr>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（另册）（详见招标公告）</w:t>
      </w:r>
    </w:p>
    <w:p>
      <w:pPr>
        <w:rPr>
          <w:rFonts w:hint="eastAsia" w:ascii="宋体" w:hAnsi="宋体" w:cs="宋体"/>
          <w:b/>
          <w:bCs/>
          <w:color w:val="auto"/>
          <w:highlight w:val="none"/>
        </w:rPr>
      </w:pPr>
    </w:p>
    <w:p>
      <w:pPr>
        <w:pStyle w:val="21"/>
        <w:rPr>
          <w:rFonts w:hint="eastAsia" w:ascii="宋体" w:hAnsi="宋体" w:eastAsia="宋体" w:cs="宋体"/>
          <w:b/>
          <w:bCs/>
          <w:color w:val="auto"/>
          <w:highlight w:val="none"/>
        </w:rPr>
      </w:pPr>
    </w:p>
    <w:p>
      <w:pPr>
        <w:pStyle w:val="3"/>
        <w:keepNext w:val="0"/>
        <w:keepLines w:val="0"/>
        <w:pageBreakBefore/>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highlight w:val="none"/>
        </w:rPr>
      </w:pPr>
      <w:bookmarkStart w:id="16" w:name="_Toc16711"/>
      <w:bookmarkStart w:id="17" w:name="_Toc13605"/>
      <w:bookmarkStart w:id="18" w:name="_Toc152045527"/>
      <w:bookmarkStart w:id="19" w:name="_Toc152042303"/>
      <w:bookmarkStart w:id="20" w:name="_Toc247513950"/>
      <w:bookmarkStart w:id="21" w:name="_Toc247527551"/>
      <w:bookmarkStart w:id="22" w:name="_Toc144974495"/>
      <w:bookmarkStart w:id="23" w:name="_Toc6832"/>
      <w:bookmarkStart w:id="24" w:name="_Toc13282"/>
      <w:r>
        <w:rPr>
          <w:rFonts w:hint="eastAsia" w:ascii="宋体" w:hAnsi="宋体" w:cs="宋体"/>
          <w:color w:val="auto"/>
          <w:highlight w:val="none"/>
        </w:rPr>
        <w:t>第二章  投标人须知</w:t>
      </w:r>
      <w:bookmarkEnd w:id="16"/>
      <w:bookmarkEnd w:id="17"/>
      <w:bookmarkEnd w:id="18"/>
      <w:bookmarkEnd w:id="19"/>
      <w:bookmarkEnd w:id="20"/>
      <w:bookmarkEnd w:id="21"/>
      <w:bookmarkEnd w:id="22"/>
      <w:bookmarkEnd w:id="23"/>
      <w:bookmarkEnd w:id="24"/>
    </w:p>
    <w:p>
      <w:pPr>
        <w:pStyle w:val="4"/>
        <w:spacing w:before="140" w:after="140" w:line="416" w:lineRule="auto"/>
        <w:jc w:val="center"/>
        <w:rPr>
          <w:rFonts w:hint="eastAsia" w:ascii="宋体" w:hAnsi="宋体" w:cs="宋体"/>
          <w:color w:val="auto"/>
          <w:highlight w:val="none"/>
        </w:rPr>
      </w:pPr>
      <w:bookmarkStart w:id="25" w:name="_Toc9681"/>
      <w:bookmarkStart w:id="26" w:name="_Toc144974496"/>
      <w:bookmarkStart w:id="27" w:name="_Toc30539"/>
      <w:bookmarkStart w:id="28" w:name="_Toc10604"/>
      <w:bookmarkStart w:id="29" w:name="_Toc152045528"/>
      <w:bookmarkStart w:id="30" w:name="_Toc17976"/>
      <w:bookmarkStart w:id="31" w:name="_Toc247527552"/>
      <w:bookmarkStart w:id="32" w:name="_Toc247513951"/>
      <w:bookmarkStart w:id="33" w:name="_Toc152042304"/>
      <w:r>
        <w:rPr>
          <w:rFonts w:hint="eastAsia" w:ascii="宋体" w:hAnsi="宋体" w:eastAsia="宋体" w:cs="宋体"/>
          <w:color w:val="auto"/>
          <w:highlight w:val="none"/>
        </w:rPr>
        <w:t>投标人须知前附表</w:t>
      </w:r>
      <w:bookmarkEnd w:id="25"/>
      <w:bookmarkEnd w:id="26"/>
      <w:bookmarkEnd w:id="27"/>
      <w:bookmarkEnd w:id="28"/>
      <w:bookmarkEnd w:id="29"/>
      <w:bookmarkEnd w:id="30"/>
      <w:bookmarkEnd w:id="31"/>
      <w:bookmarkEnd w:id="32"/>
      <w:bookmarkEnd w:id="33"/>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784"/>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165" w:type="dxa"/>
            <w:noWrap w:val="0"/>
            <w:vAlign w:val="center"/>
          </w:tcPr>
          <w:p>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784" w:type="dxa"/>
            <w:noWrap w:val="0"/>
            <w:vAlign w:val="center"/>
          </w:tcPr>
          <w:p>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6228" w:type="dxa"/>
            <w:noWrap w:val="0"/>
            <w:vAlign w:val="center"/>
          </w:tcPr>
          <w:p>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228" w:type="dxa"/>
            <w:noWrap w:val="0"/>
            <w:vAlign w:val="center"/>
          </w:tcPr>
          <w:p>
            <w:pPr>
              <w:spacing w:line="360" w:lineRule="exact"/>
              <w:rPr>
                <w:rFonts w:hint="eastAsia" w:ascii="宋体" w:hAnsi="宋体" w:eastAsia="宋体"/>
                <w:color w:val="auto"/>
                <w:highlight w:val="none"/>
                <w:lang w:eastAsia="zh-CN"/>
              </w:rPr>
            </w:pPr>
            <w:r>
              <w:rPr>
                <w:rFonts w:ascii="宋体" w:hAnsi="宋体"/>
                <w:color w:val="auto"/>
                <w:highlight w:val="none"/>
              </w:rPr>
              <w:t>名称：</w:t>
            </w:r>
            <w:r>
              <w:rPr>
                <w:rFonts w:hint="eastAsia" w:ascii="宋体" w:hAnsi="宋体"/>
                <w:color w:val="auto"/>
                <w:highlight w:val="none"/>
                <w:lang w:eastAsia="zh-CN"/>
              </w:rPr>
              <w:t>广州兰园房地产开发有限公司</w:t>
            </w:r>
          </w:p>
          <w:p>
            <w:pPr>
              <w:spacing w:line="360" w:lineRule="exact"/>
              <w:rPr>
                <w:rFonts w:hint="eastAsia" w:ascii="宋体" w:hAnsi="宋体" w:eastAsia="宋体" w:cs="Times New Roman"/>
                <w:color w:val="auto"/>
                <w:highlight w:val="none"/>
                <w:lang w:eastAsia="zh-CN"/>
              </w:rPr>
            </w:pPr>
            <w:r>
              <w:rPr>
                <w:rFonts w:hint="eastAsia" w:ascii="宋体" w:hAnsi="宋体"/>
                <w:color w:val="auto"/>
                <w:highlight w:val="none"/>
              </w:rPr>
              <w:t>地址：</w:t>
            </w:r>
            <w:r>
              <w:rPr>
                <w:rFonts w:hint="eastAsia" w:ascii="宋体" w:hAnsi="宋体" w:eastAsia="宋体" w:cs="Times New Roman"/>
                <w:color w:val="auto"/>
                <w:highlight w:val="none"/>
                <w:lang w:val="en-US" w:eastAsia="zh-CN"/>
              </w:rPr>
              <w:t>广州市天河区思成路35号1单元801-128室</w:t>
            </w:r>
          </w:p>
          <w:p>
            <w:pPr>
              <w:spacing w:line="360" w:lineRule="exac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eastAsia="zh-CN"/>
              </w:rPr>
              <w:t>联系人：</w:t>
            </w:r>
            <w:r>
              <w:rPr>
                <w:rFonts w:hint="eastAsia" w:ascii="宋体" w:hAnsi="宋体" w:eastAsia="宋体" w:cs="Times New Roman"/>
                <w:color w:val="auto"/>
                <w:highlight w:val="none"/>
                <w:lang w:val="en-US" w:eastAsia="zh-CN"/>
              </w:rPr>
              <w:t>王工</w:t>
            </w:r>
          </w:p>
          <w:p>
            <w:pPr>
              <w:spacing w:line="360" w:lineRule="exact"/>
              <w:rPr>
                <w:rFonts w:hint="default" w:ascii="宋体" w:hAnsi="宋体" w:eastAsia="宋体" w:cs="宋体"/>
                <w:color w:val="auto"/>
                <w:szCs w:val="21"/>
                <w:highlight w:val="none"/>
                <w:lang w:val="en-US" w:eastAsia="zh-CN"/>
              </w:rPr>
            </w:pPr>
            <w:r>
              <w:rPr>
                <w:rFonts w:ascii="宋体" w:hAnsi="宋体"/>
                <w:color w:val="auto"/>
                <w:highlight w:val="none"/>
              </w:rPr>
              <w:t>联系电话：</w:t>
            </w:r>
            <w:r>
              <w:rPr>
                <w:rFonts w:hint="eastAsia" w:ascii="宋体" w:hAnsi="宋体"/>
                <w:color w:val="auto"/>
                <w:highlight w:val="none"/>
              </w:rPr>
              <w:t>13129300269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228" w:type="dxa"/>
            <w:noWrap w:val="0"/>
            <w:vAlign w:val="center"/>
          </w:tcPr>
          <w:p>
            <w:pPr>
              <w:spacing w:line="360" w:lineRule="exact"/>
              <w:rPr>
                <w:rFonts w:hint="eastAsia" w:ascii="宋体" w:hAnsi="宋体" w:eastAsia="宋体"/>
                <w:color w:val="auto"/>
                <w:highlight w:val="none"/>
                <w:lang w:eastAsia="zh-CN"/>
              </w:rPr>
            </w:pPr>
            <w:r>
              <w:rPr>
                <w:rFonts w:hint="eastAsia" w:ascii="宋体" w:hAnsi="宋体"/>
                <w:color w:val="auto"/>
                <w:highlight w:val="none"/>
              </w:rPr>
              <w:t>名称：</w:t>
            </w:r>
            <w:r>
              <w:rPr>
                <w:rFonts w:hint="eastAsia" w:ascii="宋体" w:hAnsi="宋体"/>
                <w:color w:val="auto"/>
                <w:highlight w:val="none"/>
                <w:lang w:eastAsia="zh-CN"/>
              </w:rPr>
              <w:t>广州市南悦工程顾问有限公司</w:t>
            </w:r>
          </w:p>
          <w:p>
            <w:pPr>
              <w:spacing w:line="360" w:lineRule="exact"/>
              <w:rPr>
                <w:rFonts w:hint="eastAsia" w:ascii="宋体" w:hAnsi="宋体" w:eastAsia="宋体" w:cs="Times New Roman"/>
                <w:color w:val="auto"/>
                <w:highlight w:val="none"/>
                <w:lang w:eastAsia="zh-CN"/>
              </w:rPr>
            </w:pPr>
            <w:r>
              <w:rPr>
                <w:rFonts w:hint="eastAsia" w:ascii="宋体" w:hAnsi="宋体"/>
                <w:color w:val="auto"/>
                <w:highlight w:val="none"/>
              </w:rPr>
              <w:t>地址：</w:t>
            </w:r>
            <w:r>
              <w:rPr>
                <w:rFonts w:hint="eastAsia" w:ascii="宋体" w:hAnsi="宋体" w:eastAsia="宋体" w:cs="Times New Roman"/>
                <w:color w:val="auto"/>
                <w:highlight w:val="none"/>
                <w:lang w:eastAsia="zh-CN"/>
              </w:rPr>
              <w:t>广州市天河区天润路467号之六2楼-5楼（部位：3楼自编302 16号单元）</w:t>
            </w:r>
          </w:p>
          <w:p>
            <w:pPr>
              <w:spacing w:line="360" w:lineRule="exact"/>
              <w:rPr>
                <w:rFonts w:hint="eastAsia" w:ascii="宋体" w:hAnsi="宋体" w:eastAsia="宋体"/>
                <w:color w:val="auto"/>
                <w:highlight w:val="none"/>
                <w:lang w:eastAsia="zh-CN"/>
              </w:rPr>
            </w:pPr>
            <w:r>
              <w:rPr>
                <w:rFonts w:hint="eastAsia" w:ascii="宋体" w:hAnsi="宋体"/>
                <w:color w:val="auto"/>
                <w:highlight w:val="none"/>
              </w:rPr>
              <w:t>联系人：</w:t>
            </w:r>
            <w:r>
              <w:rPr>
                <w:rFonts w:hint="eastAsia" w:ascii="宋体" w:hAnsi="宋体"/>
                <w:color w:val="auto"/>
                <w:highlight w:val="none"/>
                <w:lang w:eastAsia="zh-CN"/>
              </w:rPr>
              <w:t>钟工</w:t>
            </w:r>
          </w:p>
          <w:p>
            <w:pPr>
              <w:spacing w:line="360" w:lineRule="exact"/>
              <w:rPr>
                <w:rFonts w:hint="eastAsia" w:ascii="宋体" w:hAnsi="宋体"/>
                <w:color w:val="auto"/>
                <w:highlight w:val="none"/>
              </w:rPr>
            </w:pPr>
            <w:r>
              <w:rPr>
                <w:rFonts w:hint="eastAsia" w:ascii="宋体" w:hAnsi="宋体"/>
                <w:color w:val="auto"/>
                <w:highlight w:val="none"/>
              </w:rPr>
              <w:t>电话：</w:t>
            </w:r>
            <w:r>
              <w:rPr>
                <w:rFonts w:hint="eastAsia" w:ascii="宋体" w:hAnsi="宋体" w:eastAsia="宋体" w:cs="Times New Roman"/>
                <w:color w:val="auto"/>
                <w:highlight w:val="none"/>
                <w:lang w:eastAsia="zh-CN"/>
              </w:rPr>
              <w:t>18929534884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228" w:type="dxa"/>
            <w:noWrap w:val="0"/>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olor w:val="auto"/>
                <w:highlight w:val="none"/>
                <w:lang w:eastAsia="zh-CN"/>
              </w:rPr>
              <w:t>广州市天河区广汕二路AT0305231地块设计施工总承包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详见本项目招标公告及合同约定条款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详见本项目招标公告及合同约定条款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228" w:type="dxa"/>
            <w:noWrap w:val="0"/>
            <w:vAlign w:val="center"/>
          </w:tcPr>
          <w:p>
            <w:pPr>
              <w:spacing w:line="360" w:lineRule="exact"/>
              <w:rPr>
                <w:rFonts w:hint="eastAsia" w:ascii="宋体" w:cs="宋体"/>
                <w:color w:val="auto"/>
                <w:szCs w:val="21"/>
                <w:highlight w:val="none"/>
                <w:u w:val="single"/>
              </w:rPr>
            </w:pPr>
            <w:r>
              <w:rPr>
                <w:rFonts w:hint="eastAsia" w:ascii="宋体" w:cs="宋体"/>
                <w:color w:val="auto"/>
                <w:szCs w:val="21"/>
                <w:highlight w:val="none"/>
              </w:rPr>
              <w:t>资质条件：</w:t>
            </w:r>
            <w:r>
              <w:rPr>
                <w:rFonts w:hint="eastAsia" w:ascii="宋体" w:cs="宋体"/>
                <w:color w:val="auto"/>
                <w:szCs w:val="21"/>
                <w:highlight w:val="none"/>
                <w:u w:val="single"/>
              </w:rPr>
              <w:t>见招标公告投标人资格要求</w:t>
            </w:r>
          </w:p>
          <w:p>
            <w:pPr>
              <w:spacing w:line="360" w:lineRule="exact"/>
              <w:rPr>
                <w:rFonts w:hint="eastAsia" w:ascii="宋体" w:cs="宋体"/>
                <w:color w:val="auto"/>
                <w:szCs w:val="21"/>
                <w:highlight w:val="none"/>
                <w:u w:val="single"/>
              </w:rPr>
            </w:pPr>
            <w:r>
              <w:rPr>
                <w:rFonts w:hint="eastAsia" w:ascii="宋体" w:cs="宋体"/>
                <w:color w:val="auto"/>
                <w:szCs w:val="21"/>
                <w:highlight w:val="none"/>
              </w:rPr>
              <w:t>财务要求：</w:t>
            </w:r>
            <w:r>
              <w:rPr>
                <w:rFonts w:hint="eastAsia" w:ascii="宋体" w:cs="宋体"/>
                <w:color w:val="auto"/>
                <w:szCs w:val="21"/>
                <w:highlight w:val="none"/>
                <w:u w:val="single"/>
              </w:rPr>
              <w:t xml:space="preserve">  /  ；</w:t>
            </w:r>
          </w:p>
          <w:p>
            <w:pPr>
              <w:spacing w:line="360" w:lineRule="exact"/>
              <w:rPr>
                <w:rFonts w:hint="eastAsia" w:ascii="宋体" w:cs="宋体"/>
                <w:color w:val="auto"/>
                <w:szCs w:val="21"/>
                <w:highlight w:val="none"/>
                <w:u w:val="single"/>
              </w:rPr>
            </w:pPr>
            <w:r>
              <w:rPr>
                <w:rFonts w:hint="eastAsia" w:ascii="宋体" w:cs="宋体"/>
                <w:color w:val="auto"/>
                <w:szCs w:val="21"/>
                <w:highlight w:val="none"/>
              </w:rPr>
              <w:t>设计业绩要求：</w:t>
            </w:r>
            <w:r>
              <w:rPr>
                <w:rFonts w:hint="eastAsia" w:ascii="宋体" w:cs="宋体"/>
                <w:color w:val="auto"/>
                <w:szCs w:val="21"/>
                <w:highlight w:val="none"/>
                <w:u w:val="single"/>
              </w:rPr>
              <w:t xml:space="preserve">  /  ；</w:t>
            </w:r>
          </w:p>
          <w:p>
            <w:pPr>
              <w:spacing w:line="360" w:lineRule="exact"/>
              <w:rPr>
                <w:ins w:id="0" w:author="Administrator" w:date="2023-11-09T17:54:34Z"/>
                <w:rFonts w:hint="eastAsia" w:ascii="宋体" w:cs="宋体"/>
                <w:color w:val="auto"/>
                <w:szCs w:val="21"/>
                <w:highlight w:val="none"/>
              </w:rPr>
            </w:pPr>
            <w:r>
              <w:rPr>
                <w:rFonts w:hint="eastAsia" w:ascii="宋体" w:cs="宋体"/>
                <w:color w:val="auto"/>
                <w:szCs w:val="21"/>
                <w:highlight w:val="none"/>
              </w:rPr>
              <w:t>施工业绩要求：</w:t>
            </w:r>
            <w:r>
              <w:rPr>
                <w:rFonts w:hint="eastAsia" w:ascii="宋体" w:cs="宋体"/>
                <w:color w:val="auto"/>
                <w:szCs w:val="21"/>
                <w:highlight w:val="none"/>
                <w:u w:val="single"/>
              </w:rPr>
              <w:t xml:space="preserve">  /  ；</w:t>
            </w:r>
          </w:p>
          <w:p>
            <w:pPr>
              <w:spacing w:line="360" w:lineRule="exact"/>
              <w:rPr>
                <w:rFonts w:hint="eastAsia" w:ascii="宋体" w:cs="宋体"/>
                <w:color w:val="auto"/>
                <w:szCs w:val="21"/>
                <w:highlight w:val="none"/>
                <w:u w:val="single"/>
              </w:rPr>
            </w:pPr>
            <w:r>
              <w:rPr>
                <w:rFonts w:hint="eastAsia" w:ascii="宋体" w:cs="宋体"/>
                <w:color w:val="auto"/>
                <w:szCs w:val="21"/>
                <w:highlight w:val="none"/>
              </w:rPr>
              <w:t>信誉要求：</w:t>
            </w:r>
            <w:r>
              <w:rPr>
                <w:rFonts w:hint="eastAsia" w:ascii="宋体" w:cs="宋体"/>
                <w:color w:val="auto"/>
                <w:szCs w:val="21"/>
                <w:highlight w:val="none"/>
                <w:u w:val="single"/>
              </w:rPr>
              <w:t xml:space="preserve">  /  ；</w:t>
            </w:r>
          </w:p>
          <w:p>
            <w:pPr>
              <w:spacing w:line="360" w:lineRule="exact"/>
              <w:rPr>
                <w:rFonts w:hint="eastAsia" w:ascii="宋体" w:cs="宋体"/>
                <w:color w:val="auto"/>
                <w:szCs w:val="21"/>
                <w:highlight w:val="none"/>
                <w:u w:val="single"/>
              </w:rPr>
            </w:pPr>
            <w:r>
              <w:rPr>
                <w:rFonts w:hint="eastAsia" w:ascii="宋体" w:cs="宋体"/>
                <w:color w:val="auto"/>
                <w:szCs w:val="21"/>
                <w:highlight w:val="none"/>
              </w:rPr>
              <w:t>项目负责人的资格要求：</w:t>
            </w:r>
            <w:r>
              <w:rPr>
                <w:rFonts w:hint="eastAsia" w:ascii="宋体" w:cs="宋体"/>
                <w:color w:val="auto"/>
                <w:szCs w:val="21"/>
                <w:highlight w:val="none"/>
                <w:u w:val="single"/>
              </w:rPr>
              <w:t>（兼施工负责人，下同）见招标公告投标人资格要求</w:t>
            </w:r>
          </w:p>
          <w:p>
            <w:pPr>
              <w:spacing w:line="360" w:lineRule="exact"/>
              <w:rPr>
                <w:rFonts w:hint="eastAsia" w:ascii="宋体" w:cs="宋体"/>
                <w:color w:val="auto"/>
                <w:szCs w:val="21"/>
                <w:highlight w:val="none"/>
                <w:u w:val="single"/>
              </w:rPr>
            </w:pPr>
            <w:r>
              <w:rPr>
                <w:rFonts w:hint="eastAsia" w:ascii="宋体" w:cs="宋体"/>
                <w:color w:val="auto"/>
                <w:szCs w:val="21"/>
                <w:highlight w:val="none"/>
                <w:u w:val="single"/>
              </w:rPr>
              <w:t>设计负责人的资格要求：见招标公告投标人资格要求</w:t>
            </w:r>
          </w:p>
          <w:p>
            <w:pPr>
              <w:spacing w:line="360" w:lineRule="exact"/>
              <w:rPr>
                <w:rFonts w:hint="eastAsia" w:ascii="宋体" w:cs="宋体"/>
                <w:color w:val="auto"/>
                <w:szCs w:val="21"/>
                <w:highlight w:val="none"/>
                <w:u w:val="single"/>
              </w:rPr>
            </w:pPr>
            <w:r>
              <w:rPr>
                <w:rFonts w:hint="eastAsia" w:ascii="宋体" w:cs="宋体"/>
                <w:color w:val="auto"/>
                <w:szCs w:val="21"/>
                <w:highlight w:val="none"/>
                <w:u w:val="single"/>
              </w:rPr>
              <w:t>项目技术负责人的资格要求：见招标公告投标人资格要求</w:t>
            </w:r>
          </w:p>
          <w:p>
            <w:pPr>
              <w:spacing w:line="360" w:lineRule="exact"/>
              <w:rPr>
                <w:rFonts w:hint="eastAsia" w:ascii="宋体" w:cs="宋体"/>
                <w:color w:val="auto"/>
                <w:szCs w:val="21"/>
                <w:highlight w:val="none"/>
                <w:u w:val="single"/>
              </w:rPr>
            </w:pPr>
            <w:r>
              <w:rPr>
                <w:rFonts w:hint="eastAsia" w:ascii="宋体" w:cs="宋体"/>
                <w:color w:val="auto"/>
                <w:szCs w:val="21"/>
                <w:highlight w:val="none"/>
                <w:u w:val="single"/>
              </w:rPr>
              <w:t>专职安全员的资格要求：见招标公告投标人资格要求</w:t>
            </w:r>
          </w:p>
          <w:p>
            <w:pPr>
              <w:spacing w:line="360" w:lineRule="exact"/>
              <w:rPr>
                <w:rFonts w:hint="eastAsia" w:ascii="宋体" w:cs="宋体"/>
                <w:color w:val="auto"/>
                <w:szCs w:val="21"/>
                <w:highlight w:val="none"/>
                <w:u w:val="single"/>
              </w:rPr>
            </w:pPr>
            <w:r>
              <w:rPr>
                <w:rFonts w:hint="eastAsia" w:ascii="宋体" w:cs="宋体"/>
                <w:color w:val="auto"/>
                <w:szCs w:val="21"/>
                <w:highlight w:val="none"/>
              </w:rPr>
              <w:t>施工机械设备：</w:t>
            </w:r>
            <w:r>
              <w:rPr>
                <w:rFonts w:hint="eastAsia" w:ascii="宋体" w:cs="宋体"/>
                <w:color w:val="auto"/>
                <w:szCs w:val="21"/>
                <w:highlight w:val="none"/>
                <w:u w:val="single"/>
              </w:rPr>
              <w:t xml:space="preserve">  /  ；</w:t>
            </w:r>
          </w:p>
          <w:p>
            <w:pPr>
              <w:spacing w:line="360" w:lineRule="exact"/>
              <w:rPr>
                <w:rFonts w:hint="eastAsia" w:ascii="宋体" w:cs="宋体"/>
                <w:color w:val="auto"/>
                <w:szCs w:val="21"/>
                <w:highlight w:val="none"/>
                <w:u w:val="single"/>
              </w:rPr>
            </w:pPr>
            <w:r>
              <w:rPr>
                <w:rFonts w:hint="eastAsia" w:ascii="宋体" w:cs="宋体"/>
                <w:color w:val="auto"/>
                <w:szCs w:val="21"/>
                <w:highlight w:val="none"/>
              </w:rPr>
              <w:t>项目管理机构及人员：</w:t>
            </w:r>
            <w:r>
              <w:rPr>
                <w:rFonts w:hint="eastAsia" w:ascii="宋体" w:cs="宋体"/>
                <w:color w:val="auto"/>
                <w:szCs w:val="21"/>
                <w:highlight w:val="none"/>
                <w:u w:val="single"/>
              </w:rPr>
              <w:t xml:space="preserve">  /  ；</w:t>
            </w:r>
          </w:p>
          <w:p>
            <w:pPr>
              <w:spacing w:line="360" w:lineRule="exact"/>
              <w:rPr>
                <w:rFonts w:hint="eastAsia" w:ascii="宋体" w:hAnsi="宋体" w:cs="宋体"/>
                <w:color w:val="auto"/>
                <w:szCs w:val="21"/>
                <w:highlight w:val="none"/>
              </w:rPr>
            </w:pPr>
            <w:r>
              <w:rPr>
                <w:rFonts w:hint="eastAsia" w:ascii="宋体" w:cs="宋体"/>
                <w:color w:val="auto"/>
                <w:szCs w:val="21"/>
                <w:highlight w:val="none"/>
              </w:rPr>
              <w:t>其他要求：</w:t>
            </w:r>
            <w:r>
              <w:rPr>
                <w:rFonts w:hint="eastAsia" w:ascii="宋体" w:cs="宋体"/>
                <w:color w:val="auto"/>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6228" w:type="dxa"/>
            <w:noWrap w:val="0"/>
            <w:vAlign w:val="center"/>
          </w:tcPr>
          <w:p>
            <w:pPr>
              <w:pStyle w:val="15"/>
              <w:topLinePunct/>
              <w:spacing w:line="360" w:lineRule="exact"/>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不接受</w:t>
            </w:r>
          </w:p>
          <w:p>
            <w:pPr>
              <w:spacing w:line="360" w:lineRule="exac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接受，应满足下列要求：</w:t>
            </w:r>
            <w:r>
              <w:rPr>
                <w:rFonts w:hint="eastAsia" w:ascii="宋体" w:hAnsi="宋体" w:cs="宋体"/>
                <w:color w:val="auto"/>
                <w:szCs w:val="21"/>
                <w:highlight w:val="none"/>
                <w:u w:val="single"/>
              </w:rPr>
              <w:t>见本项目招标公告要求。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不补偿</w:t>
            </w:r>
          </w:p>
          <w:p>
            <w:pPr>
              <w:spacing w:line="360" w:lineRule="exact"/>
              <w:rPr>
                <w:rFonts w:hint="eastAsia" w:ascii="宋体" w:hAnsi="宋体" w:cs="宋体"/>
                <w:color w:val="auto"/>
                <w:sz w:val="32"/>
                <w:szCs w:val="32"/>
                <w:highlight w:val="none"/>
              </w:rPr>
            </w:pPr>
            <w:r>
              <w:rPr>
                <w:rFonts w:hint="eastAsia" w:hAnsi="宋体" w:cs="宋体"/>
                <w:color w:val="auto"/>
                <w:sz w:val="32"/>
                <w:szCs w:val="32"/>
                <w:highlight w:val="none"/>
              </w:rPr>
              <w:t>□</w:t>
            </w:r>
            <w:r>
              <w:rPr>
                <w:rFonts w:hint="eastAsia" w:ascii="宋体" w:hAnsi="宋体" w:cs="宋体"/>
                <w:color w:val="auto"/>
                <w:szCs w:val="21"/>
                <w:highlight w:val="none"/>
              </w:rPr>
              <w:t>补偿，补偿标准：</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不组织</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补充说明如下：</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投标人及其代表必须承担那些进入现场后，由于他们的行为所造成的人身伤害（不管是否致命）、财产损失或损坏，以及其他任何原因造成的损失、损坏或费用。招标人在投标人及其代表考察过程中不负任何责任。</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（3）由招标人提供的资料和数据，只是为了使投标人能够利用招标人现有的资料。招标人对投标人由此而作出的推论、解释和结论概不负责。</w:t>
            </w:r>
          </w:p>
          <w:p>
            <w:pPr>
              <w:spacing w:line="360" w:lineRule="exact"/>
              <w:rPr>
                <w:rFonts w:hint="eastAsia" w:ascii="宋体" w:hAnsi="宋体" w:cs="宋体"/>
                <w:color w:val="auto"/>
                <w:szCs w:val="21"/>
                <w:highlight w:val="none"/>
              </w:rPr>
            </w:pPr>
            <w:r>
              <w:rPr>
                <w:rFonts w:hint="eastAsia" w:hAnsi="宋体" w:cs="宋体"/>
                <w:color w:val="auto"/>
                <w:sz w:val="32"/>
                <w:szCs w:val="32"/>
                <w:highlight w:val="none"/>
              </w:rPr>
              <w:t>□</w:t>
            </w:r>
            <w:r>
              <w:rPr>
                <w:rFonts w:hint="eastAsia" w:ascii="宋体" w:hAnsi="宋体" w:cs="宋体"/>
                <w:color w:val="auto"/>
                <w:szCs w:val="21"/>
                <w:highlight w:val="none"/>
              </w:rPr>
              <w:t>组织，，踏勘时间：</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不召开</w:t>
            </w:r>
          </w:p>
          <w:p>
            <w:pPr>
              <w:spacing w:line="360" w:lineRule="exact"/>
              <w:rPr>
                <w:rFonts w:hint="eastAsia" w:ascii="宋体" w:hAnsi="宋体" w:cs="宋体"/>
                <w:color w:val="auto"/>
                <w:szCs w:val="21"/>
                <w:highlight w:val="none"/>
              </w:rPr>
            </w:pPr>
            <w:r>
              <w:rPr>
                <w:rFonts w:hint="eastAsia" w:hAnsi="宋体" w:cs="宋体"/>
                <w:color w:val="auto"/>
                <w:sz w:val="32"/>
                <w:szCs w:val="32"/>
                <w:highlight w:val="none"/>
              </w:rPr>
              <w:t>□</w:t>
            </w:r>
            <w:r>
              <w:rPr>
                <w:rFonts w:hint="eastAsia" w:ascii="宋体" w:hAnsi="宋体" w:cs="宋体"/>
                <w:color w:val="auto"/>
                <w:szCs w:val="21"/>
                <w:highlight w:val="none"/>
              </w:rPr>
              <w:t>召开，召开时间：</w:t>
            </w:r>
            <w:r>
              <w:rPr>
                <w:rFonts w:hint="eastAsia" w:ascii="宋体" w:hAnsi="宋体" w:cs="宋体"/>
                <w:color w:val="auto"/>
                <w:szCs w:val="21"/>
                <w:highlight w:val="none"/>
                <w:u w:val="single"/>
              </w:rPr>
              <w:t xml:space="preserve"> / </w:t>
            </w:r>
          </w:p>
          <w:p>
            <w:pPr>
              <w:spacing w:line="360" w:lineRule="exact"/>
              <w:ind w:firstLine="938" w:firstLineChars="447"/>
              <w:rPr>
                <w:rFonts w:hint="eastAsia" w:ascii="宋体" w:hAnsi="宋体" w:cs="宋体"/>
                <w:color w:val="auto"/>
                <w:szCs w:val="21"/>
                <w:highlight w:val="none"/>
              </w:rPr>
            </w:pPr>
            <w:r>
              <w:rPr>
                <w:rFonts w:hint="eastAsia" w:ascii="宋体" w:hAnsi="宋体" w:cs="宋体"/>
                <w:color w:val="auto"/>
                <w:szCs w:val="21"/>
                <w:highlight w:val="none"/>
              </w:rPr>
              <w:t>召开地点：</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u w:val="single"/>
              </w:rPr>
              <w:t>招标答疑</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1、本项目采用网上答疑方式。</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2、投标人疑问期限：在投标截止日期18日前，将投标疑问通过广州交易集团有限公司（广州公共资源交易中心）交易平台提交。</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3、招标人澄清、修补或答疑期限：在递交投标文件截止日期15日前，在广州交易集团有限公司（广州公共资源交易中心）网站“招标答疑”专区发布，一经在发布，视作已发放给所有投标人。</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4、网上答疑的相关事项详见本章第2.2款。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投标人拟分包的工作</w:t>
            </w:r>
          </w:p>
        </w:tc>
        <w:tc>
          <w:tcPr>
            <w:tcW w:w="6228" w:type="dxa"/>
            <w:noWrap w:val="0"/>
            <w:vAlign w:val="center"/>
          </w:tcPr>
          <w:p>
            <w:pPr>
              <w:pStyle w:val="15"/>
              <w:topLinePunct/>
              <w:spacing w:line="360" w:lineRule="exact"/>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pPr>
              <w:spacing w:line="360" w:lineRule="exac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允许，分包内容要求：对于非主体、非关键性工程，承包人不具备相应资质的，需经招标人审核批准后分包给具有相应资质和能力的专业单位实施，不免除投标人的相关责任，但不得再次分包。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6228" w:type="dxa"/>
            <w:noWrap w:val="0"/>
            <w:vAlign w:val="center"/>
          </w:tcPr>
          <w:p>
            <w:pPr>
              <w:pStyle w:val="15"/>
              <w:topLinePunct/>
              <w:spacing w:line="360" w:lineRule="exact"/>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pPr>
              <w:pStyle w:val="15"/>
              <w:topLinePunct/>
              <w:spacing w:line="360" w:lineRule="exac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允许，允许偏离的内容、偏离范围和幅度：</w:t>
            </w:r>
            <w:r>
              <w:rPr>
                <w:rFonts w:hint="eastAsia" w:hAnsi="宋体" w:cs="宋体"/>
                <w:color w:val="auto"/>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《设计任务书》、答疑纪要、澄清文件等（如有）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1、时间：在递交投标文件截止日期18日前。</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2、方式：网上答疑，投标人的疑问通过广州交易集团有限公司（广州公共资源交易中心）新交易平台提交。</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网上答疑的操作指南为：登陆广州交易集团有限公司（广州公共资源交易中心）网站→选择“我是投标人”→进入“新建设工程交易平台”→进入“我的投标”→进入“招标答疑提问”→通过项目编号或名称找到所需的项目→在上述的答疑时间内点击“答疑提问”进入到提问区域→无记名或匿名提出问题。具体操作方法详见广州交易集团有限公司（广州公共资源交易中心）交易平台相关操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招标文件澄清文件（或招标答疑纪要）一经在广州交易集团有限公司（广州公共资源交易中心）网上答疑专区发布，视为所有投标人收到，无需投标人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招标文件澄清文件（或招标答疑纪要）一经在广州交易集团有限公司（广州公共资源交易中心）网上答疑专区发布，视为所有投标人收到，无需投标人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1784" w:type="dxa"/>
            <w:noWrap w:val="0"/>
            <w:vAlign w:val="center"/>
          </w:tcPr>
          <w:p>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报价由设计费投标报价和施工费投标报价组成。本项目设计、施工投标报价同时采用下浮率报价和数值报价方式，最终按实结算。报价下浮率以百分比计，精确到小数点后2位，投标人对每一分项（如设计、施工）只能报一个投标数值报价和下浮率报价，数值总报价以万元计，如下浮率报价和数值报价不一致时，以下浮率报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highlight w:val="none"/>
              </w:rPr>
              <w:t>3.2.4</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6228" w:type="dxa"/>
            <w:noWrap w:val="0"/>
            <w:vAlign w:val="center"/>
          </w:tcPr>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1、本次招标最高投标限价为</w:t>
            </w:r>
            <w:r>
              <w:rPr>
                <w:rFonts w:hint="eastAsia" w:ascii="宋体" w:hAnsi="宋体"/>
                <w:color w:val="auto"/>
                <w:sz w:val="21"/>
                <w:szCs w:val="21"/>
                <w:highlight w:val="none"/>
                <w:u w:val="single"/>
                <w:lang w:val="en-US" w:eastAsia="zh-CN"/>
              </w:rPr>
              <w:t>114124</w:t>
            </w:r>
            <w:r>
              <w:rPr>
                <w:rFonts w:hint="eastAsia" w:ascii="宋体" w:hAnsi="宋体" w:cs="宋体"/>
                <w:color w:val="auto"/>
                <w:szCs w:val="21"/>
                <w:highlight w:val="none"/>
                <w:u w:val="single"/>
              </w:rPr>
              <w:t>万</w:t>
            </w:r>
            <w:r>
              <w:rPr>
                <w:rFonts w:hint="eastAsia" w:ascii="宋体" w:hAnsi="宋体" w:cs="宋体"/>
                <w:color w:val="auto"/>
                <w:szCs w:val="21"/>
                <w:highlight w:val="none"/>
              </w:rPr>
              <w:t>元，其中：</w:t>
            </w:r>
          </w:p>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设计费最高投标限价为</w:t>
            </w:r>
            <w:r>
              <w:rPr>
                <w:rFonts w:hint="eastAsia" w:ascii="宋体" w:hAnsi="宋体"/>
                <w:color w:val="auto"/>
                <w:sz w:val="21"/>
                <w:szCs w:val="21"/>
                <w:highlight w:val="none"/>
                <w:u w:val="single"/>
                <w:lang w:val="en-US" w:eastAsia="zh-CN"/>
              </w:rPr>
              <w:t>875</w:t>
            </w:r>
            <w:r>
              <w:rPr>
                <w:rFonts w:hint="eastAsia" w:ascii="宋体" w:hAnsi="宋体" w:cs="宋体"/>
                <w:color w:val="auto"/>
                <w:szCs w:val="21"/>
                <w:highlight w:val="none"/>
                <w:u w:val="single"/>
              </w:rPr>
              <w:t>万</w:t>
            </w:r>
            <w:r>
              <w:rPr>
                <w:rFonts w:hint="eastAsia" w:ascii="宋体" w:hAnsi="宋体" w:cs="宋体"/>
                <w:color w:val="auto"/>
                <w:szCs w:val="21"/>
                <w:highlight w:val="none"/>
              </w:rPr>
              <w:t>元；施工费最高投标限价为</w:t>
            </w:r>
            <w:r>
              <w:rPr>
                <w:rFonts w:hint="eastAsia" w:ascii="宋体" w:hAnsi="宋体" w:cs="宋体"/>
                <w:color w:val="auto"/>
                <w:szCs w:val="21"/>
                <w:highlight w:val="none"/>
                <w:u w:val="single"/>
                <w:lang w:val="en-US" w:eastAsia="zh-CN"/>
              </w:rPr>
              <w:t xml:space="preserve">     </w:t>
            </w:r>
            <w:r>
              <w:rPr>
                <w:rFonts w:hint="eastAsia" w:ascii="宋体" w:hAnsi="宋体"/>
                <w:color w:val="auto"/>
                <w:sz w:val="21"/>
                <w:szCs w:val="21"/>
                <w:highlight w:val="none"/>
                <w:u w:val="single"/>
                <w:lang w:val="en-US" w:eastAsia="zh-CN"/>
              </w:rPr>
              <w:t>113249</w:t>
            </w:r>
            <w:r>
              <w:rPr>
                <w:rFonts w:hint="eastAsia" w:ascii="宋体" w:hAnsi="宋体" w:cs="宋体"/>
                <w:color w:val="auto"/>
                <w:szCs w:val="21"/>
                <w:highlight w:val="none"/>
                <w:u w:val="single"/>
              </w:rPr>
              <w:t>万</w:t>
            </w:r>
            <w:r>
              <w:rPr>
                <w:rFonts w:hint="eastAsia" w:ascii="宋体" w:hAnsi="宋体" w:cs="宋体"/>
                <w:color w:val="auto"/>
                <w:szCs w:val="21"/>
                <w:highlight w:val="none"/>
              </w:rPr>
              <w:t>元。</w:t>
            </w:r>
          </w:p>
          <w:p>
            <w:pPr>
              <w:snapToGrid w:val="0"/>
              <w:spacing w:line="360" w:lineRule="exact"/>
              <w:rPr>
                <w:color w:val="auto"/>
                <w:highlight w:val="none"/>
              </w:rPr>
            </w:pPr>
            <w:r>
              <w:rPr>
                <w:rFonts w:hint="eastAsia" w:ascii="宋体" w:hAnsi="宋体" w:cs="宋体"/>
                <w:color w:val="auto"/>
                <w:szCs w:val="21"/>
                <w:highlight w:val="none"/>
              </w:rPr>
              <w:t>2、投标时投标人除填报投标报价外，需同时填报投标报价下浮率，投标人未按要求报价或投标报价（含投标总报价或施工费或设计费）超过上述相应最高投标限价的为无效投标。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3.2.5</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6228" w:type="dxa"/>
            <w:noWrap w:val="0"/>
            <w:vAlign w:val="center"/>
          </w:tcPr>
          <w:p>
            <w:pPr>
              <w:rPr>
                <w:rFonts w:ascii="宋体" w:hAnsi="宋体"/>
                <w:color w:val="000000"/>
                <w:sz w:val="21"/>
                <w:szCs w:val="21"/>
                <w:highlight w:val="none"/>
              </w:rPr>
            </w:pPr>
            <w:r>
              <w:rPr>
                <w:rFonts w:hint="eastAsia" w:ascii="宋体" w:hAnsi="宋体"/>
                <w:color w:val="000000"/>
                <w:sz w:val="21"/>
                <w:szCs w:val="21"/>
                <w:highlight w:val="none"/>
              </w:rPr>
              <w:t>本项目须按第七章《投标文件格式》</w:t>
            </w:r>
            <w:r>
              <w:rPr>
                <w:rFonts w:hint="eastAsia" w:ascii="宋体" w:hAnsi="宋体"/>
                <w:color w:val="000000"/>
                <w:sz w:val="21"/>
                <w:szCs w:val="21"/>
                <w:highlight w:val="none"/>
                <w:lang w:eastAsia="zh-CN"/>
              </w:rPr>
              <w:t>格式</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要求填报工程设计费及建安工程费的报价。投标总报价或工程设计费、建安工程费等各单项报价均不得超过相应各项的最高投标限价，超过最高投标限价的作无效投标处理；</w:t>
            </w:r>
          </w:p>
          <w:p>
            <w:pPr>
              <w:jc w:val="left"/>
              <w:rPr>
                <w:rFonts w:ascii="宋体" w:hAnsi="宋体"/>
                <w:color w:val="000000"/>
                <w:sz w:val="21"/>
                <w:szCs w:val="21"/>
                <w:highlight w:val="none"/>
              </w:rPr>
            </w:pPr>
            <w:r>
              <w:rPr>
                <w:rFonts w:hint="eastAsia" w:ascii="宋体" w:hAnsi="宋体"/>
                <w:color w:val="000000"/>
                <w:sz w:val="21"/>
                <w:szCs w:val="21"/>
                <w:highlight w:val="none"/>
              </w:rPr>
              <w:t>（2</w:t>
            </w:r>
            <w:r>
              <w:rPr>
                <w:rFonts w:ascii="宋体" w:hAnsi="宋体"/>
                <w:color w:val="000000"/>
                <w:sz w:val="21"/>
                <w:szCs w:val="21"/>
                <w:highlight w:val="none"/>
              </w:rPr>
              <w:t>）</w:t>
            </w:r>
            <w:r>
              <w:rPr>
                <w:rFonts w:hint="eastAsia" w:ascii="宋体" w:hAnsi="宋体"/>
                <w:color w:val="000000"/>
                <w:sz w:val="21"/>
                <w:szCs w:val="21"/>
                <w:highlight w:val="none"/>
              </w:rPr>
              <w:t>投标报价要求及格式详见第七章《投标文件格式》；</w:t>
            </w:r>
          </w:p>
          <w:p>
            <w:pPr>
              <w:jc w:val="left"/>
              <w:rPr>
                <w:rFonts w:hint="eastAsia" w:ascii="宋体" w:hAnsi="宋体" w:cs="宋体"/>
                <w:color w:val="auto"/>
                <w:sz w:val="21"/>
                <w:szCs w:val="21"/>
                <w:highlight w:val="none"/>
              </w:rPr>
            </w:pPr>
            <w:r>
              <w:rPr>
                <w:rFonts w:hint="eastAsia" w:ascii="宋体" w:hAnsi="宋体"/>
                <w:color w:val="000000"/>
                <w:sz w:val="21"/>
                <w:szCs w:val="21"/>
                <w:highlight w:val="none"/>
              </w:rPr>
              <w:t>（3）建安工程费结算规定：采用工程量清单计价方式。建安工程费按《广东省建设工程计价依据（2018）》、《广东省建筑与装饰工程综合定额（2018）》、《广东省市政工程综合定额（2018）》、《广东省通用安装工程综合定额（2018）》、《广东省园林绿化工程综合定额（2018）》等定额规定计算后再乘以（1-中标下浮率）作为结算依据，最终结算价以相关单位或部门审定结果为准。主要材料依据正式开工当月广州地区造价管理站信息价执行。无信息价的，由合同双方参考同期（施工期）该材料的市场价格（税前）商定。过程中材料波动引起的价格调整参考政府相关文件双方协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120天（从投标截止之日计起）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228" w:type="dxa"/>
            <w:noWrap w:val="0"/>
            <w:vAlign w:val="center"/>
          </w:tcPr>
          <w:p>
            <w:pPr>
              <w:topLinePunct/>
              <w:spacing w:line="360" w:lineRule="exact"/>
              <w:rPr>
                <w:rFonts w:ascii="宋体" w:hAnsi="宋体" w:cs="宋体"/>
                <w:color w:val="auto"/>
                <w:szCs w:val="21"/>
                <w:highlight w:val="none"/>
              </w:rPr>
            </w:pPr>
            <w:r>
              <w:rPr>
                <w:rFonts w:hint="eastAsia" w:ascii="宋体" w:hAnsi="宋体"/>
                <w:color w:val="auto"/>
                <w:szCs w:val="21"/>
                <w:highlight w:val="none"/>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w:t>
            </w:r>
          </w:p>
        </w:tc>
        <w:tc>
          <w:tcPr>
            <w:tcW w:w="6228" w:type="dxa"/>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228" w:type="dxa"/>
            <w:noWrap w:val="0"/>
            <w:vAlign w:val="center"/>
          </w:tcPr>
          <w:p>
            <w:pPr>
              <w:pStyle w:val="15"/>
              <w:topLinePunct/>
              <w:spacing w:line="360" w:lineRule="exact"/>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pPr>
              <w:spacing w:line="360" w:lineRule="exac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文件全部采用电子文档，投标文件所附证书证件及证明文件均为清晰扫描件，并采用单位数字证书，按招标文件要求在相应位置加盖电子印章。投标文件中需个人签字或盖章的，应在线下完成后扫描上传。具体操作详见广州交易集团有限公司（广州公共资源交易中心）交易平台相关操作指南。</w:t>
            </w:r>
          </w:p>
          <w:p>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rPr>
              <w:t>联合体投标的，除《联合体协议书》必须由联合体各方分别按要求进行签字、盖章[法定代表人证明书及授权委托证明书可由联合体主办方出具（其中“单位”一栏可只填写联合体主办方名称）]外，其他资料若需要签字或盖章的均可由联合体主办方签字或盖章；其他内容及落款中的“投标人”、“投标单位”、“声明企业”应填写联合体各方的单位全称【格式表示为：(主)单位全称（成)单位全称（成)……】，由联合体主办方按格式要求签字或盖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投标文件加密要求</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1、网上递交的电子投标文件须进行加密。具体操作详见广州交易集团有限公司（广州公共资源交易中心）交易平台相关操作指南。</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2、未按要求加密的投标文件，招标人将予以拒收。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6228" w:type="dxa"/>
            <w:noWrap w:val="0"/>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如有提交投标文件备用光盘或</w:t>
            </w:r>
            <w:r>
              <w:rPr>
                <w:rFonts w:ascii="宋体" w:hAnsi="宋体" w:cs="宋体"/>
                <w:color w:val="auto"/>
                <w:szCs w:val="21"/>
                <w:highlight w:val="none"/>
              </w:rPr>
              <w:t>u盘，封套上应注明如下信息：</w:t>
            </w:r>
          </w:p>
          <w:p>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招标人名称：</w:t>
            </w:r>
            <w:r>
              <w:rPr>
                <w:rFonts w:ascii="宋体" w:hAnsi="宋体" w:cs="宋体"/>
                <w:color w:val="auto"/>
                <w:szCs w:val="21"/>
                <w:highlight w:val="none"/>
                <w:u w:val="single"/>
              </w:rPr>
              <w:t xml:space="preserve">               </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招标人地址：</w:t>
            </w:r>
            <w:r>
              <w:rPr>
                <w:rFonts w:ascii="宋体" w:hAnsi="宋体" w:cs="宋体"/>
                <w:color w:val="auto"/>
                <w:szCs w:val="21"/>
                <w:highlight w:val="none"/>
                <w:u w:val="single"/>
              </w:rPr>
              <w:t xml:space="preserve">               </w:t>
            </w:r>
          </w:p>
          <w:p>
            <w:pPr>
              <w:spacing w:line="360" w:lineRule="exact"/>
              <w:rPr>
                <w:rFonts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（项目名称）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（文件名称）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投标文件</w:t>
            </w:r>
          </w:p>
          <w:p>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招标项目编号：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投标人名称：</w:t>
            </w:r>
            <w:r>
              <w:rPr>
                <w:rFonts w:ascii="宋体" w:hAnsi="宋体" w:cs="宋体"/>
                <w:color w:val="auto"/>
                <w:szCs w:val="21"/>
                <w:highlight w:val="none"/>
                <w:u w:val="single"/>
              </w:rPr>
              <w:t xml:space="preserve">               </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分前不得开启（按投标截止时间）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1784" w:type="dxa"/>
            <w:noWrap w:val="0"/>
            <w:vAlign w:val="center"/>
          </w:tcPr>
          <w:p>
            <w:pPr>
              <w:spacing w:line="360" w:lineRule="exact"/>
              <w:rPr>
                <w:rFonts w:hint="eastAsia"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228" w:type="dxa"/>
            <w:noWrap w:val="0"/>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具体时间可以到广州交易集团有限公司（广州公共资源交易中心）网站主页“建设工程→项目查询（日程安排、答疑纪要）”中输入本“项目编号”或“项目名称”进行查询。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递交投标文件地点</w:t>
            </w:r>
          </w:p>
        </w:tc>
        <w:tc>
          <w:tcPr>
            <w:tcW w:w="6228" w:type="dxa"/>
            <w:noWrap w:val="0"/>
            <w:vAlign w:val="center"/>
          </w:tcPr>
          <w:p>
            <w:pPr>
              <w:snapToGrid w:val="0"/>
              <w:ind w:left="-55" w:leftChars="-26" w:right="-59" w:rightChars="-28"/>
              <w:rPr>
                <w:rFonts w:hint="eastAsia" w:ascii="宋体" w:hAnsi="宋体" w:cs="宋体"/>
                <w:color w:val="auto"/>
                <w:szCs w:val="21"/>
                <w:highlight w:val="none"/>
              </w:rPr>
            </w:pPr>
            <w:r>
              <w:rPr>
                <w:rFonts w:hint="eastAsia" w:ascii="宋体" w:hAnsi="宋体" w:cs="宋体"/>
                <w:color w:val="000000"/>
                <w:szCs w:val="21"/>
                <w:highlight w:val="none"/>
              </w:rPr>
              <w:t>投标人应在截止时间前通过电子招标投标交易平台递交电子投标文件及定标文件。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6228" w:type="dxa"/>
            <w:noWrap w:val="0"/>
            <w:vAlign w:val="center"/>
          </w:tcPr>
          <w:p>
            <w:pPr>
              <w:pStyle w:val="15"/>
              <w:topLinePunct/>
              <w:spacing w:line="360" w:lineRule="exact"/>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否</w:t>
            </w:r>
          </w:p>
          <w:p>
            <w:pPr>
              <w:spacing w:line="360" w:lineRule="exac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color w:val="auto"/>
                <w:szCs w:val="21"/>
                <w:highlight w:val="none"/>
              </w:rPr>
            </w:pPr>
            <w:r>
              <w:rPr>
                <w:rFonts w:hint="eastAsia" w:ascii="宋体"/>
                <w:color w:val="auto"/>
                <w:szCs w:val="21"/>
                <w:highlight w:val="none"/>
              </w:rPr>
              <w:t>4.5</w:t>
            </w:r>
          </w:p>
        </w:tc>
        <w:tc>
          <w:tcPr>
            <w:tcW w:w="1784" w:type="dxa"/>
            <w:noWrap w:val="0"/>
            <w:vAlign w:val="center"/>
          </w:tcPr>
          <w:p>
            <w:pPr>
              <w:spacing w:line="360" w:lineRule="exact"/>
              <w:jc w:val="center"/>
              <w:rPr>
                <w:rFonts w:hint="eastAsia" w:ascii="宋体"/>
                <w:color w:val="auto"/>
                <w:szCs w:val="21"/>
                <w:highlight w:val="none"/>
              </w:rPr>
            </w:pPr>
            <w:r>
              <w:rPr>
                <w:rFonts w:hint="eastAsia" w:ascii="宋体"/>
                <w:color w:val="auto"/>
                <w:szCs w:val="21"/>
                <w:highlight w:val="none"/>
              </w:rPr>
              <w:t>投标文件的解密</w:t>
            </w:r>
          </w:p>
        </w:tc>
        <w:tc>
          <w:tcPr>
            <w:tcW w:w="6228" w:type="dxa"/>
            <w:noWrap w:val="0"/>
            <w:vAlign w:val="center"/>
          </w:tcPr>
          <w:p>
            <w:pPr>
              <w:widowControl/>
              <w:topLinePunct/>
              <w:spacing w:line="360" w:lineRule="exact"/>
              <w:rPr>
                <w:rFonts w:hint="eastAsia" w:ascii="宋体" w:cs="宋体"/>
                <w:strike/>
                <w:color w:val="auto"/>
                <w:kern w:val="0"/>
                <w:szCs w:val="21"/>
                <w:highlight w:val="none"/>
              </w:rPr>
            </w:pPr>
            <w:r>
              <w:rPr>
                <w:rFonts w:hint="eastAsia" w:ascii="宋体" w:cs="宋体"/>
                <w:color w:val="auto"/>
                <w:szCs w:val="21"/>
                <w:highlight w:val="none"/>
              </w:rPr>
              <w:t>在投标截止时间后</w:t>
            </w:r>
            <w:r>
              <w:rPr>
                <w:rFonts w:hint="eastAsia" w:ascii="宋体" w:cs="宋体"/>
                <w:b/>
                <w:bCs/>
                <w:color w:val="auto"/>
                <w:szCs w:val="21"/>
                <w:highlight w:val="none"/>
                <w:u w:val="single"/>
              </w:rPr>
              <w:t xml:space="preserve"> 半 </w:t>
            </w:r>
            <w:r>
              <w:rPr>
                <w:rFonts w:hint="eastAsia" w:ascii="宋体" w:cs="宋体"/>
                <w:color w:val="auto"/>
                <w:szCs w:val="21"/>
                <w:highlight w:val="none"/>
              </w:rPr>
              <w:t>小时内为投标人投标文件解密时间，投标人通过广州公共资源交易平台对已递交的电子投标文件进行解密。超过时间未解密的投标文件将</w:t>
            </w:r>
            <w:r>
              <w:rPr>
                <w:rFonts w:hint="eastAsia" w:ascii="宋体" w:cs="宋体"/>
                <w:b/>
                <w:color w:val="auto"/>
                <w:szCs w:val="21"/>
                <w:highlight w:val="none"/>
              </w:rPr>
              <w:t>作为放弃投标处理</w:t>
            </w:r>
            <w:r>
              <w:rPr>
                <w:rFonts w:hint="eastAsia" w:asci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228" w:type="dxa"/>
            <w:noWrap w:val="0"/>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通过广州交易集团有限公司（广州公共资源交易中心）交易平台公开开标。投标人（法定代表人或其委托代理人）可自行决定是否参加开标。投标人不参加的，视为认可开标过程及结果。</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递交备用电子投标文件时间：</w:t>
            </w:r>
            <w:r>
              <w:rPr>
                <w:rFonts w:hint="eastAsia" w:ascii="宋体" w:hAnsi="宋体" w:cs="宋体"/>
                <w:color w:val="auto"/>
                <w:szCs w:val="21"/>
                <w:highlight w:val="none"/>
                <w:u w:val="single"/>
              </w:rPr>
              <w:t xml:space="preserve">     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p>
          <w:p>
            <w:pPr>
              <w:spacing w:line="360" w:lineRule="exact"/>
              <w:rPr>
                <w:rFonts w:ascii="宋体" w:hAnsi="宋体" w:cs="宋体"/>
                <w:color w:val="auto"/>
                <w:szCs w:val="21"/>
                <w:highlight w:val="none"/>
              </w:rPr>
            </w:pPr>
            <w:r>
              <w:rPr>
                <w:rFonts w:hint="eastAsia" w:ascii="宋体" w:hAnsi="宋体" w:cs="宋体"/>
                <w:color w:val="auto"/>
                <w:szCs w:val="21"/>
                <w:highlight w:val="none"/>
                <w:u w:val="single"/>
              </w:rPr>
              <w:t xml:space="preserve">     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具体时间、地点可以到广州交易集团有限公司（广州公共资源交易中心）网站主页“建设工程→项目查询（日程安排、答疑纪要）”中输入本“项目编号”或“项目名称”进行查询</w:t>
            </w:r>
            <w:r>
              <w:rPr>
                <w:rFonts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6228" w:type="dxa"/>
            <w:noWrap w:val="0"/>
            <w:vAlign w:val="center"/>
          </w:tcPr>
          <w:p>
            <w:pPr>
              <w:snapToGrid w:val="0"/>
              <w:spacing w:line="360" w:lineRule="exac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主持人按下列程序进行开标：</w:t>
            </w:r>
          </w:p>
          <w:p>
            <w:pPr>
              <w:snapToGrid w:val="0"/>
              <w:spacing w:line="360" w:lineRule="exac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（1）宣布开标纪律；</w:t>
            </w:r>
          </w:p>
          <w:p>
            <w:pPr>
              <w:snapToGrid w:val="0"/>
              <w:spacing w:line="360" w:lineRule="exac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（2）公布在投标截止时间前递交投标文件的投标人名称；</w:t>
            </w:r>
          </w:p>
          <w:p>
            <w:pPr>
              <w:snapToGrid w:val="0"/>
              <w:spacing w:line="360" w:lineRule="exac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（3）在投标截止时间后半小时内，投标人通过递交投标文件的交易平台对已递交的电子投标文件进行解密。投标人完成解密后，再由招标人进行解密。</w:t>
            </w:r>
          </w:p>
          <w:p>
            <w:pPr>
              <w:snapToGrid w:val="0"/>
              <w:spacing w:line="360" w:lineRule="exac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4）解密完成后，公布：a投标人名称；b投标文件递交情况；c投标文件解密情况；d项目负责人、设计负责人、专职安全员；e投标报价；f工期；g投标人的加密打包投标文件电脑机器特征码等主要内容，并记录在案。未在规定时间内解密的投标文件不参与开标、评标。</w:t>
            </w:r>
          </w:p>
          <w:p>
            <w:pPr>
              <w:snapToGrid w:val="0"/>
              <w:spacing w:line="360" w:lineRule="exac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（5）截标后，开标开始时间因故推迟的，相关评标信息仍以原定的开标开始时间的信息为准。</w:t>
            </w:r>
          </w:p>
          <w:p>
            <w:pPr>
              <w:snapToGrid w:val="0"/>
              <w:spacing w:line="360" w:lineRule="exac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napToGrid w:val="0"/>
              <w:spacing w:line="360" w:lineRule="exac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（7）开标时，两个（含两个）以上的投标人加密打包投标文件电脑机器特征码一致的，不参与下一程序，并由评标委员会否决其投标。</w:t>
            </w:r>
          </w:p>
          <w:p>
            <w:pPr>
              <w:snapToGrid w:val="0"/>
              <w:spacing w:line="360" w:lineRule="exac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（8）投标人代表、招标人代表、监标人、记录人等有关人员在开标记录上签字确认；若有关人员不签字的，不影响开标程序；</w:t>
            </w:r>
          </w:p>
          <w:p>
            <w:pPr>
              <w:spacing w:line="360" w:lineRule="exact"/>
              <w:rPr>
                <w:rFonts w:hint="eastAsia" w:ascii="宋体" w:hAnsi="宋体" w:cs="宋体"/>
                <w:color w:val="auto"/>
                <w:szCs w:val="21"/>
                <w:highlight w:val="none"/>
              </w:rPr>
            </w:pPr>
            <w:r>
              <w:rPr>
                <w:rFonts w:hint="eastAsia" w:ascii="新宋体" w:hAnsi="新宋体" w:eastAsia="新宋体" w:cs="新宋体"/>
                <w:color w:val="auto"/>
                <w:szCs w:val="21"/>
                <w:highlight w:val="none"/>
                <w:u w:val="single"/>
              </w:rPr>
              <w:t>（9）开标结束。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vMerge w:val="restart"/>
            <w:noWrap w:val="0"/>
            <w:vAlign w:val="center"/>
          </w:tcPr>
          <w:p>
            <w:pPr>
              <w:snapToGrid w:val="0"/>
              <w:spacing w:line="240" w:lineRule="exact"/>
              <w:ind w:left="-55" w:leftChars="-26" w:right="-59" w:rightChars="-28"/>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5.3</w:t>
            </w:r>
          </w:p>
        </w:tc>
        <w:tc>
          <w:tcPr>
            <w:tcW w:w="1784" w:type="dxa"/>
            <w:vMerge w:val="restart"/>
            <w:noWrap w:val="0"/>
            <w:vAlign w:val="center"/>
          </w:tcPr>
          <w:p>
            <w:pPr>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u w:val="single"/>
              </w:rPr>
              <w:t>采用评定分离定标办法</w:t>
            </w:r>
          </w:p>
        </w:tc>
        <w:tc>
          <w:tcPr>
            <w:tcW w:w="6228" w:type="dxa"/>
            <w:noWrap w:val="0"/>
            <w:vAlign w:val="center"/>
          </w:tcPr>
          <w:p>
            <w:pPr>
              <w:rPr>
                <w:rFonts w:ascii="宋体" w:hAnsi="宋体" w:cs="宋体"/>
                <w:color w:val="000000"/>
                <w:szCs w:val="21"/>
                <w:highlight w:val="none"/>
                <w:u w:val="single"/>
              </w:rPr>
            </w:pPr>
            <w:r>
              <w:rPr>
                <w:rFonts w:hint="eastAsia" w:ascii="宋体" w:hAnsi="宋体" w:cs="宋体"/>
                <w:color w:val="000000"/>
                <w:szCs w:val="21"/>
                <w:highlight w:val="none"/>
                <w:u w:val="single"/>
              </w:rPr>
              <w:t>评标办法：通过制评审法</w:t>
            </w:r>
          </w:p>
          <w:p>
            <w:pPr>
              <w:rPr>
                <w:rFonts w:hint="eastAsia" w:ascii="宋体" w:hAnsi="宋体" w:cs="宋体"/>
                <w:color w:val="000000"/>
                <w:kern w:val="2"/>
                <w:sz w:val="21"/>
                <w:szCs w:val="21"/>
                <w:highlight w:val="none"/>
                <w:u w:val="single"/>
                <w:lang w:val="en-US" w:eastAsia="zh-CN" w:bidi="ar-SA"/>
              </w:rPr>
            </w:pPr>
            <w:r>
              <w:rPr>
                <w:rFonts w:hint="eastAsia" w:ascii="宋体" w:hAnsi="宋体" w:cs="宋体"/>
                <w:color w:val="000000"/>
                <w:szCs w:val="21"/>
                <w:highlight w:val="none"/>
                <w:u w:val="single"/>
              </w:rPr>
              <w:t>评标委员会对投标文件进行初步评审，评出合格的投标人。若通过初步评审的合格投标人大于等于3家的，则全部通过初步评审的合格投标人进入定标阶段；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vMerge w:val="continue"/>
            <w:noWrap w:val="0"/>
            <w:vAlign w:val="center"/>
          </w:tcPr>
          <w:p>
            <w:pPr>
              <w:spacing w:line="360" w:lineRule="exact"/>
              <w:jc w:val="center"/>
              <w:rPr>
                <w:rFonts w:hint="eastAsia" w:ascii="宋体" w:hAnsi="宋体" w:cs="宋体"/>
                <w:color w:val="auto"/>
                <w:szCs w:val="21"/>
                <w:highlight w:val="none"/>
              </w:rPr>
            </w:pPr>
          </w:p>
        </w:tc>
        <w:tc>
          <w:tcPr>
            <w:tcW w:w="1784" w:type="dxa"/>
            <w:vMerge w:val="continue"/>
            <w:noWrap w:val="0"/>
            <w:vAlign w:val="center"/>
          </w:tcPr>
          <w:p>
            <w:pPr>
              <w:spacing w:line="360" w:lineRule="exact"/>
              <w:jc w:val="center"/>
              <w:rPr>
                <w:rFonts w:hint="eastAsia" w:ascii="宋体" w:hAnsi="宋体" w:cs="宋体"/>
                <w:color w:val="auto"/>
                <w:szCs w:val="21"/>
                <w:highlight w:val="none"/>
              </w:rPr>
            </w:pPr>
          </w:p>
        </w:tc>
        <w:tc>
          <w:tcPr>
            <w:tcW w:w="6228" w:type="dxa"/>
            <w:noWrap w:val="0"/>
            <w:vAlign w:val="center"/>
          </w:tcPr>
          <w:p>
            <w:pPr>
              <w:rPr>
                <w:rFonts w:hint="eastAsia" w:ascii="宋体" w:hAnsi="宋体" w:cs="宋体"/>
                <w:color w:val="000000"/>
                <w:kern w:val="2"/>
                <w:sz w:val="21"/>
                <w:szCs w:val="21"/>
                <w:highlight w:val="none"/>
                <w:u w:val="single"/>
                <w:lang w:val="en-US" w:eastAsia="zh-CN" w:bidi="ar-SA"/>
              </w:rPr>
            </w:pPr>
            <w:r>
              <w:rPr>
                <w:rFonts w:hint="eastAsia" w:ascii="宋体" w:hAnsi="宋体" w:cs="宋体"/>
                <w:color w:val="000000"/>
                <w:szCs w:val="21"/>
                <w:highlight w:val="none"/>
                <w:u w:val="single"/>
              </w:rPr>
              <w:t>定标办法：记名投票+撰写评语。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napToGrid w:val="0"/>
              <w:spacing w:line="240" w:lineRule="exact"/>
              <w:ind w:left="-55" w:leftChars="-26" w:right="-59" w:rightChars="-28"/>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5.4</w:t>
            </w:r>
          </w:p>
        </w:tc>
        <w:tc>
          <w:tcPr>
            <w:tcW w:w="1784" w:type="dxa"/>
            <w:noWrap w:val="0"/>
            <w:vAlign w:val="center"/>
          </w:tcPr>
          <w:p>
            <w:pP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进入</w:t>
            </w:r>
            <w:r>
              <w:rPr>
                <w:rFonts w:hint="eastAsia" w:ascii="宋体" w:hAnsi="宋体" w:cs="宋体"/>
                <w:color w:val="000000"/>
                <w:szCs w:val="21"/>
                <w:highlight w:val="none"/>
                <w:u w:val="single"/>
              </w:rPr>
              <w:t>定标阶段入围候选人</w:t>
            </w:r>
          </w:p>
        </w:tc>
        <w:tc>
          <w:tcPr>
            <w:tcW w:w="6228" w:type="dxa"/>
            <w:noWrap w:val="0"/>
            <w:vAlign w:val="center"/>
          </w:tcPr>
          <w:p>
            <w:pP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u w:val="single"/>
              </w:rPr>
              <w:t>除投标文件出现无效投标情形外，所有投标人均推荐为入围候选人。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6.1.1</w:t>
            </w:r>
          </w:p>
        </w:tc>
        <w:tc>
          <w:tcPr>
            <w:tcW w:w="1784" w:type="dxa"/>
            <w:noWrap w:val="0"/>
            <w:vAlign w:val="center"/>
          </w:tcPr>
          <w:p>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评标委员会的组建</w:t>
            </w:r>
          </w:p>
        </w:tc>
        <w:tc>
          <w:tcPr>
            <w:tcW w:w="6228" w:type="dxa"/>
            <w:noWrap w:val="0"/>
            <w:vAlign w:val="center"/>
          </w:tcPr>
          <w:p>
            <w:pPr>
              <w:snapToGrid w:val="0"/>
              <w:ind w:left="-55" w:leftChars="-26" w:right="-59" w:rightChars="-28"/>
              <w:rPr>
                <w:rFonts w:hint="eastAsia" w:ascii="宋体" w:hAnsi="宋体" w:eastAsia="宋体" w:cs="宋体"/>
                <w:color w:val="auto"/>
                <w:szCs w:val="21"/>
                <w:highlight w:val="none"/>
                <w:lang w:val="en-US" w:eastAsia="zh-CN"/>
              </w:rPr>
            </w:pPr>
            <w:r>
              <w:rPr>
                <w:rFonts w:hint="eastAsia" w:ascii="宋体" w:hAnsi="宋体" w:cs="宋体"/>
                <w:color w:val="000000"/>
                <w:kern w:val="0"/>
                <w:szCs w:val="21"/>
                <w:highlight w:val="none"/>
              </w:rPr>
              <w:t>评标委员会由招标人</w:t>
            </w:r>
            <w:r>
              <w:rPr>
                <w:rFonts w:hint="eastAsia" w:ascii="宋体" w:hAnsi="宋体" w:cs="宋体"/>
                <w:b/>
                <w:color w:val="000000"/>
                <w:kern w:val="0"/>
                <w:szCs w:val="21"/>
                <w:highlight w:val="none"/>
              </w:rPr>
              <w:t>依法组建</w:t>
            </w:r>
            <w:r>
              <w:rPr>
                <w:rFonts w:hint="eastAsia" w:ascii="宋体" w:hAnsi="宋体" w:cs="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napToGrid w:val="0"/>
              <w:spacing w:line="240" w:lineRule="exact"/>
              <w:ind w:left="-55" w:leftChars="-26" w:right="-59" w:rightChars="-28"/>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6.1.2</w:t>
            </w:r>
          </w:p>
        </w:tc>
        <w:tc>
          <w:tcPr>
            <w:tcW w:w="1784" w:type="dxa"/>
            <w:noWrap w:val="0"/>
            <w:vAlign w:val="center"/>
          </w:tcPr>
          <w:p>
            <w:pPr>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u w:val="single"/>
              </w:rPr>
              <w:t>定标委员会的组建</w:t>
            </w:r>
          </w:p>
        </w:tc>
        <w:tc>
          <w:tcPr>
            <w:tcW w:w="6228" w:type="dxa"/>
            <w:noWrap w:val="0"/>
            <w:vAlign w:val="center"/>
          </w:tcPr>
          <w:p>
            <w:pPr>
              <w:pStyle w:val="36"/>
              <w:ind w:firstLine="0" w:firstLineChars="0"/>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u w:val="single"/>
                <w:lang w:val="en-US" w:eastAsia="zh-CN"/>
              </w:rPr>
              <w:t>定标委员会由招标人依法依规组建，定标委</w:t>
            </w:r>
            <w:r>
              <w:rPr>
                <w:rFonts w:hint="eastAsia" w:ascii="宋体" w:hAnsi="宋体" w:cs="宋体"/>
                <w:color w:val="auto"/>
                <w:szCs w:val="21"/>
                <w:highlight w:val="none"/>
                <w:u w:val="single"/>
                <w:lang w:val="en-US" w:eastAsia="zh-CN"/>
              </w:rPr>
              <w:t>员会成员于2023</w:t>
            </w:r>
            <w:r>
              <w:rPr>
                <w:rFonts w:hint="eastAsia" w:ascii="宋体" w:hAnsi="宋体" w:cs="宋体"/>
                <w:color w:val="000000"/>
                <w:szCs w:val="21"/>
                <w:highlight w:val="none"/>
                <w:u w:val="single"/>
                <w:lang w:val="en-US" w:eastAsia="zh-CN"/>
              </w:rPr>
              <w:t>年  月  日  时  分到达定标室参加由招标人组织的定标会。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228" w:type="dxa"/>
            <w:noWrap w:val="0"/>
            <w:vAlign w:val="center"/>
          </w:tcPr>
          <w:p>
            <w:pPr>
              <w:snapToGrid w:val="0"/>
              <w:ind w:left="-55" w:leftChars="-26" w:right="-59" w:rightChars="-28"/>
              <w:rPr>
                <w:rFonts w:ascii="宋体" w:hAnsi="宋体" w:cs="宋体"/>
                <w:color w:val="000000"/>
                <w:szCs w:val="21"/>
                <w:highlight w:val="none"/>
              </w:rPr>
            </w:pPr>
            <w:r>
              <w:rPr>
                <w:rFonts w:hint="eastAsia" w:ascii="宋体" w:hAnsi="宋体" w:cs="宋体"/>
                <w:color w:val="000000"/>
                <w:szCs w:val="21"/>
                <w:highlight w:val="none"/>
              </w:rPr>
              <w:t>□是</w:t>
            </w:r>
          </w:p>
          <w:p>
            <w:pPr>
              <w:snapToGrid w:val="0"/>
              <w:ind w:left="-55" w:leftChars="-26" w:right="-59" w:rightChars="-28"/>
              <w:rPr>
                <w:rFonts w:hint="eastAsia" w:ascii="宋体" w:hAnsi="宋体" w:cs="宋体"/>
                <w:color w:val="auto"/>
                <w:szCs w:val="21"/>
                <w:highlight w:val="none"/>
              </w:rPr>
            </w:pPr>
            <w:r>
              <w:rPr>
                <w:rFonts w:hint="eastAsia" w:ascii="宋体" w:hAnsi="宋体" w:cs="宋体"/>
                <w:color w:val="000000"/>
                <w:szCs w:val="21"/>
                <w:highlight w:val="none"/>
              </w:rPr>
              <w:t>■否，推荐的中标候选人数：</w:t>
            </w:r>
            <w:r>
              <w:rPr>
                <w:rFonts w:hint="eastAsia" w:ascii="宋体" w:hAnsi="宋体" w:cs="宋体"/>
                <w:color w:val="000000"/>
                <w:szCs w:val="21"/>
                <w:highlight w:val="none"/>
                <w:u w:val="single"/>
              </w:rPr>
              <w:t>通过初步评审的投标人均进入定标阶段。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中国招标投标公共服务平台、广东省招标投标监管网、广州交易集团有限公司（广州公共资源交易中心）网站。</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公示期限：3日。</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7.4.1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履约担保的形式：</w:t>
            </w:r>
            <w:r>
              <w:rPr>
                <w:rFonts w:hint="eastAsia" w:ascii="宋体" w:hAnsi="宋体" w:cs="宋体"/>
                <w:color w:val="auto"/>
                <w:kern w:val="0"/>
                <w:szCs w:val="21"/>
                <w:highlight w:val="none"/>
              </w:rPr>
              <w:t>以合同约定为准</w:t>
            </w:r>
            <w:r>
              <w:rPr>
                <w:rFonts w:hint="eastAsia" w:ascii="宋体" w:hAnsi="宋体" w:cs="宋体"/>
                <w:color w:val="auto"/>
                <w:szCs w:val="21"/>
                <w:highlight w:val="none"/>
              </w:rPr>
              <w:t>。</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履约担保的金额：中标总价的10%，联合体投标的由联合体主办方提供</w:t>
            </w:r>
          </w:p>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履约担保的</w:t>
            </w:r>
            <w:r>
              <w:rPr>
                <w:rFonts w:hint="eastAsia" w:ascii="宋体" w:hAnsi="宋体" w:cs="宋体"/>
                <w:color w:val="auto"/>
                <w:szCs w:val="21"/>
                <w:highlight w:val="none"/>
                <w:lang w:eastAsia="zh-CN"/>
              </w:rPr>
              <w:t>开具单位：</w:t>
            </w:r>
            <w:r>
              <w:rPr>
                <w:rFonts w:hint="eastAsia" w:ascii="宋体" w:hAnsi="宋体" w:eastAsia="宋体" w:cs="宋体"/>
                <w:color w:val="auto"/>
                <w:szCs w:val="21"/>
                <w:highlight w:val="none"/>
              </w:rPr>
              <w:t>由中国境内的商业银行开具。</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担保期限为自本保函开立之日起至合同项下的工程竣工验收且验收备案合格，并完成工程档案移交后二十八 (28) 天内。</w:t>
            </w:r>
            <w:r>
              <w:rPr>
                <w:rFonts w:hint="eastAsia"/>
                <w:color w:val="auto"/>
                <w:highlight w:val="none"/>
              </w:rPr>
              <w:t>（若提供履约保函的，保函有效期限需保持持续有效，若保函到期但合同项下的工程未竣工验收或验收备案未合格的，中标人应延长履约保函有效期直至合同项下的工程竣工验收且验收备案合格，上述完成后无息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napToGrid w:val="0"/>
              <w:spacing w:line="240" w:lineRule="exact"/>
              <w:ind w:left="-55" w:leftChars="-26" w:right="-59" w:rightChars="-28"/>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w:t>
            </w:r>
          </w:p>
        </w:tc>
        <w:tc>
          <w:tcPr>
            <w:tcW w:w="1784" w:type="dxa"/>
            <w:noWrap w:val="0"/>
            <w:vAlign w:val="center"/>
          </w:tcPr>
          <w:p>
            <w:pPr>
              <w:snapToGrid w:val="0"/>
              <w:spacing w:line="240" w:lineRule="exact"/>
              <w:ind w:left="-55" w:leftChars="-26" w:right="-59" w:rightChars="-28"/>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工程成本警戒价</w:t>
            </w:r>
          </w:p>
        </w:tc>
        <w:tc>
          <w:tcPr>
            <w:tcW w:w="6228" w:type="dxa"/>
            <w:noWrap w:val="0"/>
            <w:vAlign w:val="center"/>
          </w:tcPr>
          <w:p>
            <w:pPr>
              <w:rPr>
                <w:rFonts w:hint="eastAsia" w:ascii="宋体" w:hAnsi="宋体" w:cs="宋体"/>
                <w:color w:val="000000"/>
                <w:kern w:val="2"/>
                <w:sz w:val="21"/>
                <w:szCs w:val="24"/>
                <w:highlight w:val="none"/>
                <w:lang w:val="en-US" w:eastAsia="zh-CN" w:bidi="ar-SA"/>
              </w:rPr>
            </w:pPr>
            <w:r>
              <w:rPr>
                <w:rFonts w:hint="eastAsia" w:ascii="宋体" w:hAnsi="宋体" w:cs="宋体"/>
                <w:color w:val="000000"/>
                <w:highlight w:val="none"/>
              </w:rPr>
              <w:t>建安工程</w:t>
            </w:r>
            <w:r>
              <w:rPr>
                <w:rFonts w:hint="eastAsia" w:ascii="宋体" w:hAnsi="宋体" w:cs="宋体"/>
                <w:color w:val="auto"/>
                <w:highlight w:val="none"/>
              </w:rPr>
              <w:t>成本警戒价按最高投标限价中的建安工程费</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90%</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设置为</w:t>
            </w:r>
            <w:r>
              <w:rPr>
                <w:rFonts w:hint="eastAsia" w:ascii="宋体" w:hAnsi="宋体" w:cs="宋体"/>
                <w:color w:val="auto"/>
                <w:highlight w:val="none"/>
                <w:u w:val="single"/>
                <w:lang w:val="en-US" w:eastAsia="zh-CN"/>
              </w:rPr>
              <w:t>101924</w:t>
            </w:r>
            <w:r>
              <w:rPr>
                <w:rFonts w:hint="eastAsia" w:ascii="宋体" w:hAnsi="宋体" w:cs="宋体"/>
                <w:color w:val="auto"/>
                <w:highlight w:val="none"/>
                <w:u w:val="none"/>
                <w:lang w:val="en-US" w:eastAsia="zh-CN"/>
              </w:rPr>
              <w:t>万</w:t>
            </w:r>
            <w:r>
              <w:rPr>
                <w:rFonts w:hint="eastAsia" w:ascii="宋体" w:hAnsi="宋体" w:cs="宋体"/>
                <w:color w:val="auto"/>
                <w:highlight w:val="none"/>
              </w:rPr>
              <w:t>元。对低于该警戒价的投标报价，投标人必须提供详细的施工组织设计、单价、措</w:t>
            </w:r>
            <w:r>
              <w:rPr>
                <w:rFonts w:hint="eastAsia" w:ascii="宋体" w:hAnsi="宋体" w:cs="宋体"/>
                <w:color w:val="000000"/>
                <w:highlight w:val="none"/>
              </w:rPr>
              <w:t>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784" w:type="dxa"/>
            <w:noWrap w:val="0"/>
            <w:vAlign w:val="center"/>
          </w:tcPr>
          <w:p>
            <w:pPr>
              <w:snapToGrid w:val="0"/>
              <w:spacing w:line="240" w:lineRule="exact"/>
              <w:ind w:left="-55" w:leftChars="-26" w:right="-59" w:rightChars="-28"/>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承包方式</w:t>
            </w:r>
          </w:p>
        </w:tc>
        <w:tc>
          <w:tcPr>
            <w:tcW w:w="6228" w:type="dxa"/>
            <w:noWrap w:val="0"/>
            <w:vAlign w:val="center"/>
          </w:tcPr>
          <w:p>
            <w:pPr>
              <w:rPr>
                <w:rFonts w:hint="eastAsia" w:ascii="宋体" w:hAnsi="宋体" w:cs="宋体"/>
                <w:color w:val="000000"/>
                <w:kern w:val="2"/>
                <w:sz w:val="21"/>
                <w:szCs w:val="24"/>
                <w:highlight w:val="none"/>
                <w:lang w:val="en-US" w:eastAsia="zh-CN" w:bidi="ar-SA"/>
              </w:rPr>
            </w:pPr>
            <w:r>
              <w:rPr>
                <w:rFonts w:hint="eastAsia" w:ascii="宋体" w:hAnsi="宋体" w:cs="宋体"/>
                <w:color w:val="000000"/>
                <w:highlight w:val="none"/>
                <w:u w:val="single"/>
              </w:rPr>
              <w:t>承包人根据招标文件、合同文件、有关资料及说明等对本项目实施工程总承包：包设计，包施工[包括但不限于包临时设施、包施工期间用水用电费用、包材料、包施工、包质量、包工期、包联合调试、包实测实量、包绿色施工安全防护、包建筑垃圾清理及外运、包成品保护、包调试与检测、配合第三方检测及监测、包试运行、包税费、包保险、包通水、包通电、包通燃气、包通讯、包竣工图编制（须满足规划等各专项验收要求）、包验收合格、包结算、包培训、包质保期内工程质量保修、包现场组织和协调、包移交、包创优工程（如有）的组织实施工作和资料整理、包工程备案、包竣工验收及备案资料、包配合整体竣工验收（含相关工程资料收集整理）、包因验收（报价范围内）不能通过所需要发生的整改费用（非因分包人原因导致除外）等]，包控制投资、包报批报建及其它相关服务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9</w:t>
            </w:r>
          </w:p>
        </w:tc>
        <w:tc>
          <w:tcPr>
            <w:tcW w:w="8012" w:type="dxa"/>
            <w:gridSpan w:val="2"/>
            <w:noWrap w:val="0"/>
            <w:vAlign w:val="center"/>
          </w:tcPr>
          <w:p>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012" w:type="dxa"/>
            <w:gridSpan w:val="2"/>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建设工程质量检测单位：</w:t>
            </w:r>
          </w:p>
          <w:p>
            <w:pPr>
              <w:spacing w:line="360" w:lineRule="exact"/>
              <w:rPr>
                <w:rFonts w:hint="eastAsia" w:ascii="宋体" w:hAnsi="宋体" w:cs="宋体"/>
                <w:b/>
                <w:color w:val="auto"/>
                <w:szCs w:val="21"/>
                <w:highlight w:val="none"/>
              </w:rPr>
            </w:pPr>
            <w:r>
              <w:rPr>
                <w:rFonts w:hint="eastAsia" w:ascii="宋体" w:hAnsi="宋体" w:cs="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012" w:type="dxa"/>
            <w:gridSpan w:val="2"/>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项目的监理、施工图审查、第三方检测工作、可行性研究报告的编制工作、节能评估服务、造价咨询工作不列入本次招标范围。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b/>
                <w:color w:val="auto"/>
                <w:szCs w:val="21"/>
                <w:highlight w:val="none"/>
              </w:rPr>
            </w:pPr>
            <w:r>
              <w:rPr>
                <w:rFonts w:hint="eastAsia" w:ascii="宋体" w:hAnsi="宋体" w:cs="宋体"/>
                <w:color w:val="auto"/>
                <w:szCs w:val="21"/>
                <w:highlight w:val="none"/>
              </w:rPr>
              <w:t>9.3</w:t>
            </w:r>
          </w:p>
        </w:tc>
        <w:tc>
          <w:tcPr>
            <w:tcW w:w="8012" w:type="dxa"/>
            <w:gridSpan w:val="2"/>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在招标和合同实施期间，招标人要求投标人和承包人遵守最高的道德标准。</w:t>
            </w:r>
          </w:p>
          <w:p>
            <w:pPr>
              <w:spacing w:line="360" w:lineRule="exact"/>
              <w:rPr>
                <w:rFonts w:hint="eastAsia" w:ascii="宋体" w:hAnsi="宋体" w:cs="宋体"/>
                <w:color w:val="auto"/>
                <w:highlight w:val="none"/>
              </w:rPr>
            </w:pPr>
            <w:r>
              <w:rPr>
                <w:rFonts w:hint="eastAsia" w:ascii="宋体" w:hAnsi="宋体" w:cs="宋体"/>
                <w:color w:val="auto"/>
                <w:highlight w:val="none"/>
              </w:rPr>
              <w:t>1、对本条款的规定，特定义如下词汇：</w:t>
            </w:r>
          </w:p>
          <w:p>
            <w:pPr>
              <w:spacing w:line="360" w:lineRule="exact"/>
              <w:rPr>
                <w:rFonts w:hint="eastAsia" w:ascii="宋体" w:hAnsi="宋体" w:cs="宋体"/>
                <w:color w:val="auto"/>
                <w:highlight w:val="none"/>
              </w:rPr>
            </w:pPr>
            <w:r>
              <w:rPr>
                <w:rFonts w:hint="eastAsia" w:ascii="宋体" w:hAnsi="宋体" w:cs="宋体"/>
                <w:color w:val="auto"/>
                <w:highlight w:val="none"/>
              </w:rPr>
              <w:t>1）“腐败行为”是指在招标或合同执行期间，通过提供、给予、接受或索要任何有价值的东西，从而影响招标人有关人员工作的行为；</w:t>
            </w:r>
          </w:p>
          <w:p>
            <w:pPr>
              <w:spacing w:line="360" w:lineRule="exact"/>
              <w:rPr>
                <w:rFonts w:hint="eastAsia" w:ascii="宋体" w:hAnsi="宋体" w:cs="宋体"/>
                <w:color w:val="auto"/>
                <w:highlight w:val="none"/>
              </w:rPr>
            </w:pPr>
            <w:r>
              <w:rPr>
                <w:rFonts w:hint="eastAsia" w:ascii="宋体" w:hAnsi="宋体" w:cs="宋体"/>
                <w:color w:val="auto"/>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pPr>
              <w:spacing w:line="360" w:lineRule="exact"/>
              <w:rPr>
                <w:rFonts w:hint="eastAsia" w:ascii="宋体" w:hAnsi="宋体" w:cs="宋体"/>
                <w:color w:val="auto"/>
                <w:highlight w:val="none"/>
              </w:rPr>
            </w:pPr>
            <w:r>
              <w:rPr>
                <w:rFonts w:hint="eastAsia" w:ascii="宋体" w:hAnsi="宋体" w:cs="宋体"/>
                <w:color w:val="auto"/>
                <w:highlight w:val="none"/>
              </w:rPr>
              <w:t>2、如果投标人被认定在本招标的竞争中有腐败或欺诈行为，则会被取消投标资格。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widowControl/>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012" w:type="dxa"/>
            <w:gridSpan w:val="2"/>
            <w:noWrap w:val="0"/>
            <w:vAlign w:val="center"/>
          </w:tcPr>
          <w:p>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承包方式：包括但不限于包设计、包工、包料、包设备、包工期、包质量、包造价控制、包安全、包文明施工、包项目协调管理、包验收移交、包竣工资料收集整理、包保修等。</w:t>
            </w:r>
          </w:p>
          <w:p>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012" w:type="dxa"/>
            <w:gridSpan w:val="2"/>
            <w:noWrap w:val="0"/>
            <w:vAlign w:val="center"/>
          </w:tcPr>
          <w:p>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施工图即使通过审查，但如未达到国家、地方的行业标准、规范等及招标人需求任务书规定标准和深度，招标人要求完善的，属于设计失误（由招标人牵头认定是否设计失误），招标人不承担任何费用。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ascii="宋体" w:hAnsi="宋体" w:cs="宋体"/>
                <w:b/>
                <w:color w:val="auto"/>
                <w:szCs w:val="21"/>
                <w:highlight w:val="none"/>
              </w:rPr>
            </w:pPr>
            <w:r>
              <w:rPr>
                <w:rFonts w:hint="eastAsia" w:ascii="宋体" w:hAnsi="宋体" w:cs="宋体"/>
                <w:color w:val="auto"/>
                <w:szCs w:val="21"/>
                <w:highlight w:val="none"/>
              </w:rPr>
              <w:t>9.6</w:t>
            </w:r>
          </w:p>
        </w:tc>
        <w:tc>
          <w:tcPr>
            <w:tcW w:w="8012" w:type="dxa"/>
            <w:gridSpan w:val="2"/>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职业健康安全管理目标：杜绝一般等级以上的伤亡事故且工伤责任事故人数为零。</w:t>
            </w:r>
          </w:p>
          <w:p>
            <w:pPr>
              <w:spacing w:line="360" w:lineRule="exact"/>
              <w:rPr>
                <w:rFonts w:hint="eastAsia" w:ascii="宋体" w:hAnsi="宋体" w:cs="宋体"/>
                <w:color w:val="auto"/>
                <w:highlight w:val="none"/>
              </w:rPr>
            </w:pPr>
            <w:r>
              <w:rPr>
                <w:rFonts w:hint="eastAsia" w:ascii="宋体" w:hAnsi="宋体" w:cs="宋体"/>
                <w:color w:val="auto"/>
                <w:szCs w:val="21"/>
                <w:highlight w:val="none"/>
              </w:rPr>
              <w:t>环境管理目标：严格执行《广州市建设工程现场文明施工管理办法》（穗建质【2008】937号）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b/>
                <w:color w:val="auto"/>
                <w:szCs w:val="21"/>
                <w:highlight w:val="none"/>
              </w:rPr>
            </w:pPr>
            <w:r>
              <w:rPr>
                <w:rFonts w:hint="eastAsia" w:ascii="宋体" w:hAnsi="宋体" w:cs="宋体"/>
                <w:color w:val="auto"/>
                <w:szCs w:val="21"/>
                <w:highlight w:val="none"/>
              </w:rPr>
              <w:t>9.7</w:t>
            </w:r>
          </w:p>
        </w:tc>
        <w:tc>
          <w:tcPr>
            <w:tcW w:w="8012" w:type="dxa"/>
            <w:gridSpan w:val="2"/>
            <w:noWrap w:val="0"/>
            <w:vAlign w:val="center"/>
          </w:tcPr>
          <w:p>
            <w:pPr>
              <w:spacing w:line="360" w:lineRule="exact"/>
              <w:rPr>
                <w:rFonts w:hint="eastAsia" w:ascii="宋体" w:hAnsi="宋体" w:cs="宋体"/>
                <w:color w:val="auto"/>
                <w:highlight w:val="none"/>
              </w:rPr>
            </w:pPr>
            <w:r>
              <w:rPr>
                <w:rFonts w:hint="eastAsia" w:ascii="宋体" w:hAnsi="宋体" w:cs="宋体"/>
                <w:color w:val="auto"/>
                <w:szCs w:val="21"/>
                <w:highlight w:val="none"/>
              </w:rPr>
              <w:t>项目管理目标及规范：严格执行《建设项目工程总承包管理规范》（GB/T 50358-2017）的要求。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9.8</w:t>
            </w:r>
          </w:p>
        </w:tc>
        <w:tc>
          <w:tcPr>
            <w:tcW w:w="8012" w:type="dxa"/>
            <w:gridSpan w:val="2"/>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9.9</w:t>
            </w:r>
          </w:p>
        </w:tc>
        <w:tc>
          <w:tcPr>
            <w:tcW w:w="8012" w:type="dxa"/>
            <w:gridSpan w:val="2"/>
            <w:noWrap w:val="0"/>
            <w:vAlign w:val="center"/>
          </w:tcPr>
          <w:p>
            <w:pPr>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中标人缴纳交易服务费，其费用包含在中标人投标报价中。</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本项目招标代理服务费由中标人在领取《中标通知书》前一次性向招标代理机构足额支付。招标代理服务费以中标价作为计算基价，参考国家颁布的《招标代理服务收费管理暂行办法》（计价格[2002]1980号）和发改价格[2011]534号规定的工程类招标项目</w:t>
            </w:r>
            <w:r>
              <w:rPr>
                <w:rFonts w:hint="eastAsia" w:ascii="宋体" w:hAnsi="宋体" w:cs="宋体"/>
                <w:color w:val="auto"/>
                <w:highlight w:val="none"/>
              </w:rPr>
              <w:t>下浮</w:t>
            </w:r>
            <w:r>
              <w:rPr>
                <w:rFonts w:hint="eastAsia" w:ascii="宋体" w:hAnsi="宋体" w:cs="宋体"/>
                <w:color w:val="auto"/>
                <w:highlight w:val="none"/>
                <w:u w:val="single"/>
                <w:lang w:val="en-US" w:eastAsia="zh-CN"/>
              </w:rPr>
              <w:t>52</w:t>
            </w:r>
            <w:r>
              <w:rPr>
                <w:rFonts w:hint="eastAsia" w:ascii="宋体" w:hAnsi="宋体" w:cs="宋体"/>
                <w:color w:val="auto"/>
                <w:highlight w:val="none"/>
                <w:u w:val="single"/>
              </w:rPr>
              <w:t>%</w:t>
            </w:r>
            <w:r>
              <w:rPr>
                <w:rFonts w:hint="eastAsia" w:ascii="宋体" w:hAnsi="宋体" w:cs="宋体"/>
                <w:color w:val="auto"/>
                <w:szCs w:val="21"/>
                <w:highlight w:val="none"/>
              </w:rPr>
              <w:t>计算。本费用由投标人自行考虑，招标人不再另行支付。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9.10</w:t>
            </w:r>
          </w:p>
        </w:tc>
        <w:tc>
          <w:tcPr>
            <w:tcW w:w="8012" w:type="dxa"/>
            <w:gridSpan w:val="2"/>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中标候选人公示后7天内</w:t>
            </w:r>
            <w:r>
              <w:rPr>
                <w:rFonts w:hint="eastAsia" w:ascii="宋体" w:hAnsi="宋体" w:cs="宋体"/>
                <w:color w:val="auto"/>
                <w:szCs w:val="21"/>
                <w:highlight w:val="none"/>
                <w:lang w:eastAsia="zh-CN"/>
              </w:rPr>
              <w:t>中</w:t>
            </w:r>
            <w:r>
              <w:rPr>
                <w:rFonts w:hint="eastAsia" w:ascii="宋体" w:hAnsi="宋体" w:cs="宋体"/>
                <w:color w:val="auto"/>
                <w:szCs w:val="21"/>
                <w:highlight w:val="none"/>
              </w:rPr>
              <w:t>标人需将在广州交易集团有限公司（广州公共资源交易中心）网站下载的投标文件打印，投标文件需与中标人在广州交易集团有限公司（广州公共资源交易中心）网站提交的投标文件一致，投标人加盖公章，1正3副（加盖公章），合共4套投标文件提供给招标人，相关费用由</w:t>
            </w:r>
            <w:r>
              <w:rPr>
                <w:rFonts w:hint="eastAsia" w:ascii="宋体" w:hAnsi="宋体" w:cs="宋体"/>
                <w:color w:val="auto"/>
                <w:szCs w:val="21"/>
                <w:highlight w:val="none"/>
                <w:lang w:eastAsia="zh-CN"/>
              </w:rPr>
              <w:t>中</w:t>
            </w:r>
            <w:r>
              <w:rPr>
                <w:rFonts w:hint="eastAsia" w:ascii="宋体" w:hAnsi="宋体" w:cs="宋体"/>
                <w:color w:val="auto"/>
                <w:szCs w:val="21"/>
                <w:highlight w:val="none"/>
              </w:rPr>
              <w:t>标人</w:t>
            </w:r>
            <w:r>
              <w:rPr>
                <w:rFonts w:hint="eastAsia" w:ascii="宋体" w:hAnsi="宋体" w:cs="宋体"/>
                <w:color w:val="auto"/>
                <w:szCs w:val="21"/>
                <w:highlight w:val="none"/>
                <w:lang w:eastAsia="zh-CN"/>
              </w:rPr>
              <w:t>承担</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电子招标投标</w:t>
            </w:r>
          </w:p>
        </w:tc>
        <w:tc>
          <w:tcPr>
            <w:tcW w:w="6228"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□否</w:t>
            </w:r>
          </w:p>
          <w:p>
            <w:pPr>
              <w:spacing w:line="360" w:lineRule="exact"/>
              <w:rPr>
                <w:rFonts w:hint="eastAsia" w:ascii="宋体" w:hAnsi="宋体" w:cs="宋体"/>
                <w:color w:val="auto"/>
                <w:highlight w:val="none"/>
              </w:rPr>
            </w:pPr>
            <w:r>
              <w:rPr>
                <w:rFonts w:hint="eastAsia" w:ascii="宋体" w:hAnsi="宋体" w:cs="宋体"/>
                <w:color w:val="auto"/>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6228" w:type="dxa"/>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1、按照交易平台关于全流程电子化项目的相关指南进行操作。详见：</w:t>
            </w:r>
            <w:r>
              <w:rPr>
                <w:rFonts w:hint="eastAsia" w:ascii="宋体" w:hAnsi="宋体" w:eastAsia="宋体" w:cs="宋体"/>
                <w:szCs w:val="21"/>
                <w:highlight w:val="none"/>
                <w:u w:val="single"/>
              </w:rPr>
              <w:t>广州公共资源交易中心网站(http:/ www.gzggzy.cn)服务指南栏目</w:t>
            </w:r>
            <w:r>
              <w:rPr>
                <w:rFonts w:hint="eastAsia" w:ascii="宋体" w:hAnsi="宋体" w:eastAsia="宋体" w:cs="宋体"/>
                <w:szCs w:val="21"/>
                <w:highlight w:val="none"/>
              </w:rPr>
              <w:t xml:space="preserve">。  </w:t>
            </w:r>
          </w:p>
          <w:p>
            <w:pPr>
              <w:rPr>
                <w:rFonts w:hint="eastAsia" w:ascii="宋体" w:hAnsi="宋体" w:eastAsia="宋体" w:cs="宋体"/>
                <w:szCs w:val="21"/>
                <w:highlight w:val="none"/>
              </w:rPr>
            </w:pPr>
            <w:r>
              <w:rPr>
                <w:rFonts w:hint="eastAsia" w:ascii="宋体" w:hAnsi="宋体" w:eastAsia="宋体" w:cs="宋体"/>
                <w:szCs w:val="21"/>
                <w:highlight w:val="none"/>
              </w:rPr>
              <w:t>2、提交投标文件光盘备用</w:t>
            </w:r>
          </w:p>
          <w:p>
            <w:pPr>
              <w:rPr>
                <w:rFonts w:hint="eastAsia" w:ascii="宋体" w:hAnsi="宋体" w:eastAsia="宋体" w:cs="宋体"/>
                <w:szCs w:val="21"/>
                <w:highlight w:val="none"/>
              </w:rPr>
            </w:pPr>
            <w:r>
              <w:rPr>
                <w:rFonts w:hint="eastAsia" w:ascii="宋体" w:hAnsi="宋体" w:eastAsia="宋体" w:cs="宋体"/>
                <w:szCs w:val="21"/>
                <w:highlight w:val="none"/>
              </w:rPr>
              <w:t>投标人可制作非加密的电子投标文件（PDF格式）刻入光盘（1份），在投标须知前附表第</w:t>
            </w:r>
            <w:r>
              <w:rPr>
                <w:rFonts w:hint="eastAsia" w:ascii="宋体" w:hAnsi="宋体" w:cs="宋体"/>
                <w:szCs w:val="21"/>
                <w:highlight w:val="none"/>
                <w:lang w:val="en-US" w:eastAsia="zh-CN"/>
              </w:rPr>
              <w:t>4.1.2</w:t>
            </w:r>
            <w:bookmarkStart w:id="783" w:name="_GoBack"/>
            <w:bookmarkEnd w:id="783"/>
            <w:r>
              <w:rPr>
                <w:rFonts w:hint="eastAsia" w:ascii="宋体" w:hAnsi="宋体" w:eastAsia="宋体" w:cs="宋体"/>
                <w:szCs w:val="21"/>
                <w:highlight w:val="none"/>
              </w:rPr>
              <w:t>项规定的时间、地点提交备用。刻录好的投标文件光盘密封在密封袋中，并在封口处加盖投标人单位公章。</w:t>
            </w:r>
            <w:r>
              <w:rPr>
                <w:rFonts w:hint="eastAsia" w:ascii="宋体" w:hAnsi="宋体" w:eastAsia="宋体" w:cs="宋体"/>
                <w:b/>
                <w:szCs w:val="21"/>
                <w:highlight w:val="none"/>
              </w:rPr>
              <w:t>密封袋上应写明项目名称和招标人名称。</w:t>
            </w:r>
            <w:r>
              <w:rPr>
                <w:rFonts w:hint="eastAsia" w:ascii="宋体" w:hAnsi="宋体" w:eastAsia="宋体" w:cs="宋体"/>
                <w:szCs w:val="21"/>
                <w:highlight w:val="none"/>
              </w:rPr>
              <w:t>递交的光盘不得加密。光盘无法读取或导入的，则视为未提交备用投标文件光盘。如果投标人没有按规定通过交易平台网上递交电子投标文件的，不再读取提交的光盘。投标人也可不提交备用光盘。</w:t>
            </w:r>
          </w:p>
          <w:p>
            <w:pPr>
              <w:rPr>
                <w:rFonts w:hint="eastAsia" w:ascii="宋体" w:hAnsi="宋体" w:eastAsia="宋体" w:cs="宋体"/>
                <w:szCs w:val="21"/>
                <w:highlight w:val="none"/>
              </w:rPr>
            </w:pPr>
            <w:r>
              <w:rPr>
                <w:rFonts w:hint="eastAsia" w:ascii="宋体" w:hAnsi="宋体" w:eastAsia="宋体" w:cs="宋体"/>
                <w:szCs w:val="21"/>
                <w:highlight w:val="none"/>
              </w:rPr>
              <w:t>3、补救方案</w:t>
            </w:r>
          </w:p>
          <w:p>
            <w:pPr>
              <w:rPr>
                <w:rFonts w:hint="eastAsia" w:ascii="宋体" w:hAnsi="宋体" w:eastAsia="宋体" w:cs="宋体"/>
                <w:szCs w:val="21"/>
                <w:highlight w:val="none"/>
              </w:rPr>
            </w:pPr>
            <w:r>
              <w:rPr>
                <w:rFonts w:hint="eastAsia" w:ascii="宋体" w:hAnsi="宋体" w:eastAsia="宋体" w:cs="宋体"/>
                <w:szCs w:val="21"/>
                <w:highlight w:val="none"/>
              </w:rPr>
              <w:t>（1）投标文件解密失败的补救方案：</w:t>
            </w:r>
          </w:p>
          <w:p>
            <w:pPr>
              <w:rPr>
                <w:rFonts w:hint="eastAsia" w:ascii="宋体" w:hAnsi="宋体" w:eastAsia="宋体" w:cs="宋体"/>
                <w:b/>
                <w:bCs/>
                <w:szCs w:val="21"/>
                <w:highlight w:val="none"/>
              </w:rPr>
            </w:pPr>
            <w:r>
              <w:rPr>
                <w:rFonts w:hint="eastAsia" w:ascii="宋体" w:hAnsi="宋体" w:eastAsia="宋体" w:cs="宋体"/>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Pr>
                <w:rFonts w:hint="eastAsia" w:ascii="宋体" w:hAnsi="宋体" w:eastAsia="宋体" w:cs="宋体"/>
                <w:b/>
                <w:bCs/>
                <w:szCs w:val="21"/>
                <w:highlight w:val="none"/>
              </w:rPr>
              <w:t>因投标人之外原因解密失败且未递交电子光盘的，视为撤回投标文件。</w:t>
            </w:r>
          </w:p>
          <w:p>
            <w:pPr>
              <w:rPr>
                <w:rFonts w:hint="eastAsia" w:ascii="宋体" w:hAnsi="宋体" w:eastAsia="宋体" w:cs="宋体"/>
                <w:szCs w:val="21"/>
                <w:highlight w:val="none"/>
              </w:rPr>
            </w:pPr>
            <w:r>
              <w:rPr>
                <w:rFonts w:hint="eastAsia" w:ascii="宋体" w:hAnsi="宋体" w:eastAsia="宋体" w:cs="宋体"/>
                <w:szCs w:val="21"/>
                <w:highlight w:val="none"/>
              </w:rPr>
              <w:t>（2）评标时突发情况的补救方案</w:t>
            </w:r>
          </w:p>
          <w:p>
            <w:pPr>
              <w:rPr>
                <w:rFonts w:hint="eastAsia" w:ascii="宋体" w:hAnsi="宋体" w:eastAsia="宋体" w:cs="宋体"/>
                <w:szCs w:val="21"/>
                <w:highlight w:val="none"/>
              </w:rPr>
            </w:pPr>
            <w:r>
              <w:rPr>
                <w:rFonts w:hint="eastAsia" w:ascii="宋体" w:hAnsi="宋体" w:eastAsia="宋体" w:cs="宋体"/>
                <w:szCs w:val="21"/>
                <w:highlight w:val="none"/>
              </w:rPr>
              <w:t>若遇不可抗力发生（指网络瘫痪、服务器损坏、交易系统故障短期无法恢复等因素），由评标委员会开启投标人递交的全部投标文件光盘，并按光盘内容进行评审。</w:t>
            </w:r>
          </w:p>
          <w:p>
            <w:pPr>
              <w:rPr>
                <w:rFonts w:hint="eastAsia" w:ascii="宋体" w:hAnsi="宋体" w:cs="宋体"/>
                <w:color w:val="auto"/>
                <w:highlight w:val="none"/>
              </w:rPr>
            </w:pPr>
            <w:r>
              <w:rPr>
                <w:rFonts w:hint="eastAsia" w:ascii="宋体" w:hAnsi="宋体" w:eastAsia="宋体" w:cs="宋体"/>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val="en-US" w:eastAsia="zh-CN"/>
              </w:rPr>
              <w:t>12</w:t>
            </w:r>
          </w:p>
        </w:tc>
        <w:tc>
          <w:tcPr>
            <w:tcW w:w="1784" w:type="dxa"/>
            <w:noWrap w:val="0"/>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u w:val="single"/>
              </w:rPr>
              <w:t>招标人拒绝接收投标文件备用光盘的情况</w:t>
            </w:r>
          </w:p>
        </w:tc>
        <w:tc>
          <w:tcPr>
            <w:tcW w:w="6228" w:type="dxa"/>
            <w:noWrap w:val="0"/>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1、在投标截止期后逾期或未在指定地点递交投标文件备用光盘的；</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2、投标文件备用光盘未按招标文件要求密封或未在密封处盖章的；</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13</w:t>
            </w:r>
          </w:p>
        </w:tc>
        <w:tc>
          <w:tcPr>
            <w:tcW w:w="1784" w:type="dxa"/>
            <w:noWrap w:val="0"/>
            <w:vAlign w:val="center"/>
          </w:tcPr>
          <w:p>
            <w:pPr>
              <w:snapToGrid w:val="0"/>
              <w:spacing w:line="360" w:lineRule="exact"/>
              <w:jc w:val="center"/>
              <w:rPr>
                <w:rFonts w:hint="eastAsia" w:ascii="宋体" w:hAnsi="宋体" w:cs="宋体"/>
                <w:color w:val="auto"/>
                <w:szCs w:val="21"/>
                <w:highlight w:val="none"/>
              </w:rPr>
            </w:pPr>
            <w:r>
              <w:rPr>
                <w:rFonts w:hint="eastAsia" w:ascii="新宋体" w:hAnsi="新宋体" w:eastAsia="新宋体" w:cs="新宋体"/>
                <w:color w:val="auto"/>
                <w:szCs w:val="21"/>
                <w:highlight w:val="none"/>
              </w:rPr>
              <w:t>投标人不得存在的情形</w:t>
            </w:r>
          </w:p>
        </w:tc>
        <w:tc>
          <w:tcPr>
            <w:tcW w:w="6228" w:type="dxa"/>
            <w:noWrap w:val="0"/>
            <w:vAlign w:val="center"/>
          </w:tcPr>
          <w:p>
            <w:pPr>
              <w:spacing w:line="360" w:lineRule="exact"/>
              <w:rPr>
                <w:rFonts w:hint="eastAsia" w:ascii="宋体" w:hAnsi="宋体" w:cs="宋体"/>
                <w:color w:val="auto"/>
                <w:highlight w:val="none"/>
              </w:rPr>
            </w:pPr>
            <w:r>
              <w:rPr>
                <w:rFonts w:hint="eastAsia" w:ascii="新宋体" w:hAnsi="新宋体" w:eastAsia="新宋体" w:cs="新宋体"/>
                <w:color w:val="auto"/>
                <w:szCs w:val="21"/>
                <w:highlight w:val="none"/>
              </w:rPr>
              <w:t>删除“1.4.3 投标人不得存在下列情形之一”，投标人不得存在的情形以《投标人声明》第三点的规定为准。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14</w:t>
            </w:r>
          </w:p>
        </w:tc>
        <w:tc>
          <w:tcPr>
            <w:tcW w:w="1784" w:type="dxa"/>
            <w:noWrap w:val="0"/>
            <w:vAlign w:val="center"/>
          </w:tcPr>
          <w:p>
            <w:pPr>
              <w:snapToGrid w:val="0"/>
              <w:spacing w:line="360" w:lineRule="exact"/>
              <w:ind w:firstLine="630" w:firstLineChars="3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送达</w:t>
            </w:r>
          </w:p>
        </w:tc>
        <w:tc>
          <w:tcPr>
            <w:tcW w:w="6228" w:type="dxa"/>
            <w:noWrap w:val="0"/>
            <w:vAlign w:val="center"/>
          </w:tcPr>
          <w:p>
            <w:pPr>
              <w:spacing w:line="360" w:lineRule="exact"/>
              <w:rPr>
                <w:rFonts w:hint="eastAsia" w:ascii="宋体" w:hAnsi="宋体" w:cs="宋体"/>
                <w:color w:val="auto"/>
                <w:szCs w:val="21"/>
                <w:highlight w:val="none"/>
                <w:u w:val="single"/>
              </w:rPr>
            </w:pPr>
            <w:r>
              <w:rPr>
                <w:rFonts w:hint="eastAsia" w:ascii="新宋体" w:hAnsi="新宋体" w:eastAsia="新宋体" w:cs="新宋体"/>
                <w:color w:val="auto"/>
                <w:szCs w:val="21"/>
                <w:highlight w:val="none"/>
              </w:rPr>
              <w:t>《投诉处理决定书》和《行政处理决定书》在广州市住房和城乡建设局网站上公布的，视为送达其他与决定书有关的当事人。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784" w:type="dxa"/>
            <w:noWrap w:val="0"/>
            <w:vAlign w:val="center"/>
          </w:tcPr>
          <w:p>
            <w:pPr>
              <w:snapToGrid w:val="0"/>
              <w:spacing w:line="36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招标失败的情形</w:t>
            </w:r>
          </w:p>
        </w:tc>
        <w:tc>
          <w:tcPr>
            <w:tcW w:w="6228" w:type="dxa"/>
            <w:noWrap w:val="0"/>
            <w:vAlign w:val="center"/>
          </w:tcPr>
          <w:p>
            <w:pPr>
              <w:spacing w:line="360" w:lineRule="exact"/>
              <w:rPr>
                <w:rFonts w:hint="eastAsia" w:ascii="宋体" w:hAnsi="宋体" w:cs="宋体"/>
                <w:color w:val="auto"/>
                <w:szCs w:val="21"/>
                <w:highlight w:val="none"/>
                <w:u w:val="single"/>
              </w:rPr>
            </w:pPr>
            <w:r>
              <w:rPr>
                <w:rFonts w:hint="eastAsia" w:ascii="新宋体" w:hAnsi="新宋体" w:eastAsia="新宋体" w:cs="新宋体"/>
                <w:color w:val="auto"/>
                <w:highlight w:val="none"/>
              </w:rPr>
              <w:t>本项目满足资格形式评审、资格审查合格条件或通过初步评审的投标人不足3名时为招标失败。招标人分析招标失败原因，修正招标方案，重新组织招标。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hint="eastAsia" w:ascii="宋体" w:hAnsi="宋体" w:eastAsia="新宋体" w:cs="宋体"/>
                <w:color w:val="auto"/>
                <w:szCs w:val="21"/>
                <w:highlight w:val="none"/>
              </w:rPr>
            </w:pPr>
            <w:r>
              <w:rPr>
                <w:rFonts w:hint="eastAsia" w:ascii="新宋体" w:hAnsi="新宋体" w:eastAsia="新宋体" w:cs="新宋体"/>
                <w:color w:val="auto"/>
                <w:szCs w:val="21"/>
                <w:highlight w:val="none"/>
              </w:rPr>
              <w:t>16</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保修期限</w:t>
            </w:r>
          </w:p>
        </w:tc>
        <w:tc>
          <w:tcPr>
            <w:tcW w:w="6228"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szCs w:val="21"/>
                <w:highlight w:val="none"/>
              </w:rPr>
              <w:t>根据《建设工程质量管理条例》及有关规定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ascii="新宋体" w:hAnsi="新宋体" w:eastAsia="新宋体" w:cs="新宋体"/>
                <w:color w:val="auto"/>
                <w:szCs w:val="21"/>
                <w:highlight w:val="none"/>
              </w:rPr>
            </w:pPr>
            <w:bookmarkStart w:id="34" w:name="_Toc247527553"/>
            <w:bookmarkStart w:id="35" w:name="_Toc247513952"/>
            <w:bookmarkStart w:id="36" w:name="_Toc152042305"/>
            <w:bookmarkStart w:id="37" w:name="_Toc152045529"/>
            <w:bookmarkStart w:id="38" w:name="_Toc144974497"/>
            <w:bookmarkStart w:id="39" w:name="_Toc24193"/>
            <w:r>
              <w:rPr>
                <w:rFonts w:hint="eastAsia" w:ascii="新宋体" w:hAnsi="新宋体" w:eastAsia="新宋体" w:cs="新宋体"/>
                <w:color w:val="auto"/>
                <w:szCs w:val="21"/>
                <w:highlight w:val="none"/>
              </w:rPr>
              <w:t>17</w:t>
            </w:r>
          </w:p>
        </w:tc>
        <w:tc>
          <w:tcPr>
            <w:tcW w:w="1784" w:type="dxa"/>
            <w:noWrap w:val="0"/>
            <w:vAlign w:val="center"/>
          </w:tcPr>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施工实名制</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按相关部门最新文件执行。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5" w:type="dxa"/>
            <w:noWrap w:val="0"/>
            <w:vAlign w:val="center"/>
          </w:tcPr>
          <w:p>
            <w:pPr>
              <w:spacing w:line="360" w:lineRule="exac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18</w:t>
            </w:r>
          </w:p>
        </w:tc>
        <w:tc>
          <w:tcPr>
            <w:tcW w:w="1784" w:type="dxa"/>
            <w:noWrap w:val="0"/>
            <w:vAlign w:val="center"/>
          </w:tcPr>
          <w:p>
            <w:pPr>
              <w:spacing w:line="360" w:lineRule="exact"/>
              <w:ind w:leftChars="-28" w:right="-71" w:rightChars="-34" w:hanging="58" w:hangingChars="28"/>
              <w:jc w:val="center"/>
              <w:rPr>
                <w:rFonts w:hint="eastAsia" w:ascii="宋体" w:hAnsi="宋体" w:cs="宋体"/>
                <w:color w:val="auto"/>
                <w:szCs w:val="21"/>
                <w:highlight w:val="none"/>
              </w:rPr>
            </w:pPr>
            <w:r>
              <w:rPr>
                <w:rFonts w:hint="eastAsia" w:ascii="宋体" w:hAnsi="宋体" w:cs="宋体"/>
                <w:color w:val="auto"/>
                <w:szCs w:val="21"/>
                <w:highlight w:val="none"/>
              </w:rPr>
              <w:t>工人工资分账管理</w:t>
            </w:r>
          </w:p>
        </w:tc>
        <w:tc>
          <w:tcPr>
            <w:tcW w:w="6228" w:type="dxa"/>
            <w:noWrap w:val="0"/>
            <w:vAlign w:val="center"/>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按相关部门最新文件执行。</w:t>
            </w:r>
          </w:p>
        </w:tc>
      </w:tr>
    </w:tbl>
    <w:p>
      <w:pPr>
        <w:pStyle w:val="79"/>
        <w:rPr>
          <w:rFonts w:hint="eastAsia" w:ascii="宋体" w:hAnsi="宋体" w:cs="宋体"/>
          <w:color w:val="auto"/>
          <w:highlight w:val="none"/>
        </w:rPr>
      </w:pPr>
    </w:p>
    <w:p>
      <w:pPr>
        <w:pStyle w:val="79"/>
        <w:rPr>
          <w:rFonts w:hint="eastAsia" w:ascii="宋体" w:hAnsi="宋体" w:cs="宋体"/>
          <w:color w:val="auto"/>
          <w:highlight w:val="none"/>
        </w:rPr>
      </w:pPr>
      <w:r>
        <w:rPr>
          <w:rFonts w:hint="eastAsia" w:ascii="宋体" w:hAnsi="宋体" w:cs="宋体"/>
          <w:color w:val="auto"/>
          <w:highlight w:val="none"/>
        </w:rPr>
        <w:br w:type="page"/>
      </w:r>
    </w:p>
    <w:p>
      <w:pPr>
        <w:pStyle w:val="4"/>
        <w:spacing w:before="0" w:after="0" w:line="416" w:lineRule="auto"/>
        <w:rPr>
          <w:rFonts w:hint="eastAsia" w:ascii="宋体" w:hAnsi="宋体" w:eastAsia="宋体" w:cs="宋体"/>
          <w:color w:val="auto"/>
          <w:highlight w:val="none"/>
        </w:rPr>
      </w:pPr>
      <w:bookmarkStart w:id="40" w:name="_Toc8423"/>
      <w:bookmarkStart w:id="41" w:name="_Toc30532"/>
      <w:bookmarkStart w:id="42" w:name="_Toc11643"/>
      <w:r>
        <w:rPr>
          <w:rFonts w:hint="eastAsia" w:ascii="宋体" w:hAnsi="宋体" w:eastAsia="宋体" w:cs="宋体"/>
          <w:color w:val="auto"/>
          <w:highlight w:val="none"/>
        </w:rPr>
        <w:t>1. 总则</w:t>
      </w:r>
      <w:bookmarkEnd w:id="34"/>
      <w:bookmarkEnd w:id="35"/>
      <w:bookmarkEnd w:id="36"/>
      <w:bookmarkEnd w:id="37"/>
      <w:bookmarkEnd w:id="38"/>
      <w:bookmarkEnd w:id="39"/>
      <w:bookmarkEnd w:id="40"/>
      <w:bookmarkEnd w:id="41"/>
      <w:bookmarkEnd w:id="42"/>
    </w:p>
    <w:p>
      <w:pPr>
        <w:pStyle w:val="5"/>
        <w:rPr>
          <w:rFonts w:hint="eastAsia" w:ascii="宋体" w:eastAsia="宋体" w:cs="宋体"/>
          <w:color w:val="auto"/>
          <w:highlight w:val="none"/>
        </w:rPr>
      </w:pPr>
      <w:bookmarkStart w:id="43" w:name="_Toc144974498"/>
      <w:bookmarkStart w:id="44" w:name="_Toc247513953"/>
      <w:bookmarkStart w:id="45" w:name="_Toc247527554"/>
      <w:bookmarkStart w:id="46" w:name="_Toc15189"/>
      <w:bookmarkStart w:id="47" w:name="_Toc13369"/>
      <w:bookmarkStart w:id="48" w:name="_Toc13748"/>
      <w:bookmarkStart w:id="49" w:name="_Toc152042306"/>
      <w:bookmarkStart w:id="50" w:name="_Toc3954"/>
      <w:bookmarkStart w:id="51" w:name="_Toc152045530"/>
      <w:r>
        <w:rPr>
          <w:rFonts w:hint="eastAsia" w:ascii="宋体" w:eastAsia="宋体" w:cs="宋体"/>
          <w:color w:val="auto"/>
          <w:highlight w:val="none"/>
        </w:rPr>
        <w:t>1.1 项目概况</w:t>
      </w:r>
      <w:bookmarkEnd w:id="43"/>
      <w:bookmarkEnd w:id="44"/>
      <w:bookmarkEnd w:id="45"/>
      <w:bookmarkEnd w:id="46"/>
      <w:bookmarkEnd w:id="47"/>
      <w:bookmarkEnd w:id="48"/>
      <w:bookmarkEnd w:id="49"/>
      <w:bookmarkEnd w:id="50"/>
      <w:bookmarkEnd w:id="51"/>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w:t>
      </w:r>
      <w:r>
        <w:rPr>
          <w:rFonts w:hint="eastAsia" w:ascii="宋体" w:hAnsi="宋体" w:cs="宋体"/>
          <w:color w:val="auto"/>
          <w:highlight w:val="none"/>
          <w:u w:val="single"/>
        </w:rPr>
        <w:t>设计施工总承包</w:t>
      </w:r>
      <w:r>
        <w:rPr>
          <w:rFonts w:hint="eastAsia" w:ascii="宋体" w:hAnsi="宋体" w:cs="宋体"/>
          <w:color w:val="auto"/>
          <w:highlight w:val="none"/>
        </w:rPr>
        <w:t>进行招标。</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1.1.2 招标人：见投标人须知前附表。</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1.1.3 招标代理机构：见投标人须知前附表。</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1.1.4 招标项目名称：见投标人须知前附表。</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1.1.5 项目建设地点：见投标人须知前附表。</w:t>
      </w:r>
    </w:p>
    <w:p>
      <w:pPr>
        <w:pStyle w:val="5"/>
        <w:rPr>
          <w:rFonts w:hint="eastAsia" w:ascii="宋体" w:eastAsia="宋体" w:cs="宋体"/>
          <w:color w:val="auto"/>
          <w:highlight w:val="none"/>
        </w:rPr>
      </w:pPr>
      <w:bookmarkStart w:id="52" w:name="_Toc247527555"/>
      <w:bookmarkStart w:id="53" w:name="_Toc152042307"/>
      <w:bookmarkStart w:id="54" w:name="_Toc22662"/>
      <w:bookmarkStart w:id="55" w:name="_Toc152045531"/>
      <w:bookmarkStart w:id="56" w:name="_Toc23462"/>
      <w:bookmarkStart w:id="57" w:name="_Toc12876"/>
      <w:bookmarkStart w:id="58" w:name="_Toc144974499"/>
      <w:bookmarkStart w:id="59" w:name="_Toc247513954"/>
      <w:bookmarkStart w:id="60" w:name="_Toc12301"/>
      <w:r>
        <w:rPr>
          <w:rFonts w:hint="eastAsia" w:ascii="宋体" w:eastAsia="宋体" w:cs="宋体"/>
          <w:color w:val="auto"/>
          <w:highlight w:val="none"/>
        </w:rPr>
        <w:t>1.2 项目的资金来源和落实情况</w:t>
      </w:r>
      <w:bookmarkEnd w:id="52"/>
      <w:bookmarkEnd w:id="53"/>
      <w:bookmarkEnd w:id="54"/>
      <w:bookmarkEnd w:id="55"/>
      <w:bookmarkEnd w:id="56"/>
      <w:bookmarkEnd w:id="57"/>
      <w:bookmarkEnd w:id="58"/>
      <w:bookmarkEnd w:id="59"/>
      <w:bookmarkEnd w:id="60"/>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1.2.1 资金来源：见投标人须知前附表。</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1.2.2 资金落实情况：见投标人须知前附表。</w:t>
      </w:r>
    </w:p>
    <w:p>
      <w:pPr>
        <w:pStyle w:val="5"/>
        <w:rPr>
          <w:rFonts w:hint="eastAsia" w:ascii="宋体" w:eastAsia="宋体" w:cs="宋体"/>
          <w:color w:val="auto"/>
          <w:highlight w:val="none"/>
        </w:rPr>
      </w:pPr>
      <w:bookmarkStart w:id="61" w:name="_Toc144974500"/>
      <w:bookmarkStart w:id="62" w:name="_Toc152042308"/>
      <w:bookmarkStart w:id="63" w:name="_Toc247527556"/>
      <w:bookmarkStart w:id="64" w:name="_Toc152045532"/>
      <w:bookmarkStart w:id="65" w:name="_Toc247513955"/>
      <w:bookmarkStart w:id="66" w:name="_Toc5002"/>
      <w:bookmarkStart w:id="67" w:name="_Toc13265"/>
      <w:bookmarkStart w:id="68" w:name="_Toc31632"/>
      <w:bookmarkStart w:id="69" w:name="_Toc11393"/>
      <w:r>
        <w:rPr>
          <w:rFonts w:hint="eastAsia" w:ascii="宋体" w:eastAsia="宋体" w:cs="宋体"/>
          <w:color w:val="auto"/>
          <w:highlight w:val="none"/>
        </w:rPr>
        <w:t>1.3 招标范围、计划工期和</w:t>
      </w:r>
      <w:bookmarkEnd w:id="61"/>
      <w:bookmarkEnd w:id="62"/>
      <w:bookmarkEnd w:id="63"/>
      <w:bookmarkEnd w:id="64"/>
      <w:bookmarkEnd w:id="65"/>
      <w:r>
        <w:rPr>
          <w:rFonts w:hint="eastAsia" w:ascii="宋体" w:eastAsia="宋体" w:cs="宋体"/>
          <w:color w:val="auto"/>
          <w:highlight w:val="none"/>
        </w:rPr>
        <w:t>质量标准</w:t>
      </w:r>
      <w:bookmarkEnd w:id="66"/>
      <w:bookmarkEnd w:id="67"/>
      <w:bookmarkEnd w:id="68"/>
      <w:bookmarkEnd w:id="69"/>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1.3.1 招标范围：见投标人须知前附表。</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1.3.2 计划工期：见投标人须知前附表。</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1.3.3 质量标准：见投标人须知前附表。</w:t>
      </w:r>
    </w:p>
    <w:p>
      <w:pPr>
        <w:pStyle w:val="5"/>
        <w:rPr>
          <w:rFonts w:hint="eastAsia" w:ascii="宋体" w:eastAsia="宋体" w:cs="宋体"/>
          <w:color w:val="auto"/>
          <w:highlight w:val="none"/>
        </w:rPr>
      </w:pPr>
      <w:bookmarkStart w:id="70" w:name="_Toc144974502"/>
      <w:bookmarkStart w:id="71" w:name="_Toc152045534"/>
      <w:bookmarkStart w:id="72" w:name="_Toc26314"/>
      <w:bookmarkStart w:id="73" w:name="_Toc247527558"/>
      <w:bookmarkStart w:id="74" w:name="_Toc25105"/>
      <w:bookmarkStart w:id="75" w:name="_Toc31478"/>
      <w:bookmarkStart w:id="76" w:name="_Toc13890"/>
      <w:bookmarkStart w:id="77" w:name="_Toc247513957"/>
      <w:bookmarkStart w:id="78" w:name="_Toc152042310"/>
      <w:r>
        <w:rPr>
          <w:rFonts w:hint="eastAsia" w:ascii="宋体" w:eastAsia="宋体" w:cs="宋体"/>
          <w:color w:val="auto"/>
          <w:highlight w:val="none"/>
        </w:rPr>
        <w:t>1.4 投标人资格要求</w:t>
      </w:r>
      <w:bookmarkEnd w:id="70"/>
      <w:bookmarkEnd w:id="71"/>
      <w:bookmarkEnd w:id="72"/>
      <w:bookmarkEnd w:id="73"/>
      <w:bookmarkEnd w:id="74"/>
      <w:bookmarkEnd w:id="75"/>
      <w:bookmarkEnd w:id="76"/>
      <w:bookmarkEnd w:id="77"/>
      <w:bookmarkEnd w:id="78"/>
    </w:p>
    <w:p>
      <w:pPr>
        <w:spacing w:line="400" w:lineRule="exact"/>
        <w:ind w:firstLine="420" w:firstLineChars="200"/>
        <w:rPr>
          <w:rFonts w:hint="eastAsia" w:ascii="宋体" w:hAnsi="宋体" w:cs="宋体"/>
          <w:color w:val="auto"/>
          <w:highlight w:val="none"/>
        </w:rPr>
      </w:pPr>
      <w:bookmarkStart w:id="79" w:name="_Toc247513958"/>
      <w:bookmarkStart w:id="80" w:name="_Toc152045535"/>
      <w:bookmarkStart w:id="81" w:name="_Toc247527559"/>
      <w:bookmarkStart w:id="82" w:name="_Toc144974503"/>
      <w:bookmarkStart w:id="83" w:name="_Toc152042311"/>
      <w:bookmarkStart w:id="84" w:name="_Toc5312"/>
      <w:r>
        <w:rPr>
          <w:rFonts w:hint="eastAsia" w:ascii="宋体" w:hAnsi="宋体" w:cs="宋体"/>
          <w:color w:val="auto"/>
          <w:highlight w:val="none"/>
        </w:rPr>
        <w:t xml:space="preserve">1.4.1 </w:t>
      </w:r>
      <w:r>
        <w:rPr>
          <w:rFonts w:hint="eastAsia" w:ascii="宋体" w:hAnsi="宋体" w:cs="宋体"/>
          <w:color w:val="auto"/>
          <w:highlight w:val="none"/>
          <w:u w:val="single"/>
        </w:rPr>
        <w:t>投标人资格要求详见招标公告。</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1.4.2 投标人须知前附表规定接受联合体投标的，除应符合本章第1.4.1项和投标人须知前附表的要求外，还应遵守以下规定：</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w:t>
      </w:r>
      <w:r>
        <w:rPr>
          <w:rFonts w:hint="eastAsia" w:ascii="宋体" w:hAnsi="宋体" w:cs="宋体"/>
          <w:color w:val="auto"/>
          <w:highlight w:val="none"/>
          <w:u w:val="single"/>
        </w:rPr>
        <w:t>主办方</w:t>
      </w:r>
      <w:r>
        <w:rPr>
          <w:rFonts w:hint="eastAsia" w:ascii="宋体" w:hAnsi="宋体" w:cs="宋体"/>
          <w:color w:val="auto"/>
          <w:highlight w:val="none"/>
        </w:rPr>
        <w:t>和各方权利义务；</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w:t>
      </w:r>
    </w:p>
    <w:p>
      <w:pPr>
        <w:spacing w:line="400" w:lineRule="exact"/>
        <w:ind w:firstLine="420" w:firstLineChars="200"/>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u w:val="single"/>
        </w:rPr>
        <w:t>1.4.3 投标人不得存在下列情形之一：以《投标人声明》第三点的规定为准。</w:t>
      </w:r>
    </w:p>
    <w:p>
      <w:pPr>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1.4.4 单位负责人为同一人或者存在控股、管理关系的不同单位，不得同时参加本招标项目投标。</w:t>
      </w:r>
    </w:p>
    <w:p>
      <w:pPr>
        <w:pStyle w:val="5"/>
        <w:rPr>
          <w:rFonts w:hint="eastAsia" w:ascii="宋体" w:eastAsia="宋体" w:cs="宋体"/>
          <w:color w:val="auto"/>
          <w:highlight w:val="none"/>
        </w:rPr>
      </w:pPr>
      <w:bookmarkStart w:id="85" w:name="_Toc22594"/>
      <w:bookmarkStart w:id="86" w:name="_Toc2469"/>
      <w:bookmarkStart w:id="87" w:name="_Toc31269"/>
      <w:r>
        <w:rPr>
          <w:rFonts w:hint="eastAsia" w:ascii="宋体" w:eastAsia="宋体" w:cs="宋体"/>
          <w:color w:val="auto"/>
          <w:highlight w:val="none"/>
        </w:rPr>
        <w:t>1.5 费用承担</w:t>
      </w:r>
      <w:bookmarkEnd w:id="79"/>
      <w:bookmarkEnd w:id="80"/>
      <w:bookmarkEnd w:id="81"/>
      <w:bookmarkEnd w:id="82"/>
      <w:bookmarkEnd w:id="83"/>
      <w:r>
        <w:rPr>
          <w:rFonts w:hint="eastAsia" w:ascii="宋体" w:eastAsia="宋体" w:cs="宋体"/>
          <w:color w:val="auto"/>
          <w:highlight w:val="none"/>
        </w:rPr>
        <w:t>和设计成果补偿</w:t>
      </w:r>
      <w:bookmarkEnd w:id="84"/>
      <w:bookmarkEnd w:id="85"/>
      <w:bookmarkEnd w:id="86"/>
      <w:bookmarkEnd w:id="87"/>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1.5.1 投标人准备和参加投标活动发生的费用自理。</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1.5.2 招标人在征得未中标人的同意后有权免费使用未中标人设计成果。</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1.5.3 中标人按规定，中标人应向广州交易集团有限公司（广州公共资源交易中心）交纳交易服务费，其费用包含在中标人投标报价中，招标人不另行支付。</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1.5.4 投标方案经济补偿金：本项目不设投标补偿。</w:t>
      </w:r>
    </w:p>
    <w:p>
      <w:pPr>
        <w:pStyle w:val="5"/>
        <w:rPr>
          <w:rFonts w:hint="eastAsia" w:ascii="宋体" w:eastAsia="宋体" w:cs="宋体"/>
          <w:color w:val="auto"/>
          <w:highlight w:val="none"/>
        </w:rPr>
      </w:pPr>
      <w:bookmarkStart w:id="88" w:name="_Toc152042312"/>
      <w:bookmarkStart w:id="89" w:name="_Toc247527560"/>
      <w:bookmarkStart w:id="90" w:name="_Toc1695"/>
      <w:bookmarkStart w:id="91" w:name="_Toc247513959"/>
      <w:bookmarkStart w:id="92" w:name="_Toc23265"/>
      <w:bookmarkStart w:id="93" w:name="_Toc11231"/>
      <w:bookmarkStart w:id="94" w:name="_Toc144974504"/>
      <w:bookmarkStart w:id="95" w:name="_Toc890"/>
      <w:bookmarkStart w:id="96" w:name="_Toc152045536"/>
      <w:r>
        <w:rPr>
          <w:rFonts w:hint="eastAsia" w:ascii="宋体" w:eastAsia="宋体" w:cs="宋体"/>
          <w:color w:val="auto"/>
          <w:highlight w:val="none"/>
        </w:rPr>
        <w:t>1.6 保密</w:t>
      </w:r>
      <w:bookmarkEnd w:id="88"/>
      <w:bookmarkEnd w:id="89"/>
      <w:bookmarkEnd w:id="90"/>
      <w:bookmarkEnd w:id="91"/>
      <w:bookmarkEnd w:id="92"/>
      <w:bookmarkEnd w:id="93"/>
      <w:bookmarkEnd w:id="94"/>
      <w:bookmarkEnd w:id="95"/>
      <w:bookmarkEnd w:id="96"/>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参与招标投标活动的各方应对招标文件和投标文件中的商业和技术等秘密保密，否则应承担相应的法律责任。</w:t>
      </w:r>
    </w:p>
    <w:p>
      <w:pPr>
        <w:pStyle w:val="5"/>
        <w:rPr>
          <w:rFonts w:hint="eastAsia" w:ascii="宋体" w:eastAsia="宋体" w:cs="宋体"/>
          <w:color w:val="auto"/>
          <w:highlight w:val="none"/>
        </w:rPr>
      </w:pPr>
      <w:bookmarkStart w:id="97" w:name="_Toc144974505"/>
      <w:bookmarkStart w:id="98" w:name="_Toc3839"/>
      <w:bookmarkStart w:id="99" w:name="_Toc23173"/>
      <w:bookmarkStart w:id="100" w:name="_Toc247513960"/>
      <w:bookmarkStart w:id="101" w:name="_Toc247527561"/>
      <w:bookmarkStart w:id="102" w:name="_Toc32538"/>
      <w:bookmarkStart w:id="103" w:name="_Toc152045537"/>
      <w:bookmarkStart w:id="104" w:name="_Toc4973"/>
      <w:bookmarkStart w:id="105" w:name="_Toc152042313"/>
      <w:r>
        <w:rPr>
          <w:rFonts w:hint="eastAsia" w:ascii="宋体" w:eastAsia="宋体" w:cs="宋体"/>
          <w:color w:val="auto"/>
          <w:highlight w:val="none"/>
        </w:rPr>
        <w:t>1.7 语言</w:t>
      </w:r>
      <w:bookmarkEnd w:id="97"/>
      <w:r>
        <w:rPr>
          <w:rFonts w:hint="eastAsia" w:ascii="宋体" w:eastAsia="宋体" w:cs="宋体"/>
          <w:color w:val="auto"/>
          <w:highlight w:val="none"/>
        </w:rPr>
        <w:t>文字</w:t>
      </w:r>
      <w:bookmarkEnd w:id="98"/>
      <w:bookmarkEnd w:id="99"/>
      <w:bookmarkEnd w:id="100"/>
      <w:bookmarkEnd w:id="101"/>
      <w:bookmarkEnd w:id="102"/>
      <w:bookmarkEnd w:id="103"/>
      <w:bookmarkEnd w:id="104"/>
      <w:bookmarkEnd w:id="105"/>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pPr>
        <w:pStyle w:val="5"/>
        <w:keepNext w:val="0"/>
        <w:spacing w:line="416" w:lineRule="auto"/>
        <w:rPr>
          <w:rFonts w:hint="eastAsia" w:ascii="宋体" w:eastAsia="宋体" w:cs="宋体"/>
          <w:color w:val="auto"/>
          <w:highlight w:val="none"/>
        </w:rPr>
      </w:pPr>
      <w:bookmarkStart w:id="106" w:name="_Toc247527562"/>
      <w:bookmarkStart w:id="107" w:name="_Toc26287"/>
      <w:bookmarkStart w:id="108" w:name="_Toc16784"/>
      <w:bookmarkStart w:id="109" w:name="_Toc144974506"/>
      <w:bookmarkStart w:id="110" w:name="_Toc152042314"/>
      <w:bookmarkStart w:id="111" w:name="_Toc152045538"/>
      <w:bookmarkStart w:id="112" w:name="_Toc247513961"/>
      <w:bookmarkStart w:id="113" w:name="_Toc32766"/>
      <w:bookmarkStart w:id="114" w:name="_Toc10276"/>
      <w:r>
        <w:rPr>
          <w:rFonts w:hint="eastAsia" w:ascii="宋体" w:eastAsia="宋体" w:cs="宋体"/>
          <w:color w:val="auto"/>
          <w:highlight w:val="none"/>
        </w:rPr>
        <w:t>1.8 计量单位</w:t>
      </w:r>
      <w:bookmarkEnd w:id="106"/>
      <w:bookmarkEnd w:id="107"/>
      <w:bookmarkEnd w:id="108"/>
      <w:bookmarkEnd w:id="109"/>
      <w:bookmarkEnd w:id="110"/>
      <w:bookmarkEnd w:id="111"/>
      <w:bookmarkEnd w:id="112"/>
      <w:bookmarkEnd w:id="113"/>
      <w:bookmarkEnd w:id="114"/>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1.8.1所有计量均采用中华人民共和国法定计量单位。</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1.8.2 </w:t>
      </w:r>
      <w:r>
        <w:rPr>
          <w:rFonts w:hint="eastAsia" w:ascii="宋体" w:hAnsi="宋体" w:cs="宋体"/>
          <w:color w:val="auto"/>
          <w:highlight w:val="none"/>
          <w:u w:val="single"/>
        </w:rPr>
        <w:t>本工程投标报价采用的的币种为人民币。</w:t>
      </w:r>
    </w:p>
    <w:p>
      <w:pPr>
        <w:pStyle w:val="5"/>
        <w:rPr>
          <w:rFonts w:hint="eastAsia" w:ascii="宋体" w:eastAsia="宋体" w:cs="宋体"/>
          <w:color w:val="auto"/>
          <w:highlight w:val="none"/>
        </w:rPr>
      </w:pPr>
      <w:bookmarkStart w:id="115" w:name="_Toc23833"/>
      <w:bookmarkStart w:id="116" w:name="_Toc247527563"/>
      <w:bookmarkStart w:id="117" w:name="_Toc144974507"/>
      <w:bookmarkStart w:id="118" w:name="_Toc17562"/>
      <w:bookmarkStart w:id="119" w:name="_Toc152042315"/>
      <w:bookmarkStart w:id="120" w:name="_Toc247513962"/>
      <w:bookmarkStart w:id="121" w:name="_Toc30039"/>
      <w:bookmarkStart w:id="122" w:name="_Toc152045539"/>
      <w:bookmarkStart w:id="123" w:name="_Toc4772"/>
      <w:r>
        <w:rPr>
          <w:rFonts w:hint="eastAsia" w:ascii="宋体" w:eastAsia="宋体" w:cs="宋体"/>
          <w:color w:val="auto"/>
          <w:highlight w:val="none"/>
        </w:rPr>
        <w:t>1.9 踏勘现场</w:t>
      </w:r>
      <w:bookmarkEnd w:id="115"/>
      <w:bookmarkEnd w:id="116"/>
      <w:bookmarkEnd w:id="117"/>
      <w:bookmarkEnd w:id="118"/>
      <w:bookmarkEnd w:id="119"/>
      <w:bookmarkEnd w:id="120"/>
      <w:bookmarkEnd w:id="121"/>
      <w:bookmarkEnd w:id="122"/>
      <w:bookmarkEnd w:id="123"/>
    </w:p>
    <w:p>
      <w:pPr>
        <w:spacing w:line="400" w:lineRule="exact"/>
        <w:ind w:firstLine="420" w:firstLineChars="200"/>
        <w:rPr>
          <w:rFonts w:hint="eastAsia" w:ascii="宋体" w:hAnsi="宋体" w:cs="宋体"/>
          <w:color w:val="auto"/>
          <w:highlight w:val="none"/>
        </w:rPr>
      </w:pPr>
      <w:bookmarkStart w:id="124" w:name="_Toc247527564"/>
      <w:bookmarkStart w:id="125" w:name="_Toc152042316"/>
      <w:bookmarkStart w:id="126" w:name="_Toc247513963"/>
      <w:bookmarkStart w:id="127" w:name="_Toc152045540"/>
      <w:bookmarkStart w:id="128" w:name="_Toc144974508"/>
      <w:bookmarkStart w:id="129" w:name="_Toc16251"/>
      <w:r>
        <w:rPr>
          <w:rFonts w:hint="eastAsia" w:ascii="宋体" w:hAnsi="宋体" w:cs="宋体"/>
          <w:color w:val="auto"/>
          <w:highlight w:val="none"/>
        </w:rPr>
        <w:t xml:space="preserve">1.9.1 投标人须知前附表规定组织踏勘现场的，招标人按投标人须知前附表规定的时间、地点组织投标人踏勘项目现场。 </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1.9.2 投标人踏勘现场发生的费用自理。</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1.9.4</w:t>
      </w:r>
      <w:r>
        <w:rPr>
          <w:rFonts w:hint="eastAsia" w:ascii="宋体" w:hAnsi="宋体" w:cs="宋体"/>
          <w:color w:val="auto"/>
          <w:highlight w:val="none"/>
          <w:u w:val="single"/>
        </w:rPr>
        <w:t>现场由投标人自行踏勘，投标人不进行踏勘的，视为已熟知现场条件，自行承担相关风险。招标人不对投标人自行踏勘现场作出的判断和决策负责。</w:t>
      </w:r>
    </w:p>
    <w:p>
      <w:pPr>
        <w:pStyle w:val="5"/>
        <w:rPr>
          <w:rFonts w:hint="eastAsia" w:ascii="宋体" w:eastAsia="宋体" w:cs="宋体"/>
          <w:color w:val="auto"/>
          <w:highlight w:val="none"/>
        </w:rPr>
      </w:pPr>
      <w:bookmarkStart w:id="130" w:name="_Toc30091"/>
      <w:bookmarkStart w:id="131" w:name="_Toc12574"/>
      <w:bookmarkStart w:id="132" w:name="_Toc27829"/>
      <w:r>
        <w:rPr>
          <w:rFonts w:hint="eastAsia" w:ascii="宋体" w:eastAsia="宋体" w:cs="宋体"/>
          <w:color w:val="auto"/>
          <w:highlight w:val="none"/>
        </w:rPr>
        <w:t xml:space="preserve">1.10 </w:t>
      </w:r>
      <w:bookmarkEnd w:id="124"/>
      <w:bookmarkEnd w:id="125"/>
      <w:bookmarkEnd w:id="126"/>
      <w:bookmarkEnd w:id="127"/>
      <w:bookmarkEnd w:id="128"/>
      <w:bookmarkEnd w:id="129"/>
      <w:bookmarkStart w:id="133" w:name="_Toc16283"/>
      <w:bookmarkStart w:id="134" w:name="_Toc3889"/>
      <w:bookmarkStart w:id="135" w:name="_Toc247527565"/>
      <w:bookmarkStart w:id="136" w:name="_Toc17636"/>
      <w:bookmarkStart w:id="137" w:name="_Toc247513964"/>
      <w:bookmarkStart w:id="138" w:name="_Toc152045541"/>
      <w:bookmarkStart w:id="139" w:name="_Toc144974509"/>
      <w:bookmarkStart w:id="140" w:name="_Toc152042317"/>
      <w:r>
        <w:rPr>
          <w:rFonts w:hint="eastAsia" w:ascii="宋体" w:eastAsia="宋体" w:cs="宋体"/>
          <w:color w:val="auto"/>
          <w:highlight w:val="none"/>
        </w:rPr>
        <w:t>投标预备会</w:t>
      </w:r>
      <w:bookmarkEnd w:id="130"/>
      <w:bookmarkEnd w:id="131"/>
      <w:bookmarkEnd w:id="132"/>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1.10.1 </w:t>
      </w:r>
      <w:bookmarkEnd w:id="133"/>
      <w:bookmarkEnd w:id="134"/>
      <w:r>
        <w:rPr>
          <w:rFonts w:hint="eastAsia" w:ascii="宋体" w:hAnsi="宋体" w:cs="宋体"/>
          <w:color w:val="auto"/>
          <w:highlight w:val="none"/>
          <w:u w:val="single"/>
        </w:rPr>
        <w:t>本项目不召开投标预备会。投标人对本项目有疑问，应在投标人须知前附表1.10.2规定的时间内，通过登录广州交易集团有限公司（广州公共资源交易中心）网站交易系统将问题提交给招标人或招标代理人。</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1.10.2 </w:t>
      </w:r>
      <w:r>
        <w:rPr>
          <w:rFonts w:hint="eastAsia" w:ascii="宋体" w:hAnsi="宋体" w:cs="宋体"/>
          <w:color w:val="auto"/>
          <w:highlight w:val="none"/>
          <w:u w:val="single"/>
        </w:rPr>
        <w:t>招标答疑方式按投标人须知前附表规定。</w:t>
      </w:r>
    </w:p>
    <w:p>
      <w:pPr>
        <w:pStyle w:val="5"/>
        <w:rPr>
          <w:rFonts w:hint="eastAsia" w:ascii="宋体" w:eastAsia="宋体" w:cs="宋体"/>
          <w:color w:val="auto"/>
          <w:highlight w:val="none"/>
        </w:rPr>
      </w:pPr>
      <w:bookmarkStart w:id="141" w:name="_Toc26741"/>
      <w:bookmarkStart w:id="142" w:name="_Toc28728"/>
      <w:bookmarkStart w:id="143" w:name="_Toc29317"/>
      <w:r>
        <w:rPr>
          <w:rFonts w:hint="eastAsia" w:ascii="宋体" w:eastAsia="宋体" w:cs="宋体"/>
          <w:color w:val="auto"/>
          <w:highlight w:val="none"/>
        </w:rPr>
        <w:t>1.11 分包</w:t>
      </w:r>
      <w:bookmarkEnd w:id="135"/>
      <w:bookmarkEnd w:id="136"/>
      <w:bookmarkEnd w:id="137"/>
      <w:bookmarkEnd w:id="138"/>
      <w:bookmarkEnd w:id="139"/>
      <w:bookmarkEnd w:id="140"/>
      <w:bookmarkEnd w:id="141"/>
      <w:bookmarkEnd w:id="142"/>
      <w:bookmarkEnd w:id="143"/>
    </w:p>
    <w:p>
      <w:pPr>
        <w:spacing w:line="400" w:lineRule="exact"/>
        <w:ind w:firstLine="567" w:firstLineChars="270"/>
        <w:rPr>
          <w:rFonts w:hint="eastAsia" w:ascii="宋体" w:hAnsi="宋体" w:cs="宋体"/>
          <w:color w:val="auto"/>
          <w:highlight w:val="none"/>
        </w:rPr>
      </w:pPr>
      <w:r>
        <w:rPr>
          <w:rFonts w:hint="eastAsia" w:ascii="宋体" w:hAnsi="宋体" w:cs="宋体"/>
          <w:color w:val="auto"/>
          <w:highlight w:val="none"/>
        </w:rPr>
        <w:t>1.11.1 投标人须知前附表规定应当由分包人实施的非主体、非关键性工作，投标人应当按照</w:t>
      </w:r>
      <w:r>
        <w:rPr>
          <w:rFonts w:hint="eastAsia" w:ascii="宋体" w:hAnsi="宋体" w:cs="宋体"/>
          <w:color w:val="auto"/>
          <w:highlight w:val="none"/>
          <w:u w:val="single"/>
        </w:rPr>
        <w:t>第五章“招标人要求”</w:t>
      </w:r>
      <w:r>
        <w:rPr>
          <w:rFonts w:hint="eastAsia" w:ascii="宋体" w:hAnsi="宋体" w:cs="宋体"/>
          <w:color w:val="auto"/>
          <w:highlight w:val="none"/>
        </w:rPr>
        <w:t>的规定提供分包人侯选名单及其相应资料。</w:t>
      </w:r>
    </w:p>
    <w:p>
      <w:pPr>
        <w:spacing w:line="400" w:lineRule="exact"/>
        <w:ind w:firstLine="567" w:firstLineChars="270"/>
        <w:rPr>
          <w:rFonts w:hint="eastAsia" w:ascii="宋体" w:hAnsi="宋体" w:cs="宋体"/>
          <w:color w:val="auto"/>
          <w:highlight w:val="none"/>
        </w:rPr>
      </w:pPr>
      <w:r>
        <w:rPr>
          <w:rFonts w:hint="eastAsia" w:ascii="宋体" w:hAnsi="宋体" w:cs="宋体"/>
          <w:color w:val="auto"/>
          <w:highlight w:val="none"/>
        </w:rPr>
        <w:t>1.11.2 投标人拟在中标后将中标项目的部分非主体、非关键性工作进行分包的，应符合投标人须知前附表规定的分包内容、分包金额和资质要求等限制性条件。</w:t>
      </w:r>
    </w:p>
    <w:p>
      <w:pPr>
        <w:pStyle w:val="5"/>
        <w:rPr>
          <w:rFonts w:hint="eastAsia" w:ascii="宋体" w:eastAsia="宋体" w:cs="宋体"/>
          <w:color w:val="auto"/>
          <w:highlight w:val="none"/>
        </w:rPr>
      </w:pPr>
      <w:bookmarkStart w:id="144" w:name="_Toc18925"/>
      <w:bookmarkStart w:id="145" w:name="_Toc28982"/>
      <w:bookmarkStart w:id="146" w:name="_Toc29782"/>
      <w:bookmarkStart w:id="147" w:name="_Toc30381"/>
      <w:bookmarkStart w:id="148" w:name="_Toc247527566"/>
      <w:bookmarkStart w:id="149" w:name="_Toc247513965"/>
      <w:r>
        <w:rPr>
          <w:rFonts w:hint="eastAsia" w:ascii="宋体" w:eastAsia="宋体" w:cs="宋体"/>
          <w:color w:val="auto"/>
          <w:highlight w:val="none"/>
        </w:rPr>
        <w:t>1.12 偏离</w:t>
      </w:r>
      <w:bookmarkEnd w:id="144"/>
      <w:bookmarkEnd w:id="145"/>
      <w:bookmarkEnd w:id="146"/>
      <w:bookmarkEnd w:id="147"/>
      <w:bookmarkEnd w:id="148"/>
      <w:bookmarkEnd w:id="149"/>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pPr>
        <w:pStyle w:val="4"/>
        <w:rPr>
          <w:rFonts w:hint="eastAsia" w:ascii="宋体" w:hAnsi="宋体" w:eastAsia="宋体" w:cs="宋体"/>
          <w:color w:val="auto"/>
          <w:highlight w:val="none"/>
        </w:rPr>
      </w:pPr>
      <w:bookmarkStart w:id="150" w:name="_Toc247513966"/>
      <w:bookmarkStart w:id="151" w:name="_Toc152042318"/>
      <w:bookmarkStart w:id="152" w:name="_Toc247527567"/>
      <w:bookmarkStart w:id="153" w:name="_Toc18678"/>
      <w:bookmarkStart w:id="154" w:name="_Toc8245"/>
      <w:bookmarkStart w:id="155" w:name="_Toc152045542"/>
      <w:bookmarkStart w:id="156" w:name="_Toc9544"/>
      <w:bookmarkStart w:id="157" w:name="_Toc1073"/>
      <w:bookmarkStart w:id="158" w:name="_Toc144974510"/>
      <w:r>
        <w:rPr>
          <w:rFonts w:hint="eastAsia" w:ascii="宋体" w:hAnsi="宋体" w:eastAsia="宋体" w:cs="宋体"/>
          <w:color w:val="auto"/>
          <w:highlight w:val="none"/>
        </w:rPr>
        <w:t>2. 招标文件</w:t>
      </w:r>
      <w:bookmarkEnd w:id="150"/>
      <w:bookmarkEnd w:id="151"/>
      <w:bookmarkEnd w:id="152"/>
      <w:bookmarkEnd w:id="153"/>
      <w:bookmarkEnd w:id="154"/>
      <w:bookmarkEnd w:id="155"/>
      <w:bookmarkEnd w:id="156"/>
      <w:bookmarkEnd w:id="157"/>
      <w:bookmarkEnd w:id="158"/>
    </w:p>
    <w:p>
      <w:pPr>
        <w:pStyle w:val="5"/>
        <w:rPr>
          <w:rFonts w:hint="eastAsia" w:ascii="宋体" w:eastAsia="宋体" w:cs="宋体"/>
          <w:color w:val="auto"/>
          <w:highlight w:val="none"/>
        </w:rPr>
      </w:pPr>
      <w:bookmarkStart w:id="159" w:name="_Toc16313"/>
      <w:bookmarkStart w:id="160" w:name="_Toc152042319"/>
      <w:bookmarkStart w:id="161" w:name="_Toc30775"/>
      <w:bookmarkStart w:id="162" w:name="_Toc29648"/>
      <w:bookmarkStart w:id="163" w:name="_Toc144974511"/>
      <w:bookmarkStart w:id="164" w:name="_Toc247513967"/>
      <w:bookmarkStart w:id="165" w:name="_Toc152045543"/>
      <w:bookmarkStart w:id="166" w:name="_Toc19807"/>
      <w:bookmarkStart w:id="167" w:name="_Toc247527568"/>
      <w:r>
        <w:rPr>
          <w:rFonts w:hint="eastAsia" w:ascii="宋体" w:eastAsia="宋体" w:cs="宋体"/>
          <w:color w:val="auto"/>
          <w:highlight w:val="none"/>
        </w:rPr>
        <w:t>2.1 招标文件的组成</w:t>
      </w:r>
      <w:bookmarkEnd w:id="159"/>
      <w:bookmarkEnd w:id="160"/>
      <w:bookmarkEnd w:id="161"/>
      <w:bookmarkEnd w:id="162"/>
      <w:bookmarkEnd w:id="163"/>
      <w:bookmarkEnd w:id="164"/>
      <w:bookmarkEnd w:id="165"/>
      <w:bookmarkEnd w:id="166"/>
      <w:bookmarkEnd w:id="167"/>
    </w:p>
    <w:p>
      <w:pPr>
        <w:spacing w:line="400" w:lineRule="exact"/>
        <w:rPr>
          <w:rFonts w:hint="eastAsia" w:ascii="宋体" w:hAnsi="宋体" w:cs="宋体"/>
          <w:color w:val="auto"/>
          <w:highlight w:val="none"/>
        </w:rPr>
      </w:pPr>
      <w:r>
        <w:rPr>
          <w:rFonts w:hint="eastAsia" w:ascii="宋体" w:hAnsi="宋体" w:cs="宋体"/>
          <w:color w:val="auto"/>
          <w:highlight w:val="none"/>
        </w:rPr>
        <w:t>2.1.1本招标文件包括：</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招标公告</w:t>
      </w:r>
      <w:r>
        <w:rPr>
          <w:rFonts w:hint="eastAsia" w:ascii="新宋体" w:hAnsi="新宋体" w:eastAsia="新宋体" w:cs="新宋体"/>
          <w:color w:val="auto"/>
          <w:highlight w:val="none"/>
          <w:u w:val="single"/>
        </w:rPr>
        <w:t>（另册）</w:t>
      </w:r>
      <w:r>
        <w:rPr>
          <w:rFonts w:hint="eastAsia" w:ascii="宋体" w:hAnsi="宋体" w:cs="宋体"/>
          <w:color w:val="auto"/>
          <w:highlight w:val="none"/>
        </w:rPr>
        <w:t>；</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（2）投标人须知；</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（3）评标办法；</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（4）合同条款及格式</w:t>
      </w:r>
      <w:r>
        <w:rPr>
          <w:rFonts w:hint="eastAsia" w:ascii="宋体" w:hAnsi="宋体" w:cs="宋体"/>
          <w:color w:val="auto"/>
          <w:highlight w:val="none"/>
          <w:u w:val="single"/>
        </w:rPr>
        <w:t>(另册)；</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招标人</w:t>
      </w:r>
      <w:r>
        <w:rPr>
          <w:rFonts w:hint="eastAsia" w:ascii="宋体" w:hAnsi="宋体" w:cs="宋体"/>
          <w:color w:val="auto"/>
          <w:highlight w:val="none"/>
        </w:rPr>
        <w:t>要求（仅供参考）；</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招标人</w:t>
      </w:r>
      <w:r>
        <w:rPr>
          <w:rFonts w:hint="eastAsia" w:ascii="宋体" w:hAnsi="宋体" w:cs="宋体"/>
          <w:color w:val="auto"/>
          <w:highlight w:val="none"/>
        </w:rPr>
        <w:t>提供的资料和条件（另册）；</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（7）投标文件格式；</w:t>
      </w:r>
    </w:p>
    <w:p>
      <w:pPr>
        <w:spacing w:line="400" w:lineRule="exact"/>
        <w:ind w:firstLine="422" w:firstLineChars="200"/>
        <w:rPr>
          <w:rFonts w:hint="eastAsia" w:ascii="宋体" w:hAnsi="宋体" w:cs="宋体"/>
          <w:color w:val="auto"/>
          <w:highlight w:val="none"/>
        </w:rPr>
      </w:pPr>
      <w:r>
        <w:rPr>
          <w:rFonts w:hint="eastAsia" w:ascii="宋体" w:hAnsi="宋体" w:cs="宋体"/>
          <w:b/>
          <w:bCs/>
          <w:color w:val="auto"/>
          <w:highlight w:val="none"/>
          <w:u w:val="single"/>
        </w:rPr>
        <w:t>注：招标人应在技术条件（工程建设标准）中明确施工现场建筑垃圾源头减量的具体要求和建筑垃圾综合利用产品的使用要求。</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2.1.2根据本章第1.10款、第2.2款和第2.3款对招标文件所作的澄清、修改，构成招标文件的组成部分。</w:t>
      </w:r>
      <w:r>
        <w:rPr>
          <w:rFonts w:hint="eastAsia" w:ascii="宋体" w:hAnsi="宋体" w:cs="宋体"/>
          <w:color w:val="auto"/>
          <w:highlight w:val="none"/>
          <w:u w:val="single"/>
        </w:rPr>
        <w:t>当招标文件的澄清、修改等在同一内容的表述不一致时，以最后发出的书面文件为准</w:t>
      </w:r>
      <w:r>
        <w:rPr>
          <w:rFonts w:hint="eastAsia" w:ascii="宋体" w:hAnsi="宋体" w:cs="宋体"/>
          <w:color w:val="auto"/>
          <w:highlight w:val="none"/>
        </w:rPr>
        <w:t>。</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将承担无法通过投标文件有效性审查风险，并且招标人不允许投标人通过修改或撤消其不符合要求的差异或保留使之成为具有有效性的投标文件。</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2.1.4投标人一旦中标，招标文件的内容对招标人和中标人双方均有约束力。</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2.1.5发布招标公告的同时，通过广州交易集团有限公司（广州公共资源交易中心）网站发布招标文件。</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2.1.6招标文件一经在广州交易集团有限公司（广州公共资源交易中心）网站发布，视作已发放给所有投标人。</w:t>
      </w:r>
    </w:p>
    <w:p>
      <w:pPr>
        <w:pStyle w:val="5"/>
        <w:rPr>
          <w:rFonts w:hint="eastAsia" w:ascii="宋体" w:eastAsia="宋体" w:cs="宋体"/>
          <w:color w:val="auto"/>
          <w:highlight w:val="none"/>
        </w:rPr>
      </w:pPr>
      <w:bookmarkStart w:id="168" w:name="_Toc247527569"/>
      <w:bookmarkStart w:id="169" w:name="_Toc152042320"/>
      <w:bookmarkStart w:id="170" w:name="_Toc22031"/>
      <w:bookmarkStart w:id="171" w:name="_Toc4761"/>
      <w:bookmarkStart w:id="172" w:name="_Toc247513968"/>
      <w:bookmarkStart w:id="173" w:name="_Toc14916"/>
      <w:bookmarkStart w:id="174" w:name="_Toc144974512"/>
      <w:bookmarkStart w:id="175" w:name="_Toc30434"/>
      <w:bookmarkStart w:id="176" w:name="_Toc152045544"/>
      <w:r>
        <w:rPr>
          <w:rFonts w:hint="eastAsia" w:ascii="宋体" w:eastAsia="宋体" w:cs="宋体"/>
          <w:color w:val="auto"/>
          <w:highlight w:val="none"/>
        </w:rPr>
        <w:t>2.2 招标文件的澄清</w:t>
      </w:r>
      <w:bookmarkEnd w:id="168"/>
      <w:bookmarkEnd w:id="169"/>
      <w:bookmarkEnd w:id="170"/>
      <w:bookmarkEnd w:id="171"/>
      <w:bookmarkEnd w:id="172"/>
      <w:bookmarkEnd w:id="173"/>
      <w:bookmarkEnd w:id="174"/>
      <w:bookmarkEnd w:id="175"/>
      <w:bookmarkEnd w:id="176"/>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2.2.1投标人应仔细阅读和检查招标文件的全部内容。如发现缺页或附件不全，应及时向招标人提出，以便补齐。</w:t>
      </w:r>
      <w:r>
        <w:rPr>
          <w:rFonts w:hint="eastAsia" w:ascii="宋体" w:hAnsi="宋体" w:cs="宋体"/>
          <w:color w:val="auto"/>
          <w:highlight w:val="none"/>
          <w:u w:val="single"/>
        </w:rPr>
        <w:t>项目答疑纪要采用网上答疑方式进行。投标人若对招标文件有疑问的，可在规定的时间内通过广州交易集团有限公司（广州公共资源交易中心）网站进入提问区域将问题提交给招标人或招标代理人，提交问题时一律不得署名。</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2.2.2招标人应在投标截止时间15日前解答投标人对招标文件提出的疑问，形成答疑纪要，并在广州交易集团有限公司（广州公共资源交易中心）网站“项目查询（日程安排、答疑纪要）”专区发布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highlight w:val="none"/>
        </w:rPr>
        <w:t>，但不指明问题的来源。</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2.2.3招标答疑纪要一经在广州交易集团有限公司（广州公共资源交易中心）网站发布，视作已发放给所有投标人。</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2.2.4招标答疑纪要为招标文件的一部分。投标人可在广州交易集团有限公司（广州公共资源交易中心）网站浏览、下载招标答疑纪要。投标人可直接从交易中心网站“项目查询（日程安排、答疑纪要）”专区进入，下载项目的招标答疑及澄清文件；也可以登录交易中心数字交易平台进入“我是投标人”→进入“新建设工程交易平台”→进入“我的投标项目”→进入“答疑纪要”。</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2.2.5若招标答疑纪要与招标文件有矛盾时，以广州交易集团有限公司（广州公共资源交易中心）网站最后发布的答疑纪要为准。</w:t>
      </w:r>
    </w:p>
    <w:p>
      <w:pPr>
        <w:pStyle w:val="5"/>
        <w:rPr>
          <w:rFonts w:hint="eastAsia" w:ascii="宋体" w:eastAsia="宋体" w:cs="宋体"/>
          <w:color w:val="auto"/>
          <w:highlight w:val="none"/>
        </w:rPr>
      </w:pPr>
      <w:bookmarkStart w:id="177" w:name="_Toc247513969"/>
      <w:bookmarkStart w:id="178" w:name="_Toc11762"/>
      <w:bookmarkStart w:id="179" w:name="_Toc6494"/>
      <w:bookmarkStart w:id="180" w:name="_Toc152045545"/>
      <w:bookmarkStart w:id="181" w:name="_Toc152042321"/>
      <w:bookmarkStart w:id="182" w:name="_Toc247527570"/>
      <w:bookmarkStart w:id="183" w:name="_Toc8419"/>
      <w:bookmarkStart w:id="184" w:name="_Toc16967"/>
      <w:bookmarkStart w:id="185" w:name="_Toc144974513"/>
      <w:r>
        <w:rPr>
          <w:rFonts w:hint="eastAsia" w:ascii="宋体" w:eastAsia="宋体" w:cs="宋体"/>
          <w:color w:val="auto"/>
          <w:highlight w:val="none"/>
        </w:rPr>
        <w:t>2.3 招标文件的修改</w:t>
      </w:r>
      <w:bookmarkEnd w:id="177"/>
      <w:bookmarkEnd w:id="178"/>
      <w:bookmarkEnd w:id="179"/>
      <w:bookmarkEnd w:id="180"/>
      <w:bookmarkEnd w:id="181"/>
      <w:bookmarkEnd w:id="182"/>
      <w:bookmarkEnd w:id="183"/>
      <w:bookmarkEnd w:id="184"/>
      <w:bookmarkEnd w:id="185"/>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2.3.1招标文件发出后，在提交投标文件截止时间15日前，招标人可对招标文件进行必要的澄清或修改。</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2.3.2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4"/>
        <w:keepNext w:val="0"/>
        <w:spacing w:line="416" w:lineRule="auto"/>
        <w:rPr>
          <w:rFonts w:hint="eastAsia" w:ascii="宋体" w:hAnsi="宋体" w:eastAsia="宋体" w:cs="宋体"/>
          <w:color w:val="auto"/>
          <w:highlight w:val="none"/>
        </w:rPr>
      </w:pPr>
      <w:bookmarkStart w:id="186" w:name="_Toc247527571"/>
      <w:bookmarkStart w:id="187" w:name="_Toc144974514"/>
      <w:bookmarkStart w:id="188" w:name="_Toc247513970"/>
      <w:bookmarkStart w:id="189" w:name="_Toc11165"/>
      <w:bookmarkStart w:id="190" w:name="_Toc20410"/>
      <w:bookmarkStart w:id="191" w:name="_Toc152042322"/>
      <w:bookmarkStart w:id="192" w:name="_Toc2660"/>
      <w:bookmarkStart w:id="193" w:name="_Toc152045546"/>
      <w:bookmarkStart w:id="194" w:name="_Toc920"/>
      <w:r>
        <w:rPr>
          <w:rFonts w:hint="eastAsia" w:ascii="宋体" w:hAnsi="宋体" w:eastAsia="宋体" w:cs="宋体"/>
          <w:color w:val="auto"/>
          <w:highlight w:val="none"/>
        </w:rPr>
        <w:t>3. 投标文件</w:t>
      </w:r>
      <w:bookmarkEnd w:id="186"/>
      <w:bookmarkEnd w:id="187"/>
      <w:bookmarkEnd w:id="188"/>
      <w:bookmarkEnd w:id="189"/>
      <w:bookmarkEnd w:id="190"/>
      <w:bookmarkEnd w:id="191"/>
      <w:bookmarkEnd w:id="192"/>
      <w:bookmarkEnd w:id="193"/>
      <w:bookmarkEnd w:id="194"/>
    </w:p>
    <w:p>
      <w:pPr>
        <w:pStyle w:val="5"/>
        <w:rPr>
          <w:rFonts w:hint="eastAsia" w:ascii="宋体" w:eastAsia="宋体" w:cs="宋体"/>
          <w:color w:val="auto"/>
          <w:highlight w:val="none"/>
        </w:rPr>
      </w:pPr>
      <w:bookmarkStart w:id="195" w:name="_Toc247527572"/>
      <w:bookmarkStart w:id="196" w:name="_Toc21008"/>
      <w:bookmarkStart w:id="197" w:name="_Toc10949"/>
      <w:bookmarkStart w:id="198" w:name="_Toc152045547"/>
      <w:bookmarkStart w:id="199" w:name="_Toc152042323"/>
      <w:bookmarkStart w:id="200" w:name="_Toc144974515"/>
      <w:bookmarkStart w:id="201" w:name="_Toc15275"/>
      <w:bookmarkStart w:id="202" w:name="_Toc247513971"/>
      <w:bookmarkStart w:id="203" w:name="_Toc9035"/>
      <w:r>
        <w:rPr>
          <w:rFonts w:hint="eastAsia" w:ascii="宋体" w:eastAsia="宋体" w:cs="宋体"/>
          <w:color w:val="auto"/>
          <w:highlight w:val="none"/>
        </w:rPr>
        <w:t>3.1 投标文件的组成</w:t>
      </w:r>
      <w:bookmarkEnd w:id="195"/>
      <w:bookmarkEnd w:id="196"/>
      <w:bookmarkEnd w:id="197"/>
      <w:bookmarkEnd w:id="198"/>
      <w:bookmarkEnd w:id="199"/>
      <w:bookmarkEnd w:id="200"/>
      <w:bookmarkEnd w:id="201"/>
      <w:bookmarkEnd w:id="202"/>
      <w:bookmarkEnd w:id="203"/>
    </w:p>
    <w:p>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3.1.1</w:t>
      </w:r>
      <w:r>
        <w:rPr>
          <w:rFonts w:hint="eastAsia" w:ascii="宋体" w:hAnsi="宋体" w:cs="宋体"/>
          <w:b/>
          <w:bCs/>
          <w:color w:val="auto"/>
          <w:szCs w:val="21"/>
          <w:highlight w:val="none"/>
          <w:u w:val="single"/>
        </w:rPr>
        <w:t>投标文件由设计、</w:t>
      </w:r>
      <w:r>
        <w:rPr>
          <w:rFonts w:hint="eastAsia" w:ascii="宋体" w:hAnsi="宋体" w:cs="宋体"/>
          <w:b/>
          <w:bCs/>
          <w:color w:val="auto"/>
          <w:szCs w:val="21"/>
          <w:highlight w:val="none"/>
          <w:u w:val="single"/>
          <w:lang w:eastAsia="zh-CN"/>
        </w:rPr>
        <w:t>施工部分（含资</w:t>
      </w:r>
      <w:r>
        <w:rPr>
          <w:rFonts w:hint="eastAsia" w:ascii="宋体" w:hAnsi="宋体" w:cs="宋体"/>
          <w:b/>
          <w:bCs/>
          <w:color w:val="auto"/>
          <w:szCs w:val="21"/>
          <w:highlight w:val="none"/>
          <w:u w:val="single"/>
        </w:rPr>
        <w:t>格审查文件</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rPr>
        <w:t>投标文件</w:t>
      </w:r>
      <w:r>
        <w:rPr>
          <w:rFonts w:hint="eastAsia" w:ascii="宋体" w:hAnsi="宋体" w:cs="宋体"/>
          <w:b/>
          <w:bCs/>
          <w:color w:val="auto"/>
          <w:szCs w:val="21"/>
          <w:highlight w:val="none"/>
          <w:u w:val="single"/>
          <w:lang w:eastAsia="zh-CN"/>
        </w:rPr>
        <w:t>、经济标</w:t>
      </w:r>
      <w:r>
        <w:rPr>
          <w:rFonts w:hint="eastAsia" w:ascii="宋体" w:hAnsi="宋体" w:cs="宋体"/>
          <w:b/>
          <w:bCs/>
          <w:color w:val="auto"/>
          <w:szCs w:val="21"/>
          <w:highlight w:val="none"/>
          <w:u w:val="single"/>
        </w:rPr>
        <w:t>投标文件</w:t>
      </w:r>
      <w:r>
        <w:rPr>
          <w:rFonts w:hint="eastAsia" w:ascii="宋体" w:hAnsi="宋体" w:cs="宋体"/>
          <w:b/>
          <w:bCs/>
          <w:color w:val="auto"/>
          <w:szCs w:val="21"/>
          <w:highlight w:val="none"/>
          <w:u w:val="single"/>
          <w:lang w:eastAsia="zh-CN"/>
        </w:rPr>
        <w:t>及定标文件</w:t>
      </w:r>
      <w:r>
        <w:rPr>
          <w:rFonts w:hint="eastAsia" w:ascii="宋体" w:hAnsi="宋体" w:cs="宋体"/>
          <w:b/>
          <w:bCs/>
          <w:color w:val="auto"/>
          <w:szCs w:val="21"/>
          <w:highlight w:val="none"/>
          <w:u w:val="single"/>
        </w:rPr>
        <w:t>组成。如招标文件没有格式规定的，由投标人自行编制。</w:t>
      </w:r>
    </w:p>
    <w:p>
      <w:pPr>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3.1.2设计、</w:t>
      </w:r>
      <w:r>
        <w:rPr>
          <w:rFonts w:hint="eastAsia" w:ascii="宋体" w:hAnsi="宋体" w:eastAsia="宋体" w:cs="宋体"/>
          <w:b/>
          <w:bCs/>
          <w:color w:val="auto"/>
          <w:szCs w:val="21"/>
          <w:highlight w:val="none"/>
          <w:u w:val="single"/>
          <w:lang w:eastAsia="zh-CN"/>
        </w:rPr>
        <w:t>施工部分（含资</w:t>
      </w:r>
      <w:r>
        <w:rPr>
          <w:rFonts w:hint="eastAsia" w:ascii="宋体" w:hAnsi="宋体" w:eastAsia="宋体" w:cs="宋体"/>
          <w:b/>
          <w:bCs/>
          <w:color w:val="auto"/>
          <w:szCs w:val="21"/>
          <w:highlight w:val="none"/>
          <w:u w:val="single"/>
        </w:rPr>
        <w:t>格审查文件</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投标文件主要包括下列内容：</w:t>
      </w:r>
    </w:p>
    <w:p>
      <w:pPr>
        <w:spacing w:line="400" w:lineRule="exact"/>
        <w:ind w:firstLine="420" w:firstLineChars="200"/>
        <w:rPr>
          <w:rFonts w:ascii="宋体" w:hAnsi="宋体" w:cs="宋体"/>
          <w:color w:val="000000"/>
          <w:kern w:val="0"/>
          <w:szCs w:val="21"/>
          <w:highlight w:val="none"/>
          <w:u w:val="single"/>
        </w:rPr>
      </w:pPr>
      <w:bookmarkStart w:id="204" w:name="_Toc152045548"/>
      <w:bookmarkStart w:id="205" w:name="_Toc247513972"/>
      <w:bookmarkStart w:id="206" w:name="_Toc2603"/>
      <w:bookmarkStart w:id="207" w:name="_Toc144974516"/>
      <w:bookmarkStart w:id="208" w:name="_Toc32322"/>
      <w:bookmarkStart w:id="209" w:name="_Toc247527573"/>
      <w:bookmarkStart w:id="210" w:name="_Toc3829"/>
      <w:bookmarkStart w:id="211" w:name="_Toc152042324"/>
      <w:r>
        <w:rPr>
          <w:rFonts w:hint="eastAsia" w:ascii="宋体" w:hAnsi="宋体" w:cs="宋体"/>
          <w:color w:val="000000"/>
          <w:kern w:val="0"/>
          <w:szCs w:val="21"/>
          <w:highlight w:val="none"/>
          <w:u w:val="single"/>
        </w:rPr>
        <w:t>1、设计施工投标承诺书（格式见后附件）；</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kern w:val="0"/>
          <w:szCs w:val="21"/>
          <w:highlight w:val="none"/>
          <w:u w:val="single"/>
        </w:rPr>
        <w:t>2、资格审查文件：</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kern w:val="0"/>
          <w:szCs w:val="21"/>
          <w:highlight w:val="none"/>
          <w:u w:val="single"/>
        </w:rPr>
        <w:t>（1）法定代表人证明书，如投标文件为委托代理人签署应同时附上法定代表人证明书和法定代表人授权书。（联合体投标的，由联合体主办方</w:t>
      </w:r>
      <w:r>
        <w:rPr>
          <w:rFonts w:hint="eastAsia" w:ascii="宋体" w:hAnsi="宋体" w:cs="宋体"/>
          <w:color w:val="000000"/>
          <w:kern w:val="0"/>
          <w:szCs w:val="21"/>
          <w:highlight w:val="none"/>
          <w:u w:val="single"/>
          <w:lang w:eastAsia="zh-CN"/>
        </w:rPr>
        <w:t>提供</w:t>
      </w:r>
      <w:r>
        <w:rPr>
          <w:rFonts w:hint="eastAsia" w:ascii="宋体" w:hAnsi="宋体" w:cs="宋体"/>
          <w:color w:val="000000"/>
          <w:kern w:val="0"/>
          <w:szCs w:val="21"/>
          <w:highlight w:val="none"/>
          <w:u w:val="single"/>
        </w:rPr>
        <w:t>）；</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kern w:val="0"/>
          <w:szCs w:val="21"/>
          <w:highlight w:val="none"/>
          <w:u w:val="single"/>
        </w:rPr>
        <w:t>（2）企业营业执照或事业单位法人证书</w:t>
      </w:r>
      <w:r>
        <w:rPr>
          <w:rFonts w:hint="eastAsia" w:ascii="宋体" w:hAnsi="宋体" w:cs="宋体"/>
          <w:kern w:val="0"/>
          <w:sz w:val="21"/>
          <w:szCs w:val="21"/>
          <w:highlight w:val="none"/>
          <w:u w:val="single"/>
        </w:rPr>
        <w:t>扫描件</w:t>
      </w:r>
      <w:r>
        <w:rPr>
          <w:rFonts w:hint="eastAsia" w:ascii="宋体" w:hAnsi="宋体" w:cs="宋体"/>
          <w:color w:val="000000"/>
          <w:kern w:val="0"/>
          <w:szCs w:val="21"/>
          <w:highlight w:val="none"/>
          <w:u w:val="single"/>
        </w:rPr>
        <w:t>（联合体投标的，联合体所有成员均</w:t>
      </w:r>
      <w:r>
        <w:rPr>
          <w:rFonts w:hint="eastAsia" w:ascii="宋体" w:hAnsi="宋体" w:cs="宋体"/>
          <w:color w:val="000000"/>
          <w:kern w:val="0"/>
          <w:szCs w:val="21"/>
          <w:highlight w:val="none"/>
          <w:u w:val="single"/>
          <w:lang w:eastAsia="zh-CN"/>
        </w:rPr>
        <w:t>提供</w:t>
      </w:r>
      <w:r>
        <w:rPr>
          <w:rFonts w:hint="eastAsia" w:ascii="宋体" w:hAnsi="宋体" w:cs="宋体"/>
          <w:color w:val="000000"/>
          <w:kern w:val="0"/>
          <w:szCs w:val="21"/>
          <w:highlight w:val="none"/>
          <w:u w:val="single"/>
        </w:rPr>
        <w:t>）</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kern w:val="0"/>
          <w:szCs w:val="21"/>
          <w:highlight w:val="none"/>
          <w:u w:val="single"/>
        </w:rPr>
        <w:t>（3）企业资质证书</w:t>
      </w:r>
      <w:r>
        <w:rPr>
          <w:rFonts w:hint="eastAsia" w:ascii="宋体" w:hAnsi="宋体" w:cs="宋体"/>
          <w:kern w:val="0"/>
          <w:sz w:val="21"/>
          <w:szCs w:val="21"/>
          <w:highlight w:val="none"/>
          <w:u w:val="single"/>
        </w:rPr>
        <w:t>扫描件</w:t>
      </w:r>
      <w:r>
        <w:rPr>
          <w:rFonts w:hint="eastAsia" w:ascii="宋体" w:hAnsi="宋体" w:cs="宋体"/>
          <w:color w:val="000000"/>
          <w:kern w:val="0"/>
          <w:szCs w:val="21"/>
          <w:highlight w:val="none"/>
          <w:u w:val="single"/>
        </w:rPr>
        <w:t>（联合体投标的，联合体所有成员均</w:t>
      </w:r>
      <w:r>
        <w:rPr>
          <w:rFonts w:hint="eastAsia" w:ascii="宋体" w:hAnsi="宋体" w:cs="宋体"/>
          <w:color w:val="000000"/>
          <w:kern w:val="0"/>
          <w:szCs w:val="21"/>
          <w:highlight w:val="none"/>
          <w:u w:val="single"/>
          <w:lang w:eastAsia="zh-CN"/>
        </w:rPr>
        <w:t>须提供</w:t>
      </w:r>
      <w:r>
        <w:rPr>
          <w:rFonts w:hint="eastAsia" w:ascii="宋体" w:hAnsi="宋体" w:cs="宋体"/>
          <w:color w:val="000000"/>
          <w:kern w:val="0"/>
          <w:szCs w:val="21"/>
          <w:highlight w:val="none"/>
          <w:u w:val="single"/>
        </w:rPr>
        <w:t>）；</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kern w:val="0"/>
          <w:szCs w:val="21"/>
          <w:highlight w:val="none"/>
          <w:u w:val="single"/>
        </w:rPr>
        <w:t>（4）建筑施工企业安全生产许可证</w:t>
      </w:r>
      <w:r>
        <w:rPr>
          <w:rFonts w:hint="eastAsia" w:ascii="宋体" w:hAnsi="宋体" w:cs="宋体"/>
          <w:kern w:val="0"/>
          <w:sz w:val="21"/>
          <w:szCs w:val="21"/>
          <w:highlight w:val="none"/>
          <w:u w:val="single"/>
        </w:rPr>
        <w:t>扫描件</w:t>
      </w:r>
      <w:r>
        <w:rPr>
          <w:rFonts w:hint="eastAsia" w:ascii="宋体" w:hAnsi="宋体" w:cs="宋体"/>
          <w:color w:val="000000"/>
          <w:kern w:val="0"/>
          <w:szCs w:val="21"/>
          <w:highlight w:val="none"/>
          <w:u w:val="single"/>
        </w:rPr>
        <w:t>；（联合体投标的，由联合体主办方</w:t>
      </w:r>
      <w:r>
        <w:rPr>
          <w:rFonts w:hint="eastAsia" w:ascii="宋体" w:hAnsi="宋体" w:cs="宋体"/>
          <w:color w:val="000000"/>
          <w:kern w:val="0"/>
          <w:szCs w:val="21"/>
          <w:highlight w:val="none"/>
          <w:u w:val="single"/>
          <w:lang w:eastAsia="zh-CN"/>
        </w:rPr>
        <w:t>提供</w:t>
      </w:r>
      <w:r>
        <w:rPr>
          <w:rFonts w:hint="eastAsia" w:ascii="宋体" w:hAnsi="宋体" w:cs="宋体"/>
          <w:color w:val="000000"/>
          <w:kern w:val="0"/>
          <w:szCs w:val="21"/>
          <w:highlight w:val="none"/>
          <w:u w:val="single"/>
        </w:rPr>
        <w:t>）；</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kern w:val="0"/>
          <w:szCs w:val="21"/>
          <w:highlight w:val="none"/>
          <w:u w:val="single"/>
        </w:rPr>
        <w:t>（5）</w:t>
      </w:r>
      <w:r>
        <w:rPr>
          <w:rFonts w:hint="eastAsia" w:ascii="宋体" w:hAnsi="宋体" w:cs="宋体"/>
          <w:color w:val="000000"/>
          <w:kern w:val="0"/>
          <w:szCs w:val="21"/>
          <w:highlight w:val="none"/>
          <w:u w:val="single"/>
          <w:lang w:eastAsia="zh-CN"/>
        </w:rPr>
        <w:t>项目负责人</w:t>
      </w:r>
      <w:r>
        <w:rPr>
          <w:rFonts w:hint="eastAsia" w:ascii="宋体" w:hAnsi="宋体" w:cs="宋体"/>
          <w:color w:val="000000"/>
          <w:kern w:val="0"/>
          <w:szCs w:val="21"/>
          <w:highlight w:val="none"/>
          <w:u w:val="single"/>
        </w:rPr>
        <w:t>的建筑工程专业</w:t>
      </w:r>
      <w:r>
        <w:rPr>
          <w:rFonts w:hint="eastAsia" w:ascii="宋体" w:hAnsi="宋体" w:cs="宋体"/>
          <w:color w:val="000000"/>
          <w:kern w:val="0"/>
          <w:szCs w:val="21"/>
          <w:highlight w:val="none"/>
          <w:u w:val="single"/>
          <w:lang w:eastAsia="zh-CN"/>
        </w:rPr>
        <w:t>一</w:t>
      </w:r>
      <w:r>
        <w:rPr>
          <w:rFonts w:hint="eastAsia" w:ascii="宋体" w:hAnsi="宋体" w:cs="宋体"/>
          <w:color w:val="000000"/>
          <w:kern w:val="0"/>
          <w:szCs w:val="21"/>
          <w:highlight w:val="none"/>
          <w:u w:val="single"/>
        </w:rPr>
        <w:t>级建造师证书</w:t>
      </w:r>
      <w:r>
        <w:rPr>
          <w:rFonts w:hint="eastAsia" w:ascii="宋体" w:hAnsi="宋体" w:cs="宋体"/>
          <w:kern w:val="0"/>
          <w:sz w:val="21"/>
          <w:szCs w:val="21"/>
          <w:highlight w:val="none"/>
          <w:u w:val="single"/>
        </w:rPr>
        <w:t>扫描件</w:t>
      </w:r>
      <w:r>
        <w:rPr>
          <w:rFonts w:hint="eastAsia" w:ascii="宋体" w:hAnsi="宋体" w:cs="宋体"/>
          <w:color w:val="000000"/>
          <w:kern w:val="0"/>
          <w:szCs w:val="21"/>
          <w:highlight w:val="none"/>
          <w:u w:val="single"/>
        </w:rPr>
        <w:t>；（联合体投标的，由联合体主办方</w:t>
      </w:r>
      <w:r>
        <w:rPr>
          <w:rFonts w:hint="eastAsia" w:ascii="宋体" w:hAnsi="宋体" w:cs="宋体"/>
          <w:color w:val="000000"/>
          <w:kern w:val="0"/>
          <w:szCs w:val="21"/>
          <w:highlight w:val="none"/>
          <w:u w:val="single"/>
          <w:lang w:eastAsia="zh-CN"/>
        </w:rPr>
        <w:t>提供</w:t>
      </w:r>
      <w:r>
        <w:rPr>
          <w:rFonts w:hint="eastAsia" w:ascii="宋体" w:hAnsi="宋体" w:cs="宋体"/>
          <w:color w:val="000000"/>
          <w:kern w:val="0"/>
          <w:szCs w:val="21"/>
          <w:highlight w:val="none"/>
          <w:u w:val="single"/>
        </w:rPr>
        <w:t>）；设计负责人</w:t>
      </w:r>
      <w:r>
        <w:rPr>
          <w:rFonts w:hint="eastAsia" w:ascii="宋体" w:hAnsi="宋体" w:cs="宋体"/>
          <w:color w:val="000000"/>
          <w:kern w:val="0"/>
          <w:szCs w:val="21"/>
          <w:highlight w:val="none"/>
          <w:u w:val="single"/>
          <w:lang w:eastAsia="zh-CN"/>
        </w:rPr>
        <w:t>一</w:t>
      </w:r>
      <w:r>
        <w:rPr>
          <w:rFonts w:hint="eastAsia" w:ascii="宋体" w:hAnsi="宋体" w:cs="宋体"/>
          <w:color w:val="000000"/>
          <w:kern w:val="0"/>
          <w:szCs w:val="21"/>
          <w:highlight w:val="none"/>
          <w:u w:val="single"/>
        </w:rPr>
        <w:t>级建筑师证书</w:t>
      </w:r>
      <w:r>
        <w:rPr>
          <w:rFonts w:hint="eastAsia" w:ascii="宋体" w:hAnsi="宋体" w:cs="宋体"/>
          <w:kern w:val="0"/>
          <w:sz w:val="21"/>
          <w:szCs w:val="21"/>
          <w:highlight w:val="none"/>
          <w:u w:val="single"/>
        </w:rPr>
        <w:t>扫描件</w:t>
      </w:r>
      <w:r>
        <w:rPr>
          <w:rFonts w:hint="eastAsia" w:ascii="宋体" w:hAnsi="宋体" w:cs="宋体"/>
          <w:color w:val="000000"/>
          <w:kern w:val="0"/>
          <w:szCs w:val="21"/>
          <w:highlight w:val="none"/>
          <w:u w:val="single"/>
        </w:rPr>
        <w:t>（若为联合体投标，由承担设计任务方提供）；</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kern w:val="0"/>
          <w:szCs w:val="21"/>
          <w:highlight w:val="none"/>
          <w:u w:val="single"/>
        </w:rPr>
        <w:t>（6）</w:t>
      </w:r>
      <w:r>
        <w:rPr>
          <w:rFonts w:hint="eastAsia" w:ascii="宋体" w:hAnsi="宋体" w:cs="宋体"/>
          <w:color w:val="000000"/>
          <w:kern w:val="0"/>
          <w:szCs w:val="21"/>
          <w:highlight w:val="none"/>
          <w:u w:val="single"/>
          <w:lang w:eastAsia="zh-CN"/>
        </w:rPr>
        <w:t>项目负责人</w:t>
      </w:r>
      <w:r>
        <w:rPr>
          <w:rFonts w:hint="eastAsia" w:ascii="宋体" w:hAnsi="宋体" w:cs="宋体"/>
          <w:color w:val="000000"/>
          <w:kern w:val="0"/>
          <w:szCs w:val="21"/>
          <w:highlight w:val="none"/>
          <w:u w:val="single"/>
        </w:rPr>
        <w:t>安全培训考核合格证（B类）或建筑施工企业项目负责人安全生产考核合格证书</w:t>
      </w:r>
      <w:r>
        <w:rPr>
          <w:rFonts w:hint="eastAsia" w:ascii="宋体" w:hAnsi="宋体" w:cs="宋体"/>
          <w:kern w:val="0"/>
          <w:sz w:val="21"/>
          <w:szCs w:val="21"/>
          <w:highlight w:val="none"/>
          <w:u w:val="single"/>
        </w:rPr>
        <w:t>扫描件</w:t>
      </w:r>
      <w:r>
        <w:rPr>
          <w:rFonts w:hint="eastAsia" w:ascii="宋体" w:hAnsi="宋体" w:cs="宋体"/>
          <w:color w:val="000000"/>
          <w:kern w:val="0"/>
          <w:szCs w:val="21"/>
          <w:highlight w:val="none"/>
          <w:u w:val="single"/>
        </w:rPr>
        <w:t>；拟担任本工程技术负责人的相关证书</w:t>
      </w:r>
      <w:r>
        <w:rPr>
          <w:rFonts w:hint="eastAsia" w:ascii="宋体" w:hAnsi="宋体" w:cs="宋体"/>
          <w:kern w:val="0"/>
          <w:sz w:val="21"/>
          <w:szCs w:val="21"/>
          <w:highlight w:val="none"/>
          <w:u w:val="single"/>
        </w:rPr>
        <w:t>扫描件</w:t>
      </w:r>
      <w:r>
        <w:rPr>
          <w:rFonts w:hint="eastAsia" w:ascii="宋体" w:hAnsi="宋体" w:cs="宋体"/>
          <w:color w:val="000000"/>
          <w:kern w:val="0"/>
          <w:szCs w:val="21"/>
          <w:highlight w:val="none"/>
          <w:u w:val="single"/>
        </w:rPr>
        <w:t>；专职安全人员的安全生产考核合格证（C类）或建筑施工企业专职安全生产管理人员安全生产考核合格证书</w:t>
      </w:r>
      <w:r>
        <w:rPr>
          <w:rFonts w:hint="eastAsia" w:ascii="宋体" w:hAnsi="宋体" w:cs="宋体"/>
          <w:kern w:val="0"/>
          <w:sz w:val="21"/>
          <w:szCs w:val="21"/>
          <w:highlight w:val="none"/>
          <w:u w:val="single"/>
        </w:rPr>
        <w:t>扫描件</w:t>
      </w:r>
      <w:r>
        <w:rPr>
          <w:rFonts w:hint="eastAsia" w:ascii="宋体" w:hAnsi="宋体" w:cs="宋体"/>
          <w:color w:val="000000"/>
          <w:kern w:val="0"/>
          <w:szCs w:val="21"/>
          <w:highlight w:val="none"/>
          <w:u w:val="single"/>
        </w:rPr>
        <w:t>（按投标登记时选择拟派专职安全员）。</w:t>
      </w:r>
      <w:r>
        <w:rPr>
          <w:rFonts w:hint="eastAsia" w:ascii="宋体" w:hAnsi="宋体" w:cs="宋体"/>
          <w:color w:val="000000"/>
          <w:kern w:val="0"/>
          <w:szCs w:val="21"/>
          <w:highlight w:val="none"/>
          <w:u w:val="single"/>
          <w:lang w:eastAsia="zh-CN"/>
        </w:rPr>
        <w:t>项目负责人</w:t>
      </w:r>
      <w:r>
        <w:rPr>
          <w:rFonts w:hint="eastAsia" w:ascii="宋体" w:hAnsi="宋体" w:cs="宋体"/>
          <w:color w:val="000000"/>
          <w:kern w:val="0"/>
          <w:szCs w:val="21"/>
          <w:highlight w:val="none"/>
          <w:u w:val="single"/>
        </w:rPr>
        <w:t>与安全员不为同一人；（联合体投标的，由联合体主办方</w:t>
      </w:r>
      <w:r>
        <w:rPr>
          <w:rFonts w:hint="eastAsia" w:ascii="宋体" w:hAnsi="宋体" w:cs="宋体"/>
          <w:color w:val="000000"/>
          <w:kern w:val="0"/>
          <w:szCs w:val="21"/>
          <w:highlight w:val="none"/>
          <w:u w:val="single"/>
          <w:lang w:eastAsia="zh-CN"/>
        </w:rPr>
        <w:t>提供</w:t>
      </w:r>
      <w:r>
        <w:rPr>
          <w:rFonts w:hint="eastAsia" w:ascii="宋体" w:hAnsi="宋体" w:cs="宋体"/>
          <w:color w:val="000000"/>
          <w:kern w:val="0"/>
          <w:szCs w:val="21"/>
          <w:highlight w:val="none"/>
          <w:u w:val="single"/>
        </w:rPr>
        <w:t>）；</w:t>
      </w:r>
    </w:p>
    <w:p>
      <w:pPr>
        <w:spacing w:line="360" w:lineRule="auto"/>
        <w:ind w:firstLine="420" w:firstLineChars="200"/>
        <w:rPr>
          <w:rFonts w:ascii="宋体" w:hAnsi="宋体" w:cs="宋体"/>
          <w:color w:val="000000"/>
          <w:kern w:val="0"/>
          <w:szCs w:val="21"/>
          <w:highlight w:val="none"/>
          <w:u w:val="single"/>
        </w:rPr>
      </w:pPr>
      <w:r>
        <w:rPr>
          <w:rFonts w:hint="eastAsia" w:ascii="宋体" w:hAnsi="宋体" w:cs="宋体"/>
          <w:color w:val="000000"/>
          <w:kern w:val="0"/>
          <w:szCs w:val="21"/>
          <w:highlight w:val="none"/>
          <w:u w:val="single"/>
        </w:rPr>
        <w:t>（7）投标人按照规定的格式及内容要求签署的《投标人声明》（格式见招标公告附件一）；（联合体投标的，由联合体主办方</w:t>
      </w:r>
      <w:r>
        <w:rPr>
          <w:rFonts w:hint="eastAsia" w:ascii="宋体" w:hAnsi="宋体" w:cs="宋体"/>
          <w:color w:val="000000"/>
          <w:kern w:val="0"/>
          <w:szCs w:val="21"/>
          <w:highlight w:val="none"/>
          <w:u w:val="single"/>
          <w:lang w:eastAsia="zh-CN"/>
        </w:rPr>
        <w:t>提供</w:t>
      </w:r>
      <w:r>
        <w:rPr>
          <w:rFonts w:hint="eastAsia" w:ascii="宋体" w:hAnsi="宋体" w:cs="宋体"/>
          <w:color w:val="000000"/>
          <w:kern w:val="0"/>
          <w:szCs w:val="21"/>
          <w:highlight w:val="none"/>
          <w:u w:val="single"/>
        </w:rPr>
        <w:t>）；</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kern w:val="0"/>
          <w:szCs w:val="21"/>
          <w:highlight w:val="none"/>
          <w:u w:val="single"/>
        </w:rPr>
        <w:t>（</w:t>
      </w:r>
      <w:r>
        <w:rPr>
          <w:rFonts w:hint="eastAsia" w:ascii="宋体" w:hAnsi="宋体" w:cs="宋体"/>
          <w:color w:val="000000"/>
          <w:kern w:val="0"/>
          <w:szCs w:val="21"/>
          <w:highlight w:val="none"/>
          <w:u w:val="single"/>
          <w:lang w:val="en-US" w:eastAsia="zh-CN"/>
        </w:rPr>
        <w:t>8</w:t>
      </w:r>
      <w:r>
        <w:rPr>
          <w:rFonts w:hint="eastAsia" w:ascii="宋体" w:hAnsi="宋体" w:cs="宋体"/>
          <w:color w:val="000000"/>
          <w:kern w:val="0"/>
          <w:szCs w:val="21"/>
          <w:highlight w:val="none"/>
          <w:u w:val="single"/>
        </w:rPr>
        <w:t>）列明主办单位的联合体共同投标协议书（采用联合体投标时需递交，格式按招标公告附件二。联合体共同投标协议书应明确约定各方拟承担的工作和责任）；</w:t>
      </w:r>
    </w:p>
    <w:p>
      <w:pPr>
        <w:spacing w:line="400" w:lineRule="exact"/>
        <w:ind w:firstLine="420" w:firstLineChars="200"/>
        <w:rPr>
          <w:rFonts w:hint="eastAsia" w:ascii="宋体" w:hAnsi="宋体" w:cs="宋体"/>
          <w:color w:val="000000"/>
          <w:szCs w:val="24"/>
          <w:highlight w:val="none"/>
          <w:u w:val="single"/>
        </w:rPr>
      </w:pPr>
      <w:r>
        <w:rPr>
          <w:rFonts w:hint="eastAsia" w:ascii="宋体" w:hAnsi="宋体" w:cs="宋体"/>
          <w:color w:val="000000"/>
          <w:kern w:val="0"/>
          <w:szCs w:val="21"/>
          <w:highlight w:val="none"/>
          <w:u w:val="single"/>
          <w:lang w:eastAsia="zh-CN"/>
        </w:rPr>
        <w:t>（</w:t>
      </w:r>
      <w:r>
        <w:rPr>
          <w:rFonts w:hint="eastAsia" w:ascii="宋体" w:hAnsi="宋体" w:cs="宋体"/>
          <w:color w:val="000000"/>
          <w:kern w:val="0"/>
          <w:szCs w:val="21"/>
          <w:highlight w:val="none"/>
          <w:u w:val="single"/>
          <w:lang w:val="en-US" w:eastAsia="zh-CN"/>
        </w:rPr>
        <w:t>9</w:t>
      </w:r>
      <w:r>
        <w:rPr>
          <w:rFonts w:hint="eastAsia" w:ascii="宋体" w:hAnsi="宋体" w:cs="宋体"/>
          <w:color w:val="000000"/>
          <w:kern w:val="0"/>
          <w:szCs w:val="21"/>
          <w:highlight w:val="none"/>
          <w:u w:val="single"/>
          <w:lang w:eastAsia="zh-CN"/>
        </w:rPr>
        <w:t>）</w:t>
      </w:r>
      <w:r>
        <w:rPr>
          <w:rFonts w:hint="eastAsia" w:ascii="宋体" w:hAnsi="宋体" w:cs="宋体"/>
          <w:color w:val="000000"/>
          <w:kern w:val="0"/>
          <w:szCs w:val="21"/>
          <w:highlight w:val="none"/>
          <w:u w:val="single"/>
        </w:rPr>
        <w:t>资格审查前，</w:t>
      </w:r>
      <w:r>
        <w:rPr>
          <w:rFonts w:hint="eastAsia" w:ascii="宋体" w:hAnsi="宋体" w:cs="宋体"/>
          <w:color w:val="000000"/>
          <w:szCs w:val="24"/>
          <w:highlight w:val="none"/>
          <w:u w:val="single"/>
        </w:rPr>
        <w:t>投标人（含联合体各方）须在广州市住房和城乡建设局建立企业信用档案，拟担任本工程</w:t>
      </w:r>
      <w:r>
        <w:rPr>
          <w:rFonts w:hint="eastAsia" w:ascii="宋体" w:hAnsi="宋体" w:cs="宋体"/>
          <w:color w:val="000000"/>
          <w:szCs w:val="24"/>
          <w:highlight w:val="none"/>
          <w:u w:val="single"/>
          <w:lang w:eastAsia="zh-CN"/>
        </w:rPr>
        <w:t>项目负责人</w:t>
      </w:r>
      <w:r>
        <w:rPr>
          <w:rFonts w:hint="eastAsia" w:ascii="宋体" w:hAnsi="宋体" w:cs="宋体"/>
          <w:color w:val="000000"/>
          <w:szCs w:val="24"/>
          <w:highlight w:val="none"/>
          <w:u w:val="single"/>
        </w:rPr>
        <w:t>、</w:t>
      </w:r>
      <w:r>
        <w:rPr>
          <w:rFonts w:hint="eastAsia" w:ascii="宋体" w:hAnsi="宋体" w:cs="宋体"/>
          <w:color w:val="000000"/>
          <w:szCs w:val="24"/>
          <w:highlight w:val="none"/>
          <w:u w:val="single"/>
          <w:lang w:eastAsia="zh-CN"/>
        </w:rPr>
        <w:t>技术负责人、</w:t>
      </w:r>
      <w:r>
        <w:rPr>
          <w:rFonts w:hint="eastAsia" w:ascii="宋体" w:hAnsi="宋体" w:cs="宋体"/>
          <w:color w:val="000000"/>
          <w:szCs w:val="24"/>
          <w:highlight w:val="none"/>
          <w:u w:val="single"/>
        </w:rPr>
        <w:t>专职安全员须是本企业信用档案中的在册人员</w:t>
      </w:r>
      <w:r>
        <w:rPr>
          <w:color w:val="000000"/>
          <w:highlight w:val="none"/>
          <w:u w:val="single"/>
        </w:rPr>
        <w:t>信用档案</w:t>
      </w:r>
      <w:r>
        <w:rPr>
          <w:rFonts w:hint="eastAsia" w:ascii="宋体" w:hAnsi="宋体" w:cs="宋体"/>
          <w:color w:val="000000"/>
          <w:szCs w:val="24"/>
          <w:highlight w:val="none"/>
          <w:u w:val="single"/>
        </w:rPr>
        <w:t>；</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3、工程实施方案</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szCs w:val="24"/>
          <w:highlight w:val="none"/>
          <w:u w:val="single"/>
        </w:rPr>
        <w:t>4、参与编制设计施工部分投标文件人员名单</w:t>
      </w:r>
      <w:r>
        <w:rPr>
          <w:rFonts w:hint="eastAsia" w:ascii="宋体" w:hAnsi="宋体" w:cs="宋体"/>
          <w:color w:val="000000"/>
          <w:kern w:val="0"/>
          <w:szCs w:val="21"/>
          <w:highlight w:val="none"/>
          <w:u w:val="single"/>
        </w:rPr>
        <w:t>（格式见后附件）；</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kern w:val="0"/>
          <w:szCs w:val="21"/>
          <w:highlight w:val="none"/>
          <w:u w:val="single"/>
        </w:rPr>
        <w:t>5、投标人认为需要提交的其它文件。</w:t>
      </w:r>
    </w:p>
    <w:p>
      <w:pPr>
        <w:spacing w:line="400" w:lineRule="exact"/>
        <w:ind w:firstLine="422" w:firstLineChars="200"/>
        <w:rPr>
          <w:rFonts w:ascii="宋体" w:hAnsi="宋体" w:cs="宋体"/>
          <w:b/>
          <w:bCs/>
          <w:color w:val="000000"/>
          <w:szCs w:val="24"/>
          <w:highlight w:val="none"/>
          <w:u w:val="single"/>
        </w:rPr>
      </w:pPr>
      <w:r>
        <w:rPr>
          <w:rFonts w:hint="eastAsia" w:ascii="宋体" w:hAnsi="宋体" w:cs="宋体"/>
          <w:b/>
          <w:bCs/>
          <w:color w:val="000000"/>
          <w:szCs w:val="24"/>
          <w:highlight w:val="none"/>
          <w:u w:val="single"/>
        </w:rPr>
        <w:t>3.1.3经济标投标文件主要包括下列内容（除注明原件外，均为扫描件即可）:</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1、经济标投标书</w:t>
      </w:r>
      <w:r>
        <w:rPr>
          <w:rFonts w:hint="eastAsia" w:ascii="宋体" w:hAnsi="宋体" w:cs="宋体"/>
          <w:color w:val="000000"/>
          <w:kern w:val="0"/>
          <w:szCs w:val="21"/>
          <w:highlight w:val="none"/>
          <w:u w:val="single"/>
        </w:rPr>
        <w:t>（格式见后附件）</w:t>
      </w:r>
      <w:r>
        <w:rPr>
          <w:rFonts w:hint="eastAsia" w:ascii="宋体" w:hAnsi="宋体" w:cs="宋体"/>
          <w:color w:val="000000"/>
          <w:szCs w:val="24"/>
          <w:highlight w:val="none"/>
          <w:u w:val="single"/>
        </w:rPr>
        <w:t>。</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2、报价表。</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3、按照招标文件要求填写的《参与编制经济标投标文件人员名单》；</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4、若投标人的投标报价低于工程成本警戒价的，投标人还须提供详细的施工组织设计、单价、措施性费用、单价分析表、主要材料价格表、投标人成本分析供评标委员会评审；</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5、</w:t>
      </w:r>
      <w:r>
        <w:rPr>
          <w:rFonts w:hint="eastAsia" w:ascii="宋体" w:hAnsi="宋体" w:cs="宋体"/>
          <w:color w:val="000000"/>
          <w:kern w:val="0"/>
          <w:szCs w:val="21"/>
          <w:highlight w:val="none"/>
          <w:u w:val="single"/>
        </w:rPr>
        <w:t>投标人认为需要提交的其它文件。</w:t>
      </w:r>
    </w:p>
    <w:p>
      <w:pPr>
        <w:spacing w:line="400" w:lineRule="exact"/>
        <w:ind w:firstLine="422" w:firstLineChars="200"/>
        <w:rPr>
          <w:rFonts w:ascii="宋体" w:hAnsi="宋体" w:cs="宋体"/>
          <w:b/>
          <w:color w:val="000000"/>
          <w:szCs w:val="21"/>
          <w:highlight w:val="none"/>
          <w:u w:val="single"/>
        </w:rPr>
      </w:pPr>
      <w:r>
        <w:rPr>
          <w:rFonts w:hint="eastAsia" w:ascii="宋体" w:hAnsi="宋体" w:cs="宋体"/>
          <w:b/>
          <w:color w:val="000000"/>
          <w:szCs w:val="21"/>
          <w:highlight w:val="none"/>
          <w:u w:val="single"/>
        </w:rPr>
        <w:t>3.1.4定标文件主要包括下列内容：</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1、投标人（联合体各方）的企业单位介绍；</w:t>
      </w:r>
    </w:p>
    <w:p>
      <w:pPr>
        <w:spacing w:line="400" w:lineRule="exact"/>
        <w:ind w:firstLine="420" w:firstLineChars="200"/>
        <w:rPr>
          <w:rFonts w:ascii="宋体" w:hAnsi="宋体" w:cs="宋体"/>
          <w:b/>
          <w:color w:val="000000"/>
          <w:szCs w:val="21"/>
          <w:highlight w:val="none"/>
          <w:u w:val="single"/>
        </w:rPr>
      </w:pPr>
      <w:r>
        <w:rPr>
          <w:rFonts w:hint="eastAsia" w:ascii="宋体" w:hAnsi="宋体" w:cs="宋体"/>
          <w:color w:val="000000"/>
          <w:szCs w:val="24"/>
          <w:highlight w:val="none"/>
          <w:u w:val="single"/>
        </w:rPr>
        <w:t>2、投标人的方案文件（包括：工程实施方案</w:t>
      </w:r>
      <w:r>
        <w:rPr>
          <w:rFonts w:hint="eastAsia" w:ascii="宋体" w:hAnsi="宋体" w:cs="宋体"/>
          <w:color w:val="000000"/>
          <w:szCs w:val="24"/>
          <w:highlight w:val="none"/>
          <w:u w:val="single"/>
          <w:lang w:eastAsia="zh-CN"/>
        </w:rPr>
        <w:t>等</w:t>
      </w:r>
      <w:r>
        <w:rPr>
          <w:rFonts w:hint="eastAsia" w:ascii="宋体" w:hAnsi="宋体" w:cs="宋体"/>
          <w:color w:val="000000"/>
          <w:szCs w:val="24"/>
          <w:highlight w:val="none"/>
          <w:u w:val="single"/>
        </w:rPr>
        <w:t>）；</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3、投标人的资信文件（包括：管理体系、第三方评价、业绩）；</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szCs w:val="24"/>
          <w:highlight w:val="none"/>
          <w:u w:val="single"/>
        </w:rPr>
        <w:t>4、</w:t>
      </w:r>
      <w:r>
        <w:rPr>
          <w:rFonts w:hint="eastAsia" w:ascii="宋体" w:hAnsi="宋体" w:cs="宋体"/>
          <w:color w:val="000000"/>
          <w:kern w:val="0"/>
          <w:szCs w:val="21"/>
          <w:highlight w:val="none"/>
          <w:u w:val="single"/>
        </w:rPr>
        <w:t>投标人认为需要提交的其它文件</w:t>
      </w:r>
      <w:r>
        <w:rPr>
          <w:rFonts w:hint="eastAsia" w:ascii="宋体" w:hAnsi="宋体" w:cs="宋体"/>
          <w:color w:val="000000"/>
          <w:szCs w:val="24"/>
          <w:highlight w:val="none"/>
          <w:u w:val="single"/>
        </w:rPr>
        <w:t>。</w:t>
      </w:r>
    </w:p>
    <w:p>
      <w:pPr>
        <w:pStyle w:val="5"/>
        <w:rPr>
          <w:rFonts w:hint="eastAsia" w:ascii="宋体" w:eastAsia="宋体" w:cs="宋体"/>
          <w:color w:val="auto"/>
          <w:highlight w:val="none"/>
        </w:rPr>
      </w:pPr>
      <w:bookmarkStart w:id="212" w:name="_Toc6982"/>
      <w:r>
        <w:rPr>
          <w:rFonts w:hint="eastAsia" w:ascii="宋体" w:eastAsia="宋体" w:cs="宋体"/>
          <w:color w:val="auto"/>
          <w:highlight w:val="none"/>
        </w:rPr>
        <w:t>3.2 投标报价</w:t>
      </w:r>
      <w:bookmarkEnd w:id="204"/>
      <w:bookmarkEnd w:id="205"/>
      <w:bookmarkEnd w:id="206"/>
      <w:bookmarkEnd w:id="207"/>
      <w:bookmarkEnd w:id="208"/>
      <w:bookmarkEnd w:id="209"/>
      <w:bookmarkEnd w:id="210"/>
      <w:bookmarkEnd w:id="211"/>
      <w:bookmarkEnd w:id="212"/>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3.2.1 </w:t>
      </w:r>
      <w:r>
        <w:rPr>
          <w:rFonts w:hint="eastAsia" w:ascii="宋体" w:hAnsi="宋体" w:cs="宋体"/>
          <w:color w:val="auto"/>
          <w:szCs w:val="21"/>
          <w:highlight w:val="none"/>
          <w:u w:val="single"/>
        </w:rPr>
        <w:t>本工程的投标报价方式见投标人须知前附表。</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 投标人应充分了解施工场地的位置、周边环境、道路、装卸、保管、安装限制以及影响投标报价的其他要素。投标人根据投标设计，结合市场情况进行投标报价。</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投标人在投标截止时间前修改投标函中的投标报价总额，应同时修改投标文件中的相应报价，投标报价总额为各分项金额之和。此修改须符合本章第4.3款的有关要求。</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3.2.4 招标人设有最高投标限价的，投标人的投标报价不得超过最高投标限价，最高投标限价或其计算方法在投标人须知前附表中载明，投标人的投标总报价或施工费或设计费超过上述最高投标限价的为无效投标。</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3.2.5 投标报价的其他要求见投标人须知前附表。</w:t>
      </w:r>
    </w:p>
    <w:p>
      <w:pPr>
        <w:pStyle w:val="5"/>
        <w:rPr>
          <w:rFonts w:hint="eastAsia" w:ascii="宋体" w:eastAsia="宋体" w:cs="宋体"/>
          <w:color w:val="auto"/>
          <w:highlight w:val="none"/>
        </w:rPr>
      </w:pPr>
      <w:bookmarkStart w:id="213" w:name="_Toc247513973"/>
      <w:bookmarkStart w:id="214" w:name="_Toc28879"/>
      <w:bookmarkStart w:id="215" w:name="_Toc3154"/>
      <w:bookmarkStart w:id="216" w:name="_Toc144974517"/>
      <w:bookmarkStart w:id="217" w:name="_Toc247527574"/>
      <w:bookmarkStart w:id="218" w:name="_Toc152045549"/>
      <w:bookmarkStart w:id="219" w:name="_Toc152042325"/>
      <w:bookmarkStart w:id="220" w:name="_Toc22759"/>
      <w:bookmarkStart w:id="221" w:name="_Toc13756"/>
      <w:r>
        <w:rPr>
          <w:rFonts w:hint="eastAsia" w:ascii="宋体" w:eastAsia="宋体" w:cs="宋体"/>
          <w:color w:val="auto"/>
          <w:highlight w:val="none"/>
        </w:rPr>
        <w:t>3.3 投标有效期</w:t>
      </w:r>
      <w:bookmarkEnd w:id="213"/>
      <w:bookmarkEnd w:id="214"/>
      <w:bookmarkEnd w:id="215"/>
      <w:bookmarkEnd w:id="216"/>
      <w:bookmarkEnd w:id="217"/>
      <w:bookmarkEnd w:id="218"/>
      <w:bookmarkEnd w:id="219"/>
      <w:bookmarkEnd w:id="220"/>
      <w:bookmarkEnd w:id="221"/>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color w:val="auto"/>
          <w:kern w:val="1"/>
          <w:highlight w:val="none"/>
        </w:rPr>
        <w:t>投标有效期按</w:t>
      </w:r>
      <w:r>
        <w:rPr>
          <w:rFonts w:hint="eastAsia" w:ascii="宋体" w:hAnsi="宋体" w:cs="宋体"/>
          <w:color w:val="auto"/>
          <w:szCs w:val="21"/>
          <w:highlight w:val="none"/>
        </w:rPr>
        <w:t>投标人须知前附表的规定。</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 在投标有效期内，投标人撤销或修改其投标文件的，应承担招标文件和法律规定的责任。</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3.3.3 出现特殊情况需要延长投标有效期的，招标人以书面形式通知所有投标人延长投标有效期。投标人同意延长的，应相应延长其投标保证</w:t>
      </w:r>
      <w:r>
        <w:rPr>
          <w:rFonts w:hint="eastAsia" w:ascii="宋体" w:hAnsi="宋体" w:cs="宋体"/>
          <w:color w:val="auto"/>
          <w:highlight w:val="none"/>
        </w:rPr>
        <w:t>金的有效期，但不得要求或被允许修改或撤销其投标文件；投标人拒绝延长的，其投标失效，但投标人有权收回其投标保证金。</w:t>
      </w:r>
    </w:p>
    <w:p>
      <w:pPr>
        <w:pStyle w:val="5"/>
        <w:rPr>
          <w:rFonts w:hint="eastAsia" w:ascii="宋体" w:eastAsia="宋体" w:cs="宋体"/>
          <w:color w:val="auto"/>
          <w:highlight w:val="none"/>
        </w:rPr>
      </w:pPr>
      <w:bookmarkStart w:id="222" w:name="_Toc247527575"/>
      <w:bookmarkStart w:id="223" w:name="_Toc247513974"/>
      <w:bookmarkStart w:id="224" w:name="_Toc152042326"/>
      <w:bookmarkStart w:id="225" w:name="_Toc152045550"/>
      <w:bookmarkStart w:id="226" w:name="_Toc144974518"/>
      <w:bookmarkStart w:id="227" w:name="_Toc18959"/>
      <w:bookmarkStart w:id="228" w:name="_Toc25482"/>
      <w:bookmarkStart w:id="229" w:name="_Toc28235"/>
      <w:bookmarkStart w:id="230" w:name="_Toc3076"/>
      <w:r>
        <w:rPr>
          <w:rFonts w:hint="eastAsia" w:ascii="宋体" w:eastAsia="宋体" w:cs="宋体"/>
          <w:color w:val="auto"/>
          <w:highlight w:val="none"/>
        </w:rPr>
        <w:t xml:space="preserve">3.4 </w:t>
      </w:r>
      <w:bookmarkEnd w:id="222"/>
      <w:bookmarkEnd w:id="223"/>
      <w:bookmarkEnd w:id="224"/>
      <w:bookmarkEnd w:id="225"/>
      <w:bookmarkEnd w:id="226"/>
      <w:bookmarkEnd w:id="227"/>
      <w:r>
        <w:rPr>
          <w:rFonts w:hint="eastAsia" w:ascii="宋体" w:eastAsia="宋体" w:cs="宋体"/>
          <w:color w:val="auto"/>
          <w:highlight w:val="none"/>
        </w:rPr>
        <w:t>投标保证金</w:t>
      </w:r>
      <w:bookmarkEnd w:id="228"/>
      <w:bookmarkEnd w:id="229"/>
      <w:bookmarkEnd w:id="230"/>
    </w:p>
    <w:p>
      <w:pPr>
        <w:widowControl/>
        <w:spacing w:line="400" w:lineRule="exact"/>
        <w:ind w:firstLine="420" w:firstLineChars="200"/>
        <w:jc w:val="left"/>
        <w:rPr>
          <w:rFonts w:hint="eastAsia" w:ascii="宋体" w:hAnsi="宋体" w:cs="宋体"/>
          <w:color w:val="auto"/>
          <w:highlight w:val="none"/>
          <w:u w:val="single"/>
        </w:rPr>
      </w:pPr>
      <w:bookmarkStart w:id="231" w:name="_Toc23531"/>
      <w:bookmarkStart w:id="232" w:name="_Toc144974520"/>
      <w:bookmarkStart w:id="233" w:name="_Toc247527577"/>
      <w:bookmarkStart w:id="234" w:name="_Toc152042328"/>
      <w:bookmarkStart w:id="235" w:name="_Toc152045552"/>
      <w:bookmarkStart w:id="236" w:name="_Toc247513976"/>
      <w:r>
        <w:rPr>
          <w:rFonts w:hint="eastAsia" w:ascii="宋体" w:hAnsi="宋体" w:cs="宋体"/>
          <w:color w:val="auto"/>
          <w:szCs w:val="21"/>
          <w:highlight w:val="none"/>
        </w:rPr>
        <w:t>本项目无需递交投标保证金。</w:t>
      </w:r>
    </w:p>
    <w:p>
      <w:pPr>
        <w:pStyle w:val="5"/>
        <w:rPr>
          <w:rFonts w:hint="eastAsia" w:ascii="宋体" w:eastAsia="宋体" w:cs="宋体"/>
          <w:color w:val="auto"/>
          <w:highlight w:val="none"/>
        </w:rPr>
      </w:pPr>
      <w:bookmarkStart w:id="237" w:name="_Toc20832"/>
      <w:bookmarkStart w:id="238" w:name="_Toc28184"/>
      <w:bookmarkStart w:id="239" w:name="_Toc19738"/>
      <w:r>
        <w:rPr>
          <w:rFonts w:hint="eastAsia" w:ascii="宋体" w:eastAsia="宋体" w:cs="宋体"/>
          <w:color w:val="auto"/>
          <w:highlight w:val="none"/>
        </w:rPr>
        <w:t>3.5 资格审查资料（适用于未进行资格预审的）</w:t>
      </w:r>
      <w:bookmarkEnd w:id="231"/>
      <w:bookmarkEnd w:id="232"/>
      <w:bookmarkEnd w:id="233"/>
      <w:bookmarkEnd w:id="234"/>
      <w:bookmarkEnd w:id="235"/>
      <w:bookmarkEnd w:id="236"/>
      <w:bookmarkEnd w:id="237"/>
      <w:bookmarkEnd w:id="238"/>
      <w:bookmarkEnd w:id="239"/>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kern w:val="1"/>
          <w:szCs w:val="21"/>
          <w:highlight w:val="none"/>
          <w:u w:val="single"/>
        </w:rPr>
        <w:t>资格审查资料应包含按照招标公告第3条“投标人资格要求”的所有资料，本项目</w:t>
      </w:r>
      <w:r>
        <w:rPr>
          <w:rFonts w:hint="eastAsia" w:ascii="宋体" w:hAnsi="宋体" w:cs="宋体"/>
          <w:color w:val="auto"/>
          <w:highlight w:val="none"/>
          <w:u w:val="single"/>
        </w:rPr>
        <w:t>采用电子化资格后审</w:t>
      </w:r>
      <w:bookmarkStart w:id="240" w:name="_Toc439246018"/>
      <w:bookmarkStart w:id="241" w:name="_Toc439240619"/>
      <w:bookmarkStart w:id="242" w:name="_Toc356469198"/>
      <w:bookmarkStart w:id="243" w:name="_Toc300834971"/>
      <w:bookmarkStart w:id="244" w:name="_Toc357089532"/>
      <w:r>
        <w:rPr>
          <w:rFonts w:hint="eastAsia" w:ascii="宋体" w:hAnsi="宋体" w:cs="宋体"/>
          <w:color w:val="auto"/>
          <w:highlight w:val="none"/>
          <w:u w:val="single"/>
        </w:rPr>
        <w:t>，由评标委员会负</w:t>
      </w:r>
      <w:bookmarkEnd w:id="240"/>
      <w:bookmarkEnd w:id="241"/>
      <w:bookmarkEnd w:id="242"/>
      <w:bookmarkEnd w:id="243"/>
      <w:bookmarkEnd w:id="244"/>
      <w:r>
        <w:rPr>
          <w:rFonts w:hint="eastAsia" w:ascii="宋体" w:hAnsi="宋体" w:cs="宋体"/>
          <w:color w:val="auto"/>
          <w:highlight w:val="none"/>
          <w:u w:val="single"/>
        </w:rPr>
        <w:t>责对投标人的资格进行审查，评标时只对通过资格审查的投标人进行下一阶段的评审。</w:t>
      </w:r>
    </w:p>
    <w:p>
      <w:pPr>
        <w:spacing w:line="400" w:lineRule="exact"/>
        <w:ind w:firstLine="422" w:firstLineChars="200"/>
        <w:rPr>
          <w:rFonts w:hint="eastAsia" w:ascii="宋体" w:hAnsi="宋体" w:cs="宋体"/>
          <w:strike/>
          <w:color w:val="auto"/>
          <w:highlight w:val="none"/>
        </w:rPr>
      </w:pPr>
      <w:r>
        <w:rPr>
          <w:rFonts w:hint="eastAsia" w:ascii="宋体" w:hAnsi="宋体" w:cs="宋体"/>
          <w:b/>
          <w:bCs/>
          <w:color w:val="auto"/>
          <w:szCs w:val="21"/>
          <w:highlight w:val="none"/>
          <w:u w:val="single"/>
        </w:rPr>
        <w:t>资审合格后，投标人的资格发生变化而不满足投标人合格条件，在发出中标通知书前，资格问题仍未解决的，招标人将取消其中标资格</w:t>
      </w:r>
      <w:r>
        <w:rPr>
          <w:rFonts w:hint="eastAsia" w:ascii="宋体" w:hAnsi="宋体" w:cs="宋体"/>
          <w:color w:val="auto"/>
          <w:szCs w:val="21"/>
          <w:highlight w:val="none"/>
          <w:u w:val="single"/>
        </w:rPr>
        <w:t>。</w:t>
      </w:r>
    </w:p>
    <w:p>
      <w:pPr>
        <w:pStyle w:val="5"/>
        <w:rPr>
          <w:rFonts w:hint="eastAsia" w:ascii="宋体" w:eastAsia="宋体" w:cs="宋体"/>
          <w:color w:val="auto"/>
          <w:highlight w:val="none"/>
        </w:rPr>
      </w:pPr>
      <w:bookmarkStart w:id="245" w:name="_Toc24386"/>
      <w:bookmarkStart w:id="246" w:name="_Toc152042329"/>
      <w:bookmarkStart w:id="247" w:name="_Toc1936"/>
      <w:bookmarkStart w:id="248" w:name="_Toc27554"/>
      <w:bookmarkStart w:id="249" w:name="_Toc144974521"/>
      <w:bookmarkStart w:id="250" w:name="_Toc247513977"/>
      <w:bookmarkStart w:id="251" w:name="_Toc25123"/>
      <w:bookmarkStart w:id="252" w:name="_Toc247527578"/>
      <w:bookmarkStart w:id="253" w:name="_Toc152045553"/>
      <w:r>
        <w:rPr>
          <w:rFonts w:hint="eastAsia" w:ascii="宋体" w:eastAsia="宋体" w:cs="宋体"/>
          <w:color w:val="auto"/>
          <w:highlight w:val="none"/>
        </w:rPr>
        <w:t>3.6 备选投标方案</w:t>
      </w:r>
      <w:bookmarkEnd w:id="245"/>
      <w:bookmarkEnd w:id="246"/>
      <w:bookmarkEnd w:id="247"/>
      <w:bookmarkEnd w:id="248"/>
      <w:bookmarkEnd w:id="249"/>
      <w:bookmarkEnd w:id="250"/>
      <w:bookmarkEnd w:id="251"/>
      <w:bookmarkEnd w:id="252"/>
      <w:bookmarkEnd w:id="253"/>
    </w:p>
    <w:p>
      <w:pPr>
        <w:spacing w:line="400" w:lineRule="exact"/>
        <w:ind w:firstLine="420" w:firstLineChars="200"/>
        <w:rPr>
          <w:rFonts w:hint="eastAsia" w:ascii="宋体" w:hAnsi="宋体" w:cs="宋体"/>
          <w:strike/>
          <w:color w:val="auto"/>
          <w:highlight w:val="none"/>
        </w:rPr>
      </w:pPr>
      <w:r>
        <w:rPr>
          <w:rFonts w:hint="eastAsia" w:ascii="宋体" w:hAnsi="宋体" w:cs="宋体"/>
          <w:color w:val="auto"/>
          <w:highlight w:val="none"/>
        </w:rPr>
        <w:t>除投标人须知前附表另有规定外，投标人不得递交备选投标方案。</w:t>
      </w:r>
    </w:p>
    <w:p>
      <w:pPr>
        <w:pStyle w:val="5"/>
        <w:rPr>
          <w:rFonts w:hint="eastAsia" w:ascii="宋体" w:eastAsia="宋体" w:cs="宋体"/>
          <w:color w:val="auto"/>
          <w:highlight w:val="none"/>
        </w:rPr>
      </w:pPr>
      <w:bookmarkStart w:id="254" w:name="_Toc247527579"/>
      <w:bookmarkStart w:id="255" w:name="_Toc152045554"/>
      <w:bookmarkStart w:id="256" w:name="_Toc247513978"/>
      <w:bookmarkStart w:id="257" w:name="_Toc9916"/>
      <w:bookmarkStart w:id="258" w:name="_Toc144974522"/>
      <w:bookmarkStart w:id="259" w:name="_Toc11046"/>
      <w:bookmarkStart w:id="260" w:name="_Toc152042330"/>
      <w:bookmarkStart w:id="261" w:name="_Toc22289"/>
      <w:bookmarkStart w:id="262" w:name="_Toc15348"/>
      <w:r>
        <w:rPr>
          <w:rFonts w:hint="eastAsia" w:ascii="宋体" w:eastAsia="宋体" w:cs="宋体"/>
          <w:color w:val="auto"/>
          <w:highlight w:val="none"/>
        </w:rPr>
        <w:t>3.7 投标文件</w:t>
      </w:r>
      <w:r>
        <w:rPr>
          <w:rFonts w:hint="eastAsia" w:ascii="宋体" w:hAnsi="宋体" w:eastAsia="宋体" w:cs="宋体"/>
          <w:bCs/>
          <w:color w:val="auto"/>
          <w:highlight w:val="none"/>
        </w:rPr>
        <w:t>及</w:t>
      </w:r>
      <w:r>
        <w:rPr>
          <w:rFonts w:hint="eastAsia" w:ascii="宋体" w:hAnsi="宋体" w:eastAsia="宋体" w:cs="宋体"/>
          <w:bCs/>
          <w:color w:val="auto"/>
          <w:highlight w:val="none"/>
          <w:u w:val="single"/>
        </w:rPr>
        <w:t>定标文件</w:t>
      </w:r>
      <w:r>
        <w:rPr>
          <w:rFonts w:hint="eastAsia" w:ascii="宋体" w:hAnsi="宋体" w:eastAsia="宋体" w:cs="宋体"/>
          <w:bCs/>
          <w:color w:val="auto"/>
          <w:highlight w:val="none"/>
        </w:rPr>
        <w:t>的编</w:t>
      </w:r>
      <w:r>
        <w:rPr>
          <w:rFonts w:hint="eastAsia" w:ascii="宋体" w:eastAsia="宋体" w:cs="宋体"/>
          <w:color w:val="auto"/>
          <w:highlight w:val="none"/>
        </w:rPr>
        <w:t>制</w:t>
      </w:r>
      <w:bookmarkEnd w:id="254"/>
      <w:bookmarkEnd w:id="255"/>
      <w:bookmarkEnd w:id="256"/>
      <w:bookmarkEnd w:id="257"/>
      <w:bookmarkEnd w:id="258"/>
      <w:bookmarkEnd w:id="259"/>
      <w:bookmarkEnd w:id="260"/>
      <w:bookmarkEnd w:id="261"/>
      <w:bookmarkEnd w:id="262"/>
    </w:p>
    <w:p>
      <w:pPr>
        <w:spacing w:line="400" w:lineRule="exact"/>
        <w:ind w:firstLine="420" w:firstLineChars="200"/>
        <w:rPr>
          <w:rFonts w:hint="eastAsia" w:ascii="宋体" w:hAnsi="宋体" w:cs="宋体"/>
          <w:color w:val="000000"/>
          <w:szCs w:val="24"/>
          <w:highlight w:val="none"/>
        </w:rPr>
      </w:pPr>
      <w:r>
        <w:rPr>
          <w:rFonts w:hint="eastAsia" w:ascii="宋体" w:hAnsi="宋体" w:cs="宋体"/>
          <w:color w:val="auto"/>
          <w:highlight w:val="none"/>
        </w:rPr>
        <w:t>3.7.1 投标文件应按第七章“投标文件格式”</w:t>
      </w:r>
      <w:r>
        <w:rPr>
          <w:rFonts w:hint="eastAsia" w:ascii="宋体" w:hAnsi="宋体" w:cs="宋体"/>
          <w:color w:val="000000"/>
          <w:szCs w:val="24"/>
          <w:highlight w:val="none"/>
          <w:u w:val="single"/>
        </w:rPr>
        <w:t>有提供格式要求的投标文件应其按进行编写盖电子签章</w:t>
      </w:r>
      <w:r>
        <w:rPr>
          <w:rFonts w:hint="eastAsia" w:ascii="宋体" w:hAnsi="宋体" w:cs="宋体"/>
          <w:color w:val="000000"/>
          <w:szCs w:val="24"/>
          <w:highlight w:val="none"/>
        </w:rPr>
        <w:t>，如有必要，可以增加附页，作为投标文件的组成部分。其中，投标书在满足招标文件实质性要求的基础上，可以提出比招标文件要求更有利于招标人的承诺。</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招标范围、投标有效期、工期、质量标准、招标人要求等实质性内容作出响应。</w:t>
      </w:r>
    </w:p>
    <w:p>
      <w:pPr>
        <w:spacing w:line="400" w:lineRule="exact"/>
        <w:ind w:firstLine="420" w:firstLineChars="200"/>
        <w:rPr>
          <w:rFonts w:ascii="宋体" w:hAnsi="宋体" w:cs="宋体"/>
          <w:color w:val="000000"/>
          <w:szCs w:val="24"/>
          <w:highlight w:val="none"/>
        </w:rPr>
      </w:pPr>
      <w:r>
        <w:rPr>
          <w:rFonts w:hint="eastAsia" w:ascii="宋体" w:hAnsi="宋体" w:cs="宋体"/>
          <w:color w:val="auto"/>
          <w:highlight w:val="none"/>
        </w:rPr>
        <w:t xml:space="preserve">3.7.3 </w:t>
      </w:r>
      <w:r>
        <w:rPr>
          <w:rFonts w:hint="eastAsia" w:ascii="宋体" w:hAnsi="宋体" w:cs="宋体"/>
          <w:color w:val="000000"/>
          <w:szCs w:val="24"/>
          <w:highlight w:val="none"/>
        </w:rPr>
        <w:t>3.7.3投标文件及定标文件编制要求：</w:t>
      </w:r>
    </w:p>
    <w:p>
      <w:pPr>
        <w:spacing w:line="400" w:lineRule="exact"/>
        <w:ind w:firstLine="420" w:firstLineChars="200"/>
        <w:rPr>
          <w:rFonts w:ascii="宋体" w:hAnsi="宋体" w:cs="宋体"/>
          <w:color w:val="000000"/>
          <w:sz w:val="24"/>
          <w:highlight w:val="none"/>
          <w:u w:val="single"/>
        </w:rPr>
      </w:pPr>
      <w:r>
        <w:rPr>
          <w:rFonts w:hint="eastAsia" w:ascii="宋体" w:hAnsi="宋体" w:cs="宋体"/>
          <w:color w:val="000000"/>
          <w:szCs w:val="24"/>
          <w:highlight w:val="none"/>
          <w:u w:val="single"/>
        </w:rPr>
        <w:t>（1）投标文件及定标文件须分别编制。</w:t>
      </w:r>
    </w:p>
    <w:p>
      <w:pPr>
        <w:tabs>
          <w:tab w:val="left" w:pos="1125"/>
        </w:tabs>
        <w:spacing w:line="360" w:lineRule="auto"/>
        <w:ind w:firstLine="420" w:firstLineChars="200"/>
        <w:rPr>
          <w:rFonts w:ascii="宋体" w:hAnsi="宋体" w:cs="宋体"/>
          <w:color w:val="000000"/>
          <w:sz w:val="24"/>
          <w:szCs w:val="24"/>
          <w:highlight w:val="none"/>
        </w:rPr>
      </w:pPr>
      <w:r>
        <w:rPr>
          <w:rFonts w:hint="eastAsia" w:ascii="宋体" w:hAnsi="宋体" w:cs="宋体"/>
          <w:color w:val="000000"/>
          <w:szCs w:val="24"/>
          <w:highlight w:val="none"/>
          <w:u w:val="single"/>
        </w:rPr>
        <w:t>（2）投标文件全部采用电子文档，投标文件应按广州公共资源交易中心平台相关操作指南编制。投标文件所附证书证件均为原件扫描件，并采用单位数字证书，按招标文件要求在相应位置加盖电子印章。投标文件中需个人签字或盖章的，应加盖个人电子印章或在线下完成后扫描上传</w:t>
      </w:r>
      <w:r>
        <w:rPr>
          <w:rFonts w:hint="eastAsia" w:ascii="仿宋" w:hAnsi="仿宋" w:eastAsia="仿宋" w:cs="宋体"/>
          <w:b/>
          <w:color w:val="000000"/>
          <w:kern w:val="0"/>
          <w:sz w:val="22"/>
          <w:highlight w:val="none"/>
          <w:u w:val="single"/>
        </w:rPr>
        <w:t>。</w:t>
      </w:r>
      <w:r>
        <w:rPr>
          <w:rFonts w:hint="eastAsia" w:ascii="宋体" w:hAnsi="宋体" w:cs="宋体"/>
          <w:color w:val="000000"/>
          <w:szCs w:val="24"/>
          <w:highlight w:val="none"/>
          <w:u w:val="single"/>
        </w:rPr>
        <w:t>具体操作详见交易平台相关操作指南。联合体投标的，除投标文件中的联合体协议书需联合体各方盖章、签字外，投标文件其他内容中的“投标人”、“声明企业”应填写联合体各方的单位全称，但由主办方盖章、签字即可。</w:t>
      </w:r>
    </w:p>
    <w:p>
      <w:pPr>
        <w:spacing w:line="360" w:lineRule="auto"/>
        <w:ind w:firstLine="422" w:firstLineChars="200"/>
        <w:rPr>
          <w:rFonts w:ascii="宋体" w:hAnsi="宋体"/>
          <w:color w:val="000000"/>
          <w:highlight w:val="none"/>
          <w:u w:val="single"/>
        </w:rPr>
      </w:pPr>
      <w:r>
        <w:rPr>
          <w:rFonts w:hint="eastAsia" w:ascii="宋体" w:hAnsi="宋体"/>
          <w:b/>
          <w:color w:val="000000"/>
          <w:szCs w:val="21"/>
          <w:highlight w:val="none"/>
          <w:u w:val="single"/>
        </w:rPr>
        <w:t>联合体投标的，</w:t>
      </w:r>
      <w:r>
        <w:rPr>
          <w:rFonts w:hint="eastAsia" w:ascii="宋体" w:hAnsi="宋体"/>
          <w:b/>
          <w:color w:val="000000"/>
          <w:highlight w:val="none"/>
          <w:u w:val="single"/>
        </w:rPr>
        <w:t>投标文件中的联合体协议书需联合体各方盖章，投标文件其他内容中的“投标人”应填写联合体各方的单位全称</w:t>
      </w:r>
      <w:r>
        <w:rPr>
          <w:rFonts w:hint="eastAsia" w:ascii="宋体" w:hAnsi="宋体" w:cs="宋体"/>
          <w:b/>
          <w:color w:val="000000"/>
          <w:szCs w:val="24"/>
          <w:highlight w:val="none"/>
          <w:u w:val="single"/>
        </w:rPr>
        <w:t>[格式为：（主）XXXX 公司（成）XXXX 公司]</w:t>
      </w:r>
      <w:r>
        <w:rPr>
          <w:rFonts w:hint="eastAsia" w:ascii="宋体" w:hAnsi="宋体"/>
          <w:b/>
          <w:color w:val="000000"/>
          <w:highlight w:val="none"/>
          <w:u w:val="single"/>
        </w:rPr>
        <w:t>，由主办方盖章、签字（含设计施工部分（含资格审查文件）投标文件及经济标投标文件及定标文件</w:t>
      </w:r>
      <w:r>
        <w:rPr>
          <w:rFonts w:hint="eastAsia" w:ascii="宋体" w:hAnsi="宋体"/>
          <w:b/>
          <w:bCs/>
          <w:color w:val="000000"/>
          <w:szCs w:val="21"/>
          <w:highlight w:val="none"/>
          <w:u w:val="single"/>
        </w:rPr>
        <w:t>盖章）。</w:t>
      </w:r>
    </w:p>
    <w:p>
      <w:pPr>
        <w:pStyle w:val="4"/>
        <w:rPr>
          <w:rFonts w:hint="eastAsia" w:ascii="宋体" w:hAnsi="宋体" w:eastAsia="宋体" w:cs="宋体"/>
          <w:color w:val="auto"/>
          <w:highlight w:val="none"/>
        </w:rPr>
      </w:pPr>
      <w:bookmarkStart w:id="263" w:name="_Toc16074"/>
      <w:bookmarkStart w:id="264" w:name="_Toc8327"/>
      <w:bookmarkStart w:id="265" w:name="_Toc247513979"/>
      <w:bookmarkStart w:id="266" w:name="_Toc247527580"/>
      <w:bookmarkStart w:id="267" w:name="_Toc164"/>
      <w:bookmarkStart w:id="268" w:name="_Toc144974523"/>
      <w:bookmarkStart w:id="269" w:name="_Toc7143"/>
      <w:bookmarkStart w:id="270" w:name="_Toc152045555"/>
      <w:bookmarkStart w:id="271" w:name="_Toc152042331"/>
      <w:r>
        <w:rPr>
          <w:rFonts w:hint="eastAsia" w:ascii="宋体" w:hAnsi="宋体" w:eastAsia="宋体" w:cs="宋体"/>
          <w:color w:val="auto"/>
          <w:highlight w:val="none"/>
        </w:rPr>
        <w:t>4. 投标</w:t>
      </w:r>
      <w:bookmarkEnd w:id="263"/>
      <w:bookmarkEnd w:id="264"/>
      <w:bookmarkEnd w:id="265"/>
      <w:bookmarkEnd w:id="266"/>
      <w:bookmarkEnd w:id="267"/>
      <w:bookmarkEnd w:id="268"/>
      <w:bookmarkEnd w:id="269"/>
      <w:bookmarkEnd w:id="270"/>
      <w:bookmarkEnd w:id="271"/>
    </w:p>
    <w:p>
      <w:pPr>
        <w:pStyle w:val="5"/>
        <w:rPr>
          <w:rFonts w:hint="eastAsia" w:ascii="宋体" w:eastAsia="宋体" w:cs="宋体"/>
          <w:color w:val="auto"/>
          <w:highlight w:val="none"/>
        </w:rPr>
      </w:pPr>
      <w:bookmarkStart w:id="272" w:name="_Toc144974524"/>
      <w:bookmarkStart w:id="273" w:name="_Toc152045556"/>
      <w:bookmarkStart w:id="274" w:name="_Toc18766"/>
      <w:bookmarkStart w:id="275" w:name="_Toc14613"/>
      <w:bookmarkStart w:id="276" w:name="_Toc247513980"/>
      <w:bookmarkStart w:id="277" w:name="_Toc17494"/>
      <w:bookmarkStart w:id="278" w:name="_Toc18262"/>
      <w:bookmarkStart w:id="279" w:name="_Toc152042332"/>
      <w:bookmarkStart w:id="280" w:name="_Toc247527581"/>
      <w:r>
        <w:rPr>
          <w:rFonts w:hint="eastAsia" w:ascii="宋体" w:eastAsia="宋体" w:cs="宋体"/>
          <w:color w:val="auto"/>
          <w:highlight w:val="none"/>
        </w:rPr>
        <w:t>4.1 投标文件的密封和标记</w:t>
      </w:r>
      <w:bookmarkEnd w:id="272"/>
      <w:bookmarkEnd w:id="273"/>
      <w:bookmarkEnd w:id="274"/>
      <w:bookmarkEnd w:id="275"/>
      <w:bookmarkEnd w:id="276"/>
      <w:bookmarkEnd w:id="277"/>
      <w:bookmarkEnd w:id="278"/>
      <w:bookmarkEnd w:id="279"/>
      <w:bookmarkEnd w:id="280"/>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4.1.1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当</w:t>
      </w:r>
      <w:r>
        <w:rPr>
          <w:rFonts w:hint="eastAsia" w:ascii="宋体" w:hAnsi="宋体" w:cs="宋体"/>
          <w:color w:val="auto"/>
          <w:spacing w:val="-2"/>
          <w:szCs w:val="21"/>
          <w:highlight w:val="none"/>
          <w:u w:val="single"/>
        </w:rPr>
        <w:t>按</w:t>
      </w:r>
      <w:r>
        <w:rPr>
          <w:rFonts w:hint="eastAsia" w:ascii="宋体" w:hAnsi="宋体" w:cs="宋体"/>
          <w:color w:val="auto"/>
          <w:szCs w:val="21"/>
          <w:highlight w:val="none"/>
          <w:u w:val="single"/>
        </w:rPr>
        <w:t>照招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和</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标交</w:t>
      </w:r>
      <w:r>
        <w:rPr>
          <w:rFonts w:hint="eastAsia" w:ascii="宋体" w:hAnsi="宋体" w:cs="宋体"/>
          <w:color w:val="auto"/>
          <w:spacing w:val="-2"/>
          <w:szCs w:val="21"/>
          <w:highlight w:val="none"/>
          <w:u w:val="single"/>
        </w:rPr>
        <w:t>易</w:t>
      </w:r>
      <w:r>
        <w:rPr>
          <w:rFonts w:hint="eastAsia" w:ascii="宋体" w:hAnsi="宋体" w:cs="宋体"/>
          <w:color w:val="auto"/>
          <w:szCs w:val="21"/>
          <w:highlight w:val="none"/>
          <w:u w:val="single"/>
        </w:rPr>
        <w:t>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要</w:t>
      </w:r>
      <w:r>
        <w:rPr>
          <w:rFonts w:hint="eastAsia" w:ascii="宋体" w:hAnsi="宋体" w:cs="宋体"/>
          <w:color w:val="auto"/>
          <w:szCs w:val="21"/>
          <w:highlight w:val="none"/>
          <w:u w:val="single"/>
        </w:rPr>
        <w:t>求</w:t>
      </w:r>
      <w:r>
        <w:rPr>
          <w:rFonts w:hint="eastAsia" w:ascii="宋体" w:hAnsi="宋体" w:cs="宋体"/>
          <w:color w:val="auto"/>
          <w:spacing w:val="-2"/>
          <w:szCs w:val="21"/>
          <w:highlight w:val="none"/>
          <w:u w:val="single"/>
        </w:rPr>
        <w:t>加</w:t>
      </w:r>
      <w:r>
        <w:rPr>
          <w:rFonts w:hint="eastAsia" w:ascii="宋体" w:hAnsi="宋体" w:cs="宋体"/>
          <w:color w:val="auto"/>
          <w:szCs w:val="21"/>
          <w:highlight w:val="none"/>
          <w:u w:val="single"/>
        </w:rPr>
        <w:t>密</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kern w:val="1"/>
          <w:highlight w:val="none"/>
          <w:u w:val="single"/>
        </w:rPr>
        <w:t>具体要求见投标人须知前附表</w:t>
      </w:r>
      <w:r>
        <w:rPr>
          <w:rFonts w:hint="eastAsia" w:ascii="宋体" w:hAnsi="宋体" w:cs="宋体"/>
          <w:color w:val="auto"/>
          <w:highlight w:val="none"/>
        </w:rPr>
        <w:t>。</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4.1.2 </w:t>
      </w:r>
      <w:r>
        <w:rPr>
          <w:rFonts w:hint="eastAsia" w:ascii="宋体" w:hAnsi="宋体" w:cs="宋体"/>
          <w:color w:val="auto"/>
          <w:kern w:val="1"/>
          <w:highlight w:val="none"/>
          <w:u w:val="single"/>
        </w:rPr>
        <w:t>如有提交备用电子投标文件，封套上应写明的内容见投标人须知前附表</w:t>
      </w:r>
      <w:r>
        <w:rPr>
          <w:rFonts w:hint="eastAsia" w:ascii="宋体" w:hAnsi="宋体" w:cs="宋体"/>
          <w:color w:val="auto"/>
          <w:highlight w:val="none"/>
        </w:rPr>
        <w:t>。</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4.1.3 </w:t>
      </w:r>
      <w:r>
        <w:rPr>
          <w:rFonts w:ascii="宋体" w:hAnsi="宋体" w:cs="宋体"/>
          <w:color w:val="auto"/>
          <w:kern w:val="1"/>
          <w:highlight w:val="none"/>
          <w:u w:val="single"/>
        </w:rPr>
        <w:t>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r>
        <w:rPr>
          <w:rFonts w:hint="eastAsia" w:ascii="宋体" w:hAnsi="宋体" w:cs="宋体"/>
          <w:color w:val="auto"/>
          <w:highlight w:val="none"/>
        </w:rPr>
        <w:t>。</w:t>
      </w:r>
    </w:p>
    <w:p>
      <w:pPr>
        <w:pStyle w:val="5"/>
        <w:rPr>
          <w:rFonts w:hint="eastAsia" w:ascii="宋体" w:eastAsia="宋体" w:cs="宋体"/>
          <w:color w:val="auto"/>
          <w:highlight w:val="none"/>
        </w:rPr>
      </w:pPr>
      <w:bookmarkStart w:id="281" w:name="_Toc152042333"/>
      <w:bookmarkStart w:id="282" w:name="_Toc3388"/>
      <w:bookmarkStart w:id="283" w:name="_Toc247527582"/>
      <w:bookmarkStart w:id="284" w:name="_Toc1927"/>
      <w:bookmarkStart w:id="285" w:name="_Toc17901"/>
      <w:bookmarkStart w:id="286" w:name="_Toc152045557"/>
      <w:bookmarkStart w:id="287" w:name="_Toc247513981"/>
      <w:bookmarkStart w:id="288" w:name="_Toc144974525"/>
      <w:bookmarkStart w:id="289" w:name="_Toc2898"/>
      <w:r>
        <w:rPr>
          <w:rFonts w:hint="eastAsia" w:ascii="宋体" w:eastAsia="宋体" w:cs="宋体"/>
          <w:color w:val="auto"/>
          <w:highlight w:val="none"/>
        </w:rPr>
        <w:t>4.2 投标文件的递交</w:t>
      </w:r>
      <w:bookmarkEnd w:id="281"/>
      <w:bookmarkEnd w:id="282"/>
      <w:bookmarkEnd w:id="283"/>
      <w:bookmarkEnd w:id="284"/>
      <w:bookmarkEnd w:id="285"/>
      <w:bookmarkEnd w:id="286"/>
      <w:bookmarkEnd w:id="287"/>
      <w:bookmarkEnd w:id="288"/>
      <w:bookmarkEnd w:id="289"/>
    </w:p>
    <w:p>
      <w:pPr>
        <w:spacing w:line="400" w:lineRule="exact"/>
        <w:ind w:firstLine="420" w:firstLineChars="200"/>
        <w:rPr>
          <w:rFonts w:ascii="宋体" w:hAnsi="宋体" w:cs="宋体"/>
          <w:color w:val="000000"/>
          <w:szCs w:val="24"/>
          <w:highlight w:val="none"/>
        </w:rPr>
      </w:pPr>
      <w:r>
        <w:rPr>
          <w:rFonts w:hint="eastAsia" w:ascii="宋体" w:hAnsi="宋体" w:cs="宋体"/>
          <w:color w:val="auto"/>
          <w:highlight w:val="none"/>
        </w:rPr>
        <w:t>4.2.1 投标人应在投标人须知前附表</w:t>
      </w:r>
      <w:r>
        <w:rPr>
          <w:rFonts w:hint="eastAsia" w:ascii="宋体" w:hAnsi="宋体" w:cs="宋体"/>
          <w:color w:val="000000"/>
          <w:szCs w:val="24"/>
          <w:highlight w:val="none"/>
        </w:rPr>
        <w:t>所规定的时间和地点向招标人提交投标文件及定标文件。</w:t>
      </w:r>
    </w:p>
    <w:p>
      <w:pPr>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投标人代表应由投标人法定代表人或法定代表人书面授权的委托代理人担任。法定代表人应凭本人身份证和法定代表人证明书原件（格式按第</w:t>
      </w:r>
      <w:r>
        <w:rPr>
          <w:rFonts w:hint="eastAsia" w:ascii="宋体" w:hAnsi="宋体" w:cs="宋体"/>
          <w:color w:val="000000"/>
          <w:szCs w:val="24"/>
          <w:highlight w:val="none"/>
          <w:u w:val="single"/>
          <w:lang w:eastAsia="zh-CN"/>
        </w:rPr>
        <w:t>七</w:t>
      </w:r>
      <w:r>
        <w:rPr>
          <w:rFonts w:hint="eastAsia" w:ascii="宋体" w:hAnsi="宋体" w:cs="宋体"/>
          <w:color w:val="000000"/>
          <w:szCs w:val="24"/>
          <w:highlight w:val="none"/>
        </w:rPr>
        <w:t>章）</w:t>
      </w:r>
      <w:r>
        <w:rPr>
          <w:rFonts w:hint="eastAsia" w:ascii="宋体" w:hAnsi="宋体" w:cs="宋体"/>
          <w:bCs/>
          <w:color w:val="000000"/>
          <w:szCs w:val="24"/>
          <w:highlight w:val="none"/>
        </w:rPr>
        <w:t>提交</w:t>
      </w:r>
      <w:r>
        <w:rPr>
          <w:rFonts w:hint="eastAsia" w:ascii="宋体" w:hAnsi="宋体" w:cs="宋体"/>
          <w:color w:val="000000"/>
          <w:szCs w:val="24"/>
          <w:highlight w:val="none"/>
        </w:rPr>
        <w:t>投标文件。委托代理人应凭本人身份证、法定代表人证明书原件和法定代表人授权委托证明书原件（格式按第</w:t>
      </w:r>
      <w:r>
        <w:rPr>
          <w:rFonts w:hint="eastAsia" w:ascii="宋体" w:hAnsi="宋体" w:cs="宋体"/>
          <w:color w:val="000000"/>
          <w:szCs w:val="24"/>
          <w:highlight w:val="none"/>
          <w:u w:val="single"/>
          <w:lang w:eastAsia="zh-CN"/>
        </w:rPr>
        <w:t>七</w:t>
      </w:r>
      <w:r>
        <w:rPr>
          <w:rFonts w:hint="eastAsia" w:ascii="宋体" w:hAnsi="宋体" w:cs="宋体"/>
          <w:color w:val="000000"/>
          <w:szCs w:val="24"/>
          <w:highlight w:val="none"/>
        </w:rPr>
        <w:t>章）</w:t>
      </w:r>
      <w:r>
        <w:rPr>
          <w:rFonts w:hint="eastAsia" w:ascii="宋体" w:hAnsi="宋体" w:cs="宋体"/>
          <w:bCs/>
          <w:color w:val="000000"/>
          <w:szCs w:val="24"/>
          <w:highlight w:val="none"/>
        </w:rPr>
        <w:t>提交</w:t>
      </w:r>
      <w:r>
        <w:rPr>
          <w:rFonts w:hint="eastAsia" w:ascii="宋体" w:hAnsi="宋体" w:cs="宋体"/>
          <w:color w:val="000000"/>
          <w:szCs w:val="24"/>
          <w:highlight w:val="none"/>
        </w:rPr>
        <w:t>投标文件。</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4.2.2投标人通过下载招标文件的广州交易集团有限公司（广州公共资源交易中心）电子招标投标交易平台递交电子投标文件。</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4.2.3投标人完成电子投标文件上传后，电子招标投标交易平台即时向投标人发出递交回执通知。递交时间以递交回执通知载明的传输完成时间为准。</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4.2.4 </w:t>
      </w:r>
      <w:r>
        <w:rPr>
          <w:rFonts w:hint="eastAsia" w:ascii="宋体" w:hAnsi="宋体" w:cs="宋体"/>
          <w:b/>
          <w:bCs/>
          <w:color w:val="auto"/>
          <w:highlight w:val="none"/>
          <w:u w:val="single"/>
        </w:rPr>
        <w:t>逾期送达的投标文件，电子招标投标交易平台将予以拒收。</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4"/>
          <w:highlight w:val="none"/>
        </w:rPr>
        <w:t>4.2.</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到投标截止时间止，若收到的投标文件</w:t>
      </w:r>
      <w:r>
        <w:rPr>
          <w:rFonts w:hint="eastAsia" w:ascii="宋体" w:hAnsi="宋体" w:cs="宋体"/>
          <w:color w:val="000000"/>
          <w:szCs w:val="24"/>
          <w:highlight w:val="none"/>
          <w:u w:val="single"/>
        </w:rPr>
        <w:t>和定标文件</w:t>
      </w:r>
      <w:r>
        <w:rPr>
          <w:rFonts w:hint="eastAsia" w:ascii="宋体" w:hAnsi="宋体" w:cs="宋体"/>
          <w:color w:val="000000"/>
          <w:szCs w:val="24"/>
          <w:highlight w:val="none"/>
        </w:rPr>
        <w:t>少于3家的，则招标失败，将依法重新招标</w:t>
      </w:r>
      <w:r>
        <w:rPr>
          <w:rFonts w:hint="eastAsia" w:ascii="宋体" w:hAnsi="宋体" w:cs="宋体"/>
          <w:color w:val="000000"/>
          <w:szCs w:val="21"/>
          <w:highlight w:val="none"/>
        </w:rPr>
        <w:t>。</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4.2.5 到投标截止时间止，若电子招标投标交易平台收到的投标文件少于3家的，本项目招标失败，将依法重新招标。</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4.2.6 提示：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pPr>
        <w:pStyle w:val="16"/>
        <w:rPr>
          <w:rFonts w:hint="eastAsia"/>
          <w:highlight w:val="none"/>
        </w:rPr>
      </w:pPr>
    </w:p>
    <w:p>
      <w:pPr>
        <w:pStyle w:val="5"/>
        <w:rPr>
          <w:rFonts w:hint="eastAsia" w:ascii="宋体" w:eastAsia="宋体" w:cs="宋体"/>
          <w:color w:val="auto"/>
          <w:highlight w:val="none"/>
        </w:rPr>
      </w:pPr>
      <w:bookmarkStart w:id="290" w:name="_Toc152045558"/>
      <w:bookmarkStart w:id="291" w:name="_Toc23264"/>
      <w:bookmarkStart w:id="292" w:name="_Toc6549"/>
      <w:bookmarkStart w:id="293" w:name="_Toc144974526"/>
      <w:bookmarkStart w:id="294" w:name="_Toc152042334"/>
      <w:bookmarkStart w:id="295" w:name="_Toc12043"/>
      <w:bookmarkStart w:id="296" w:name="_Toc247513982"/>
      <w:bookmarkStart w:id="297" w:name="_Toc21450"/>
      <w:bookmarkStart w:id="298" w:name="_Toc247527583"/>
      <w:r>
        <w:rPr>
          <w:rFonts w:hint="eastAsia" w:ascii="宋体" w:eastAsia="宋体" w:cs="宋体"/>
          <w:color w:val="auto"/>
          <w:highlight w:val="none"/>
        </w:rPr>
        <w:t>4.3 投标文件的修改与撤回</w:t>
      </w:r>
      <w:bookmarkEnd w:id="290"/>
      <w:bookmarkEnd w:id="291"/>
      <w:bookmarkEnd w:id="292"/>
      <w:bookmarkEnd w:id="293"/>
      <w:bookmarkEnd w:id="294"/>
      <w:bookmarkEnd w:id="295"/>
      <w:bookmarkEnd w:id="296"/>
      <w:bookmarkEnd w:id="297"/>
      <w:bookmarkEnd w:id="298"/>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4.3.1 在投标人须知前附表第4.2.1项规定的投标截止时间前，投标人可以修改或撤回已递交的投标文件，但需在交易平台发出撤回通知。</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4.3.2 投标人修改或撤回已递交投标文件的通知，应按照本章第 3.7.3项的要求加盖电子印章。电子招标投标交易平台收到通知后，即时向投标人发出确认回执通知。</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4.3.3 投标人撤回投标文件的，招标人自收到投标人撤回通知之日起 5 日内退还已收取的投标保证金。</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 3 条、第 4 条的规定进行编制和递交。</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4.3.5 在投标截止时间之后，投标人不得补充、修改和更换投标文件。</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4.3.6 在投标截止后，投标人在投标文件格式中规定的有效期终止日前，投标人不能撤回投标文件，否则招标人有权就其撤回行为报告政府主管部门载入不良信用记录。</w:t>
      </w:r>
    </w:p>
    <w:p>
      <w:pPr>
        <w:pStyle w:val="5"/>
        <w:rPr>
          <w:rFonts w:hint="eastAsia" w:ascii="宋体" w:eastAsia="宋体" w:cs="宋体"/>
          <w:color w:val="auto"/>
          <w:highlight w:val="none"/>
        </w:rPr>
      </w:pPr>
      <w:bookmarkStart w:id="299" w:name="_Toc18247"/>
      <w:bookmarkStart w:id="300" w:name="_Toc11878"/>
      <w:bookmarkStart w:id="301" w:name="_Toc6659"/>
      <w:r>
        <w:rPr>
          <w:rFonts w:hint="eastAsia" w:ascii="宋体" w:eastAsia="宋体" w:cs="宋体"/>
          <w:color w:val="auto"/>
          <w:highlight w:val="none"/>
          <w:lang w:val="zh-CN"/>
        </w:rPr>
        <w:t>4.4 投标信息录入</w:t>
      </w:r>
      <w:bookmarkEnd w:id="299"/>
      <w:bookmarkEnd w:id="300"/>
      <w:bookmarkEnd w:id="301"/>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4.4.1 投标人应在上传电子投标文件前将广州交易集团有限公司（广州公共资源交易中心）交易服务系统要求的相关信息在广州交易集团有限公司（广州公共资源交易中心）交易服务系统中录入完毕。</w:t>
      </w:r>
    </w:p>
    <w:p>
      <w:pPr>
        <w:pStyle w:val="5"/>
        <w:rPr>
          <w:rFonts w:hint="eastAsia" w:ascii="宋体" w:eastAsia="宋体" w:cs="宋体"/>
          <w:color w:val="auto"/>
          <w:highlight w:val="none"/>
          <w:lang w:val="zh-CN"/>
        </w:rPr>
      </w:pPr>
      <w:bookmarkStart w:id="302" w:name="_Toc23758"/>
      <w:bookmarkStart w:id="303" w:name="_Toc10620"/>
      <w:bookmarkStart w:id="304" w:name="_Toc853"/>
      <w:r>
        <w:rPr>
          <w:rFonts w:hint="eastAsia" w:ascii="宋体" w:eastAsia="宋体" w:cs="宋体"/>
          <w:color w:val="auto"/>
          <w:highlight w:val="none"/>
          <w:lang w:val="zh-CN"/>
        </w:rPr>
        <w:t>4.</w:t>
      </w:r>
      <w:r>
        <w:rPr>
          <w:rFonts w:hint="eastAsia" w:ascii="宋体" w:eastAsia="宋体" w:cs="宋体"/>
          <w:color w:val="auto"/>
          <w:highlight w:val="none"/>
        </w:rPr>
        <w:t>5</w:t>
      </w:r>
      <w:r>
        <w:rPr>
          <w:rFonts w:hint="eastAsia" w:ascii="宋体" w:eastAsia="宋体" w:cs="宋体"/>
          <w:color w:val="auto"/>
          <w:highlight w:val="none"/>
          <w:lang w:val="zh-CN"/>
        </w:rPr>
        <w:t xml:space="preserve"> 投标文件的解密</w:t>
      </w:r>
      <w:bookmarkEnd w:id="302"/>
      <w:bookmarkEnd w:id="303"/>
      <w:bookmarkEnd w:id="304"/>
    </w:p>
    <w:p>
      <w:pPr>
        <w:spacing w:line="400" w:lineRule="exact"/>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4.5.1 投标人必须在投标人须知前附表规定的时间内完成电子投标文件解密。</w:t>
      </w:r>
      <w:r>
        <w:rPr>
          <w:rFonts w:hint="eastAsia" w:ascii="宋体" w:hAnsi="宋体" w:cs="宋体"/>
          <w:b/>
          <w:bCs/>
          <w:color w:val="auto"/>
          <w:highlight w:val="none"/>
          <w:lang w:val="zh-CN"/>
        </w:rPr>
        <w:t>超过时间未解密的投标文件将作为放弃投标处理。</w:t>
      </w:r>
    </w:p>
    <w:p>
      <w:pPr>
        <w:spacing w:line="400" w:lineRule="exact"/>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4.5.2 电子投标文件解密应按照广州公共资源交易平台关于</w:t>
      </w:r>
      <w:r>
        <w:rPr>
          <w:rFonts w:hint="eastAsia" w:ascii="宋体" w:hAnsi="宋体" w:cs="宋体"/>
          <w:b/>
          <w:bCs/>
          <w:color w:val="auto"/>
          <w:highlight w:val="none"/>
          <w:lang w:val="zh-CN"/>
        </w:rPr>
        <w:t>全流程电子化项目</w:t>
      </w:r>
      <w:r>
        <w:rPr>
          <w:rFonts w:hint="eastAsia" w:ascii="宋体" w:hAnsi="宋体" w:cs="宋体"/>
          <w:color w:val="auto"/>
          <w:highlight w:val="none"/>
          <w:lang w:val="zh-CN"/>
        </w:rPr>
        <w:t>的相关指南进行操作。</w:t>
      </w:r>
    </w:p>
    <w:p>
      <w:pPr>
        <w:pStyle w:val="4"/>
        <w:rPr>
          <w:rFonts w:hint="eastAsia" w:ascii="宋体" w:hAnsi="宋体" w:eastAsia="宋体" w:cs="宋体"/>
          <w:color w:val="auto"/>
          <w:highlight w:val="none"/>
        </w:rPr>
      </w:pPr>
      <w:bookmarkStart w:id="305" w:name="_Toc2095"/>
      <w:bookmarkStart w:id="306" w:name="_Toc6688"/>
      <w:bookmarkStart w:id="307" w:name="_Toc32757"/>
      <w:bookmarkStart w:id="308" w:name="_Toc152042335"/>
      <w:bookmarkStart w:id="309" w:name="_Toc247527584"/>
      <w:bookmarkStart w:id="310" w:name="_Toc152045559"/>
      <w:bookmarkStart w:id="311" w:name="_Toc247513983"/>
      <w:bookmarkStart w:id="312" w:name="_Toc144974527"/>
      <w:bookmarkStart w:id="313" w:name="_Toc11640"/>
      <w:r>
        <w:rPr>
          <w:rFonts w:hint="eastAsia" w:ascii="宋体" w:hAnsi="宋体" w:eastAsia="宋体" w:cs="宋体"/>
          <w:color w:val="auto"/>
          <w:highlight w:val="none"/>
        </w:rPr>
        <w:t>5. 开标</w:t>
      </w:r>
      <w:bookmarkEnd w:id="305"/>
      <w:bookmarkEnd w:id="306"/>
      <w:bookmarkEnd w:id="307"/>
      <w:bookmarkEnd w:id="308"/>
      <w:bookmarkEnd w:id="309"/>
      <w:bookmarkEnd w:id="310"/>
      <w:bookmarkEnd w:id="311"/>
      <w:bookmarkEnd w:id="312"/>
      <w:bookmarkEnd w:id="313"/>
    </w:p>
    <w:p>
      <w:pPr>
        <w:pStyle w:val="5"/>
        <w:rPr>
          <w:rFonts w:hint="eastAsia" w:ascii="宋体" w:eastAsia="宋体" w:cs="宋体"/>
          <w:color w:val="auto"/>
          <w:highlight w:val="none"/>
        </w:rPr>
      </w:pPr>
      <w:bookmarkStart w:id="314" w:name="_Toc152045560"/>
      <w:bookmarkStart w:id="315" w:name="_Toc20062"/>
      <w:bookmarkStart w:id="316" w:name="_Toc2125"/>
      <w:bookmarkStart w:id="317" w:name="_Toc16458"/>
      <w:bookmarkStart w:id="318" w:name="_Toc247513984"/>
      <w:bookmarkStart w:id="319" w:name="_Toc3691"/>
      <w:bookmarkStart w:id="320" w:name="_Toc144974528"/>
      <w:bookmarkStart w:id="321" w:name="_Toc152042336"/>
      <w:bookmarkStart w:id="322" w:name="_Toc247527585"/>
      <w:r>
        <w:rPr>
          <w:rFonts w:hint="eastAsia" w:ascii="宋体" w:eastAsia="宋体" w:cs="宋体"/>
          <w:color w:val="auto"/>
          <w:highlight w:val="none"/>
        </w:rPr>
        <w:t>5.1 开标时间和地点</w:t>
      </w:r>
      <w:bookmarkEnd w:id="314"/>
      <w:bookmarkEnd w:id="315"/>
      <w:bookmarkEnd w:id="316"/>
      <w:bookmarkEnd w:id="317"/>
      <w:bookmarkEnd w:id="318"/>
      <w:bookmarkEnd w:id="319"/>
      <w:bookmarkEnd w:id="320"/>
      <w:bookmarkEnd w:id="321"/>
      <w:bookmarkEnd w:id="322"/>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u w:val="single"/>
        </w:rPr>
        <w:t>招标人在本章第4.2.1项规定的投标截止时间（开标时间），通过广州交易集团有限公司（广州公共资源交易中心）交易平台公开开标。投标人（法定代表人或其委托代理人）可自行决定是否参加开标。投标人不参加的，视为认可开标过程及结果</w:t>
      </w:r>
      <w:r>
        <w:rPr>
          <w:rFonts w:hint="eastAsia" w:ascii="宋体" w:hAnsi="宋体" w:cs="宋体"/>
          <w:color w:val="auto"/>
          <w:highlight w:val="none"/>
        </w:rPr>
        <w:t>。</w:t>
      </w:r>
    </w:p>
    <w:p>
      <w:pPr>
        <w:pStyle w:val="5"/>
        <w:rPr>
          <w:rFonts w:hint="eastAsia" w:ascii="宋体" w:eastAsia="宋体" w:cs="宋体"/>
          <w:color w:val="auto"/>
          <w:highlight w:val="none"/>
        </w:rPr>
      </w:pPr>
      <w:bookmarkStart w:id="323" w:name="_Toc247513985"/>
      <w:bookmarkStart w:id="324" w:name="_Toc32490"/>
      <w:bookmarkStart w:id="325" w:name="_Toc144974529"/>
      <w:bookmarkStart w:id="326" w:name="_Toc15528"/>
      <w:bookmarkStart w:id="327" w:name="_Toc152042337"/>
      <w:bookmarkStart w:id="328" w:name="_Toc19643"/>
      <w:bookmarkStart w:id="329" w:name="_Toc247527586"/>
      <w:bookmarkStart w:id="330" w:name="_Toc15952"/>
      <w:bookmarkStart w:id="331" w:name="_Toc152045561"/>
      <w:r>
        <w:rPr>
          <w:rFonts w:hint="eastAsia" w:ascii="宋体" w:eastAsia="宋体" w:cs="宋体"/>
          <w:color w:val="auto"/>
          <w:highlight w:val="none"/>
        </w:rPr>
        <w:t>5.2 开标程序</w:t>
      </w:r>
      <w:bookmarkEnd w:id="323"/>
      <w:bookmarkEnd w:id="324"/>
      <w:bookmarkEnd w:id="325"/>
      <w:bookmarkEnd w:id="326"/>
      <w:bookmarkEnd w:id="327"/>
      <w:bookmarkEnd w:id="328"/>
      <w:bookmarkEnd w:id="329"/>
      <w:bookmarkEnd w:id="330"/>
      <w:bookmarkEnd w:id="331"/>
    </w:p>
    <w:p>
      <w:pPr>
        <w:snapToGrid w:val="0"/>
        <w:spacing w:line="360" w:lineRule="auto"/>
        <w:ind w:firstLine="420" w:firstLineChars="200"/>
        <w:rPr>
          <w:rFonts w:hint="eastAsia" w:ascii="新宋体" w:hAnsi="新宋体" w:eastAsia="新宋体" w:cs="新宋体"/>
          <w:color w:val="auto"/>
          <w:szCs w:val="21"/>
          <w:highlight w:val="none"/>
          <w:u w:val="single"/>
        </w:rPr>
      </w:pPr>
      <w:bookmarkStart w:id="332" w:name="_Toc27275"/>
      <w:r>
        <w:rPr>
          <w:rFonts w:hint="eastAsia" w:ascii="新宋体" w:hAnsi="新宋体" w:eastAsia="新宋体" w:cs="新宋体"/>
          <w:color w:val="auto"/>
          <w:szCs w:val="21"/>
          <w:highlight w:val="none"/>
          <w:u w:val="single"/>
        </w:rPr>
        <w:t>主持人按下列程序进行开标：</w:t>
      </w:r>
    </w:p>
    <w:p>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（1）宣布开标纪律；</w:t>
      </w:r>
    </w:p>
    <w:p>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（2）公布在投标截止时间前递交投标文件的投标人名称；</w:t>
      </w:r>
    </w:p>
    <w:p>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（3）</w:t>
      </w:r>
      <w:r>
        <w:rPr>
          <w:rFonts w:hint="eastAsia" w:ascii="新宋体" w:hAnsi="新宋体" w:eastAsia="新宋体" w:cs="新宋体"/>
          <w:b/>
          <w:bCs/>
          <w:color w:val="auto"/>
          <w:szCs w:val="21"/>
          <w:highlight w:val="none"/>
          <w:u w:val="single"/>
        </w:rPr>
        <w:t>在投标截止时间后半小时内</w:t>
      </w:r>
      <w:r>
        <w:rPr>
          <w:rFonts w:hint="eastAsia" w:ascii="新宋体" w:hAnsi="新宋体" w:eastAsia="新宋体" w:cs="新宋体"/>
          <w:color w:val="auto"/>
          <w:szCs w:val="21"/>
          <w:highlight w:val="none"/>
          <w:u w:val="single"/>
        </w:rPr>
        <w:t>，投标人通过递交投标文件的交易平台对已递交的电子投标文件进行解密。投标人完成解密后，再由招标人进行解密。</w:t>
      </w:r>
    </w:p>
    <w:p>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4）解密完成后，公布：a投标人名称；b投标文件递交情况；c投标文件解密情况；d项目负责人(兼施工负责人)、设计负责人、专职安全员；e投标报价（含设计报价和施工报价）；f工期；g投标人的加密打包投标文件电脑机器特征码等主要内容，并记录在案。未在规定时间内解密的投标文件不参与开标、评标。</w:t>
      </w:r>
    </w:p>
    <w:p>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（5）截标后，开标开始时间因故推迟的，相关评标信息仍以原定的开标开始时间的信息为准。</w:t>
      </w:r>
    </w:p>
    <w:p>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（7）开标时，两个（含两个）以上的投标人加密打包投标文件电脑机器特征码一致的，不参与下一程序，并由评标委员会否决其投标。</w:t>
      </w:r>
    </w:p>
    <w:p>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（8）投标人代表、招标人代表、监标人、记录人等有关人员在开标记录上签字确认；若有关人员不签字的，不影响开标程序；</w:t>
      </w:r>
    </w:p>
    <w:p>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（9）开标结束。</w:t>
      </w:r>
    </w:p>
    <w:p>
      <w:pPr>
        <w:pStyle w:val="5"/>
        <w:rPr>
          <w:rFonts w:hint="eastAsia" w:ascii="宋体" w:eastAsia="宋体" w:cs="宋体"/>
          <w:color w:val="auto"/>
          <w:highlight w:val="none"/>
        </w:rPr>
      </w:pPr>
      <w:bookmarkStart w:id="333" w:name="_Toc7959"/>
      <w:bookmarkStart w:id="334" w:name="_Toc9568"/>
      <w:bookmarkStart w:id="335" w:name="_Toc5292"/>
      <w:r>
        <w:rPr>
          <w:rFonts w:hint="eastAsia" w:ascii="宋体" w:eastAsia="宋体" w:cs="宋体"/>
          <w:color w:val="auto"/>
          <w:highlight w:val="none"/>
        </w:rPr>
        <w:t>5.3 开标异议</w:t>
      </w:r>
      <w:bookmarkEnd w:id="332"/>
      <w:bookmarkEnd w:id="333"/>
      <w:bookmarkEnd w:id="334"/>
      <w:bookmarkEnd w:id="335"/>
    </w:p>
    <w:p>
      <w:pPr>
        <w:spacing w:line="400" w:lineRule="exact"/>
        <w:ind w:firstLine="359" w:firstLineChars="171"/>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5.3.1参加现场开标的投标人对开标结果有异议的，应当在开标现场提出，同时出示本人身份证原件，招标人应当当场作出答复，并制作记录。参加在线开标的投标人对开标结果有异议的，应当在唱标结束后的规定时间内通过广州交易集团有限公司（广州公共资源交易中心）交易平台在线提出。招标人授权招标代理机构工作人员通过交易平台答复，答复后方可结束开标。</w:t>
      </w:r>
    </w:p>
    <w:p>
      <w:pPr>
        <w:spacing w:line="400" w:lineRule="exact"/>
        <w:ind w:firstLine="359" w:firstLineChars="171"/>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5.3.2投标人未参加开标或在规定的时间内未提出异议的，视为对开标无异议。</w:t>
      </w:r>
      <w:bookmarkStart w:id="336" w:name="_Toc152042338"/>
      <w:bookmarkStart w:id="337" w:name="_Toc247513986"/>
      <w:bookmarkStart w:id="338" w:name="_Toc144974530"/>
      <w:bookmarkStart w:id="339" w:name="_Toc152045562"/>
      <w:bookmarkStart w:id="340" w:name="_Toc18405"/>
      <w:bookmarkStart w:id="341" w:name="_Toc247527587"/>
    </w:p>
    <w:p>
      <w:pPr>
        <w:pStyle w:val="4"/>
        <w:keepNext w:val="0"/>
        <w:spacing w:line="416" w:lineRule="auto"/>
        <w:rPr>
          <w:rFonts w:hint="eastAsia" w:ascii="宋体" w:hAnsi="宋体" w:eastAsia="宋体" w:cs="宋体"/>
          <w:color w:val="auto"/>
          <w:highlight w:val="none"/>
        </w:rPr>
      </w:pPr>
      <w:bookmarkStart w:id="342" w:name="_Toc5620"/>
      <w:bookmarkStart w:id="343" w:name="_Toc20495"/>
      <w:bookmarkStart w:id="344" w:name="_Toc9856"/>
      <w:r>
        <w:rPr>
          <w:rFonts w:hint="eastAsia" w:ascii="宋体" w:hAnsi="宋体" w:eastAsia="宋体" w:cs="宋体"/>
          <w:color w:val="auto"/>
          <w:highlight w:val="none"/>
        </w:rPr>
        <w:t>6.评标</w:t>
      </w:r>
      <w:bookmarkEnd w:id="336"/>
      <w:bookmarkEnd w:id="337"/>
      <w:bookmarkEnd w:id="338"/>
      <w:bookmarkEnd w:id="339"/>
      <w:bookmarkEnd w:id="340"/>
      <w:bookmarkEnd w:id="341"/>
      <w:bookmarkEnd w:id="342"/>
      <w:bookmarkEnd w:id="343"/>
      <w:bookmarkEnd w:id="344"/>
      <w:bookmarkStart w:id="345" w:name="_Toc247513987"/>
      <w:bookmarkStart w:id="346" w:name="_Toc152045563"/>
      <w:bookmarkStart w:id="347" w:name="_Toc144974531"/>
      <w:bookmarkStart w:id="348" w:name="_Toc19178"/>
      <w:bookmarkStart w:id="349" w:name="_Toc152042339"/>
      <w:bookmarkStart w:id="350" w:name="_Toc247527588"/>
    </w:p>
    <w:p>
      <w:pPr>
        <w:pStyle w:val="5"/>
        <w:keepNext w:val="0"/>
        <w:spacing w:line="416" w:lineRule="auto"/>
        <w:rPr>
          <w:rFonts w:hint="eastAsia" w:ascii="宋体" w:eastAsia="宋体" w:cs="宋体"/>
          <w:color w:val="auto"/>
          <w:highlight w:val="none"/>
        </w:rPr>
      </w:pPr>
      <w:bookmarkStart w:id="351" w:name="_Toc24630"/>
      <w:bookmarkStart w:id="352" w:name="_Toc24996"/>
      <w:bookmarkStart w:id="353" w:name="_Toc3414"/>
      <w:r>
        <w:rPr>
          <w:rFonts w:hint="eastAsia" w:ascii="宋体" w:eastAsia="宋体" w:cs="宋体"/>
          <w:color w:val="auto"/>
          <w:highlight w:val="none"/>
        </w:rPr>
        <w:t>6.1 评标委员会</w:t>
      </w:r>
      <w:bookmarkEnd w:id="345"/>
      <w:bookmarkEnd w:id="346"/>
      <w:bookmarkEnd w:id="347"/>
      <w:bookmarkEnd w:id="348"/>
      <w:bookmarkEnd w:id="349"/>
      <w:bookmarkEnd w:id="350"/>
      <w:bookmarkEnd w:id="351"/>
      <w:bookmarkEnd w:id="352"/>
      <w:bookmarkEnd w:id="353"/>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6.1.1 </w:t>
      </w:r>
      <w:r>
        <w:rPr>
          <w:rFonts w:hint="eastAsia" w:ascii="宋体" w:hAnsi="宋体" w:cs="宋体"/>
          <w:color w:val="auto"/>
          <w:highlight w:val="none"/>
          <w:u w:val="single"/>
        </w:rPr>
        <w:t>评标由招标人依法组建的评标委员会负责。</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6.1.2 评标委员会成员有下列情形之一的，应当回避：</w:t>
      </w:r>
    </w:p>
    <w:p>
      <w:pPr>
        <w:spacing w:line="400" w:lineRule="exact"/>
        <w:ind w:firstLine="718" w:firstLineChars="342"/>
        <w:rPr>
          <w:rFonts w:hint="eastAsia" w:ascii="宋体" w:hAnsi="宋体" w:cs="宋体"/>
          <w:color w:val="auto"/>
          <w:highlight w:val="none"/>
        </w:rPr>
      </w:pPr>
      <w:r>
        <w:rPr>
          <w:rFonts w:hint="eastAsia" w:ascii="宋体" w:hAnsi="宋体" w:cs="宋体"/>
          <w:color w:val="auto"/>
          <w:highlight w:val="none"/>
        </w:rPr>
        <w:t>（1）投标人或投标人主要负责人的近亲属；</w:t>
      </w:r>
    </w:p>
    <w:p>
      <w:pPr>
        <w:spacing w:line="400" w:lineRule="exact"/>
        <w:ind w:firstLine="718" w:firstLineChars="342"/>
        <w:rPr>
          <w:rFonts w:hint="eastAsia" w:ascii="宋体" w:hAnsi="宋体" w:cs="宋体"/>
          <w:color w:val="auto"/>
          <w:highlight w:val="none"/>
        </w:rPr>
      </w:pPr>
      <w:r>
        <w:rPr>
          <w:rFonts w:hint="eastAsia" w:ascii="宋体" w:hAnsi="宋体" w:cs="宋体"/>
          <w:color w:val="auto"/>
          <w:highlight w:val="none"/>
        </w:rPr>
        <w:t>（2）项目主管部门或者行政监督部门的人员；</w:t>
      </w:r>
    </w:p>
    <w:p>
      <w:pPr>
        <w:spacing w:line="400" w:lineRule="exact"/>
        <w:ind w:firstLine="718" w:firstLineChars="342"/>
        <w:rPr>
          <w:rFonts w:hint="eastAsia" w:ascii="宋体" w:hAnsi="宋体" w:cs="宋体"/>
          <w:color w:val="auto"/>
          <w:highlight w:val="none"/>
        </w:rPr>
      </w:pPr>
      <w:r>
        <w:rPr>
          <w:rFonts w:hint="eastAsia" w:ascii="宋体" w:hAnsi="宋体" w:cs="宋体"/>
          <w:color w:val="auto"/>
          <w:highlight w:val="none"/>
        </w:rPr>
        <w:t>（3）与投标人有经济利益关系，可能影响对投标公正评审的；</w:t>
      </w:r>
    </w:p>
    <w:p>
      <w:pPr>
        <w:spacing w:line="400" w:lineRule="exact"/>
        <w:ind w:firstLine="718" w:firstLineChars="342"/>
        <w:rPr>
          <w:rFonts w:hint="eastAsia" w:ascii="宋体" w:hAnsi="宋体" w:cs="宋体"/>
          <w:color w:val="auto"/>
          <w:highlight w:val="none"/>
        </w:rPr>
      </w:pPr>
      <w:r>
        <w:rPr>
          <w:rFonts w:hint="eastAsia" w:ascii="宋体" w:hAnsi="宋体" w:cs="宋体"/>
          <w:color w:val="auto"/>
          <w:highlight w:val="none"/>
        </w:rPr>
        <w:t>（4）曾因在招标、评标以及其他与招标投标有关活动中从事违法行为而受过行政处罚或刑事处罚的；</w:t>
      </w:r>
    </w:p>
    <w:p>
      <w:pPr>
        <w:spacing w:line="400" w:lineRule="exact"/>
        <w:ind w:firstLine="718" w:firstLineChars="342"/>
        <w:rPr>
          <w:rFonts w:hint="eastAsia" w:ascii="宋体" w:hAnsi="宋体" w:cs="宋体"/>
          <w:color w:val="auto"/>
          <w:highlight w:val="none"/>
        </w:rPr>
      </w:pPr>
      <w:r>
        <w:rPr>
          <w:rFonts w:hint="eastAsia" w:ascii="宋体" w:hAnsi="宋体" w:cs="宋体"/>
          <w:color w:val="auto"/>
          <w:highlight w:val="none"/>
        </w:rPr>
        <w:t>（5）与投标人有其他利害关系。</w:t>
      </w:r>
    </w:p>
    <w:p>
      <w:pPr>
        <w:pStyle w:val="36"/>
        <w:rPr>
          <w:rFonts w:hint="eastAsia" w:ascii="宋体" w:hAnsi="宋体" w:cs="宋体"/>
          <w:color w:val="auto"/>
          <w:highlight w:val="none"/>
          <w:u w:val="single"/>
        </w:rPr>
      </w:pPr>
      <w:r>
        <w:rPr>
          <w:rFonts w:hint="eastAsia" w:ascii="宋体" w:hAnsi="宋体" w:cs="宋体"/>
          <w:color w:val="auto"/>
          <w:highlight w:val="none"/>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rPr>
          <w:rFonts w:hint="eastAsia" w:ascii="宋体" w:eastAsia="宋体" w:cs="宋体"/>
          <w:color w:val="auto"/>
          <w:highlight w:val="none"/>
        </w:rPr>
      </w:pPr>
      <w:bookmarkStart w:id="354" w:name="_Toc247527589"/>
      <w:bookmarkStart w:id="355" w:name="_Toc247513988"/>
      <w:bookmarkStart w:id="356" w:name="_Toc152042340"/>
      <w:bookmarkStart w:id="357" w:name="_Toc23050"/>
      <w:bookmarkStart w:id="358" w:name="_Toc29261"/>
      <w:bookmarkStart w:id="359" w:name="_Toc152045564"/>
      <w:bookmarkStart w:id="360" w:name="_Toc17813"/>
      <w:bookmarkStart w:id="361" w:name="_Toc144974532"/>
      <w:bookmarkStart w:id="362" w:name="_Toc24716"/>
      <w:r>
        <w:rPr>
          <w:rFonts w:hint="eastAsia" w:ascii="宋体" w:eastAsia="宋体" w:cs="宋体"/>
          <w:color w:val="auto"/>
          <w:highlight w:val="none"/>
        </w:rPr>
        <w:t>6.2 评标原则</w:t>
      </w:r>
      <w:bookmarkEnd w:id="354"/>
      <w:bookmarkEnd w:id="355"/>
      <w:bookmarkEnd w:id="356"/>
      <w:bookmarkEnd w:id="357"/>
      <w:bookmarkEnd w:id="358"/>
      <w:bookmarkEnd w:id="359"/>
      <w:bookmarkEnd w:id="360"/>
      <w:bookmarkEnd w:id="361"/>
      <w:bookmarkEnd w:id="362"/>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评标活动遵循公平、公正、科学和择优的原则。</w:t>
      </w:r>
    </w:p>
    <w:p>
      <w:pPr>
        <w:pStyle w:val="5"/>
        <w:rPr>
          <w:rFonts w:hint="eastAsia" w:ascii="宋体" w:eastAsia="宋体" w:cs="宋体"/>
          <w:color w:val="auto"/>
          <w:highlight w:val="none"/>
        </w:rPr>
      </w:pPr>
      <w:bookmarkStart w:id="363" w:name="_Toc152042341"/>
      <w:bookmarkStart w:id="364" w:name="_Toc32183"/>
      <w:bookmarkStart w:id="365" w:name="_Toc17480"/>
      <w:bookmarkStart w:id="366" w:name="_Toc247513989"/>
      <w:bookmarkStart w:id="367" w:name="_Toc247527590"/>
      <w:bookmarkStart w:id="368" w:name="_Toc152045565"/>
      <w:bookmarkStart w:id="369" w:name="_Toc144974533"/>
      <w:bookmarkStart w:id="370" w:name="_Toc9663"/>
      <w:bookmarkStart w:id="371" w:name="_Toc9606"/>
      <w:r>
        <w:rPr>
          <w:rFonts w:hint="eastAsia" w:ascii="宋体" w:eastAsia="宋体" w:cs="宋体"/>
          <w:color w:val="auto"/>
          <w:highlight w:val="none"/>
        </w:rPr>
        <w:t>6.3 评标</w:t>
      </w:r>
      <w:bookmarkEnd w:id="363"/>
      <w:bookmarkEnd w:id="364"/>
      <w:bookmarkEnd w:id="365"/>
      <w:bookmarkEnd w:id="366"/>
      <w:bookmarkEnd w:id="367"/>
      <w:bookmarkEnd w:id="368"/>
      <w:bookmarkEnd w:id="369"/>
      <w:bookmarkEnd w:id="370"/>
      <w:bookmarkEnd w:id="371"/>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6.3.1评标委员会按照第三章“评标办法”规定的方法、评审因素、标准和程序对投标文件进行评审。第三章“评标办法”没有规定的方法、评审因素和标准，不作为评标依据。</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6.3.2在评审过程中，评标委员会可以以书面形式要求投标人就资格审查文件和投标文件中含义不明确的内容进行书面说明并提供相关材料。</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6.3.3评标委员会经评审，认为所有投标都不符合招标文件要求的，可以否决所有投标。所有投标被否决后，招标人应当依法重新招标。</w:t>
      </w:r>
    </w:p>
    <w:p>
      <w:pPr>
        <w:pStyle w:val="5"/>
        <w:rPr>
          <w:rFonts w:hint="eastAsia" w:ascii="宋体" w:eastAsia="宋体" w:cs="宋体"/>
          <w:color w:val="auto"/>
          <w:highlight w:val="none"/>
        </w:rPr>
      </w:pPr>
      <w:bookmarkStart w:id="372" w:name="_Toc16001"/>
      <w:bookmarkStart w:id="373" w:name="_Toc22901"/>
      <w:bookmarkStart w:id="374" w:name="_Toc4102"/>
      <w:r>
        <w:rPr>
          <w:rFonts w:hint="eastAsia" w:ascii="宋体" w:eastAsia="宋体" w:cs="宋体"/>
          <w:color w:val="auto"/>
          <w:highlight w:val="none"/>
        </w:rPr>
        <w:t>6.4评标过程的保密</w:t>
      </w:r>
      <w:bookmarkEnd w:id="372"/>
      <w:bookmarkEnd w:id="373"/>
      <w:bookmarkEnd w:id="374"/>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6.4.1 开标后，直至授予中标人合同为止，凡属于对资格审查文件和投标文件的审查、澄清、评价和比较有关的资料以及中标候选人的推荐情况，与评标有关的其他任何情况均严格保密。</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6.4.2 在资格审查文件和投标文件的评审和比较、中标候选人推荐以及授予合同的过程中，投标人向招标人和评标委员会施加影响的任何行为，都将会导致其投标被拒绝。</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6.4.3 中标人确定后，招标人不对未中标人就评标过程以及未能中标原因作出任何解释。未中标人不得向评标委员会组成人员或其他有关人员索问评标过程的情况和材料。</w:t>
      </w:r>
    </w:p>
    <w:p>
      <w:pPr>
        <w:pStyle w:val="4"/>
        <w:rPr>
          <w:rFonts w:hint="eastAsia" w:ascii="宋体" w:hAnsi="宋体" w:eastAsia="宋体" w:cs="宋体"/>
          <w:color w:val="auto"/>
          <w:highlight w:val="none"/>
        </w:rPr>
      </w:pPr>
      <w:bookmarkStart w:id="375" w:name="_Toc144974534"/>
      <w:bookmarkStart w:id="376" w:name="_Toc7626"/>
      <w:bookmarkStart w:id="377" w:name="_Toc152042342"/>
      <w:bookmarkStart w:id="378" w:name="_Toc152045566"/>
      <w:bookmarkStart w:id="379" w:name="_Toc247513990"/>
      <w:bookmarkStart w:id="380" w:name="_Toc6848"/>
      <w:bookmarkStart w:id="381" w:name="_Toc247527591"/>
      <w:bookmarkStart w:id="382" w:name="_Toc29149"/>
      <w:bookmarkStart w:id="383" w:name="_Toc7490"/>
      <w:r>
        <w:rPr>
          <w:rFonts w:hint="eastAsia" w:ascii="宋体" w:hAnsi="宋体" w:eastAsia="宋体" w:cs="宋体"/>
          <w:color w:val="auto"/>
          <w:highlight w:val="none"/>
        </w:rPr>
        <w:t>7. 合同授予</w:t>
      </w:r>
      <w:bookmarkEnd w:id="375"/>
      <w:bookmarkEnd w:id="376"/>
      <w:bookmarkEnd w:id="377"/>
      <w:bookmarkEnd w:id="378"/>
      <w:bookmarkEnd w:id="379"/>
      <w:bookmarkEnd w:id="380"/>
      <w:bookmarkEnd w:id="381"/>
      <w:bookmarkEnd w:id="382"/>
      <w:bookmarkEnd w:id="383"/>
    </w:p>
    <w:p>
      <w:pPr>
        <w:pStyle w:val="5"/>
        <w:rPr>
          <w:rFonts w:hint="eastAsia" w:ascii="宋体" w:eastAsia="宋体" w:cs="宋体"/>
          <w:color w:val="auto"/>
          <w:highlight w:val="none"/>
        </w:rPr>
      </w:pPr>
      <w:bookmarkStart w:id="384" w:name="_Toc152045567"/>
      <w:bookmarkStart w:id="385" w:name="_Toc144974535"/>
      <w:bookmarkStart w:id="386" w:name="_Toc334"/>
      <w:bookmarkStart w:id="387" w:name="_Toc4338"/>
      <w:bookmarkStart w:id="388" w:name="_Toc247527592"/>
      <w:bookmarkStart w:id="389" w:name="_Toc14971"/>
      <w:bookmarkStart w:id="390" w:name="_Toc152042343"/>
      <w:bookmarkStart w:id="391" w:name="_Toc247513991"/>
      <w:bookmarkStart w:id="392" w:name="_Toc23452"/>
      <w:r>
        <w:rPr>
          <w:rFonts w:hint="eastAsia" w:ascii="宋体" w:eastAsia="宋体" w:cs="宋体"/>
          <w:color w:val="auto"/>
          <w:highlight w:val="none"/>
        </w:rPr>
        <w:t>7.1 定标方式</w:t>
      </w:r>
      <w:bookmarkEnd w:id="384"/>
      <w:bookmarkEnd w:id="385"/>
      <w:bookmarkEnd w:id="386"/>
      <w:bookmarkEnd w:id="387"/>
      <w:bookmarkEnd w:id="388"/>
      <w:bookmarkEnd w:id="389"/>
      <w:bookmarkEnd w:id="390"/>
      <w:bookmarkEnd w:id="391"/>
      <w:bookmarkEnd w:id="392"/>
    </w:p>
    <w:p>
      <w:pPr>
        <w:spacing w:line="400" w:lineRule="exact"/>
        <w:ind w:firstLine="420" w:firstLineChars="200"/>
        <w:rPr>
          <w:rFonts w:ascii="宋体" w:hAnsi="宋体" w:cs="宋体"/>
          <w:color w:val="000000"/>
          <w:szCs w:val="24"/>
          <w:highlight w:val="none"/>
        </w:rPr>
      </w:pPr>
      <w:r>
        <w:rPr>
          <w:rFonts w:hint="eastAsia" w:ascii="宋体" w:hAnsi="宋体" w:cs="宋体"/>
          <w:color w:val="auto"/>
          <w:highlight w:val="none"/>
        </w:rPr>
        <w:t>7.1.1除投标人须知前附表规定评标委员会直接确定中标人外，</w:t>
      </w:r>
      <w:r>
        <w:rPr>
          <w:rFonts w:hint="eastAsia"/>
          <w:color w:val="000000"/>
          <w:highlight w:val="none"/>
          <w:u w:val="single"/>
        </w:rPr>
        <w:t>招标人依据评标委员会推荐的合格中标候选人确定中标人，评标委员会推荐合格中标候选人的人数见投标人须知前附表。</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7.1.2 依法必须进行公开招标的项目，招标人应当确定排名第一的中标候选人为中标人。</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确定排名第二的中标候选人为中标人。</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7.1.4排名第二的中标候选人出现前款所列的情形的，招标人可以确定排名第三的中标候选人为中标人。以此类推，如所有中标候选人均出现前款所列的情形，为招标失败，招标人依法重新招标。</w:t>
      </w:r>
    </w:p>
    <w:p>
      <w:pPr>
        <w:pStyle w:val="5"/>
        <w:rPr>
          <w:rFonts w:hint="eastAsia" w:ascii="宋体" w:eastAsia="宋体" w:cs="宋体"/>
          <w:color w:val="auto"/>
          <w:highlight w:val="none"/>
        </w:rPr>
      </w:pPr>
      <w:bookmarkStart w:id="393" w:name="_Toc17393"/>
      <w:bookmarkStart w:id="394" w:name="_Toc26506"/>
      <w:bookmarkStart w:id="395" w:name="_Toc21155"/>
      <w:bookmarkStart w:id="396" w:name="_Toc11852"/>
      <w:r>
        <w:rPr>
          <w:rFonts w:hint="eastAsia" w:ascii="宋体" w:eastAsia="宋体" w:cs="宋体"/>
          <w:color w:val="auto"/>
          <w:highlight w:val="none"/>
        </w:rPr>
        <w:t>7.2 中标候选人公示</w:t>
      </w:r>
      <w:bookmarkEnd w:id="393"/>
      <w:bookmarkEnd w:id="394"/>
      <w:bookmarkEnd w:id="395"/>
      <w:bookmarkEnd w:id="396"/>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7.2.1招标人在投标人须知前附表规定的媒介公示中标候选人，公示时间为三天（最后一天为工作日）。</w:t>
      </w:r>
      <w:r>
        <w:rPr>
          <w:rFonts w:hint="eastAsia" w:ascii="宋体" w:hAnsi="宋体" w:cs="宋体"/>
          <w:color w:val="auto"/>
          <w:highlight w:val="none"/>
          <w:u w:val="single"/>
        </w:rPr>
        <w:t>中标候选人公示期间，投标人对评标结果有异议的应当在公示期内提出，因异议或投诉生效导致合格中标候选人不符合中标资格的，将取消其中标候选人资格；因异议或投诉生效导致所有入围候选人均不符合招标文件要求的，应当重新组织招标。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highlight w:val="none"/>
        </w:rPr>
        <w:t>。</w:t>
      </w:r>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7.2.2在产生中标候选人后，招标人将中标候选人的投标文件商务部分的电子文件（包括人员、业绩、奖项等资料）在广州交易集团有限公司（广州公共资源交易中心）和广东省招标投标监管网公开。</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7.2.3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5"/>
        <w:rPr>
          <w:rFonts w:hint="eastAsia" w:ascii="宋体" w:eastAsia="宋体" w:cs="宋体"/>
          <w:color w:val="auto"/>
          <w:highlight w:val="none"/>
        </w:rPr>
      </w:pPr>
      <w:bookmarkStart w:id="397" w:name="_Toc6076"/>
      <w:bookmarkStart w:id="398" w:name="_Toc7389"/>
      <w:bookmarkStart w:id="399" w:name="_Toc152045568"/>
      <w:bookmarkStart w:id="400" w:name="_Toc18210"/>
      <w:bookmarkStart w:id="401" w:name="_Toc247513992"/>
      <w:bookmarkStart w:id="402" w:name="_Toc32161"/>
      <w:bookmarkStart w:id="403" w:name="_Toc152042344"/>
      <w:bookmarkStart w:id="404" w:name="_Toc144974536"/>
      <w:bookmarkStart w:id="405" w:name="_Toc247527593"/>
      <w:r>
        <w:rPr>
          <w:rFonts w:hint="eastAsia" w:ascii="宋体" w:eastAsia="宋体" w:cs="宋体"/>
          <w:color w:val="auto"/>
          <w:highlight w:val="none"/>
        </w:rPr>
        <w:t>7.3 中标通知</w:t>
      </w:r>
      <w:bookmarkEnd w:id="397"/>
      <w:bookmarkEnd w:id="398"/>
      <w:bookmarkEnd w:id="399"/>
      <w:bookmarkEnd w:id="400"/>
      <w:bookmarkEnd w:id="401"/>
      <w:bookmarkEnd w:id="402"/>
      <w:bookmarkEnd w:id="403"/>
      <w:bookmarkEnd w:id="404"/>
      <w:bookmarkEnd w:id="405"/>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7.3.1在本章第3.3款规定的投标有效期内，</w:t>
      </w:r>
      <w:r>
        <w:rPr>
          <w:rFonts w:hint="eastAsia" w:ascii="宋体" w:hAnsi="宋体" w:cs="宋体"/>
          <w:color w:val="auto"/>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u w:val="single"/>
        </w:rPr>
        <w:t>7.3.2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pPr>
        <w:pStyle w:val="5"/>
        <w:rPr>
          <w:rFonts w:hint="eastAsia" w:ascii="宋体" w:eastAsia="宋体" w:cs="宋体"/>
          <w:color w:val="auto"/>
          <w:highlight w:val="none"/>
        </w:rPr>
      </w:pPr>
      <w:bookmarkStart w:id="406" w:name="_Toc247513993"/>
      <w:bookmarkStart w:id="407" w:name="_Toc25890"/>
      <w:bookmarkStart w:id="408" w:name="_Toc247527594"/>
      <w:bookmarkStart w:id="409" w:name="_Toc6522"/>
      <w:bookmarkStart w:id="410" w:name="_Toc4655"/>
      <w:bookmarkStart w:id="411" w:name="_Toc152045569"/>
      <w:bookmarkStart w:id="412" w:name="_Toc152042345"/>
      <w:bookmarkStart w:id="413" w:name="_Toc144974537"/>
      <w:bookmarkStart w:id="414" w:name="_Toc5055"/>
      <w:r>
        <w:rPr>
          <w:rFonts w:hint="eastAsia" w:ascii="宋体" w:eastAsia="宋体" w:cs="宋体"/>
          <w:color w:val="auto"/>
          <w:highlight w:val="none"/>
        </w:rPr>
        <w:t>7.4 履约担保</w:t>
      </w:r>
      <w:bookmarkEnd w:id="406"/>
      <w:bookmarkEnd w:id="407"/>
      <w:bookmarkEnd w:id="408"/>
      <w:bookmarkEnd w:id="409"/>
      <w:bookmarkEnd w:id="410"/>
      <w:bookmarkEnd w:id="411"/>
      <w:bookmarkEnd w:id="412"/>
      <w:bookmarkEnd w:id="413"/>
      <w:bookmarkEnd w:id="414"/>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w:t>
      </w:r>
      <w:r>
        <w:rPr>
          <w:rFonts w:hint="eastAsia" w:ascii="宋体" w:hAnsi="宋体" w:cs="宋体"/>
          <w:color w:val="000000"/>
          <w:szCs w:val="24"/>
          <w:highlight w:val="none"/>
        </w:rPr>
        <w:t>如果中标人的履约担保是以银行保函的形式提供，则该银行保函应由在中国注册且营业地点在广州行政辖区内的银行开具。</w:t>
      </w:r>
      <w:r>
        <w:rPr>
          <w:rFonts w:hint="eastAsia" w:ascii="宋体" w:hAnsi="宋体" w:cs="宋体"/>
          <w:color w:val="auto"/>
          <w:highlight w:val="none"/>
        </w:rPr>
        <w:t>除投标人须知前附表另有规定外，履约担保金额为中标合同金额的10%。联合体中标的，其履约担保由联合体各方或者联合体中</w:t>
      </w:r>
      <w:r>
        <w:rPr>
          <w:rFonts w:hint="eastAsia" w:ascii="宋体" w:hAnsi="宋体" w:cs="宋体"/>
          <w:color w:val="auto"/>
          <w:highlight w:val="none"/>
          <w:u w:val="single"/>
        </w:rPr>
        <w:t>主办方</w:t>
      </w:r>
      <w:r>
        <w:rPr>
          <w:rFonts w:hint="eastAsia" w:ascii="宋体" w:hAnsi="宋体" w:cs="宋体"/>
          <w:color w:val="auto"/>
          <w:highlight w:val="none"/>
        </w:rPr>
        <w:t>的名义提交。</w:t>
      </w:r>
      <w:r>
        <w:rPr>
          <w:rFonts w:hint="eastAsia" w:ascii="宋体" w:hAnsi="宋体" w:cs="宋体"/>
          <w:color w:val="auto"/>
          <w:highlight w:val="none"/>
          <w:u w:val="single"/>
        </w:rPr>
        <w:t>履约保函的担保期限为自本保函开立之日起至合同项下的工程竣工验收且验收备案合格，并完成工程档案移交后二十八 (28) 天内。</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7.4.2 中标人不能按本章第7.4.1项要求提交履约担保的，视为放弃中标，其投标保证金不予退还，给招标人造成的损失超过投标保证金数额的，中标人还应当对超过部分予以赔偿。</w:t>
      </w:r>
    </w:p>
    <w:p>
      <w:pPr>
        <w:pStyle w:val="5"/>
        <w:rPr>
          <w:rFonts w:hint="eastAsia" w:ascii="宋体" w:eastAsia="宋体" w:cs="宋体"/>
          <w:color w:val="auto"/>
          <w:highlight w:val="none"/>
        </w:rPr>
      </w:pPr>
      <w:bookmarkStart w:id="415" w:name="_Toc247513994"/>
      <w:bookmarkStart w:id="416" w:name="_Toc15800"/>
      <w:bookmarkStart w:id="417" w:name="_Toc247527595"/>
      <w:bookmarkStart w:id="418" w:name="_Toc152045570"/>
      <w:bookmarkStart w:id="419" w:name="_Toc152042346"/>
      <w:bookmarkStart w:id="420" w:name="_Toc144974538"/>
      <w:bookmarkStart w:id="421" w:name="_Toc13630"/>
      <w:bookmarkStart w:id="422" w:name="_Toc22429"/>
      <w:bookmarkStart w:id="423" w:name="_Toc18914"/>
      <w:r>
        <w:rPr>
          <w:rFonts w:hint="eastAsia" w:ascii="宋体" w:eastAsia="宋体" w:cs="宋体"/>
          <w:color w:val="auto"/>
          <w:highlight w:val="none"/>
        </w:rPr>
        <w:t>7.5 签订合同</w:t>
      </w:r>
      <w:bookmarkEnd w:id="415"/>
      <w:bookmarkEnd w:id="416"/>
      <w:bookmarkEnd w:id="417"/>
      <w:bookmarkEnd w:id="418"/>
      <w:bookmarkEnd w:id="419"/>
      <w:bookmarkEnd w:id="420"/>
      <w:bookmarkEnd w:id="421"/>
      <w:bookmarkEnd w:id="422"/>
      <w:bookmarkEnd w:id="423"/>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7.5.2 发出中标通知书后，招标人无正当理由拒签合同的，招标人向中标人退还投标保证金；给中标人造成损失的，还应当赔偿损失。</w:t>
      </w:r>
    </w:p>
    <w:p>
      <w:pPr>
        <w:pStyle w:val="4"/>
        <w:rPr>
          <w:rFonts w:hint="eastAsia" w:ascii="宋体" w:hAnsi="宋体" w:eastAsia="宋体" w:cs="宋体"/>
          <w:color w:val="auto"/>
          <w:highlight w:val="none"/>
        </w:rPr>
      </w:pPr>
      <w:bookmarkStart w:id="424" w:name="_Toc152045571"/>
      <w:bookmarkStart w:id="425" w:name="_Toc247513995"/>
      <w:bookmarkStart w:id="426" w:name="_Toc144974539"/>
      <w:bookmarkStart w:id="427" w:name="_Toc152042347"/>
      <w:bookmarkStart w:id="428" w:name="_Toc247527596"/>
      <w:bookmarkStart w:id="429" w:name="_Toc26180"/>
      <w:bookmarkStart w:id="430" w:name="_Toc23477"/>
      <w:bookmarkStart w:id="431" w:name="_Toc23935"/>
      <w:bookmarkStart w:id="432" w:name="_Toc23137"/>
      <w:r>
        <w:rPr>
          <w:rFonts w:hint="eastAsia" w:ascii="宋体" w:hAnsi="宋体" w:eastAsia="宋体" w:cs="宋体"/>
          <w:color w:val="auto"/>
          <w:highlight w:val="none"/>
        </w:rPr>
        <w:t>8.</w:t>
      </w:r>
      <w:bookmarkEnd w:id="424"/>
      <w:bookmarkEnd w:id="425"/>
      <w:bookmarkEnd w:id="426"/>
      <w:bookmarkEnd w:id="427"/>
      <w:bookmarkEnd w:id="428"/>
      <w:bookmarkStart w:id="433" w:name="_Toc152042350"/>
      <w:bookmarkStart w:id="434" w:name="_Toc247513998"/>
      <w:bookmarkStart w:id="435" w:name="_Toc144974542"/>
      <w:bookmarkStart w:id="436" w:name="_Toc247527599"/>
      <w:bookmarkStart w:id="437" w:name="_Toc152045574"/>
      <w:r>
        <w:rPr>
          <w:rFonts w:hint="eastAsia" w:ascii="宋体" w:hAnsi="宋体" w:eastAsia="宋体" w:cs="宋体"/>
          <w:color w:val="auto"/>
          <w:highlight w:val="none"/>
        </w:rPr>
        <w:t xml:space="preserve"> 纪律和监督</w:t>
      </w:r>
      <w:bookmarkEnd w:id="429"/>
      <w:bookmarkEnd w:id="430"/>
      <w:bookmarkEnd w:id="431"/>
      <w:bookmarkEnd w:id="432"/>
      <w:bookmarkEnd w:id="433"/>
      <w:bookmarkEnd w:id="434"/>
      <w:bookmarkEnd w:id="435"/>
      <w:bookmarkEnd w:id="436"/>
      <w:bookmarkEnd w:id="437"/>
    </w:p>
    <w:p>
      <w:pPr>
        <w:pStyle w:val="5"/>
        <w:rPr>
          <w:rFonts w:hint="eastAsia" w:ascii="宋体" w:eastAsia="宋体" w:cs="宋体"/>
          <w:color w:val="auto"/>
          <w:highlight w:val="none"/>
        </w:rPr>
      </w:pPr>
      <w:bookmarkStart w:id="438" w:name="_Toc247513999"/>
      <w:bookmarkStart w:id="439" w:name="_Toc247527600"/>
      <w:bookmarkStart w:id="440" w:name="_Toc25964"/>
      <w:bookmarkStart w:id="441" w:name="_Toc9436"/>
      <w:bookmarkStart w:id="442" w:name="_Toc8540"/>
      <w:bookmarkStart w:id="443" w:name="_Toc152042351"/>
      <w:bookmarkStart w:id="444" w:name="_Toc144974543"/>
      <w:bookmarkStart w:id="445" w:name="_Toc25119"/>
      <w:bookmarkStart w:id="446" w:name="_Toc152045575"/>
      <w:r>
        <w:rPr>
          <w:rFonts w:hint="eastAsia" w:ascii="宋体" w:eastAsia="宋体" w:cs="宋体"/>
          <w:color w:val="auto"/>
          <w:highlight w:val="none"/>
        </w:rPr>
        <w:t>8.1 对招标人的纪律要求</w:t>
      </w:r>
      <w:bookmarkEnd w:id="438"/>
      <w:bookmarkEnd w:id="439"/>
      <w:bookmarkEnd w:id="440"/>
      <w:bookmarkEnd w:id="441"/>
      <w:bookmarkEnd w:id="442"/>
      <w:bookmarkEnd w:id="443"/>
      <w:bookmarkEnd w:id="444"/>
      <w:bookmarkEnd w:id="445"/>
      <w:bookmarkEnd w:id="446"/>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pPr>
        <w:pStyle w:val="5"/>
        <w:rPr>
          <w:rFonts w:hint="eastAsia" w:ascii="宋体" w:eastAsia="宋体" w:cs="宋体"/>
          <w:color w:val="auto"/>
          <w:highlight w:val="none"/>
        </w:rPr>
      </w:pPr>
      <w:bookmarkStart w:id="447" w:name="_Toc28538"/>
      <w:bookmarkStart w:id="448" w:name="_Toc152045576"/>
      <w:bookmarkStart w:id="449" w:name="_Toc20174"/>
      <w:bookmarkStart w:id="450" w:name="_Toc247527601"/>
      <w:bookmarkStart w:id="451" w:name="_Toc152042352"/>
      <w:bookmarkStart w:id="452" w:name="_Toc20721"/>
      <w:bookmarkStart w:id="453" w:name="_Toc247514000"/>
      <w:bookmarkStart w:id="454" w:name="_Toc144974544"/>
      <w:bookmarkStart w:id="455" w:name="_Toc19462"/>
      <w:r>
        <w:rPr>
          <w:rFonts w:hint="eastAsia" w:ascii="宋体" w:eastAsia="宋体" w:cs="宋体"/>
          <w:color w:val="auto"/>
          <w:highlight w:val="none"/>
        </w:rPr>
        <w:t>8.2 对投标人的纪律要求</w:t>
      </w:r>
      <w:bookmarkEnd w:id="447"/>
      <w:bookmarkEnd w:id="448"/>
      <w:bookmarkEnd w:id="449"/>
      <w:bookmarkEnd w:id="450"/>
      <w:bookmarkEnd w:id="451"/>
      <w:bookmarkEnd w:id="452"/>
      <w:bookmarkEnd w:id="453"/>
      <w:bookmarkEnd w:id="454"/>
      <w:bookmarkEnd w:id="455"/>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rPr>
          <w:rFonts w:hint="eastAsia" w:ascii="宋体" w:eastAsia="宋体" w:cs="宋体"/>
          <w:color w:val="auto"/>
          <w:highlight w:val="none"/>
        </w:rPr>
      </w:pPr>
      <w:bookmarkStart w:id="456" w:name="_Toc144974545"/>
      <w:bookmarkStart w:id="457" w:name="_Toc25991"/>
      <w:bookmarkStart w:id="458" w:name="_Toc17513"/>
      <w:bookmarkStart w:id="459" w:name="_Toc152045577"/>
      <w:bookmarkStart w:id="460" w:name="_Toc152042353"/>
      <w:bookmarkStart w:id="461" w:name="_Toc28196"/>
      <w:bookmarkStart w:id="462" w:name="_Toc247514001"/>
      <w:bookmarkStart w:id="463" w:name="_Toc16012"/>
      <w:bookmarkStart w:id="464" w:name="_Toc247527602"/>
      <w:r>
        <w:rPr>
          <w:rFonts w:hint="eastAsia" w:ascii="宋体" w:eastAsia="宋体" w:cs="宋体"/>
          <w:color w:val="auto"/>
          <w:highlight w:val="none"/>
        </w:rPr>
        <w:t>8.3 对评标委员会成员的纪律要求</w:t>
      </w:r>
      <w:bookmarkEnd w:id="456"/>
      <w:bookmarkEnd w:id="457"/>
      <w:bookmarkEnd w:id="458"/>
      <w:bookmarkEnd w:id="459"/>
      <w:bookmarkEnd w:id="460"/>
      <w:bookmarkEnd w:id="461"/>
      <w:bookmarkEnd w:id="462"/>
      <w:bookmarkEnd w:id="463"/>
      <w:bookmarkEnd w:id="464"/>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rPr>
          <w:rFonts w:hint="eastAsia" w:ascii="宋体" w:eastAsia="宋体" w:cs="宋体"/>
          <w:color w:val="auto"/>
          <w:highlight w:val="none"/>
        </w:rPr>
      </w:pPr>
      <w:bookmarkStart w:id="465" w:name="_Toc21104"/>
      <w:bookmarkStart w:id="466" w:name="_Toc247514002"/>
      <w:bookmarkStart w:id="467" w:name="_Toc247527603"/>
      <w:bookmarkStart w:id="468" w:name="_Toc8365"/>
      <w:bookmarkStart w:id="469" w:name="_Toc18141"/>
      <w:bookmarkStart w:id="470" w:name="_Toc152042354"/>
      <w:bookmarkStart w:id="471" w:name="_Toc152045578"/>
      <w:bookmarkStart w:id="472" w:name="_Toc139"/>
      <w:bookmarkStart w:id="473" w:name="_Toc144974546"/>
      <w:r>
        <w:rPr>
          <w:rFonts w:hint="eastAsia" w:ascii="宋体" w:eastAsia="宋体" w:cs="宋体"/>
          <w:color w:val="auto"/>
          <w:highlight w:val="none"/>
        </w:rPr>
        <w:t>8.4 对与评标活动有关的工作人员的纪律要求</w:t>
      </w:r>
      <w:bookmarkEnd w:id="465"/>
      <w:bookmarkEnd w:id="466"/>
      <w:bookmarkEnd w:id="467"/>
      <w:bookmarkEnd w:id="468"/>
      <w:bookmarkEnd w:id="469"/>
      <w:bookmarkEnd w:id="470"/>
      <w:bookmarkEnd w:id="471"/>
      <w:bookmarkEnd w:id="472"/>
    </w:p>
    <w:p>
      <w:pPr>
        <w:spacing w:line="400" w:lineRule="exact"/>
        <w:ind w:firstLine="420" w:firstLineChars="200"/>
        <w:rPr>
          <w:rFonts w:hint="eastAsia" w:ascii="宋体" w:hAnsi="宋体" w:cs="宋体"/>
          <w:color w:val="auto"/>
          <w:highlight w:val="none"/>
        </w:rPr>
      </w:pPr>
      <w:bookmarkStart w:id="474"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74"/>
    </w:p>
    <w:p>
      <w:pPr>
        <w:pStyle w:val="5"/>
        <w:rPr>
          <w:rFonts w:hint="eastAsia" w:ascii="宋体" w:eastAsia="宋体" w:cs="宋体"/>
          <w:color w:val="auto"/>
          <w:highlight w:val="none"/>
        </w:rPr>
      </w:pPr>
      <w:bookmarkStart w:id="475" w:name="_Toc152045579"/>
      <w:bookmarkStart w:id="476" w:name="_Toc152042356"/>
      <w:bookmarkStart w:id="477" w:name="_Toc247527604"/>
      <w:bookmarkStart w:id="478" w:name="_Toc1651"/>
      <w:bookmarkStart w:id="479" w:name="_Toc471"/>
      <w:bookmarkStart w:id="480" w:name="_Toc17544"/>
      <w:bookmarkStart w:id="481" w:name="_Toc15208"/>
      <w:bookmarkStart w:id="482" w:name="_Toc247514003"/>
      <w:r>
        <w:rPr>
          <w:rFonts w:hint="eastAsia" w:ascii="宋体" w:eastAsia="宋体" w:cs="宋体"/>
          <w:color w:val="auto"/>
          <w:highlight w:val="none"/>
        </w:rPr>
        <w:t>8.5 投诉</w:t>
      </w:r>
      <w:bookmarkEnd w:id="473"/>
      <w:bookmarkEnd w:id="475"/>
      <w:bookmarkEnd w:id="476"/>
      <w:bookmarkEnd w:id="477"/>
      <w:bookmarkEnd w:id="478"/>
      <w:bookmarkEnd w:id="479"/>
      <w:bookmarkEnd w:id="480"/>
      <w:bookmarkEnd w:id="481"/>
      <w:bookmarkEnd w:id="482"/>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pPr>
        <w:pStyle w:val="4"/>
        <w:rPr>
          <w:rFonts w:hint="eastAsia" w:ascii="宋体" w:hAnsi="宋体" w:eastAsia="宋体" w:cs="宋体"/>
          <w:color w:val="auto"/>
          <w:highlight w:val="none"/>
        </w:rPr>
      </w:pPr>
      <w:bookmarkStart w:id="483" w:name="_Toc26772"/>
      <w:bookmarkStart w:id="484" w:name="_Toc26977"/>
      <w:bookmarkStart w:id="485" w:name="_Toc6725"/>
      <w:bookmarkStart w:id="486" w:name="_Toc21552"/>
      <w:bookmarkStart w:id="487" w:name="_Toc144974547"/>
      <w:bookmarkStart w:id="488" w:name="_Toc152045580"/>
      <w:bookmarkStart w:id="489" w:name="_Toc247527605"/>
      <w:bookmarkStart w:id="490" w:name="_Toc247514004"/>
      <w:bookmarkStart w:id="491" w:name="_Toc152042357"/>
      <w:r>
        <w:rPr>
          <w:rFonts w:hint="eastAsia" w:ascii="宋体" w:hAnsi="宋体" w:eastAsia="宋体" w:cs="宋体"/>
          <w:color w:val="auto"/>
          <w:highlight w:val="none"/>
        </w:rPr>
        <w:t>9. 需要补充的其他内容</w:t>
      </w:r>
      <w:bookmarkEnd w:id="483"/>
      <w:bookmarkEnd w:id="484"/>
      <w:bookmarkEnd w:id="485"/>
      <w:bookmarkEnd w:id="486"/>
      <w:bookmarkEnd w:id="487"/>
      <w:bookmarkEnd w:id="488"/>
      <w:bookmarkEnd w:id="489"/>
      <w:bookmarkEnd w:id="490"/>
      <w:bookmarkEnd w:id="491"/>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需要补充的其他内容：见投标人须知前附表。</w:t>
      </w:r>
    </w:p>
    <w:p>
      <w:pPr>
        <w:pStyle w:val="4"/>
        <w:rPr>
          <w:rFonts w:hint="eastAsia" w:ascii="宋体" w:hAnsi="宋体" w:eastAsia="宋体" w:cs="宋体"/>
          <w:color w:val="auto"/>
          <w:highlight w:val="none"/>
        </w:rPr>
      </w:pPr>
      <w:bookmarkStart w:id="492" w:name="_Toc836"/>
      <w:bookmarkStart w:id="493" w:name="_Toc29094"/>
      <w:bookmarkStart w:id="494" w:name="_Toc4738"/>
      <w:bookmarkStart w:id="495" w:name="_Toc1022"/>
      <w:r>
        <w:rPr>
          <w:rFonts w:hint="eastAsia" w:ascii="宋体" w:hAnsi="宋体" w:eastAsia="宋体" w:cs="宋体"/>
          <w:color w:val="auto"/>
          <w:highlight w:val="none"/>
        </w:rPr>
        <w:t>10. 电子招标投标</w:t>
      </w:r>
      <w:bookmarkEnd w:id="492"/>
      <w:bookmarkEnd w:id="493"/>
      <w:bookmarkEnd w:id="494"/>
      <w:bookmarkEnd w:id="495"/>
    </w:p>
    <w:p>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本招标项目是否采用电子招标投标方式，见投标人须知前附表。</w:t>
      </w:r>
    </w:p>
    <w:p>
      <w:pPr>
        <w:spacing w:line="400" w:lineRule="exact"/>
        <w:ind w:firstLine="420" w:firstLineChars="200"/>
        <w:rPr>
          <w:rFonts w:hint="eastAsia" w:ascii="宋体" w:hAnsi="宋体" w:cs="宋体"/>
          <w:color w:val="auto"/>
          <w:highlight w:val="none"/>
          <w:u w:val="single"/>
        </w:rPr>
      </w:pPr>
    </w:p>
    <w:p>
      <w:pPr>
        <w:pStyle w:val="21"/>
        <w:rPr>
          <w:rFonts w:hint="eastAsia" w:ascii="宋体" w:hAnsi="宋体" w:eastAsia="宋体" w:cs="宋体"/>
          <w:color w:val="auto"/>
          <w:highlight w:val="none"/>
        </w:rPr>
      </w:pPr>
    </w:p>
    <w:p>
      <w:pPr>
        <w:spacing w:line="400" w:lineRule="exact"/>
        <w:ind w:firstLine="420" w:firstLineChars="200"/>
        <w:rPr>
          <w:rFonts w:hint="eastAsia" w:ascii="宋体" w:hAnsi="宋体" w:cs="宋体"/>
          <w:color w:val="auto"/>
          <w:highlight w:val="none"/>
        </w:rPr>
        <w:sectPr>
          <w:footerReference r:id="rId4" w:type="default"/>
          <w:pgSz w:w="11906" w:h="16838"/>
          <w:pgMar w:top="1383" w:right="1440" w:bottom="1383" w:left="1440" w:header="851" w:footer="992" w:gutter="0"/>
          <w:pgNumType w:start="1"/>
          <w:cols w:space="720" w:num="1"/>
          <w:docGrid w:type="lines" w:linePitch="319" w:charSpace="0"/>
        </w:sectPr>
      </w:pPr>
    </w:p>
    <w:p>
      <w:pPr>
        <w:spacing w:line="400" w:lineRule="exact"/>
        <w:rPr>
          <w:rFonts w:hint="eastAsia" w:ascii="宋体" w:hAnsi="宋体" w:cs="宋体"/>
          <w:color w:val="auto"/>
          <w:highlight w:val="none"/>
        </w:rPr>
      </w:pPr>
      <w:bookmarkStart w:id="496" w:name="_Toc152045581"/>
      <w:bookmarkStart w:id="497" w:name="_Toc19551"/>
      <w:bookmarkStart w:id="498" w:name="_Toc152042358"/>
      <w:bookmarkStart w:id="499" w:name="_Toc247514005"/>
      <w:bookmarkStart w:id="500" w:name="_Toc144974548"/>
      <w:bookmarkStart w:id="501" w:name="_Toc247527606"/>
      <w:r>
        <w:rPr>
          <w:rFonts w:hint="eastAsia" w:ascii="宋体" w:hAnsi="宋体" w:cs="宋体"/>
          <w:color w:val="auto"/>
          <w:highlight w:val="none"/>
        </w:rPr>
        <w:t>附件一：开标记录表</w:t>
      </w:r>
      <w:bookmarkEnd w:id="496"/>
      <w:bookmarkEnd w:id="497"/>
      <w:bookmarkEnd w:id="498"/>
      <w:bookmarkEnd w:id="499"/>
      <w:bookmarkEnd w:id="500"/>
      <w:bookmarkEnd w:id="501"/>
    </w:p>
    <w:p>
      <w:pPr>
        <w:spacing w:line="400" w:lineRule="exact"/>
        <w:rPr>
          <w:rFonts w:hint="eastAsia" w:ascii="宋体" w:hAnsi="宋体" w:cs="宋体"/>
          <w:color w:val="auto"/>
          <w:highlight w:val="none"/>
        </w:rPr>
      </w:pPr>
    </w:p>
    <w:p>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开标记录表</w:t>
      </w:r>
    </w:p>
    <w:p>
      <w:pPr>
        <w:spacing w:line="360" w:lineRule="auto"/>
        <w:ind w:right="420"/>
        <w:jc w:val="right"/>
        <w:rPr>
          <w:rFonts w:hint="eastAsia" w:ascii="宋体" w:hAnsi="宋体" w:cs="宋体"/>
          <w:color w:val="auto"/>
          <w:highlight w:val="none"/>
        </w:rPr>
      </w:pPr>
      <w:r>
        <w:rPr>
          <w:rFonts w:hint="eastAsia" w:ascii="宋体" w:hAnsi="宋体" w:cs="宋体"/>
          <w:color w:val="auto"/>
          <w:highlight w:val="none"/>
        </w:rPr>
        <w:t>开标时间：     年   月   日   时   分</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90"/>
        <w:gridCol w:w="1004"/>
        <w:gridCol w:w="939"/>
        <w:gridCol w:w="837"/>
        <w:gridCol w:w="820"/>
        <w:gridCol w:w="720"/>
        <w:gridCol w:w="979"/>
        <w:gridCol w:w="868"/>
        <w:gridCol w:w="825"/>
        <w:gridCol w:w="854"/>
        <w:gridCol w:w="876"/>
        <w:gridCol w:w="791"/>
        <w:gridCol w:w="825"/>
        <w:gridCol w:w="854"/>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51"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序号</w:t>
            </w:r>
          </w:p>
        </w:tc>
        <w:tc>
          <w:tcPr>
            <w:tcW w:w="490"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投标</w:t>
            </w:r>
            <w:r>
              <w:rPr>
                <w:rFonts w:hint="eastAsia" w:ascii="宋体" w:hAnsi="宋体" w:cs="宋体"/>
                <w:color w:val="auto"/>
                <w:sz w:val="18"/>
                <w:szCs w:val="18"/>
                <w:highlight w:val="none"/>
                <w:lang w:val="en-US" w:eastAsia="zh-CN"/>
              </w:rPr>
              <w:t>单位</w:t>
            </w:r>
            <w:r>
              <w:rPr>
                <w:rFonts w:hint="eastAsia" w:ascii="宋体" w:hAnsi="宋体" w:cs="宋体"/>
                <w:color w:val="auto"/>
                <w:sz w:val="18"/>
                <w:szCs w:val="18"/>
                <w:highlight w:val="none"/>
              </w:rPr>
              <w:t>名称</w:t>
            </w:r>
          </w:p>
        </w:tc>
        <w:tc>
          <w:tcPr>
            <w:tcW w:w="354"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投标文件递交情况</w:t>
            </w:r>
          </w:p>
        </w:tc>
        <w:tc>
          <w:tcPr>
            <w:tcW w:w="331"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投标文件解密情况</w:t>
            </w:r>
          </w:p>
        </w:tc>
        <w:tc>
          <w:tcPr>
            <w:tcW w:w="295"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项目负责人</w:t>
            </w:r>
          </w:p>
        </w:tc>
        <w:tc>
          <w:tcPr>
            <w:tcW w:w="289"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设计负责人</w:t>
            </w:r>
          </w:p>
        </w:tc>
        <w:tc>
          <w:tcPr>
            <w:tcW w:w="254"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专职安全员</w:t>
            </w:r>
          </w:p>
        </w:tc>
        <w:tc>
          <w:tcPr>
            <w:tcW w:w="345" w:type="pct"/>
            <w:vMerge w:val="restart"/>
            <w:noWrap w:val="0"/>
            <w:vAlign w:val="center"/>
          </w:tcPr>
          <w:p>
            <w:pPr>
              <w:spacing w:line="240" w:lineRule="auto"/>
              <w:ind w:left="-42" w:leftChars="-20" w:right="-42" w:rightChars="-2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投标总报价</w:t>
            </w:r>
          </w:p>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（万元）</w:t>
            </w:r>
          </w:p>
        </w:tc>
        <w:tc>
          <w:tcPr>
            <w:tcW w:w="1207" w:type="pct"/>
            <w:gridSpan w:val="4"/>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其中</w:t>
            </w:r>
          </w:p>
        </w:tc>
        <w:tc>
          <w:tcPr>
            <w:tcW w:w="279"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施工工期</w:t>
            </w:r>
          </w:p>
        </w:tc>
        <w:tc>
          <w:tcPr>
            <w:tcW w:w="291"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质量标准</w:t>
            </w:r>
          </w:p>
        </w:tc>
        <w:tc>
          <w:tcPr>
            <w:tcW w:w="301"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投标人代表签名</w:t>
            </w:r>
          </w:p>
        </w:tc>
        <w:tc>
          <w:tcPr>
            <w:tcW w:w="307" w:type="pct"/>
            <w:vMerge w:val="restar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51" w:type="pct"/>
            <w:vMerge w:val="continue"/>
            <w:noWrap w:val="0"/>
            <w:vAlign w:val="center"/>
          </w:tcPr>
          <w:p>
            <w:pPr>
              <w:spacing w:line="240" w:lineRule="auto"/>
              <w:ind w:left="-42" w:leftChars="-20" w:right="-42" w:rightChars="-20"/>
              <w:jc w:val="center"/>
              <w:rPr>
                <w:highlight w:val="none"/>
              </w:rPr>
            </w:pPr>
          </w:p>
        </w:tc>
        <w:tc>
          <w:tcPr>
            <w:tcW w:w="490" w:type="pct"/>
            <w:vMerge w:val="continue"/>
            <w:noWrap w:val="0"/>
            <w:vAlign w:val="center"/>
          </w:tcPr>
          <w:p>
            <w:pPr>
              <w:spacing w:line="240" w:lineRule="auto"/>
              <w:ind w:left="-42" w:leftChars="-20" w:right="-42" w:rightChars="-20"/>
              <w:jc w:val="center"/>
              <w:rPr>
                <w:highlight w:val="none"/>
              </w:rPr>
            </w:pPr>
          </w:p>
        </w:tc>
        <w:tc>
          <w:tcPr>
            <w:tcW w:w="354" w:type="pct"/>
            <w:vMerge w:val="continue"/>
            <w:noWrap w:val="0"/>
            <w:vAlign w:val="center"/>
          </w:tcPr>
          <w:p>
            <w:pPr>
              <w:spacing w:line="240" w:lineRule="auto"/>
              <w:ind w:left="-42" w:leftChars="-20" w:right="-42" w:rightChars="-20"/>
              <w:jc w:val="center"/>
              <w:rPr>
                <w:highlight w:val="none"/>
              </w:rPr>
            </w:pPr>
          </w:p>
        </w:tc>
        <w:tc>
          <w:tcPr>
            <w:tcW w:w="331" w:type="pct"/>
            <w:vMerge w:val="continue"/>
            <w:noWrap w:val="0"/>
            <w:vAlign w:val="center"/>
          </w:tcPr>
          <w:p>
            <w:pPr>
              <w:spacing w:line="240" w:lineRule="auto"/>
              <w:ind w:left="-42" w:leftChars="-20" w:right="-42" w:rightChars="-20"/>
              <w:jc w:val="center"/>
              <w:rPr>
                <w:highlight w:val="none"/>
              </w:rPr>
            </w:pPr>
          </w:p>
        </w:tc>
        <w:tc>
          <w:tcPr>
            <w:tcW w:w="295" w:type="pct"/>
            <w:vMerge w:val="continue"/>
            <w:noWrap w:val="0"/>
            <w:vAlign w:val="center"/>
          </w:tcPr>
          <w:p>
            <w:pPr>
              <w:spacing w:line="240" w:lineRule="auto"/>
              <w:ind w:left="-42" w:leftChars="-20" w:right="-42" w:rightChars="-20"/>
              <w:jc w:val="center"/>
              <w:rPr>
                <w:highlight w:val="none"/>
              </w:rPr>
            </w:pPr>
          </w:p>
        </w:tc>
        <w:tc>
          <w:tcPr>
            <w:tcW w:w="289" w:type="pct"/>
            <w:vMerge w:val="continue"/>
            <w:noWrap w:val="0"/>
            <w:vAlign w:val="center"/>
          </w:tcPr>
          <w:p>
            <w:pPr>
              <w:spacing w:line="240" w:lineRule="auto"/>
              <w:ind w:left="-42" w:leftChars="-20" w:right="-42" w:rightChars="-20"/>
              <w:jc w:val="center"/>
              <w:rPr>
                <w:highlight w:val="none"/>
              </w:rPr>
            </w:pPr>
          </w:p>
        </w:tc>
        <w:tc>
          <w:tcPr>
            <w:tcW w:w="254" w:type="pct"/>
            <w:vMerge w:val="continue"/>
            <w:noWrap w:val="0"/>
            <w:vAlign w:val="center"/>
          </w:tcPr>
          <w:p>
            <w:pPr>
              <w:spacing w:line="240" w:lineRule="auto"/>
              <w:ind w:left="-42" w:leftChars="-20" w:right="-42" w:rightChars="-20"/>
              <w:jc w:val="center"/>
              <w:rPr>
                <w:highlight w:val="none"/>
              </w:rPr>
            </w:pPr>
          </w:p>
        </w:tc>
        <w:tc>
          <w:tcPr>
            <w:tcW w:w="345" w:type="pct"/>
            <w:vMerge w:val="continue"/>
            <w:noWrap w:val="0"/>
            <w:vAlign w:val="center"/>
          </w:tcPr>
          <w:p>
            <w:pPr>
              <w:spacing w:line="240" w:lineRule="auto"/>
              <w:ind w:left="-42" w:leftChars="-20" w:right="-42" w:rightChars="-20"/>
              <w:jc w:val="center"/>
              <w:rPr>
                <w:highlight w:val="none"/>
              </w:rPr>
            </w:pPr>
          </w:p>
        </w:tc>
        <w:tc>
          <w:tcPr>
            <w:tcW w:w="306" w:type="pc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设计费报价(万元)</w:t>
            </w:r>
          </w:p>
        </w:tc>
        <w:tc>
          <w:tcPr>
            <w:tcW w:w="291" w:type="pc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设计费报价下浮率（%）</w:t>
            </w:r>
          </w:p>
        </w:tc>
        <w:tc>
          <w:tcPr>
            <w:tcW w:w="301" w:type="pc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施工费报价(万元)</w:t>
            </w:r>
          </w:p>
        </w:tc>
        <w:tc>
          <w:tcPr>
            <w:tcW w:w="308" w:type="pct"/>
            <w:noWrap w:val="0"/>
            <w:vAlign w:val="center"/>
          </w:tcPr>
          <w:p>
            <w:pPr>
              <w:spacing w:line="240" w:lineRule="auto"/>
              <w:ind w:left="-42" w:leftChars="-20" w:right="-42" w:rightChars="-20"/>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施工费报价下浮率(%)</w:t>
            </w:r>
          </w:p>
        </w:tc>
        <w:tc>
          <w:tcPr>
            <w:tcW w:w="279" w:type="pct"/>
            <w:vMerge w:val="continue"/>
            <w:noWrap w:val="0"/>
            <w:vAlign w:val="center"/>
          </w:tcPr>
          <w:p>
            <w:pPr>
              <w:spacing w:line="240" w:lineRule="auto"/>
              <w:ind w:left="-42" w:leftChars="-20" w:right="-42" w:rightChars="-20"/>
              <w:jc w:val="center"/>
              <w:rPr>
                <w:rFonts w:hint="eastAsia" w:ascii="宋体" w:hAnsi="宋体" w:cs="宋体"/>
                <w:color w:val="auto"/>
                <w:sz w:val="18"/>
                <w:szCs w:val="18"/>
                <w:highlight w:val="none"/>
              </w:rPr>
            </w:pPr>
          </w:p>
        </w:tc>
        <w:tc>
          <w:tcPr>
            <w:tcW w:w="291" w:type="pct"/>
            <w:vMerge w:val="continue"/>
            <w:noWrap w:val="0"/>
            <w:vAlign w:val="center"/>
          </w:tcPr>
          <w:p>
            <w:pPr>
              <w:spacing w:line="240" w:lineRule="auto"/>
              <w:ind w:left="-42" w:leftChars="-20" w:right="-42" w:rightChars="-20"/>
              <w:jc w:val="center"/>
              <w:rPr>
                <w:rFonts w:hint="eastAsia" w:ascii="宋体" w:hAnsi="宋体" w:cs="宋体"/>
                <w:color w:val="auto"/>
                <w:sz w:val="18"/>
                <w:szCs w:val="18"/>
                <w:highlight w:val="none"/>
              </w:rPr>
            </w:pPr>
          </w:p>
        </w:tc>
        <w:tc>
          <w:tcPr>
            <w:tcW w:w="301" w:type="pct"/>
            <w:vMerge w:val="continue"/>
            <w:noWrap w:val="0"/>
            <w:vAlign w:val="center"/>
          </w:tcPr>
          <w:p>
            <w:pPr>
              <w:spacing w:line="240" w:lineRule="auto"/>
              <w:ind w:left="-42" w:leftChars="-20" w:right="-42" w:rightChars="-20"/>
              <w:jc w:val="center"/>
              <w:rPr>
                <w:rFonts w:hint="eastAsia" w:ascii="宋体" w:hAnsi="宋体" w:cs="宋体"/>
                <w:color w:val="auto"/>
                <w:sz w:val="18"/>
                <w:szCs w:val="18"/>
                <w:highlight w:val="none"/>
              </w:rPr>
            </w:pPr>
          </w:p>
        </w:tc>
        <w:tc>
          <w:tcPr>
            <w:tcW w:w="307" w:type="pct"/>
            <w:vMerge w:val="continue"/>
            <w:noWrap w:val="0"/>
            <w:vAlign w:val="center"/>
          </w:tcPr>
          <w:p>
            <w:pPr>
              <w:spacing w:line="240" w:lineRule="auto"/>
              <w:ind w:left="-42" w:leftChars="-20" w:right="-42" w:rightChars="-20"/>
              <w:jc w:val="cente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1" w:type="pct"/>
            <w:noWrap w:val="0"/>
            <w:vAlign w:val="top"/>
          </w:tcPr>
          <w:p>
            <w:pPr>
              <w:spacing w:line="240" w:lineRule="auto"/>
              <w:rPr>
                <w:rFonts w:hint="eastAsia" w:ascii="宋体" w:hAnsi="宋体" w:cs="宋体"/>
                <w:color w:val="auto"/>
                <w:szCs w:val="21"/>
                <w:highlight w:val="none"/>
              </w:rPr>
            </w:pPr>
          </w:p>
        </w:tc>
        <w:tc>
          <w:tcPr>
            <w:tcW w:w="490" w:type="pct"/>
            <w:noWrap w:val="0"/>
            <w:vAlign w:val="top"/>
          </w:tcPr>
          <w:p>
            <w:pPr>
              <w:spacing w:line="240" w:lineRule="auto"/>
              <w:rPr>
                <w:rFonts w:hint="eastAsia" w:ascii="宋体" w:hAnsi="宋体" w:cs="宋体"/>
                <w:color w:val="auto"/>
                <w:szCs w:val="21"/>
                <w:highlight w:val="none"/>
              </w:rPr>
            </w:pPr>
          </w:p>
        </w:tc>
        <w:tc>
          <w:tcPr>
            <w:tcW w:w="354" w:type="pct"/>
            <w:noWrap w:val="0"/>
            <w:vAlign w:val="top"/>
          </w:tcPr>
          <w:p>
            <w:pPr>
              <w:spacing w:line="240" w:lineRule="auto"/>
              <w:rPr>
                <w:rFonts w:hint="eastAsia" w:ascii="宋体" w:hAnsi="宋体" w:cs="宋体"/>
                <w:color w:val="auto"/>
                <w:szCs w:val="21"/>
                <w:highlight w:val="none"/>
              </w:rPr>
            </w:pPr>
          </w:p>
        </w:tc>
        <w:tc>
          <w:tcPr>
            <w:tcW w:w="331" w:type="pct"/>
            <w:noWrap w:val="0"/>
            <w:vAlign w:val="top"/>
          </w:tcPr>
          <w:p>
            <w:pPr>
              <w:spacing w:line="240" w:lineRule="auto"/>
              <w:rPr>
                <w:rFonts w:hint="eastAsia" w:ascii="宋体" w:hAnsi="宋体" w:cs="宋体"/>
                <w:color w:val="auto"/>
                <w:szCs w:val="21"/>
                <w:highlight w:val="none"/>
              </w:rPr>
            </w:pPr>
          </w:p>
        </w:tc>
        <w:tc>
          <w:tcPr>
            <w:tcW w:w="295" w:type="pct"/>
            <w:noWrap w:val="0"/>
            <w:vAlign w:val="top"/>
          </w:tcPr>
          <w:p>
            <w:pPr>
              <w:spacing w:line="240" w:lineRule="auto"/>
              <w:rPr>
                <w:rFonts w:hint="eastAsia" w:ascii="宋体" w:hAnsi="宋体" w:cs="宋体"/>
                <w:color w:val="auto"/>
                <w:szCs w:val="21"/>
                <w:highlight w:val="none"/>
              </w:rPr>
            </w:pPr>
          </w:p>
        </w:tc>
        <w:tc>
          <w:tcPr>
            <w:tcW w:w="289" w:type="pct"/>
            <w:noWrap w:val="0"/>
            <w:vAlign w:val="top"/>
          </w:tcPr>
          <w:p>
            <w:pPr>
              <w:spacing w:line="240" w:lineRule="auto"/>
              <w:rPr>
                <w:rFonts w:hint="eastAsia" w:ascii="宋体" w:hAnsi="宋体" w:cs="宋体"/>
                <w:color w:val="auto"/>
                <w:szCs w:val="21"/>
                <w:highlight w:val="none"/>
              </w:rPr>
            </w:pPr>
          </w:p>
        </w:tc>
        <w:tc>
          <w:tcPr>
            <w:tcW w:w="254" w:type="pct"/>
            <w:noWrap w:val="0"/>
            <w:vAlign w:val="top"/>
          </w:tcPr>
          <w:p>
            <w:pPr>
              <w:spacing w:line="240" w:lineRule="auto"/>
              <w:rPr>
                <w:rFonts w:hint="eastAsia" w:ascii="宋体" w:hAnsi="宋体" w:cs="宋体"/>
                <w:color w:val="auto"/>
                <w:szCs w:val="21"/>
                <w:highlight w:val="none"/>
              </w:rPr>
            </w:pPr>
          </w:p>
        </w:tc>
        <w:tc>
          <w:tcPr>
            <w:tcW w:w="345" w:type="pct"/>
            <w:noWrap w:val="0"/>
            <w:vAlign w:val="top"/>
          </w:tcPr>
          <w:p>
            <w:pPr>
              <w:spacing w:line="240" w:lineRule="auto"/>
              <w:rPr>
                <w:rFonts w:hint="eastAsia" w:ascii="宋体" w:hAnsi="宋体" w:cs="宋体"/>
                <w:color w:val="auto"/>
                <w:szCs w:val="21"/>
                <w:highlight w:val="none"/>
              </w:rPr>
            </w:pPr>
          </w:p>
        </w:tc>
        <w:tc>
          <w:tcPr>
            <w:tcW w:w="306"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8" w:type="pct"/>
            <w:noWrap w:val="0"/>
            <w:vAlign w:val="top"/>
          </w:tcPr>
          <w:p>
            <w:pPr>
              <w:spacing w:line="240" w:lineRule="auto"/>
              <w:rPr>
                <w:rFonts w:hint="eastAsia" w:ascii="宋体" w:hAnsi="宋体" w:cs="宋体"/>
                <w:color w:val="auto"/>
                <w:szCs w:val="21"/>
                <w:highlight w:val="none"/>
              </w:rPr>
            </w:pPr>
          </w:p>
        </w:tc>
        <w:tc>
          <w:tcPr>
            <w:tcW w:w="279"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7" w:type="pct"/>
            <w:noWrap w:val="0"/>
            <w:vAlign w:val="top"/>
          </w:tcPr>
          <w:p>
            <w:pPr>
              <w:spacing w:line="24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51" w:type="pct"/>
            <w:noWrap w:val="0"/>
            <w:vAlign w:val="top"/>
          </w:tcPr>
          <w:p>
            <w:pPr>
              <w:spacing w:line="240" w:lineRule="auto"/>
              <w:rPr>
                <w:rFonts w:hint="eastAsia" w:ascii="宋体" w:hAnsi="宋体" w:cs="宋体"/>
                <w:color w:val="auto"/>
                <w:szCs w:val="21"/>
                <w:highlight w:val="none"/>
              </w:rPr>
            </w:pPr>
          </w:p>
        </w:tc>
        <w:tc>
          <w:tcPr>
            <w:tcW w:w="490" w:type="pct"/>
            <w:noWrap w:val="0"/>
            <w:vAlign w:val="top"/>
          </w:tcPr>
          <w:p>
            <w:pPr>
              <w:spacing w:line="240" w:lineRule="auto"/>
              <w:rPr>
                <w:rFonts w:hint="eastAsia" w:ascii="宋体" w:hAnsi="宋体" w:cs="宋体"/>
                <w:color w:val="auto"/>
                <w:szCs w:val="21"/>
                <w:highlight w:val="none"/>
              </w:rPr>
            </w:pPr>
          </w:p>
        </w:tc>
        <w:tc>
          <w:tcPr>
            <w:tcW w:w="354" w:type="pct"/>
            <w:noWrap w:val="0"/>
            <w:vAlign w:val="top"/>
          </w:tcPr>
          <w:p>
            <w:pPr>
              <w:spacing w:line="240" w:lineRule="auto"/>
              <w:rPr>
                <w:rFonts w:hint="eastAsia" w:ascii="宋体" w:hAnsi="宋体" w:cs="宋体"/>
                <w:color w:val="auto"/>
                <w:szCs w:val="21"/>
                <w:highlight w:val="none"/>
              </w:rPr>
            </w:pPr>
          </w:p>
        </w:tc>
        <w:tc>
          <w:tcPr>
            <w:tcW w:w="331" w:type="pct"/>
            <w:noWrap w:val="0"/>
            <w:vAlign w:val="top"/>
          </w:tcPr>
          <w:p>
            <w:pPr>
              <w:spacing w:line="240" w:lineRule="auto"/>
              <w:rPr>
                <w:rFonts w:hint="eastAsia" w:ascii="宋体" w:hAnsi="宋体" w:cs="宋体"/>
                <w:color w:val="auto"/>
                <w:szCs w:val="21"/>
                <w:highlight w:val="none"/>
              </w:rPr>
            </w:pPr>
          </w:p>
        </w:tc>
        <w:tc>
          <w:tcPr>
            <w:tcW w:w="295" w:type="pct"/>
            <w:noWrap w:val="0"/>
            <w:vAlign w:val="top"/>
          </w:tcPr>
          <w:p>
            <w:pPr>
              <w:spacing w:line="240" w:lineRule="auto"/>
              <w:rPr>
                <w:rFonts w:hint="eastAsia" w:ascii="宋体" w:hAnsi="宋体" w:cs="宋体"/>
                <w:color w:val="auto"/>
                <w:szCs w:val="21"/>
                <w:highlight w:val="none"/>
              </w:rPr>
            </w:pPr>
          </w:p>
        </w:tc>
        <w:tc>
          <w:tcPr>
            <w:tcW w:w="289" w:type="pct"/>
            <w:noWrap w:val="0"/>
            <w:vAlign w:val="top"/>
          </w:tcPr>
          <w:p>
            <w:pPr>
              <w:spacing w:line="240" w:lineRule="auto"/>
              <w:rPr>
                <w:rFonts w:hint="eastAsia" w:ascii="宋体" w:hAnsi="宋体" w:cs="宋体"/>
                <w:color w:val="auto"/>
                <w:szCs w:val="21"/>
                <w:highlight w:val="none"/>
              </w:rPr>
            </w:pPr>
          </w:p>
        </w:tc>
        <w:tc>
          <w:tcPr>
            <w:tcW w:w="254" w:type="pct"/>
            <w:noWrap w:val="0"/>
            <w:vAlign w:val="top"/>
          </w:tcPr>
          <w:p>
            <w:pPr>
              <w:spacing w:line="240" w:lineRule="auto"/>
              <w:rPr>
                <w:rFonts w:hint="eastAsia" w:ascii="宋体" w:hAnsi="宋体" w:cs="宋体"/>
                <w:color w:val="auto"/>
                <w:szCs w:val="21"/>
                <w:highlight w:val="none"/>
              </w:rPr>
            </w:pPr>
          </w:p>
        </w:tc>
        <w:tc>
          <w:tcPr>
            <w:tcW w:w="345" w:type="pct"/>
            <w:noWrap w:val="0"/>
            <w:vAlign w:val="top"/>
          </w:tcPr>
          <w:p>
            <w:pPr>
              <w:spacing w:line="240" w:lineRule="auto"/>
              <w:rPr>
                <w:rFonts w:hint="eastAsia" w:ascii="宋体" w:hAnsi="宋体" w:cs="宋体"/>
                <w:color w:val="auto"/>
                <w:szCs w:val="21"/>
                <w:highlight w:val="none"/>
              </w:rPr>
            </w:pPr>
          </w:p>
        </w:tc>
        <w:tc>
          <w:tcPr>
            <w:tcW w:w="306"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8" w:type="pct"/>
            <w:noWrap w:val="0"/>
            <w:vAlign w:val="top"/>
          </w:tcPr>
          <w:p>
            <w:pPr>
              <w:spacing w:line="240" w:lineRule="auto"/>
              <w:rPr>
                <w:rFonts w:hint="eastAsia" w:ascii="宋体" w:hAnsi="宋体" w:cs="宋体"/>
                <w:color w:val="auto"/>
                <w:szCs w:val="21"/>
                <w:highlight w:val="none"/>
              </w:rPr>
            </w:pPr>
          </w:p>
        </w:tc>
        <w:tc>
          <w:tcPr>
            <w:tcW w:w="279"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7" w:type="pct"/>
            <w:noWrap w:val="0"/>
            <w:vAlign w:val="top"/>
          </w:tcPr>
          <w:p>
            <w:pPr>
              <w:spacing w:line="24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1" w:type="pct"/>
            <w:noWrap w:val="0"/>
            <w:vAlign w:val="top"/>
          </w:tcPr>
          <w:p>
            <w:pPr>
              <w:spacing w:line="240" w:lineRule="auto"/>
              <w:rPr>
                <w:rFonts w:hint="eastAsia" w:ascii="宋体" w:hAnsi="宋体" w:cs="宋体"/>
                <w:color w:val="auto"/>
                <w:szCs w:val="21"/>
                <w:highlight w:val="none"/>
              </w:rPr>
            </w:pPr>
          </w:p>
        </w:tc>
        <w:tc>
          <w:tcPr>
            <w:tcW w:w="490" w:type="pct"/>
            <w:noWrap w:val="0"/>
            <w:vAlign w:val="top"/>
          </w:tcPr>
          <w:p>
            <w:pPr>
              <w:spacing w:line="240" w:lineRule="auto"/>
              <w:rPr>
                <w:rFonts w:hint="eastAsia" w:ascii="宋体" w:hAnsi="宋体" w:cs="宋体"/>
                <w:color w:val="auto"/>
                <w:szCs w:val="21"/>
                <w:highlight w:val="none"/>
              </w:rPr>
            </w:pPr>
          </w:p>
        </w:tc>
        <w:tc>
          <w:tcPr>
            <w:tcW w:w="354" w:type="pct"/>
            <w:noWrap w:val="0"/>
            <w:vAlign w:val="top"/>
          </w:tcPr>
          <w:p>
            <w:pPr>
              <w:spacing w:line="240" w:lineRule="auto"/>
              <w:rPr>
                <w:rFonts w:hint="eastAsia" w:ascii="宋体" w:hAnsi="宋体" w:cs="宋体"/>
                <w:color w:val="auto"/>
                <w:szCs w:val="21"/>
                <w:highlight w:val="none"/>
              </w:rPr>
            </w:pPr>
          </w:p>
        </w:tc>
        <w:tc>
          <w:tcPr>
            <w:tcW w:w="331" w:type="pct"/>
            <w:noWrap w:val="0"/>
            <w:vAlign w:val="top"/>
          </w:tcPr>
          <w:p>
            <w:pPr>
              <w:spacing w:line="240" w:lineRule="auto"/>
              <w:rPr>
                <w:rFonts w:hint="eastAsia" w:ascii="宋体" w:hAnsi="宋体" w:cs="宋体"/>
                <w:color w:val="auto"/>
                <w:szCs w:val="21"/>
                <w:highlight w:val="none"/>
              </w:rPr>
            </w:pPr>
          </w:p>
        </w:tc>
        <w:tc>
          <w:tcPr>
            <w:tcW w:w="295" w:type="pct"/>
            <w:noWrap w:val="0"/>
            <w:vAlign w:val="top"/>
          </w:tcPr>
          <w:p>
            <w:pPr>
              <w:spacing w:line="240" w:lineRule="auto"/>
              <w:rPr>
                <w:rFonts w:hint="eastAsia" w:ascii="宋体" w:hAnsi="宋体" w:cs="宋体"/>
                <w:color w:val="auto"/>
                <w:szCs w:val="21"/>
                <w:highlight w:val="none"/>
              </w:rPr>
            </w:pPr>
          </w:p>
        </w:tc>
        <w:tc>
          <w:tcPr>
            <w:tcW w:w="289" w:type="pct"/>
            <w:noWrap w:val="0"/>
            <w:vAlign w:val="top"/>
          </w:tcPr>
          <w:p>
            <w:pPr>
              <w:spacing w:line="240" w:lineRule="auto"/>
              <w:rPr>
                <w:rFonts w:hint="eastAsia" w:ascii="宋体" w:hAnsi="宋体" w:cs="宋体"/>
                <w:color w:val="auto"/>
                <w:szCs w:val="21"/>
                <w:highlight w:val="none"/>
              </w:rPr>
            </w:pPr>
          </w:p>
        </w:tc>
        <w:tc>
          <w:tcPr>
            <w:tcW w:w="254" w:type="pct"/>
            <w:noWrap w:val="0"/>
            <w:vAlign w:val="top"/>
          </w:tcPr>
          <w:p>
            <w:pPr>
              <w:spacing w:line="240" w:lineRule="auto"/>
              <w:rPr>
                <w:rFonts w:hint="eastAsia" w:ascii="宋体" w:hAnsi="宋体" w:cs="宋体"/>
                <w:color w:val="auto"/>
                <w:szCs w:val="21"/>
                <w:highlight w:val="none"/>
              </w:rPr>
            </w:pPr>
          </w:p>
        </w:tc>
        <w:tc>
          <w:tcPr>
            <w:tcW w:w="345" w:type="pct"/>
            <w:noWrap w:val="0"/>
            <w:vAlign w:val="top"/>
          </w:tcPr>
          <w:p>
            <w:pPr>
              <w:spacing w:line="240" w:lineRule="auto"/>
              <w:rPr>
                <w:rFonts w:hint="eastAsia" w:ascii="宋体" w:hAnsi="宋体" w:cs="宋体"/>
                <w:color w:val="auto"/>
                <w:szCs w:val="21"/>
                <w:highlight w:val="none"/>
              </w:rPr>
            </w:pPr>
          </w:p>
        </w:tc>
        <w:tc>
          <w:tcPr>
            <w:tcW w:w="306"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8" w:type="pct"/>
            <w:noWrap w:val="0"/>
            <w:vAlign w:val="top"/>
          </w:tcPr>
          <w:p>
            <w:pPr>
              <w:spacing w:line="240" w:lineRule="auto"/>
              <w:rPr>
                <w:rFonts w:hint="eastAsia" w:ascii="宋体" w:hAnsi="宋体" w:cs="宋体"/>
                <w:color w:val="auto"/>
                <w:szCs w:val="21"/>
                <w:highlight w:val="none"/>
              </w:rPr>
            </w:pPr>
          </w:p>
        </w:tc>
        <w:tc>
          <w:tcPr>
            <w:tcW w:w="279"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7" w:type="pct"/>
            <w:noWrap w:val="0"/>
            <w:vAlign w:val="top"/>
          </w:tcPr>
          <w:p>
            <w:pPr>
              <w:spacing w:line="24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1" w:type="pct"/>
            <w:noWrap w:val="0"/>
            <w:vAlign w:val="top"/>
          </w:tcPr>
          <w:p>
            <w:pPr>
              <w:spacing w:line="240" w:lineRule="auto"/>
              <w:rPr>
                <w:rFonts w:hint="eastAsia" w:ascii="宋体" w:hAnsi="宋体" w:cs="宋体"/>
                <w:color w:val="auto"/>
                <w:szCs w:val="21"/>
                <w:highlight w:val="none"/>
              </w:rPr>
            </w:pPr>
          </w:p>
        </w:tc>
        <w:tc>
          <w:tcPr>
            <w:tcW w:w="490" w:type="pct"/>
            <w:noWrap w:val="0"/>
            <w:vAlign w:val="top"/>
          </w:tcPr>
          <w:p>
            <w:pPr>
              <w:spacing w:line="240" w:lineRule="auto"/>
              <w:rPr>
                <w:rFonts w:hint="eastAsia" w:ascii="宋体" w:hAnsi="宋体" w:cs="宋体"/>
                <w:color w:val="auto"/>
                <w:szCs w:val="21"/>
                <w:highlight w:val="none"/>
              </w:rPr>
            </w:pPr>
          </w:p>
        </w:tc>
        <w:tc>
          <w:tcPr>
            <w:tcW w:w="354" w:type="pct"/>
            <w:noWrap w:val="0"/>
            <w:vAlign w:val="top"/>
          </w:tcPr>
          <w:p>
            <w:pPr>
              <w:spacing w:line="240" w:lineRule="auto"/>
              <w:rPr>
                <w:rFonts w:hint="eastAsia" w:ascii="宋体" w:hAnsi="宋体" w:cs="宋体"/>
                <w:color w:val="auto"/>
                <w:szCs w:val="21"/>
                <w:highlight w:val="none"/>
              </w:rPr>
            </w:pPr>
          </w:p>
        </w:tc>
        <w:tc>
          <w:tcPr>
            <w:tcW w:w="331" w:type="pct"/>
            <w:noWrap w:val="0"/>
            <w:vAlign w:val="top"/>
          </w:tcPr>
          <w:p>
            <w:pPr>
              <w:spacing w:line="240" w:lineRule="auto"/>
              <w:rPr>
                <w:rFonts w:hint="eastAsia" w:ascii="宋体" w:hAnsi="宋体" w:cs="宋体"/>
                <w:color w:val="auto"/>
                <w:szCs w:val="21"/>
                <w:highlight w:val="none"/>
              </w:rPr>
            </w:pPr>
          </w:p>
        </w:tc>
        <w:tc>
          <w:tcPr>
            <w:tcW w:w="295" w:type="pct"/>
            <w:noWrap w:val="0"/>
            <w:vAlign w:val="top"/>
          </w:tcPr>
          <w:p>
            <w:pPr>
              <w:spacing w:line="240" w:lineRule="auto"/>
              <w:rPr>
                <w:rFonts w:hint="eastAsia" w:ascii="宋体" w:hAnsi="宋体" w:cs="宋体"/>
                <w:color w:val="auto"/>
                <w:szCs w:val="21"/>
                <w:highlight w:val="none"/>
              </w:rPr>
            </w:pPr>
          </w:p>
        </w:tc>
        <w:tc>
          <w:tcPr>
            <w:tcW w:w="289" w:type="pct"/>
            <w:noWrap w:val="0"/>
            <w:vAlign w:val="top"/>
          </w:tcPr>
          <w:p>
            <w:pPr>
              <w:spacing w:line="240" w:lineRule="auto"/>
              <w:rPr>
                <w:rFonts w:hint="eastAsia" w:ascii="宋体" w:hAnsi="宋体" w:cs="宋体"/>
                <w:color w:val="auto"/>
                <w:szCs w:val="21"/>
                <w:highlight w:val="none"/>
              </w:rPr>
            </w:pPr>
          </w:p>
        </w:tc>
        <w:tc>
          <w:tcPr>
            <w:tcW w:w="254" w:type="pct"/>
            <w:noWrap w:val="0"/>
            <w:vAlign w:val="top"/>
          </w:tcPr>
          <w:p>
            <w:pPr>
              <w:spacing w:line="240" w:lineRule="auto"/>
              <w:rPr>
                <w:rFonts w:hint="eastAsia" w:ascii="宋体" w:hAnsi="宋体" w:cs="宋体"/>
                <w:color w:val="auto"/>
                <w:szCs w:val="21"/>
                <w:highlight w:val="none"/>
              </w:rPr>
            </w:pPr>
          </w:p>
        </w:tc>
        <w:tc>
          <w:tcPr>
            <w:tcW w:w="345" w:type="pct"/>
            <w:noWrap w:val="0"/>
            <w:vAlign w:val="top"/>
          </w:tcPr>
          <w:p>
            <w:pPr>
              <w:spacing w:line="240" w:lineRule="auto"/>
              <w:rPr>
                <w:rFonts w:hint="eastAsia" w:ascii="宋体" w:hAnsi="宋体" w:cs="宋体"/>
                <w:color w:val="auto"/>
                <w:szCs w:val="21"/>
                <w:highlight w:val="none"/>
              </w:rPr>
            </w:pPr>
          </w:p>
        </w:tc>
        <w:tc>
          <w:tcPr>
            <w:tcW w:w="306"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8" w:type="pct"/>
            <w:noWrap w:val="0"/>
            <w:vAlign w:val="top"/>
          </w:tcPr>
          <w:p>
            <w:pPr>
              <w:spacing w:line="240" w:lineRule="auto"/>
              <w:rPr>
                <w:rFonts w:hint="eastAsia" w:ascii="宋体" w:hAnsi="宋体" w:cs="宋体"/>
                <w:color w:val="auto"/>
                <w:szCs w:val="21"/>
                <w:highlight w:val="none"/>
              </w:rPr>
            </w:pPr>
          </w:p>
        </w:tc>
        <w:tc>
          <w:tcPr>
            <w:tcW w:w="279"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7" w:type="pct"/>
            <w:noWrap w:val="0"/>
            <w:vAlign w:val="top"/>
          </w:tcPr>
          <w:p>
            <w:pPr>
              <w:spacing w:line="24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1" w:type="pct"/>
            <w:noWrap w:val="0"/>
            <w:vAlign w:val="top"/>
          </w:tcPr>
          <w:p>
            <w:pPr>
              <w:spacing w:line="240" w:lineRule="auto"/>
              <w:rPr>
                <w:rFonts w:hint="eastAsia" w:ascii="宋体" w:hAnsi="宋体" w:cs="宋体"/>
                <w:color w:val="auto"/>
                <w:szCs w:val="21"/>
                <w:highlight w:val="none"/>
              </w:rPr>
            </w:pPr>
          </w:p>
        </w:tc>
        <w:tc>
          <w:tcPr>
            <w:tcW w:w="490" w:type="pct"/>
            <w:noWrap w:val="0"/>
            <w:vAlign w:val="top"/>
          </w:tcPr>
          <w:p>
            <w:pPr>
              <w:spacing w:line="240" w:lineRule="auto"/>
              <w:rPr>
                <w:rFonts w:hint="eastAsia" w:ascii="宋体" w:hAnsi="宋体" w:cs="宋体"/>
                <w:color w:val="auto"/>
                <w:szCs w:val="21"/>
                <w:highlight w:val="none"/>
              </w:rPr>
            </w:pPr>
          </w:p>
        </w:tc>
        <w:tc>
          <w:tcPr>
            <w:tcW w:w="354" w:type="pct"/>
            <w:noWrap w:val="0"/>
            <w:vAlign w:val="top"/>
          </w:tcPr>
          <w:p>
            <w:pPr>
              <w:spacing w:line="240" w:lineRule="auto"/>
              <w:rPr>
                <w:rFonts w:hint="eastAsia" w:ascii="宋体" w:hAnsi="宋体" w:cs="宋体"/>
                <w:color w:val="auto"/>
                <w:szCs w:val="21"/>
                <w:highlight w:val="none"/>
              </w:rPr>
            </w:pPr>
          </w:p>
        </w:tc>
        <w:tc>
          <w:tcPr>
            <w:tcW w:w="331" w:type="pct"/>
            <w:noWrap w:val="0"/>
            <w:vAlign w:val="top"/>
          </w:tcPr>
          <w:p>
            <w:pPr>
              <w:spacing w:line="240" w:lineRule="auto"/>
              <w:rPr>
                <w:rFonts w:hint="eastAsia" w:ascii="宋体" w:hAnsi="宋体" w:cs="宋体"/>
                <w:color w:val="auto"/>
                <w:szCs w:val="21"/>
                <w:highlight w:val="none"/>
              </w:rPr>
            </w:pPr>
          </w:p>
        </w:tc>
        <w:tc>
          <w:tcPr>
            <w:tcW w:w="295" w:type="pct"/>
            <w:noWrap w:val="0"/>
            <w:vAlign w:val="top"/>
          </w:tcPr>
          <w:p>
            <w:pPr>
              <w:spacing w:line="240" w:lineRule="auto"/>
              <w:rPr>
                <w:rFonts w:hint="eastAsia" w:ascii="宋体" w:hAnsi="宋体" w:cs="宋体"/>
                <w:color w:val="auto"/>
                <w:szCs w:val="21"/>
                <w:highlight w:val="none"/>
              </w:rPr>
            </w:pPr>
          </w:p>
        </w:tc>
        <w:tc>
          <w:tcPr>
            <w:tcW w:w="289" w:type="pct"/>
            <w:noWrap w:val="0"/>
            <w:vAlign w:val="top"/>
          </w:tcPr>
          <w:p>
            <w:pPr>
              <w:spacing w:line="240" w:lineRule="auto"/>
              <w:rPr>
                <w:rFonts w:hint="eastAsia" w:ascii="宋体" w:hAnsi="宋体" w:cs="宋体"/>
                <w:color w:val="auto"/>
                <w:szCs w:val="21"/>
                <w:highlight w:val="none"/>
              </w:rPr>
            </w:pPr>
          </w:p>
        </w:tc>
        <w:tc>
          <w:tcPr>
            <w:tcW w:w="254" w:type="pct"/>
            <w:noWrap w:val="0"/>
            <w:vAlign w:val="top"/>
          </w:tcPr>
          <w:p>
            <w:pPr>
              <w:spacing w:line="240" w:lineRule="auto"/>
              <w:rPr>
                <w:rFonts w:hint="eastAsia" w:ascii="宋体" w:hAnsi="宋体" w:cs="宋体"/>
                <w:color w:val="auto"/>
                <w:szCs w:val="21"/>
                <w:highlight w:val="none"/>
              </w:rPr>
            </w:pPr>
          </w:p>
        </w:tc>
        <w:tc>
          <w:tcPr>
            <w:tcW w:w="345" w:type="pct"/>
            <w:noWrap w:val="0"/>
            <w:vAlign w:val="top"/>
          </w:tcPr>
          <w:p>
            <w:pPr>
              <w:spacing w:line="240" w:lineRule="auto"/>
              <w:rPr>
                <w:rFonts w:hint="eastAsia" w:ascii="宋体" w:hAnsi="宋体" w:cs="宋体"/>
                <w:color w:val="auto"/>
                <w:szCs w:val="21"/>
                <w:highlight w:val="none"/>
              </w:rPr>
            </w:pPr>
          </w:p>
        </w:tc>
        <w:tc>
          <w:tcPr>
            <w:tcW w:w="306"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8" w:type="pct"/>
            <w:noWrap w:val="0"/>
            <w:vAlign w:val="top"/>
          </w:tcPr>
          <w:p>
            <w:pPr>
              <w:spacing w:line="240" w:lineRule="auto"/>
              <w:rPr>
                <w:rFonts w:hint="eastAsia" w:ascii="宋体" w:hAnsi="宋体" w:cs="宋体"/>
                <w:color w:val="auto"/>
                <w:szCs w:val="21"/>
                <w:highlight w:val="none"/>
              </w:rPr>
            </w:pPr>
          </w:p>
        </w:tc>
        <w:tc>
          <w:tcPr>
            <w:tcW w:w="279"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7" w:type="pct"/>
            <w:noWrap w:val="0"/>
            <w:vAlign w:val="top"/>
          </w:tcPr>
          <w:p>
            <w:pPr>
              <w:spacing w:line="24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1" w:type="pct"/>
            <w:noWrap w:val="0"/>
            <w:vAlign w:val="top"/>
          </w:tcPr>
          <w:p>
            <w:pPr>
              <w:spacing w:line="240" w:lineRule="auto"/>
              <w:rPr>
                <w:rFonts w:hint="eastAsia" w:ascii="宋体" w:hAnsi="宋体" w:cs="宋体"/>
                <w:color w:val="auto"/>
                <w:szCs w:val="21"/>
                <w:highlight w:val="none"/>
              </w:rPr>
            </w:pPr>
          </w:p>
        </w:tc>
        <w:tc>
          <w:tcPr>
            <w:tcW w:w="490" w:type="pct"/>
            <w:noWrap w:val="0"/>
            <w:vAlign w:val="top"/>
          </w:tcPr>
          <w:p>
            <w:pPr>
              <w:spacing w:line="240" w:lineRule="auto"/>
              <w:rPr>
                <w:rFonts w:hint="eastAsia" w:ascii="宋体" w:hAnsi="宋体" w:cs="宋体"/>
                <w:color w:val="auto"/>
                <w:szCs w:val="21"/>
                <w:highlight w:val="none"/>
              </w:rPr>
            </w:pPr>
          </w:p>
        </w:tc>
        <w:tc>
          <w:tcPr>
            <w:tcW w:w="354" w:type="pct"/>
            <w:noWrap w:val="0"/>
            <w:vAlign w:val="top"/>
          </w:tcPr>
          <w:p>
            <w:pPr>
              <w:spacing w:line="240" w:lineRule="auto"/>
              <w:rPr>
                <w:rFonts w:hint="eastAsia" w:ascii="宋体" w:hAnsi="宋体" w:cs="宋体"/>
                <w:color w:val="auto"/>
                <w:szCs w:val="21"/>
                <w:highlight w:val="none"/>
              </w:rPr>
            </w:pPr>
          </w:p>
        </w:tc>
        <w:tc>
          <w:tcPr>
            <w:tcW w:w="331" w:type="pct"/>
            <w:noWrap w:val="0"/>
            <w:vAlign w:val="top"/>
          </w:tcPr>
          <w:p>
            <w:pPr>
              <w:spacing w:line="240" w:lineRule="auto"/>
              <w:rPr>
                <w:rFonts w:hint="eastAsia" w:ascii="宋体" w:hAnsi="宋体" w:cs="宋体"/>
                <w:color w:val="auto"/>
                <w:szCs w:val="21"/>
                <w:highlight w:val="none"/>
              </w:rPr>
            </w:pPr>
          </w:p>
        </w:tc>
        <w:tc>
          <w:tcPr>
            <w:tcW w:w="295" w:type="pct"/>
            <w:noWrap w:val="0"/>
            <w:vAlign w:val="top"/>
          </w:tcPr>
          <w:p>
            <w:pPr>
              <w:spacing w:line="240" w:lineRule="auto"/>
              <w:rPr>
                <w:rFonts w:hint="eastAsia" w:ascii="宋体" w:hAnsi="宋体" w:cs="宋体"/>
                <w:color w:val="auto"/>
                <w:szCs w:val="21"/>
                <w:highlight w:val="none"/>
              </w:rPr>
            </w:pPr>
          </w:p>
        </w:tc>
        <w:tc>
          <w:tcPr>
            <w:tcW w:w="289" w:type="pct"/>
            <w:noWrap w:val="0"/>
            <w:vAlign w:val="top"/>
          </w:tcPr>
          <w:p>
            <w:pPr>
              <w:spacing w:line="240" w:lineRule="auto"/>
              <w:rPr>
                <w:rFonts w:hint="eastAsia" w:ascii="宋体" w:hAnsi="宋体" w:cs="宋体"/>
                <w:color w:val="auto"/>
                <w:szCs w:val="21"/>
                <w:highlight w:val="none"/>
              </w:rPr>
            </w:pPr>
          </w:p>
        </w:tc>
        <w:tc>
          <w:tcPr>
            <w:tcW w:w="254" w:type="pct"/>
            <w:noWrap w:val="0"/>
            <w:vAlign w:val="top"/>
          </w:tcPr>
          <w:p>
            <w:pPr>
              <w:spacing w:line="240" w:lineRule="auto"/>
              <w:rPr>
                <w:rFonts w:hint="eastAsia" w:ascii="宋体" w:hAnsi="宋体" w:cs="宋体"/>
                <w:color w:val="auto"/>
                <w:szCs w:val="21"/>
                <w:highlight w:val="none"/>
              </w:rPr>
            </w:pPr>
          </w:p>
        </w:tc>
        <w:tc>
          <w:tcPr>
            <w:tcW w:w="345" w:type="pct"/>
            <w:noWrap w:val="0"/>
            <w:vAlign w:val="top"/>
          </w:tcPr>
          <w:p>
            <w:pPr>
              <w:spacing w:line="240" w:lineRule="auto"/>
              <w:rPr>
                <w:rFonts w:hint="eastAsia" w:ascii="宋体" w:hAnsi="宋体" w:cs="宋体"/>
                <w:color w:val="auto"/>
                <w:szCs w:val="21"/>
                <w:highlight w:val="none"/>
              </w:rPr>
            </w:pPr>
          </w:p>
        </w:tc>
        <w:tc>
          <w:tcPr>
            <w:tcW w:w="306"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8" w:type="pct"/>
            <w:noWrap w:val="0"/>
            <w:vAlign w:val="top"/>
          </w:tcPr>
          <w:p>
            <w:pPr>
              <w:spacing w:line="240" w:lineRule="auto"/>
              <w:rPr>
                <w:rFonts w:hint="eastAsia" w:ascii="宋体" w:hAnsi="宋体" w:cs="宋体"/>
                <w:color w:val="auto"/>
                <w:szCs w:val="21"/>
                <w:highlight w:val="none"/>
              </w:rPr>
            </w:pPr>
          </w:p>
        </w:tc>
        <w:tc>
          <w:tcPr>
            <w:tcW w:w="279" w:type="pct"/>
            <w:noWrap w:val="0"/>
            <w:vAlign w:val="top"/>
          </w:tcPr>
          <w:p>
            <w:pPr>
              <w:spacing w:line="240" w:lineRule="auto"/>
              <w:rPr>
                <w:rFonts w:hint="eastAsia" w:ascii="宋体" w:hAnsi="宋体" w:cs="宋体"/>
                <w:color w:val="auto"/>
                <w:szCs w:val="21"/>
                <w:highlight w:val="none"/>
              </w:rPr>
            </w:pPr>
          </w:p>
        </w:tc>
        <w:tc>
          <w:tcPr>
            <w:tcW w:w="291" w:type="pct"/>
            <w:noWrap w:val="0"/>
            <w:vAlign w:val="top"/>
          </w:tcPr>
          <w:p>
            <w:pPr>
              <w:spacing w:line="240" w:lineRule="auto"/>
              <w:rPr>
                <w:rFonts w:hint="eastAsia" w:ascii="宋体" w:hAnsi="宋体" w:cs="宋体"/>
                <w:color w:val="auto"/>
                <w:szCs w:val="21"/>
                <w:highlight w:val="none"/>
              </w:rPr>
            </w:pPr>
          </w:p>
        </w:tc>
        <w:tc>
          <w:tcPr>
            <w:tcW w:w="301" w:type="pct"/>
            <w:noWrap w:val="0"/>
            <w:vAlign w:val="top"/>
          </w:tcPr>
          <w:p>
            <w:pPr>
              <w:spacing w:line="240" w:lineRule="auto"/>
              <w:rPr>
                <w:rFonts w:hint="eastAsia" w:ascii="宋体" w:hAnsi="宋体" w:cs="宋体"/>
                <w:color w:val="auto"/>
                <w:szCs w:val="21"/>
                <w:highlight w:val="none"/>
              </w:rPr>
            </w:pPr>
          </w:p>
        </w:tc>
        <w:tc>
          <w:tcPr>
            <w:tcW w:w="307" w:type="pct"/>
            <w:noWrap w:val="0"/>
            <w:vAlign w:val="top"/>
          </w:tcPr>
          <w:p>
            <w:pPr>
              <w:spacing w:line="240" w:lineRule="auto"/>
              <w:rPr>
                <w:rFonts w:hint="eastAsia" w:ascii="宋体" w:hAnsi="宋体" w:cs="宋体"/>
                <w:color w:val="auto"/>
                <w:szCs w:val="21"/>
                <w:highlight w:val="none"/>
              </w:rPr>
            </w:pPr>
          </w:p>
        </w:tc>
      </w:tr>
    </w:tbl>
    <w:p>
      <w:pPr>
        <w:spacing w:line="400" w:lineRule="exact"/>
        <w:ind w:right="420"/>
        <w:rPr>
          <w:rFonts w:hint="eastAsia" w:ascii="宋体" w:hAnsi="宋体" w:cs="宋体"/>
          <w:color w:val="auto"/>
          <w:szCs w:val="21"/>
          <w:highlight w:val="none"/>
        </w:rPr>
      </w:pPr>
      <w:r>
        <w:rPr>
          <w:rFonts w:hint="eastAsia" w:ascii="宋体" w:hAnsi="宋体" w:cs="宋体"/>
          <w:color w:val="auto"/>
          <w:kern w:val="1"/>
          <w:szCs w:val="21"/>
          <w:highlight w:val="none"/>
        </w:rPr>
        <w:t>招标代理：                               招标人代表：                               交易中心见证人：</w:t>
      </w:r>
    </w:p>
    <w:p>
      <w:pPr>
        <w:rPr>
          <w:rFonts w:hint="eastAsia" w:ascii="宋体" w:hAnsi="宋体" w:cs="宋体"/>
          <w:color w:val="auto"/>
          <w:kern w:val="1"/>
          <w:szCs w:val="21"/>
          <w:highlight w:val="none"/>
          <w:u w:val="single"/>
        </w:rPr>
      </w:pPr>
    </w:p>
    <w:p>
      <w:pPr>
        <w:spacing w:line="360" w:lineRule="auto"/>
        <w:rPr>
          <w:rFonts w:hint="eastAsia" w:ascii="宋体" w:hAnsi="宋体" w:cs="宋体"/>
          <w:color w:val="auto"/>
          <w:sz w:val="20"/>
          <w:szCs w:val="20"/>
          <w:highlight w:val="none"/>
        </w:rPr>
      </w:pPr>
      <w:r>
        <w:rPr>
          <w:rFonts w:hint="eastAsia" w:ascii="宋体" w:hAnsi="宋体" w:cs="宋体"/>
          <w:color w:val="auto"/>
          <w:kern w:val="1"/>
          <w:szCs w:val="21"/>
          <w:highlight w:val="none"/>
          <w:u w:val="single"/>
        </w:rPr>
        <w:t>本表仅供参考，具体以开标时广州交易集团有限公司（广州公共资源交易中心）系统的开标记录表为准。</w:t>
      </w: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sectPr>
          <w:pgSz w:w="16838" w:h="11906" w:orient="landscape"/>
          <w:pgMar w:top="1440" w:right="1440" w:bottom="1440" w:left="1440" w:header="851" w:footer="992" w:gutter="0"/>
          <w:cols w:space="720" w:num="1"/>
          <w:docGrid w:type="lines" w:linePitch="322" w:charSpace="0"/>
        </w:sectPr>
      </w:pPr>
    </w:p>
    <w:p>
      <w:pPr>
        <w:pStyle w:val="21"/>
        <w:rPr>
          <w:rFonts w:hint="eastAsia" w:ascii="宋体" w:hAnsi="宋体" w:eastAsia="宋体" w:cs="宋体"/>
          <w:color w:val="auto"/>
          <w:highlight w:val="none"/>
        </w:rPr>
      </w:pPr>
    </w:p>
    <w:p>
      <w:pPr>
        <w:pStyle w:val="5"/>
        <w:rPr>
          <w:rFonts w:hint="eastAsia" w:ascii="宋体" w:eastAsia="宋体" w:cs="宋体"/>
          <w:color w:val="auto"/>
          <w:highlight w:val="none"/>
        </w:rPr>
      </w:pPr>
      <w:bookmarkStart w:id="502" w:name="_Toc31440"/>
      <w:bookmarkStart w:id="503" w:name="_Toc32072"/>
      <w:bookmarkStart w:id="504" w:name="_Toc22681"/>
      <w:r>
        <w:rPr>
          <w:rFonts w:hint="eastAsia" w:ascii="宋体" w:eastAsia="宋体" w:cs="宋体"/>
          <w:color w:val="auto"/>
          <w:highlight w:val="none"/>
        </w:rPr>
        <w:t>附件二：问题澄清通知</w:t>
      </w:r>
      <w:bookmarkEnd w:id="502"/>
      <w:bookmarkEnd w:id="503"/>
      <w:bookmarkEnd w:id="504"/>
    </w:p>
    <w:p>
      <w:pPr>
        <w:spacing w:line="440" w:lineRule="exact"/>
        <w:jc w:val="center"/>
        <w:rPr>
          <w:rFonts w:hint="eastAsia" w:ascii="宋体" w:hAnsi="宋体" w:cs="宋体"/>
          <w:color w:val="auto"/>
          <w:szCs w:val="21"/>
          <w:highlight w:val="none"/>
        </w:rPr>
      </w:pPr>
    </w:p>
    <w:p>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问题澄清通知</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编号：</w:t>
      </w: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w:t>
      </w: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（项目名称）招标的评标委员会，对你方的投标文件进行了仔细的审查，现需你方对下列问题以书面形式予以澄清：</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   </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请将上述问题的澄清于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时前递交至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（详细地址）或传真至</w:t>
      </w:r>
      <w:bookmarkStart w:id="505" w:name="_Toc247527607"/>
      <w:bookmarkStart w:id="506" w:name="_Toc152045582"/>
      <w:bookmarkStart w:id="507" w:name="_Toc247514006"/>
      <w:bookmarkStart w:id="508" w:name="_Toc300835003"/>
      <w:bookmarkStart w:id="509" w:name="_Toc357089563"/>
      <w:bookmarkStart w:id="510" w:name="_Toc439246049"/>
      <w:bookmarkStart w:id="511" w:name="_Toc152042359"/>
      <w:bookmarkStart w:id="512" w:name="_Toc144974549"/>
      <w:bookmarkStart w:id="513" w:name="_Toc356469229"/>
      <w:bookmarkStart w:id="514" w:name="_Toc439240650"/>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（传真号码</w:t>
      </w:r>
      <w:bookmarkEnd w:id="505"/>
      <w:bookmarkEnd w:id="506"/>
      <w:bookmarkEnd w:id="507"/>
      <w:bookmarkEnd w:id="508"/>
      <w:bookmarkEnd w:id="509"/>
      <w:bookmarkEnd w:id="510"/>
      <w:bookmarkEnd w:id="511"/>
      <w:bookmarkEnd w:id="512"/>
      <w:bookmarkEnd w:id="513"/>
      <w:bookmarkEnd w:id="514"/>
      <w:r>
        <w:rPr>
          <w:rFonts w:hint="eastAsia" w:ascii="宋体" w:hAnsi="宋体" w:cs="宋体"/>
          <w:color w:val="auto"/>
          <w:szCs w:val="21"/>
          <w:highlight w:val="none"/>
        </w:rPr>
        <w:t>）。采用传真方式的，应在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时前将原件递交至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（详细地址）。</w:t>
      </w: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p>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w:t>
      </w:r>
    </w:p>
    <w:p>
      <w:pPr>
        <w:spacing w:line="440" w:lineRule="exact"/>
        <w:rPr>
          <w:rFonts w:hint="eastAsia" w:ascii="宋体" w:hAnsi="宋体" w:cs="宋体"/>
          <w:color w:val="auto"/>
          <w:szCs w:val="21"/>
          <w:highlight w:val="none"/>
        </w:rPr>
      </w:pPr>
    </w:p>
    <w:p>
      <w:pPr>
        <w:spacing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年   月   日</w:t>
      </w: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r>
        <w:rPr>
          <w:rFonts w:hint="eastAsia" w:ascii="宋体" w:hAnsi="宋体" w:cs="宋体"/>
          <w:color w:val="auto"/>
          <w:highlight w:val="none"/>
        </w:rPr>
        <w:br w:type="page"/>
      </w:r>
    </w:p>
    <w:p>
      <w:pPr>
        <w:pStyle w:val="5"/>
        <w:rPr>
          <w:rFonts w:hint="eastAsia" w:ascii="宋体" w:eastAsia="宋体" w:cs="宋体"/>
          <w:color w:val="auto"/>
          <w:highlight w:val="none"/>
        </w:rPr>
      </w:pPr>
      <w:bookmarkStart w:id="515" w:name="_Toc3372"/>
      <w:bookmarkStart w:id="516" w:name="_Toc24308"/>
      <w:bookmarkStart w:id="517" w:name="_Toc12072"/>
      <w:r>
        <w:rPr>
          <w:rFonts w:hint="eastAsia" w:ascii="宋体" w:eastAsia="宋体" w:cs="宋体"/>
          <w:color w:val="auto"/>
          <w:highlight w:val="none"/>
        </w:rPr>
        <w:t>附件三：问题的澄清</w:t>
      </w:r>
      <w:bookmarkEnd w:id="515"/>
      <w:bookmarkEnd w:id="516"/>
      <w:bookmarkEnd w:id="517"/>
    </w:p>
    <w:p>
      <w:pPr>
        <w:spacing w:line="400" w:lineRule="exact"/>
        <w:jc w:val="center"/>
        <w:rPr>
          <w:rFonts w:hint="eastAsia" w:ascii="宋体" w:hAnsi="宋体" w:cs="宋体"/>
          <w:color w:val="auto"/>
          <w:sz w:val="28"/>
          <w:szCs w:val="28"/>
          <w:highlight w:val="none"/>
        </w:rPr>
      </w:pPr>
    </w:p>
    <w:p>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问题的澄清</w:t>
      </w:r>
    </w:p>
    <w:p>
      <w:pPr>
        <w:spacing w:line="400" w:lineRule="exact"/>
        <w:ind w:firstLine="3465" w:firstLineChars="1650"/>
        <w:rPr>
          <w:rFonts w:hint="eastAsia" w:ascii="宋体" w:hAnsi="宋体" w:cs="宋体"/>
          <w:color w:val="auto"/>
          <w:highlight w:val="none"/>
        </w:rPr>
      </w:pPr>
      <w:r>
        <w:rPr>
          <w:rFonts w:hint="eastAsia" w:ascii="宋体" w:hAnsi="宋体" w:cs="宋体"/>
          <w:color w:val="auto"/>
          <w:highlight w:val="none"/>
        </w:rPr>
        <w:t xml:space="preserve">编号： </w:t>
      </w:r>
    </w:p>
    <w:p>
      <w:pPr>
        <w:spacing w:line="40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（项目名称）招标评标委员会：</w:t>
      </w: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问题澄清通知（编号：）已收悉，现澄清如下：</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1.</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2.</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bookmarkStart w:id="518" w:name="_Toc152042360"/>
      <w:bookmarkStart w:id="519" w:name="_Toc439240651"/>
      <w:bookmarkStart w:id="520" w:name="_Toc144974550"/>
      <w:bookmarkStart w:id="521" w:name="_Toc152045583"/>
      <w:bookmarkStart w:id="522" w:name="_Toc357089564"/>
      <w:bookmarkStart w:id="523" w:name="_Toc247514007"/>
      <w:bookmarkStart w:id="524" w:name="_Toc356469230"/>
      <w:bookmarkStart w:id="525" w:name="_Toc247527608"/>
      <w:bookmarkStart w:id="526" w:name="_Toc300835004"/>
      <w:bookmarkStart w:id="527" w:name="_Toc439246050"/>
      <w:r>
        <w:rPr>
          <w:rFonts w:hint="eastAsia" w:ascii="宋体" w:hAnsi="宋体" w:cs="宋体"/>
          <w:color w:val="auto"/>
          <w:szCs w:val="21"/>
          <w:highlight w:val="none"/>
        </w:rPr>
        <w:t>　　　　　　　　　</w:t>
      </w:r>
      <w:bookmarkEnd w:id="518"/>
      <w:bookmarkEnd w:id="519"/>
      <w:bookmarkEnd w:id="520"/>
      <w:bookmarkEnd w:id="521"/>
      <w:bookmarkEnd w:id="522"/>
      <w:bookmarkEnd w:id="523"/>
      <w:bookmarkEnd w:id="524"/>
      <w:bookmarkEnd w:id="525"/>
      <w:bookmarkEnd w:id="526"/>
      <w:bookmarkEnd w:id="527"/>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年   月   日</w:t>
      </w:r>
    </w:p>
    <w:p>
      <w:pPr>
        <w:spacing w:line="440" w:lineRule="exact"/>
        <w:rPr>
          <w:rFonts w:hint="eastAsia" w:ascii="宋体" w:hAnsi="宋体" w:cs="宋体"/>
          <w:color w:val="auto"/>
          <w:highlight w:val="none"/>
        </w:rPr>
      </w:pPr>
    </w:p>
    <w:p>
      <w:pPr>
        <w:pStyle w:val="36"/>
        <w:rPr>
          <w:rFonts w:hint="eastAsia" w:ascii="宋体" w:hAnsi="宋体" w:cs="宋体"/>
          <w:color w:val="auto"/>
          <w:highlight w:val="none"/>
        </w:rPr>
      </w:pPr>
    </w:p>
    <w:p>
      <w:pPr>
        <w:spacing w:line="400" w:lineRule="exact"/>
        <w:rPr>
          <w:rFonts w:ascii="宋体" w:hAnsi="宋体" w:cs="宋体"/>
          <w:color w:val="000000"/>
          <w:szCs w:val="24"/>
          <w:highlight w:val="none"/>
        </w:rPr>
      </w:pPr>
    </w:p>
    <w:p>
      <w:pPr>
        <w:pStyle w:val="16"/>
        <w:rPr>
          <w:rFonts w:ascii="宋体" w:hAnsi="宋体" w:cs="宋体"/>
          <w:color w:val="000000"/>
          <w:szCs w:val="24"/>
          <w:highlight w:val="none"/>
        </w:rPr>
      </w:pPr>
    </w:p>
    <w:p>
      <w:pPr>
        <w:rPr>
          <w:rFonts w:ascii="宋体" w:hAnsi="宋体" w:cs="宋体"/>
          <w:color w:val="000000"/>
          <w:szCs w:val="24"/>
          <w:highlight w:val="none"/>
        </w:rPr>
      </w:pPr>
    </w:p>
    <w:p>
      <w:pPr>
        <w:pStyle w:val="16"/>
        <w:rPr>
          <w:highlight w:val="none"/>
        </w:rPr>
      </w:pPr>
    </w:p>
    <w:p>
      <w:pPr>
        <w:keepNext/>
        <w:keepLines/>
        <w:spacing w:before="260" w:after="260" w:line="415" w:lineRule="auto"/>
        <w:ind w:firstLine="137" w:firstLineChars="49"/>
        <w:outlineLvl w:val="2"/>
        <w:rPr>
          <w:rFonts w:ascii="宋体" w:hAnsi="宋体" w:cs="宋体"/>
          <w:bCs/>
          <w:color w:val="000000"/>
          <w:sz w:val="28"/>
          <w:szCs w:val="28"/>
          <w:highlight w:val="none"/>
        </w:rPr>
      </w:pPr>
      <w:bookmarkStart w:id="528" w:name="_Toc249"/>
      <w:bookmarkStart w:id="529" w:name="_Toc172"/>
      <w:bookmarkStart w:id="530" w:name="_Toc30679"/>
      <w:bookmarkStart w:id="531" w:name="_Toc152045584"/>
      <w:bookmarkStart w:id="532" w:name="_Toc23717"/>
      <w:bookmarkStart w:id="533" w:name="_Toc485211092"/>
      <w:bookmarkStart w:id="534" w:name="_Toc32454"/>
      <w:bookmarkStart w:id="535" w:name="_Toc26426"/>
      <w:bookmarkStart w:id="536" w:name="_Toc152042361"/>
      <w:bookmarkStart w:id="537" w:name="_Toc947"/>
      <w:bookmarkStart w:id="538" w:name="_Toc22580"/>
      <w:bookmarkStart w:id="539" w:name="_Toc14178"/>
      <w:bookmarkStart w:id="540" w:name="_Toc247527609"/>
      <w:bookmarkStart w:id="541" w:name="_Toc2111"/>
      <w:bookmarkStart w:id="542" w:name="_Toc144974551"/>
      <w:bookmarkStart w:id="543" w:name="_Toc15621"/>
      <w:bookmarkStart w:id="544" w:name="_Toc247514008"/>
      <w:r>
        <w:rPr>
          <w:rFonts w:hint="eastAsia" w:ascii="宋体" w:hAnsi="宋体" w:cs="宋体"/>
          <w:bCs/>
          <w:color w:val="000000"/>
          <w:sz w:val="28"/>
          <w:szCs w:val="28"/>
          <w:highlight w:val="none"/>
        </w:rPr>
        <w:t>附件四：中标通知书</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spacing w:line="400" w:lineRule="exact"/>
        <w:rPr>
          <w:rFonts w:ascii="宋体" w:hAnsi="宋体" w:cs="宋体"/>
          <w:color w:val="000000"/>
          <w:szCs w:val="24"/>
          <w:highlight w:val="none"/>
        </w:rPr>
      </w:pPr>
    </w:p>
    <w:p>
      <w:pPr>
        <w:spacing w:line="400" w:lineRule="exact"/>
        <w:jc w:val="center"/>
        <w:rPr>
          <w:rFonts w:ascii="宋体" w:hAnsi="宋体" w:cs="宋体"/>
          <w:color w:val="000000"/>
          <w:sz w:val="28"/>
          <w:szCs w:val="28"/>
          <w:highlight w:val="none"/>
        </w:rPr>
      </w:pPr>
      <w:r>
        <w:rPr>
          <w:rFonts w:hint="eastAsia" w:ascii="宋体" w:hAnsi="宋体" w:cs="宋体"/>
          <w:color w:val="000000"/>
          <w:sz w:val="28"/>
          <w:szCs w:val="28"/>
          <w:highlight w:val="none"/>
        </w:rPr>
        <w:t>中标通知书采用广州公共资源交易中心格式</w:t>
      </w:r>
    </w:p>
    <w:p>
      <w:pPr>
        <w:spacing w:line="400" w:lineRule="exact"/>
        <w:rPr>
          <w:rFonts w:ascii="宋体" w:hAnsi="宋体" w:cs="宋体"/>
          <w:color w:val="000000"/>
          <w:szCs w:val="24"/>
          <w:highlight w:val="none"/>
        </w:rPr>
      </w:pPr>
    </w:p>
    <w:p>
      <w:pPr>
        <w:spacing w:line="540" w:lineRule="exact"/>
        <w:jc w:val="center"/>
        <w:rPr>
          <w:rFonts w:ascii="宋体" w:hAnsi="宋体" w:cs="宋体"/>
          <w:color w:val="000000"/>
          <w:szCs w:val="21"/>
          <w:highlight w:val="none"/>
        </w:rPr>
      </w:pPr>
      <w:r>
        <w:rPr>
          <w:rFonts w:hint="eastAsia" w:ascii="宋体" w:hAnsi="宋体" w:cs="宋体"/>
          <w:color w:val="000000"/>
          <w:szCs w:val="21"/>
          <w:highlight w:val="none"/>
        </w:rPr>
        <w:t>（以广州公共资源交易中心出具格式为准）</w:t>
      </w:r>
    </w:p>
    <w:p>
      <w:pPr>
        <w:spacing w:line="540" w:lineRule="exact"/>
        <w:jc w:val="center"/>
        <w:rPr>
          <w:rFonts w:ascii="宋体" w:hAnsi="宋体" w:cs="宋体"/>
          <w:color w:val="000000"/>
          <w:szCs w:val="21"/>
          <w:highlight w:val="none"/>
        </w:rPr>
      </w:pPr>
    </w:p>
    <w:p>
      <w:pPr>
        <w:spacing w:line="540" w:lineRule="exact"/>
        <w:jc w:val="center"/>
        <w:rPr>
          <w:rFonts w:ascii="宋体" w:hAnsi="宋体" w:cs="宋体"/>
          <w:color w:val="000000"/>
          <w:szCs w:val="21"/>
          <w:highlight w:val="none"/>
        </w:rPr>
      </w:pPr>
    </w:p>
    <w:p>
      <w:pPr>
        <w:spacing w:line="540" w:lineRule="exact"/>
        <w:jc w:val="center"/>
        <w:rPr>
          <w:rFonts w:ascii="宋体" w:hAnsi="宋体" w:cs="宋体"/>
          <w:color w:val="000000"/>
          <w:szCs w:val="21"/>
          <w:highlight w:val="none"/>
        </w:rPr>
      </w:pPr>
    </w:p>
    <w:p>
      <w:pPr>
        <w:spacing w:line="540" w:lineRule="exact"/>
        <w:jc w:val="center"/>
        <w:rPr>
          <w:rFonts w:ascii="宋体" w:hAnsi="宋体" w:cs="宋体"/>
          <w:color w:val="000000"/>
          <w:szCs w:val="21"/>
          <w:highlight w:val="none"/>
        </w:rPr>
      </w:pPr>
    </w:p>
    <w:p>
      <w:pPr>
        <w:spacing w:line="540" w:lineRule="exact"/>
        <w:jc w:val="center"/>
        <w:rPr>
          <w:rFonts w:ascii="宋体" w:hAnsi="宋体" w:cs="宋体"/>
          <w:color w:val="000000"/>
          <w:szCs w:val="21"/>
          <w:highlight w:val="none"/>
        </w:rPr>
      </w:pPr>
    </w:p>
    <w:p>
      <w:pPr>
        <w:spacing w:line="540" w:lineRule="exact"/>
        <w:jc w:val="center"/>
        <w:rPr>
          <w:rFonts w:ascii="宋体" w:hAnsi="宋体" w:cs="宋体"/>
          <w:color w:val="000000"/>
          <w:szCs w:val="24"/>
          <w:highlight w:val="none"/>
        </w:rPr>
        <w:sectPr>
          <w:pgSz w:w="11905" w:h="16838"/>
          <w:pgMar w:top="1247" w:right="1247" w:bottom="1247" w:left="1247" w:header="567" w:footer="850" w:gutter="0"/>
          <w:cols w:space="720" w:num="1"/>
          <w:docGrid w:type="lines" w:linePitch="312" w:charSpace="0"/>
        </w:sectPr>
      </w:pPr>
    </w:p>
    <w:p>
      <w:pPr>
        <w:pStyle w:val="3"/>
        <w:jc w:val="center"/>
        <w:rPr>
          <w:rFonts w:hint="eastAsia" w:ascii="宋体" w:hAnsi="宋体" w:cs="宋体"/>
          <w:color w:val="auto"/>
          <w:highlight w:val="none"/>
        </w:rPr>
      </w:pPr>
      <w:bookmarkStart w:id="545" w:name="_Toc247527623"/>
      <w:bookmarkStart w:id="546" w:name="_Toc152045598"/>
      <w:bookmarkStart w:id="547" w:name="_Toc152042375"/>
      <w:bookmarkStart w:id="548" w:name="_Toc247514022"/>
      <w:bookmarkStart w:id="549" w:name="_Toc23959"/>
      <w:bookmarkStart w:id="550" w:name="_Toc144974565"/>
      <w:bookmarkStart w:id="551" w:name="_Toc10550"/>
      <w:bookmarkStart w:id="552" w:name="_Toc8149"/>
      <w:bookmarkStart w:id="553" w:name="_Toc25406"/>
      <w:r>
        <w:rPr>
          <w:rFonts w:hint="eastAsia" w:ascii="宋体" w:hAnsi="宋体" w:cs="宋体"/>
          <w:color w:val="auto"/>
          <w:highlight w:val="none"/>
        </w:rPr>
        <w:t xml:space="preserve">第三章 </w:t>
      </w:r>
      <w:bookmarkEnd w:id="545"/>
      <w:bookmarkEnd w:id="546"/>
      <w:bookmarkEnd w:id="547"/>
      <w:bookmarkEnd w:id="548"/>
      <w:bookmarkEnd w:id="549"/>
      <w:bookmarkEnd w:id="550"/>
      <w:bookmarkStart w:id="554" w:name="_Toc13796"/>
      <w:bookmarkStart w:id="555" w:name="_Toc152042387"/>
      <w:bookmarkStart w:id="556" w:name="_Toc247514033"/>
      <w:bookmarkStart w:id="557" w:name="_Toc144974577"/>
      <w:bookmarkStart w:id="558" w:name="_Toc152045609"/>
      <w:bookmarkStart w:id="559" w:name="_Toc247527634"/>
      <w:r>
        <w:rPr>
          <w:rFonts w:hint="eastAsia" w:ascii="宋体" w:hAnsi="宋体" w:cs="宋体"/>
          <w:color w:val="auto"/>
          <w:highlight w:val="none"/>
        </w:rPr>
        <w:t xml:space="preserve"> 评</w:t>
      </w:r>
      <w:r>
        <w:rPr>
          <w:rFonts w:hint="eastAsia" w:ascii="宋体" w:hAnsi="宋体" w:cs="宋体"/>
          <w:color w:val="auto"/>
          <w:highlight w:val="none"/>
          <w:lang w:eastAsia="zh-CN"/>
        </w:rPr>
        <w:t>（定）</w:t>
      </w:r>
      <w:r>
        <w:rPr>
          <w:rFonts w:hint="eastAsia" w:ascii="宋体" w:hAnsi="宋体" w:cs="宋体"/>
          <w:color w:val="auto"/>
          <w:highlight w:val="none"/>
        </w:rPr>
        <w:t>标办法（</w:t>
      </w:r>
      <w:r>
        <w:rPr>
          <w:rFonts w:hint="eastAsia" w:ascii="宋体" w:hAnsi="宋体" w:cs="宋体"/>
          <w:color w:val="auto"/>
          <w:highlight w:val="none"/>
          <w:lang w:eastAsia="zh-CN"/>
        </w:rPr>
        <w:t>合格制评审法</w:t>
      </w:r>
      <w:r>
        <w:rPr>
          <w:rFonts w:hint="eastAsia" w:ascii="宋体" w:hAnsi="宋体" w:cs="宋体"/>
          <w:color w:val="auto"/>
          <w:highlight w:val="none"/>
        </w:rPr>
        <w:t>）</w:t>
      </w:r>
      <w:bookmarkEnd w:id="551"/>
      <w:bookmarkEnd w:id="552"/>
      <w:bookmarkEnd w:id="553"/>
      <w:bookmarkStart w:id="560" w:name="_Toc152042376"/>
      <w:bookmarkStart w:id="561" w:name="_Toc144974566"/>
      <w:bookmarkStart w:id="562" w:name="_Toc152045599"/>
      <w:bookmarkStart w:id="563" w:name="_Toc247514023"/>
      <w:bookmarkStart w:id="564" w:name="_Toc247527624"/>
    </w:p>
    <w:bookmarkEnd w:id="560"/>
    <w:bookmarkEnd w:id="561"/>
    <w:bookmarkEnd w:id="562"/>
    <w:bookmarkEnd w:id="563"/>
    <w:bookmarkEnd w:id="564"/>
    <w:p>
      <w:pPr>
        <w:keepNext/>
        <w:keepLines/>
        <w:spacing w:before="260" w:after="260" w:line="415" w:lineRule="auto"/>
        <w:jc w:val="center"/>
        <w:outlineLvl w:val="1"/>
        <w:rPr>
          <w:rFonts w:ascii="宋体" w:hAnsi="宋体" w:cs="宋体"/>
          <w:b/>
          <w:bCs/>
          <w:color w:val="000000"/>
          <w:sz w:val="32"/>
          <w:szCs w:val="32"/>
          <w:highlight w:val="none"/>
        </w:rPr>
      </w:pPr>
      <w:bookmarkStart w:id="565" w:name="_Toc399165430"/>
      <w:bookmarkStart w:id="566" w:name="_Toc19230"/>
      <w:bookmarkStart w:id="567" w:name="_Toc26731"/>
      <w:bookmarkStart w:id="568" w:name="_Toc24145"/>
      <w:bookmarkStart w:id="569" w:name="_Toc29441"/>
      <w:bookmarkStart w:id="570" w:name="_Toc300835009"/>
      <w:bookmarkStart w:id="571" w:name="_Toc17809"/>
      <w:bookmarkStart w:id="572" w:name="_Toc25722"/>
      <w:bookmarkStart w:id="573" w:name="_Toc436834777"/>
      <w:bookmarkStart w:id="574" w:name="_Toc436834184"/>
      <w:bookmarkStart w:id="575" w:name="_Toc19639"/>
      <w:bookmarkStart w:id="576" w:name="_Toc26598"/>
      <w:bookmarkStart w:id="577" w:name="_Toc4140"/>
      <w:bookmarkStart w:id="578" w:name="_Toc485211094"/>
      <w:bookmarkStart w:id="579" w:name="_Toc30443"/>
      <w:bookmarkStart w:id="580" w:name="_Toc28730"/>
      <w:r>
        <w:rPr>
          <w:rFonts w:hint="eastAsia" w:ascii="宋体" w:hAnsi="宋体" w:cs="宋体"/>
          <w:b/>
          <w:bCs/>
          <w:color w:val="000000"/>
          <w:sz w:val="32"/>
          <w:szCs w:val="32"/>
          <w:highlight w:val="none"/>
        </w:rPr>
        <w:t>评（定）标办法前附表</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tbl>
      <w:tblPr>
        <w:tblStyle w:val="38"/>
        <w:tblW w:w="91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
        <w:gridCol w:w="251"/>
        <w:gridCol w:w="1314"/>
        <w:gridCol w:w="1809"/>
        <w:gridCol w:w="497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2322" w:type="dxa"/>
            <w:gridSpan w:val="3"/>
            <w:noWrap w:val="0"/>
            <w:vAlign w:val="center"/>
          </w:tcPr>
          <w:p>
            <w:pPr>
              <w:spacing w:line="3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1809" w:type="dxa"/>
            <w:noWrap w:val="0"/>
            <w:vAlign w:val="center"/>
          </w:tcPr>
          <w:p>
            <w:pPr>
              <w:spacing w:line="300" w:lineRule="exact"/>
              <w:jc w:val="center"/>
              <w:rPr>
                <w:rFonts w:ascii="宋体" w:hAnsi="宋体" w:cs="宋体"/>
                <w:b/>
                <w:color w:val="000000"/>
                <w:szCs w:val="21"/>
                <w:highlight w:val="none"/>
              </w:rPr>
            </w:pPr>
            <w:r>
              <w:rPr>
                <w:rFonts w:hint="eastAsia" w:ascii="宋体" w:hAnsi="宋体" w:cs="宋体"/>
                <w:b/>
                <w:color w:val="000000"/>
                <w:szCs w:val="21"/>
                <w:highlight w:val="none"/>
              </w:rPr>
              <w:t>评审因素</w:t>
            </w:r>
          </w:p>
        </w:tc>
        <w:tc>
          <w:tcPr>
            <w:tcW w:w="4970" w:type="dxa"/>
            <w:noWrap w:val="0"/>
            <w:vAlign w:val="center"/>
          </w:tcPr>
          <w:p>
            <w:pPr>
              <w:spacing w:line="300" w:lineRule="exact"/>
              <w:jc w:val="center"/>
              <w:rPr>
                <w:rFonts w:ascii="宋体" w:hAnsi="宋体" w:cs="宋体"/>
                <w:b/>
                <w:color w:val="000000"/>
                <w:szCs w:val="21"/>
                <w:highlight w:val="none"/>
              </w:rPr>
            </w:pPr>
            <w:r>
              <w:rPr>
                <w:rFonts w:hint="eastAsia" w:ascii="宋体" w:hAnsi="宋体" w:cs="宋体"/>
                <w:b/>
                <w:color w:val="00000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757" w:type="dxa"/>
            <w:vMerge w:val="restart"/>
            <w:noWrap w:val="0"/>
            <w:vAlign w:val="center"/>
          </w:tcPr>
          <w:p>
            <w:pPr>
              <w:spacing w:line="300" w:lineRule="exact"/>
              <w:jc w:val="center"/>
              <w:rPr>
                <w:rFonts w:ascii="宋体" w:hAnsi="宋体" w:cs="宋体"/>
                <w:color w:val="000000"/>
                <w:szCs w:val="21"/>
                <w:highlight w:val="none"/>
              </w:rPr>
            </w:pPr>
            <w:r>
              <w:rPr>
                <w:rFonts w:hint="eastAsia" w:ascii="宋体" w:hAnsi="宋体" w:cs="宋体"/>
                <w:color w:val="000000"/>
                <w:szCs w:val="21"/>
                <w:highlight w:val="none"/>
              </w:rPr>
              <w:t>2.1.1</w:t>
            </w:r>
          </w:p>
        </w:tc>
        <w:tc>
          <w:tcPr>
            <w:tcW w:w="1565" w:type="dxa"/>
            <w:gridSpan w:val="2"/>
            <w:vMerge w:val="restart"/>
            <w:noWrap w:val="0"/>
            <w:vAlign w:val="center"/>
          </w:tcPr>
          <w:p>
            <w:pPr>
              <w:spacing w:line="440" w:lineRule="exact"/>
              <w:jc w:val="center"/>
              <w:rPr>
                <w:rFonts w:ascii="宋体" w:hAnsi="宋体" w:cs="宋体"/>
                <w:color w:val="000000"/>
                <w:szCs w:val="21"/>
                <w:highlight w:val="none"/>
              </w:rPr>
            </w:pPr>
            <w:r>
              <w:rPr>
                <w:rFonts w:ascii="Calibri" w:hAnsi="Calibri"/>
                <w:color w:val="000000"/>
                <w:szCs w:val="21"/>
                <w:highlight w:val="none"/>
              </w:rPr>
              <w:t>形式评审标准</w:t>
            </w:r>
          </w:p>
        </w:tc>
        <w:tc>
          <w:tcPr>
            <w:tcW w:w="1809" w:type="dxa"/>
            <w:noWrap w:val="0"/>
            <w:vAlign w:val="center"/>
          </w:tcPr>
          <w:p>
            <w:pPr>
              <w:spacing w:line="440" w:lineRule="exact"/>
              <w:jc w:val="center"/>
              <w:rPr>
                <w:rFonts w:ascii="宋体" w:hAnsi="宋体" w:cs="宋体"/>
                <w:color w:val="000000"/>
                <w:szCs w:val="21"/>
                <w:highlight w:val="none"/>
              </w:rPr>
            </w:pPr>
            <w:r>
              <w:rPr>
                <w:rFonts w:ascii="Calibri" w:hAnsi="Calibri"/>
                <w:color w:val="000000"/>
                <w:szCs w:val="21"/>
                <w:highlight w:val="none"/>
              </w:rPr>
              <w:t>投标人名称</w:t>
            </w:r>
          </w:p>
        </w:tc>
        <w:tc>
          <w:tcPr>
            <w:tcW w:w="4970" w:type="dxa"/>
            <w:noWrap w:val="0"/>
            <w:vAlign w:val="center"/>
          </w:tcPr>
          <w:p>
            <w:pPr>
              <w:spacing w:line="440" w:lineRule="exact"/>
              <w:rPr>
                <w:rFonts w:ascii="宋体" w:hAnsi="宋体" w:cs="宋体"/>
                <w:color w:val="000000"/>
                <w:szCs w:val="21"/>
                <w:highlight w:val="none"/>
              </w:rPr>
            </w:pPr>
            <w:r>
              <w:rPr>
                <w:rFonts w:ascii="Calibri" w:hAnsi="Calibri"/>
                <w:color w:val="000000"/>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7" w:type="dxa"/>
            <w:vMerge w:val="continue"/>
            <w:noWrap w:val="0"/>
            <w:vAlign w:val="center"/>
          </w:tcPr>
          <w:p>
            <w:pPr>
              <w:spacing w:line="300" w:lineRule="exact"/>
              <w:jc w:val="center"/>
              <w:rPr>
                <w:rFonts w:ascii="宋体" w:hAnsi="宋体" w:cs="宋体"/>
                <w:color w:val="000000"/>
                <w:szCs w:val="21"/>
                <w:highlight w:val="none"/>
              </w:rPr>
            </w:pPr>
          </w:p>
        </w:tc>
        <w:tc>
          <w:tcPr>
            <w:tcW w:w="1565" w:type="dxa"/>
            <w:gridSpan w:val="2"/>
            <w:vMerge w:val="continue"/>
            <w:noWrap w:val="0"/>
            <w:vAlign w:val="center"/>
          </w:tcPr>
          <w:p>
            <w:pPr>
              <w:spacing w:line="440" w:lineRule="exact"/>
              <w:jc w:val="center"/>
              <w:rPr>
                <w:rFonts w:ascii="宋体" w:hAnsi="宋体" w:cs="宋体"/>
                <w:color w:val="000000"/>
                <w:szCs w:val="21"/>
                <w:highlight w:val="none"/>
              </w:rPr>
            </w:pPr>
          </w:p>
        </w:tc>
        <w:tc>
          <w:tcPr>
            <w:tcW w:w="1809" w:type="dxa"/>
            <w:noWrap w:val="0"/>
            <w:vAlign w:val="center"/>
          </w:tcPr>
          <w:p>
            <w:pPr>
              <w:spacing w:line="440" w:lineRule="exact"/>
              <w:jc w:val="center"/>
              <w:rPr>
                <w:rFonts w:ascii="宋体" w:hAnsi="宋体" w:cs="宋体"/>
                <w:color w:val="000000"/>
                <w:szCs w:val="21"/>
                <w:highlight w:val="none"/>
              </w:rPr>
            </w:pPr>
            <w:r>
              <w:rPr>
                <w:rFonts w:ascii="Calibri" w:hAnsi="Calibri"/>
                <w:color w:val="000000"/>
                <w:szCs w:val="21"/>
                <w:highlight w:val="none"/>
              </w:rPr>
              <w:t>投标函签字盖章</w:t>
            </w:r>
          </w:p>
        </w:tc>
        <w:tc>
          <w:tcPr>
            <w:tcW w:w="4970" w:type="dxa"/>
            <w:noWrap w:val="0"/>
            <w:vAlign w:val="center"/>
          </w:tcPr>
          <w:p>
            <w:pPr>
              <w:spacing w:line="440" w:lineRule="exact"/>
              <w:rPr>
                <w:rFonts w:ascii="宋体" w:hAnsi="宋体" w:cs="宋体"/>
                <w:color w:val="000000"/>
                <w:szCs w:val="21"/>
                <w:highlight w:val="none"/>
              </w:rPr>
            </w:pPr>
            <w:r>
              <w:rPr>
                <w:rFonts w:ascii="Calibri" w:hAnsi="Calibri"/>
                <w:color w:val="000000"/>
                <w:szCs w:val="21"/>
                <w:highlight w:val="none"/>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57" w:type="dxa"/>
            <w:vMerge w:val="continue"/>
            <w:noWrap w:val="0"/>
            <w:vAlign w:val="center"/>
          </w:tcPr>
          <w:p>
            <w:pPr>
              <w:spacing w:line="300" w:lineRule="exact"/>
              <w:jc w:val="center"/>
              <w:rPr>
                <w:rFonts w:ascii="宋体" w:hAnsi="宋体" w:cs="宋体"/>
                <w:color w:val="000000"/>
                <w:szCs w:val="21"/>
                <w:highlight w:val="none"/>
              </w:rPr>
            </w:pPr>
          </w:p>
        </w:tc>
        <w:tc>
          <w:tcPr>
            <w:tcW w:w="1565" w:type="dxa"/>
            <w:gridSpan w:val="2"/>
            <w:vMerge w:val="continue"/>
            <w:noWrap w:val="0"/>
            <w:vAlign w:val="center"/>
          </w:tcPr>
          <w:p>
            <w:pPr>
              <w:spacing w:line="440" w:lineRule="exact"/>
              <w:jc w:val="center"/>
              <w:rPr>
                <w:rFonts w:ascii="宋体" w:hAnsi="宋体" w:cs="宋体"/>
                <w:color w:val="000000"/>
                <w:szCs w:val="21"/>
                <w:highlight w:val="none"/>
              </w:rPr>
            </w:pPr>
          </w:p>
        </w:tc>
        <w:tc>
          <w:tcPr>
            <w:tcW w:w="1809" w:type="dxa"/>
            <w:noWrap w:val="0"/>
            <w:vAlign w:val="center"/>
          </w:tcPr>
          <w:p>
            <w:pPr>
              <w:spacing w:line="440" w:lineRule="exact"/>
              <w:jc w:val="center"/>
              <w:rPr>
                <w:rFonts w:ascii="宋体" w:hAnsi="宋体" w:cs="宋体"/>
                <w:color w:val="000000"/>
                <w:szCs w:val="21"/>
                <w:highlight w:val="none"/>
              </w:rPr>
            </w:pPr>
            <w:r>
              <w:rPr>
                <w:rFonts w:ascii="Calibri" w:hAnsi="Calibri"/>
                <w:color w:val="000000"/>
                <w:szCs w:val="21"/>
                <w:highlight w:val="none"/>
              </w:rPr>
              <w:t>投标文件格式</w:t>
            </w:r>
          </w:p>
        </w:tc>
        <w:tc>
          <w:tcPr>
            <w:tcW w:w="4970" w:type="dxa"/>
            <w:noWrap w:val="0"/>
            <w:vAlign w:val="center"/>
          </w:tcPr>
          <w:p>
            <w:pPr>
              <w:spacing w:line="440" w:lineRule="exact"/>
              <w:rPr>
                <w:rFonts w:ascii="宋体" w:hAnsi="宋体" w:cs="宋体"/>
                <w:color w:val="000000"/>
                <w:szCs w:val="21"/>
                <w:highlight w:val="none"/>
              </w:rPr>
            </w:pPr>
            <w:r>
              <w:rPr>
                <w:rFonts w:ascii="Calibri" w:hAnsi="Calibri"/>
                <w:color w:val="000000"/>
                <w:szCs w:val="21"/>
                <w:highlight w:val="none"/>
              </w:rPr>
              <w:t>符合第</w:t>
            </w:r>
            <w:r>
              <w:rPr>
                <w:rFonts w:hint="eastAsia" w:ascii="Calibri" w:hAnsi="Calibri"/>
                <w:color w:val="000000"/>
                <w:szCs w:val="21"/>
                <w:highlight w:val="none"/>
                <w:lang w:eastAsia="zh-CN"/>
              </w:rPr>
              <w:t>七</w:t>
            </w:r>
            <w:r>
              <w:rPr>
                <w:rFonts w:ascii="Calibri" w:hAnsi="Calibri"/>
                <w:color w:val="000000"/>
                <w:szCs w:val="21"/>
                <w:highlight w:val="none"/>
              </w:rPr>
              <w:t>章“投标文件格式”的要求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57" w:type="dxa"/>
            <w:vMerge w:val="continue"/>
            <w:noWrap w:val="0"/>
            <w:vAlign w:val="center"/>
          </w:tcPr>
          <w:p>
            <w:pPr>
              <w:spacing w:line="300" w:lineRule="exact"/>
              <w:jc w:val="center"/>
              <w:rPr>
                <w:rFonts w:ascii="宋体" w:hAnsi="宋体" w:cs="宋体"/>
                <w:color w:val="000000"/>
                <w:szCs w:val="21"/>
                <w:highlight w:val="none"/>
              </w:rPr>
            </w:pPr>
          </w:p>
        </w:tc>
        <w:tc>
          <w:tcPr>
            <w:tcW w:w="1565" w:type="dxa"/>
            <w:gridSpan w:val="2"/>
            <w:vMerge w:val="continue"/>
            <w:noWrap w:val="0"/>
            <w:vAlign w:val="center"/>
          </w:tcPr>
          <w:p>
            <w:pPr>
              <w:spacing w:line="440" w:lineRule="exact"/>
              <w:jc w:val="center"/>
              <w:rPr>
                <w:rFonts w:ascii="宋体" w:hAnsi="宋体" w:cs="宋体"/>
                <w:color w:val="000000"/>
                <w:szCs w:val="21"/>
                <w:highlight w:val="none"/>
              </w:rPr>
            </w:pPr>
          </w:p>
        </w:tc>
        <w:tc>
          <w:tcPr>
            <w:tcW w:w="1809" w:type="dxa"/>
            <w:noWrap w:val="0"/>
            <w:vAlign w:val="center"/>
          </w:tcPr>
          <w:p>
            <w:pPr>
              <w:spacing w:line="440" w:lineRule="exact"/>
              <w:jc w:val="center"/>
              <w:rPr>
                <w:rFonts w:ascii="宋体" w:hAnsi="宋体" w:cs="宋体"/>
                <w:color w:val="000000"/>
                <w:szCs w:val="21"/>
                <w:highlight w:val="none"/>
              </w:rPr>
            </w:pPr>
            <w:r>
              <w:rPr>
                <w:rFonts w:ascii="Calibri" w:hAnsi="Calibri"/>
                <w:color w:val="000000"/>
                <w:szCs w:val="21"/>
                <w:highlight w:val="none"/>
              </w:rPr>
              <w:t>联合体投标人</w:t>
            </w:r>
          </w:p>
        </w:tc>
        <w:tc>
          <w:tcPr>
            <w:tcW w:w="4970" w:type="dxa"/>
            <w:noWrap w:val="0"/>
            <w:vAlign w:val="center"/>
          </w:tcPr>
          <w:p>
            <w:pPr>
              <w:spacing w:line="440" w:lineRule="exact"/>
              <w:rPr>
                <w:rFonts w:ascii="宋体" w:hAnsi="宋体" w:cs="宋体"/>
                <w:color w:val="000000"/>
                <w:szCs w:val="21"/>
                <w:highlight w:val="none"/>
              </w:rPr>
            </w:pPr>
            <w:r>
              <w:rPr>
                <w:rFonts w:ascii="Calibri" w:hAnsi="Calibri"/>
                <w:color w:val="000000"/>
                <w:szCs w:val="21"/>
                <w:highlight w:val="none"/>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57" w:type="dxa"/>
            <w:vMerge w:val="continue"/>
            <w:noWrap w:val="0"/>
            <w:vAlign w:val="center"/>
          </w:tcPr>
          <w:p>
            <w:pPr>
              <w:spacing w:line="300" w:lineRule="exact"/>
              <w:jc w:val="center"/>
              <w:rPr>
                <w:rFonts w:ascii="宋体" w:hAnsi="宋体" w:cs="宋体"/>
                <w:color w:val="000000"/>
                <w:szCs w:val="21"/>
                <w:highlight w:val="none"/>
              </w:rPr>
            </w:pPr>
          </w:p>
        </w:tc>
        <w:tc>
          <w:tcPr>
            <w:tcW w:w="1565" w:type="dxa"/>
            <w:gridSpan w:val="2"/>
            <w:vMerge w:val="continue"/>
            <w:noWrap w:val="0"/>
            <w:vAlign w:val="center"/>
          </w:tcPr>
          <w:p>
            <w:pPr>
              <w:spacing w:line="440" w:lineRule="exact"/>
              <w:jc w:val="center"/>
              <w:rPr>
                <w:rFonts w:ascii="宋体" w:hAnsi="宋体" w:cs="宋体"/>
                <w:color w:val="000000"/>
                <w:szCs w:val="21"/>
                <w:highlight w:val="none"/>
              </w:rPr>
            </w:pPr>
          </w:p>
        </w:tc>
        <w:tc>
          <w:tcPr>
            <w:tcW w:w="1809" w:type="dxa"/>
            <w:noWrap w:val="0"/>
            <w:vAlign w:val="center"/>
          </w:tcPr>
          <w:p>
            <w:pPr>
              <w:spacing w:line="440" w:lineRule="exact"/>
              <w:jc w:val="center"/>
              <w:rPr>
                <w:rFonts w:ascii="宋体" w:hAnsi="宋体" w:cs="宋体"/>
                <w:color w:val="000000"/>
                <w:szCs w:val="21"/>
                <w:highlight w:val="none"/>
              </w:rPr>
            </w:pPr>
            <w:r>
              <w:rPr>
                <w:rFonts w:ascii="Calibri" w:hAnsi="Calibri"/>
                <w:color w:val="000000"/>
                <w:szCs w:val="21"/>
                <w:highlight w:val="none"/>
              </w:rPr>
              <w:t>报价唯一</w:t>
            </w:r>
          </w:p>
        </w:tc>
        <w:tc>
          <w:tcPr>
            <w:tcW w:w="4970" w:type="dxa"/>
            <w:noWrap w:val="0"/>
            <w:vAlign w:val="center"/>
          </w:tcPr>
          <w:p>
            <w:pPr>
              <w:spacing w:line="440" w:lineRule="exact"/>
              <w:rPr>
                <w:rFonts w:ascii="宋体" w:hAnsi="宋体" w:cs="宋体"/>
                <w:color w:val="000000"/>
                <w:szCs w:val="21"/>
                <w:highlight w:val="none"/>
              </w:rPr>
            </w:pPr>
            <w:r>
              <w:rPr>
                <w:rFonts w:ascii="Calibri" w:hAnsi="Calibri"/>
                <w:color w:val="000000"/>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noWrap w:val="0"/>
            <w:vAlign w:val="center"/>
          </w:tcPr>
          <w:p>
            <w:pPr>
              <w:spacing w:line="440" w:lineRule="exact"/>
              <w:jc w:val="center"/>
              <w:rPr>
                <w:rFonts w:ascii="Calibri" w:hAnsi="Calibri"/>
                <w:color w:val="000000"/>
                <w:szCs w:val="21"/>
                <w:highlight w:val="none"/>
              </w:rPr>
            </w:pPr>
            <w:r>
              <w:rPr>
                <w:rFonts w:ascii="Calibri" w:hAnsi="Calibri"/>
                <w:color w:val="000000"/>
                <w:szCs w:val="21"/>
                <w:highlight w:val="none"/>
              </w:rPr>
              <w:t>2.1.2</w:t>
            </w:r>
          </w:p>
        </w:tc>
        <w:tc>
          <w:tcPr>
            <w:tcW w:w="1565" w:type="dxa"/>
            <w:gridSpan w:val="2"/>
            <w:noWrap w:val="0"/>
            <w:vAlign w:val="center"/>
          </w:tcPr>
          <w:p>
            <w:pPr>
              <w:spacing w:line="440" w:lineRule="exact"/>
              <w:jc w:val="center"/>
              <w:rPr>
                <w:rFonts w:ascii="Calibri" w:hAnsi="Calibri"/>
                <w:color w:val="000000"/>
                <w:szCs w:val="21"/>
                <w:highlight w:val="none"/>
              </w:rPr>
            </w:pPr>
            <w:r>
              <w:rPr>
                <w:rFonts w:ascii="Calibri" w:hAnsi="Calibri"/>
                <w:color w:val="000000"/>
                <w:szCs w:val="21"/>
                <w:highlight w:val="none"/>
              </w:rPr>
              <w:t>资格评审标准</w:t>
            </w:r>
          </w:p>
        </w:tc>
        <w:tc>
          <w:tcPr>
            <w:tcW w:w="6779" w:type="dxa"/>
            <w:gridSpan w:val="2"/>
            <w:noWrap w:val="0"/>
            <w:vAlign w:val="center"/>
          </w:tcPr>
          <w:p>
            <w:pPr>
              <w:spacing w:line="300" w:lineRule="exact"/>
              <w:rPr>
                <w:rFonts w:ascii="宋体" w:hAnsi="宋体" w:cs="宋体"/>
                <w:color w:val="000000"/>
                <w:szCs w:val="21"/>
                <w:highlight w:val="none"/>
              </w:rPr>
            </w:pPr>
            <w:r>
              <w:rPr>
                <w:rFonts w:hint="eastAsia" w:ascii="宋体" w:hAnsi="宋体" w:cs="宋体"/>
                <w:color w:val="000000"/>
                <w:szCs w:val="21"/>
                <w:highlight w:val="none"/>
              </w:rPr>
              <w:t>详见附表一《资格审查表》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restart"/>
            <w:noWrap w:val="0"/>
            <w:vAlign w:val="center"/>
          </w:tcPr>
          <w:p>
            <w:pPr>
              <w:spacing w:line="300" w:lineRule="exact"/>
              <w:jc w:val="center"/>
              <w:rPr>
                <w:rFonts w:ascii="宋体" w:hAnsi="宋体" w:cs="宋体"/>
                <w:color w:val="000000"/>
                <w:szCs w:val="21"/>
                <w:highlight w:val="none"/>
              </w:rPr>
            </w:pPr>
            <w:r>
              <w:rPr>
                <w:rFonts w:hint="eastAsia" w:ascii="宋体" w:hAnsi="宋体" w:cs="宋体"/>
                <w:color w:val="000000"/>
                <w:szCs w:val="21"/>
                <w:highlight w:val="none"/>
              </w:rPr>
              <w:t>2.1.3</w:t>
            </w:r>
          </w:p>
        </w:tc>
        <w:tc>
          <w:tcPr>
            <w:tcW w:w="1565" w:type="dxa"/>
            <w:gridSpan w:val="2"/>
            <w:vMerge w:val="restart"/>
            <w:noWrap w:val="0"/>
            <w:vAlign w:val="center"/>
          </w:tcPr>
          <w:p>
            <w:pPr>
              <w:spacing w:line="300" w:lineRule="exact"/>
              <w:ind w:left="-78" w:leftChars="-37" w:right="-69" w:rightChars="-33"/>
              <w:jc w:val="center"/>
              <w:rPr>
                <w:rFonts w:ascii="宋体" w:hAnsi="宋体" w:cs="宋体"/>
                <w:color w:val="000000"/>
                <w:szCs w:val="21"/>
                <w:highlight w:val="none"/>
              </w:rPr>
            </w:pPr>
            <w:r>
              <w:rPr>
                <w:rFonts w:hint="eastAsia" w:ascii="宋体" w:hAnsi="宋体" w:cs="宋体"/>
                <w:color w:val="000000"/>
                <w:szCs w:val="21"/>
                <w:highlight w:val="none"/>
              </w:rPr>
              <w:t>响应性评审标准</w:t>
            </w:r>
          </w:p>
        </w:tc>
        <w:tc>
          <w:tcPr>
            <w:tcW w:w="1809" w:type="dxa"/>
            <w:noWrap w:val="0"/>
            <w:vAlign w:val="center"/>
          </w:tcPr>
          <w:p>
            <w:pPr>
              <w:spacing w:line="300" w:lineRule="exact"/>
              <w:rPr>
                <w:rFonts w:ascii="宋体" w:hAnsi="宋体" w:cs="宋体"/>
                <w:color w:val="000000"/>
                <w:szCs w:val="21"/>
                <w:highlight w:val="none"/>
              </w:rPr>
            </w:pPr>
            <w:r>
              <w:rPr>
                <w:rFonts w:hint="eastAsia" w:ascii="宋体" w:hAnsi="宋体" w:cs="宋体"/>
                <w:color w:val="000000"/>
                <w:szCs w:val="21"/>
                <w:highlight w:val="none"/>
              </w:rPr>
              <w:t>设计施工部分（含资格审查文件）投标文件响应性</w:t>
            </w:r>
          </w:p>
        </w:tc>
        <w:tc>
          <w:tcPr>
            <w:tcW w:w="4970" w:type="dxa"/>
            <w:noWrap w:val="0"/>
            <w:vAlign w:val="center"/>
          </w:tcPr>
          <w:p>
            <w:pPr>
              <w:spacing w:line="300" w:lineRule="exact"/>
              <w:rPr>
                <w:rFonts w:ascii="宋体" w:hAnsi="宋体" w:cs="宋体"/>
                <w:color w:val="000000"/>
                <w:szCs w:val="21"/>
                <w:highlight w:val="none"/>
              </w:rPr>
            </w:pPr>
            <w:r>
              <w:rPr>
                <w:rFonts w:hint="eastAsia" w:ascii="宋体" w:hAnsi="宋体" w:cs="宋体"/>
                <w:color w:val="000000"/>
                <w:szCs w:val="21"/>
                <w:highlight w:val="none"/>
              </w:rPr>
              <w:t>详见附表二《设计施工部分（含资格审查文件）投标文件响应性审查表》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continue"/>
            <w:noWrap w:val="0"/>
            <w:vAlign w:val="center"/>
          </w:tcPr>
          <w:p>
            <w:pPr>
              <w:spacing w:line="300" w:lineRule="exact"/>
              <w:jc w:val="center"/>
              <w:rPr>
                <w:rFonts w:ascii="宋体" w:hAnsi="宋体" w:cs="宋体"/>
                <w:color w:val="000000"/>
                <w:szCs w:val="21"/>
                <w:highlight w:val="none"/>
              </w:rPr>
            </w:pPr>
          </w:p>
        </w:tc>
        <w:tc>
          <w:tcPr>
            <w:tcW w:w="1565" w:type="dxa"/>
            <w:gridSpan w:val="2"/>
            <w:vMerge w:val="continue"/>
            <w:noWrap w:val="0"/>
            <w:vAlign w:val="center"/>
          </w:tcPr>
          <w:p>
            <w:pPr>
              <w:spacing w:line="300" w:lineRule="exact"/>
              <w:ind w:left="-78" w:leftChars="-37" w:right="-69" w:rightChars="-33"/>
              <w:jc w:val="center"/>
              <w:rPr>
                <w:rFonts w:ascii="宋体" w:hAnsi="宋体" w:cs="宋体"/>
                <w:color w:val="000000"/>
                <w:szCs w:val="21"/>
                <w:highlight w:val="none"/>
              </w:rPr>
            </w:pPr>
          </w:p>
        </w:tc>
        <w:tc>
          <w:tcPr>
            <w:tcW w:w="1809" w:type="dxa"/>
            <w:noWrap w:val="0"/>
            <w:vAlign w:val="center"/>
          </w:tcPr>
          <w:p>
            <w:pPr>
              <w:spacing w:line="300" w:lineRule="exact"/>
              <w:rPr>
                <w:rFonts w:ascii="宋体" w:hAnsi="宋体" w:cs="宋体"/>
                <w:color w:val="000000"/>
                <w:szCs w:val="21"/>
                <w:highlight w:val="none"/>
              </w:rPr>
            </w:pPr>
            <w:r>
              <w:rPr>
                <w:rFonts w:hint="eastAsia" w:ascii="宋体" w:hAnsi="宋体" w:cs="宋体"/>
                <w:color w:val="000000"/>
                <w:szCs w:val="21"/>
                <w:highlight w:val="none"/>
              </w:rPr>
              <w:t>经济投标文件响应性</w:t>
            </w:r>
          </w:p>
        </w:tc>
        <w:tc>
          <w:tcPr>
            <w:tcW w:w="4970" w:type="dxa"/>
            <w:noWrap w:val="0"/>
            <w:vAlign w:val="center"/>
          </w:tcPr>
          <w:p>
            <w:pPr>
              <w:spacing w:line="300" w:lineRule="exact"/>
              <w:rPr>
                <w:rFonts w:ascii="宋体" w:hAnsi="宋体" w:cs="宋体"/>
                <w:color w:val="000000"/>
                <w:szCs w:val="21"/>
                <w:highlight w:val="none"/>
              </w:rPr>
            </w:pPr>
            <w:r>
              <w:rPr>
                <w:rFonts w:hint="eastAsia" w:ascii="宋体" w:hAnsi="宋体" w:cs="宋体"/>
                <w:color w:val="000000"/>
                <w:szCs w:val="21"/>
                <w:highlight w:val="none"/>
              </w:rPr>
              <w:t>详见附表三《经济投标文件响应性审查表》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22" w:type="dxa"/>
            <w:gridSpan w:val="3"/>
            <w:noWrap w:val="0"/>
            <w:vAlign w:val="center"/>
          </w:tcPr>
          <w:p>
            <w:pPr>
              <w:spacing w:line="3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1809" w:type="dxa"/>
            <w:noWrap w:val="0"/>
            <w:vAlign w:val="center"/>
          </w:tcPr>
          <w:p>
            <w:pPr>
              <w:spacing w:line="3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条款内容</w:t>
            </w:r>
          </w:p>
        </w:tc>
        <w:tc>
          <w:tcPr>
            <w:tcW w:w="4970" w:type="dxa"/>
            <w:noWrap w:val="0"/>
            <w:vAlign w:val="center"/>
          </w:tcPr>
          <w:p>
            <w:pPr>
              <w:spacing w:line="300" w:lineRule="exact"/>
              <w:jc w:val="center"/>
              <w:rPr>
                <w:rFonts w:ascii="宋体" w:hAnsi="宋体" w:cs="宋体"/>
                <w:b/>
                <w:color w:val="000000"/>
                <w:szCs w:val="21"/>
                <w:highlight w:val="none"/>
              </w:rPr>
            </w:pPr>
            <w:r>
              <w:rPr>
                <w:rFonts w:hint="eastAsia" w:ascii="宋体" w:hAnsi="宋体" w:cs="宋体"/>
                <w:b/>
                <w:color w:val="00000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0" w:hRule="atLeast"/>
          <w:jc w:val="center"/>
        </w:trPr>
        <w:tc>
          <w:tcPr>
            <w:tcW w:w="2322" w:type="dxa"/>
            <w:gridSpan w:val="3"/>
            <w:noWrap w:val="0"/>
            <w:vAlign w:val="center"/>
          </w:tcPr>
          <w:p>
            <w:pPr>
              <w:spacing w:line="440" w:lineRule="exact"/>
              <w:jc w:val="center"/>
              <w:rPr>
                <w:rFonts w:ascii="宋体" w:hAnsi="宋体" w:cs="宋体"/>
                <w:color w:val="000000"/>
                <w:szCs w:val="21"/>
                <w:highlight w:val="none"/>
              </w:rPr>
            </w:pPr>
            <w:r>
              <w:rPr>
                <w:rFonts w:ascii="Calibri" w:hAnsi="Calibri"/>
                <w:color w:val="000000"/>
                <w:szCs w:val="21"/>
                <w:highlight w:val="none"/>
              </w:rPr>
              <w:t>2.2.1</w:t>
            </w:r>
          </w:p>
        </w:tc>
        <w:tc>
          <w:tcPr>
            <w:tcW w:w="1809" w:type="dxa"/>
            <w:noWrap w:val="0"/>
            <w:vAlign w:val="center"/>
          </w:tcPr>
          <w:p>
            <w:pPr>
              <w:spacing w:line="440" w:lineRule="exact"/>
              <w:jc w:val="center"/>
              <w:rPr>
                <w:rFonts w:ascii="宋体" w:hAnsi="宋体" w:cs="宋体"/>
                <w:color w:val="000000"/>
                <w:szCs w:val="21"/>
                <w:highlight w:val="none"/>
              </w:rPr>
            </w:pPr>
            <w:r>
              <w:rPr>
                <w:rFonts w:ascii="Calibri" w:hAnsi="Calibri"/>
                <w:color w:val="000000"/>
                <w:szCs w:val="21"/>
                <w:highlight w:val="none"/>
              </w:rPr>
              <w:t>分值构成</w:t>
            </w:r>
          </w:p>
        </w:tc>
        <w:tc>
          <w:tcPr>
            <w:tcW w:w="4970" w:type="dxa"/>
            <w:noWrap w:val="0"/>
            <w:vAlign w:val="center"/>
          </w:tcPr>
          <w:p>
            <w:pPr>
              <w:spacing w:line="440" w:lineRule="exact"/>
              <w:rPr>
                <w:rFonts w:ascii="宋体" w:hAnsi="宋体" w:cs="宋体"/>
                <w:color w:val="000000"/>
                <w:szCs w:val="21"/>
                <w:highlight w:val="none"/>
                <w:u w:val="single"/>
              </w:rPr>
            </w:pPr>
            <w:r>
              <w:rPr>
                <w:rFonts w:hint="eastAsia" w:ascii="宋体" w:hAnsi="宋体" w:cs="宋体"/>
                <w:color w:val="000000"/>
                <w:szCs w:val="21"/>
                <w:highlight w:val="none"/>
                <w:u w:val="single"/>
              </w:rPr>
              <w:t>合格制评审：通过初步评审的投标人全部进入定标阶段。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jc w:val="center"/>
        </w:trPr>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Calibri" w:hAnsi="Calibri"/>
                <w:color w:val="000000"/>
                <w:szCs w:val="21"/>
                <w:highlight w:val="none"/>
              </w:rPr>
            </w:pPr>
            <w:r>
              <w:rPr>
                <w:rFonts w:hint="eastAsia" w:ascii="Calibri" w:hAnsi="Calibri"/>
                <w:color w:val="000000"/>
                <w:szCs w:val="21"/>
                <w:highlight w:val="none"/>
              </w:rPr>
              <w:t>3.4</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Calibri" w:hAnsi="Calibri"/>
                <w:color w:val="000000"/>
                <w:szCs w:val="21"/>
                <w:highlight w:val="none"/>
              </w:rPr>
            </w:pPr>
            <w:r>
              <w:rPr>
                <w:rFonts w:hint="eastAsia" w:ascii="Calibri" w:hAnsi="Calibri"/>
                <w:color w:val="000000"/>
                <w:szCs w:val="21"/>
                <w:highlight w:val="none"/>
              </w:rPr>
              <w:t>定标</w:t>
            </w:r>
          </w:p>
        </w:tc>
        <w:tc>
          <w:tcPr>
            <w:tcW w:w="677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Calibri" w:hAnsi="Calibri"/>
                <w:color w:val="000000"/>
                <w:szCs w:val="21"/>
                <w:highlight w:val="none"/>
              </w:rPr>
            </w:pPr>
            <w:r>
              <w:rPr>
                <w:rFonts w:hint="eastAsia" w:ascii="Calibri" w:hAnsi="Calibri"/>
                <w:color w:val="000000"/>
                <w:szCs w:val="21"/>
                <w:highlight w:val="none"/>
              </w:rPr>
              <w:t>定标办法：采用直接票决定标法（定性评审），具体详见本章第3.4点要求。</w:t>
            </w:r>
          </w:p>
        </w:tc>
      </w:tr>
    </w:tbl>
    <w:p>
      <w:pPr>
        <w:rPr>
          <w:rFonts w:hint="eastAsia" w:ascii="宋体" w:hAnsi="宋体" w:eastAsia="宋体" w:cs="宋体"/>
          <w:color w:val="000000"/>
          <w:szCs w:val="24"/>
          <w:highlight w:val="none"/>
          <w:lang w:eastAsia="zh-CN"/>
        </w:rPr>
        <w:sectPr>
          <w:pgSz w:w="11905" w:h="16838"/>
          <w:pgMar w:top="1247" w:right="1247" w:bottom="1247" w:left="1247" w:header="567" w:footer="850" w:gutter="0"/>
          <w:cols w:space="720" w:num="1"/>
          <w:docGrid w:type="lines" w:linePitch="312" w:charSpace="0"/>
        </w:sectPr>
      </w:pPr>
    </w:p>
    <w:p>
      <w:pPr>
        <w:pStyle w:val="4"/>
        <w:spacing w:line="360" w:lineRule="auto"/>
        <w:rPr>
          <w:rFonts w:hint="eastAsia" w:ascii="宋体" w:hAnsi="宋体" w:eastAsia="宋体" w:cs="宋体"/>
          <w:color w:val="auto"/>
          <w:highlight w:val="none"/>
        </w:rPr>
      </w:pPr>
      <w:bookmarkStart w:id="581" w:name="_Toc247514024"/>
      <w:bookmarkStart w:id="582" w:name="_Toc29802"/>
      <w:bookmarkStart w:id="583" w:name="_Toc247527625"/>
      <w:bookmarkStart w:id="584" w:name="_Toc152042377"/>
      <w:bookmarkStart w:id="585" w:name="_Toc144974567"/>
      <w:bookmarkStart w:id="586" w:name="_Toc152045600"/>
      <w:bookmarkStart w:id="587" w:name="_Toc28120"/>
      <w:bookmarkStart w:id="588" w:name="_Toc28773"/>
      <w:bookmarkStart w:id="589" w:name="_Toc8694"/>
      <w:r>
        <w:rPr>
          <w:rFonts w:hint="eastAsia" w:ascii="宋体" w:hAnsi="宋体" w:eastAsia="宋体" w:cs="宋体"/>
          <w:color w:val="auto"/>
          <w:highlight w:val="none"/>
        </w:rPr>
        <w:t>1. 评</w:t>
      </w:r>
      <w:r>
        <w:rPr>
          <w:rFonts w:hint="eastAsia" w:ascii="宋体" w:hAnsi="宋体" w:eastAsia="宋体" w:cs="宋体"/>
          <w:color w:val="auto"/>
          <w:highlight w:val="none"/>
          <w:lang w:eastAsia="zh-CN"/>
        </w:rPr>
        <w:t>（定）</w:t>
      </w:r>
      <w:r>
        <w:rPr>
          <w:rFonts w:hint="eastAsia" w:ascii="宋体" w:hAnsi="宋体" w:eastAsia="宋体" w:cs="宋体"/>
          <w:color w:val="auto"/>
          <w:highlight w:val="none"/>
        </w:rPr>
        <w:t>标方法</w:t>
      </w:r>
      <w:bookmarkEnd w:id="581"/>
      <w:bookmarkEnd w:id="582"/>
      <w:bookmarkEnd w:id="583"/>
      <w:bookmarkEnd w:id="584"/>
      <w:bookmarkEnd w:id="585"/>
      <w:bookmarkEnd w:id="586"/>
      <w:bookmarkEnd w:id="587"/>
      <w:bookmarkEnd w:id="588"/>
      <w:bookmarkEnd w:id="589"/>
    </w:p>
    <w:p>
      <w:pPr>
        <w:spacing w:line="400" w:lineRule="exact"/>
        <w:ind w:firstLine="420" w:firstLineChars="200"/>
        <w:rPr>
          <w:rFonts w:ascii="宋体" w:hAnsi="宋体" w:cs="宋体"/>
          <w:color w:val="000000"/>
          <w:szCs w:val="24"/>
          <w:highlight w:val="none"/>
          <w:u w:val="single"/>
        </w:rPr>
      </w:pPr>
      <w:bookmarkStart w:id="590" w:name="_Toc247514025"/>
      <w:bookmarkStart w:id="591" w:name="_Toc152045601"/>
      <w:bookmarkStart w:id="592" w:name="_Toc29422"/>
      <w:bookmarkStart w:id="593" w:name="_Toc152042378"/>
      <w:bookmarkStart w:id="594" w:name="_Toc144974568"/>
      <w:bookmarkStart w:id="595" w:name="_Toc247527626"/>
      <w:r>
        <w:rPr>
          <w:rFonts w:hint="eastAsia" w:ascii="宋体" w:hAnsi="宋体" w:cs="宋体"/>
          <w:color w:val="000000"/>
          <w:szCs w:val="24"/>
          <w:highlight w:val="none"/>
          <w:u w:val="single"/>
        </w:rPr>
        <w:t>本次评标及定标采用评定分离的方式，分为评标委员会与定标委员会，评标委员会负责对招标文件进行初步评审，定标委员会负责对通过评标阶段的入围候选人进行定标投票并按得票数决定确定中标人，但投标报价低于其成本的除外。</w:t>
      </w:r>
    </w:p>
    <w:p>
      <w:pPr>
        <w:pStyle w:val="4"/>
        <w:spacing w:line="360" w:lineRule="auto"/>
        <w:rPr>
          <w:rFonts w:hint="eastAsia" w:ascii="宋体" w:hAnsi="宋体" w:eastAsia="宋体" w:cs="宋体"/>
          <w:color w:val="auto"/>
          <w:highlight w:val="none"/>
        </w:rPr>
      </w:pPr>
      <w:bookmarkStart w:id="596" w:name="_Toc3849"/>
      <w:bookmarkStart w:id="597" w:name="_Toc27247"/>
      <w:bookmarkStart w:id="598" w:name="_Toc17572"/>
      <w:bookmarkStart w:id="599" w:name="_Toc6826"/>
      <w:r>
        <w:rPr>
          <w:rFonts w:hint="eastAsia" w:ascii="宋体" w:hAnsi="宋体" w:eastAsia="宋体" w:cs="宋体"/>
          <w:color w:val="auto"/>
          <w:highlight w:val="none"/>
        </w:rPr>
        <w:t>2. 评审标准</w:t>
      </w:r>
      <w:bookmarkEnd w:id="590"/>
      <w:bookmarkEnd w:id="591"/>
      <w:bookmarkEnd w:id="592"/>
      <w:bookmarkEnd w:id="593"/>
      <w:bookmarkEnd w:id="594"/>
      <w:bookmarkEnd w:id="595"/>
      <w:bookmarkEnd w:id="596"/>
      <w:bookmarkEnd w:id="597"/>
      <w:bookmarkEnd w:id="598"/>
      <w:bookmarkEnd w:id="599"/>
    </w:p>
    <w:p>
      <w:pPr>
        <w:pStyle w:val="5"/>
        <w:spacing w:line="360" w:lineRule="auto"/>
        <w:rPr>
          <w:rFonts w:hint="eastAsia" w:ascii="宋体" w:eastAsia="宋体" w:cs="宋体"/>
          <w:color w:val="auto"/>
          <w:highlight w:val="none"/>
        </w:rPr>
      </w:pPr>
      <w:bookmarkStart w:id="600" w:name="_Toc152042379"/>
      <w:bookmarkStart w:id="601" w:name="_Toc4171"/>
      <w:bookmarkStart w:id="602" w:name="_Toc247527627"/>
      <w:bookmarkStart w:id="603" w:name="_Toc247514026"/>
      <w:bookmarkStart w:id="604" w:name="_Toc5805"/>
      <w:bookmarkStart w:id="605" w:name="_Toc20319"/>
      <w:bookmarkStart w:id="606" w:name="_Toc20046"/>
      <w:bookmarkStart w:id="607" w:name="_Toc152045602"/>
      <w:bookmarkStart w:id="608" w:name="_Toc3043"/>
      <w:bookmarkStart w:id="609" w:name="_Toc22562"/>
      <w:bookmarkStart w:id="610" w:name="_Toc144974569"/>
      <w:r>
        <w:rPr>
          <w:rFonts w:hint="eastAsia" w:ascii="宋体" w:eastAsia="宋体" w:cs="宋体"/>
          <w:color w:val="auto"/>
          <w:highlight w:val="none"/>
        </w:rPr>
        <w:t>2.1 初步评审标准</w:t>
      </w:r>
      <w:bookmarkEnd w:id="600"/>
      <w:bookmarkEnd w:id="601"/>
      <w:bookmarkEnd w:id="602"/>
      <w:bookmarkEnd w:id="603"/>
      <w:bookmarkEnd w:id="604"/>
      <w:bookmarkEnd w:id="605"/>
      <w:bookmarkEnd w:id="606"/>
      <w:bookmarkEnd w:id="607"/>
      <w:bookmarkEnd w:id="608"/>
      <w:bookmarkEnd w:id="609"/>
      <w:bookmarkEnd w:id="610"/>
    </w:p>
    <w:p>
      <w:pPr>
        <w:tabs>
          <w:tab w:val="left" w:pos="7380"/>
        </w:tabs>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2.1.1 形式评审标准：见评（定）标办法前附表。</w:t>
      </w:r>
    </w:p>
    <w:p>
      <w:pPr>
        <w:tabs>
          <w:tab w:val="left" w:pos="7380"/>
        </w:tabs>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2.1.2 资格评审标准：见评（定）标办法前附表。</w:t>
      </w:r>
    </w:p>
    <w:p>
      <w:pPr>
        <w:tabs>
          <w:tab w:val="left" w:pos="7380"/>
        </w:tabs>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2.1.3 响应性评审标准：见评（定）标办法前附表。</w:t>
      </w:r>
    </w:p>
    <w:p>
      <w:pPr>
        <w:pStyle w:val="5"/>
        <w:spacing w:line="360" w:lineRule="auto"/>
        <w:rPr>
          <w:rFonts w:hint="eastAsia" w:ascii="宋体" w:eastAsia="宋体" w:cs="宋体"/>
          <w:color w:val="auto"/>
          <w:highlight w:val="none"/>
        </w:rPr>
      </w:pPr>
      <w:bookmarkStart w:id="611" w:name="_Toc10133"/>
      <w:bookmarkStart w:id="612" w:name="_Toc247527628"/>
      <w:bookmarkStart w:id="613" w:name="_Toc23676"/>
      <w:bookmarkStart w:id="614" w:name="_Toc152045603"/>
      <w:bookmarkStart w:id="615" w:name="_Toc15561"/>
      <w:bookmarkStart w:id="616" w:name="_Toc778"/>
      <w:bookmarkStart w:id="617" w:name="_Toc247514027"/>
      <w:bookmarkStart w:id="618" w:name="_Toc12471"/>
      <w:bookmarkStart w:id="619" w:name="_Toc152042380"/>
      <w:bookmarkStart w:id="620" w:name="_Toc144974570"/>
      <w:bookmarkStart w:id="621" w:name="_Toc368"/>
      <w:r>
        <w:rPr>
          <w:rFonts w:hint="eastAsia" w:ascii="宋体" w:eastAsia="宋体" w:cs="宋体"/>
          <w:color w:val="auto"/>
          <w:highlight w:val="none"/>
        </w:rPr>
        <w:t>2.2 分值构成与评分标准</w:t>
      </w:r>
      <w:bookmarkEnd w:id="611"/>
      <w:bookmarkEnd w:id="612"/>
      <w:bookmarkEnd w:id="613"/>
      <w:bookmarkEnd w:id="614"/>
      <w:bookmarkEnd w:id="615"/>
      <w:bookmarkEnd w:id="616"/>
      <w:bookmarkEnd w:id="617"/>
      <w:bookmarkEnd w:id="618"/>
      <w:bookmarkEnd w:id="619"/>
      <w:bookmarkEnd w:id="620"/>
      <w:bookmarkEnd w:id="621"/>
    </w:p>
    <w:p>
      <w:pPr>
        <w:tabs>
          <w:tab w:val="left" w:pos="7380"/>
        </w:tabs>
        <w:spacing w:line="400" w:lineRule="exact"/>
        <w:ind w:firstLine="420" w:firstLineChars="200"/>
        <w:rPr>
          <w:rFonts w:ascii="宋体" w:hAnsi="宋体" w:cs="宋体"/>
          <w:strike/>
          <w:color w:val="000000"/>
          <w:szCs w:val="24"/>
          <w:highlight w:val="none"/>
        </w:rPr>
      </w:pPr>
      <w:bookmarkStart w:id="622" w:name="_Toc300835013"/>
      <w:bookmarkStart w:id="623" w:name="_Toc20112"/>
      <w:bookmarkStart w:id="624" w:name="_Toc18562"/>
      <w:bookmarkStart w:id="625" w:name="_Toc9253"/>
      <w:bookmarkStart w:id="626" w:name="_Toc22195"/>
      <w:bookmarkStart w:id="627" w:name="_Toc144974571"/>
      <w:bookmarkStart w:id="628" w:name="_Toc247527629"/>
      <w:bookmarkStart w:id="629" w:name="_Toc152042381"/>
      <w:bookmarkStart w:id="630" w:name="_Toc247514028"/>
      <w:bookmarkStart w:id="631" w:name="_Toc152045604"/>
      <w:r>
        <w:rPr>
          <w:rFonts w:hint="eastAsia" w:ascii="宋体" w:hAnsi="宋体" w:cs="宋体"/>
          <w:strike/>
          <w:color w:val="000000"/>
          <w:szCs w:val="24"/>
          <w:highlight w:val="none"/>
        </w:rPr>
        <w:t>2.2 分值构成与评分标准</w:t>
      </w:r>
      <w:bookmarkEnd w:id="622"/>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2.2.1 分值构成</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（1）承包人建议书：见评标办法前附表；</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（2）资信业绩部分：见评标办法前附表；</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（3）承包人实施方案：见评标办法前附表；</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（4）投标报价：见评标办法前附表；</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（5）其他评分因素：见评标办法前附表。</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2.2.2 评标基准价计算</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评标基准价计算方法：见评标办法前附表。</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2.2.3 投标报价的偏差率计算</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投标报价的偏差率计算公式：见评标办法前附表。</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2.2.4 评分标准</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（1）承包人建议书评分标准：见评标办法前附表；</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（2）资信业绩评分标准：见评标办法前附表；</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（3）承包人实施方案评分标准：见评标办法前附表；</w:t>
      </w:r>
    </w:p>
    <w:p>
      <w:pPr>
        <w:tabs>
          <w:tab w:val="left" w:pos="7380"/>
        </w:tabs>
        <w:spacing w:line="400" w:lineRule="exact"/>
        <w:ind w:firstLine="420" w:firstLineChars="200"/>
        <w:rPr>
          <w:rFonts w:ascii="宋体" w:hAnsi="宋体" w:cs="宋体"/>
          <w:strike/>
          <w:color w:val="000000"/>
          <w:szCs w:val="24"/>
          <w:highlight w:val="none"/>
        </w:rPr>
      </w:pPr>
      <w:r>
        <w:rPr>
          <w:rFonts w:hint="eastAsia" w:ascii="宋体" w:hAnsi="宋体" w:cs="宋体"/>
          <w:strike/>
          <w:color w:val="000000"/>
          <w:szCs w:val="24"/>
          <w:highlight w:val="none"/>
        </w:rPr>
        <w:t>（4）投标报价评分标准：见评标办法前附表；</w:t>
      </w:r>
    </w:p>
    <w:p>
      <w:pPr>
        <w:pStyle w:val="4"/>
        <w:rPr>
          <w:rFonts w:hint="eastAsia" w:ascii="宋体" w:hAnsi="宋体" w:eastAsia="宋体" w:cs="宋体"/>
          <w:color w:val="auto"/>
          <w:highlight w:val="none"/>
        </w:rPr>
      </w:pPr>
      <w:bookmarkStart w:id="632" w:name="_Toc1137"/>
      <w:r>
        <w:rPr>
          <w:rFonts w:hint="eastAsia" w:ascii="宋体" w:hAnsi="宋体" w:eastAsia="宋体" w:cs="宋体"/>
          <w:color w:val="auto"/>
          <w:highlight w:val="none"/>
        </w:rPr>
        <w:t>3. 评标</w:t>
      </w:r>
      <w:r>
        <w:rPr>
          <w:rFonts w:hint="eastAsia" w:ascii="宋体" w:hAnsi="宋体" w:eastAsia="宋体" w:cs="宋体"/>
          <w:color w:val="auto"/>
          <w:highlight w:val="none"/>
          <w:lang w:eastAsia="zh-CN"/>
        </w:rPr>
        <w:t>、定标</w:t>
      </w:r>
      <w:r>
        <w:rPr>
          <w:rFonts w:hint="eastAsia" w:ascii="宋体" w:hAnsi="宋体" w:eastAsia="宋体" w:cs="宋体"/>
          <w:color w:val="auto"/>
          <w:highlight w:val="none"/>
        </w:rPr>
        <w:t>程序</w:t>
      </w:r>
      <w:bookmarkEnd w:id="623"/>
      <w:bookmarkEnd w:id="624"/>
      <w:bookmarkEnd w:id="625"/>
      <w:bookmarkEnd w:id="626"/>
      <w:bookmarkEnd w:id="627"/>
      <w:bookmarkEnd w:id="628"/>
      <w:bookmarkEnd w:id="629"/>
      <w:bookmarkEnd w:id="630"/>
      <w:bookmarkEnd w:id="631"/>
      <w:bookmarkEnd w:id="632"/>
    </w:p>
    <w:p>
      <w:pPr>
        <w:keepNext/>
        <w:keepLines/>
        <w:spacing w:before="100" w:after="100" w:line="360" w:lineRule="auto"/>
        <w:ind w:firstLine="137" w:firstLineChars="49"/>
        <w:outlineLvl w:val="2"/>
        <w:rPr>
          <w:rFonts w:ascii="宋体" w:hAnsi="宋体" w:cs="宋体"/>
          <w:bCs/>
          <w:color w:val="000000"/>
          <w:kern w:val="0"/>
          <w:sz w:val="28"/>
          <w:szCs w:val="28"/>
          <w:highlight w:val="none"/>
        </w:rPr>
      </w:pPr>
      <w:bookmarkStart w:id="633" w:name="_Toc12727"/>
      <w:bookmarkStart w:id="634" w:name="_Toc14048"/>
      <w:bookmarkStart w:id="635" w:name="_Toc20824"/>
      <w:bookmarkStart w:id="636" w:name="_Toc16960"/>
      <w:bookmarkStart w:id="637" w:name="_Toc485211100"/>
      <w:r>
        <w:rPr>
          <w:rFonts w:hint="eastAsia" w:ascii="宋体" w:hAnsi="宋体" w:cs="宋体"/>
          <w:bCs/>
          <w:color w:val="000000"/>
          <w:kern w:val="0"/>
          <w:sz w:val="28"/>
          <w:szCs w:val="28"/>
          <w:highlight w:val="none"/>
        </w:rPr>
        <w:t>3.1 初步评审</w:t>
      </w:r>
      <w:bookmarkEnd w:id="633"/>
      <w:bookmarkEnd w:id="634"/>
    </w:p>
    <w:p>
      <w:pPr>
        <w:tabs>
          <w:tab w:val="left" w:pos="7380"/>
        </w:tabs>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3.1.1 评标委员会依据本章第2.1款规定的标准对投标文件进行初步评审。有一项不符合评审标准的，评标委员会应当否决其投标。</w:t>
      </w:r>
    </w:p>
    <w:p>
      <w:pPr>
        <w:tabs>
          <w:tab w:val="left" w:pos="7380"/>
        </w:tabs>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3.1.2 投标人有以下情形之一的，评标委员会应当否决其投标：</w:t>
      </w:r>
    </w:p>
    <w:p>
      <w:pPr>
        <w:tabs>
          <w:tab w:val="left" w:pos="7380"/>
        </w:tabs>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（1）第三章“投标人须知”第1.4.1项规定的任何一种情形的；</w:t>
      </w:r>
    </w:p>
    <w:p>
      <w:pPr>
        <w:tabs>
          <w:tab w:val="left" w:pos="7380"/>
        </w:tabs>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（2）串通投标或弄虚作假或有其他违法行为的；</w:t>
      </w:r>
    </w:p>
    <w:p>
      <w:pPr>
        <w:tabs>
          <w:tab w:val="left" w:pos="7380"/>
        </w:tabs>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（3）不按评标委员会要求澄清、说明或补正的。</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3.1.3投标报价的算术校核。评标委员会对通过经济标投标文件响应性性审查的投标文件投标报进行算术校核，具体标准如下：</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（1）如果数字表示的金额和用文字表示的金额不一致时，应以文字表示的金额为准（有以下算术性错误需要修正的除外）；</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（2）经算术复核的投标人报价与其投标报价不一致时，按就低不就高原则确定其最终报价；</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（4）当合价、金额累加错误时，按就低不就高原则，如果累加修正值小于原累加值，则按累加修正值；如果累加修正值大于原累加值，则按原累加值；</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（5）如果投标人的有关规费、暂列金额、暂估价、安全文明施工费等未按招标文件规定的金额填写的，由评标委员会按照招标文件规定的金额进行修正；</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则该漏项费用视为已分配在其他项目中，不再修改；③分部分项工程量计价表中的项目编码或项目名称或计量单位或工程数量缺省或不填时，由评委以招标文件中招标人工程量清单为准进行修正；若同时缺省或不填项目编码和项目名称，则该项按增项处理；④分部分项项目增项的，不予修改；⑤其它招标文件规定需要修改的，均以就低不就高原则进行修改；</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（7）按就低不就高原则，当修正后报价小于原报价，总价按修正后报价；当修正后报价大于原报价，总价按原报价，并在签订合同时载明在结算价中扣除修正报价与原报价的差额。</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（8）投标文件存在其他计算性错误的，按正确的方法计算并修正；</w:t>
      </w:r>
    </w:p>
    <w:p>
      <w:pPr>
        <w:tabs>
          <w:tab w:val="left" w:pos="7380"/>
        </w:tabs>
        <w:spacing w:line="400" w:lineRule="exact"/>
        <w:ind w:firstLine="420" w:firstLineChars="200"/>
        <w:rPr>
          <w:rFonts w:ascii="宋体" w:hAnsi="宋体" w:cs="宋体"/>
          <w:color w:val="000000"/>
          <w:szCs w:val="24"/>
          <w:highlight w:val="none"/>
        </w:rPr>
      </w:pPr>
      <w:r>
        <w:rPr>
          <w:rFonts w:hint="eastAsia" w:ascii="宋体" w:hAnsi="宋体" w:cs="宋体"/>
          <w:color w:val="000000"/>
          <w:szCs w:val="21"/>
          <w:highlight w:val="none"/>
        </w:rPr>
        <w:t>（9）按上述修正错误的原则及方法调整或修正投标文件的投标报价，调整后的投标报价对投标人起约束作用。如果投标人不接受修正后的报价，则取消其投标资格，并且其投标担保也将被没收。</w:t>
      </w:r>
    </w:p>
    <w:bookmarkEnd w:id="635"/>
    <w:bookmarkEnd w:id="636"/>
    <w:bookmarkEnd w:id="637"/>
    <w:p>
      <w:pPr>
        <w:spacing w:line="400" w:lineRule="exact"/>
        <w:ind w:firstLine="420" w:firstLineChars="200"/>
        <w:rPr>
          <w:rFonts w:ascii="宋体" w:hAnsi="宋体" w:cs="宋体"/>
          <w:color w:val="000000"/>
          <w:szCs w:val="21"/>
          <w:highlight w:val="none"/>
        </w:rPr>
      </w:pPr>
    </w:p>
    <w:p>
      <w:pPr>
        <w:keepNext/>
        <w:keepLines/>
        <w:spacing w:before="100" w:after="100" w:line="360" w:lineRule="auto"/>
        <w:ind w:firstLine="118" w:firstLineChars="49"/>
        <w:outlineLvl w:val="2"/>
        <w:rPr>
          <w:rFonts w:ascii="宋体" w:hAnsi="宋体" w:cs="宋体"/>
          <w:b/>
          <w:color w:val="000000"/>
          <w:sz w:val="24"/>
          <w:szCs w:val="24"/>
          <w:highlight w:val="none"/>
        </w:rPr>
      </w:pPr>
      <w:bookmarkStart w:id="638" w:name="_Toc11748"/>
      <w:bookmarkStart w:id="639" w:name="_Toc623"/>
      <w:bookmarkStart w:id="640" w:name="_Toc32165"/>
      <w:bookmarkStart w:id="641" w:name="_Toc12458"/>
      <w:bookmarkStart w:id="642" w:name="_Toc485211104"/>
      <w:bookmarkStart w:id="643" w:name="_Toc11316"/>
      <w:bookmarkStart w:id="644" w:name="_Toc19366"/>
      <w:bookmarkStart w:id="645" w:name="_Toc31339"/>
      <w:bookmarkStart w:id="646" w:name="_Toc24321"/>
      <w:bookmarkStart w:id="647" w:name="_Toc7763"/>
      <w:bookmarkStart w:id="648" w:name="_Toc22114"/>
      <w:bookmarkStart w:id="649" w:name="_Toc14447"/>
      <w:r>
        <w:rPr>
          <w:rFonts w:hint="eastAsia" w:ascii="宋体" w:hAnsi="宋体" w:cs="宋体"/>
          <w:b/>
          <w:color w:val="000000"/>
          <w:sz w:val="24"/>
          <w:szCs w:val="24"/>
          <w:highlight w:val="none"/>
        </w:rPr>
        <w:t>3.2投标文件的澄清和补正</w:t>
      </w:r>
      <w:bookmarkEnd w:id="638"/>
      <w:bookmarkEnd w:id="639"/>
      <w:bookmarkEnd w:id="640"/>
      <w:bookmarkEnd w:id="641"/>
      <w:bookmarkEnd w:id="642"/>
      <w:bookmarkEnd w:id="643"/>
      <w:bookmarkEnd w:id="644"/>
      <w:bookmarkEnd w:id="645"/>
      <w:bookmarkEnd w:id="646"/>
      <w:bookmarkEnd w:id="647"/>
      <w:bookmarkEnd w:id="648"/>
      <w:bookmarkEnd w:id="649"/>
    </w:p>
    <w:p>
      <w:pPr>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3.2.1 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rPr>
          <w:rFonts w:ascii="宋体" w:hAnsi="宋体" w:cs="宋体"/>
          <w:color w:val="000000"/>
          <w:szCs w:val="24"/>
          <w:highlight w:val="none"/>
        </w:rPr>
      </w:pPr>
      <w:r>
        <w:rPr>
          <w:rFonts w:hint="eastAsia" w:ascii="宋体" w:hAnsi="宋体" w:cs="宋体"/>
          <w:color w:val="000000"/>
          <w:szCs w:val="24"/>
          <w:highlight w:val="none"/>
        </w:rPr>
        <w:t>3.2.2 澄清、说明和补正不得改变投标文件的实质性内容。投标人的书面澄清、说明和补正属于投标文件的组成部分。</w:t>
      </w:r>
    </w:p>
    <w:p>
      <w:pPr>
        <w:spacing w:line="400" w:lineRule="exact"/>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3.2.3 评标委员会对投标人提交的澄清、说明或补正有疑问的，可以要求投标人进一步澄清、说明或补正，直至满足评标委员会的要求。</w:t>
      </w:r>
    </w:p>
    <w:p>
      <w:pPr>
        <w:pStyle w:val="16"/>
        <w:rPr>
          <w:rFonts w:hint="eastAsia"/>
          <w:color w:val="000000"/>
          <w:highlight w:val="none"/>
        </w:rPr>
      </w:pPr>
    </w:p>
    <w:p>
      <w:pPr>
        <w:keepNext/>
        <w:keepLines/>
        <w:spacing w:before="100" w:after="100" w:line="360" w:lineRule="auto"/>
        <w:ind w:firstLine="118" w:firstLineChars="49"/>
        <w:outlineLvl w:val="2"/>
        <w:rPr>
          <w:rFonts w:hint="eastAsia" w:ascii="宋体" w:hAnsi="宋体" w:cs="宋体"/>
          <w:b/>
          <w:color w:val="000000"/>
          <w:sz w:val="24"/>
          <w:szCs w:val="24"/>
          <w:highlight w:val="none"/>
        </w:rPr>
      </w:pPr>
      <w:bookmarkStart w:id="650" w:name="_Toc4885"/>
      <w:r>
        <w:rPr>
          <w:rFonts w:hint="eastAsia" w:ascii="宋体" w:hAnsi="宋体" w:cs="宋体"/>
          <w:b/>
          <w:color w:val="000000"/>
          <w:sz w:val="24"/>
          <w:szCs w:val="24"/>
          <w:highlight w:val="none"/>
        </w:rPr>
        <w:t>3.3 评标结果</w:t>
      </w:r>
      <w:bookmarkEnd w:id="650"/>
    </w:p>
    <w:p>
      <w:pPr>
        <w:spacing w:line="440" w:lineRule="exact"/>
        <w:ind w:firstLine="420" w:firstLineChars="200"/>
        <w:rPr>
          <w:rFonts w:ascii="宋体" w:hAnsi="宋体"/>
          <w:color w:val="000000"/>
          <w:highlight w:val="none"/>
        </w:rPr>
      </w:pPr>
      <w:r>
        <w:rPr>
          <w:rFonts w:ascii="宋体" w:hAnsi="宋体"/>
          <w:color w:val="000000"/>
          <w:highlight w:val="none"/>
        </w:rPr>
        <w:t>3.</w:t>
      </w:r>
      <w:r>
        <w:rPr>
          <w:rFonts w:hint="eastAsia" w:ascii="宋体" w:hAnsi="宋体"/>
          <w:color w:val="000000"/>
          <w:highlight w:val="none"/>
        </w:rPr>
        <w:t>3</w:t>
      </w:r>
      <w:r>
        <w:rPr>
          <w:rFonts w:ascii="宋体" w:hAnsi="宋体"/>
          <w:color w:val="000000"/>
          <w:highlight w:val="none"/>
        </w:rPr>
        <w:t xml:space="preserve">.1 </w:t>
      </w:r>
      <w:r>
        <w:rPr>
          <w:rFonts w:hint="eastAsia" w:ascii="宋体" w:hAnsi="宋体"/>
          <w:color w:val="000000"/>
          <w:highlight w:val="none"/>
          <w:u w:val="single"/>
        </w:rPr>
        <w:t>评标委员会按照招标文件规定完成初步评审，向招标人推荐合格的中标候选人，合格的中标候选人不排序。合格的中标候选人少于</w:t>
      </w:r>
      <w:r>
        <w:rPr>
          <w:rFonts w:ascii="宋体" w:hAnsi="宋体"/>
          <w:color w:val="000000"/>
          <w:highlight w:val="none"/>
          <w:u w:val="single"/>
        </w:rPr>
        <w:t>3</w:t>
      </w:r>
      <w:r>
        <w:rPr>
          <w:rFonts w:hint="eastAsia" w:ascii="宋体" w:hAnsi="宋体"/>
          <w:color w:val="000000"/>
          <w:highlight w:val="none"/>
          <w:u w:val="single"/>
        </w:rPr>
        <w:t>家的，应当重新招标。</w:t>
      </w:r>
    </w:p>
    <w:p>
      <w:pPr>
        <w:spacing w:line="440" w:lineRule="exact"/>
        <w:ind w:firstLine="420" w:firstLineChars="200"/>
        <w:rPr>
          <w:rFonts w:ascii="宋体" w:hAnsi="宋体"/>
          <w:color w:val="000000"/>
          <w:highlight w:val="none"/>
        </w:rPr>
      </w:pPr>
      <w:r>
        <w:rPr>
          <w:rFonts w:ascii="宋体" w:hAnsi="宋体"/>
          <w:color w:val="000000"/>
          <w:highlight w:val="none"/>
        </w:rPr>
        <w:t>3.</w:t>
      </w:r>
      <w:r>
        <w:rPr>
          <w:rFonts w:hint="eastAsia" w:ascii="宋体" w:hAnsi="宋体"/>
          <w:color w:val="000000"/>
          <w:highlight w:val="none"/>
        </w:rPr>
        <w:t>3</w:t>
      </w:r>
      <w:r>
        <w:rPr>
          <w:rFonts w:ascii="宋体" w:hAnsi="宋体"/>
          <w:color w:val="000000"/>
          <w:highlight w:val="none"/>
        </w:rPr>
        <w:t xml:space="preserve">.2 </w:t>
      </w:r>
      <w:r>
        <w:rPr>
          <w:rFonts w:hint="eastAsia" w:ascii="宋体" w:hAnsi="宋体"/>
          <w:color w:val="000000"/>
          <w:highlight w:val="none"/>
        </w:rPr>
        <w:t>评标委员会完成评标后，应当向招标人提交书面评标报告。</w:t>
      </w:r>
    </w:p>
    <w:p>
      <w:pPr>
        <w:spacing w:line="400" w:lineRule="exact"/>
        <w:ind w:firstLine="420" w:firstLineChars="200"/>
        <w:rPr>
          <w:rFonts w:ascii="宋体" w:hAnsi="宋体" w:cs="宋体"/>
          <w:color w:val="000000"/>
          <w:szCs w:val="24"/>
          <w:highlight w:val="none"/>
        </w:rPr>
      </w:pPr>
    </w:p>
    <w:p>
      <w:pPr>
        <w:keepNext/>
        <w:keepLines/>
        <w:spacing w:before="100" w:after="100" w:line="360" w:lineRule="auto"/>
        <w:ind w:firstLine="118" w:firstLineChars="49"/>
        <w:outlineLvl w:val="2"/>
        <w:rPr>
          <w:rFonts w:ascii="宋体" w:hAnsi="宋体" w:cs="宋体"/>
          <w:b/>
          <w:color w:val="000000"/>
          <w:sz w:val="24"/>
          <w:szCs w:val="24"/>
          <w:highlight w:val="none"/>
        </w:rPr>
      </w:pPr>
      <w:bookmarkStart w:id="651" w:name="_Toc29583"/>
      <w:bookmarkStart w:id="652" w:name="_Toc13871"/>
      <w:bookmarkStart w:id="653" w:name="_Toc23075"/>
      <w:bookmarkStart w:id="654" w:name="_Toc32271"/>
      <w:bookmarkStart w:id="655" w:name="_Toc18654"/>
      <w:bookmarkStart w:id="656" w:name="_Toc29079"/>
      <w:bookmarkStart w:id="657" w:name="_Toc26472"/>
      <w:bookmarkStart w:id="658" w:name="_Toc485211105"/>
      <w:bookmarkStart w:id="659" w:name="_Toc10695"/>
      <w:bookmarkStart w:id="660" w:name="_Toc25933"/>
      <w:bookmarkStart w:id="661" w:name="_Toc19376"/>
      <w:bookmarkStart w:id="662" w:name="_Toc10967"/>
      <w:r>
        <w:rPr>
          <w:rFonts w:hint="eastAsia" w:ascii="宋体" w:hAnsi="宋体" w:cs="宋体"/>
          <w:b/>
          <w:color w:val="000000"/>
          <w:sz w:val="24"/>
          <w:szCs w:val="24"/>
          <w:highlight w:val="none"/>
        </w:rPr>
        <w:t>3.</w:t>
      </w:r>
      <w:bookmarkEnd w:id="651"/>
      <w:bookmarkEnd w:id="652"/>
      <w:bookmarkEnd w:id="653"/>
      <w:bookmarkEnd w:id="654"/>
      <w:bookmarkEnd w:id="655"/>
      <w:bookmarkEnd w:id="656"/>
      <w:bookmarkEnd w:id="657"/>
      <w:bookmarkEnd w:id="658"/>
      <w:r>
        <w:rPr>
          <w:rFonts w:hint="eastAsia" w:ascii="宋体" w:hAnsi="宋体" w:cs="宋体"/>
          <w:b/>
          <w:color w:val="000000"/>
          <w:sz w:val="24"/>
          <w:szCs w:val="24"/>
          <w:highlight w:val="none"/>
        </w:rPr>
        <w:t>4定标</w:t>
      </w:r>
      <w:bookmarkEnd w:id="659"/>
      <w:bookmarkEnd w:id="660"/>
      <w:bookmarkEnd w:id="661"/>
      <w:bookmarkEnd w:id="662"/>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3.4.1 评标结束后，招标人须公示合格的中标候选人，公示期为三天。招标人须按以下规定组建定标委员会，在评标委员会推荐的合格中标候选人中推荐中标人：</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1）定标由招标人依法组建的定标委员会负责，成员数量为5人或以上单数。确有需要的，财政性资金工程的招标人可以从本系统上下级主管部门或者系统外相关部门工作人员中确定成员；非财政性国有资金投资工程的招标人可以从其母公司、子公司人员中确定成员；</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（2）招标人应当组建监督小组对定标过程进行见证监督。</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3.4.2 定标时间和地点：</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招标人在评标结束后10个工作日内在广州公共资源交易中心举行定标会议，招标人按规定程序在投标人须知的时间和地点完成定标工作。</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rPr>
        <w:t>3.4.3定标规则及程序</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rPr>
        <w:t>3.4.3.1 本项目采用“记名投票+撰写评语”的定标办法，定标委员会应根据评审因素对合格的中标候选人的各项能力进行定性评审，撰写评语，采用记名投票的方式推荐中标人；</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rPr>
        <w:t>3.4.3.2 定标工作开始后，由定标委员会组长发放选票，定标委员会参考定标因素或其他进行投票排名，定标委员会应推荐一人为定标委员会组长，主持当次定标会议。</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rPr>
        <w:t>3.4.3.3 定标辅助资料为评标阶段的评标报告、投标人提交的投标文件与定标文件。</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rPr>
        <w:t>3.4.3.4 定标委员会根据定标辅助资料，在同等条件下，定标因素的相对标准按以下几个方面进行：</w:t>
      </w:r>
    </w:p>
    <w:p>
      <w:pPr>
        <w:spacing w:line="400" w:lineRule="exact"/>
        <w:ind w:firstLine="420" w:firstLineChars="200"/>
        <w:rPr>
          <w:color w:val="000000"/>
          <w:highlight w:val="none"/>
        </w:rPr>
      </w:pPr>
      <w:r>
        <w:rPr>
          <w:rFonts w:hint="eastAsia" w:ascii="宋体" w:hAnsi="宋体" w:cs="宋体"/>
          <w:color w:val="000000"/>
          <w:szCs w:val="24"/>
          <w:highlight w:val="none"/>
          <w:u w:val="single"/>
        </w:rPr>
        <w:t>1、</w:t>
      </w:r>
      <w:r>
        <w:rPr>
          <w:rFonts w:hint="eastAsia"/>
          <w:color w:val="000000"/>
          <w:highlight w:val="none"/>
          <w:u w:val="single"/>
        </w:rPr>
        <w:t>价格因素。</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2、方案因素；</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3、资信因素；</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szCs w:val="24"/>
          <w:highlight w:val="none"/>
          <w:u w:val="single"/>
        </w:rPr>
        <w:t>4、</w:t>
      </w:r>
      <w:r>
        <w:rPr>
          <w:rFonts w:hint="eastAsia" w:ascii="宋体" w:hAnsi="宋体" w:cs="宋体"/>
          <w:color w:val="000000"/>
          <w:kern w:val="0"/>
          <w:szCs w:val="21"/>
          <w:highlight w:val="none"/>
          <w:u w:val="single"/>
        </w:rPr>
        <w:t>投标人认为需要提交的其它文件。</w:t>
      </w:r>
    </w:p>
    <w:p>
      <w:pPr>
        <w:spacing w:line="400" w:lineRule="exact"/>
        <w:ind w:firstLine="420" w:firstLineChars="200"/>
        <w:rPr>
          <w:color w:val="000000"/>
          <w:highlight w:val="none"/>
        </w:rPr>
      </w:pPr>
      <w:r>
        <w:rPr>
          <w:rFonts w:hint="eastAsia" w:ascii="宋体" w:hAnsi="宋体" w:cs="宋体"/>
          <w:color w:val="000000"/>
          <w:szCs w:val="24"/>
          <w:highlight w:val="none"/>
          <w:u w:val="single"/>
        </w:rPr>
        <w:t>具体评价标准详见附表九：《定标因素表》。</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rPr>
        <w:t>3.4.3.5 投票规则：定标委员会根据定标因素对各投标人进行综合比较后，进行一轮一次性票决并排序，每位定标委员会成员只有1票表决权（即只能对其中一家投标人投票），得票数最多的投标人将推荐为中标人，若出现票数相同且无法决出中标人时，票数相同的再进行附加的一次性票决，直至决出中标人。</w:t>
      </w:r>
    </w:p>
    <w:p>
      <w:pPr>
        <w:spacing w:line="400" w:lineRule="exact"/>
        <w:ind w:firstLine="420" w:firstLineChars="200"/>
        <w:rPr>
          <w:color w:val="000000"/>
          <w:highlight w:val="none"/>
        </w:rPr>
      </w:pPr>
      <w:r>
        <w:rPr>
          <w:rFonts w:hint="eastAsia" w:ascii="宋体" w:hAnsi="宋体" w:cs="宋体"/>
          <w:color w:val="000000"/>
          <w:szCs w:val="21"/>
          <w:highlight w:val="none"/>
          <w:u w:val="single"/>
        </w:rPr>
        <w:t>3.4.3.6</w:t>
      </w:r>
      <w:r>
        <w:rPr>
          <w:rFonts w:hint="eastAsia"/>
          <w:color w:val="000000"/>
          <w:highlight w:val="none"/>
          <w:u w:val="single"/>
        </w:rPr>
        <w:t>定标委员会对各投标单位的各定标因素进行撰写评语。</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rPr>
        <w:t>3.4.3.7 定标委员会中的各定标委员应独立投票，可以弃权，当弃权票数达到定标委员会人数50%或以上时，本次定标会无效，招标人应重新招标。</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rPr>
        <w:t>3.4.3.8定标委员会组长根据选票情况向招标人推荐中标人。</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rPr>
        <w:t>3.4.3.9 编写定标报告，定标委员会全体确认后签署定标报告。</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rPr>
        <w:t>3.4.4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rPr>
          <w:rFonts w:ascii="宋体" w:hAnsi="宋体" w:cs="宋体"/>
          <w:color w:val="000000"/>
          <w:szCs w:val="24"/>
          <w:highlight w:val="none"/>
        </w:rPr>
      </w:pPr>
    </w:p>
    <w:p>
      <w:pPr>
        <w:rPr>
          <w:color w:val="auto"/>
          <w:highlight w:val="none"/>
        </w:rPr>
      </w:pPr>
    </w:p>
    <w:p>
      <w:pPr>
        <w:pStyle w:val="4"/>
        <w:numPr>
          <w:ilvl w:val="0"/>
          <w:numId w:val="1"/>
        </w:numPr>
        <w:rPr>
          <w:rFonts w:hint="eastAsia" w:ascii="宋体" w:hAnsi="宋体" w:eastAsia="宋体" w:cs="宋体"/>
          <w:color w:val="auto"/>
          <w:highlight w:val="none"/>
          <w:lang w:val="zh-CN"/>
        </w:rPr>
      </w:pPr>
      <w:bookmarkStart w:id="663" w:name="_Toc16714"/>
      <w:bookmarkStart w:id="664" w:name="_Toc3564"/>
      <w:bookmarkStart w:id="665" w:name="_Toc31859"/>
      <w:r>
        <w:rPr>
          <w:rFonts w:hint="eastAsia" w:ascii="宋体" w:hAnsi="宋体" w:eastAsia="宋体" w:cs="宋体"/>
          <w:color w:val="auto"/>
          <w:highlight w:val="none"/>
          <w:lang w:val="zh-CN"/>
        </w:rPr>
        <w:t>评标表格</w:t>
      </w:r>
      <w:bookmarkEnd w:id="663"/>
      <w:bookmarkEnd w:id="664"/>
      <w:bookmarkEnd w:id="665"/>
    </w:p>
    <w:p>
      <w:pPr>
        <w:spacing w:line="360" w:lineRule="auto"/>
        <w:ind w:firstLine="420" w:firstLineChars="200"/>
        <w:rPr>
          <w:rFonts w:hint="eastAsia" w:ascii="宋体" w:hAnsi="宋体" w:cs="宋体"/>
          <w:color w:val="auto"/>
          <w:highlight w:val="none"/>
          <w:u w:val="single"/>
          <w:lang w:val="zh-CN"/>
        </w:rPr>
      </w:pPr>
      <w:r>
        <w:rPr>
          <w:rFonts w:hint="eastAsia" w:ascii="宋体" w:hAnsi="宋体" w:cs="宋体"/>
          <w:color w:val="auto"/>
          <w:highlight w:val="none"/>
          <w:u w:val="single"/>
        </w:rPr>
        <w:t>见附表。</w:t>
      </w:r>
    </w:p>
    <w:p>
      <w:pPr>
        <w:widowControl/>
        <w:jc w:val="left"/>
        <w:rPr>
          <w:rFonts w:ascii="宋体" w:hAnsi="宋体" w:cs="宋体"/>
          <w:b/>
          <w:color w:val="auto"/>
          <w:kern w:val="1"/>
          <w:sz w:val="24"/>
          <w:highlight w:val="none"/>
        </w:rPr>
      </w:pPr>
    </w:p>
    <w:p>
      <w:pPr>
        <w:widowControl/>
        <w:jc w:val="left"/>
        <w:rPr>
          <w:rFonts w:ascii="宋体" w:hAnsi="宋体" w:cs="宋体"/>
          <w:b/>
          <w:color w:val="auto"/>
          <w:kern w:val="1"/>
          <w:sz w:val="24"/>
          <w:highlight w:val="none"/>
        </w:rPr>
      </w:pPr>
    </w:p>
    <w:p>
      <w:pPr>
        <w:pStyle w:val="4"/>
        <w:rPr>
          <w:color w:val="auto"/>
          <w:highlight w:val="none"/>
        </w:rPr>
        <w:sectPr>
          <w:pgSz w:w="11906" w:h="16838"/>
          <w:pgMar w:top="1440" w:right="1800" w:bottom="1440" w:left="1800" w:header="851" w:footer="992" w:gutter="0"/>
          <w:cols w:space="720" w:num="1"/>
          <w:docGrid w:type="lines" w:linePitch="312" w:charSpace="0"/>
        </w:sectPr>
      </w:pPr>
    </w:p>
    <w:p>
      <w:pPr>
        <w:widowControl/>
        <w:jc w:val="left"/>
        <w:rPr>
          <w:rFonts w:hint="eastAsia" w:ascii="宋体" w:hAnsi="宋体" w:cs="宋体"/>
          <w:b/>
          <w:color w:val="auto"/>
          <w:kern w:val="1"/>
          <w:sz w:val="24"/>
          <w:highlight w:val="none"/>
        </w:rPr>
      </w:pPr>
    </w:p>
    <w:p>
      <w:pPr>
        <w:rPr>
          <w:rFonts w:hint="eastAsia" w:ascii="宋体" w:hAnsi="宋体" w:cs="宋体"/>
          <w:b/>
          <w:color w:val="auto"/>
          <w:kern w:val="1"/>
          <w:sz w:val="24"/>
          <w:highlight w:val="none"/>
        </w:rPr>
      </w:pPr>
      <w:r>
        <w:rPr>
          <w:rFonts w:hint="eastAsia" w:ascii="宋体" w:hAnsi="宋体" w:cs="宋体"/>
          <w:b/>
          <w:color w:val="auto"/>
          <w:kern w:val="1"/>
          <w:sz w:val="24"/>
          <w:highlight w:val="none"/>
        </w:rPr>
        <w:t>附表1</w:t>
      </w:r>
    </w:p>
    <w:p>
      <w:pPr>
        <w:widowControl/>
        <w:spacing w:line="240" w:lineRule="exact"/>
        <w:jc w:val="left"/>
        <w:rPr>
          <w:rFonts w:hint="eastAsia" w:ascii="宋体" w:hAnsi="宋体" w:cs="宋体"/>
          <w:b/>
          <w:color w:val="auto"/>
          <w:kern w:val="1"/>
          <w:sz w:val="24"/>
          <w:highlight w:val="none"/>
        </w:rPr>
      </w:pPr>
    </w:p>
    <w:p>
      <w:pPr>
        <w:spacing w:line="360" w:lineRule="auto"/>
        <w:jc w:val="center"/>
        <w:rPr>
          <w:rFonts w:ascii="宋体" w:hAnsi="宋体"/>
          <w:b/>
          <w:color w:val="auto"/>
          <w:sz w:val="24"/>
          <w:highlight w:val="none"/>
        </w:rPr>
      </w:pPr>
      <w:r>
        <w:rPr>
          <w:rFonts w:ascii="宋体" w:hAnsi="宋体"/>
          <w:b/>
          <w:color w:val="auto"/>
          <w:sz w:val="24"/>
          <w:highlight w:val="none"/>
        </w:rPr>
        <w:t>资格审</w:t>
      </w:r>
      <w:r>
        <w:rPr>
          <w:rFonts w:hint="eastAsia" w:ascii="宋体" w:hAnsi="宋体"/>
          <w:b/>
          <w:color w:val="auto"/>
          <w:sz w:val="24"/>
          <w:highlight w:val="none"/>
        </w:rPr>
        <w:t>查表</w:t>
      </w:r>
    </w:p>
    <w:p>
      <w:pPr>
        <w:spacing w:line="400" w:lineRule="exact"/>
        <w:rPr>
          <w:rFonts w:hint="eastAsia" w:ascii="宋体" w:cs="宋体"/>
          <w:color w:val="auto"/>
          <w:kern w:val="0"/>
          <w:szCs w:val="21"/>
          <w:highlight w:val="none"/>
        </w:rPr>
      </w:pPr>
      <w:r>
        <w:rPr>
          <w:rFonts w:hint="eastAsia" w:ascii="宋体" w:cs="宋体"/>
          <w:color w:val="auto"/>
          <w:kern w:val="0"/>
          <w:szCs w:val="21"/>
          <w:highlight w:val="none"/>
        </w:rPr>
        <w:t>项目名称：</w:t>
      </w:r>
    </w:p>
    <w:tbl>
      <w:tblPr>
        <w:tblStyle w:val="38"/>
        <w:tblW w:w="14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0111"/>
        <w:gridCol w:w="857"/>
        <w:gridCol w:w="837"/>
        <w:gridCol w:w="83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111"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widowControl/>
              <w:snapToGrid w:val="0"/>
              <w:ind w:firstLine="8400" w:firstLineChars="40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p>
          <w:p>
            <w:pPr>
              <w:widowControl/>
              <w:snapToGrid w:val="0"/>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审查项目</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rPr>
                <w:rFonts w:hint="default" w:ascii="STSong-Light" w:hAnsi="STSong-Light" w:eastAsia="STSong-Light" w:cs="STSong-Light"/>
                <w:color w:val="000000"/>
                <w:kern w:val="0"/>
                <w:sz w:val="21"/>
                <w:szCs w:val="21"/>
                <w:highlight w:val="none"/>
                <w:lang w:bidi="ar"/>
              </w:rPr>
            </w:pPr>
            <w:r>
              <w:rPr>
                <w:rFonts w:hint="default" w:ascii="STSong-Light" w:hAnsi="STSong-Light" w:eastAsia="STSong-Light" w:cs="STSong-Light"/>
                <w:color w:val="000000"/>
                <w:kern w:val="0"/>
                <w:sz w:val="21"/>
                <w:szCs w:val="21"/>
                <w:highlight w:val="none"/>
                <w:lang w:bidi="ar"/>
              </w:rPr>
              <w:t>投标人参加投标的意思表达清楚，投标人代表被授权有效（联合体投标的，由联合体主办方出具即可）</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left"/>
              <w:rPr>
                <w:rFonts w:hint="default" w:ascii="STSong-Light" w:hAnsi="STSong-Light" w:eastAsia="STSong-Light" w:cs="STSong-Light"/>
                <w:color w:val="000000"/>
                <w:kern w:val="0"/>
                <w:sz w:val="21"/>
                <w:szCs w:val="21"/>
                <w:highlight w:val="none"/>
                <w:lang w:eastAsia="zh-CN" w:bidi="ar"/>
              </w:rPr>
            </w:pPr>
            <w:r>
              <w:rPr>
                <w:rFonts w:hint="default" w:ascii="STSong-Light" w:hAnsi="STSong-Light" w:eastAsia="STSong-Light" w:cs="STSong-Light"/>
                <w:color w:val="000000"/>
                <w:kern w:val="0"/>
                <w:sz w:val="21"/>
                <w:szCs w:val="21"/>
                <w:highlight w:val="none"/>
                <w:lang w:bidi="ar"/>
              </w:rPr>
              <w:t>投标人（若为联合体投标，指联合体各方）均具有独立法人资格，按国家法律经营</w:t>
            </w:r>
            <w:r>
              <w:rPr>
                <w:rFonts w:hint="default" w:ascii="STSong-Light" w:hAnsi="STSong-Light" w:eastAsia="STSong-Light" w:cs="STSong-Light"/>
                <w:color w:val="000000"/>
                <w:kern w:val="0"/>
                <w:sz w:val="21"/>
                <w:szCs w:val="21"/>
                <w:highlight w:val="none"/>
                <w:lang w:eastAsia="zh-CN" w:bidi="ar"/>
              </w:rPr>
              <w:t>。</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left"/>
              <w:rPr>
                <w:rFonts w:hint="default" w:ascii="STSong-Light" w:hAnsi="STSong-Light" w:eastAsia="STSong-Light" w:cs="STSong-Light"/>
                <w:color w:val="000000"/>
                <w:kern w:val="0"/>
                <w:sz w:val="21"/>
                <w:szCs w:val="21"/>
                <w:highlight w:val="none"/>
                <w:lang w:val="en-US" w:eastAsia="zh-CN" w:bidi="ar"/>
              </w:rPr>
            </w:pPr>
            <w:r>
              <w:rPr>
                <w:rFonts w:hint="default" w:ascii="STSong-Light" w:hAnsi="STSong-Light" w:eastAsia="STSong-Light" w:cs="STSong-Light"/>
                <w:color w:val="000000"/>
                <w:kern w:val="0"/>
                <w:sz w:val="21"/>
                <w:szCs w:val="21"/>
                <w:highlight w:val="none"/>
                <w:lang w:bidi="ar"/>
              </w:rPr>
              <w:t>投标人（若为联合体投标，由承担施工任务的施工方提供）持有建设行政主管部门颁发的有效的安全生产许可证。</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left"/>
              <w:rPr>
                <w:rFonts w:hint="default" w:ascii="STSong-Light" w:hAnsi="STSong-Light" w:eastAsia="STSong-Light" w:cs="STSong-Light"/>
                <w:color w:val="000000"/>
                <w:kern w:val="0"/>
                <w:sz w:val="21"/>
                <w:szCs w:val="21"/>
                <w:highlight w:val="none"/>
                <w:lang w:bidi="ar"/>
              </w:rPr>
            </w:pPr>
            <w:r>
              <w:rPr>
                <w:rFonts w:hint="default" w:ascii="STSong-Light" w:hAnsi="STSong-Light" w:eastAsia="STSong-Light" w:cs="STSong-Light"/>
                <w:color w:val="000000"/>
                <w:kern w:val="0"/>
                <w:sz w:val="21"/>
                <w:szCs w:val="21"/>
                <w:highlight w:val="none"/>
                <w:lang w:bidi="ar"/>
              </w:rPr>
              <w:t>投标人</w:t>
            </w:r>
            <w:r>
              <w:rPr>
                <w:rFonts w:hint="eastAsia" w:ascii="宋体" w:hAnsi="宋体"/>
                <w:color w:val="auto"/>
                <w:sz w:val="21"/>
                <w:szCs w:val="21"/>
                <w:highlight w:val="none"/>
              </w:rPr>
              <w:t>（若为联合体投标，指联合体各方）</w:t>
            </w:r>
            <w:r>
              <w:rPr>
                <w:rFonts w:hint="default" w:ascii="STSong-Light" w:hAnsi="STSong-Light" w:eastAsia="STSong-Light" w:cs="STSong-Light"/>
                <w:b w:val="0"/>
                <w:bCs w:val="0"/>
                <w:color w:val="000000"/>
                <w:kern w:val="0"/>
                <w:sz w:val="21"/>
                <w:szCs w:val="21"/>
                <w:highlight w:val="none"/>
                <w:lang w:bidi="ar"/>
              </w:rPr>
              <w:t>同时</w:t>
            </w:r>
            <w:r>
              <w:rPr>
                <w:rFonts w:hint="default" w:ascii="STSong-Light" w:hAnsi="STSong-Light" w:eastAsia="STSong-Light" w:cs="STSong-Light"/>
                <w:color w:val="000000"/>
                <w:kern w:val="0"/>
                <w:sz w:val="21"/>
                <w:szCs w:val="21"/>
                <w:highlight w:val="none"/>
                <w:lang w:bidi="ar"/>
              </w:rPr>
              <w:t>具有承接本工程所需的建设行政主管部门颁发的</w:t>
            </w:r>
            <w:r>
              <w:rPr>
                <w:rFonts w:hint="default" w:ascii="STSong-Light" w:hAnsi="STSong-Light" w:eastAsia="STSong-Light" w:cs="STSong-Light"/>
                <w:color w:val="000000"/>
                <w:kern w:val="0"/>
                <w:sz w:val="21"/>
                <w:szCs w:val="21"/>
                <w:highlight w:val="none"/>
                <w:lang w:val="en-US" w:eastAsia="zh-CN" w:bidi="ar"/>
              </w:rPr>
              <w:t>的企业资质证书；投标人资质符合公告要求</w:t>
            </w:r>
            <w:r>
              <w:rPr>
                <w:rFonts w:hint="eastAsia" w:ascii="STSong-Light" w:hAnsi="STSong-Light" w:eastAsia="STSong-Light" w:cs="STSong-Light"/>
                <w:color w:val="000000"/>
                <w:kern w:val="0"/>
                <w:sz w:val="21"/>
                <w:szCs w:val="21"/>
                <w:highlight w:val="none"/>
                <w:lang w:val="en-US" w:eastAsia="zh-CN" w:bidi="ar"/>
              </w:rPr>
              <w:t>。</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投标人拟担任本工程设计负责人（若为联合体投标，由承担设计任务的设计方提供）满足招标公告要求。</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投标人拟担任本工程项目负责人（兼施工负责人，若为联合体投标，由承担施工任务的施工方提供）的专业和级别满足招标公告要求；并持有在有效期内的安全生产考核合格证（B类）或建筑施工企业项目负责人安全生产考核合格证书。设计负责人、项目负责人、技术负责人及项目专职安全员不为同一人。</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投标人拟担任本工程</w:t>
            </w:r>
            <w:r>
              <w:rPr>
                <w:rFonts w:hint="eastAsia" w:ascii="宋体" w:hAnsi="宋体" w:cs="宋体"/>
                <w:color w:val="auto"/>
                <w:szCs w:val="21"/>
                <w:highlight w:val="none"/>
                <w:shd w:val="clear" w:color="auto" w:fill="FFFFFF"/>
              </w:rPr>
              <w:t>技术负责人（若为联合体投标，由承担施工任务的施工方提供）符合招标公告</w:t>
            </w:r>
            <w:r>
              <w:rPr>
                <w:rFonts w:hint="eastAsia" w:ascii="宋体" w:hAnsi="宋体" w:cs="宋体"/>
                <w:color w:val="auto"/>
                <w:kern w:val="0"/>
                <w:szCs w:val="21"/>
                <w:highlight w:val="none"/>
              </w:rPr>
              <w:t>要求。</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投标人拟担任本项目</w:t>
            </w:r>
            <w:r>
              <w:rPr>
                <w:rFonts w:hint="eastAsia" w:ascii="宋体" w:hAnsi="宋体" w:cs="宋体"/>
                <w:color w:val="auto"/>
                <w:szCs w:val="21"/>
                <w:highlight w:val="none"/>
              </w:rPr>
              <w:t>专职安全人员</w:t>
            </w:r>
            <w:r>
              <w:rPr>
                <w:rFonts w:hint="eastAsia" w:ascii="宋体" w:hAnsi="宋体" w:cs="宋体"/>
                <w:color w:val="auto"/>
                <w:szCs w:val="21"/>
                <w:highlight w:val="none"/>
                <w:shd w:val="clear" w:color="auto" w:fill="FFFFFF"/>
              </w:rPr>
              <w:t>（若为联合体投标，由承担施工任务的施工方提供）具有在有效期内的安全生产考核合格证书（C类）或建筑施工企业专职安全生产管理人员安全生产考核合格证书（C3）</w:t>
            </w:r>
            <w:r>
              <w:rPr>
                <w:rFonts w:hint="eastAsia" w:ascii="宋体" w:hAnsi="宋体" w:cs="宋体"/>
                <w:color w:val="auto"/>
                <w:szCs w:val="21"/>
                <w:highlight w:val="none"/>
              </w:rPr>
              <w:t>。</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投标人按规定的格式及内容要求签署《投标人声明》。（格式见招标公告附件一）。</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按招标文件要求签订了联合体协议书，且联合体协议书中明确约定了各方拟承担的工作和责任。（适用于以联合体投标人，格式见招标公告附件二）。</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资格审查前，投标人（若为联合体投标，指联合体各方）须在广州市住房和城乡建设局建立企业信用档案，拟担任本工程项目负责人、</w:t>
            </w:r>
            <w:r>
              <w:rPr>
                <w:rFonts w:hint="eastAsia" w:ascii="宋体" w:hAnsi="宋体" w:eastAsia="宋体" w:cs="宋体"/>
                <w:color w:val="auto"/>
                <w:kern w:val="0"/>
                <w:sz w:val="21"/>
                <w:szCs w:val="21"/>
                <w:highlight w:val="none"/>
                <w:lang w:eastAsia="zh-CN"/>
              </w:rPr>
              <w:t>技术负责人、</w:t>
            </w:r>
            <w:r>
              <w:rPr>
                <w:rFonts w:hint="eastAsia" w:ascii="宋体" w:hAnsi="宋体" w:eastAsia="宋体" w:cs="宋体"/>
                <w:color w:val="auto"/>
                <w:kern w:val="0"/>
                <w:sz w:val="21"/>
                <w:szCs w:val="21"/>
                <w:highlight w:val="none"/>
              </w:rPr>
              <w:t>专职安全员、设计负责人（若为联合体投标，由承担相应任务方提供）须是本企业信用管理平台中登记的在册人员。</w:t>
            </w:r>
          </w:p>
        </w:tc>
        <w:tc>
          <w:tcPr>
            <w:tcW w:w="857" w:type="dxa"/>
            <w:tcBorders>
              <w:top w:val="single" w:color="auto" w:sz="4" w:space="0"/>
              <w:left w:val="single" w:color="auto" w:sz="4" w:space="0"/>
              <w:bottom w:val="single" w:color="auto" w:sz="4" w:space="0"/>
              <w:right w:val="single" w:color="auto" w:sz="4" w:space="0"/>
            </w:tcBorders>
            <w:noWrap w:val="0"/>
            <w:vAlign w:val="center"/>
          </w:tcPr>
          <w:p>
            <w:pPr>
              <w:pStyle w:val="79"/>
              <w:jc w:val="center"/>
              <w:rPr>
                <w:rFonts w:hint="eastAsia" w:ascii="宋体" w:hAnsi="宋体" w:cs="宋体"/>
                <w:color w:val="auto"/>
                <w:szCs w:val="21"/>
                <w:highlight w:val="none"/>
                <w:u w:val="singl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pStyle w:val="79"/>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pStyle w:val="79"/>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未被列入拖欠农民工工资失信联合惩戒对象名单。投标人无需提交资料，资格审查时，根据交易中心系统比对结果为准。</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0"/>
                <w:szCs w:val="21"/>
                <w:highlight w:val="none"/>
              </w:rPr>
              <w:t>投标人（或联合体各方）未出现以下情形：与其它投标人的单位负责人为同一人或者存在控股、管理关系的（按投标人提供的《投标人声明》第八条内容进行评审）。</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101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结论（通过/不通过）</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宋体" w:hAnsi="宋体" w:cs="宋体"/>
                <w:color w:val="auto"/>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p>
        </w:tc>
      </w:tr>
    </w:tbl>
    <w:p>
      <w:pPr>
        <w:spacing w:line="240" w:lineRule="auto"/>
        <w:rPr>
          <w:rFonts w:hint="eastAsia" w:ascii="宋体" w:cs="宋体"/>
          <w:color w:val="auto"/>
          <w:sz w:val="21"/>
          <w:szCs w:val="21"/>
          <w:highlight w:val="none"/>
          <w:shd w:val="clear" w:color="auto" w:fill="FFFFFF"/>
        </w:rPr>
      </w:pPr>
    </w:p>
    <w:p>
      <w:pPr>
        <w:ind w:firstLine="0" w:firstLineChars="0"/>
        <w:rPr>
          <w:rFonts w:hint="eastAsia" w:ascii="宋体" w:cs="宋体"/>
          <w:color w:val="auto"/>
          <w:szCs w:val="21"/>
          <w:highlight w:val="none"/>
          <w:shd w:val="clear" w:color="auto" w:fill="FFFFFF"/>
        </w:rPr>
      </w:pPr>
      <w:r>
        <w:rPr>
          <w:rFonts w:hint="eastAsia" w:ascii="宋体" w:cs="宋体"/>
          <w:color w:val="auto"/>
          <w:sz w:val="21"/>
          <w:szCs w:val="21"/>
          <w:highlight w:val="none"/>
          <w:shd w:val="clear" w:color="auto" w:fill="FFFFFF"/>
        </w:rPr>
        <w:t>备注：1、</w:t>
      </w:r>
      <w:r>
        <w:rPr>
          <w:rFonts w:hint="eastAsia" w:ascii="宋体" w:cs="宋体"/>
          <w:color w:val="auto"/>
          <w:szCs w:val="21"/>
          <w:highlight w:val="none"/>
          <w:shd w:val="clear" w:color="auto" w:fill="FFFFFF"/>
        </w:rPr>
        <w:t>每一项目符合有效的记“通过”无效的记“不通过”，全部审查项目均为有效的，结论为“通过”，否则为“不通过”；</w:t>
      </w:r>
    </w:p>
    <w:p>
      <w:pPr>
        <w:ind w:firstLine="630" w:firstLineChars="300"/>
        <w:rPr>
          <w:rFonts w:hint="eastAsia" w:ascii="宋体" w:cs="宋体"/>
          <w:color w:val="auto"/>
          <w:szCs w:val="21"/>
          <w:highlight w:val="none"/>
          <w:shd w:val="clear" w:color="auto" w:fill="FFFFFF"/>
        </w:rPr>
      </w:pPr>
      <w:r>
        <w:rPr>
          <w:rFonts w:hint="eastAsia" w:ascii="宋体" w:cs="宋体"/>
          <w:color w:val="auto"/>
          <w:szCs w:val="21"/>
          <w:highlight w:val="none"/>
          <w:shd w:val="clear" w:color="auto" w:fill="FFFFFF"/>
          <w:lang w:val="en-US" w:eastAsia="zh-CN"/>
        </w:rPr>
        <w:t>2</w:t>
      </w:r>
      <w:r>
        <w:rPr>
          <w:rFonts w:hint="eastAsia" w:ascii="宋体" w:cs="宋体"/>
          <w:color w:val="auto"/>
          <w:szCs w:val="21"/>
          <w:highlight w:val="none"/>
          <w:shd w:val="clear" w:color="auto" w:fill="FFFFFF"/>
        </w:rPr>
        <w:t>、若评委对本表中某种情形的评审意见不一致时，以评审组过半数成员的意见作为评审组对该情形的认定结论。</w:t>
      </w:r>
    </w:p>
    <w:p>
      <w:pPr>
        <w:ind w:firstLine="630" w:firstLineChars="300"/>
        <w:rPr>
          <w:rFonts w:ascii="宋体" w:cs="宋体"/>
          <w:color w:val="auto"/>
          <w:szCs w:val="21"/>
          <w:highlight w:val="none"/>
          <w:shd w:val="clear" w:color="auto" w:fill="FFFFFF"/>
        </w:rPr>
      </w:pPr>
      <w:r>
        <w:rPr>
          <w:rFonts w:hint="eastAsia" w:ascii="宋体" w:cs="宋体"/>
          <w:color w:val="auto"/>
          <w:szCs w:val="21"/>
          <w:highlight w:val="none"/>
          <w:shd w:val="clear" w:color="auto" w:fill="FFFFFF"/>
          <w:lang w:val="en-US" w:eastAsia="zh-CN"/>
        </w:rPr>
        <w:t>3</w:t>
      </w:r>
      <w:r>
        <w:rPr>
          <w:rFonts w:hint="eastAsia" w:ascii="宋体" w:cs="宋体"/>
          <w:color w:val="auto"/>
          <w:szCs w:val="21"/>
          <w:highlight w:val="none"/>
          <w:shd w:val="clear" w:color="auto" w:fill="FFFFFF"/>
          <w:lang w:eastAsia="zh-CN"/>
        </w:rPr>
        <w:t>、</w:t>
      </w:r>
      <w:r>
        <w:rPr>
          <w:rFonts w:hint="eastAsia" w:ascii="宋体" w:cs="宋体"/>
          <w:color w:val="auto"/>
          <w:szCs w:val="21"/>
          <w:highlight w:val="none"/>
          <w:shd w:val="clear" w:color="auto" w:fill="FFFFFF"/>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240" w:lineRule="exact"/>
        <w:rPr>
          <w:rFonts w:hint="eastAsia" w:ascii="宋体" w:hAnsi="宋体"/>
          <w:color w:val="auto"/>
          <w:sz w:val="18"/>
          <w:szCs w:val="18"/>
          <w:highlight w:val="none"/>
        </w:rPr>
      </w:pPr>
    </w:p>
    <w:p>
      <w:pPr>
        <w:rPr>
          <w:color w:val="auto"/>
          <w:szCs w:val="21"/>
          <w:highlight w:val="none"/>
        </w:rPr>
      </w:pPr>
      <w:r>
        <w:rPr>
          <w:rFonts w:hint="eastAsia" w:ascii="宋体" w:hAnsi="宋体"/>
          <w:color w:val="auto"/>
          <w:szCs w:val="21"/>
          <w:highlight w:val="none"/>
        </w:rPr>
        <w:t>评委签名：                            日期：</w:t>
      </w:r>
    </w:p>
    <w:p>
      <w:pPr>
        <w:rPr>
          <w:color w:val="auto"/>
          <w:highlight w:val="none"/>
        </w:rPr>
      </w:pPr>
    </w:p>
    <w:p>
      <w:pPr>
        <w:rPr>
          <w:color w:val="auto"/>
          <w:highlight w:val="none"/>
        </w:rPr>
        <w:sectPr>
          <w:pgSz w:w="16838" w:h="11906" w:orient="landscape"/>
          <w:pgMar w:top="1406" w:right="1440" w:bottom="1406" w:left="1440" w:header="851" w:footer="992" w:gutter="0"/>
          <w:cols w:space="720" w:num="1"/>
          <w:docGrid w:type="lines" w:linePitch="319" w:charSpace="0"/>
        </w:sectPr>
      </w:pPr>
    </w:p>
    <w:p>
      <w:pPr>
        <w:rPr>
          <w:color w:val="auto"/>
          <w:highlight w:val="none"/>
        </w:rPr>
      </w:pPr>
    </w:p>
    <w:p>
      <w:pPr>
        <w:rPr>
          <w:color w:val="auto"/>
          <w:highlight w:val="none"/>
        </w:rPr>
      </w:pPr>
      <w:r>
        <w:rPr>
          <w:rFonts w:hint="eastAsia" w:ascii="宋体" w:hAnsi="宋体" w:cs="宋体"/>
          <w:b/>
          <w:color w:val="auto"/>
          <w:kern w:val="1"/>
          <w:sz w:val="24"/>
          <w:highlight w:val="none"/>
        </w:rPr>
        <w:t>附表2</w:t>
      </w:r>
    </w:p>
    <w:p>
      <w:pPr>
        <w:spacing w:line="360" w:lineRule="auto"/>
        <w:jc w:val="center"/>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设计施工部分（含资格审查文件）投标文件响应性审查表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612"/>
        <w:gridCol w:w="850"/>
        <w:gridCol w:w="850"/>
        <w:gridCol w:w="851"/>
        <w:gridCol w:w="850"/>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noWrap w:val="0"/>
            <w:vAlign w:val="center"/>
          </w:tcPr>
          <w:p>
            <w:pPr>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8612" w:type="dxa"/>
            <w:tcBorders>
              <w:tl2br w:val="single" w:color="auto" w:sz="4" w:space="0"/>
            </w:tcBorders>
            <w:noWrap w:val="0"/>
            <w:vAlign w:val="top"/>
          </w:tcPr>
          <w:p>
            <w:pPr>
              <w:wordWrap w:val="0"/>
              <w:jc w:val="right"/>
              <w:rPr>
                <w:rFonts w:ascii="宋体" w:hAnsi="宋体" w:cs="宋体"/>
                <w:b/>
                <w:color w:val="000000"/>
                <w:szCs w:val="21"/>
                <w:highlight w:val="none"/>
              </w:rPr>
            </w:pPr>
            <w:r>
              <w:rPr>
                <w:rFonts w:hint="eastAsia" w:ascii="宋体" w:hAnsi="宋体" w:cs="宋体"/>
                <w:b/>
                <w:color w:val="000000"/>
                <w:szCs w:val="21"/>
                <w:highlight w:val="none"/>
              </w:rPr>
              <w:t xml:space="preserve">  投标单位</w:t>
            </w:r>
          </w:p>
          <w:p>
            <w:pPr>
              <w:rPr>
                <w:rFonts w:ascii="宋体" w:hAnsi="宋体" w:cs="宋体"/>
                <w:b/>
                <w:color w:val="000000"/>
                <w:szCs w:val="21"/>
                <w:highlight w:val="none"/>
              </w:rPr>
            </w:pPr>
            <w:r>
              <w:rPr>
                <w:rFonts w:hint="eastAsia" w:ascii="宋体" w:hAnsi="宋体" w:cs="宋体"/>
                <w:b/>
                <w:color w:val="000000"/>
                <w:szCs w:val="21"/>
                <w:highlight w:val="none"/>
              </w:rPr>
              <w:t>评审内容</w:t>
            </w:r>
          </w:p>
        </w:tc>
        <w:tc>
          <w:tcPr>
            <w:tcW w:w="850" w:type="dxa"/>
            <w:noWrap w:val="0"/>
            <w:vAlign w:val="center"/>
          </w:tcPr>
          <w:p>
            <w:pPr>
              <w:jc w:val="center"/>
              <w:rPr>
                <w:rFonts w:ascii="宋体" w:hAnsi="宋体" w:cs="宋体"/>
                <w:b/>
                <w:color w:val="000000"/>
                <w:szCs w:val="21"/>
                <w:highlight w:val="none"/>
              </w:rPr>
            </w:pPr>
          </w:p>
        </w:tc>
        <w:tc>
          <w:tcPr>
            <w:tcW w:w="850" w:type="dxa"/>
            <w:noWrap w:val="0"/>
            <w:vAlign w:val="center"/>
          </w:tcPr>
          <w:p>
            <w:pPr>
              <w:jc w:val="center"/>
              <w:rPr>
                <w:rFonts w:ascii="宋体" w:hAnsi="宋体" w:cs="宋体"/>
                <w:b/>
                <w:color w:val="000000"/>
                <w:szCs w:val="21"/>
                <w:highlight w:val="none"/>
              </w:rPr>
            </w:pPr>
          </w:p>
        </w:tc>
        <w:tc>
          <w:tcPr>
            <w:tcW w:w="851" w:type="dxa"/>
            <w:noWrap w:val="0"/>
            <w:vAlign w:val="center"/>
          </w:tcPr>
          <w:p>
            <w:pPr>
              <w:jc w:val="center"/>
              <w:rPr>
                <w:rFonts w:ascii="宋体" w:hAnsi="宋体" w:cs="宋体"/>
                <w:b/>
                <w:color w:val="000000"/>
                <w:szCs w:val="21"/>
                <w:highlight w:val="none"/>
              </w:rPr>
            </w:pPr>
          </w:p>
        </w:tc>
        <w:tc>
          <w:tcPr>
            <w:tcW w:w="850" w:type="dxa"/>
            <w:noWrap w:val="0"/>
            <w:vAlign w:val="center"/>
          </w:tcPr>
          <w:p>
            <w:pPr>
              <w:jc w:val="center"/>
              <w:rPr>
                <w:rFonts w:ascii="宋体" w:hAnsi="宋体" w:cs="宋体"/>
                <w:b/>
                <w:color w:val="000000"/>
                <w:szCs w:val="21"/>
                <w:highlight w:val="none"/>
              </w:rPr>
            </w:pPr>
          </w:p>
        </w:tc>
        <w:tc>
          <w:tcPr>
            <w:tcW w:w="850" w:type="dxa"/>
            <w:noWrap w:val="0"/>
            <w:vAlign w:val="center"/>
          </w:tcPr>
          <w:p>
            <w:pPr>
              <w:jc w:val="center"/>
              <w:rPr>
                <w:rFonts w:ascii="宋体" w:hAnsi="宋体" w:cs="宋体"/>
                <w:b/>
                <w:color w:val="000000"/>
                <w:szCs w:val="21"/>
                <w:highlight w:val="none"/>
              </w:rPr>
            </w:pPr>
          </w:p>
        </w:tc>
        <w:tc>
          <w:tcPr>
            <w:tcW w:w="851" w:type="dxa"/>
            <w:noWrap w:val="0"/>
            <w:vAlign w:val="center"/>
          </w:tcPr>
          <w:p>
            <w:pPr>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8612" w:type="dxa"/>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投标文件所列投标人名称、</w:t>
            </w:r>
            <w:r>
              <w:rPr>
                <w:rFonts w:hint="eastAsia" w:ascii="宋体" w:hAnsi="宋体" w:cs="宋体"/>
                <w:color w:val="000000"/>
                <w:szCs w:val="21"/>
                <w:highlight w:val="none"/>
                <w:lang w:eastAsia="zh-CN"/>
              </w:rPr>
              <w:t>项目负责人</w:t>
            </w:r>
            <w:r>
              <w:rPr>
                <w:rFonts w:hint="eastAsia" w:ascii="宋体" w:hAnsi="宋体" w:cs="宋体"/>
                <w:color w:val="000000"/>
                <w:szCs w:val="21"/>
                <w:highlight w:val="none"/>
              </w:rPr>
              <w:t>、专职安全员与投标登记时不一致；</w:t>
            </w: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8612" w:type="dxa"/>
            <w:noWrap w:val="0"/>
            <w:vAlign w:val="center"/>
          </w:tcPr>
          <w:p>
            <w:pPr>
              <w:rPr>
                <w:rFonts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《设计施工投标承诺书》未按规定的格式填写盖章的；</w:t>
            </w: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8612" w:type="dxa"/>
            <w:noWrap w:val="0"/>
            <w:vAlign w:val="center"/>
          </w:tcPr>
          <w:p>
            <w:pPr>
              <w:rPr>
                <w:rFonts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不能满足完成投标项目工期的；</w:t>
            </w: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8612" w:type="dxa"/>
            <w:noWrap w:val="0"/>
            <w:vAlign w:val="center"/>
          </w:tcPr>
          <w:p>
            <w:pPr>
              <w:rPr>
                <w:rFonts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不能满足工程质量要求的；</w:t>
            </w: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8612" w:type="dxa"/>
            <w:noWrap w:val="0"/>
            <w:vAlign w:val="center"/>
          </w:tcPr>
          <w:p>
            <w:pPr>
              <w:rPr>
                <w:rFonts w:ascii="宋体" w:hAnsi="宋体" w:eastAsia="宋体" w:cs="宋体"/>
                <w:color w:val="000000"/>
                <w:kern w:val="2"/>
                <w:sz w:val="21"/>
                <w:szCs w:val="21"/>
                <w:highlight w:val="none"/>
                <w:lang w:val="en-US" w:eastAsia="zh-CN" w:bidi="ar-SA"/>
              </w:rPr>
            </w:pPr>
            <w:r>
              <w:rPr>
                <w:rFonts w:hint="eastAsia" w:ascii="Calibri" w:hAnsi="Calibri"/>
                <w:b/>
                <w:bCs/>
                <w:color w:val="000000"/>
                <w:highlight w:val="none"/>
                <w:u w:val="single"/>
              </w:rPr>
              <w:t>投标人与其他投标人加密打包投标文件电脑机器特征码一致的(以广州公共资源交易中心评标系统的检索信息为准)。</w:t>
            </w: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5"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8612" w:type="dxa"/>
            <w:noWrap w:val="0"/>
            <w:vAlign w:val="center"/>
          </w:tcPr>
          <w:p>
            <w:pPr>
              <w:rPr>
                <w:rFonts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投标文件未按规定的格式填写盖章，或主要内容不全，或关键字迹模糊、无法辨认的；</w:t>
            </w: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8612" w:type="dxa"/>
            <w:noWrap w:val="0"/>
            <w:vAlign w:val="center"/>
          </w:tcPr>
          <w:p>
            <w:pPr>
              <w:rPr>
                <w:rFonts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投标人之间存在《广东省实施&lt;中华人民共和国招标投标法&gt;》第十六条所禁止的情形的；</w:t>
            </w: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8612" w:type="dxa"/>
            <w:noWrap w:val="0"/>
            <w:vAlign w:val="center"/>
          </w:tcPr>
          <w:p>
            <w:pPr>
              <w:rPr>
                <w:rFonts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无《参与编制设计施工部分投标文件人员名单》的；</w:t>
            </w: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0" w:type="dxa"/>
            <w:noWrap w:val="0"/>
            <w:vAlign w:val="center"/>
          </w:tcPr>
          <w:p>
            <w:pPr>
              <w:jc w:val="center"/>
              <w:rPr>
                <w:rFonts w:ascii="宋体" w:hAnsi="宋体" w:cs="宋体"/>
                <w:color w:val="000000"/>
                <w:szCs w:val="21"/>
                <w:highlight w:val="none"/>
              </w:rPr>
            </w:pPr>
          </w:p>
        </w:tc>
        <w:tc>
          <w:tcPr>
            <w:tcW w:w="851" w:type="dxa"/>
            <w:noWrap w:val="0"/>
            <w:vAlign w:val="center"/>
          </w:tcPr>
          <w:p>
            <w:pPr>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结论</w:t>
            </w:r>
          </w:p>
        </w:tc>
        <w:tc>
          <w:tcPr>
            <w:tcW w:w="86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宋体"/>
                <w:color w:val="000000"/>
                <w:szCs w:val="21"/>
                <w:highlight w:val="none"/>
              </w:rPr>
            </w:pPr>
            <w:r>
              <w:rPr>
                <w:rFonts w:hint="eastAsia" w:ascii="宋体" w:hAnsi="宋体" w:cs="宋体"/>
                <w:color w:val="000000"/>
                <w:szCs w:val="21"/>
                <w:highlight w:val="none"/>
              </w:rPr>
              <w:t>是否通过并进入下一阶段评审。</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highlight w:val="none"/>
              </w:rPr>
            </w:pPr>
          </w:p>
        </w:tc>
      </w:tr>
    </w:tbl>
    <w:p>
      <w:pPr>
        <w:spacing w:line="240" w:lineRule="exact"/>
        <w:rPr>
          <w:rFonts w:ascii="宋体" w:hAnsi="宋体" w:cs="宋体"/>
          <w:color w:val="000000"/>
          <w:szCs w:val="21"/>
          <w:highlight w:val="none"/>
        </w:rPr>
      </w:pPr>
    </w:p>
    <w:p>
      <w:pPr>
        <w:spacing w:line="240" w:lineRule="exact"/>
        <w:rPr>
          <w:rFonts w:ascii="宋体" w:hAnsi="宋体" w:cs="宋体"/>
          <w:color w:val="000000"/>
          <w:szCs w:val="21"/>
          <w:highlight w:val="none"/>
        </w:rPr>
      </w:pPr>
      <w:r>
        <w:rPr>
          <w:rFonts w:hint="eastAsia" w:ascii="宋体" w:hAnsi="宋体" w:cs="宋体"/>
          <w:color w:val="000000"/>
          <w:szCs w:val="21"/>
          <w:highlight w:val="none"/>
        </w:rPr>
        <w:t>备注：1.凡出现以上任何一项情形，均为无效，否则就为有效。</w:t>
      </w:r>
    </w:p>
    <w:p>
      <w:pPr>
        <w:spacing w:line="240" w:lineRule="exact"/>
        <w:ind w:firstLine="630" w:firstLineChars="300"/>
        <w:rPr>
          <w:rFonts w:ascii="宋体" w:hAnsi="宋体" w:cs="宋体"/>
          <w:color w:val="000000"/>
          <w:szCs w:val="21"/>
          <w:highlight w:val="none"/>
        </w:rPr>
      </w:pPr>
      <w:r>
        <w:rPr>
          <w:rFonts w:hint="eastAsia" w:ascii="宋体" w:hAnsi="宋体" w:cs="宋体"/>
          <w:color w:val="000000"/>
          <w:szCs w:val="21"/>
          <w:highlight w:val="none"/>
        </w:rPr>
        <w:t>2.根据本表审查项目，填 “○”或 “×”，评审结论填“通过“或“不通过”。</w:t>
      </w:r>
    </w:p>
    <w:p>
      <w:pPr>
        <w:spacing w:line="240" w:lineRule="exact"/>
        <w:ind w:firstLine="630" w:firstLineChars="300"/>
        <w:rPr>
          <w:rFonts w:ascii="宋体" w:hAnsi="宋体" w:cs="宋体"/>
          <w:color w:val="000000"/>
          <w:szCs w:val="21"/>
          <w:highlight w:val="none"/>
        </w:rPr>
      </w:pPr>
      <w:r>
        <w:rPr>
          <w:rFonts w:hint="eastAsia" w:ascii="宋体" w:hAnsi="宋体" w:cs="宋体"/>
          <w:color w:val="000000"/>
          <w:szCs w:val="21"/>
          <w:highlight w:val="none"/>
        </w:rPr>
        <w:t>3.本表中出现一个（或以上）“×”，投标人的评审结论为“不通过”，即该投标人不进入下一阶段评审。</w:t>
      </w:r>
    </w:p>
    <w:p>
      <w:pPr>
        <w:spacing w:line="240" w:lineRule="exact"/>
        <w:ind w:firstLine="630" w:firstLineChars="300"/>
        <w:rPr>
          <w:rFonts w:ascii="宋体" w:hAnsi="宋体" w:cs="宋体"/>
          <w:color w:val="000000"/>
          <w:szCs w:val="21"/>
          <w:highlight w:val="none"/>
        </w:rPr>
      </w:pPr>
      <w:r>
        <w:rPr>
          <w:rFonts w:hint="eastAsia" w:ascii="宋体" w:hAnsi="宋体" w:cs="宋体"/>
          <w:color w:val="000000"/>
          <w:szCs w:val="21"/>
          <w:highlight w:val="none"/>
        </w:rPr>
        <w:t>4.本表中评审项目全部为 “○”，投标人的评审结论为“通过”，即该投标人进入下一阶段评审。</w:t>
      </w:r>
    </w:p>
    <w:p>
      <w:pPr>
        <w:spacing w:line="240" w:lineRule="exact"/>
        <w:ind w:firstLine="630" w:firstLineChars="300"/>
        <w:rPr>
          <w:rFonts w:ascii="宋体" w:hAnsi="宋体" w:cs="宋体"/>
          <w:color w:val="000000"/>
          <w:szCs w:val="21"/>
          <w:highlight w:val="none"/>
        </w:rPr>
      </w:pPr>
      <w:r>
        <w:rPr>
          <w:rFonts w:hint="eastAsia" w:ascii="宋体" w:hAnsi="宋体" w:cs="宋体"/>
          <w:color w:val="000000"/>
          <w:szCs w:val="21"/>
          <w:highlight w:val="none"/>
        </w:rPr>
        <w:t>5.如对本表中某种情形的评审意见不一致时，以评审组过半数成员的意见作为评审组对该情形的认定结论。</w:t>
      </w:r>
    </w:p>
    <w:p>
      <w:pPr>
        <w:spacing w:before="156" w:beforeLines="50" w:line="240" w:lineRule="exact"/>
        <w:ind w:firstLine="630" w:firstLineChars="300"/>
        <w:rPr>
          <w:rFonts w:ascii="宋体" w:hAnsi="宋体" w:cs="宋体"/>
          <w:color w:val="000000"/>
          <w:szCs w:val="21"/>
          <w:highlight w:val="none"/>
        </w:rPr>
        <w:sectPr>
          <w:footerReference r:id="rId5" w:type="default"/>
          <w:pgSz w:w="16838" w:h="11905" w:orient="landscape"/>
          <w:pgMar w:top="1247" w:right="1247" w:bottom="1247" w:left="1247" w:header="567" w:footer="850" w:gutter="0"/>
          <w:cols w:space="720" w:num="1"/>
          <w:docGrid w:type="lines" w:linePitch="312" w:charSpace="0"/>
        </w:sectPr>
      </w:pPr>
      <w:r>
        <w:rPr>
          <w:rFonts w:hint="eastAsia" w:ascii="宋体" w:hAnsi="宋体" w:cs="宋体"/>
          <w:color w:val="000000"/>
          <w:szCs w:val="21"/>
          <w:highlight w:val="none"/>
        </w:rPr>
        <w:t xml:space="preserve">评委签名：                                                                                                     日期：             </w:t>
      </w:r>
    </w:p>
    <w:p>
      <w:pPr>
        <w:rPr>
          <w:rFonts w:hint="eastAsia" w:ascii="宋体" w:hAnsi="宋体" w:cs="宋体"/>
          <w:b/>
          <w:color w:val="auto"/>
          <w:kern w:val="1"/>
          <w:sz w:val="24"/>
          <w:highlight w:val="none"/>
        </w:rPr>
      </w:pPr>
      <w:r>
        <w:rPr>
          <w:rFonts w:hint="eastAsia" w:ascii="宋体" w:hAnsi="宋体" w:cs="宋体"/>
          <w:b/>
          <w:color w:val="auto"/>
          <w:kern w:val="1"/>
          <w:sz w:val="24"/>
          <w:highlight w:val="none"/>
        </w:rPr>
        <w:t>附表3</w:t>
      </w:r>
    </w:p>
    <w:p>
      <w:pPr>
        <w:spacing w:line="360" w:lineRule="auto"/>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经济投标文件响应性审查表</w:t>
      </w:r>
    </w:p>
    <w:p>
      <w:pPr>
        <w:rPr>
          <w:rFonts w:ascii="宋体" w:hAnsi="宋体" w:cs="宋体"/>
          <w:color w:val="000000"/>
          <w:szCs w:val="21"/>
          <w:highlight w:val="none"/>
        </w:rPr>
      </w:pPr>
      <w:r>
        <w:rPr>
          <w:rFonts w:hint="eastAsia" w:ascii="宋体" w:hAnsi="宋体" w:cs="宋体"/>
          <w:color w:val="000000"/>
          <w:szCs w:val="21"/>
          <w:highlight w:val="none"/>
        </w:rPr>
        <w:t>工程名称：</w:t>
      </w:r>
    </w:p>
    <w:tbl>
      <w:tblPr>
        <w:tblStyle w:val="38"/>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7490"/>
        <w:gridCol w:w="1491"/>
        <w:gridCol w:w="1488"/>
        <w:gridCol w:w="149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序号</w:t>
            </w:r>
          </w:p>
        </w:tc>
        <w:tc>
          <w:tcPr>
            <w:tcW w:w="2672"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ascii="宋体" w:hAnsi="宋体" w:cs="宋体"/>
                <w:color w:val="000000"/>
                <w:szCs w:val="21"/>
                <w:highlight w:val="none"/>
              </w:rPr>
            </w:pPr>
            <w:r>
              <w:rPr>
                <w:rFonts w:hint="eastAsia" w:ascii="宋体" w:hAnsi="宋体" w:cs="宋体"/>
                <w:color w:val="000000"/>
                <w:szCs w:val="21"/>
                <w:highlight w:val="none"/>
              </w:rPr>
              <w:t xml:space="preserve">                                           投标人</w:t>
            </w:r>
          </w:p>
          <w:p>
            <w:pPr>
              <w:rPr>
                <w:rFonts w:ascii="宋体" w:hAnsi="宋体" w:cs="宋体"/>
                <w:color w:val="000000"/>
                <w:szCs w:val="21"/>
                <w:highlight w:val="none"/>
              </w:rPr>
            </w:pPr>
          </w:p>
          <w:p>
            <w:pPr>
              <w:rPr>
                <w:rFonts w:ascii="宋体" w:hAnsi="宋体" w:cs="宋体"/>
                <w:color w:val="000000"/>
                <w:szCs w:val="21"/>
                <w:highlight w:val="none"/>
              </w:rPr>
            </w:pPr>
            <w:r>
              <w:rPr>
                <w:rFonts w:hint="eastAsia" w:ascii="宋体" w:hAnsi="宋体" w:cs="宋体"/>
                <w:color w:val="000000"/>
                <w:szCs w:val="21"/>
                <w:highlight w:val="none"/>
              </w:rPr>
              <w:t>评审内容</w:t>
            </w: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1"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1</w:t>
            </w:r>
          </w:p>
        </w:tc>
        <w:tc>
          <w:tcPr>
            <w:tcW w:w="2672"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投标文件未按规定的格式填写盖章，或主要内容不全，或关键字迹模糊、无法辨认的；</w:t>
            </w: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1"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2</w:t>
            </w:r>
          </w:p>
        </w:tc>
        <w:tc>
          <w:tcPr>
            <w:tcW w:w="2672"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对同一招标项目出现两个或以上的投标报价，且没有申明哪个有效；</w:t>
            </w: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1"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3</w:t>
            </w:r>
          </w:p>
        </w:tc>
        <w:tc>
          <w:tcPr>
            <w:tcW w:w="2672" w:type="pct"/>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Cs w:val="21"/>
                <w:highlight w:val="none"/>
              </w:rPr>
            </w:pPr>
            <w:r>
              <w:rPr>
                <w:rFonts w:hint="eastAsia" w:ascii="宋体" w:hAnsi="宋体" w:cs="宋体"/>
                <w:color w:val="000000"/>
                <w:szCs w:val="21"/>
                <w:highlight w:val="none"/>
                <w:u w:val="single"/>
              </w:rPr>
              <w:t>投标总报价高于本项目投标最高限价总价的，或设计费报价高于设计费投标最高限价的，或施工费总价报价高于施工费总价投标最高限价的。</w:t>
            </w: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1"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4</w:t>
            </w:r>
          </w:p>
        </w:tc>
        <w:tc>
          <w:tcPr>
            <w:tcW w:w="2672" w:type="pct"/>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tLeast"/>
              <w:rPr>
                <w:rFonts w:ascii="宋体" w:hAnsi="宋体" w:cs="宋体"/>
                <w:color w:val="000000"/>
                <w:szCs w:val="21"/>
                <w:highlight w:val="none"/>
              </w:rPr>
            </w:pPr>
            <w:r>
              <w:rPr>
                <w:rFonts w:hint="eastAsia" w:ascii="宋体" w:hAnsi="宋体" w:cs="宋体"/>
                <w:color w:val="000000"/>
                <w:szCs w:val="21"/>
                <w:highlight w:val="none"/>
              </w:rPr>
              <w:t>建安工程费投标报价低于建安工程费成本警戒价的，又不能合理说明或者不能提供相关证明材料的；</w:t>
            </w: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1"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5</w:t>
            </w:r>
          </w:p>
        </w:tc>
        <w:tc>
          <w:tcPr>
            <w:tcW w:w="2672" w:type="pct"/>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tLeast"/>
              <w:rPr>
                <w:rFonts w:ascii="宋体" w:hAnsi="宋体" w:cs="宋体"/>
                <w:color w:val="000000"/>
                <w:szCs w:val="21"/>
                <w:highlight w:val="none"/>
              </w:rPr>
            </w:pPr>
            <w:r>
              <w:rPr>
                <w:rFonts w:hint="eastAsia" w:ascii="宋体" w:hAnsi="宋体" w:cs="宋体"/>
                <w:color w:val="000000"/>
                <w:szCs w:val="21"/>
                <w:highlight w:val="none"/>
              </w:rPr>
              <w:t>算术复核后的投标报价与原投标报价相比存在1%或以上误差的；</w:t>
            </w: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1"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6</w:t>
            </w:r>
          </w:p>
        </w:tc>
        <w:tc>
          <w:tcPr>
            <w:tcW w:w="2672" w:type="pct"/>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tLeast"/>
              <w:rPr>
                <w:rFonts w:ascii="宋体" w:hAnsi="宋体" w:cs="宋体"/>
                <w:color w:val="000000"/>
                <w:szCs w:val="21"/>
                <w:highlight w:val="none"/>
              </w:rPr>
            </w:pPr>
            <w:r>
              <w:rPr>
                <w:rFonts w:hint="eastAsia" w:ascii="宋体" w:hAnsi="宋体" w:cs="宋体"/>
                <w:color w:val="000000"/>
                <w:szCs w:val="21"/>
                <w:highlight w:val="none"/>
              </w:rPr>
              <w:t>投标人之间存在《广东省实施&lt;中华人民共和国招标投标法&gt;》第十六条所禁止的情形的；</w:t>
            </w: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1"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7</w:t>
            </w:r>
          </w:p>
        </w:tc>
        <w:tc>
          <w:tcPr>
            <w:tcW w:w="2672" w:type="pct"/>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tLeast"/>
              <w:rPr>
                <w:rFonts w:ascii="宋体" w:hAnsi="宋体" w:cs="宋体"/>
                <w:color w:val="000000"/>
                <w:szCs w:val="21"/>
                <w:highlight w:val="none"/>
                <w:lang w:val="zh-CN"/>
              </w:rPr>
            </w:pPr>
            <w:r>
              <w:rPr>
                <w:rFonts w:hint="eastAsia" w:ascii="宋体" w:hAnsi="宋体" w:cs="宋体"/>
                <w:color w:val="000000"/>
                <w:szCs w:val="21"/>
                <w:highlight w:val="none"/>
                <w:lang w:val="zh-CN"/>
              </w:rPr>
              <w:t>无《对投标文件编制的承诺》</w:t>
            </w: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1"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highlight w:val="none"/>
              </w:rPr>
            </w:pPr>
            <w:r>
              <w:rPr>
                <w:rFonts w:hint="eastAsia" w:ascii="宋体" w:hAnsi="宋体" w:cs="宋体"/>
                <w:color w:val="000000"/>
                <w:szCs w:val="21"/>
                <w:highlight w:val="none"/>
              </w:rPr>
              <w:t>8</w:t>
            </w:r>
          </w:p>
        </w:tc>
        <w:tc>
          <w:tcPr>
            <w:tcW w:w="2672" w:type="pct"/>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tLeast"/>
              <w:rPr>
                <w:rFonts w:ascii="宋体" w:hAnsi="宋体" w:cs="宋体"/>
                <w:color w:val="000000"/>
                <w:szCs w:val="21"/>
                <w:highlight w:val="none"/>
              </w:rPr>
            </w:pPr>
            <w:r>
              <w:rPr>
                <w:rFonts w:hint="eastAsia" w:ascii="宋体" w:hAnsi="宋体" w:cs="宋体"/>
                <w:color w:val="000000"/>
                <w:szCs w:val="21"/>
                <w:highlight w:val="none"/>
                <w:lang w:val="zh-CN"/>
              </w:rPr>
              <w:t>无《参与编制经济标投标文件人员名单》的。</w:t>
            </w: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1"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highlight w:val="none"/>
              </w:rPr>
            </w:pPr>
          </w:p>
        </w:tc>
      </w:tr>
    </w:tbl>
    <w:p>
      <w:pPr>
        <w:ind w:firstLine="458"/>
        <w:rPr>
          <w:rFonts w:ascii="宋体" w:hAnsi="宋体" w:cs="宋体"/>
          <w:color w:val="000000"/>
          <w:szCs w:val="21"/>
          <w:highlight w:val="none"/>
        </w:rPr>
      </w:pPr>
      <w:r>
        <w:rPr>
          <w:rFonts w:hint="eastAsia" w:ascii="宋体" w:hAnsi="宋体" w:cs="宋体"/>
          <w:color w:val="000000"/>
          <w:szCs w:val="21"/>
          <w:highlight w:val="none"/>
        </w:rPr>
        <w:t>注：1.凡出现以上任何一项情形，结论均为无效，否则就为有效。</w:t>
      </w:r>
    </w:p>
    <w:p>
      <w:pPr>
        <w:ind w:firstLine="458"/>
        <w:rPr>
          <w:rFonts w:ascii="宋体" w:hAnsi="宋体" w:cs="宋体"/>
          <w:color w:val="000000"/>
          <w:szCs w:val="21"/>
          <w:highlight w:val="none"/>
        </w:rPr>
      </w:pPr>
      <w:r>
        <w:rPr>
          <w:rFonts w:hint="eastAsia" w:ascii="宋体" w:hAnsi="宋体" w:cs="宋体"/>
          <w:color w:val="000000"/>
          <w:szCs w:val="21"/>
          <w:highlight w:val="none"/>
        </w:rPr>
        <w:t>2.如对本表中某种情形的评审意见不一致时，以评标委员会过半数成员的意见作为评标委员会对该情形的认定结论。</w:t>
      </w:r>
    </w:p>
    <w:p>
      <w:pPr>
        <w:widowControl/>
        <w:jc w:val="left"/>
        <w:rPr>
          <w:rFonts w:ascii="宋体" w:hAnsi="宋体" w:cs="宋体"/>
          <w:color w:val="000000"/>
          <w:highlight w:val="none"/>
        </w:rPr>
      </w:pPr>
      <w:r>
        <w:rPr>
          <w:rFonts w:hint="eastAsia" w:ascii="宋体" w:hAnsi="宋体" w:cs="宋体"/>
          <w:color w:val="000000"/>
          <w:szCs w:val="21"/>
          <w:highlight w:val="none"/>
        </w:rPr>
        <w:t>评委签名：</w:t>
      </w:r>
    </w:p>
    <w:p>
      <w:pPr>
        <w:pStyle w:val="101"/>
        <w:jc w:val="center"/>
        <w:rPr>
          <w:rFonts w:hint="eastAsia" w:ascii="宋体" w:hAnsi="宋体" w:eastAsia="宋体" w:cs="Times New Roman"/>
          <w:b/>
          <w:color w:val="auto"/>
          <w:kern w:val="2"/>
          <w:sz w:val="24"/>
          <w:szCs w:val="24"/>
          <w:highlight w:val="none"/>
          <w:lang w:val="en-US" w:eastAsia="zh-CN" w:bidi="ar-SA"/>
        </w:rPr>
      </w:pPr>
      <w:r>
        <w:rPr>
          <w:rFonts w:hint="eastAsia" w:cs="宋体"/>
          <w:b/>
          <w:color w:val="000000"/>
          <w:sz w:val="28"/>
          <w:szCs w:val="28"/>
          <w:highlight w:val="none"/>
        </w:rPr>
        <w:br w:type="page"/>
      </w:r>
      <w:r>
        <w:rPr>
          <w:rFonts w:hint="eastAsia" w:ascii="宋体" w:hAnsi="宋体" w:eastAsia="宋体" w:cs="Times New Roman"/>
          <w:b/>
          <w:color w:val="auto"/>
          <w:kern w:val="2"/>
          <w:sz w:val="24"/>
          <w:szCs w:val="24"/>
          <w:highlight w:val="none"/>
          <w:lang w:val="en-US" w:eastAsia="zh-CN" w:bidi="ar-SA"/>
        </w:rPr>
        <w:t>算术复核表</w:t>
      </w:r>
    </w:p>
    <w:p>
      <w:pPr>
        <w:rPr>
          <w:rFonts w:ascii="宋体" w:hAnsi="宋体" w:cs="宋体"/>
          <w:color w:val="000000"/>
          <w:kern w:val="0"/>
          <w:highlight w:val="none"/>
        </w:rPr>
      </w:pPr>
      <w:r>
        <w:rPr>
          <w:rFonts w:hint="eastAsia" w:ascii="宋体" w:hAnsi="宋体" w:cs="宋体"/>
          <w:color w:val="000000"/>
          <w:kern w:val="0"/>
          <w:highlight w:val="none"/>
        </w:rPr>
        <w:t>工程名称：                投标单位:                                                  单位：元</w:t>
      </w:r>
    </w:p>
    <w:tbl>
      <w:tblPr>
        <w:tblStyle w:val="38"/>
        <w:tblW w:w="0" w:type="auto"/>
        <w:tblInd w:w="108"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修正前投标</w:t>
            </w:r>
          </w:p>
          <w:p>
            <w:pPr>
              <w:rPr>
                <w:rFonts w:ascii="宋体" w:hAnsi="宋体" w:cs="宋体"/>
                <w:color w:val="000000"/>
                <w:kern w:val="0"/>
                <w:highlight w:val="none"/>
              </w:rPr>
            </w:pPr>
            <w:r>
              <w:rPr>
                <w:rFonts w:hint="eastAsia" w:ascii="宋体" w:hAnsi="宋体" w:cs="宋体"/>
                <w:color w:val="000000"/>
                <w:kern w:val="0"/>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修正后投标</w:t>
            </w:r>
          </w:p>
          <w:p>
            <w:pPr>
              <w:rPr>
                <w:rFonts w:ascii="宋体" w:hAnsi="宋体" w:cs="宋体"/>
                <w:color w:val="000000"/>
                <w:kern w:val="0"/>
                <w:highlight w:val="none"/>
              </w:rPr>
            </w:pPr>
            <w:r>
              <w:rPr>
                <w:rFonts w:hint="eastAsia" w:ascii="宋体" w:hAnsi="宋体" w:cs="宋体"/>
                <w:color w:val="000000"/>
                <w:kern w:val="0"/>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修正率</w:t>
            </w:r>
            <w:r>
              <w:rPr>
                <w:rFonts w:hint="eastAsia" w:ascii="宋体" w:hAnsi="宋体" w:cs="宋体"/>
                <w:color w:val="000000"/>
                <w:kern w:val="0"/>
                <w:highlight w:val="none"/>
              </w:rPr>
              <w:br w:type="textWrapping"/>
            </w:r>
            <w:r>
              <w:rPr>
                <w:rFonts w:hint="eastAsia" w:ascii="宋体" w:hAnsi="宋体" w:cs="宋体"/>
                <w:color w:val="000000"/>
                <w:kern w:val="0"/>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1</w:t>
            </w:r>
          </w:p>
        </w:tc>
        <w:tc>
          <w:tcPr>
            <w:tcW w:w="4488"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[单位工程1]</w:t>
            </w:r>
          </w:p>
        </w:tc>
        <w:tc>
          <w:tcPr>
            <w:tcW w:w="1602"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2</w:t>
            </w:r>
          </w:p>
        </w:tc>
        <w:tc>
          <w:tcPr>
            <w:tcW w:w="4488"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[单位工程2]</w:t>
            </w:r>
          </w:p>
        </w:tc>
        <w:tc>
          <w:tcPr>
            <w:tcW w:w="1602"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w:t>
            </w:r>
          </w:p>
        </w:tc>
        <w:tc>
          <w:tcPr>
            <w:tcW w:w="1602"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w:t>
            </w:r>
          </w:p>
        </w:tc>
        <w:tc>
          <w:tcPr>
            <w:tcW w:w="1602"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w:t>
            </w:r>
          </w:p>
        </w:tc>
        <w:tc>
          <w:tcPr>
            <w:tcW w:w="1602"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n</w:t>
            </w:r>
          </w:p>
        </w:tc>
        <w:tc>
          <w:tcPr>
            <w:tcW w:w="4488"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[单位工程n]</w:t>
            </w:r>
          </w:p>
        </w:tc>
        <w:tc>
          <w:tcPr>
            <w:tcW w:w="1602"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投标总报价</w:t>
            </w:r>
          </w:p>
        </w:tc>
        <w:tc>
          <w:tcPr>
            <w:tcW w:w="1602"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highlight w:val="none"/>
              </w:rPr>
            </w:pPr>
            <w:r>
              <w:rPr>
                <w:rFonts w:hint="eastAsia" w:ascii="宋体" w:hAnsi="宋体" w:cs="宋体"/>
                <w:color w:val="000000"/>
                <w:kern w:val="0"/>
                <w:highlight w:val="none"/>
              </w:rPr>
              <w:t>∑A=A</w:t>
            </w:r>
            <w:r>
              <w:rPr>
                <w:rFonts w:hint="eastAsia" w:ascii="宋体" w:hAnsi="宋体" w:cs="宋体"/>
                <w:color w:val="000000"/>
                <w:kern w:val="0"/>
                <w:highlight w:val="none"/>
                <w:vertAlign w:val="subscript"/>
              </w:rPr>
              <w:t>1</w:t>
            </w:r>
            <w:r>
              <w:rPr>
                <w:rFonts w:hint="eastAsia" w:ascii="宋体" w:hAnsi="宋体" w:cs="宋体"/>
                <w:color w:val="000000"/>
                <w:kern w:val="0"/>
                <w:highlight w:val="none"/>
              </w:rPr>
              <w:t>+A</w:t>
            </w:r>
            <w:r>
              <w:rPr>
                <w:rFonts w:hint="eastAsia" w:ascii="宋体" w:hAnsi="宋体" w:cs="宋体"/>
                <w:color w:val="000000"/>
                <w:kern w:val="0"/>
                <w:highlight w:val="none"/>
                <w:vertAlign w:val="subscript"/>
              </w:rPr>
              <w:t>2</w:t>
            </w:r>
            <w:r>
              <w:rPr>
                <w:rFonts w:hint="eastAsia" w:ascii="宋体" w:hAnsi="宋体" w:cs="宋体"/>
                <w:color w:val="000000"/>
                <w:kern w:val="0"/>
                <w:highlight w:val="none"/>
              </w:rPr>
              <w:t>+…An；∑B=B</w:t>
            </w:r>
            <w:r>
              <w:rPr>
                <w:rFonts w:hint="eastAsia" w:ascii="宋体" w:hAnsi="宋体" w:cs="宋体"/>
                <w:color w:val="000000"/>
                <w:kern w:val="0"/>
                <w:highlight w:val="none"/>
                <w:vertAlign w:val="subscript"/>
              </w:rPr>
              <w:t>1</w:t>
            </w:r>
            <w:r>
              <w:rPr>
                <w:rFonts w:hint="eastAsia" w:ascii="宋体" w:hAnsi="宋体" w:cs="宋体"/>
                <w:color w:val="000000"/>
                <w:kern w:val="0"/>
                <w:highlight w:val="none"/>
              </w:rPr>
              <w:t>+B</w:t>
            </w:r>
            <w:r>
              <w:rPr>
                <w:rFonts w:hint="eastAsia" w:ascii="宋体" w:hAnsi="宋体" w:cs="宋体"/>
                <w:color w:val="000000"/>
                <w:kern w:val="0"/>
                <w:highlight w:val="none"/>
                <w:vertAlign w:val="subscript"/>
              </w:rPr>
              <w:t>2</w:t>
            </w:r>
            <w:r>
              <w:rPr>
                <w:rFonts w:hint="eastAsia" w:ascii="宋体" w:hAnsi="宋体" w:cs="宋体"/>
                <w:color w:val="000000"/>
                <w:kern w:val="0"/>
                <w:highlight w:val="none"/>
              </w:rPr>
              <w:t>+…Bn</w:t>
            </w:r>
          </w:p>
        </w:tc>
      </w:tr>
    </w:tbl>
    <w:p>
      <w:pPr>
        <w:rPr>
          <w:rFonts w:ascii="宋体" w:hAnsi="宋体" w:cs="宋体"/>
          <w:color w:val="000000"/>
          <w:kern w:val="0"/>
          <w:highlight w:val="none"/>
        </w:rPr>
      </w:pPr>
      <w:r>
        <w:rPr>
          <w:rFonts w:hint="eastAsia" w:ascii="宋体" w:hAnsi="宋体" w:cs="宋体"/>
          <w:color w:val="000000"/>
          <w:kern w:val="0"/>
          <w:highlight w:val="none"/>
        </w:rPr>
        <w:t>修正原则：</w:t>
      </w:r>
      <w:r>
        <w:rPr>
          <w:rFonts w:hint="eastAsia" w:ascii="宋体" w:hAnsi="宋体" w:cs="宋体"/>
          <w:color w:val="000000"/>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000000"/>
          <w:kern w:val="0"/>
          <w:highlight w:val="none"/>
        </w:rPr>
        <w:tab/>
      </w:r>
    </w:p>
    <w:p>
      <w:pPr>
        <w:rPr>
          <w:rFonts w:ascii="宋体" w:hAnsi="宋体" w:cs="宋体"/>
          <w:color w:val="000000"/>
          <w:kern w:val="0"/>
          <w:highlight w:val="none"/>
        </w:rPr>
      </w:pPr>
      <w:r>
        <w:rPr>
          <w:rFonts w:hint="eastAsia" w:ascii="宋体" w:hAnsi="宋体" w:cs="宋体"/>
          <w:color w:val="000000"/>
          <w:kern w:val="0"/>
          <w:highlight w:val="none"/>
        </w:rPr>
        <w:t>评委签名：</w:t>
      </w:r>
      <w:r>
        <w:rPr>
          <w:rFonts w:hint="eastAsia" w:ascii="宋体" w:hAnsi="宋体" w:cs="宋体"/>
          <w:color w:val="000000"/>
          <w:kern w:val="0"/>
          <w:highlight w:val="none"/>
        </w:rPr>
        <w:tab/>
      </w:r>
      <w:r>
        <w:rPr>
          <w:rFonts w:hint="eastAsia" w:ascii="宋体" w:hAnsi="宋体" w:cs="宋体"/>
          <w:color w:val="000000"/>
          <w:kern w:val="0"/>
          <w:highlight w:val="none"/>
        </w:rPr>
        <w:tab/>
      </w:r>
      <w:r>
        <w:rPr>
          <w:rFonts w:hint="eastAsia" w:ascii="宋体" w:hAnsi="宋体" w:cs="宋体"/>
          <w:color w:val="000000"/>
          <w:kern w:val="0"/>
          <w:highlight w:val="none"/>
        </w:rPr>
        <w:tab/>
      </w:r>
      <w:r>
        <w:rPr>
          <w:rFonts w:hint="eastAsia" w:ascii="宋体" w:hAnsi="宋体" w:cs="宋体"/>
          <w:color w:val="000000"/>
          <w:kern w:val="0"/>
          <w:highlight w:val="none"/>
        </w:rPr>
        <w:tab/>
      </w:r>
      <w:r>
        <w:rPr>
          <w:rFonts w:hint="eastAsia" w:ascii="宋体" w:hAnsi="宋体" w:cs="宋体"/>
          <w:color w:val="000000"/>
          <w:kern w:val="0"/>
          <w:highlight w:val="none"/>
        </w:rPr>
        <w:tab/>
      </w:r>
      <w:r>
        <w:rPr>
          <w:rFonts w:hint="eastAsia" w:ascii="宋体" w:hAnsi="宋体" w:cs="宋体"/>
          <w:color w:val="000000"/>
          <w:kern w:val="0"/>
          <w:highlight w:val="none"/>
        </w:rPr>
        <w:t>日期：</w:t>
      </w:r>
    </w:p>
    <w:p>
      <w:pPr>
        <w:rPr>
          <w:rFonts w:ascii="宋体" w:hAnsi="宋体" w:cs="宋体"/>
          <w:color w:val="000000"/>
          <w:highlight w:val="none"/>
        </w:rPr>
      </w:pPr>
    </w:p>
    <w:p>
      <w:pPr>
        <w:jc w:val="center"/>
        <w:rPr>
          <w:rFonts w:hint="eastAsia" w:ascii="宋体" w:hAnsi="宋体" w:eastAsia="宋体" w:cs="Times New Roman"/>
          <w:b/>
          <w:color w:val="auto"/>
          <w:sz w:val="24"/>
          <w:highlight w:val="none"/>
        </w:rPr>
      </w:pPr>
      <w:r>
        <w:rPr>
          <w:rFonts w:hint="eastAsia" w:ascii="宋体" w:hAnsi="宋体" w:cs="宋体"/>
          <w:color w:val="000000"/>
          <w:highlight w:val="none"/>
        </w:rPr>
        <w:br w:type="page"/>
      </w:r>
      <w:r>
        <w:rPr>
          <w:rFonts w:hint="eastAsia" w:ascii="宋体" w:hAnsi="宋体" w:eastAsia="宋体" w:cs="Times New Roman"/>
          <w:b/>
          <w:color w:val="auto"/>
          <w:sz w:val="24"/>
          <w:highlight w:val="none"/>
        </w:rPr>
        <w:t>算术复核表</w:t>
      </w:r>
    </w:p>
    <w:p>
      <w:pPr>
        <w:rPr>
          <w:rFonts w:ascii="宋体" w:hAnsi="宋体" w:cs="宋体"/>
          <w:color w:val="000000"/>
          <w:highlight w:val="none"/>
        </w:rPr>
      </w:pPr>
      <w:r>
        <w:rPr>
          <w:rFonts w:hint="eastAsia" w:ascii="宋体" w:hAnsi="宋体" w:cs="宋体"/>
          <w:color w:val="000000"/>
          <w:highlight w:val="none"/>
        </w:rPr>
        <w:t>工程名称：</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bCs/>
                <w:color w:val="000000"/>
                <w:sz w:val="28"/>
                <w:szCs w:val="28"/>
                <w:highlight w:val="none"/>
              </w:rPr>
            </w:pPr>
            <w:r>
              <w:rPr>
                <w:rFonts w:hint="eastAsia" w:ascii="宋体" w:hAnsi="宋体" w:cs="宋体"/>
                <w:b/>
                <w:bCs/>
                <w:color w:val="000000"/>
                <w:sz w:val="28"/>
                <w:szCs w:val="28"/>
                <w:highlight w:val="none"/>
              </w:rPr>
              <w:t>编号</w:t>
            </w:r>
          </w:p>
        </w:tc>
        <w:tc>
          <w:tcPr>
            <w:tcW w:w="4297" w:type="dxa"/>
            <w:tcBorders>
              <w:top w:val="single" w:color="auto" w:sz="4" w:space="0"/>
              <w:left w:val="nil"/>
              <w:bottom w:val="single" w:color="auto" w:sz="4" w:space="0"/>
              <w:right w:val="single" w:color="auto" w:sz="4" w:space="0"/>
            </w:tcBorders>
            <w:noWrap w:val="0"/>
            <w:vAlign w:val="top"/>
          </w:tcPr>
          <w:p>
            <w:pPr>
              <w:rPr>
                <w:rFonts w:ascii="宋体" w:hAnsi="宋体" w:cs="宋体"/>
                <w:b/>
                <w:bCs/>
                <w:color w:val="000000"/>
                <w:sz w:val="28"/>
                <w:szCs w:val="28"/>
                <w:highlight w:val="none"/>
              </w:rPr>
            </w:pPr>
            <w:r>
              <w:rPr>
                <w:rFonts w:hint="eastAsia" w:ascii="宋体" w:hAnsi="宋体" w:cs="宋体"/>
                <w:b/>
                <w:bCs/>
                <w:color w:val="000000"/>
                <w:sz w:val="28"/>
                <w:szCs w:val="28"/>
                <w:highlight w:val="none"/>
              </w:rPr>
              <w:t>投标人名称</w:t>
            </w:r>
          </w:p>
        </w:tc>
        <w:tc>
          <w:tcPr>
            <w:tcW w:w="2330" w:type="dxa"/>
            <w:tcBorders>
              <w:top w:val="single" w:color="auto" w:sz="4" w:space="0"/>
              <w:left w:val="nil"/>
              <w:bottom w:val="single" w:color="auto" w:sz="4" w:space="0"/>
              <w:right w:val="single" w:color="auto" w:sz="4" w:space="0"/>
            </w:tcBorders>
            <w:noWrap w:val="0"/>
            <w:vAlign w:val="top"/>
          </w:tcPr>
          <w:p>
            <w:pPr>
              <w:rPr>
                <w:rFonts w:ascii="宋体" w:hAnsi="宋体" w:cs="宋体"/>
                <w:b/>
                <w:bCs/>
                <w:color w:val="000000"/>
                <w:sz w:val="28"/>
                <w:szCs w:val="28"/>
                <w:highlight w:val="none"/>
              </w:rPr>
            </w:pPr>
            <w:r>
              <w:rPr>
                <w:rFonts w:hint="eastAsia" w:ascii="宋体" w:hAnsi="宋体" w:cs="宋体"/>
                <w:b/>
                <w:bCs/>
                <w:color w:val="000000"/>
                <w:sz w:val="28"/>
                <w:szCs w:val="28"/>
                <w:highlight w:val="none"/>
              </w:rPr>
              <w:t>原投标报价（A）</w:t>
            </w:r>
          </w:p>
        </w:tc>
        <w:tc>
          <w:tcPr>
            <w:tcW w:w="3101" w:type="dxa"/>
            <w:tcBorders>
              <w:top w:val="single" w:color="auto" w:sz="4" w:space="0"/>
              <w:left w:val="nil"/>
              <w:bottom w:val="single" w:color="auto" w:sz="4" w:space="0"/>
              <w:right w:val="single" w:color="auto" w:sz="4" w:space="0"/>
            </w:tcBorders>
            <w:noWrap w:val="0"/>
            <w:vAlign w:val="top"/>
          </w:tcPr>
          <w:p>
            <w:pPr>
              <w:rPr>
                <w:rFonts w:ascii="宋体" w:hAnsi="宋体" w:cs="宋体"/>
                <w:b/>
                <w:bCs/>
                <w:color w:val="000000"/>
                <w:sz w:val="28"/>
                <w:szCs w:val="28"/>
                <w:highlight w:val="none"/>
              </w:rPr>
            </w:pPr>
            <w:r>
              <w:rPr>
                <w:rFonts w:hint="eastAsia" w:ascii="宋体" w:hAnsi="宋体" w:cs="宋体"/>
                <w:b/>
                <w:bCs/>
                <w:color w:val="000000"/>
                <w:sz w:val="28"/>
                <w:szCs w:val="28"/>
                <w:highlight w:val="none"/>
              </w:rPr>
              <w:t>算数复核后投标报价（B）</w:t>
            </w:r>
          </w:p>
        </w:tc>
        <w:tc>
          <w:tcPr>
            <w:tcW w:w="3423" w:type="dxa"/>
            <w:tcBorders>
              <w:top w:val="single" w:color="auto" w:sz="4" w:space="0"/>
              <w:left w:val="nil"/>
              <w:bottom w:val="single" w:color="auto" w:sz="4" w:space="0"/>
              <w:right w:val="single" w:color="auto" w:sz="4" w:space="0"/>
            </w:tcBorders>
            <w:noWrap w:val="0"/>
            <w:vAlign w:val="top"/>
          </w:tcPr>
          <w:p>
            <w:pPr>
              <w:rPr>
                <w:rFonts w:ascii="宋体" w:hAnsi="宋体" w:cs="宋体"/>
                <w:b/>
                <w:bCs/>
                <w:color w:val="000000"/>
                <w:sz w:val="28"/>
                <w:szCs w:val="28"/>
                <w:highlight w:val="none"/>
              </w:rPr>
            </w:pPr>
            <w:r>
              <w:rPr>
                <w:rFonts w:hint="eastAsia" w:ascii="宋体" w:hAnsi="宋体" w:cs="宋体"/>
                <w:b/>
                <w:bCs/>
                <w:color w:val="000000"/>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36"/>
                <w:szCs w:val="36"/>
                <w:highlight w:val="none"/>
              </w:rPr>
            </w:pPr>
          </w:p>
        </w:tc>
      </w:tr>
    </w:tbl>
    <w:p>
      <w:pPr>
        <w:spacing w:line="360" w:lineRule="auto"/>
        <w:rPr>
          <w:rFonts w:ascii="宋体" w:hAnsi="宋体" w:cs="宋体"/>
          <w:color w:val="000000"/>
          <w:szCs w:val="21"/>
          <w:highlight w:val="none"/>
        </w:rPr>
        <w:sectPr>
          <w:headerReference r:id="rId8" w:type="first"/>
          <w:footerReference r:id="rId11" w:type="first"/>
          <w:headerReference r:id="rId6" w:type="default"/>
          <w:footerReference r:id="rId9" w:type="default"/>
          <w:headerReference r:id="rId7" w:type="even"/>
          <w:footerReference r:id="rId10" w:type="even"/>
          <w:endnotePr>
            <w:numFmt w:val="decimal"/>
          </w:endnotePr>
          <w:pgSz w:w="16838" w:h="11905" w:orient="landscape"/>
          <w:pgMar w:top="1247" w:right="1247" w:bottom="1247" w:left="1247" w:header="567" w:footer="850" w:gutter="0"/>
          <w:cols w:space="720" w:num="1"/>
          <w:docGrid w:type="lines" w:linePitch="312" w:charSpace="0"/>
        </w:sectPr>
      </w:pPr>
      <w:r>
        <w:rPr>
          <w:rFonts w:hint="eastAsia" w:ascii="宋体" w:hAnsi="宋体" w:cs="宋体"/>
          <w:color w:val="000000"/>
          <w:highlight w:val="none"/>
        </w:rPr>
        <w:t>评委签名：</w:t>
      </w:r>
    </w:p>
    <w:p>
      <w:pPr>
        <w:pStyle w:val="101"/>
        <w:rPr>
          <w:rFonts w:hint="eastAsia" w:eastAsia="宋体" w:cs="宋体"/>
          <w:b/>
          <w:color w:val="000000"/>
          <w:sz w:val="28"/>
          <w:szCs w:val="28"/>
          <w:highlight w:val="none"/>
          <w:lang w:eastAsia="zh-CN"/>
        </w:rPr>
      </w:pPr>
      <w:r>
        <w:rPr>
          <w:rFonts w:hint="eastAsia" w:cs="宋体"/>
          <w:b/>
          <w:color w:val="000000"/>
          <w:sz w:val="28"/>
          <w:szCs w:val="28"/>
          <w:highlight w:val="none"/>
        </w:rPr>
        <w:t>附表</w:t>
      </w:r>
      <w:r>
        <w:rPr>
          <w:rFonts w:hint="eastAsia" w:cs="宋体"/>
          <w:b/>
          <w:color w:val="000000"/>
          <w:sz w:val="28"/>
          <w:szCs w:val="28"/>
          <w:highlight w:val="none"/>
          <w:lang w:val="en-US" w:eastAsia="zh-CN"/>
        </w:rPr>
        <w:t>4</w:t>
      </w:r>
    </w:p>
    <w:p>
      <w:pPr>
        <w:adjustRightInd w:val="0"/>
        <w:snapToGrid w:val="0"/>
        <w:spacing w:line="360" w:lineRule="auto"/>
        <w:ind w:firstLine="562" w:firstLineChars="200"/>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直接票决定标选票表（定标阶段）</w:t>
      </w:r>
    </w:p>
    <w:p>
      <w:pPr>
        <w:adjustRightInd w:val="0"/>
        <w:snapToGrid w:val="0"/>
        <w:spacing w:line="360" w:lineRule="auto"/>
        <w:rPr>
          <w:rFonts w:ascii="宋体" w:hAnsi="宋体" w:cs="宋体"/>
          <w:color w:val="000000"/>
          <w:kern w:val="0"/>
          <w:highlight w:val="none"/>
        </w:rPr>
      </w:pPr>
      <w:r>
        <w:rPr>
          <w:rFonts w:hint="eastAsia" w:ascii="宋体" w:hAnsi="宋体" w:cs="宋体"/>
          <w:color w:val="000000"/>
          <w:kern w:val="0"/>
          <w:highlight w:val="none"/>
        </w:rPr>
        <w:t>工程名称：</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支持的投标人名称</w:t>
            </w:r>
          </w:p>
        </w:tc>
        <w:tc>
          <w:tcPr>
            <w:tcW w:w="299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c>
          <w:tcPr>
            <w:tcW w:w="299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r>
    </w:tbl>
    <w:p>
      <w:pPr>
        <w:pStyle w:val="102"/>
        <w:rPr>
          <w:rFonts w:ascii="宋体" w:hAnsi="宋体" w:cs="宋体"/>
          <w:color w:val="000000"/>
          <w:kern w:val="0"/>
          <w:szCs w:val="21"/>
          <w:highlight w:val="none"/>
        </w:rPr>
      </w:pPr>
    </w:p>
    <w:p>
      <w:pPr>
        <w:adjustRightInd w:val="0"/>
        <w:snapToGrid w:val="0"/>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定标委员签名：                                            日期：</w:t>
      </w:r>
    </w:p>
    <w:p>
      <w:pPr>
        <w:adjustRightInd w:val="0"/>
        <w:snapToGrid w:val="0"/>
        <w:spacing w:line="360" w:lineRule="auto"/>
        <w:rPr>
          <w:rFonts w:ascii="宋体" w:hAnsi="宋体" w:cs="宋体"/>
          <w:color w:val="000000"/>
          <w:kern w:val="0"/>
          <w:highlight w:val="none"/>
        </w:rPr>
      </w:pPr>
    </w:p>
    <w:p>
      <w:pPr>
        <w:adjustRightInd w:val="0"/>
        <w:snapToGrid w:val="0"/>
        <w:spacing w:line="360" w:lineRule="auto"/>
        <w:rPr>
          <w:rFonts w:ascii="宋体" w:hAnsi="宋体" w:cs="宋体"/>
          <w:b/>
          <w:color w:val="000000"/>
          <w:kern w:val="0"/>
          <w:highlight w:val="none"/>
        </w:rPr>
      </w:pPr>
      <w:r>
        <w:rPr>
          <w:rFonts w:hint="eastAsia" w:ascii="宋体" w:hAnsi="宋体" w:cs="宋体"/>
          <w:b/>
          <w:color w:val="000000"/>
          <w:kern w:val="0"/>
          <w:highlight w:val="none"/>
        </w:rPr>
        <w:t>注：由定标委员会成员进行投票，各定标委员会成员只能支持一家投标人。</w:t>
      </w:r>
    </w:p>
    <w:p>
      <w:pPr>
        <w:adjustRightInd w:val="0"/>
        <w:snapToGrid w:val="0"/>
        <w:spacing w:line="360" w:lineRule="auto"/>
        <w:rPr>
          <w:rFonts w:ascii="宋体" w:hAnsi="宋体" w:cs="宋体"/>
          <w:color w:val="000000"/>
          <w:kern w:val="0"/>
          <w:highlight w:val="none"/>
        </w:rPr>
      </w:pPr>
    </w:p>
    <w:p>
      <w:pPr>
        <w:pStyle w:val="101"/>
        <w:rPr>
          <w:rFonts w:hint="eastAsia" w:eastAsia="宋体" w:cs="宋体"/>
          <w:b/>
          <w:color w:val="000000"/>
          <w:sz w:val="28"/>
          <w:szCs w:val="28"/>
          <w:highlight w:val="none"/>
          <w:lang w:eastAsia="zh-CN"/>
        </w:rPr>
      </w:pPr>
      <w:r>
        <w:rPr>
          <w:rFonts w:hint="eastAsia" w:ascii="宋体" w:hAnsi="宋体" w:cs="宋体"/>
          <w:color w:val="000000"/>
          <w:highlight w:val="none"/>
        </w:rPr>
        <w:br w:type="page"/>
      </w:r>
      <w:r>
        <w:rPr>
          <w:rFonts w:hint="eastAsia" w:cs="宋体"/>
          <w:b/>
          <w:color w:val="000000"/>
          <w:sz w:val="28"/>
          <w:szCs w:val="28"/>
          <w:highlight w:val="none"/>
        </w:rPr>
        <w:t>附表</w:t>
      </w:r>
      <w:r>
        <w:rPr>
          <w:rFonts w:hint="eastAsia" w:cs="宋体"/>
          <w:b/>
          <w:color w:val="000000"/>
          <w:sz w:val="28"/>
          <w:szCs w:val="28"/>
          <w:highlight w:val="none"/>
          <w:lang w:val="en-US" w:eastAsia="zh-CN"/>
        </w:rPr>
        <w:t>5</w:t>
      </w:r>
    </w:p>
    <w:p>
      <w:pPr>
        <w:jc w:val="center"/>
        <w:rPr>
          <w:rFonts w:ascii="宋体" w:hAnsi="宋体" w:cs="宋体"/>
          <w:b/>
          <w:color w:val="000000"/>
          <w:sz w:val="28"/>
          <w:szCs w:val="28"/>
          <w:highlight w:val="none"/>
        </w:rPr>
      </w:pPr>
      <w:r>
        <w:rPr>
          <w:rFonts w:hint="eastAsia" w:ascii="宋体" w:hAnsi="宋体" w:cs="宋体"/>
          <w:b/>
          <w:bCs/>
          <w:color w:val="000000"/>
          <w:kern w:val="0"/>
          <w:sz w:val="28"/>
          <w:szCs w:val="28"/>
          <w:highlight w:val="none"/>
        </w:rPr>
        <w:t>直接票决定标选票汇总表</w:t>
      </w:r>
      <w:r>
        <w:rPr>
          <w:rFonts w:hint="eastAsia" w:ascii="宋体" w:hAnsi="宋体" w:cs="宋体"/>
          <w:b/>
          <w:color w:val="000000"/>
          <w:sz w:val="28"/>
          <w:szCs w:val="28"/>
          <w:highlight w:val="none"/>
        </w:rPr>
        <w:t>（定标阶段）</w:t>
      </w:r>
    </w:p>
    <w:p>
      <w:pPr>
        <w:pStyle w:val="102"/>
        <w:rPr>
          <w:rFonts w:ascii="宋体" w:hAnsi="宋体" w:cs="宋体"/>
          <w:color w:val="000000"/>
          <w:highlight w:val="none"/>
        </w:rPr>
      </w:pPr>
    </w:p>
    <w:p>
      <w:pPr>
        <w:adjustRightInd w:val="0"/>
        <w:snapToGrid w:val="0"/>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工程名称：</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4282"/>
        <w:gridCol w:w="4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序号</w:t>
            </w:r>
          </w:p>
        </w:tc>
        <w:tc>
          <w:tcPr>
            <w:tcW w:w="2225" w:type="pct"/>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投标人名称</w:t>
            </w:r>
          </w:p>
        </w:tc>
        <w:tc>
          <w:tcPr>
            <w:tcW w:w="2092" w:type="pct"/>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2225"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2225"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2225"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2225"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w:t>
            </w:r>
          </w:p>
        </w:tc>
        <w:tc>
          <w:tcPr>
            <w:tcW w:w="2225" w:type="pct"/>
            <w:tcBorders>
              <w:top w:val="single" w:color="auto" w:sz="6"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c>
          <w:tcPr>
            <w:tcW w:w="2092" w:type="pct"/>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ascii="宋体" w:hAnsi="宋体" w:cs="宋体"/>
                <w:color w:val="000000"/>
                <w:kern w:val="0"/>
                <w:szCs w:val="21"/>
                <w:highlight w:val="none"/>
              </w:rPr>
            </w:pPr>
          </w:p>
        </w:tc>
      </w:tr>
    </w:tbl>
    <w:p>
      <w:pPr>
        <w:rPr>
          <w:rFonts w:ascii="宋体" w:hAnsi="宋体" w:cs="宋体"/>
          <w:color w:val="000000"/>
          <w:kern w:val="0"/>
          <w:szCs w:val="21"/>
          <w:highlight w:val="none"/>
        </w:rPr>
      </w:pPr>
    </w:p>
    <w:p>
      <w:pPr>
        <w:adjustRightInd w:val="0"/>
        <w:snapToGrid w:val="0"/>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定标委员签名：                                         日期：</w:t>
      </w:r>
    </w:p>
    <w:p>
      <w:pPr>
        <w:pStyle w:val="102"/>
        <w:rPr>
          <w:rFonts w:ascii="宋体" w:hAnsi="宋体" w:cs="宋体"/>
          <w:color w:val="000000"/>
          <w:highlight w:val="none"/>
        </w:rPr>
      </w:pPr>
    </w:p>
    <w:p>
      <w:pPr>
        <w:pStyle w:val="102"/>
        <w:rPr>
          <w:rFonts w:hint="eastAsia" w:ascii="宋体" w:hAnsi="宋体" w:eastAsia="宋体" w:cs="宋体"/>
          <w:b/>
          <w:color w:val="000000"/>
          <w:sz w:val="28"/>
          <w:szCs w:val="28"/>
          <w:highlight w:val="none"/>
          <w:lang w:eastAsia="zh-CN"/>
        </w:rPr>
      </w:pPr>
      <w:r>
        <w:rPr>
          <w:rFonts w:hint="eastAsia" w:ascii="宋体" w:hAnsi="宋体" w:cs="宋体"/>
          <w:color w:val="000000"/>
          <w:highlight w:val="none"/>
        </w:rPr>
        <w:br w:type="page"/>
      </w:r>
      <w:r>
        <w:rPr>
          <w:rFonts w:hint="eastAsia" w:ascii="宋体" w:hAnsi="宋体" w:cs="宋体"/>
          <w:b/>
          <w:color w:val="000000"/>
          <w:sz w:val="28"/>
          <w:szCs w:val="28"/>
          <w:highlight w:val="none"/>
        </w:rPr>
        <w:t>附表</w:t>
      </w:r>
      <w:r>
        <w:rPr>
          <w:rFonts w:hint="eastAsia" w:ascii="宋体" w:hAnsi="宋体" w:cs="宋体"/>
          <w:b/>
          <w:color w:val="000000"/>
          <w:sz w:val="28"/>
          <w:szCs w:val="28"/>
          <w:highlight w:val="none"/>
          <w:lang w:val="en-US" w:eastAsia="zh-CN"/>
        </w:rPr>
        <w:t>6</w:t>
      </w:r>
    </w:p>
    <w:p>
      <w:pPr>
        <w:pStyle w:val="102"/>
        <w:jc w:val="center"/>
        <w:rPr>
          <w:rFonts w:ascii="宋体" w:hAnsi="宋体" w:cs="宋体"/>
          <w:b/>
          <w:color w:val="000000"/>
          <w:sz w:val="28"/>
          <w:szCs w:val="28"/>
          <w:highlight w:val="none"/>
        </w:rPr>
      </w:pPr>
      <w:r>
        <w:rPr>
          <w:rFonts w:hint="eastAsia" w:ascii="宋体" w:hAnsi="宋体" w:cs="宋体"/>
          <w:b/>
          <w:color w:val="000000"/>
          <w:sz w:val="28"/>
          <w:szCs w:val="28"/>
          <w:highlight w:val="none"/>
        </w:rPr>
        <w:t>附加</w:t>
      </w:r>
      <w:r>
        <w:rPr>
          <w:rFonts w:hint="eastAsia" w:ascii="宋体" w:hAnsi="宋体" w:cs="宋体"/>
          <w:b/>
          <w:bCs/>
          <w:color w:val="000000"/>
          <w:kern w:val="0"/>
          <w:sz w:val="28"/>
          <w:szCs w:val="28"/>
          <w:highlight w:val="none"/>
        </w:rPr>
        <w:t>直接票决定标选票</w:t>
      </w:r>
      <w:r>
        <w:rPr>
          <w:rFonts w:hint="eastAsia" w:ascii="宋体" w:hAnsi="宋体" w:cs="宋体"/>
          <w:b/>
          <w:color w:val="000000"/>
          <w:sz w:val="28"/>
          <w:szCs w:val="28"/>
          <w:highlight w:val="none"/>
        </w:rPr>
        <w:t>表</w:t>
      </w:r>
    </w:p>
    <w:p>
      <w:pPr>
        <w:pStyle w:val="102"/>
        <w:jc w:val="center"/>
        <w:rPr>
          <w:rFonts w:ascii="宋体" w:hAnsi="宋体" w:cs="宋体"/>
          <w:b/>
          <w:color w:val="000000"/>
          <w:sz w:val="28"/>
          <w:szCs w:val="28"/>
          <w:highlight w:val="none"/>
        </w:rPr>
      </w:pPr>
      <w:r>
        <w:rPr>
          <w:rFonts w:hint="eastAsia" w:ascii="宋体" w:hAnsi="宋体" w:cs="宋体"/>
          <w:b/>
          <w:color w:val="000000"/>
          <w:sz w:val="28"/>
          <w:szCs w:val="28"/>
          <w:highlight w:val="none"/>
        </w:rPr>
        <w:t>（定标阶段-票数相同时定标委员会个人用表）</w:t>
      </w:r>
    </w:p>
    <w:p>
      <w:pPr>
        <w:pStyle w:val="102"/>
        <w:jc w:val="center"/>
        <w:rPr>
          <w:rFonts w:ascii="宋体" w:hAnsi="宋体" w:cs="宋体"/>
          <w:b/>
          <w:color w:val="000000"/>
          <w:sz w:val="28"/>
          <w:szCs w:val="28"/>
          <w:highlight w:val="none"/>
        </w:rPr>
      </w:pPr>
    </w:p>
    <w:p>
      <w:pPr>
        <w:adjustRightInd w:val="0"/>
        <w:snapToGrid w:val="0"/>
        <w:spacing w:line="360" w:lineRule="auto"/>
        <w:rPr>
          <w:rFonts w:ascii="宋体" w:hAnsi="宋体" w:cs="宋体"/>
          <w:color w:val="000000"/>
          <w:kern w:val="0"/>
          <w:highlight w:val="none"/>
        </w:rPr>
      </w:pPr>
      <w:r>
        <w:rPr>
          <w:rFonts w:hint="eastAsia" w:ascii="宋体" w:hAnsi="宋体" w:cs="宋体"/>
          <w:color w:val="000000"/>
          <w:kern w:val="0"/>
          <w:highlight w:val="none"/>
        </w:rPr>
        <w:t>工程名称：</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cs="宋体"/>
                <w:color w:val="000000"/>
                <w:kern w:val="0"/>
                <w:highlight w:val="none"/>
              </w:rPr>
            </w:pPr>
            <w:r>
              <w:rPr>
                <w:rFonts w:hint="eastAsia" w:ascii="宋体" w:hAnsi="宋体" w:cs="宋体"/>
                <w:color w:val="000000"/>
                <w:kern w:val="0"/>
                <w:highlight w:val="none"/>
              </w:rPr>
              <w:t>支持的投标人名称</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cs="宋体"/>
                <w:color w:val="000000"/>
                <w:kern w:val="0"/>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cs="宋体"/>
                <w:color w:val="000000"/>
                <w:kern w:val="0"/>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cs="宋体"/>
                <w:color w:val="000000"/>
                <w:kern w:val="0"/>
                <w:szCs w:val="21"/>
                <w:highlight w:val="none"/>
              </w:rPr>
            </w:pPr>
            <w:r>
              <w:rPr>
                <w:rFonts w:hint="eastAsia" w:ascii="宋体" w:hAnsi="宋体" w:cs="宋体"/>
                <w:color w:val="000000"/>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cs="宋体"/>
                <w:color w:val="000000"/>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cs="宋体"/>
                <w:color w:val="000000"/>
                <w:kern w:val="0"/>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cs="宋体"/>
                <w:color w:val="000000"/>
                <w:kern w:val="0"/>
                <w:highlight w:val="none"/>
              </w:rPr>
            </w:pPr>
          </w:p>
        </w:tc>
      </w:tr>
    </w:tbl>
    <w:p>
      <w:pPr>
        <w:pStyle w:val="102"/>
        <w:rPr>
          <w:rFonts w:ascii="宋体" w:hAnsi="宋体" w:cs="宋体"/>
          <w:color w:val="000000"/>
          <w:kern w:val="0"/>
          <w:szCs w:val="21"/>
          <w:highlight w:val="none"/>
        </w:rPr>
      </w:pPr>
    </w:p>
    <w:p>
      <w:pPr>
        <w:adjustRightInd w:val="0"/>
        <w:snapToGrid w:val="0"/>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定标委员签名：                                            日期：</w:t>
      </w:r>
    </w:p>
    <w:p>
      <w:pPr>
        <w:pStyle w:val="102"/>
        <w:rPr>
          <w:rFonts w:ascii="宋体" w:hAnsi="宋体" w:cs="宋体"/>
          <w:color w:val="000000"/>
          <w:highlight w:val="none"/>
        </w:rPr>
      </w:pPr>
    </w:p>
    <w:p>
      <w:pPr>
        <w:pStyle w:val="102"/>
        <w:rPr>
          <w:rFonts w:ascii="宋体" w:hAnsi="宋体" w:cs="宋体"/>
          <w:b/>
          <w:color w:val="000000"/>
          <w:highlight w:val="none"/>
        </w:rPr>
      </w:pPr>
      <w:r>
        <w:rPr>
          <w:rFonts w:hint="eastAsia" w:ascii="宋体" w:hAnsi="宋体" w:cs="宋体"/>
          <w:b/>
          <w:color w:val="000000"/>
          <w:highlight w:val="none"/>
        </w:rPr>
        <w:t>备注：</w:t>
      </w:r>
    </w:p>
    <w:p>
      <w:pPr>
        <w:pStyle w:val="102"/>
        <w:ind w:firstLine="422" w:firstLineChars="200"/>
        <w:rPr>
          <w:rFonts w:ascii="宋体" w:hAnsi="宋体" w:cs="宋体"/>
          <w:b/>
          <w:color w:val="000000"/>
          <w:highlight w:val="none"/>
        </w:rPr>
      </w:pPr>
      <w:r>
        <w:rPr>
          <w:rFonts w:hint="eastAsia" w:ascii="宋体" w:hAnsi="宋体" w:cs="宋体"/>
          <w:b/>
          <w:color w:val="000000"/>
          <w:highlight w:val="none"/>
        </w:rPr>
        <w:t>1、本表用于投票出现票数相同的情况。</w:t>
      </w:r>
    </w:p>
    <w:p>
      <w:pPr>
        <w:pStyle w:val="102"/>
        <w:ind w:firstLine="422" w:firstLineChars="200"/>
        <w:rPr>
          <w:rFonts w:ascii="宋体" w:hAnsi="宋体" w:cs="宋体"/>
          <w:b/>
          <w:color w:val="000000"/>
          <w:highlight w:val="none"/>
        </w:rPr>
      </w:pPr>
      <w:r>
        <w:rPr>
          <w:rFonts w:hint="eastAsia" w:ascii="宋体" w:hAnsi="宋体" w:cs="宋体"/>
          <w:b/>
          <w:color w:val="000000"/>
          <w:highlight w:val="none"/>
        </w:rPr>
        <w:t>2、由定标委员会成员进行附加投票，票决意见分别为“投票”或“不投票”，各定标委员会成员只有1票表决权（即只能对其中一名投标人“投票”），票决意见为“投票”的，用“○”表示；票决意见为“不投票”，用“×”表示。</w:t>
      </w:r>
    </w:p>
    <w:p>
      <w:pPr>
        <w:pStyle w:val="102"/>
        <w:rPr>
          <w:rFonts w:hint="eastAsia" w:ascii="宋体" w:hAnsi="宋体" w:eastAsia="宋体" w:cs="宋体"/>
          <w:b/>
          <w:color w:val="000000"/>
          <w:sz w:val="28"/>
          <w:szCs w:val="28"/>
          <w:highlight w:val="none"/>
          <w:lang w:eastAsia="zh-CN"/>
        </w:rPr>
      </w:pPr>
      <w:r>
        <w:rPr>
          <w:rFonts w:hint="eastAsia" w:ascii="宋体" w:hAnsi="宋体" w:cs="宋体"/>
          <w:color w:val="000000"/>
          <w:highlight w:val="none"/>
        </w:rPr>
        <w:br w:type="page"/>
      </w:r>
      <w:r>
        <w:rPr>
          <w:rFonts w:hint="eastAsia" w:ascii="宋体" w:hAnsi="宋体" w:cs="宋体"/>
          <w:b/>
          <w:color w:val="000000"/>
          <w:sz w:val="28"/>
          <w:szCs w:val="28"/>
          <w:highlight w:val="none"/>
        </w:rPr>
        <w:t>附表</w:t>
      </w:r>
      <w:r>
        <w:rPr>
          <w:rFonts w:hint="eastAsia" w:ascii="宋体" w:hAnsi="宋体" w:cs="宋体"/>
          <w:b/>
          <w:color w:val="000000"/>
          <w:sz w:val="28"/>
          <w:szCs w:val="28"/>
          <w:highlight w:val="none"/>
          <w:lang w:val="en-US" w:eastAsia="zh-CN"/>
        </w:rPr>
        <w:t>7</w:t>
      </w:r>
    </w:p>
    <w:p>
      <w:pPr>
        <w:pStyle w:val="102"/>
        <w:jc w:val="center"/>
        <w:rPr>
          <w:rFonts w:ascii="宋体" w:hAnsi="宋体" w:cs="宋体"/>
          <w:b/>
          <w:color w:val="000000"/>
          <w:sz w:val="28"/>
          <w:szCs w:val="28"/>
          <w:highlight w:val="none"/>
        </w:rPr>
      </w:pPr>
      <w:r>
        <w:rPr>
          <w:rFonts w:hint="eastAsia" w:ascii="宋体" w:hAnsi="宋体" w:cs="宋体"/>
          <w:b/>
          <w:color w:val="000000"/>
          <w:sz w:val="28"/>
          <w:szCs w:val="28"/>
          <w:highlight w:val="none"/>
        </w:rPr>
        <w:t>附加</w:t>
      </w:r>
      <w:r>
        <w:rPr>
          <w:rFonts w:hint="eastAsia" w:ascii="宋体" w:hAnsi="宋体" w:cs="宋体"/>
          <w:b/>
          <w:bCs/>
          <w:color w:val="000000"/>
          <w:kern w:val="0"/>
          <w:sz w:val="28"/>
          <w:szCs w:val="28"/>
          <w:highlight w:val="none"/>
        </w:rPr>
        <w:t>直接票决定标选票汇总</w:t>
      </w:r>
      <w:r>
        <w:rPr>
          <w:rFonts w:hint="eastAsia" w:ascii="宋体" w:hAnsi="宋体" w:cs="宋体"/>
          <w:b/>
          <w:color w:val="000000"/>
          <w:sz w:val="28"/>
          <w:szCs w:val="28"/>
          <w:highlight w:val="none"/>
        </w:rPr>
        <w:t>表</w:t>
      </w:r>
    </w:p>
    <w:p>
      <w:pPr>
        <w:pStyle w:val="102"/>
        <w:jc w:val="center"/>
        <w:rPr>
          <w:rFonts w:ascii="宋体" w:hAnsi="宋体" w:cs="宋体"/>
          <w:b/>
          <w:color w:val="000000"/>
          <w:sz w:val="28"/>
          <w:szCs w:val="28"/>
          <w:highlight w:val="none"/>
        </w:rPr>
      </w:pPr>
      <w:r>
        <w:rPr>
          <w:rFonts w:hint="eastAsia" w:ascii="宋体" w:hAnsi="宋体" w:cs="宋体"/>
          <w:b/>
          <w:color w:val="000000"/>
          <w:sz w:val="28"/>
          <w:szCs w:val="28"/>
          <w:highlight w:val="none"/>
        </w:rPr>
        <w:t>（定标阶段-票数相同时定标委员会汇总用表）</w:t>
      </w:r>
    </w:p>
    <w:p>
      <w:pPr>
        <w:pStyle w:val="102"/>
        <w:jc w:val="center"/>
        <w:rPr>
          <w:rFonts w:ascii="宋体" w:hAnsi="宋体" w:cs="宋体"/>
          <w:b/>
          <w:color w:val="000000"/>
          <w:sz w:val="28"/>
          <w:szCs w:val="28"/>
          <w:highlight w:val="none"/>
        </w:rPr>
      </w:pPr>
    </w:p>
    <w:p>
      <w:pPr>
        <w:adjustRightInd w:val="0"/>
        <w:snapToGrid w:val="0"/>
        <w:spacing w:line="360" w:lineRule="auto"/>
        <w:rPr>
          <w:rFonts w:ascii="宋体" w:hAnsi="宋体" w:cs="宋体"/>
          <w:color w:val="000000"/>
          <w:kern w:val="0"/>
          <w:highlight w:val="none"/>
        </w:rPr>
      </w:pPr>
      <w:r>
        <w:rPr>
          <w:rFonts w:hint="eastAsia" w:ascii="宋体" w:hAnsi="宋体" w:cs="宋体"/>
          <w:color w:val="000000"/>
          <w:kern w:val="0"/>
          <w:highlight w:val="none"/>
        </w:rPr>
        <w:t>工程名称：</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5435"/>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序号</w:t>
            </w:r>
          </w:p>
        </w:tc>
        <w:tc>
          <w:tcPr>
            <w:tcW w:w="282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投标人名称</w:t>
            </w:r>
          </w:p>
        </w:tc>
        <w:tc>
          <w:tcPr>
            <w:tcW w:w="1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w:t>
            </w:r>
          </w:p>
        </w:tc>
        <w:tc>
          <w:tcPr>
            <w:tcW w:w="282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2</w:t>
            </w:r>
          </w:p>
        </w:tc>
        <w:tc>
          <w:tcPr>
            <w:tcW w:w="282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3</w:t>
            </w:r>
          </w:p>
        </w:tc>
        <w:tc>
          <w:tcPr>
            <w:tcW w:w="282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4</w:t>
            </w:r>
          </w:p>
        </w:tc>
        <w:tc>
          <w:tcPr>
            <w:tcW w:w="282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w:t>
            </w:r>
          </w:p>
        </w:tc>
        <w:tc>
          <w:tcPr>
            <w:tcW w:w="282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highlight w:val="none"/>
              </w:rPr>
            </w:pPr>
          </w:p>
        </w:tc>
      </w:tr>
    </w:tbl>
    <w:p>
      <w:pPr>
        <w:pStyle w:val="102"/>
        <w:rPr>
          <w:rFonts w:ascii="宋体" w:hAnsi="宋体" w:cs="宋体"/>
          <w:color w:val="000000"/>
          <w:kern w:val="0"/>
          <w:szCs w:val="21"/>
          <w:highlight w:val="none"/>
        </w:rPr>
      </w:pPr>
    </w:p>
    <w:p>
      <w:pPr>
        <w:spacing w:line="360" w:lineRule="auto"/>
        <w:ind w:firstLine="840" w:firstLineChars="400"/>
        <w:rPr>
          <w:rFonts w:ascii="宋体" w:hAnsi="宋体" w:cs="宋体"/>
          <w:color w:val="000000"/>
          <w:sz w:val="24"/>
          <w:szCs w:val="24"/>
          <w:highlight w:val="none"/>
        </w:rPr>
      </w:pPr>
      <w:r>
        <w:rPr>
          <w:rFonts w:hint="eastAsia" w:ascii="宋体" w:hAnsi="宋体" w:cs="宋体"/>
          <w:color w:val="000000"/>
          <w:kern w:val="0"/>
          <w:szCs w:val="21"/>
          <w:highlight w:val="none"/>
        </w:rPr>
        <w:t>定标委员签名：                                            日期：</w:t>
      </w:r>
    </w:p>
    <w:p>
      <w:pPr>
        <w:spacing w:line="360" w:lineRule="auto"/>
        <w:ind w:firstLine="960" w:firstLineChars="400"/>
        <w:rPr>
          <w:rFonts w:ascii="宋体" w:hAnsi="宋体" w:cs="宋体"/>
          <w:color w:val="000000"/>
          <w:sz w:val="24"/>
          <w:szCs w:val="24"/>
          <w:highlight w:val="none"/>
        </w:rPr>
      </w:pPr>
    </w:p>
    <w:p>
      <w:pPr>
        <w:spacing w:line="360" w:lineRule="auto"/>
        <w:ind w:firstLine="960" w:firstLineChars="400"/>
        <w:rPr>
          <w:rFonts w:ascii="宋体" w:hAnsi="宋体" w:cs="宋体"/>
          <w:color w:val="000000"/>
          <w:sz w:val="24"/>
          <w:szCs w:val="24"/>
          <w:highlight w:val="none"/>
        </w:rPr>
        <w:sectPr>
          <w:headerReference r:id="rId12" w:type="default"/>
          <w:footerReference r:id="rId13" w:type="default"/>
          <w:pgSz w:w="11905" w:h="16838"/>
          <w:pgMar w:top="1247" w:right="1247" w:bottom="1247" w:left="1247" w:header="567" w:footer="850" w:gutter="0"/>
          <w:cols w:space="720" w:num="1"/>
          <w:docGrid w:type="lines" w:linePitch="312" w:charSpace="0"/>
        </w:sectPr>
      </w:pPr>
    </w:p>
    <w:p>
      <w:pPr>
        <w:jc w:val="left"/>
        <w:rPr>
          <w:rFonts w:hint="eastAsia" w:ascii="宋体" w:hAnsi="宋体" w:eastAsia="宋体"/>
          <w:b/>
          <w:bCs/>
          <w:color w:val="000000"/>
          <w:sz w:val="32"/>
          <w:highlight w:val="none"/>
          <w:u w:val="single"/>
          <w:lang w:eastAsia="zh-CN"/>
        </w:rPr>
      </w:pPr>
      <w:r>
        <w:rPr>
          <w:rFonts w:hint="eastAsia" w:ascii="宋体" w:hAnsi="宋体" w:cs="宋体"/>
          <w:b/>
          <w:color w:val="000000"/>
          <w:sz w:val="28"/>
          <w:szCs w:val="28"/>
          <w:highlight w:val="none"/>
          <w:u w:val="single"/>
        </w:rPr>
        <w:t>附表</w:t>
      </w:r>
      <w:r>
        <w:rPr>
          <w:rFonts w:hint="eastAsia" w:ascii="宋体" w:hAnsi="宋体" w:cs="宋体"/>
          <w:b/>
          <w:color w:val="000000"/>
          <w:sz w:val="28"/>
          <w:szCs w:val="28"/>
          <w:highlight w:val="none"/>
          <w:u w:val="single"/>
          <w:lang w:val="en-US" w:eastAsia="zh-CN"/>
        </w:rPr>
        <w:t>8</w:t>
      </w:r>
    </w:p>
    <w:p>
      <w:pPr>
        <w:jc w:val="center"/>
        <w:rPr>
          <w:rFonts w:ascii="宋体" w:hAnsi="宋体"/>
          <w:color w:val="000000"/>
          <w:sz w:val="24"/>
          <w:szCs w:val="24"/>
          <w:highlight w:val="none"/>
          <w:u w:val="single"/>
        </w:rPr>
      </w:pPr>
      <w:r>
        <w:rPr>
          <w:rFonts w:hint="eastAsia" w:ascii="宋体" w:hAnsi="宋体"/>
          <w:b/>
          <w:bCs/>
          <w:color w:val="000000"/>
          <w:sz w:val="32"/>
          <w:highlight w:val="none"/>
          <w:u w:val="single"/>
        </w:rPr>
        <w:t>定标</w:t>
      </w:r>
      <w:r>
        <w:rPr>
          <w:rFonts w:ascii="宋体" w:hAnsi="宋体"/>
          <w:b/>
          <w:bCs/>
          <w:color w:val="000000"/>
          <w:sz w:val="32"/>
          <w:highlight w:val="none"/>
          <w:u w:val="single"/>
        </w:rPr>
        <w:t>阶段各</w:t>
      </w:r>
      <w:r>
        <w:rPr>
          <w:rFonts w:hint="eastAsia" w:ascii="宋体" w:hAnsi="宋体"/>
          <w:b/>
          <w:bCs/>
          <w:color w:val="000000"/>
          <w:sz w:val="32"/>
          <w:highlight w:val="none"/>
          <w:u w:val="single"/>
        </w:rPr>
        <w:t>投标人评语</w:t>
      </w:r>
    </w:p>
    <w:p>
      <w:pPr>
        <w:rPr>
          <w:rFonts w:ascii="宋体" w:hAnsi="宋体"/>
          <w:color w:val="000000"/>
          <w:highlight w:val="none"/>
          <w:u w:val="single"/>
        </w:rPr>
      </w:pPr>
      <w:r>
        <w:rPr>
          <w:rFonts w:hint="eastAsia" w:ascii="宋体" w:hAnsi="宋体"/>
          <w:color w:val="000000"/>
          <w:highlight w:val="none"/>
          <w:u w:val="single"/>
        </w:rPr>
        <w:t>项目名称：</w:t>
      </w:r>
    </w:p>
    <w:tbl>
      <w:tblPr>
        <w:tblStyle w:val="38"/>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highlight w:val="none"/>
                <w:u w:val="single"/>
              </w:rPr>
            </w:pPr>
            <w:r>
              <w:rPr>
                <w:rFonts w:hint="eastAsia" w:ascii="宋体" w:hAnsi="宋体"/>
                <w:b/>
                <w:color w:val="000000"/>
                <w:highlight w:val="none"/>
                <w:u w:val="single"/>
              </w:rPr>
              <w:t>投标人</w:t>
            </w:r>
            <w:r>
              <w:rPr>
                <w:rFonts w:ascii="宋体" w:hAnsi="宋体"/>
                <w:b/>
                <w:color w:val="000000"/>
                <w:highlight w:val="none"/>
                <w:u w:val="single"/>
              </w:rPr>
              <w:t>名称</w:t>
            </w:r>
          </w:p>
        </w:tc>
        <w:tc>
          <w:tcPr>
            <w:tcW w:w="53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highlight w:val="none"/>
                <w:u w:val="single"/>
              </w:rPr>
            </w:pPr>
            <w:r>
              <w:rPr>
                <w:rFonts w:hint="eastAsia" w:ascii="宋体" w:hAnsi="宋体"/>
                <w:b/>
                <w:color w:val="000000"/>
                <w:highlight w:val="none"/>
                <w:u w:val="single"/>
              </w:rPr>
              <w:t>评    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c>
          <w:tcPr>
            <w:tcW w:w="538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highlight w:val="none"/>
                <w:u w:val="single"/>
              </w:rPr>
            </w:pPr>
          </w:p>
        </w:tc>
      </w:tr>
    </w:tbl>
    <w:p>
      <w:pPr>
        <w:adjustRightInd w:val="0"/>
        <w:snapToGrid w:val="0"/>
        <w:spacing w:line="360" w:lineRule="auto"/>
        <w:ind w:right="624" w:rightChars="297" w:firstLine="420" w:firstLineChars="200"/>
        <w:jc w:val="center"/>
        <w:rPr>
          <w:rFonts w:ascii="宋体" w:hAnsi="宋体" w:cs="宋体"/>
          <w:b/>
          <w:bCs/>
          <w:color w:val="000000"/>
          <w:kern w:val="0"/>
          <w:sz w:val="28"/>
          <w:szCs w:val="28"/>
          <w:highlight w:val="none"/>
          <w:u w:val="single"/>
        </w:rPr>
      </w:pPr>
      <w:r>
        <w:rPr>
          <w:rFonts w:hint="eastAsia" w:ascii="宋体" w:hAnsi="宋体"/>
          <w:color w:val="000000"/>
          <w:highlight w:val="none"/>
          <w:u w:val="single"/>
        </w:rPr>
        <w:t>评委签名：                                        日期：       年    月    日</w:t>
      </w:r>
    </w:p>
    <w:p>
      <w:pPr>
        <w:adjustRightInd w:val="0"/>
        <w:snapToGrid w:val="0"/>
        <w:spacing w:line="360" w:lineRule="auto"/>
        <w:ind w:right="-84" w:rightChars="-40"/>
        <w:rPr>
          <w:rFonts w:ascii="宋体" w:hAnsi="宋体" w:cs="宋体"/>
          <w:b/>
          <w:color w:val="000000"/>
          <w:kern w:val="0"/>
          <w:highlight w:val="none"/>
          <w:u w:val="single"/>
        </w:rPr>
      </w:pPr>
    </w:p>
    <w:p>
      <w:pPr>
        <w:adjustRightInd w:val="0"/>
        <w:snapToGrid w:val="0"/>
        <w:spacing w:line="360" w:lineRule="auto"/>
        <w:ind w:right="-84" w:rightChars="-40"/>
        <w:rPr>
          <w:rFonts w:ascii="宋体" w:hAnsi="宋体" w:cs="宋体"/>
          <w:b/>
          <w:color w:val="000000"/>
          <w:kern w:val="0"/>
          <w:highlight w:val="none"/>
          <w:u w:val="single"/>
        </w:rPr>
      </w:pPr>
      <w:r>
        <w:rPr>
          <w:rFonts w:hint="eastAsia" w:ascii="宋体" w:hAnsi="宋体" w:cs="宋体"/>
          <w:b/>
          <w:color w:val="000000"/>
          <w:kern w:val="0"/>
          <w:highlight w:val="none"/>
          <w:u w:val="single"/>
        </w:rPr>
        <w:t>注：由定标委员会各成员依据</w:t>
      </w:r>
      <w:r>
        <w:rPr>
          <w:rFonts w:ascii="宋体" w:hAnsi="宋体" w:cs="宋体"/>
          <w:b/>
          <w:color w:val="000000"/>
          <w:kern w:val="0"/>
          <w:highlight w:val="none"/>
          <w:u w:val="single"/>
        </w:rPr>
        <w:t>招标文件中列出的各定标因素，</w:t>
      </w:r>
      <w:r>
        <w:rPr>
          <w:rFonts w:hint="eastAsia" w:ascii="宋体" w:hAnsi="宋体" w:cs="宋体"/>
          <w:b/>
          <w:color w:val="000000"/>
          <w:kern w:val="0"/>
          <w:highlight w:val="none"/>
          <w:u w:val="single"/>
        </w:rPr>
        <w:t>给予进入定标环节的各投标人客观</w:t>
      </w:r>
      <w:r>
        <w:rPr>
          <w:rFonts w:ascii="宋体" w:hAnsi="宋体" w:cs="宋体"/>
          <w:b/>
          <w:color w:val="000000"/>
          <w:kern w:val="0"/>
          <w:highlight w:val="none"/>
          <w:u w:val="single"/>
        </w:rPr>
        <w:t>实际的评语</w:t>
      </w:r>
      <w:r>
        <w:rPr>
          <w:rFonts w:hint="eastAsia" w:ascii="宋体" w:hAnsi="宋体" w:cs="宋体"/>
          <w:b/>
          <w:color w:val="000000"/>
          <w:kern w:val="0"/>
          <w:highlight w:val="none"/>
          <w:u w:val="single"/>
        </w:rPr>
        <w:t>，</w:t>
      </w:r>
      <w:r>
        <w:rPr>
          <w:rFonts w:ascii="宋体" w:hAnsi="宋体" w:cs="宋体"/>
          <w:b/>
          <w:color w:val="000000"/>
          <w:kern w:val="0"/>
          <w:highlight w:val="none"/>
          <w:u w:val="single"/>
        </w:rPr>
        <w:t>并作为投票依据。</w:t>
      </w:r>
    </w:p>
    <w:p>
      <w:pPr>
        <w:pStyle w:val="21"/>
        <w:rPr>
          <w:color w:val="000000"/>
          <w:highlight w:val="none"/>
          <w:u w:val="single"/>
        </w:rPr>
      </w:pPr>
    </w:p>
    <w:p>
      <w:pPr>
        <w:jc w:val="left"/>
        <w:rPr>
          <w:color w:val="000000"/>
          <w:sz w:val="24"/>
          <w:szCs w:val="24"/>
          <w:highlight w:val="none"/>
        </w:rPr>
      </w:pPr>
      <w:r>
        <w:rPr>
          <w:rFonts w:hint="eastAsia"/>
          <w:color w:val="000000"/>
          <w:highlight w:val="none"/>
        </w:rPr>
        <w:br w:type="page"/>
      </w:r>
      <w:r>
        <w:rPr>
          <w:rFonts w:hint="eastAsia"/>
          <w:b/>
          <w:color w:val="000000"/>
          <w:sz w:val="24"/>
          <w:szCs w:val="24"/>
          <w:highlight w:val="none"/>
        </w:rPr>
        <w:t>附表</w:t>
      </w:r>
      <w:r>
        <w:rPr>
          <w:rFonts w:hint="eastAsia"/>
          <w:b/>
          <w:color w:val="000000"/>
          <w:sz w:val="24"/>
          <w:szCs w:val="24"/>
          <w:highlight w:val="none"/>
          <w:lang w:val="en-US" w:eastAsia="zh-CN"/>
        </w:rPr>
        <w:t>9</w:t>
      </w:r>
      <w:r>
        <w:rPr>
          <w:rFonts w:hint="eastAsia"/>
          <w:b/>
          <w:color w:val="000000"/>
          <w:sz w:val="24"/>
          <w:szCs w:val="24"/>
          <w:highlight w:val="none"/>
        </w:rPr>
        <w:t>：</w:t>
      </w:r>
    </w:p>
    <w:p>
      <w:pPr>
        <w:jc w:val="center"/>
        <w:rPr>
          <w:rFonts w:ascii="宋体" w:hAnsi="宋体"/>
          <w:b/>
          <w:color w:val="000000"/>
          <w:sz w:val="32"/>
          <w:szCs w:val="32"/>
          <w:highlight w:val="none"/>
        </w:rPr>
      </w:pPr>
      <w:r>
        <w:rPr>
          <w:rFonts w:hint="eastAsia" w:ascii="宋体" w:hAnsi="宋体"/>
          <w:b/>
          <w:color w:val="000000"/>
          <w:sz w:val="32"/>
          <w:szCs w:val="32"/>
          <w:highlight w:val="none"/>
        </w:rPr>
        <w:t>定标因素表（定标阶段用表）</w:t>
      </w:r>
    </w:p>
    <w:p>
      <w:pPr>
        <w:rPr>
          <w:rFonts w:ascii="宋体" w:hAnsi="宋体"/>
          <w:color w:val="000000"/>
          <w:sz w:val="24"/>
          <w:szCs w:val="24"/>
          <w:highlight w:val="none"/>
        </w:rPr>
      </w:pPr>
    </w:p>
    <w:p>
      <w:pPr>
        <w:rPr>
          <w:color w:val="000000"/>
          <w:sz w:val="24"/>
          <w:szCs w:val="24"/>
          <w:highlight w:val="none"/>
        </w:rPr>
      </w:pPr>
      <w:r>
        <w:rPr>
          <w:rFonts w:hint="eastAsia" w:ascii="宋体" w:hAnsi="宋体"/>
          <w:color w:val="000000"/>
          <w:sz w:val="24"/>
          <w:szCs w:val="24"/>
          <w:highlight w:val="none"/>
        </w:rPr>
        <w:t>工程名称：</w:t>
      </w:r>
    </w:p>
    <w:tbl>
      <w:tblPr>
        <w:tblStyle w:val="3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587"/>
        <w:gridCol w:w="1964"/>
        <w:gridCol w:w="5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825"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highlight w:val="none"/>
              </w:rPr>
            </w:pPr>
            <w:r>
              <w:rPr>
                <w:rFonts w:hint="eastAsia" w:ascii="宋体" w:hAnsi="宋体"/>
                <w:color w:val="000000"/>
                <w:sz w:val="24"/>
                <w:szCs w:val="24"/>
                <w:highlight w:val="none"/>
              </w:rPr>
              <w:t>评价项目</w:t>
            </w:r>
          </w:p>
        </w:tc>
        <w:tc>
          <w:tcPr>
            <w:tcW w:w="379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highlight w:val="none"/>
              </w:rPr>
            </w:pPr>
            <w:r>
              <w:rPr>
                <w:rFonts w:hint="eastAsia" w:ascii="宋体" w:hAnsi="宋体"/>
                <w:color w:val="000000"/>
                <w:sz w:val="24"/>
                <w:szCs w:val="24"/>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8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62" w:rightChars="-77"/>
              <w:jc w:val="center"/>
              <w:rPr>
                <w:rFonts w:ascii="宋体" w:hAnsi="宋体"/>
                <w:color w:val="000000"/>
                <w:sz w:val="24"/>
                <w:szCs w:val="24"/>
                <w:highlight w:val="none"/>
              </w:rPr>
            </w:pPr>
            <w:r>
              <w:rPr>
                <w:rFonts w:hint="eastAsia" w:ascii="宋体" w:hAnsi="宋体"/>
                <w:color w:val="000000"/>
                <w:sz w:val="24"/>
                <w:szCs w:val="24"/>
                <w:highlight w:val="none"/>
              </w:rPr>
              <w:t>价格因素</w:t>
            </w:r>
          </w:p>
        </w:tc>
        <w:tc>
          <w:tcPr>
            <w:tcW w:w="379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olor w:val="000000"/>
                <w:highlight w:val="none"/>
                <w:lang w:eastAsia="zh-CN"/>
              </w:rPr>
            </w:pPr>
            <w:r>
              <w:rPr>
                <w:rFonts w:hint="eastAsia" w:ascii="宋体" w:hAnsi="宋体"/>
                <w:color w:val="000000"/>
                <w:sz w:val="24"/>
                <w:szCs w:val="24"/>
                <w:highlight w:val="none"/>
              </w:rPr>
              <w:t>对投标人的投标报价进行分析</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77" w:type="pct"/>
            <w:tcBorders>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eastAsia="宋体"/>
                <w:color w:val="000000"/>
                <w:highlight w:val="none"/>
                <w:lang w:val="en-US" w:eastAsia="zh-CN"/>
              </w:rPr>
            </w:pPr>
            <w:r>
              <w:rPr>
                <w:rFonts w:hint="eastAsia" w:ascii="Calibri" w:hAnsi="Calibri"/>
                <w:color w:val="000000"/>
                <w:highlight w:val="none"/>
                <w:lang w:val="en-US" w:eastAsia="zh-CN"/>
              </w:rPr>
              <w:t>2</w:t>
            </w:r>
          </w:p>
        </w:tc>
        <w:tc>
          <w:tcPr>
            <w:tcW w:w="825" w:type="pct"/>
            <w:tcBorders>
              <w:left w:val="single" w:color="auto" w:sz="4" w:space="0"/>
              <w:bottom w:val="single" w:color="auto" w:sz="4" w:space="0"/>
              <w:right w:val="single" w:color="auto" w:sz="4" w:space="0"/>
            </w:tcBorders>
            <w:noWrap w:val="0"/>
            <w:vAlign w:val="center"/>
          </w:tcPr>
          <w:p>
            <w:pPr>
              <w:spacing w:line="360" w:lineRule="auto"/>
              <w:jc w:val="center"/>
              <w:rPr>
                <w:rFonts w:hint="default" w:ascii="Calibri" w:hAnsi="Calibri" w:eastAsia="宋体"/>
                <w:color w:val="000000"/>
                <w:highlight w:val="none"/>
                <w:lang w:val="en-US" w:eastAsia="zh-CN"/>
              </w:rPr>
            </w:pPr>
            <w:r>
              <w:rPr>
                <w:rFonts w:hint="eastAsia" w:ascii="Calibri" w:hAnsi="Calibri"/>
                <w:color w:val="000000"/>
                <w:highlight w:val="none"/>
                <w:lang w:val="en-US" w:eastAsia="zh-CN"/>
              </w:rPr>
              <w:t>方案因素</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工程实施方案</w:t>
            </w:r>
          </w:p>
        </w:tc>
        <w:tc>
          <w:tcPr>
            <w:tcW w:w="277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000000"/>
                <w:sz w:val="24"/>
                <w:szCs w:val="24"/>
                <w:highlight w:val="none"/>
              </w:rPr>
            </w:pPr>
            <w:r>
              <w:rPr>
                <w:rFonts w:hint="eastAsia" w:ascii="宋体" w:hAnsi="宋体"/>
                <w:color w:val="000000"/>
                <w:sz w:val="24"/>
                <w:szCs w:val="24"/>
                <w:highlight w:val="none"/>
              </w:rPr>
              <w:t>投标人</w:t>
            </w:r>
            <w:r>
              <w:rPr>
                <w:rFonts w:hint="eastAsia" w:ascii="宋体" w:hAnsi="宋体"/>
                <w:color w:val="000000"/>
                <w:sz w:val="24"/>
                <w:szCs w:val="24"/>
                <w:highlight w:val="none"/>
                <w:u w:val="single"/>
              </w:rPr>
              <w:t>工程实施方案</w:t>
            </w:r>
            <w:r>
              <w:rPr>
                <w:rFonts w:hint="eastAsia" w:ascii="宋体" w:hAnsi="宋体"/>
                <w:color w:val="000000"/>
                <w:sz w:val="24"/>
                <w:szCs w:val="24"/>
                <w:highlight w:val="none"/>
              </w:rPr>
              <w:t>中的设计和施工融合措施、绿色节能控制措施、安全控制措施、质量控制措施、进度控制措施、科技创新与保证措施等的编制情况。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825"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资信</w:t>
            </w:r>
            <w:r>
              <w:rPr>
                <w:rFonts w:ascii="宋体" w:hAnsi="宋体" w:cs="宋体"/>
                <w:color w:val="000000"/>
                <w:sz w:val="24"/>
                <w:szCs w:val="24"/>
                <w:highlight w:val="none"/>
              </w:rPr>
              <w:t>因素</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管理体系</w:t>
            </w:r>
          </w:p>
        </w:tc>
        <w:tc>
          <w:tcPr>
            <w:tcW w:w="277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000000"/>
                <w:sz w:val="24"/>
                <w:szCs w:val="24"/>
                <w:highlight w:val="none"/>
              </w:rPr>
            </w:pPr>
            <w:r>
              <w:rPr>
                <w:rFonts w:hint="eastAsia" w:ascii="宋体" w:hAnsi="宋体"/>
                <w:color w:val="000000"/>
                <w:sz w:val="24"/>
                <w:szCs w:val="24"/>
                <w:highlight w:val="none"/>
              </w:rPr>
              <w:t>投标人（联合体投标的，指联合体中的施工及设计方）管理体系认证的获得情况。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4</w:t>
            </w:r>
          </w:p>
        </w:tc>
        <w:tc>
          <w:tcPr>
            <w:tcW w:w="825" w:type="pct"/>
            <w:vMerge w:val="continue"/>
            <w:tcBorders>
              <w:left w:val="single" w:color="auto" w:sz="4" w:space="0"/>
              <w:right w:val="single" w:color="auto" w:sz="4" w:space="0"/>
            </w:tcBorders>
            <w:noWrap w:val="0"/>
            <w:vAlign w:val="center"/>
          </w:tcPr>
          <w:p>
            <w:pPr>
              <w:spacing w:line="360" w:lineRule="auto"/>
              <w:jc w:val="center"/>
              <w:rPr>
                <w:rFonts w:ascii="宋体" w:hAnsi="宋体"/>
                <w:color w:val="000000"/>
                <w:sz w:val="24"/>
                <w:szCs w:val="24"/>
                <w:highlight w:val="none"/>
              </w:rPr>
            </w:pPr>
          </w:p>
        </w:tc>
        <w:tc>
          <w:tcPr>
            <w:tcW w:w="10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第三方评价</w:t>
            </w:r>
          </w:p>
        </w:tc>
        <w:tc>
          <w:tcPr>
            <w:tcW w:w="277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000000"/>
                <w:sz w:val="24"/>
                <w:szCs w:val="24"/>
                <w:highlight w:val="none"/>
              </w:rPr>
            </w:pPr>
            <w:r>
              <w:rPr>
                <w:rFonts w:hint="eastAsia" w:ascii="宋体" w:hAnsi="宋体"/>
                <w:color w:val="000000"/>
                <w:sz w:val="24"/>
                <w:szCs w:val="24"/>
                <w:highlight w:val="none"/>
              </w:rPr>
              <w:t>投标人（联合体投标的，指联合体中的施工及设计方）</w:t>
            </w:r>
            <w:r>
              <w:rPr>
                <w:rFonts w:hint="eastAsia" w:ascii="宋体" w:hAnsi="宋体" w:eastAsia="宋体" w:cs="Times New Roman"/>
                <w:color w:val="000000"/>
                <w:sz w:val="24"/>
                <w:highlight w:val="none"/>
                <w:lang w:val="en-US" w:eastAsia="zh-CN"/>
              </w:rPr>
              <w:t>类似工程</w:t>
            </w:r>
            <w:r>
              <w:rPr>
                <w:rFonts w:hint="eastAsia" w:ascii="宋体" w:hAnsi="宋体" w:eastAsia="宋体" w:cs="Times New Roman"/>
                <w:color w:val="000000"/>
                <w:sz w:val="24"/>
                <w:szCs w:val="24"/>
                <w:highlight w:val="none"/>
              </w:rPr>
              <w:t>的</w:t>
            </w:r>
            <w:r>
              <w:rPr>
                <w:rFonts w:hint="eastAsia" w:ascii="宋体" w:hAnsi="宋体"/>
                <w:color w:val="000000"/>
                <w:sz w:val="24"/>
                <w:szCs w:val="24"/>
                <w:highlight w:val="none"/>
              </w:rPr>
              <w:t>获</w:t>
            </w:r>
            <w:r>
              <w:rPr>
                <w:rFonts w:hint="eastAsia" w:ascii="宋体" w:hAnsi="宋体"/>
                <w:color w:val="000000"/>
                <w:sz w:val="24"/>
                <w:szCs w:val="24"/>
                <w:highlight w:val="none"/>
                <w:lang w:eastAsia="zh-CN"/>
              </w:rPr>
              <w:t>奖</w:t>
            </w:r>
            <w:r>
              <w:rPr>
                <w:rFonts w:hint="eastAsia" w:ascii="宋体" w:hAnsi="宋体"/>
                <w:color w:val="000000"/>
                <w:sz w:val="24"/>
                <w:szCs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5</w:t>
            </w:r>
          </w:p>
        </w:tc>
        <w:tc>
          <w:tcPr>
            <w:tcW w:w="825" w:type="pct"/>
            <w:vMerge w:val="continue"/>
            <w:tcBorders>
              <w:left w:val="single" w:color="auto" w:sz="4" w:space="0"/>
              <w:right w:val="single" w:color="auto" w:sz="4" w:space="0"/>
            </w:tcBorders>
            <w:noWrap w:val="0"/>
            <w:vAlign w:val="center"/>
          </w:tcPr>
          <w:p>
            <w:pPr>
              <w:spacing w:line="360" w:lineRule="auto"/>
              <w:jc w:val="center"/>
              <w:rPr>
                <w:rFonts w:ascii="宋体" w:hAnsi="宋体" w:cs="宋体"/>
                <w:color w:val="000000"/>
                <w:sz w:val="24"/>
                <w:szCs w:val="24"/>
                <w:highlight w:val="none"/>
                <w:u w:val="single"/>
              </w:rPr>
            </w:pPr>
          </w:p>
        </w:tc>
        <w:tc>
          <w:tcPr>
            <w:tcW w:w="10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业绩</w:t>
            </w:r>
          </w:p>
        </w:tc>
        <w:tc>
          <w:tcPr>
            <w:tcW w:w="277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000000"/>
                <w:sz w:val="24"/>
                <w:szCs w:val="24"/>
                <w:highlight w:val="none"/>
              </w:rPr>
            </w:pPr>
            <w:r>
              <w:rPr>
                <w:rFonts w:hint="eastAsia" w:ascii="宋体" w:hAnsi="宋体"/>
                <w:color w:val="000000"/>
                <w:sz w:val="24"/>
                <w:szCs w:val="24"/>
                <w:highlight w:val="none"/>
              </w:rPr>
              <w:t>投标人（联合体投标的，指联合体中的施工方）类似工程业绩的获得情况。</w:t>
            </w:r>
          </w:p>
        </w:tc>
      </w:tr>
    </w:tbl>
    <w:p>
      <w:pPr>
        <w:rPr>
          <w:color w:val="000000"/>
          <w:highlight w:val="none"/>
        </w:rPr>
        <w:sectPr>
          <w:pgSz w:w="11905" w:h="16838"/>
          <w:pgMar w:top="1247" w:right="1247" w:bottom="1247" w:left="1247" w:header="567" w:footer="850" w:gutter="0"/>
          <w:cols w:space="720" w:num="1"/>
          <w:docGrid w:type="lines" w:linePitch="312" w:charSpace="0"/>
        </w:sectPr>
      </w:pPr>
    </w:p>
    <w:p>
      <w:pPr>
        <w:rPr>
          <w:rFonts w:hint="eastAsia" w:ascii="宋体" w:hAnsi="宋体" w:cs="宋体"/>
          <w:caps/>
          <w:color w:val="auto"/>
          <w:sz w:val="20"/>
          <w:szCs w:val="20"/>
          <w:highlight w:val="none"/>
        </w:rPr>
      </w:pPr>
    </w:p>
    <w:p>
      <w:pPr>
        <w:pStyle w:val="21"/>
        <w:rPr>
          <w:rFonts w:hint="eastAsia"/>
          <w:color w:val="auto"/>
          <w:highlight w:val="none"/>
        </w:rPr>
      </w:pPr>
    </w:p>
    <w:p>
      <w:pPr>
        <w:pStyle w:val="21"/>
        <w:rPr>
          <w:rFonts w:hint="eastAsia"/>
          <w:color w:val="auto"/>
          <w:highlight w:val="none"/>
        </w:rPr>
      </w:pPr>
    </w:p>
    <w:p>
      <w:pPr>
        <w:pStyle w:val="3"/>
        <w:jc w:val="center"/>
        <w:rPr>
          <w:rFonts w:hint="eastAsia" w:ascii="宋体" w:hAnsi="宋体" w:cs="宋体"/>
          <w:color w:val="auto"/>
          <w:highlight w:val="none"/>
        </w:rPr>
      </w:pPr>
      <w:bookmarkStart w:id="666" w:name="_Toc28822"/>
      <w:bookmarkStart w:id="667" w:name="_Toc22915"/>
      <w:bookmarkStart w:id="668" w:name="_Toc5123"/>
      <w:r>
        <w:rPr>
          <w:rFonts w:hint="eastAsia" w:ascii="宋体" w:hAnsi="宋体" w:cs="宋体"/>
          <w:color w:val="auto"/>
          <w:highlight w:val="none"/>
        </w:rPr>
        <w:t>第四章  合同条款及格式</w:t>
      </w:r>
      <w:bookmarkEnd w:id="554"/>
      <w:bookmarkEnd w:id="555"/>
      <w:bookmarkEnd w:id="556"/>
      <w:bookmarkEnd w:id="557"/>
      <w:bookmarkEnd w:id="558"/>
      <w:bookmarkEnd w:id="559"/>
      <w:bookmarkEnd w:id="666"/>
      <w:bookmarkEnd w:id="667"/>
      <w:bookmarkEnd w:id="668"/>
      <w:bookmarkStart w:id="669" w:name="_Toc184635097"/>
      <w:bookmarkStart w:id="670" w:name="_Toc152045610"/>
      <w:bookmarkStart w:id="671" w:name="_Toc144974578"/>
      <w:bookmarkStart w:id="672" w:name="_Toc247527635"/>
      <w:bookmarkStart w:id="673" w:name="_Toc247514034"/>
      <w:bookmarkStart w:id="674" w:name="_Toc152042388"/>
    </w:p>
    <w:p>
      <w:pPr>
        <w:jc w:val="center"/>
        <w:rPr>
          <w:rFonts w:hint="eastAsia"/>
          <w:color w:val="auto"/>
          <w:sz w:val="28"/>
          <w:szCs w:val="36"/>
          <w:highlight w:val="none"/>
        </w:rPr>
      </w:pPr>
      <w:r>
        <w:rPr>
          <w:rFonts w:hint="eastAsia"/>
          <w:color w:val="auto"/>
          <w:sz w:val="28"/>
          <w:szCs w:val="36"/>
          <w:highlight w:val="none"/>
        </w:rPr>
        <w:t>（另册）</w:t>
      </w:r>
    </w:p>
    <w:bookmarkEnd w:id="669"/>
    <w:bookmarkEnd w:id="670"/>
    <w:bookmarkEnd w:id="671"/>
    <w:bookmarkEnd w:id="672"/>
    <w:bookmarkEnd w:id="673"/>
    <w:bookmarkEnd w:id="674"/>
    <w:p>
      <w:pPr>
        <w:rPr>
          <w:rFonts w:hint="eastAsia"/>
          <w:color w:val="auto"/>
          <w:highlight w:val="none"/>
        </w:rPr>
      </w:pPr>
    </w:p>
    <w:p>
      <w:pPr>
        <w:rPr>
          <w:rFonts w:hint="eastAsia"/>
          <w:color w:val="auto"/>
          <w:highlight w:val="none"/>
        </w:rPr>
      </w:pPr>
    </w:p>
    <w:p>
      <w:pPr>
        <w:rPr>
          <w:rFonts w:hint="eastAsia"/>
          <w:color w:val="auto"/>
          <w:highlight w:val="none"/>
        </w:rPr>
      </w:pPr>
      <w:bookmarkStart w:id="675" w:name="_Toc247527820"/>
      <w:bookmarkStart w:id="676" w:name="_Toc144974851"/>
      <w:bookmarkStart w:id="677" w:name="_Toc247514233"/>
      <w:bookmarkStart w:id="678" w:name="_Toc152045782"/>
      <w:bookmarkStart w:id="679" w:name="_Toc152042571"/>
      <w:bookmarkStart w:id="680" w:name="_Toc16616"/>
      <w:r>
        <w:rPr>
          <w:rFonts w:hint="eastAsia"/>
          <w:color w:val="auto"/>
          <w:highlight w:val="none"/>
        </w:rPr>
        <w:br w:type="page"/>
      </w:r>
    </w:p>
    <w:p>
      <w:pPr>
        <w:pStyle w:val="3"/>
        <w:numPr>
          <w:ilvl w:val="0"/>
          <w:numId w:val="2"/>
        </w:numPr>
        <w:spacing w:line="720" w:lineRule="auto"/>
        <w:jc w:val="center"/>
        <w:rPr>
          <w:rFonts w:hint="eastAsia" w:ascii="宋体" w:hAnsi="宋体" w:cs="宋体"/>
          <w:color w:val="auto"/>
          <w:highlight w:val="none"/>
        </w:rPr>
      </w:pPr>
      <w:r>
        <w:rPr>
          <w:rFonts w:hint="eastAsia" w:ascii="宋体" w:hAnsi="宋体" w:cs="宋体"/>
          <w:color w:val="auto"/>
          <w:highlight w:val="none"/>
        </w:rPr>
        <w:t xml:space="preserve"> </w:t>
      </w:r>
      <w:bookmarkEnd w:id="675"/>
      <w:bookmarkEnd w:id="676"/>
      <w:bookmarkEnd w:id="677"/>
      <w:bookmarkEnd w:id="678"/>
      <w:bookmarkEnd w:id="679"/>
      <w:bookmarkStart w:id="681" w:name="_Toc10680"/>
      <w:bookmarkStart w:id="682" w:name="_Toc19573"/>
      <w:bookmarkStart w:id="683" w:name="_Toc25338"/>
      <w:r>
        <w:rPr>
          <w:rFonts w:hint="eastAsia" w:ascii="宋体" w:hAnsi="宋体" w:cs="宋体"/>
          <w:color w:val="auto"/>
          <w:highlight w:val="none"/>
        </w:rPr>
        <w:t>招标人要求</w:t>
      </w:r>
      <w:bookmarkEnd w:id="680"/>
      <w:bookmarkEnd w:id="681"/>
      <w:bookmarkEnd w:id="682"/>
      <w:bookmarkEnd w:id="683"/>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一、施工现场建筑垃圾源头减量的具体要求和建筑垃圾综合利用产品的使用要求：建设单位和施工单位严格遵守并执行《广东省建筑垃圾管理条例》及国家有关建筑垃圾管理的规定。</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（2）建筑垃圾应当按照国家有关规定进行分类，实行分类收集、分类贮存、分类运输、分类处置。</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（3）建设单位应当建立建筑垃圾分类收集、贮存以及台账管理等制度，督促施工单位开展建筑垃圾分类和合法装载，并及时向工程所在地县级人民政府建筑垃圾主管部门报送建筑垃圾处理方案。</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施工单位应当建立建筑垃圾管理台账，分类收集、贮存和及时清运施工过程中产生的建筑垃圾，采取有效措施防止混合已分类的建筑垃圾。</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工程施工单位应当将建筑垃圾的产生量与种类、清运时间、最终去向等信息在施工现场公示，接受社会监督。</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建筑垃圾运输车辆、船舶应当符合相应的载运技术条件。建筑垃圾处置场所为陆域的，不得采用开底式船舶运输建筑垃圾。</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（5）工程泥浆应当在施工现场进行脱水固化处理。施工现场不具备条件的，应当采用罐装器具密闭运输至依法设置的建筑垃圾处置场所进行处置。水上工程中依法无需经脱水处理的除外。</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pPr>
        <w:shd w:val="clea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具备现场综合利用条件的建设工程，应当进行建筑垃圾现场综合利用。</w:t>
      </w:r>
    </w:p>
    <w:p>
      <w:pPr>
        <w:pStyle w:val="16"/>
        <w:shd w:val="clear"/>
        <w:spacing w:line="360" w:lineRule="auto"/>
        <w:rPr>
          <w:rFonts w:hint="eastAsia"/>
          <w:color w:val="auto"/>
          <w:sz w:val="24"/>
          <w:highlight w:val="none"/>
        </w:rPr>
      </w:pPr>
      <w:r>
        <w:rPr>
          <w:rFonts w:hint="eastAsia"/>
          <w:color w:val="auto"/>
          <w:sz w:val="24"/>
          <w:highlight w:val="none"/>
        </w:rPr>
        <w:t>二、本工程工期紧，对建筑施工测量精度要求高，须具备行之有效的测量管理体系、准确可靠的测量数据、专业的测量人员，以保证工程施工进程及质量。</w:t>
      </w:r>
    </w:p>
    <w:p>
      <w:pPr>
        <w:shd w:val="clear"/>
        <w:rPr>
          <w:rFonts w:hint="eastAsia"/>
          <w:color w:val="auto"/>
          <w:highlight w:val="none"/>
        </w:rPr>
      </w:pPr>
    </w:p>
    <w:p>
      <w:pPr>
        <w:shd w:val="clear"/>
        <w:jc w:val="left"/>
        <w:rPr>
          <w:rFonts w:hint="eastAsia"/>
          <w:color w:val="auto"/>
          <w:sz w:val="24"/>
          <w:highlight w:val="none"/>
        </w:rPr>
      </w:pPr>
      <w:r>
        <w:rPr>
          <w:rFonts w:hint="eastAsia"/>
          <w:color w:val="auto"/>
          <w:sz w:val="24"/>
          <w:highlight w:val="none"/>
        </w:rPr>
        <w:t>三、其他内容：详见《设计任务书》，另册。</w:t>
      </w:r>
    </w:p>
    <w:p>
      <w:pPr>
        <w:pStyle w:val="16"/>
        <w:shd w:val="clear"/>
        <w:rPr>
          <w:color w:val="auto"/>
          <w:sz w:val="24"/>
          <w:highlight w:val="none"/>
        </w:rPr>
      </w:pPr>
    </w:p>
    <w:p>
      <w:pPr>
        <w:shd w:val="clear"/>
        <w:rPr>
          <w:rFonts w:hint="eastAsia" w:ascii="宋体" w:hAnsi="宋体" w:cs="宋体"/>
          <w:color w:val="auto"/>
          <w:sz w:val="24"/>
          <w:highlight w:val="none"/>
        </w:rPr>
      </w:pPr>
      <w:r>
        <w:rPr>
          <w:rFonts w:hint="eastAsia"/>
          <w:color w:val="auto"/>
          <w:sz w:val="24"/>
          <w:highlight w:val="none"/>
        </w:rPr>
        <w:t>四、</w:t>
      </w:r>
      <w:r>
        <w:rPr>
          <w:rFonts w:hint="eastAsia" w:ascii="宋体" w:hAnsi="宋体" w:cs="宋体"/>
          <w:color w:val="auto"/>
          <w:sz w:val="24"/>
          <w:highlight w:val="none"/>
        </w:rPr>
        <w:t>主要设备、材料品牌推荐表</w:t>
      </w:r>
    </w:p>
    <w:tbl>
      <w:tblPr>
        <w:tblStyle w:val="38"/>
        <w:tblW w:w="51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8"/>
        <w:gridCol w:w="2196"/>
        <w:gridCol w:w="4100"/>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000" w:type="pct"/>
            <w:gridSpan w:val="4"/>
            <w:noWrap/>
            <w:tcMar>
              <w:top w:w="12" w:type="dxa"/>
              <w:left w:w="12" w:type="dxa"/>
              <w:right w:w="12" w:type="dxa"/>
            </w:tcMar>
            <w:vAlign w:val="center"/>
          </w:tcPr>
          <w:p>
            <w:pPr>
              <w:widowControl/>
              <w:shd w:val="clear"/>
              <w:spacing w:line="360" w:lineRule="auto"/>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主要设备、材料品牌推荐表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5000" w:type="pct"/>
            <w:gridSpan w:val="4"/>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b/>
                <w:color w:val="auto"/>
                <w:sz w:val="24"/>
                <w:highlight w:val="none"/>
              </w:rPr>
            </w:pPr>
            <w:r>
              <w:rPr>
                <w:rFonts w:hint="eastAsia" w:ascii="宋体" w:hAnsi="宋体" w:cs="宋体"/>
                <w:b/>
                <w:color w:val="auto"/>
                <w:sz w:val="24"/>
                <w:highlight w:val="none"/>
              </w:rPr>
              <w:t>建筑装修部分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336" w:type="pct"/>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序号</w:t>
            </w:r>
          </w:p>
        </w:tc>
        <w:tc>
          <w:tcPr>
            <w:tcW w:w="1122" w:type="pct"/>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设备、材料名称</w:t>
            </w:r>
          </w:p>
        </w:tc>
        <w:tc>
          <w:tcPr>
            <w:tcW w:w="2095" w:type="pct"/>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推荐品牌（或相当于）</w:t>
            </w:r>
          </w:p>
        </w:tc>
        <w:tc>
          <w:tcPr>
            <w:tcW w:w="1445" w:type="pct"/>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336" w:type="pct"/>
            <w:noWrap w:val="0"/>
            <w:tcMar>
              <w:top w:w="12" w:type="dxa"/>
              <w:left w:w="12" w:type="dxa"/>
              <w:right w:w="12" w:type="dxa"/>
            </w:tcMar>
            <w:vAlign w:val="center"/>
          </w:tcPr>
          <w:p>
            <w:pPr>
              <w:widowControl/>
              <w:numPr>
                <w:ilvl w:val="0"/>
                <w:numId w:val="3"/>
              </w:numPr>
              <w:shd w:val="clear"/>
              <w:spacing w:line="360" w:lineRule="auto"/>
              <w:jc w:val="center"/>
              <w:textAlignment w:val="center"/>
              <w:rPr>
                <w:rFonts w:hint="eastAsia" w:ascii="宋体" w:hAnsi="宋体" w:cs="宋体"/>
                <w:color w:val="auto"/>
                <w:sz w:val="24"/>
                <w:highlight w:val="none"/>
              </w:rPr>
            </w:pPr>
          </w:p>
        </w:tc>
        <w:tc>
          <w:tcPr>
            <w:tcW w:w="1122" w:type="pct"/>
            <w:noWrap w:val="0"/>
            <w:tcMar>
              <w:top w:w="12" w:type="dxa"/>
              <w:left w:w="12" w:type="dxa"/>
              <w:right w:w="12" w:type="dxa"/>
            </w:tcMar>
            <w:vAlign w:val="center"/>
          </w:tcPr>
          <w:p>
            <w:pPr>
              <w:shd w:val="clea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乳胶漆</w:t>
            </w:r>
          </w:p>
        </w:tc>
        <w:tc>
          <w:tcPr>
            <w:tcW w:w="2095" w:type="pct"/>
            <w:noWrap w:val="0"/>
            <w:tcMar>
              <w:top w:w="12" w:type="dxa"/>
              <w:left w:w="12" w:type="dxa"/>
              <w:right w:w="12" w:type="dxa"/>
            </w:tcMar>
            <w:vAlign w:val="center"/>
          </w:tcPr>
          <w:p>
            <w:pPr>
              <w:shd w:val="clea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立邦、多乐士、杜邦</w:t>
            </w:r>
          </w:p>
        </w:tc>
        <w:tc>
          <w:tcPr>
            <w:tcW w:w="1445" w:type="pct"/>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336" w:type="pct"/>
            <w:noWrap w:val="0"/>
            <w:tcMar>
              <w:top w:w="12" w:type="dxa"/>
              <w:left w:w="12" w:type="dxa"/>
              <w:right w:w="12" w:type="dxa"/>
            </w:tcMar>
            <w:vAlign w:val="center"/>
          </w:tcPr>
          <w:p>
            <w:pPr>
              <w:widowControl/>
              <w:numPr>
                <w:ilvl w:val="0"/>
                <w:numId w:val="3"/>
              </w:numPr>
              <w:shd w:val="clear"/>
              <w:spacing w:line="360" w:lineRule="auto"/>
              <w:jc w:val="center"/>
              <w:textAlignment w:val="center"/>
              <w:rPr>
                <w:rFonts w:hint="eastAsia" w:ascii="宋体" w:hAnsi="宋体" w:cs="宋体"/>
                <w:color w:val="auto"/>
                <w:sz w:val="24"/>
                <w:highlight w:val="none"/>
              </w:rPr>
            </w:pPr>
          </w:p>
        </w:tc>
        <w:tc>
          <w:tcPr>
            <w:tcW w:w="1122" w:type="pct"/>
            <w:noWrap w:val="0"/>
            <w:tcMar>
              <w:top w:w="12" w:type="dxa"/>
              <w:left w:w="12" w:type="dxa"/>
              <w:right w:w="12" w:type="dxa"/>
            </w:tcMar>
            <w:vAlign w:val="center"/>
          </w:tcPr>
          <w:p>
            <w:pPr>
              <w:shd w:val="clea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镀锌型钢、钢材，钢通</w:t>
            </w:r>
          </w:p>
        </w:tc>
        <w:tc>
          <w:tcPr>
            <w:tcW w:w="2095" w:type="pct"/>
            <w:noWrap w:val="0"/>
            <w:tcMar>
              <w:top w:w="12" w:type="dxa"/>
              <w:left w:w="12" w:type="dxa"/>
              <w:right w:w="12" w:type="dxa"/>
            </w:tcMar>
            <w:vAlign w:val="center"/>
          </w:tcPr>
          <w:p>
            <w:pPr>
              <w:shd w:val="clea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广钢、韶钢、鞍钢、宝钢、</w:t>
            </w:r>
          </w:p>
        </w:tc>
        <w:tc>
          <w:tcPr>
            <w:tcW w:w="1445" w:type="pct"/>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5000" w:type="pct"/>
            <w:gridSpan w:val="4"/>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color w:val="auto"/>
                <w:sz w:val="24"/>
                <w:highlight w:val="none"/>
              </w:rPr>
            </w:pPr>
            <w:r>
              <w:rPr>
                <w:rFonts w:hint="eastAsia" w:ascii="宋体" w:hAnsi="宋体" w:cs="宋体"/>
                <w:b/>
                <w:bCs/>
                <w:color w:val="auto"/>
                <w:sz w:val="24"/>
                <w:highlight w:val="none"/>
              </w:rPr>
              <w:t>机电安装工程部分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5000" w:type="pct"/>
            <w:gridSpan w:val="4"/>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color w:val="auto"/>
                <w:sz w:val="24"/>
                <w:highlight w:val="none"/>
              </w:rPr>
            </w:pPr>
            <w:r>
              <w:rPr>
                <w:rFonts w:hint="eastAsia" w:ascii="宋体" w:hAnsi="宋体" w:cs="宋体"/>
                <w:b/>
                <w:color w:val="auto"/>
                <w:sz w:val="24"/>
                <w:highlight w:val="none"/>
              </w:rPr>
              <w:t>电气系统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336" w:type="pct"/>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22" w:type="pct"/>
            <w:noWrap w:val="0"/>
            <w:tcMar>
              <w:top w:w="12" w:type="dxa"/>
              <w:left w:w="12" w:type="dxa"/>
              <w:right w:w="12" w:type="dxa"/>
            </w:tcMar>
            <w:vAlign w:val="center"/>
          </w:tcPr>
          <w:p>
            <w:pPr>
              <w:shd w:val="clea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成套高压柜</w:t>
            </w:r>
          </w:p>
        </w:tc>
        <w:tc>
          <w:tcPr>
            <w:tcW w:w="2095" w:type="pct"/>
            <w:noWrap w:val="0"/>
            <w:tcMar>
              <w:top w:w="12" w:type="dxa"/>
              <w:left w:w="12" w:type="dxa"/>
              <w:right w:w="12" w:type="dxa"/>
            </w:tcMar>
            <w:vAlign w:val="center"/>
          </w:tcPr>
          <w:p>
            <w:pPr>
              <w:shd w:val="clea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ABB、西门子、施耐德</w:t>
            </w:r>
          </w:p>
        </w:tc>
        <w:tc>
          <w:tcPr>
            <w:tcW w:w="1445" w:type="pct"/>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按图纸及技术要求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336" w:type="pct"/>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22" w:type="pct"/>
            <w:noWrap w:val="0"/>
            <w:tcMar>
              <w:top w:w="12" w:type="dxa"/>
              <w:left w:w="12" w:type="dxa"/>
              <w:right w:w="12" w:type="dxa"/>
            </w:tcMar>
            <w:vAlign w:val="center"/>
          </w:tcPr>
          <w:p>
            <w:pPr>
              <w:shd w:val="clea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成套低压柜</w:t>
            </w:r>
          </w:p>
        </w:tc>
        <w:tc>
          <w:tcPr>
            <w:tcW w:w="2095" w:type="pct"/>
            <w:noWrap w:val="0"/>
            <w:tcMar>
              <w:top w:w="12" w:type="dxa"/>
              <w:left w:w="12" w:type="dxa"/>
              <w:right w:w="12" w:type="dxa"/>
            </w:tcMar>
            <w:vAlign w:val="center"/>
          </w:tcPr>
          <w:p>
            <w:pPr>
              <w:shd w:val="clea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ABB、西门子、施耐德；</w:t>
            </w:r>
          </w:p>
          <w:p>
            <w:pPr>
              <w:shd w:val="clea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广州白云电器设备股份有限公司、广州南方电力集团电器有限公司、广州南洋电器</w:t>
            </w:r>
          </w:p>
        </w:tc>
        <w:tc>
          <w:tcPr>
            <w:tcW w:w="1445" w:type="pct"/>
            <w:noWrap w:val="0"/>
            <w:tcMar>
              <w:top w:w="12" w:type="dxa"/>
              <w:left w:w="12" w:type="dxa"/>
              <w:right w:w="12" w:type="dxa"/>
            </w:tcMar>
            <w:vAlign w:val="center"/>
          </w:tcPr>
          <w:p>
            <w:pPr>
              <w:widowControl/>
              <w:shd w:val="clear"/>
              <w:spacing w:line="36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按图纸及技术要求</w:t>
            </w:r>
          </w:p>
        </w:tc>
      </w:tr>
    </w:tbl>
    <w:p>
      <w:pPr>
        <w:shd w:val="clear"/>
        <w:topLinePunct/>
        <w:spacing w:line="440" w:lineRule="exact"/>
        <w:rPr>
          <w:rFonts w:hint="eastAsia" w:ascii="宋体" w:hAnsi="宋体" w:cs="宋体"/>
          <w:color w:val="auto"/>
          <w:highlight w:val="none"/>
        </w:rPr>
      </w:pPr>
    </w:p>
    <w:p>
      <w:pPr>
        <w:shd w:val="clear"/>
        <w:jc w:val="left"/>
        <w:rPr>
          <w:rFonts w:hint="eastAsia"/>
          <w:color w:val="auto"/>
          <w:sz w:val="24"/>
          <w:highlight w:val="none"/>
        </w:rPr>
      </w:pPr>
      <w:r>
        <w:rPr>
          <w:rFonts w:hint="eastAsia"/>
          <w:color w:val="auto"/>
          <w:sz w:val="24"/>
          <w:highlight w:val="none"/>
        </w:rPr>
        <w:t>五</w:t>
      </w:r>
      <w:r>
        <w:rPr>
          <w:rFonts w:hint="eastAsia"/>
          <w:color w:val="auto"/>
          <w:sz w:val="24"/>
          <w:highlight w:val="none"/>
          <w:lang w:val="zh-TW"/>
        </w:rPr>
        <w:t>、未尽事宜，按国家和省市有关规定规范标准执行。</w:t>
      </w:r>
    </w:p>
    <w:p>
      <w:pPr>
        <w:pStyle w:val="21"/>
        <w:rPr>
          <w:rFonts w:hint="eastAsia"/>
          <w:color w:val="auto"/>
          <w:highlight w:val="none"/>
        </w:rPr>
      </w:pPr>
      <w:bookmarkStart w:id="684" w:name="_Toc23943"/>
    </w:p>
    <w:p>
      <w:pPr>
        <w:pStyle w:val="21"/>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jc w:val="center"/>
        <w:rPr>
          <w:rFonts w:hint="eastAsia" w:ascii="宋体" w:hAnsi="宋体" w:cs="宋体"/>
          <w:color w:val="auto"/>
          <w:highlight w:val="none"/>
        </w:rPr>
      </w:pPr>
      <w:bookmarkStart w:id="685" w:name="_Toc28434"/>
      <w:bookmarkStart w:id="686" w:name="_Toc5918"/>
      <w:bookmarkStart w:id="687" w:name="_Toc25210"/>
      <w:r>
        <w:rPr>
          <w:rFonts w:hint="eastAsia" w:ascii="宋体" w:hAnsi="宋体" w:cs="宋体"/>
          <w:color w:val="auto"/>
          <w:highlight w:val="none"/>
        </w:rPr>
        <w:t>第六章  招标人提供的资料</w:t>
      </w:r>
      <w:bookmarkEnd w:id="684"/>
      <w:bookmarkEnd w:id="685"/>
      <w:bookmarkEnd w:id="686"/>
      <w:bookmarkEnd w:id="687"/>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设计任务书</w:t>
      </w:r>
      <w:r>
        <w:rPr>
          <w:rFonts w:hint="eastAsia" w:ascii="宋体" w:hAnsi="宋体" w:cs="宋体"/>
          <w:b/>
          <w:bCs/>
          <w:color w:val="auto"/>
          <w:sz w:val="28"/>
          <w:szCs w:val="28"/>
          <w:highlight w:val="none"/>
        </w:rPr>
        <w:t>（另册）</w:t>
      </w: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color w:val="auto"/>
          <w:highlight w:val="none"/>
        </w:rPr>
      </w:pPr>
      <w:r>
        <w:rPr>
          <w:rFonts w:hint="eastAsia" w:ascii="宋体" w:hAnsi="宋体" w:cs="宋体"/>
          <w:color w:val="auto"/>
          <w:highlight w:val="none"/>
        </w:rPr>
        <w:br w:type="page"/>
      </w:r>
      <w:bookmarkStart w:id="688" w:name="_Toc152042575"/>
      <w:bookmarkStart w:id="689" w:name="_Toc19881"/>
      <w:bookmarkStart w:id="690" w:name="_Toc144974855"/>
      <w:bookmarkStart w:id="691" w:name="_Toc247514245"/>
      <w:bookmarkStart w:id="692" w:name="_Toc247527826"/>
      <w:bookmarkStart w:id="693" w:name="_Toc152045786"/>
    </w:p>
    <w:p>
      <w:pPr>
        <w:pStyle w:val="21"/>
        <w:rPr>
          <w:rFonts w:hint="eastAsia"/>
          <w:color w:val="auto"/>
          <w:highlight w:val="none"/>
        </w:rPr>
      </w:pPr>
    </w:p>
    <w:p>
      <w:pPr>
        <w:pStyle w:val="21"/>
        <w:rPr>
          <w:rFonts w:hint="eastAsia"/>
          <w:color w:val="auto"/>
          <w:highlight w:val="none"/>
        </w:rPr>
      </w:pPr>
    </w:p>
    <w:p>
      <w:pPr>
        <w:pStyle w:val="3"/>
        <w:jc w:val="center"/>
        <w:rPr>
          <w:rFonts w:hint="eastAsia" w:ascii="宋体" w:hAnsi="宋体" w:cs="宋体"/>
          <w:color w:val="auto"/>
          <w:highlight w:val="none"/>
        </w:rPr>
      </w:pPr>
      <w:bookmarkStart w:id="694" w:name="_Toc11981"/>
      <w:bookmarkStart w:id="695" w:name="_Toc4089"/>
      <w:bookmarkStart w:id="696" w:name="_Toc29183"/>
      <w:r>
        <w:rPr>
          <w:rFonts w:hint="eastAsia" w:ascii="宋体" w:hAnsi="宋体" w:cs="宋体"/>
          <w:color w:val="auto"/>
          <w:highlight w:val="none"/>
        </w:rPr>
        <w:t>第七章  投标文件格式</w:t>
      </w:r>
      <w:bookmarkEnd w:id="688"/>
      <w:bookmarkEnd w:id="689"/>
      <w:bookmarkEnd w:id="690"/>
      <w:bookmarkEnd w:id="691"/>
      <w:bookmarkEnd w:id="692"/>
      <w:bookmarkEnd w:id="693"/>
      <w:bookmarkEnd w:id="694"/>
      <w:bookmarkEnd w:id="695"/>
      <w:bookmarkEnd w:id="696"/>
    </w:p>
    <w:p>
      <w:pPr>
        <w:spacing w:line="400" w:lineRule="exact"/>
        <w:rPr>
          <w:rFonts w:hint="eastAsia" w:ascii="宋体" w:hAnsi="宋体" w:cs="宋体"/>
          <w:color w:val="auto"/>
          <w:highlight w:val="none"/>
        </w:rPr>
      </w:pPr>
    </w:p>
    <w:p>
      <w:pPr>
        <w:rPr>
          <w:rFonts w:hint="eastAsia" w:ascii="宋体" w:hAnsi="宋体" w:cs="宋体"/>
          <w:color w:val="auto"/>
          <w:highlight w:val="none"/>
        </w:rPr>
      </w:pPr>
    </w:p>
    <w:p>
      <w:pPr>
        <w:pStyle w:val="89"/>
        <w:spacing w:beforeLines="0" w:afterLines="0" w:line="360" w:lineRule="auto"/>
        <w:outlineLvl w:val="0"/>
        <w:rPr>
          <w:rFonts w:ascii="宋体" w:hAnsi="宋体" w:eastAsia="宋体" w:cs="宋体"/>
          <w:color w:val="000000"/>
          <w:highlight w:val="none"/>
        </w:rPr>
      </w:pPr>
      <w:r>
        <w:rPr>
          <w:rFonts w:hint="eastAsia" w:ascii="宋体" w:hAnsi="宋体" w:cs="宋体"/>
          <w:color w:val="auto"/>
          <w:highlight w:val="none"/>
        </w:rPr>
        <w:br w:type="page"/>
      </w:r>
      <w:bookmarkStart w:id="697" w:name="_Toc32014"/>
      <w:bookmarkStart w:id="698" w:name="_Toc32397"/>
      <w:bookmarkStart w:id="699" w:name="_Toc7720"/>
      <w:bookmarkStart w:id="700" w:name="_Toc18750"/>
      <w:r>
        <w:rPr>
          <w:rFonts w:hint="eastAsia" w:ascii="宋体" w:hAnsi="宋体" w:eastAsia="宋体" w:cs="宋体"/>
          <w:color w:val="000000"/>
          <w:highlight w:val="none"/>
        </w:rPr>
        <w:t>一、设计施工部分（含资格审查文件）投标文件格式</w:t>
      </w:r>
      <w:bookmarkEnd w:id="697"/>
      <w:bookmarkEnd w:id="698"/>
      <w:bookmarkEnd w:id="699"/>
      <w:bookmarkEnd w:id="700"/>
    </w:p>
    <w:p>
      <w:pPr>
        <w:spacing w:line="360" w:lineRule="auto"/>
        <w:jc w:val="center"/>
        <w:rPr>
          <w:rFonts w:ascii="宋体" w:hAnsi="宋体" w:cs="宋体"/>
          <w:b/>
          <w:color w:val="000000"/>
          <w:sz w:val="30"/>
          <w:szCs w:val="30"/>
          <w:highlight w:val="none"/>
        </w:rPr>
        <w:sectPr>
          <w:pgSz w:w="11905" w:h="16838"/>
          <w:pgMar w:top="1247" w:right="1247" w:bottom="1247" w:left="1247" w:header="567" w:footer="850" w:gutter="0"/>
          <w:cols w:space="720" w:num="1"/>
          <w:docGrid w:type="lines" w:linePitch="312" w:charSpace="0"/>
        </w:sectPr>
      </w:pPr>
    </w:p>
    <w:p>
      <w:pPr>
        <w:pStyle w:val="69"/>
        <w:spacing w:beforeLines="0" w:afterLines="0"/>
        <w:ind w:firstLine="498"/>
        <w:rPr>
          <w:rFonts w:ascii="宋体" w:eastAsia="宋体" w:cs="宋体"/>
          <w:color w:val="000000"/>
          <w:highlight w:val="none"/>
        </w:rPr>
      </w:pPr>
      <w:bookmarkStart w:id="701" w:name="_Toc17425"/>
      <w:bookmarkStart w:id="702" w:name="_Toc17995"/>
      <w:bookmarkStart w:id="703" w:name="_Toc16684"/>
      <w:bookmarkStart w:id="704" w:name="_Toc235615834"/>
      <w:bookmarkStart w:id="705" w:name="_Toc236215897"/>
      <w:bookmarkStart w:id="706" w:name="_Toc235616116"/>
      <w:r>
        <w:rPr>
          <w:rFonts w:hint="eastAsia" w:ascii="宋体" w:eastAsia="宋体" w:cs="宋体"/>
          <w:color w:val="000000"/>
          <w:highlight w:val="none"/>
        </w:rPr>
        <w:t>格式一：设计施工部分（含资格审查文件）投标文件封面</w:t>
      </w:r>
      <w:bookmarkEnd w:id="701"/>
      <w:bookmarkEnd w:id="702"/>
      <w:bookmarkEnd w:id="703"/>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103"/>
        <w:rPr>
          <w:rFonts w:ascii="宋体" w:hAnsi="宋体" w:eastAsia="宋体" w:cs="宋体"/>
          <w:b w:val="0"/>
          <w:color w:val="000000"/>
          <w:highlight w:val="none"/>
          <w:u w:val="single"/>
        </w:rPr>
      </w:pPr>
      <w:r>
        <w:rPr>
          <w:rFonts w:hint="eastAsia" w:ascii="宋体" w:hAnsi="宋体" w:eastAsia="宋体" w:cs="宋体"/>
          <w:b w:val="0"/>
          <w:color w:val="000000"/>
          <w:highlight w:val="none"/>
          <w:u w:val="single"/>
        </w:rPr>
        <w:t xml:space="preserve">[工程名称] </w:t>
      </w: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104"/>
        <w:rPr>
          <w:rFonts w:ascii="宋体" w:hAnsi="宋体" w:eastAsia="宋体" w:cs="宋体"/>
          <w:b w:val="0"/>
          <w:color w:val="000000"/>
          <w:highlight w:val="none"/>
        </w:rPr>
      </w:pPr>
      <w:r>
        <w:rPr>
          <w:rFonts w:hint="eastAsia" w:ascii="宋体" w:hAnsi="宋体" w:eastAsia="宋体" w:cs="宋体"/>
          <w:b w:val="0"/>
          <w:color w:val="000000"/>
          <w:highlight w:val="none"/>
        </w:rPr>
        <w:t>投标文件</w:t>
      </w:r>
    </w:p>
    <w:p>
      <w:pPr>
        <w:pStyle w:val="62"/>
        <w:ind w:firstLine="656"/>
        <w:jc w:val="center"/>
        <w:rPr>
          <w:rFonts w:ascii="宋体" w:hAnsi="宋体" w:cs="宋体"/>
          <w:color w:val="000000"/>
          <w:sz w:val="32"/>
          <w:szCs w:val="32"/>
          <w:highlight w:val="none"/>
        </w:rPr>
      </w:pPr>
      <w:r>
        <w:rPr>
          <w:rFonts w:hint="eastAsia" w:ascii="宋体" w:hAnsi="宋体" w:cs="宋体"/>
          <w:color w:val="000000"/>
          <w:sz w:val="32"/>
          <w:szCs w:val="32"/>
          <w:highlight w:val="none"/>
        </w:rPr>
        <w:t>设计施工部分（含资格审查文件）</w:t>
      </w: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投标人：</w:t>
      </w:r>
      <w:r>
        <w:rPr>
          <w:rFonts w:hint="eastAsia" w:ascii="宋体" w:hAnsi="宋体" w:eastAsia="宋体" w:cs="宋体"/>
          <w:color w:val="000000"/>
          <w:highlight w:val="none"/>
          <w:u w:val="single"/>
        </w:rPr>
        <w:t xml:space="preserve">    （填写投标人单位名称）    （盖章）</w:t>
      </w:r>
    </w:p>
    <w:p>
      <w:pPr>
        <w:pStyle w:val="105"/>
        <w:ind w:firstLine="616"/>
        <w:rPr>
          <w:rFonts w:ascii="宋体" w:hAnsi="宋体" w:eastAsia="宋体" w:cs="宋体"/>
          <w:color w:val="000000"/>
          <w:highlight w:val="none"/>
        </w:rPr>
      </w:pP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法定代表人或</w:t>
      </w: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其委托代理人：</w:t>
      </w:r>
      <w:r>
        <w:rPr>
          <w:rFonts w:hint="eastAsia" w:ascii="宋体" w:hAnsi="宋体" w:eastAsia="宋体" w:cs="宋体"/>
          <w:color w:val="000000"/>
          <w:highlight w:val="none"/>
          <w:u w:val="single"/>
        </w:rPr>
        <w:t xml:space="preserve">                    （签名或盖章）</w:t>
      </w:r>
    </w:p>
    <w:p>
      <w:pPr>
        <w:pStyle w:val="105"/>
        <w:ind w:firstLine="616"/>
        <w:rPr>
          <w:rFonts w:ascii="宋体" w:hAnsi="宋体" w:eastAsia="宋体" w:cs="宋体"/>
          <w:color w:val="000000"/>
          <w:sz w:val="24"/>
          <w:szCs w:val="24"/>
          <w:highlight w:val="none"/>
        </w:rPr>
      </w:pPr>
      <w:r>
        <w:rPr>
          <w:rFonts w:hint="eastAsia" w:ascii="宋体" w:hAnsi="宋体" w:eastAsia="宋体" w:cs="宋体"/>
          <w:color w:val="000000"/>
          <w:highlight w:val="none"/>
        </w:rPr>
        <w:t xml:space="preserve">日  期：     </w:t>
      </w:r>
    </w:p>
    <w:p>
      <w:pPr>
        <w:pStyle w:val="62"/>
        <w:ind w:firstLine="496"/>
        <w:rPr>
          <w:rFonts w:ascii="宋体" w:hAnsi="宋体" w:cs="宋体"/>
          <w:color w:val="000000"/>
          <w:highlight w:val="none"/>
        </w:rPr>
      </w:pPr>
    </w:p>
    <w:p>
      <w:pPr>
        <w:pStyle w:val="4"/>
        <w:jc w:val="left"/>
        <w:rPr>
          <w:rFonts w:ascii="宋体" w:hAnsi="宋体" w:eastAsia="宋体" w:cs="宋体"/>
          <w:bCs w:val="0"/>
          <w:snapToGrid w:val="0"/>
          <w:color w:val="000000"/>
          <w:spacing w:val="4"/>
          <w:kern w:val="0"/>
          <w:sz w:val="24"/>
          <w:szCs w:val="24"/>
          <w:highlight w:val="none"/>
          <w:u w:val="single"/>
        </w:rPr>
      </w:pPr>
      <w:r>
        <w:rPr>
          <w:rFonts w:hint="eastAsia" w:ascii="宋体" w:hAnsi="宋体" w:cs="宋体"/>
          <w:color w:val="000000"/>
          <w:highlight w:val="none"/>
        </w:rPr>
        <w:br w:type="page"/>
      </w:r>
      <w:bookmarkStart w:id="707" w:name="_Toc2917"/>
      <w:bookmarkStart w:id="708" w:name="_Toc11115"/>
      <w:bookmarkStart w:id="709" w:name="_Toc144974857"/>
      <w:bookmarkStart w:id="710" w:name="_Toc152045788"/>
      <w:bookmarkStart w:id="711" w:name="_Toc300835210"/>
      <w:bookmarkStart w:id="712" w:name="_Toc247514247"/>
      <w:bookmarkStart w:id="713" w:name="_Toc152042577"/>
      <w:bookmarkStart w:id="714" w:name="_Toc247527828"/>
      <w:bookmarkStart w:id="715" w:name="_Toc23424913"/>
      <w:bookmarkStart w:id="716" w:name="_Toc19683"/>
      <w:r>
        <w:rPr>
          <w:rFonts w:hint="eastAsia" w:ascii="宋体" w:hAnsi="宋体" w:eastAsia="宋体" w:cs="宋体"/>
          <w:bCs w:val="0"/>
          <w:snapToGrid w:val="0"/>
          <w:color w:val="000000"/>
          <w:spacing w:val="4"/>
          <w:kern w:val="0"/>
          <w:sz w:val="24"/>
          <w:szCs w:val="24"/>
          <w:highlight w:val="none"/>
          <w:u w:val="single"/>
        </w:rPr>
        <w:t>格式二：投标函</w:t>
      </w:r>
      <w:bookmarkEnd w:id="707"/>
      <w:bookmarkEnd w:id="708"/>
    </w:p>
    <w:p>
      <w:pPr>
        <w:pStyle w:val="4"/>
        <w:jc w:val="center"/>
        <w:rPr>
          <w:color w:val="000000"/>
          <w:highlight w:val="none"/>
          <w:u w:val="single"/>
        </w:rPr>
      </w:pPr>
      <w:bookmarkStart w:id="717" w:name="_Toc9993"/>
      <w:bookmarkStart w:id="718" w:name="_Toc8574"/>
      <w:r>
        <w:rPr>
          <w:rFonts w:hint="eastAsia"/>
          <w:color w:val="000000"/>
          <w:highlight w:val="none"/>
          <w:u w:val="single"/>
        </w:rPr>
        <w:t>三、</w:t>
      </w:r>
      <w:r>
        <w:rPr>
          <w:color w:val="000000"/>
          <w:highlight w:val="none"/>
          <w:u w:val="single"/>
        </w:rPr>
        <w:t>投标函</w:t>
      </w:r>
      <w:bookmarkEnd w:id="709"/>
      <w:bookmarkEnd w:id="710"/>
      <w:bookmarkEnd w:id="711"/>
      <w:bookmarkEnd w:id="712"/>
      <w:bookmarkEnd w:id="713"/>
      <w:bookmarkEnd w:id="714"/>
      <w:bookmarkEnd w:id="717"/>
      <w:bookmarkEnd w:id="718"/>
    </w:p>
    <w:p>
      <w:pPr>
        <w:spacing w:line="440" w:lineRule="exact"/>
        <w:rPr>
          <w:color w:val="000000"/>
          <w:sz w:val="20"/>
          <w:szCs w:val="20"/>
          <w:highlight w:val="none"/>
          <w:u w:val="single"/>
        </w:rPr>
      </w:pPr>
    </w:p>
    <w:p>
      <w:pPr>
        <w:spacing w:line="440" w:lineRule="exact"/>
        <w:rPr>
          <w:color w:val="000000"/>
          <w:szCs w:val="21"/>
          <w:highlight w:val="none"/>
          <w:u w:val="single"/>
        </w:rPr>
      </w:pPr>
      <w:r>
        <w:rPr>
          <w:color w:val="000000"/>
          <w:szCs w:val="21"/>
          <w:highlight w:val="none"/>
          <w:u w:val="single"/>
        </w:rPr>
        <w:t xml:space="preserve">                        （招标人名称）：</w:t>
      </w:r>
    </w:p>
    <w:p>
      <w:pPr>
        <w:spacing w:line="440" w:lineRule="exact"/>
        <w:ind w:firstLine="420" w:firstLineChars="200"/>
        <w:rPr>
          <w:color w:val="000000"/>
          <w:szCs w:val="21"/>
          <w:highlight w:val="none"/>
          <w:u w:val="single"/>
        </w:rPr>
      </w:pPr>
      <w:r>
        <w:rPr>
          <w:color w:val="000000"/>
          <w:szCs w:val="21"/>
          <w:highlight w:val="none"/>
          <w:u w:val="single"/>
        </w:rPr>
        <w:t>1．我方已仔细研究了          （项目名称）</w:t>
      </w:r>
      <w:r>
        <w:rPr>
          <w:rFonts w:hint="eastAsia"/>
          <w:color w:val="000000"/>
          <w:szCs w:val="21"/>
          <w:highlight w:val="none"/>
          <w:u w:val="single"/>
        </w:rPr>
        <w:t>设计</w:t>
      </w:r>
      <w:r>
        <w:rPr>
          <w:color w:val="000000"/>
          <w:szCs w:val="21"/>
          <w:highlight w:val="none"/>
          <w:u w:val="single"/>
        </w:rPr>
        <w:t>施工</w:t>
      </w:r>
      <w:r>
        <w:rPr>
          <w:rFonts w:hint="eastAsia"/>
          <w:color w:val="000000"/>
          <w:szCs w:val="21"/>
          <w:highlight w:val="none"/>
          <w:u w:val="single"/>
        </w:rPr>
        <w:t>总承包</w:t>
      </w:r>
      <w:r>
        <w:rPr>
          <w:color w:val="000000"/>
          <w:szCs w:val="21"/>
          <w:highlight w:val="none"/>
          <w:u w:val="single"/>
        </w:rPr>
        <w:t>招标文件的全部内容，愿意以人民币（大写）         （¥           ）的投标总报价，</w:t>
      </w:r>
      <w:r>
        <w:rPr>
          <w:rFonts w:hint="eastAsia"/>
          <w:color w:val="000000"/>
          <w:szCs w:val="21"/>
          <w:highlight w:val="none"/>
          <w:u w:val="single"/>
        </w:rPr>
        <w:t>工期           日历天，</w:t>
      </w:r>
      <w:r>
        <w:rPr>
          <w:color w:val="000000"/>
          <w:szCs w:val="21"/>
          <w:highlight w:val="none"/>
          <w:u w:val="single"/>
        </w:rPr>
        <w:t>按合同约定</w:t>
      </w:r>
      <w:r>
        <w:rPr>
          <w:rFonts w:hint="eastAsia"/>
          <w:color w:val="000000"/>
          <w:szCs w:val="21"/>
          <w:highlight w:val="none"/>
          <w:u w:val="single"/>
        </w:rPr>
        <w:t>进行设计、</w:t>
      </w:r>
      <w:r>
        <w:rPr>
          <w:color w:val="000000"/>
          <w:szCs w:val="21"/>
          <w:highlight w:val="none"/>
          <w:u w:val="single"/>
        </w:rPr>
        <w:t>实施和</w:t>
      </w:r>
      <w:r>
        <w:rPr>
          <w:rFonts w:hint="eastAsia"/>
          <w:color w:val="000000"/>
          <w:szCs w:val="21"/>
          <w:highlight w:val="none"/>
          <w:u w:val="single"/>
        </w:rPr>
        <w:t>竣工</w:t>
      </w:r>
      <w:r>
        <w:rPr>
          <w:color w:val="000000"/>
          <w:szCs w:val="21"/>
          <w:highlight w:val="none"/>
          <w:u w:val="single"/>
        </w:rPr>
        <w:t>承包工程，修补工程中的任何缺陷，</w:t>
      </w:r>
      <w:r>
        <w:rPr>
          <w:rFonts w:hint="eastAsia"/>
          <w:color w:val="000000"/>
          <w:szCs w:val="21"/>
          <w:highlight w:val="none"/>
          <w:u w:val="single"/>
        </w:rPr>
        <w:t>实现工程目的</w:t>
      </w:r>
      <w:r>
        <w:rPr>
          <w:color w:val="000000"/>
          <w:szCs w:val="21"/>
          <w:highlight w:val="none"/>
          <w:u w:val="single"/>
        </w:rPr>
        <w:t>。</w:t>
      </w:r>
    </w:p>
    <w:p>
      <w:pPr>
        <w:spacing w:line="440" w:lineRule="exact"/>
        <w:ind w:firstLine="420" w:firstLineChars="200"/>
        <w:rPr>
          <w:color w:val="000000"/>
          <w:szCs w:val="21"/>
          <w:highlight w:val="none"/>
          <w:u w:val="single"/>
        </w:rPr>
      </w:pPr>
      <w:r>
        <w:rPr>
          <w:color w:val="000000"/>
          <w:szCs w:val="21"/>
          <w:highlight w:val="none"/>
          <w:u w:val="single"/>
        </w:rPr>
        <w:t>2．我方承诺在</w:t>
      </w:r>
      <w:r>
        <w:rPr>
          <w:rFonts w:hint="eastAsia"/>
          <w:color w:val="000000"/>
          <w:szCs w:val="21"/>
          <w:highlight w:val="none"/>
          <w:u w:val="single"/>
        </w:rPr>
        <w:t>招标文件规定的</w:t>
      </w:r>
      <w:r>
        <w:rPr>
          <w:color w:val="000000"/>
          <w:szCs w:val="21"/>
          <w:highlight w:val="none"/>
          <w:u w:val="single"/>
        </w:rPr>
        <w:t>投标有效期内不修改、撤销投标文件</w:t>
      </w:r>
      <w:r>
        <w:rPr>
          <w:rFonts w:hint="eastAsia"/>
          <w:color w:val="000000"/>
          <w:szCs w:val="21"/>
          <w:highlight w:val="none"/>
          <w:u w:val="single"/>
        </w:rPr>
        <w:t>。</w:t>
      </w:r>
    </w:p>
    <w:p>
      <w:pPr>
        <w:spacing w:line="440" w:lineRule="exact"/>
        <w:ind w:firstLine="420" w:firstLineChars="200"/>
        <w:rPr>
          <w:color w:val="000000"/>
          <w:szCs w:val="21"/>
          <w:highlight w:val="none"/>
          <w:u w:val="single"/>
        </w:rPr>
      </w:pPr>
      <w:r>
        <w:rPr>
          <w:color w:val="000000"/>
          <w:szCs w:val="21"/>
          <w:highlight w:val="none"/>
          <w:u w:val="single"/>
        </w:rPr>
        <w:t>3．随同本投标函提交投标保证金一份，金额为人民币（大写）        （¥    ）。</w:t>
      </w:r>
    </w:p>
    <w:p>
      <w:pPr>
        <w:spacing w:line="440" w:lineRule="exact"/>
        <w:ind w:firstLine="420" w:firstLineChars="200"/>
        <w:rPr>
          <w:color w:val="000000"/>
          <w:szCs w:val="21"/>
          <w:highlight w:val="none"/>
          <w:u w:val="single"/>
        </w:rPr>
      </w:pPr>
      <w:r>
        <w:rPr>
          <w:color w:val="000000"/>
          <w:szCs w:val="21"/>
          <w:highlight w:val="none"/>
          <w:u w:val="single"/>
        </w:rPr>
        <w:t>4．如我方中标：</w:t>
      </w:r>
    </w:p>
    <w:p>
      <w:pPr>
        <w:spacing w:line="440" w:lineRule="exact"/>
        <w:ind w:firstLine="718" w:firstLineChars="342"/>
        <w:rPr>
          <w:color w:val="000000"/>
          <w:szCs w:val="21"/>
          <w:highlight w:val="none"/>
          <w:u w:val="single"/>
        </w:rPr>
      </w:pPr>
      <w:r>
        <w:rPr>
          <w:color w:val="000000"/>
          <w:szCs w:val="21"/>
          <w:highlight w:val="none"/>
          <w:u w:val="single"/>
        </w:rPr>
        <w:t>（1）我方承诺在收到中标通知书后，在中标通知书规定的期限内与你方签订合同。</w:t>
      </w:r>
    </w:p>
    <w:p>
      <w:pPr>
        <w:spacing w:line="440" w:lineRule="exact"/>
        <w:ind w:firstLine="718" w:firstLineChars="342"/>
        <w:rPr>
          <w:color w:val="000000"/>
          <w:szCs w:val="21"/>
          <w:highlight w:val="none"/>
          <w:u w:val="single"/>
        </w:rPr>
      </w:pPr>
      <w:r>
        <w:rPr>
          <w:color w:val="000000"/>
          <w:szCs w:val="21"/>
          <w:highlight w:val="none"/>
          <w:u w:val="single"/>
        </w:rPr>
        <w:t>（2）随同本投标函递交的投标函附录属于合同文件的组成部分。</w:t>
      </w:r>
    </w:p>
    <w:p>
      <w:pPr>
        <w:spacing w:line="440" w:lineRule="exact"/>
        <w:ind w:firstLine="718" w:firstLineChars="342"/>
        <w:rPr>
          <w:color w:val="000000"/>
          <w:szCs w:val="21"/>
          <w:highlight w:val="none"/>
          <w:u w:val="single"/>
        </w:rPr>
      </w:pPr>
      <w:r>
        <w:rPr>
          <w:color w:val="000000"/>
          <w:szCs w:val="21"/>
          <w:highlight w:val="none"/>
          <w:u w:val="single"/>
        </w:rPr>
        <w:t>（3）我方承诺按照招标文件规定向你方递交履约担保。</w:t>
      </w:r>
    </w:p>
    <w:p>
      <w:pPr>
        <w:spacing w:line="440" w:lineRule="exact"/>
        <w:ind w:firstLine="718" w:firstLineChars="342"/>
        <w:rPr>
          <w:color w:val="000000"/>
          <w:szCs w:val="21"/>
          <w:highlight w:val="none"/>
          <w:u w:val="single"/>
        </w:rPr>
      </w:pPr>
      <w:r>
        <w:rPr>
          <w:color w:val="000000"/>
          <w:szCs w:val="21"/>
          <w:highlight w:val="none"/>
          <w:u w:val="single"/>
        </w:rPr>
        <w:t>（4）我方承诺在合同约定的期限内完成并移交全部合同工程。</w:t>
      </w:r>
    </w:p>
    <w:p>
      <w:pPr>
        <w:spacing w:line="440" w:lineRule="exact"/>
        <w:ind w:firstLine="420" w:firstLineChars="200"/>
        <w:rPr>
          <w:color w:val="000000"/>
          <w:szCs w:val="21"/>
          <w:highlight w:val="none"/>
          <w:u w:val="single"/>
        </w:rPr>
      </w:pPr>
      <w:r>
        <w:rPr>
          <w:color w:val="000000"/>
          <w:szCs w:val="21"/>
          <w:highlight w:val="none"/>
          <w:u w:val="single"/>
        </w:rPr>
        <w:t>5．</w:t>
      </w:r>
      <w:r>
        <w:rPr>
          <w:rFonts w:hint="eastAsia"/>
          <w:color w:val="000000"/>
          <w:highlight w:val="none"/>
          <w:u w:val="single"/>
        </w:rPr>
        <w:t>我方在此声明，所递交的投标文件及有关资料内容完整、真实和准确。</w:t>
      </w:r>
    </w:p>
    <w:p>
      <w:pPr>
        <w:spacing w:line="440" w:lineRule="exact"/>
        <w:ind w:firstLine="420" w:firstLineChars="200"/>
        <w:rPr>
          <w:color w:val="000000"/>
          <w:szCs w:val="21"/>
          <w:highlight w:val="none"/>
          <w:u w:val="single"/>
        </w:rPr>
      </w:pPr>
      <w:r>
        <w:rPr>
          <w:rFonts w:hint="eastAsia"/>
          <w:color w:val="000000"/>
          <w:szCs w:val="21"/>
          <w:highlight w:val="none"/>
          <w:u w:val="single"/>
        </w:rPr>
        <w:t>6．</w:t>
      </w:r>
      <w:r>
        <w:rPr>
          <w:color w:val="000000"/>
          <w:szCs w:val="21"/>
          <w:highlight w:val="none"/>
          <w:u w:val="single"/>
        </w:rPr>
        <w:t xml:space="preserve">                                       （</w:t>
      </w:r>
      <w:r>
        <w:rPr>
          <w:rFonts w:hint="eastAsia"/>
          <w:color w:val="000000"/>
          <w:szCs w:val="21"/>
          <w:highlight w:val="none"/>
          <w:u w:val="single"/>
        </w:rPr>
        <w:t>其他</w:t>
      </w:r>
      <w:r>
        <w:rPr>
          <w:color w:val="000000"/>
          <w:szCs w:val="21"/>
          <w:highlight w:val="none"/>
          <w:u w:val="single"/>
        </w:rPr>
        <w:t>补充说明）。</w:t>
      </w:r>
    </w:p>
    <w:p>
      <w:pPr>
        <w:spacing w:line="440" w:lineRule="exact"/>
        <w:ind w:firstLine="3675" w:firstLineChars="1750"/>
        <w:rPr>
          <w:color w:val="000000"/>
          <w:szCs w:val="21"/>
          <w:highlight w:val="none"/>
          <w:u w:val="single"/>
        </w:rPr>
      </w:pPr>
      <w:r>
        <w:rPr>
          <w:color w:val="000000"/>
          <w:szCs w:val="21"/>
          <w:highlight w:val="none"/>
          <w:u w:val="single"/>
        </w:rPr>
        <w:t>投 标 人：                      （盖单位章）</w:t>
      </w:r>
    </w:p>
    <w:p>
      <w:pPr>
        <w:spacing w:line="440" w:lineRule="exact"/>
        <w:ind w:firstLine="3675" w:firstLineChars="1750"/>
        <w:rPr>
          <w:color w:val="000000"/>
          <w:szCs w:val="21"/>
          <w:highlight w:val="none"/>
          <w:u w:val="single"/>
        </w:rPr>
      </w:pPr>
      <w:r>
        <w:rPr>
          <w:color w:val="000000"/>
          <w:szCs w:val="21"/>
          <w:highlight w:val="none"/>
          <w:u w:val="single"/>
        </w:rPr>
        <w:t>法定代表人或其委托代理人：       （签字）</w:t>
      </w:r>
    </w:p>
    <w:p>
      <w:pPr>
        <w:spacing w:line="440" w:lineRule="exact"/>
        <w:ind w:firstLine="3675" w:firstLineChars="1750"/>
        <w:rPr>
          <w:color w:val="000000"/>
          <w:szCs w:val="21"/>
          <w:highlight w:val="none"/>
          <w:u w:val="single"/>
        </w:rPr>
      </w:pPr>
      <w:r>
        <w:rPr>
          <w:color w:val="000000"/>
          <w:szCs w:val="21"/>
          <w:highlight w:val="none"/>
          <w:u w:val="single"/>
        </w:rPr>
        <w:t xml:space="preserve">地址：                                     </w:t>
      </w:r>
    </w:p>
    <w:p>
      <w:pPr>
        <w:spacing w:line="440" w:lineRule="exact"/>
        <w:ind w:firstLine="3675" w:firstLineChars="1750"/>
        <w:rPr>
          <w:color w:val="000000"/>
          <w:szCs w:val="21"/>
          <w:highlight w:val="none"/>
          <w:u w:val="single"/>
        </w:rPr>
      </w:pPr>
      <w:r>
        <w:rPr>
          <w:color w:val="000000"/>
          <w:szCs w:val="21"/>
          <w:highlight w:val="none"/>
          <w:u w:val="single"/>
        </w:rPr>
        <w:t xml:space="preserve">网址：                                     </w:t>
      </w:r>
    </w:p>
    <w:p>
      <w:pPr>
        <w:spacing w:line="440" w:lineRule="exact"/>
        <w:ind w:firstLine="3675" w:firstLineChars="1750"/>
        <w:rPr>
          <w:color w:val="000000"/>
          <w:szCs w:val="21"/>
          <w:highlight w:val="none"/>
          <w:u w:val="single"/>
        </w:rPr>
      </w:pPr>
      <w:r>
        <w:rPr>
          <w:color w:val="000000"/>
          <w:szCs w:val="21"/>
          <w:highlight w:val="none"/>
          <w:u w:val="single"/>
        </w:rPr>
        <w:t xml:space="preserve">电话：                                     </w:t>
      </w:r>
    </w:p>
    <w:p>
      <w:pPr>
        <w:spacing w:line="440" w:lineRule="exact"/>
        <w:ind w:firstLine="3675" w:firstLineChars="1750"/>
        <w:rPr>
          <w:color w:val="000000"/>
          <w:szCs w:val="21"/>
          <w:highlight w:val="none"/>
          <w:u w:val="single"/>
        </w:rPr>
      </w:pPr>
      <w:r>
        <w:rPr>
          <w:color w:val="000000"/>
          <w:szCs w:val="21"/>
          <w:highlight w:val="none"/>
          <w:u w:val="single"/>
        </w:rPr>
        <w:t xml:space="preserve">传真：                                     </w:t>
      </w:r>
    </w:p>
    <w:p>
      <w:pPr>
        <w:spacing w:line="440" w:lineRule="exact"/>
        <w:ind w:firstLine="3675" w:firstLineChars="1750"/>
        <w:rPr>
          <w:color w:val="000000"/>
          <w:szCs w:val="21"/>
          <w:highlight w:val="none"/>
          <w:u w:val="single"/>
        </w:rPr>
      </w:pPr>
      <w:r>
        <w:rPr>
          <w:color w:val="000000"/>
          <w:szCs w:val="21"/>
          <w:highlight w:val="none"/>
          <w:u w:val="single"/>
        </w:rPr>
        <w:t xml:space="preserve">邮政编码：                                 </w:t>
      </w:r>
    </w:p>
    <w:p>
      <w:pPr>
        <w:spacing w:line="440" w:lineRule="exact"/>
        <w:ind w:firstLine="4725" w:firstLineChars="2250"/>
        <w:rPr>
          <w:color w:val="000000"/>
          <w:szCs w:val="21"/>
          <w:highlight w:val="none"/>
          <w:u w:val="single"/>
        </w:rPr>
      </w:pPr>
      <w:r>
        <w:rPr>
          <w:color w:val="000000"/>
          <w:szCs w:val="21"/>
          <w:highlight w:val="none"/>
          <w:u w:val="single"/>
        </w:rPr>
        <w:t xml:space="preserve">      年      月      日</w:t>
      </w:r>
    </w:p>
    <w:p>
      <w:pPr>
        <w:ind w:firstLine="420" w:firstLineChars="200"/>
        <w:outlineLvl w:val="2"/>
        <w:rPr>
          <w:rFonts w:ascii="宋体" w:hAnsi="宋体" w:cs="宋体"/>
          <w:color w:val="000000"/>
          <w:highlight w:val="none"/>
          <w:u w:val="single"/>
        </w:rPr>
        <w:sectPr>
          <w:headerReference r:id="rId14" w:type="default"/>
          <w:footerReference r:id="rId15" w:type="default"/>
          <w:pgSz w:w="11905" w:h="16838"/>
          <w:pgMar w:top="1247" w:right="1247" w:bottom="1247" w:left="1247" w:header="567" w:footer="850" w:gutter="0"/>
          <w:cols w:space="720" w:num="1"/>
          <w:docGrid w:type="lines" w:linePitch="312" w:charSpace="0"/>
        </w:sectPr>
      </w:pPr>
    </w:p>
    <w:p>
      <w:pPr>
        <w:pStyle w:val="4"/>
        <w:jc w:val="left"/>
        <w:rPr>
          <w:rFonts w:ascii="宋体" w:hAnsi="宋体" w:eastAsia="宋体" w:cs="宋体"/>
          <w:bCs w:val="0"/>
          <w:snapToGrid w:val="0"/>
          <w:color w:val="000000"/>
          <w:spacing w:val="4"/>
          <w:kern w:val="0"/>
          <w:sz w:val="24"/>
          <w:szCs w:val="24"/>
          <w:highlight w:val="none"/>
          <w:u w:val="single"/>
        </w:rPr>
      </w:pPr>
      <w:bookmarkStart w:id="719" w:name="_Toc5991"/>
      <w:bookmarkStart w:id="720" w:name="_Toc21263"/>
      <w:bookmarkStart w:id="721" w:name="_Toc247527831"/>
      <w:bookmarkStart w:id="722" w:name="_Toc144974860"/>
      <w:bookmarkStart w:id="723" w:name="_Toc300835213"/>
      <w:bookmarkStart w:id="724" w:name="_Toc152042580"/>
      <w:bookmarkStart w:id="725" w:name="_Toc247514283"/>
      <w:bookmarkStart w:id="726" w:name="_Toc152045791"/>
      <w:r>
        <w:rPr>
          <w:rFonts w:hint="eastAsia" w:ascii="宋体" w:hAnsi="宋体" w:eastAsia="宋体" w:cs="宋体"/>
          <w:bCs w:val="0"/>
          <w:snapToGrid w:val="0"/>
          <w:color w:val="000000"/>
          <w:spacing w:val="4"/>
          <w:kern w:val="0"/>
          <w:sz w:val="24"/>
          <w:szCs w:val="24"/>
          <w:highlight w:val="none"/>
          <w:u w:val="single"/>
        </w:rPr>
        <w:t>格式三：法定代表人身份证明及授权委托书</w:t>
      </w:r>
      <w:bookmarkEnd w:id="719"/>
      <w:bookmarkEnd w:id="720"/>
    </w:p>
    <w:p>
      <w:pPr>
        <w:pStyle w:val="4"/>
        <w:jc w:val="center"/>
        <w:rPr>
          <w:color w:val="000000"/>
          <w:szCs w:val="21"/>
          <w:highlight w:val="none"/>
          <w:u w:val="single"/>
        </w:rPr>
      </w:pPr>
      <w:bookmarkStart w:id="727" w:name="_Toc18572"/>
      <w:bookmarkStart w:id="728" w:name="_Toc22468"/>
      <w:r>
        <w:rPr>
          <w:rFonts w:hint="eastAsia"/>
          <w:color w:val="000000"/>
          <w:highlight w:val="none"/>
          <w:u w:val="single"/>
        </w:rPr>
        <w:t>三</w:t>
      </w:r>
      <w:r>
        <w:rPr>
          <w:color w:val="000000"/>
          <w:highlight w:val="none"/>
          <w:u w:val="single"/>
        </w:rPr>
        <w:t>、法定代表人身份证明</w:t>
      </w:r>
      <w:bookmarkEnd w:id="721"/>
      <w:bookmarkEnd w:id="722"/>
      <w:bookmarkEnd w:id="723"/>
      <w:bookmarkEnd w:id="724"/>
      <w:bookmarkEnd w:id="725"/>
      <w:bookmarkEnd w:id="726"/>
      <w:bookmarkEnd w:id="727"/>
      <w:bookmarkEnd w:id="728"/>
    </w:p>
    <w:p>
      <w:pPr>
        <w:spacing w:line="440" w:lineRule="exact"/>
        <w:rPr>
          <w:color w:val="000000"/>
          <w:szCs w:val="21"/>
          <w:highlight w:val="none"/>
          <w:u w:val="single"/>
        </w:rPr>
      </w:pPr>
      <w:r>
        <w:rPr>
          <w:color w:val="000000"/>
          <w:szCs w:val="21"/>
          <w:highlight w:val="none"/>
          <w:u w:val="single"/>
        </w:rPr>
        <w:t xml:space="preserve">投标人名称：                             </w:t>
      </w:r>
    </w:p>
    <w:p>
      <w:pPr>
        <w:spacing w:line="440" w:lineRule="exact"/>
        <w:rPr>
          <w:color w:val="000000"/>
          <w:szCs w:val="21"/>
          <w:highlight w:val="none"/>
          <w:u w:val="single"/>
        </w:rPr>
      </w:pPr>
      <w:r>
        <w:rPr>
          <w:color w:val="000000"/>
          <w:szCs w:val="21"/>
          <w:highlight w:val="none"/>
          <w:u w:val="single"/>
        </w:rPr>
        <w:t xml:space="preserve">单位性质：                                </w:t>
      </w:r>
    </w:p>
    <w:p>
      <w:pPr>
        <w:spacing w:line="440" w:lineRule="exact"/>
        <w:rPr>
          <w:color w:val="000000"/>
          <w:szCs w:val="21"/>
          <w:highlight w:val="none"/>
          <w:u w:val="single"/>
        </w:rPr>
      </w:pPr>
      <w:r>
        <w:rPr>
          <w:color w:val="000000"/>
          <w:szCs w:val="21"/>
          <w:highlight w:val="none"/>
          <w:u w:val="single"/>
        </w:rPr>
        <w:t xml:space="preserve">地址：                                   </w:t>
      </w:r>
    </w:p>
    <w:p>
      <w:pPr>
        <w:spacing w:line="440" w:lineRule="exact"/>
        <w:rPr>
          <w:color w:val="000000"/>
          <w:szCs w:val="21"/>
          <w:highlight w:val="none"/>
          <w:u w:val="single"/>
        </w:rPr>
      </w:pPr>
      <w:r>
        <w:rPr>
          <w:color w:val="000000"/>
          <w:szCs w:val="21"/>
          <w:highlight w:val="none"/>
          <w:u w:val="single"/>
        </w:rPr>
        <w:t>成立时间：         年       月       日</w:t>
      </w:r>
    </w:p>
    <w:p>
      <w:pPr>
        <w:spacing w:line="440" w:lineRule="exact"/>
        <w:rPr>
          <w:color w:val="000000"/>
          <w:szCs w:val="21"/>
          <w:highlight w:val="none"/>
          <w:u w:val="single"/>
        </w:rPr>
      </w:pPr>
      <w:r>
        <w:rPr>
          <w:color w:val="000000"/>
          <w:szCs w:val="21"/>
          <w:highlight w:val="none"/>
          <w:u w:val="single"/>
        </w:rPr>
        <w:t xml:space="preserve">经营期限：                               </w:t>
      </w:r>
    </w:p>
    <w:p>
      <w:pPr>
        <w:spacing w:line="440" w:lineRule="exact"/>
        <w:rPr>
          <w:color w:val="000000"/>
          <w:szCs w:val="21"/>
          <w:highlight w:val="none"/>
          <w:u w:val="single"/>
        </w:rPr>
      </w:pPr>
      <w:r>
        <w:rPr>
          <w:color w:val="000000"/>
          <w:szCs w:val="21"/>
          <w:highlight w:val="none"/>
          <w:u w:val="single"/>
        </w:rPr>
        <w:t xml:space="preserve">姓名：         性别：          年龄：        职务：        </w:t>
      </w:r>
    </w:p>
    <w:p>
      <w:pPr>
        <w:spacing w:line="440" w:lineRule="exact"/>
        <w:rPr>
          <w:color w:val="000000"/>
          <w:szCs w:val="21"/>
          <w:highlight w:val="none"/>
          <w:u w:val="single"/>
        </w:rPr>
      </w:pPr>
      <w:r>
        <w:rPr>
          <w:color w:val="000000"/>
          <w:szCs w:val="21"/>
          <w:highlight w:val="none"/>
          <w:u w:val="single"/>
        </w:rPr>
        <w:t xml:space="preserve">系                              </w:t>
      </w:r>
      <w:r>
        <w:rPr>
          <w:rFonts w:hint="eastAsia"/>
          <w:color w:val="000000"/>
          <w:szCs w:val="21"/>
          <w:highlight w:val="none"/>
          <w:u w:val="single"/>
        </w:rPr>
        <w:t>（</w:t>
      </w:r>
      <w:r>
        <w:rPr>
          <w:color w:val="000000"/>
          <w:szCs w:val="21"/>
          <w:highlight w:val="none"/>
          <w:u w:val="single"/>
        </w:rPr>
        <w:t>投标人名称</w:t>
      </w:r>
      <w:r>
        <w:rPr>
          <w:rFonts w:hint="eastAsia"/>
          <w:color w:val="000000"/>
          <w:szCs w:val="21"/>
          <w:highlight w:val="none"/>
          <w:u w:val="single"/>
        </w:rPr>
        <w:t>）</w:t>
      </w:r>
      <w:r>
        <w:rPr>
          <w:color w:val="000000"/>
          <w:szCs w:val="21"/>
          <w:highlight w:val="none"/>
          <w:u w:val="single"/>
        </w:rPr>
        <w:t>的法定代表人。</w:t>
      </w:r>
    </w:p>
    <w:p>
      <w:pPr>
        <w:spacing w:line="440" w:lineRule="exact"/>
        <w:ind w:firstLine="420" w:firstLineChars="200"/>
        <w:rPr>
          <w:color w:val="000000"/>
          <w:szCs w:val="21"/>
          <w:highlight w:val="none"/>
          <w:u w:val="single"/>
        </w:rPr>
      </w:pPr>
      <w:r>
        <w:rPr>
          <w:color w:val="000000"/>
          <w:szCs w:val="21"/>
          <w:highlight w:val="none"/>
          <w:u w:val="single"/>
        </w:rPr>
        <w:t>特此证明。</w:t>
      </w:r>
    </w:p>
    <w:p>
      <w:pPr>
        <w:spacing w:line="440" w:lineRule="exact"/>
        <w:rPr>
          <w:color w:val="000000"/>
          <w:szCs w:val="21"/>
          <w:highlight w:val="none"/>
          <w:u w:val="single"/>
        </w:rPr>
      </w:pPr>
    </w:p>
    <w:p>
      <w:pPr>
        <w:spacing w:line="440" w:lineRule="exact"/>
        <w:rPr>
          <w:color w:val="000000"/>
          <w:szCs w:val="21"/>
          <w:highlight w:val="none"/>
          <w:u w:val="single"/>
        </w:rPr>
      </w:pPr>
      <w:r>
        <w:rPr>
          <w:rFonts w:hint="eastAsia"/>
          <w:color w:val="000000"/>
          <w:szCs w:val="21"/>
          <w:highlight w:val="none"/>
          <w:u w:val="single"/>
        </w:rPr>
        <w:t>附：法定代表人身份证复印件。</w:t>
      </w:r>
    </w:p>
    <w:p>
      <w:pPr>
        <w:spacing w:line="440" w:lineRule="exact"/>
        <w:rPr>
          <w:color w:val="000000"/>
          <w:szCs w:val="21"/>
          <w:highlight w:val="none"/>
          <w:u w:val="single"/>
        </w:rPr>
      </w:pPr>
    </w:p>
    <w:p>
      <w:pPr>
        <w:spacing w:line="440" w:lineRule="exact"/>
        <w:rPr>
          <w:color w:val="000000"/>
          <w:szCs w:val="21"/>
          <w:highlight w:val="none"/>
          <w:u w:val="single"/>
        </w:rPr>
      </w:pPr>
      <w:r>
        <w:rPr>
          <w:color w:val="000000"/>
          <w:szCs w:val="21"/>
          <w:highlight w:val="none"/>
          <w:u w:val="single"/>
        </w:rPr>
        <w:t xml:space="preserve">                          投标人：                 （盖单位章）</w:t>
      </w:r>
    </w:p>
    <w:p>
      <w:pPr>
        <w:spacing w:line="440" w:lineRule="exact"/>
        <w:rPr>
          <w:color w:val="000000"/>
          <w:szCs w:val="21"/>
          <w:highlight w:val="none"/>
          <w:u w:val="single"/>
        </w:rPr>
      </w:pPr>
      <w:r>
        <w:rPr>
          <w:color w:val="000000"/>
          <w:szCs w:val="21"/>
          <w:highlight w:val="none"/>
          <w:u w:val="single"/>
        </w:rPr>
        <w:t xml:space="preserve">                                         年      月    日           </w:t>
      </w:r>
    </w:p>
    <w:p>
      <w:pPr>
        <w:ind w:firstLine="394" w:firstLineChars="196"/>
        <w:rPr>
          <w:rFonts w:hint="eastAsia" w:ascii="宋体" w:hAnsi="宋体" w:cs="宋体"/>
          <w:b/>
          <w:color w:val="000000"/>
          <w:kern w:val="0"/>
          <w:sz w:val="20"/>
          <w:szCs w:val="20"/>
          <w:highlight w:val="none"/>
        </w:rPr>
      </w:pPr>
    </w:p>
    <w:p>
      <w:pPr>
        <w:ind w:firstLine="394" w:firstLineChars="196"/>
        <w:rPr>
          <w:rFonts w:hint="eastAsia" w:ascii="宋体" w:hAnsi="宋体" w:cs="宋体"/>
          <w:b/>
          <w:color w:val="000000"/>
          <w:kern w:val="0"/>
          <w:sz w:val="20"/>
          <w:szCs w:val="20"/>
          <w:highlight w:val="none"/>
        </w:rPr>
      </w:pPr>
    </w:p>
    <w:p>
      <w:pPr>
        <w:ind w:firstLine="394" w:firstLineChars="196"/>
        <w:rPr>
          <w:rFonts w:hint="eastAsia" w:ascii="宋体" w:hAnsi="宋体" w:cs="宋体"/>
          <w:b/>
          <w:color w:val="000000"/>
          <w:kern w:val="0"/>
          <w:sz w:val="20"/>
          <w:szCs w:val="20"/>
          <w:highlight w:val="none"/>
        </w:rPr>
      </w:pPr>
    </w:p>
    <w:p>
      <w:pPr>
        <w:ind w:firstLine="394" w:firstLineChars="196"/>
        <w:rPr>
          <w:rFonts w:hint="eastAsia" w:ascii="宋体" w:hAnsi="宋体" w:cs="宋体"/>
          <w:b/>
          <w:color w:val="000000"/>
          <w:kern w:val="0"/>
          <w:sz w:val="20"/>
          <w:szCs w:val="20"/>
          <w:highlight w:val="none"/>
        </w:rPr>
      </w:pPr>
    </w:p>
    <w:p>
      <w:pPr>
        <w:ind w:firstLine="394" w:firstLineChars="196"/>
        <w:rPr>
          <w:rFonts w:hint="eastAsia" w:ascii="宋体" w:hAnsi="宋体" w:cs="宋体"/>
          <w:b/>
          <w:color w:val="000000"/>
          <w:kern w:val="0"/>
          <w:sz w:val="20"/>
          <w:szCs w:val="20"/>
          <w:highlight w:val="none"/>
        </w:rPr>
      </w:pPr>
    </w:p>
    <w:p>
      <w:pPr>
        <w:ind w:firstLine="394" w:firstLineChars="196"/>
        <w:rPr>
          <w:rFonts w:hint="eastAsia" w:ascii="宋体" w:hAnsi="宋体" w:cs="宋体"/>
          <w:b/>
          <w:color w:val="000000"/>
          <w:kern w:val="0"/>
          <w:sz w:val="20"/>
          <w:szCs w:val="20"/>
          <w:highlight w:val="none"/>
        </w:rPr>
      </w:pPr>
    </w:p>
    <w:p>
      <w:pPr>
        <w:ind w:firstLine="0" w:firstLineChars="0"/>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lang w:eastAsia="zh-CN"/>
        </w:rPr>
        <w:t>注：</w:t>
      </w:r>
      <w:r>
        <w:rPr>
          <w:rFonts w:hint="eastAsia" w:ascii="宋体" w:hAnsi="宋体" w:cs="宋体"/>
          <w:b/>
          <w:color w:val="000000"/>
          <w:kern w:val="0"/>
          <w:sz w:val="20"/>
          <w:szCs w:val="20"/>
          <w:highlight w:val="none"/>
        </w:rPr>
        <w:t>联合体投标的，可由主办方签署、盖章。</w:t>
      </w:r>
    </w:p>
    <w:p>
      <w:pPr>
        <w:spacing w:line="440" w:lineRule="exact"/>
        <w:rPr>
          <w:rFonts w:eastAsia="黑体"/>
          <w:color w:val="000000"/>
          <w:sz w:val="20"/>
          <w:szCs w:val="20"/>
          <w:highlight w:val="none"/>
          <w:u w:val="single"/>
        </w:rPr>
      </w:pPr>
      <w:r>
        <w:rPr>
          <w:rFonts w:eastAsia="黑体"/>
          <w:color w:val="000000"/>
          <w:sz w:val="20"/>
          <w:szCs w:val="20"/>
          <w:highlight w:val="none"/>
          <w:u w:val="single"/>
        </w:rPr>
        <w:br w:type="page"/>
      </w:r>
      <w:bookmarkStart w:id="729" w:name="_Toc300835214"/>
      <w:bookmarkStart w:id="730" w:name="_Toc247514284"/>
      <w:bookmarkStart w:id="731" w:name="_Toc144974861"/>
      <w:bookmarkStart w:id="732" w:name="_Toc247527832"/>
      <w:bookmarkStart w:id="733" w:name="_Toc152045792"/>
      <w:bookmarkStart w:id="734" w:name="_Toc152042581"/>
    </w:p>
    <w:p>
      <w:pPr>
        <w:spacing w:line="440" w:lineRule="exact"/>
        <w:ind w:firstLine="3534" w:firstLineChars="1100"/>
        <w:rPr>
          <w:rFonts w:ascii="Arial" w:hAnsi="Arial" w:eastAsia="黑体"/>
          <w:b/>
          <w:bCs/>
          <w:color w:val="000000"/>
          <w:sz w:val="32"/>
          <w:szCs w:val="32"/>
          <w:highlight w:val="none"/>
          <w:u w:val="single"/>
        </w:rPr>
      </w:pPr>
      <w:r>
        <w:rPr>
          <w:rFonts w:hint="eastAsia" w:ascii="Arial" w:hAnsi="Arial" w:eastAsia="黑体"/>
          <w:b/>
          <w:bCs/>
          <w:color w:val="000000"/>
          <w:sz w:val="32"/>
          <w:szCs w:val="32"/>
          <w:highlight w:val="none"/>
          <w:u w:val="single"/>
        </w:rPr>
        <w:t>三</w:t>
      </w:r>
      <w:r>
        <w:rPr>
          <w:rFonts w:ascii="Arial" w:hAnsi="Arial" w:eastAsia="黑体"/>
          <w:b/>
          <w:bCs/>
          <w:color w:val="000000"/>
          <w:sz w:val="32"/>
          <w:szCs w:val="32"/>
          <w:highlight w:val="none"/>
          <w:u w:val="single"/>
        </w:rPr>
        <w:t>、授权委托书</w:t>
      </w:r>
      <w:bookmarkEnd w:id="729"/>
      <w:bookmarkEnd w:id="730"/>
      <w:bookmarkEnd w:id="731"/>
      <w:bookmarkEnd w:id="732"/>
      <w:bookmarkEnd w:id="733"/>
      <w:bookmarkEnd w:id="734"/>
    </w:p>
    <w:p>
      <w:pPr>
        <w:topLinePunct/>
        <w:spacing w:line="440" w:lineRule="exact"/>
        <w:ind w:firstLine="420" w:firstLineChars="200"/>
        <w:rPr>
          <w:color w:val="000000"/>
          <w:szCs w:val="21"/>
          <w:highlight w:val="none"/>
          <w:u w:val="single"/>
        </w:rPr>
      </w:pPr>
    </w:p>
    <w:p>
      <w:pPr>
        <w:topLinePunct/>
        <w:spacing w:line="440" w:lineRule="exact"/>
        <w:ind w:firstLine="420" w:firstLineChars="200"/>
        <w:rPr>
          <w:color w:val="000000"/>
          <w:szCs w:val="21"/>
          <w:highlight w:val="none"/>
          <w:u w:val="single"/>
        </w:rPr>
      </w:pPr>
      <w:r>
        <w:rPr>
          <w:color w:val="000000"/>
          <w:szCs w:val="21"/>
          <w:highlight w:val="none"/>
          <w:u w:val="single"/>
        </w:rPr>
        <w:t>本人       （姓名）系        （投标人名称）的法定代表人，现委托        （姓名）为我方代理人。代理人根据授权，以我方名义签署、澄清</w:t>
      </w:r>
      <w:r>
        <w:rPr>
          <w:rFonts w:hint="eastAsia"/>
          <w:color w:val="000000"/>
          <w:szCs w:val="21"/>
          <w:highlight w:val="none"/>
          <w:u w:val="single"/>
        </w:rPr>
        <w:t>、说明、补正</w:t>
      </w:r>
      <w:r>
        <w:rPr>
          <w:color w:val="000000"/>
          <w:szCs w:val="21"/>
          <w:highlight w:val="none"/>
          <w:u w:val="single"/>
        </w:rPr>
        <w:t>、递交、撤回、修改           （项目名称）</w:t>
      </w:r>
      <w:r>
        <w:rPr>
          <w:rFonts w:hint="eastAsia"/>
          <w:color w:val="000000"/>
          <w:szCs w:val="21"/>
          <w:highlight w:val="none"/>
          <w:u w:val="single"/>
        </w:rPr>
        <w:t>设计施工总承包</w:t>
      </w:r>
      <w:r>
        <w:rPr>
          <w:color w:val="000000"/>
          <w:szCs w:val="21"/>
          <w:highlight w:val="none"/>
          <w:u w:val="single"/>
        </w:rPr>
        <w:t>投标文件、签订合同和处理有关事宜，其法律后果由我方承担。</w:t>
      </w:r>
    </w:p>
    <w:p>
      <w:pPr>
        <w:spacing w:line="440" w:lineRule="exact"/>
        <w:rPr>
          <w:color w:val="000000"/>
          <w:szCs w:val="21"/>
          <w:highlight w:val="none"/>
          <w:u w:val="single"/>
        </w:rPr>
      </w:pPr>
      <w:r>
        <w:rPr>
          <w:color w:val="000000"/>
          <w:szCs w:val="21"/>
          <w:highlight w:val="none"/>
          <w:u w:val="single"/>
        </w:rPr>
        <w:t xml:space="preserve">    委托期限：             </w:t>
      </w:r>
      <w:r>
        <w:rPr>
          <w:rFonts w:hint="eastAsia"/>
          <w:color w:val="000000"/>
          <w:szCs w:val="21"/>
          <w:highlight w:val="none"/>
          <w:u w:val="single"/>
        </w:rPr>
        <w:t>。</w:t>
      </w:r>
    </w:p>
    <w:p>
      <w:pPr>
        <w:spacing w:line="440" w:lineRule="exact"/>
        <w:ind w:firstLine="420" w:firstLineChars="200"/>
        <w:rPr>
          <w:color w:val="000000"/>
          <w:szCs w:val="21"/>
          <w:highlight w:val="none"/>
          <w:u w:val="single"/>
        </w:rPr>
      </w:pPr>
      <w:r>
        <w:rPr>
          <w:color w:val="000000"/>
          <w:szCs w:val="21"/>
          <w:highlight w:val="none"/>
          <w:u w:val="single"/>
        </w:rPr>
        <w:t>代理人无转委托权。</w:t>
      </w:r>
    </w:p>
    <w:p>
      <w:pPr>
        <w:spacing w:line="440" w:lineRule="exact"/>
        <w:ind w:firstLine="420" w:firstLineChars="200"/>
        <w:rPr>
          <w:color w:val="000000"/>
          <w:szCs w:val="21"/>
          <w:highlight w:val="none"/>
          <w:u w:val="single"/>
        </w:rPr>
      </w:pPr>
      <w:r>
        <w:rPr>
          <w:rFonts w:hint="eastAsia"/>
          <w:color w:val="000000"/>
          <w:szCs w:val="21"/>
          <w:highlight w:val="none"/>
          <w:u w:val="single"/>
        </w:rPr>
        <w:t>附：法定代表人身份证明</w:t>
      </w:r>
    </w:p>
    <w:p>
      <w:pPr>
        <w:spacing w:line="440" w:lineRule="exact"/>
        <w:rPr>
          <w:color w:val="000000"/>
          <w:szCs w:val="21"/>
          <w:highlight w:val="none"/>
          <w:u w:val="single"/>
        </w:rPr>
      </w:pPr>
    </w:p>
    <w:p>
      <w:pPr>
        <w:spacing w:line="440" w:lineRule="exact"/>
        <w:rPr>
          <w:color w:val="000000"/>
          <w:szCs w:val="21"/>
          <w:highlight w:val="none"/>
          <w:u w:val="single"/>
        </w:rPr>
      </w:pPr>
    </w:p>
    <w:p>
      <w:pPr>
        <w:spacing w:line="440" w:lineRule="exact"/>
        <w:rPr>
          <w:color w:val="000000"/>
          <w:szCs w:val="21"/>
          <w:highlight w:val="none"/>
          <w:u w:val="single"/>
        </w:rPr>
      </w:pPr>
      <w:r>
        <w:rPr>
          <w:color w:val="000000"/>
          <w:szCs w:val="21"/>
          <w:highlight w:val="none"/>
          <w:u w:val="single"/>
        </w:rPr>
        <w:t>投标人：                               （盖单位章）</w:t>
      </w:r>
    </w:p>
    <w:p>
      <w:pPr>
        <w:spacing w:line="440" w:lineRule="exact"/>
        <w:rPr>
          <w:color w:val="000000"/>
          <w:szCs w:val="21"/>
          <w:highlight w:val="none"/>
          <w:u w:val="single"/>
        </w:rPr>
      </w:pPr>
    </w:p>
    <w:p>
      <w:pPr>
        <w:spacing w:line="440" w:lineRule="exact"/>
        <w:rPr>
          <w:color w:val="000000"/>
          <w:szCs w:val="21"/>
          <w:highlight w:val="none"/>
          <w:u w:val="single"/>
        </w:rPr>
      </w:pPr>
      <w:r>
        <w:rPr>
          <w:color w:val="000000"/>
          <w:szCs w:val="21"/>
          <w:highlight w:val="none"/>
          <w:u w:val="single"/>
        </w:rPr>
        <w:t>法定代表人：                               （签字）</w:t>
      </w:r>
    </w:p>
    <w:p>
      <w:pPr>
        <w:spacing w:line="440" w:lineRule="exact"/>
        <w:rPr>
          <w:color w:val="000000"/>
          <w:szCs w:val="21"/>
          <w:highlight w:val="none"/>
          <w:u w:val="single"/>
        </w:rPr>
      </w:pPr>
    </w:p>
    <w:p>
      <w:pPr>
        <w:spacing w:line="440" w:lineRule="exact"/>
        <w:rPr>
          <w:color w:val="000000"/>
          <w:szCs w:val="21"/>
          <w:highlight w:val="none"/>
          <w:u w:val="single"/>
        </w:rPr>
      </w:pPr>
      <w:r>
        <w:rPr>
          <w:color w:val="000000"/>
          <w:szCs w:val="21"/>
          <w:highlight w:val="none"/>
          <w:u w:val="single"/>
        </w:rPr>
        <w:t xml:space="preserve">身份证号码：                                     </w:t>
      </w:r>
    </w:p>
    <w:p>
      <w:pPr>
        <w:spacing w:line="440" w:lineRule="exact"/>
        <w:rPr>
          <w:color w:val="000000"/>
          <w:szCs w:val="21"/>
          <w:highlight w:val="none"/>
          <w:u w:val="single"/>
        </w:rPr>
      </w:pPr>
    </w:p>
    <w:p>
      <w:pPr>
        <w:spacing w:line="440" w:lineRule="exact"/>
        <w:rPr>
          <w:color w:val="000000"/>
          <w:szCs w:val="21"/>
          <w:highlight w:val="none"/>
          <w:u w:val="single"/>
        </w:rPr>
      </w:pPr>
      <w:r>
        <w:rPr>
          <w:color w:val="000000"/>
          <w:szCs w:val="21"/>
          <w:highlight w:val="none"/>
          <w:u w:val="single"/>
        </w:rPr>
        <w:t xml:space="preserve">委托代理人：                                   （签字） </w:t>
      </w:r>
    </w:p>
    <w:p>
      <w:pPr>
        <w:spacing w:line="440" w:lineRule="exact"/>
        <w:rPr>
          <w:color w:val="000000"/>
          <w:szCs w:val="21"/>
          <w:highlight w:val="none"/>
          <w:u w:val="single"/>
        </w:rPr>
      </w:pPr>
    </w:p>
    <w:p>
      <w:pPr>
        <w:spacing w:line="440" w:lineRule="exact"/>
        <w:rPr>
          <w:color w:val="000000"/>
          <w:szCs w:val="21"/>
          <w:highlight w:val="none"/>
          <w:u w:val="single"/>
        </w:rPr>
      </w:pPr>
      <w:r>
        <w:rPr>
          <w:color w:val="000000"/>
          <w:szCs w:val="21"/>
          <w:highlight w:val="none"/>
          <w:u w:val="single"/>
        </w:rPr>
        <w:t xml:space="preserve">身份证号码：             </w:t>
      </w:r>
      <w:r>
        <w:rPr>
          <w:rFonts w:hint="eastAsia"/>
          <w:color w:val="000000"/>
          <w:szCs w:val="21"/>
          <w:highlight w:val="none"/>
          <w:u w:val="single"/>
        </w:rPr>
        <w:t>附身份证复印件</w:t>
      </w:r>
    </w:p>
    <w:p>
      <w:pPr>
        <w:spacing w:line="440" w:lineRule="exact"/>
        <w:rPr>
          <w:color w:val="000000"/>
          <w:szCs w:val="21"/>
          <w:highlight w:val="none"/>
          <w:u w:val="single"/>
        </w:rPr>
      </w:pPr>
    </w:p>
    <w:p>
      <w:pPr>
        <w:spacing w:line="440" w:lineRule="exact"/>
        <w:rPr>
          <w:color w:val="000000"/>
          <w:szCs w:val="21"/>
          <w:highlight w:val="none"/>
          <w:u w:val="single"/>
        </w:rPr>
      </w:pPr>
    </w:p>
    <w:p>
      <w:pPr>
        <w:spacing w:line="440" w:lineRule="exact"/>
        <w:ind w:firstLine="1575" w:firstLineChars="750"/>
        <w:rPr>
          <w:rFonts w:eastAsia="黑体"/>
          <w:color w:val="000000"/>
          <w:szCs w:val="21"/>
          <w:highlight w:val="none"/>
          <w:u w:val="single"/>
        </w:rPr>
      </w:pPr>
      <w:r>
        <w:rPr>
          <w:color w:val="000000"/>
          <w:szCs w:val="21"/>
          <w:highlight w:val="none"/>
          <w:u w:val="single"/>
        </w:rPr>
        <w:t xml:space="preserve">       年       月       日</w:t>
      </w:r>
    </w:p>
    <w:p>
      <w:pPr>
        <w:pStyle w:val="16"/>
        <w:rPr>
          <w:color w:val="000000"/>
          <w:highlight w:val="none"/>
        </w:rPr>
      </w:pPr>
    </w:p>
    <w:p>
      <w:pPr>
        <w:rPr>
          <w:color w:val="000000"/>
          <w:highlight w:val="none"/>
        </w:rPr>
      </w:pPr>
    </w:p>
    <w:p>
      <w:pPr>
        <w:ind w:firstLine="0" w:firstLineChars="0"/>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lang w:eastAsia="zh-CN"/>
        </w:rPr>
        <w:t>注：</w:t>
      </w:r>
      <w:r>
        <w:rPr>
          <w:rFonts w:hint="eastAsia" w:ascii="宋体" w:hAnsi="宋体" w:cs="宋体"/>
          <w:b/>
          <w:color w:val="000000"/>
          <w:kern w:val="0"/>
          <w:sz w:val="20"/>
          <w:szCs w:val="20"/>
          <w:highlight w:val="none"/>
        </w:rPr>
        <w:t>联合体投标的，可由主办方签署、盖章。</w:t>
      </w:r>
    </w:p>
    <w:p>
      <w:pPr>
        <w:pStyle w:val="2"/>
        <w:rPr>
          <w:highlight w:val="none"/>
        </w:rPr>
        <w:sectPr>
          <w:pgSz w:w="11905" w:h="16838"/>
          <w:pgMar w:top="1247" w:right="1247" w:bottom="1247" w:left="1247" w:header="567" w:footer="850" w:gutter="0"/>
          <w:cols w:space="720" w:num="1"/>
          <w:docGrid w:type="lines" w:linePitch="312" w:charSpace="0"/>
        </w:sectPr>
      </w:pPr>
    </w:p>
    <w:p>
      <w:pPr>
        <w:pStyle w:val="4"/>
        <w:jc w:val="left"/>
        <w:rPr>
          <w:rFonts w:ascii="宋体" w:hAnsi="宋体" w:eastAsia="宋体" w:cs="宋体"/>
          <w:bCs w:val="0"/>
          <w:snapToGrid w:val="0"/>
          <w:color w:val="000000"/>
          <w:spacing w:val="4"/>
          <w:kern w:val="0"/>
          <w:sz w:val="24"/>
          <w:szCs w:val="24"/>
          <w:highlight w:val="none"/>
        </w:rPr>
      </w:pPr>
      <w:bookmarkStart w:id="735" w:name="_Toc14548"/>
      <w:bookmarkStart w:id="736" w:name="_Toc4183"/>
      <w:r>
        <w:rPr>
          <w:rFonts w:hint="eastAsia" w:ascii="宋体" w:hAnsi="宋体" w:eastAsia="宋体" w:cs="宋体"/>
          <w:bCs w:val="0"/>
          <w:snapToGrid w:val="0"/>
          <w:color w:val="000000"/>
          <w:spacing w:val="4"/>
          <w:kern w:val="0"/>
          <w:sz w:val="24"/>
          <w:szCs w:val="24"/>
          <w:highlight w:val="none"/>
        </w:rPr>
        <w:t>格式四：</w:t>
      </w:r>
      <w:bookmarkEnd w:id="715"/>
      <w:r>
        <w:rPr>
          <w:rFonts w:hint="eastAsia" w:ascii="宋体" w:hAnsi="宋体" w:eastAsia="宋体" w:cs="宋体"/>
          <w:bCs w:val="0"/>
          <w:snapToGrid w:val="0"/>
          <w:color w:val="000000"/>
          <w:spacing w:val="4"/>
          <w:kern w:val="0"/>
          <w:sz w:val="24"/>
          <w:szCs w:val="24"/>
          <w:highlight w:val="none"/>
        </w:rPr>
        <w:t>设计施工投标承诺书</w:t>
      </w:r>
      <w:bookmarkEnd w:id="716"/>
      <w:bookmarkEnd w:id="735"/>
      <w:bookmarkEnd w:id="736"/>
    </w:p>
    <w:p>
      <w:pPr>
        <w:autoSpaceDE w:val="0"/>
        <w:autoSpaceDN w:val="0"/>
        <w:adjustRightInd w:val="0"/>
        <w:spacing w:line="360" w:lineRule="auto"/>
        <w:jc w:val="center"/>
        <w:rPr>
          <w:rFonts w:ascii="宋体" w:hAnsi="宋体" w:cs="宋体"/>
          <w:b/>
          <w:bCs/>
          <w:color w:val="000000"/>
          <w:sz w:val="36"/>
          <w:szCs w:val="36"/>
          <w:highlight w:val="none"/>
          <w:lang w:val="zh-CN"/>
        </w:rPr>
      </w:pPr>
      <w:r>
        <w:rPr>
          <w:rFonts w:hint="eastAsia" w:ascii="宋体" w:hAnsi="宋体" w:cs="宋体"/>
          <w:b/>
          <w:bCs/>
          <w:color w:val="000000"/>
          <w:sz w:val="36"/>
          <w:szCs w:val="36"/>
          <w:highlight w:val="none"/>
          <w:lang w:val="zh-CN"/>
        </w:rPr>
        <w:t>设计施工投标承诺书</w:t>
      </w:r>
    </w:p>
    <w:p>
      <w:pPr>
        <w:spacing w:line="360" w:lineRule="auto"/>
        <w:jc w:val="center"/>
        <w:rPr>
          <w:rFonts w:ascii="宋体" w:hAnsi="宋体" w:cs="宋体"/>
          <w:b/>
          <w:color w:val="000000"/>
          <w:sz w:val="24"/>
          <w:szCs w:val="24"/>
          <w:highlight w:val="none"/>
        </w:rPr>
      </w:pPr>
    </w:p>
    <w:p>
      <w:pPr>
        <w:spacing w:line="360" w:lineRule="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致：（招标人名称）</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我方确认收到贵方提供的</w:t>
      </w:r>
      <w:r>
        <w:rPr>
          <w:rFonts w:hint="eastAsia" w:ascii="宋体" w:hAnsi="宋体" w:cs="宋体"/>
          <w:color w:val="000000"/>
          <w:sz w:val="24"/>
          <w:szCs w:val="24"/>
          <w:highlight w:val="none"/>
          <w:u w:val="single"/>
        </w:rPr>
        <w:t xml:space="preserve">      (工程名称)       </w:t>
      </w:r>
      <w:r>
        <w:rPr>
          <w:rFonts w:hint="eastAsia" w:ascii="宋体" w:hAnsi="宋体" w:cs="宋体"/>
          <w:color w:val="000000"/>
          <w:sz w:val="24"/>
          <w:szCs w:val="24"/>
          <w:highlight w:val="none"/>
        </w:rPr>
        <w:t>招标文件的全部内容，我方：</w:t>
      </w:r>
      <w:r>
        <w:rPr>
          <w:rFonts w:hint="eastAsia" w:ascii="宋体" w:hAnsi="宋体" w:cs="宋体"/>
          <w:color w:val="000000"/>
          <w:sz w:val="24"/>
          <w:szCs w:val="24"/>
          <w:highlight w:val="none"/>
          <w:u w:val="single"/>
        </w:rPr>
        <w:t xml:space="preserve">       (投标人名称)      </w:t>
      </w:r>
      <w:r>
        <w:rPr>
          <w:rFonts w:hint="eastAsia" w:ascii="宋体" w:hAnsi="宋体" w:cs="宋体"/>
          <w:color w:val="000000"/>
          <w:sz w:val="24"/>
          <w:szCs w:val="24"/>
          <w:highlight w:val="none"/>
        </w:rPr>
        <w:t>已作为投标人正式授权</w:t>
      </w:r>
      <w:r>
        <w:rPr>
          <w:rFonts w:hint="eastAsia" w:ascii="宋体" w:hAnsi="宋体" w:cs="宋体"/>
          <w:color w:val="000000"/>
          <w:sz w:val="24"/>
          <w:szCs w:val="24"/>
          <w:highlight w:val="none"/>
          <w:u w:val="single"/>
        </w:rPr>
        <w:t xml:space="preserve">       (授权代表全名，职务)    </w:t>
      </w:r>
      <w:r>
        <w:rPr>
          <w:rFonts w:hint="eastAsia" w:ascii="宋体" w:hAnsi="宋体" w:cs="宋体"/>
          <w:color w:val="000000"/>
          <w:sz w:val="24"/>
          <w:szCs w:val="24"/>
          <w:highlight w:val="none"/>
        </w:rPr>
        <w:t>代表我方进行有关本投标的一切事宜。</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我方已完全明白和接受招标文件的所有条款要求，并重申以下几点：</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2．我方已充分阅读了本项目招标文件并充分了解有关报价方式及变更、结算方式，我方完全响应招标文件的规定。</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3．本投标文件的有效期为投标截止日后120天内有效；</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4．我方承诺投标文件中的一切资料、数据是真实的，并承担由此引起的一切责任。</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5．我方明白并愿意若在规定的投标截止时间之后至投标有效期之内撤回投标，则投标保证金将被贵司没收。</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6．我方同意按照贵司可能提出的要求而提供与投标有关的任何其它数据或信息。</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7．我方如果中标，我方保证：</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7.1保证履行招标文件以及招标文件修改书(如有)中的全部责任和义务，在中标通知书规定的时间内签订合同，并严格按国家有关法规履行我方的全部责任，按质、按量、按期完成合同约定的全部任务。</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7.4保证尽一切力量确保投标承诺的竣工日期，若我方未能按投标承诺的工期完成本项目，除承担合同约定的违约责任外，发包人有权解除合同，我方承担由于违约解除合同退场造成的对发包人的一切损失。</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7.5保证投标所报的</w:t>
      </w:r>
      <w:r>
        <w:rPr>
          <w:rFonts w:hint="eastAsia" w:ascii="宋体" w:hAnsi="宋体" w:cs="宋体"/>
          <w:color w:val="000000"/>
          <w:sz w:val="24"/>
          <w:szCs w:val="24"/>
          <w:highlight w:val="none"/>
          <w:lang w:eastAsia="zh-CN"/>
        </w:rPr>
        <w:t>项目负责人</w:t>
      </w:r>
      <w:r>
        <w:rPr>
          <w:rFonts w:hint="eastAsia" w:ascii="宋体" w:hAnsi="宋体" w:cs="宋体"/>
          <w:color w:val="000000"/>
          <w:sz w:val="24"/>
          <w:szCs w:val="24"/>
          <w:highlight w:val="none"/>
        </w:rPr>
        <w:t>、设计负责人在本项目合同签订后7日内到职，全过程服务于本项目，在过程中非不可抗力或发包人要求不得更换。我方违反以上承诺的，同意按合同条款的规定承担违约责任。</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7.6保证按照招标文件的要求确保安全生产及文明施工，如有违反，我方愿意按合同约定承担违约责任，并为此负相关的法律责任。</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7.7保证按国家的有关规定制订保证民工工资支付的方案及保证措施，否则，我方愿按合同条款规定承担违约责任并赔偿发包人的全部损失。</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7.8如我司有幸中标，承诺所投入本项目的设计及施工人员、主要材料、设备质量符合或优于招标人要求，所投入本项目的辅助设备、材料与主主要材料、设备质量一致并有良好的配套性，若我方投入本项目的设计及施工人员、主要材料、设备未能达到发包人要求的，我方将无条件根据要求进行调整，直至得到发包人的认可为止。</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7.9如我司有幸中标，承诺将根据本项目内容编制详细的施工组织设计，并报经发包人审批后实施。</w:t>
      </w:r>
    </w:p>
    <w:p>
      <w:pPr>
        <w:spacing w:line="360" w:lineRule="auto"/>
        <w:ind w:firstLine="482" w:firstLineChars="200"/>
        <w:rPr>
          <w:rFonts w:ascii="宋体" w:hAnsi="宋体" w:cs="宋体"/>
          <w:b/>
          <w:color w:val="000000"/>
          <w:sz w:val="24"/>
          <w:szCs w:val="24"/>
          <w:highlight w:val="none"/>
        </w:rPr>
      </w:pPr>
    </w:p>
    <w:p>
      <w:pPr>
        <w:spacing w:line="360" w:lineRule="auto"/>
        <w:ind w:firstLine="3840" w:firstLineChars="1600"/>
        <w:rPr>
          <w:rFonts w:ascii="宋体" w:hAnsi="宋体" w:cs="宋体"/>
          <w:color w:val="000000"/>
          <w:sz w:val="24"/>
          <w:szCs w:val="24"/>
          <w:highlight w:val="none"/>
        </w:rPr>
      </w:pPr>
    </w:p>
    <w:p>
      <w:pPr>
        <w:spacing w:line="360" w:lineRule="auto"/>
        <w:ind w:firstLine="3840" w:firstLineChars="1600"/>
        <w:rPr>
          <w:rFonts w:ascii="宋体" w:hAnsi="宋体" w:cs="宋体"/>
          <w:color w:val="000000"/>
          <w:sz w:val="24"/>
          <w:szCs w:val="24"/>
          <w:highlight w:val="none"/>
        </w:rPr>
      </w:pPr>
      <w:r>
        <w:rPr>
          <w:rFonts w:hint="eastAsia" w:ascii="宋体" w:hAnsi="宋体" w:cs="宋体"/>
          <w:color w:val="000000"/>
          <w:sz w:val="24"/>
          <w:szCs w:val="24"/>
          <w:highlight w:val="none"/>
        </w:rPr>
        <w:t>投标人：    （盖章）</w:t>
      </w:r>
    </w:p>
    <w:p>
      <w:pPr>
        <w:spacing w:line="360" w:lineRule="auto"/>
        <w:ind w:firstLine="3840" w:firstLineChars="1600"/>
        <w:rPr>
          <w:rFonts w:ascii="宋体" w:hAnsi="宋体" w:cs="宋体"/>
          <w:color w:val="000000"/>
          <w:sz w:val="24"/>
          <w:szCs w:val="24"/>
          <w:highlight w:val="none"/>
        </w:rPr>
      </w:pPr>
      <w:r>
        <w:rPr>
          <w:rFonts w:hint="eastAsia" w:ascii="宋体" w:hAnsi="宋体" w:cs="宋体"/>
          <w:color w:val="000000"/>
          <w:sz w:val="24"/>
          <w:szCs w:val="24"/>
          <w:highlight w:val="none"/>
        </w:rPr>
        <w:t>法定代表人或其授权代理人(签名或盖章)：</w:t>
      </w:r>
    </w:p>
    <w:p>
      <w:pPr>
        <w:spacing w:line="360" w:lineRule="auto"/>
        <w:ind w:firstLine="3840" w:firstLineChars="1600"/>
        <w:rPr>
          <w:rFonts w:ascii="宋体" w:hAnsi="宋体" w:cs="宋体"/>
          <w:color w:val="000000"/>
          <w:sz w:val="24"/>
          <w:szCs w:val="24"/>
          <w:highlight w:val="none"/>
        </w:rPr>
      </w:pPr>
      <w:r>
        <w:rPr>
          <w:rFonts w:hint="eastAsia" w:ascii="宋体" w:hAnsi="宋体" w:cs="宋体"/>
          <w:color w:val="000000"/>
          <w:sz w:val="24"/>
          <w:szCs w:val="24"/>
          <w:highlight w:val="none"/>
        </w:rPr>
        <w:t>日   期：    年    月    日</w:t>
      </w:r>
    </w:p>
    <w:p>
      <w:pPr>
        <w:spacing w:line="360" w:lineRule="auto"/>
        <w:ind w:firstLine="241" w:firstLineChars="100"/>
        <w:rPr>
          <w:rFonts w:ascii="宋体" w:hAnsi="宋体" w:cs="宋体"/>
          <w:b/>
          <w:color w:val="000000"/>
          <w:kern w:val="0"/>
          <w:sz w:val="24"/>
          <w:szCs w:val="24"/>
          <w:highlight w:val="none"/>
        </w:rPr>
      </w:pPr>
    </w:p>
    <w:p>
      <w:pPr>
        <w:spacing w:line="360" w:lineRule="auto"/>
        <w:rPr>
          <w:rFonts w:ascii="宋体" w:hAnsi="宋体" w:cs="宋体"/>
          <w:b/>
          <w:color w:val="000000"/>
          <w:kern w:val="0"/>
          <w:sz w:val="24"/>
          <w:szCs w:val="24"/>
          <w:highlight w:val="none"/>
        </w:rPr>
      </w:pPr>
    </w:p>
    <w:p>
      <w:pPr>
        <w:ind w:left="422" w:hanging="422" w:hangingChars="200"/>
        <w:rPr>
          <w:rFonts w:ascii="宋体" w:hAnsi="宋体" w:cs="宋体"/>
          <w:b/>
          <w:color w:val="000000"/>
          <w:szCs w:val="21"/>
          <w:highlight w:val="none"/>
        </w:rPr>
      </w:pPr>
      <w:r>
        <w:rPr>
          <w:rFonts w:hint="eastAsia" w:ascii="宋体" w:hAnsi="宋体" w:cs="宋体"/>
          <w:b/>
          <w:color w:val="000000"/>
          <w:szCs w:val="21"/>
          <w:highlight w:val="none"/>
        </w:rPr>
        <w:t>注：联合体投标的，“投标人”一栏需书写所有联合体成员的单位全称，可由主办方签署、盖章。</w:t>
      </w:r>
    </w:p>
    <w:p>
      <w:pPr>
        <w:autoSpaceDE w:val="0"/>
        <w:autoSpaceDN w:val="0"/>
        <w:adjustRightInd w:val="0"/>
        <w:rPr>
          <w:rFonts w:ascii="宋体" w:hAnsi="宋体" w:cs="宋体"/>
          <w:color w:val="000000"/>
          <w:szCs w:val="21"/>
          <w:highlight w:val="none"/>
        </w:rPr>
      </w:pPr>
    </w:p>
    <w:p>
      <w:pPr>
        <w:spacing w:line="360" w:lineRule="auto"/>
        <w:jc w:val="left"/>
        <w:outlineLvl w:val="2"/>
        <w:rPr>
          <w:rFonts w:hint="eastAsia" w:ascii="宋体" w:hAnsi="宋体" w:cs="宋体"/>
          <w:color w:val="000000"/>
          <w:szCs w:val="21"/>
          <w:highlight w:val="none"/>
        </w:rPr>
      </w:pPr>
      <w:bookmarkStart w:id="737" w:name="_Toc6182"/>
      <w:bookmarkStart w:id="738" w:name="_Toc13324"/>
    </w:p>
    <w:p>
      <w:pPr>
        <w:pStyle w:val="16"/>
        <w:rPr>
          <w:rFonts w:hint="eastAsia"/>
          <w:color w:val="000000"/>
          <w:highlight w:val="none"/>
        </w:rPr>
      </w:pPr>
    </w:p>
    <w:p>
      <w:pPr>
        <w:outlineLvl w:val="2"/>
        <w:rPr>
          <w:rFonts w:ascii="宋体" w:hAnsi="宋体" w:cs="宋体"/>
          <w:b/>
          <w:color w:val="000000"/>
          <w:sz w:val="24"/>
          <w:szCs w:val="24"/>
          <w:highlight w:val="none"/>
          <w:lang w:val="zh-CN"/>
        </w:rPr>
      </w:pPr>
      <w:bookmarkStart w:id="739" w:name="_Toc6606"/>
      <w:r>
        <w:rPr>
          <w:rFonts w:hint="eastAsia" w:ascii="宋体" w:hAnsi="宋体" w:cs="宋体"/>
          <w:b/>
          <w:color w:val="000000"/>
          <w:sz w:val="24"/>
          <w:szCs w:val="24"/>
          <w:highlight w:val="none"/>
        </w:rPr>
        <w:t>格式五：</w:t>
      </w:r>
      <w:r>
        <w:rPr>
          <w:rFonts w:hint="eastAsia" w:ascii="宋体" w:hAnsi="宋体" w:cs="宋体"/>
          <w:b/>
          <w:color w:val="000000"/>
          <w:sz w:val="24"/>
          <w:szCs w:val="24"/>
          <w:highlight w:val="none"/>
          <w:lang w:val="zh-CN"/>
        </w:rPr>
        <w:t>参与编制设计施工部分投标文件人员名单</w:t>
      </w:r>
      <w:bookmarkEnd w:id="737"/>
      <w:bookmarkEnd w:id="738"/>
      <w:bookmarkEnd w:id="739"/>
    </w:p>
    <w:p>
      <w:pPr>
        <w:autoSpaceDE w:val="0"/>
        <w:autoSpaceDN w:val="0"/>
        <w:adjustRightInd w:val="0"/>
        <w:spacing w:line="360" w:lineRule="auto"/>
        <w:jc w:val="center"/>
        <w:rPr>
          <w:rFonts w:hint="eastAsia" w:ascii="宋体" w:hAnsi="宋体" w:eastAsia="宋体" w:cs="宋体"/>
          <w:b/>
          <w:bCs/>
          <w:color w:val="000000"/>
          <w:sz w:val="32"/>
          <w:szCs w:val="32"/>
          <w:highlight w:val="none"/>
          <w:lang w:val="zh-CN"/>
        </w:rPr>
      </w:pPr>
      <w:r>
        <w:rPr>
          <w:rFonts w:hint="eastAsia" w:ascii="宋体" w:hAnsi="宋体" w:eastAsia="宋体" w:cs="宋体"/>
          <w:b/>
          <w:bCs/>
          <w:color w:val="000000"/>
          <w:sz w:val="32"/>
          <w:szCs w:val="32"/>
          <w:highlight w:val="none"/>
          <w:u w:val="none"/>
          <w:lang w:val="zh-CN"/>
        </w:rPr>
        <w:t>参与编制设计施工部分投标文件人员名单</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449"/>
        <w:gridCol w:w="14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r>
              <w:rPr>
                <w:rFonts w:hint="eastAsia" w:ascii="宋体" w:hAnsi="宋体" w:cs="宋体"/>
                <w:color w:val="000000"/>
                <w:sz w:val="24"/>
                <w:szCs w:val="24"/>
                <w:highlight w:val="none"/>
              </w:rPr>
              <w:t>所承担工作</w:t>
            </w: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r>
              <w:rPr>
                <w:rFonts w:hint="eastAsia" w:ascii="宋体" w:hAnsi="宋体" w:cs="宋体"/>
                <w:color w:val="000000"/>
                <w:sz w:val="24"/>
                <w:szCs w:val="24"/>
                <w:highlight w:val="none"/>
              </w:rPr>
              <w:t>身份证号码</w:t>
            </w:r>
          </w:p>
        </w:tc>
        <w:tc>
          <w:tcPr>
            <w:tcW w:w="1468" w:type="dxa"/>
            <w:noWrap w:val="0"/>
            <w:vAlign w:val="center"/>
          </w:tcPr>
          <w:p>
            <w:pPr>
              <w:tabs>
                <w:tab w:val="left" w:pos="0"/>
                <w:tab w:val="left" w:pos="720"/>
              </w:tabs>
              <w:adjustRightInd w:val="0"/>
              <w:snapToGrid w:val="0"/>
              <w:rPr>
                <w:rFonts w:ascii="宋体" w:hAnsi="宋体" w:cs="宋体"/>
                <w:color w:val="000000"/>
                <w:sz w:val="24"/>
                <w:szCs w:val="24"/>
                <w:highlight w:val="none"/>
              </w:rPr>
            </w:pPr>
            <w:r>
              <w:rPr>
                <w:rFonts w:hint="eastAsia" w:ascii="宋体" w:hAnsi="宋体" w:cs="宋体"/>
                <w:color w:val="000000"/>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311"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320"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2449"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c>
          <w:tcPr>
            <w:tcW w:w="1468" w:type="dxa"/>
            <w:noWrap w:val="0"/>
            <w:vAlign w:val="center"/>
          </w:tcPr>
          <w:p>
            <w:pPr>
              <w:tabs>
                <w:tab w:val="left" w:pos="0"/>
                <w:tab w:val="left" w:pos="720"/>
              </w:tabs>
              <w:adjustRightInd w:val="0"/>
              <w:snapToGrid w:val="0"/>
              <w:jc w:val="center"/>
              <w:rPr>
                <w:rFonts w:ascii="宋体" w:hAnsi="宋体" w:cs="宋体"/>
                <w:color w:val="000000"/>
                <w:sz w:val="24"/>
                <w:szCs w:val="24"/>
                <w:highlight w:val="none"/>
              </w:rPr>
            </w:pPr>
          </w:p>
        </w:tc>
      </w:tr>
    </w:tbl>
    <w:p>
      <w:pPr>
        <w:tabs>
          <w:tab w:val="left" w:pos="720"/>
        </w:tabs>
        <w:snapToGrid w:val="0"/>
        <w:spacing w:line="360" w:lineRule="auto"/>
        <w:rPr>
          <w:rFonts w:ascii="宋体" w:hAnsi="宋体" w:cs="宋体"/>
          <w:color w:val="000000"/>
          <w:sz w:val="24"/>
          <w:szCs w:val="24"/>
          <w:highlight w:val="none"/>
        </w:rPr>
      </w:pPr>
    </w:p>
    <w:p>
      <w:pPr>
        <w:spacing w:line="360" w:lineRule="auto"/>
        <w:ind w:left="-283" w:leftChars="-135" w:right="-191" w:rightChars="-91"/>
        <w:rPr>
          <w:rFonts w:ascii="宋体" w:hAnsi="宋体" w:cs="宋体"/>
          <w:b/>
          <w:color w:val="000000"/>
          <w:kern w:val="0"/>
          <w:sz w:val="20"/>
          <w:szCs w:val="20"/>
          <w:highlight w:val="none"/>
        </w:rPr>
      </w:pPr>
      <w:r>
        <w:rPr>
          <w:rFonts w:hint="eastAsia" w:ascii="宋体" w:hAnsi="宋体" w:cs="宋体"/>
          <w:color w:val="000000"/>
          <w:sz w:val="24"/>
          <w:szCs w:val="24"/>
          <w:highlight w:val="none"/>
        </w:rPr>
        <w:t>注：填写参与编制标书所有人员名单应包括如编制设计施工部分（含资格审查文件）投标文件、负责清样校对等所有人员在内的人员名单，并加盖投标人电子印章。</w:t>
      </w:r>
    </w:p>
    <w:p>
      <w:pPr>
        <w:autoSpaceDE w:val="0"/>
        <w:autoSpaceDN w:val="0"/>
        <w:adjustRightInd w:val="0"/>
        <w:rPr>
          <w:rFonts w:ascii="宋体" w:hAnsi="宋体" w:cs="宋体"/>
          <w:color w:val="000000"/>
          <w:szCs w:val="21"/>
          <w:highlight w:val="none"/>
        </w:rPr>
      </w:pPr>
    </w:p>
    <w:p>
      <w:pPr>
        <w:autoSpaceDE w:val="0"/>
        <w:autoSpaceDN w:val="0"/>
        <w:adjustRightInd w:val="0"/>
        <w:rPr>
          <w:rFonts w:ascii="宋体" w:hAnsi="宋体" w:cs="宋体"/>
          <w:color w:val="000000"/>
          <w:szCs w:val="21"/>
          <w:highlight w:val="none"/>
        </w:rPr>
      </w:pPr>
    </w:p>
    <w:p>
      <w:pPr>
        <w:tabs>
          <w:tab w:val="left" w:pos="7655"/>
        </w:tabs>
        <w:jc w:val="left"/>
        <w:rPr>
          <w:rFonts w:ascii="宋体" w:hAnsi="宋体" w:cs="宋体"/>
          <w:b/>
          <w:color w:val="000000"/>
          <w:highlight w:val="none"/>
          <w:u w:val="single"/>
        </w:rPr>
      </w:pPr>
      <w:r>
        <w:rPr>
          <w:rFonts w:hint="eastAsia" w:ascii="宋体" w:hAnsi="宋体" w:cs="宋体"/>
          <w:color w:val="000000"/>
          <w:szCs w:val="21"/>
          <w:highlight w:val="none"/>
        </w:rPr>
        <w:br w:type="page"/>
      </w:r>
      <w:r>
        <w:rPr>
          <w:rFonts w:hint="eastAsia" w:ascii="宋体" w:hAnsi="宋体" w:cs="宋体"/>
          <w:b/>
          <w:color w:val="000000"/>
          <w:sz w:val="24"/>
          <w:highlight w:val="none"/>
          <w:u w:val="single"/>
        </w:rPr>
        <w:t>格式六：</w:t>
      </w:r>
    </w:p>
    <w:tbl>
      <w:tblPr>
        <w:tblStyle w:val="38"/>
        <w:tblW w:w="9379" w:type="dxa"/>
        <w:tblInd w:w="0" w:type="dxa"/>
        <w:tblLayout w:type="fixed"/>
        <w:tblCellMar>
          <w:top w:w="0" w:type="dxa"/>
          <w:left w:w="0" w:type="dxa"/>
          <w:bottom w:w="0" w:type="dxa"/>
          <w:right w:w="0" w:type="dxa"/>
        </w:tblCellMar>
      </w:tblPr>
      <w:tblGrid>
        <w:gridCol w:w="810"/>
        <w:gridCol w:w="1346"/>
        <w:gridCol w:w="2249"/>
        <w:gridCol w:w="1284"/>
        <w:gridCol w:w="3690"/>
      </w:tblGrid>
      <w:tr>
        <w:tblPrEx>
          <w:tblCellMar>
            <w:top w:w="0" w:type="dxa"/>
            <w:left w:w="0" w:type="dxa"/>
            <w:bottom w:w="0" w:type="dxa"/>
            <w:right w:w="0" w:type="dxa"/>
          </w:tblCellMar>
        </w:tblPrEx>
        <w:trPr>
          <w:trHeight w:val="1160" w:hRule="atLeast"/>
        </w:trPr>
        <w:tc>
          <w:tcPr>
            <w:tcW w:w="9379" w:type="dxa"/>
            <w:gridSpan w:val="5"/>
            <w:tcBorders>
              <w:top w:val="nil"/>
              <w:left w:val="nil"/>
              <w:bottom w:val="single" w:color="000000" w:sz="4" w:space="0"/>
              <w:right w:val="nil"/>
            </w:tcBorders>
            <w:noWrap/>
            <w:tcMar>
              <w:top w:w="15" w:type="dxa"/>
              <w:left w:w="15" w:type="dxa"/>
              <w:right w:w="15" w:type="dxa"/>
            </w:tcMar>
            <w:vAlign w:val="center"/>
          </w:tcPr>
          <w:p>
            <w:pPr>
              <w:widowControl/>
              <w:ind w:firstLine="2881" w:firstLineChars="900"/>
              <w:jc w:val="left"/>
              <w:textAlignment w:val="center"/>
              <w:rPr>
                <w:rFonts w:ascii="方正大标宋简体" w:hAnsi="方正大标宋简体" w:eastAsia="方正大标宋简体" w:cs="方正大标宋简体"/>
                <w:b/>
                <w:color w:val="000000"/>
                <w:sz w:val="32"/>
                <w:szCs w:val="32"/>
                <w:highlight w:val="none"/>
                <w:u w:val="single"/>
              </w:rPr>
            </w:pPr>
            <w:r>
              <w:rPr>
                <w:rFonts w:ascii="方正大标宋简体" w:hAnsi="方正大标宋简体" w:eastAsia="方正大标宋简体" w:cs="方正大标宋简体"/>
                <w:b/>
                <w:color w:val="000000"/>
                <w:kern w:val="0"/>
                <w:sz w:val="32"/>
                <w:szCs w:val="32"/>
                <w:highlight w:val="none"/>
                <w:u w:val="single"/>
              </w:rPr>
              <w:t>项目管理团队人员信息表</w:t>
            </w: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szCs w:val="24"/>
                <w:highlight w:val="none"/>
                <w:u w:val="single"/>
              </w:rPr>
            </w:pPr>
            <w:r>
              <w:rPr>
                <w:rFonts w:ascii="宋体" w:hAnsi="宋体" w:cs="宋体"/>
                <w:b/>
                <w:color w:val="000000"/>
                <w:kern w:val="0"/>
                <w:sz w:val="24"/>
                <w:szCs w:val="24"/>
                <w:highlight w:val="none"/>
                <w:u w:val="single"/>
              </w:rPr>
              <w:t>序号</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szCs w:val="24"/>
                <w:highlight w:val="none"/>
                <w:u w:val="single"/>
              </w:rPr>
            </w:pPr>
            <w:r>
              <w:rPr>
                <w:rFonts w:ascii="宋体" w:hAnsi="宋体" w:cs="宋体"/>
                <w:b/>
                <w:color w:val="000000"/>
                <w:kern w:val="0"/>
                <w:sz w:val="24"/>
                <w:szCs w:val="24"/>
                <w:highlight w:val="none"/>
                <w:u w:val="single"/>
              </w:rPr>
              <w:t>姓名</w:t>
            </w:r>
          </w:p>
        </w:tc>
        <w:tc>
          <w:tcPr>
            <w:tcW w:w="2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szCs w:val="24"/>
                <w:highlight w:val="none"/>
                <w:u w:val="single"/>
              </w:rPr>
            </w:pPr>
            <w:r>
              <w:rPr>
                <w:rFonts w:ascii="宋体" w:hAnsi="宋体" w:cs="宋体"/>
                <w:b/>
                <w:color w:val="000000"/>
                <w:kern w:val="0"/>
                <w:sz w:val="24"/>
                <w:szCs w:val="24"/>
                <w:highlight w:val="none"/>
                <w:u w:val="single"/>
              </w:rPr>
              <w:t>岗位</w:t>
            </w:r>
          </w:p>
        </w:tc>
        <w:tc>
          <w:tcPr>
            <w:tcW w:w="1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szCs w:val="24"/>
                <w:highlight w:val="none"/>
                <w:u w:val="single"/>
              </w:rPr>
            </w:pPr>
            <w:r>
              <w:rPr>
                <w:rFonts w:ascii="宋体" w:hAnsi="宋体" w:cs="宋体"/>
                <w:b/>
                <w:color w:val="000000"/>
                <w:kern w:val="0"/>
                <w:sz w:val="24"/>
                <w:szCs w:val="24"/>
                <w:highlight w:val="none"/>
                <w:u w:val="single"/>
              </w:rPr>
              <w:t>职称</w:t>
            </w:r>
          </w:p>
        </w:tc>
        <w:tc>
          <w:tcPr>
            <w:tcW w:w="3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szCs w:val="24"/>
                <w:highlight w:val="none"/>
                <w:u w:val="single"/>
              </w:rPr>
            </w:pPr>
            <w:r>
              <w:rPr>
                <w:rFonts w:ascii="宋体" w:hAnsi="宋体" w:cs="宋体"/>
                <w:b/>
                <w:color w:val="000000"/>
                <w:kern w:val="0"/>
                <w:sz w:val="24"/>
                <w:szCs w:val="24"/>
                <w:highlight w:val="none"/>
                <w:u w:val="single"/>
              </w:rPr>
              <w:t>职称证书或资格证书编号</w:t>
            </w: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highlight w:val="none"/>
                <w:u w:val="single"/>
              </w:rPr>
            </w:pPr>
            <w:r>
              <w:rPr>
                <w:rFonts w:ascii="宋体" w:hAnsi="宋体" w:cs="宋体"/>
                <w:color w:val="000000"/>
                <w:kern w:val="0"/>
                <w:szCs w:val="21"/>
                <w:highlight w:val="none"/>
                <w:u w:val="single"/>
              </w:rPr>
              <w:t>1</w:t>
            </w: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00" w:lineRule="exact"/>
              <w:ind w:left="38" w:leftChars="18" w:firstLine="35" w:firstLineChars="17"/>
              <w:jc w:val="center"/>
              <w:rPr>
                <w:rFonts w:ascii="宋体" w:hAnsi="宋体" w:cs="宋体"/>
                <w:color w:val="000000"/>
                <w:szCs w:val="21"/>
                <w:highlight w:val="none"/>
                <w:u w:val="single"/>
              </w:rPr>
            </w:pPr>
            <w:r>
              <w:rPr>
                <w:rFonts w:hint="eastAsia" w:ascii="宋体" w:hAnsi="宋体" w:cs="宋体"/>
                <w:color w:val="000000"/>
                <w:kern w:val="0"/>
                <w:szCs w:val="21"/>
                <w:highlight w:val="none"/>
                <w:u w:val="single"/>
                <w:lang w:eastAsia="zh-CN"/>
              </w:rPr>
              <w:t>项目负责人</w:t>
            </w:r>
            <w:r>
              <w:rPr>
                <w:rFonts w:hint="eastAsia" w:ascii="宋体" w:hAnsi="宋体" w:cs="宋体"/>
                <w:color w:val="000000"/>
                <w:kern w:val="0"/>
                <w:szCs w:val="21"/>
                <w:highlight w:val="none"/>
                <w:u w:val="single"/>
              </w:rPr>
              <w:t>（施工项目负责人）</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highlight w:val="none"/>
                <w:u w:val="single"/>
              </w:rPr>
            </w:pPr>
            <w:r>
              <w:rPr>
                <w:rFonts w:ascii="宋体" w:hAnsi="宋体" w:cs="宋体"/>
                <w:color w:val="000000"/>
                <w:kern w:val="0"/>
                <w:szCs w:val="21"/>
                <w:highlight w:val="none"/>
                <w:u w:val="single"/>
              </w:rPr>
              <w:t>2</w:t>
            </w: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00" w:lineRule="exact"/>
              <w:ind w:left="406" w:leftChars="35" w:hanging="333" w:hangingChars="159"/>
              <w:jc w:val="center"/>
              <w:rPr>
                <w:rFonts w:ascii="宋体" w:hAnsi="宋体" w:cs="宋体"/>
                <w:color w:val="000000"/>
                <w:szCs w:val="21"/>
                <w:highlight w:val="none"/>
                <w:u w:val="single"/>
              </w:rPr>
            </w:pPr>
            <w:r>
              <w:rPr>
                <w:rFonts w:hint="eastAsia" w:ascii="宋体" w:hAnsi="宋体" w:cs="宋体"/>
                <w:color w:val="000000"/>
                <w:kern w:val="0"/>
                <w:szCs w:val="21"/>
                <w:highlight w:val="none"/>
                <w:u w:val="single"/>
              </w:rPr>
              <w:t>设计负责人</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highlight w:val="none"/>
                <w:u w:val="single"/>
              </w:rPr>
            </w:pPr>
            <w:r>
              <w:rPr>
                <w:rFonts w:ascii="宋体" w:hAnsi="宋体" w:cs="宋体"/>
                <w:color w:val="000000"/>
                <w:kern w:val="0"/>
                <w:szCs w:val="21"/>
                <w:highlight w:val="none"/>
                <w:u w:val="single"/>
              </w:rPr>
              <w:t>3</w:t>
            </w: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00" w:lineRule="exact"/>
              <w:ind w:left="406" w:leftChars="35" w:hanging="333" w:hangingChars="159"/>
              <w:jc w:val="center"/>
              <w:rPr>
                <w:rFonts w:ascii="宋体" w:hAnsi="宋体" w:cs="宋体"/>
                <w:color w:val="000000"/>
                <w:szCs w:val="21"/>
                <w:highlight w:val="none"/>
                <w:u w:val="single"/>
              </w:rPr>
            </w:pPr>
            <w:r>
              <w:rPr>
                <w:rFonts w:hint="eastAsia" w:ascii="宋体" w:hAnsi="宋体" w:cs="宋体"/>
                <w:color w:val="000000"/>
                <w:kern w:val="0"/>
                <w:szCs w:val="21"/>
                <w:highlight w:val="none"/>
                <w:u w:val="single"/>
              </w:rPr>
              <w:t>技术负责人</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highlight w:val="none"/>
                <w:u w:val="single"/>
              </w:rPr>
            </w:pPr>
            <w:r>
              <w:rPr>
                <w:rFonts w:ascii="宋体" w:hAnsi="宋体" w:cs="宋体"/>
                <w:color w:val="000000"/>
                <w:kern w:val="0"/>
                <w:szCs w:val="21"/>
                <w:highlight w:val="none"/>
                <w:u w:val="single"/>
              </w:rPr>
              <w:t>4</w:t>
            </w: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00" w:lineRule="exact"/>
              <w:ind w:left="406" w:leftChars="35" w:hanging="333" w:hangingChars="159"/>
              <w:jc w:val="center"/>
              <w:rPr>
                <w:rFonts w:ascii="宋体" w:hAnsi="宋体" w:cs="宋体"/>
                <w:color w:val="000000"/>
                <w:szCs w:val="21"/>
                <w:highlight w:val="none"/>
                <w:u w:val="single"/>
              </w:rPr>
            </w:pPr>
            <w:r>
              <w:rPr>
                <w:rFonts w:hint="eastAsia" w:ascii="宋体" w:hAnsi="宋体" w:cs="宋体"/>
                <w:color w:val="000000"/>
                <w:kern w:val="0"/>
                <w:szCs w:val="21"/>
                <w:highlight w:val="none"/>
                <w:u w:val="single"/>
              </w:rPr>
              <w:t>专职安全员</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highlight w:val="none"/>
                <w:u w:val="single"/>
              </w:rPr>
            </w:pPr>
            <w:r>
              <w:rPr>
                <w:rFonts w:ascii="宋体" w:hAnsi="宋体" w:cs="宋体"/>
                <w:color w:val="000000"/>
                <w:kern w:val="0"/>
                <w:szCs w:val="21"/>
                <w:highlight w:val="none"/>
                <w:u w:val="single"/>
              </w:rPr>
              <w:t>5</w:t>
            </w: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00" w:lineRule="exact"/>
              <w:ind w:left="406" w:leftChars="35" w:hanging="333" w:hangingChars="159"/>
              <w:jc w:val="center"/>
              <w:rPr>
                <w:rFonts w:ascii="宋体" w:hAnsi="宋体" w:cs="宋体"/>
                <w:color w:val="000000"/>
                <w:szCs w:val="21"/>
                <w:highlight w:val="none"/>
                <w:u w:val="single"/>
              </w:rPr>
            </w:pPr>
            <w:r>
              <w:rPr>
                <w:rFonts w:hint="eastAsia" w:ascii="宋体" w:hAnsi="宋体" w:cs="宋体"/>
                <w:color w:val="000000"/>
                <w:szCs w:val="21"/>
                <w:highlight w:val="none"/>
                <w:u w:val="single"/>
              </w:rPr>
              <w:t>安全负责人</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highlight w:val="none"/>
                <w:u w:val="single"/>
              </w:rPr>
            </w:pPr>
            <w:r>
              <w:rPr>
                <w:rFonts w:ascii="宋体" w:hAnsi="宋体" w:cs="宋体"/>
                <w:color w:val="000000"/>
                <w:kern w:val="0"/>
                <w:sz w:val="24"/>
                <w:szCs w:val="24"/>
                <w:highlight w:val="none"/>
                <w:u w:val="single"/>
              </w:rPr>
              <w:t>……</w:t>
            </w: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highlight w:val="none"/>
                <w:u w:val="single"/>
              </w:rPr>
            </w:pP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highlight w:val="none"/>
                <w:u w:val="single"/>
              </w:rPr>
            </w:pP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highlight w:val="none"/>
                <w:u w:val="single"/>
              </w:rPr>
            </w:pP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r>
      <w:tr>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highlight w:val="none"/>
                <w:u w:val="single"/>
              </w:rPr>
            </w:pP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highlight w:val="none"/>
                <w:u w:val="single"/>
              </w:rPr>
            </w:pPr>
          </w:p>
        </w:tc>
      </w:tr>
      <w:tr>
        <w:tblPrEx>
          <w:tblCellMar>
            <w:top w:w="0" w:type="dxa"/>
            <w:left w:w="0" w:type="dxa"/>
            <w:bottom w:w="0" w:type="dxa"/>
            <w:right w:w="0" w:type="dxa"/>
          </w:tblCellMar>
        </w:tblPrEx>
        <w:trPr>
          <w:trHeight w:val="4582" w:hRule="atLeast"/>
        </w:trPr>
        <w:tc>
          <w:tcPr>
            <w:tcW w:w="937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 w:val="24"/>
                <w:szCs w:val="24"/>
                <w:highlight w:val="none"/>
                <w:u w:val="single"/>
              </w:rPr>
            </w:pPr>
            <w:r>
              <w:rPr>
                <w:rFonts w:ascii="宋体" w:hAnsi="宋体" w:cs="宋体"/>
                <w:color w:val="000000"/>
                <w:sz w:val="24"/>
                <w:szCs w:val="24"/>
                <w:highlight w:val="none"/>
                <w:u w:val="single"/>
              </w:rPr>
              <w:t>备注：</w:t>
            </w:r>
            <w:r>
              <w:rPr>
                <w:rFonts w:ascii="宋体" w:hAnsi="宋体" w:cs="宋体"/>
                <w:color w:val="000000"/>
                <w:sz w:val="24"/>
                <w:szCs w:val="24"/>
                <w:highlight w:val="none"/>
                <w:u w:val="single"/>
              </w:rPr>
              <w:br w:type="textWrapping"/>
            </w:r>
            <w:r>
              <w:rPr>
                <w:rFonts w:ascii="宋体" w:hAnsi="宋体" w:cs="宋体"/>
                <w:color w:val="000000"/>
                <w:sz w:val="24"/>
                <w:szCs w:val="24"/>
                <w:highlight w:val="none"/>
                <w:u w:val="single"/>
              </w:rPr>
              <w:t>1、“岗位”要求</w:t>
            </w:r>
            <w:r>
              <w:rPr>
                <w:rFonts w:ascii="宋体" w:hAnsi="宋体" w:cs="宋体"/>
                <w:b/>
                <w:color w:val="000000"/>
                <w:sz w:val="24"/>
                <w:szCs w:val="24"/>
                <w:highlight w:val="none"/>
                <w:u w:val="single"/>
              </w:rPr>
              <w:t>（除</w:t>
            </w:r>
            <w:r>
              <w:rPr>
                <w:rFonts w:hint="eastAsia" w:ascii="宋体" w:hAnsi="宋体" w:cs="宋体"/>
                <w:b/>
                <w:color w:val="000000"/>
                <w:sz w:val="24"/>
                <w:szCs w:val="24"/>
                <w:highlight w:val="none"/>
                <w:u w:val="single"/>
                <w:lang w:eastAsia="zh-CN"/>
              </w:rPr>
              <w:t>项目负责人</w:t>
            </w:r>
            <w:r>
              <w:rPr>
                <w:rFonts w:ascii="宋体" w:hAnsi="宋体" w:cs="宋体"/>
                <w:b/>
                <w:color w:val="000000"/>
                <w:sz w:val="24"/>
                <w:szCs w:val="24"/>
                <w:highlight w:val="none"/>
                <w:u w:val="single"/>
              </w:rPr>
              <w:t>和专职安全员外）</w:t>
            </w:r>
            <w:r>
              <w:rPr>
                <w:rFonts w:ascii="宋体" w:hAnsi="宋体" w:cs="宋体"/>
                <w:color w:val="000000"/>
                <w:sz w:val="24"/>
                <w:szCs w:val="24"/>
                <w:highlight w:val="none"/>
                <w:u w:val="singl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r>
              <w:rPr>
                <w:rFonts w:ascii="宋体" w:hAnsi="宋体" w:cs="宋体"/>
                <w:color w:val="000000"/>
                <w:sz w:val="24"/>
                <w:szCs w:val="24"/>
                <w:highlight w:val="none"/>
                <w:u w:val="single"/>
              </w:rPr>
              <w:br w:type="textWrapping"/>
            </w:r>
            <w:r>
              <w:rPr>
                <w:rFonts w:ascii="宋体" w:hAnsi="宋体" w:cs="宋体"/>
                <w:color w:val="000000"/>
                <w:sz w:val="24"/>
                <w:szCs w:val="24"/>
                <w:highlight w:val="none"/>
                <w:u w:val="singl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ascii="宋体" w:hAnsi="宋体" w:cs="宋体"/>
                <w:color w:val="000000"/>
                <w:sz w:val="24"/>
                <w:szCs w:val="24"/>
                <w:highlight w:val="none"/>
                <w:u w:val="single"/>
              </w:rPr>
              <w:br w:type="textWrapping"/>
            </w:r>
            <w:r>
              <w:rPr>
                <w:rFonts w:ascii="宋体" w:hAnsi="宋体" w:cs="宋体"/>
                <w:color w:val="000000"/>
                <w:sz w:val="24"/>
                <w:szCs w:val="24"/>
                <w:highlight w:val="none"/>
                <w:u w:val="singl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69"/>
        <w:spacing w:beforeLines="0" w:afterLines="0"/>
        <w:ind w:firstLine="0" w:firstLineChars="0"/>
        <w:rPr>
          <w:color w:val="000000"/>
          <w:highlight w:val="none"/>
        </w:rPr>
      </w:pPr>
      <w:r>
        <w:rPr>
          <w:rFonts w:hint="eastAsia" w:ascii="宋体" w:cs="宋体"/>
          <w:color w:val="000000"/>
          <w:szCs w:val="21"/>
          <w:highlight w:val="none"/>
        </w:rPr>
        <w:br w:type="page"/>
      </w:r>
      <w:bookmarkStart w:id="740" w:name="_Toc21390"/>
      <w:bookmarkStart w:id="741" w:name="_Toc17223"/>
      <w:r>
        <w:rPr>
          <w:rFonts w:hint="eastAsia" w:cs="宋体"/>
          <w:color w:val="000000"/>
          <w:highlight w:val="none"/>
        </w:rPr>
        <w:t>格式七：</w:t>
      </w:r>
      <w:r>
        <w:rPr>
          <w:rFonts w:hint="eastAsia"/>
          <w:color w:val="000000"/>
          <w:highlight w:val="none"/>
        </w:rPr>
        <w:t>危险性较大的分部分项工程清单及超过一定规模的危险性较大的分部分项工程清单</w:t>
      </w:r>
      <w:bookmarkEnd w:id="740"/>
      <w:bookmarkEnd w:id="741"/>
    </w:p>
    <w:p>
      <w:pPr>
        <w:autoSpaceDE w:val="0"/>
        <w:autoSpaceDN w:val="0"/>
        <w:adjustRightInd w:val="0"/>
        <w:rPr>
          <w:b/>
          <w:snapToGrid w:val="0"/>
          <w:color w:val="000000"/>
          <w:sz w:val="24"/>
          <w:szCs w:val="24"/>
          <w:highlight w:val="none"/>
        </w:rPr>
      </w:pPr>
    </w:p>
    <w:p>
      <w:pPr>
        <w:jc w:val="center"/>
        <w:rPr>
          <w:rFonts w:ascii="仿宋" w:hAnsi="仿宋" w:eastAsia="仿宋"/>
          <w:color w:val="000000"/>
          <w:sz w:val="32"/>
          <w:szCs w:val="32"/>
          <w:highlight w:val="none"/>
        </w:rPr>
      </w:pPr>
      <w:r>
        <w:rPr>
          <w:rFonts w:hint="eastAsia" w:ascii="仿宋" w:hAnsi="仿宋" w:eastAsia="仿宋"/>
          <w:b/>
          <w:color w:val="000000"/>
          <w:sz w:val="32"/>
          <w:szCs w:val="32"/>
          <w:highlight w:val="none"/>
        </w:rPr>
        <w:t>危险性较大的分部分项工程清单及超过一定规模的危险性较大的分部分项工程清单</w:t>
      </w:r>
    </w:p>
    <w:p>
      <w:pPr>
        <w:numPr>
          <w:ilvl w:val="0"/>
          <w:numId w:val="4"/>
        </w:numPr>
        <w:autoSpaceDE w:val="0"/>
        <w:autoSpaceDN w:val="0"/>
        <w:adjustRightInd w:val="0"/>
        <w:jc w:val="left"/>
        <w:rPr>
          <w:rFonts w:ascii="宋体" w:hAnsi="宋体"/>
          <w:color w:val="000000"/>
          <w:sz w:val="24"/>
          <w:szCs w:val="28"/>
          <w:highlight w:val="none"/>
        </w:rPr>
      </w:pPr>
      <w:r>
        <w:rPr>
          <w:rFonts w:hint="eastAsia" w:ascii="宋体" w:hAnsi="宋体"/>
          <w:color w:val="000000"/>
          <w:sz w:val="24"/>
          <w:szCs w:val="28"/>
          <w:highlight w:val="none"/>
        </w:rPr>
        <w:t>根据中华人民共和国住房和城乡建设部令第37号《危险性较大的分部分项工程安全管理规定》（以下简称“37号文”），投标人在投标时须补充完善危大工程清单并明确相应的安全管理措施。</w:t>
      </w:r>
    </w:p>
    <w:p>
      <w:pPr>
        <w:numPr>
          <w:ilvl w:val="0"/>
          <w:numId w:val="4"/>
        </w:numPr>
        <w:autoSpaceDE w:val="0"/>
        <w:autoSpaceDN w:val="0"/>
        <w:adjustRightInd w:val="0"/>
        <w:jc w:val="left"/>
        <w:rPr>
          <w:rFonts w:ascii="宋体" w:hAnsi="宋体"/>
          <w:color w:val="000000"/>
          <w:sz w:val="24"/>
          <w:szCs w:val="28"/>
          <w:highlight w:val="none"/>
        </w:rPr>
      </w:pPr>
      <w:r>
        <w:rPr>
          <w:rFonts w:hint="eastAsia" w:ascii="宋体" w:hAnsi="宋体"/>
          <w:color w:val="000000"/>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000000"/>
          <w:sz w:val="24"/>
          <w:szCs w:val="36"/>
          <w:highlight w:val="none"/>
        </w:rPr>
        <w:t>√”标识。</w:t>
      </w:r>
    </w:p>
    <w:p>
      <w:pPr>
        <w:numPr>
          <w:ilvl w:val="0"/>
          <w:numId w:val="5"/>
        </w:numPr>
        <w:autoSpaceDE w:val="0"/>
        <w:autoSpaceDN w:val="0"/>
        <w:adjustRightInd w:val="0"/>
        <w:jc w:val="left"/>
        <w:rPr>
          <w:rFonts w:ascii="宋体" w:hAnsi="宋体"/>
          <w:color w:val="000000"/>
          <w:sz w:val="24"/>
          <w:szCs w:val="36"/>
          <w:highlight w:val="none"/>
        </w:rPr>
      </w:pPr>
      <w:r>
        <w:rPr>
          <w:rFonts w:hint="eastAsia" w:ascii="宋体" w:hAnsi="宋体"/>
          <w:color w:val="000000"/>
          <w:sz w:val="24"/>
          <w:szCs w:val="28"/>
          <w:highlight w:val="none"/>
        </w:rPr>
        <w:t>投标单位同意建设单位在清单中标识的该项请在对应项打“</w:t>
      </w:r>
      <w:r>
        <w:rPr>
          <w:rFonts w:hint="eastAsia" w:ascii="宋体" w:hAnsi="宋体"/>
          <w:color w:val="000000"/>
          <w:sz w:val="24"/>
          <w:szCs w:val="36"/>
          <w:highlight w:val="none"/>
        </w:rPr>
        <w:t>√”标识，并与投标文件中提供相应的安全管理措施。</w:t>
      </w:r>
    </w:p>
    <w:p>
      <w:pPr>
        <w:numPr>
          <w:ilvl w:val="0"/>
          <w:numId w:val="5"/>
        </w:numPr>
        <w:autoSpaceDE w:val="0"/>
        <w:autoSpaceDN w:val="0"/>
        <w:adjustRightInd w:val="0"/>
        <w:jc w:val="left"/>
        <w:rPr>
          <w:rFonts w:ascii="宋体" w:hAnsi="宋体"/>
          <w:color w:val="000000"/>
          <w:sz w:val="24"/>
          <w:szCs w:val="36"/>
          <w:highlight w:val="none"/>
        </w:rPr>
      </w:pPr>
      <w:r>
        <w:rPr>
          <w:rFonts w:hint="eastAsia" w:ascii="宋体" w:hAnsi="宋体"/>
          <w:color w:val="000000"/>
          <w:sz w:val="24"/>
          <w:szCs w:val="28"/>
          <w:highlight w:val="none"/>
        </w:rPr>
        <w:t>投标单位对清单中认为需要补充的该项请在对应项打“</w:t>
      </w:r>
      <w:r>
        <w:rPr>
          <w:rFonts w:hint="eastAsia" w:ascii="宋体" w:hAnsi="宋体"/>
          <w:color w:val="000000"/>
          <w:sz w:val="24"/>
          <w:szCs w:val="36"/>
          <w:highlight w:val="none"/>
        </w:rPr>
        <w:t>√”标识，并与投标文件中提供相应的安全管理措施。</w:t>
      </w:r>
    </w:p>
    <w:p>
      <w:pPr>
        <w:numPr>
          <w:ilvl w:val="0"/>
          <w:numId w:val="5"/>
        </w:numPr>
        <w:autoSpaceDE w:val="0"/>
        <w:autoSpaceDN w:val="0"/>
        <w:adjustRightInd w:val="0"/>
        <w:jc w:val="left"/>
        <w:rPr>
          <w:rFonts w:ascii="宋体" w:hAnsi="宋体"/>
          <w:color w:val="000000"/>
          <w:sz w:val="24"/>
          <w:szCs w:val="28"/>
          <w:highlight w:val="none"/>
        </w:rPr>
      </w:pPr>
      <w:r>
        <w:rPr>
          <w:rFonts w:hint="eastAsia" w:ascii="宋体" w:hAnsi="宋体"/>
          <w:color w:val="000000"/>
          <w:sz w:val="24"/>
          <w:szCs w:val="36"/>
          <w:highlight w:val="none"/>
        </w:rPr>
        <w:t>投标单位不同意建设单位</w:t>
      </w:r>
      <w:r>
        <w:rPr>
          <w:rFonts w:hint="eastAsia" w:ascii="宋体" w:hAnsi="宋体"/>
          <w:color w:val="000000"/>
          <w:sz w:val="24"/>
          <w:szCs w:val="28"/>
          <w:highlight w:val="none"/>
        </w:rPr>
        <w:t>在清单中标识的该项</w:t>
      </w:r>
      <w:r>
        <w:rPr>
          <w:rFonts w:hint="eastAsia" w:ascii="宋体" w:hAnsi="宋体"/>
          <w:color w:val="000000"/>
          <w:sz w:val="24"/>
          <w:szCs w:val="36"/>
          <w:highlight w:val="none"/>
        </w:rPr>
        <w:t>请在对应项打“×”标识，并在备注栏填上相关说明。</w:t>
      </w:r>
    </w:p>
    <w:p>
      <w:pPr>
        <w:numPr>
          <w:ilvl w:val="0"/>
          <w:numId w:val="4"/>
        </w:numPr>
        <w:autoSpaceDE w:val="0"/>
        <w:autoSpaceDN w:val="0"/>
        <w:adjustRightInd w:val="0"/>
        <w:jc w:val="left"/>
        <w:rPr>
          <w:rFonts w:ascii="宋体" w:hAnsi="宋体"/>
          <w:b/>
          <w:color w:val="000000"/>
          <w:sz w:val="24"/>
          <w:szCs w:val="28"/>
          <w:highlight w:val="none"/>
        </w:rPr>
      </w:pPr>
      <w:r>
        <w:rPr>
          <w:rFonts w:hint="eastAsia" w:ascii="宋体" w:hAnsi="宋体"/>
          <w:b/>
          <w:color w:val="000000"/>
          <w:sz w:val="24"/>
          <w:szCs w:val="28"/>
          <w:highlight w:val="none"/>
        </w:rPr>
        <w:t>投标单位应当在投标时根据招标人提供的下述第5点清单，在工程实施方案中编制专项施工方案。</w:t>
      </w:r>
    </w:p>
    <w:p>
      <w:pPr>
        <w:numPr>
          <w:ilvl w:val="0"/>
          <w:numId w:val="4"/>
        </w:numPr>
        <w:autoSpaceDE w:val="0"/>
        <w:autoSpaceDN w:val="0"/>
        <w:adjustRightInd w:val="0"/>
        <w:jc w:val="left"/>
        <w:rPr>
          <w:rFonts w:ascii="宋体" w:hAnsi="宋体"/>
          <w:color w:val="000000"/>
          <w:sz w:val="24"/>
          <w:szCs w:val="28"/>
          <w:highlight w:val="none"/>
        </w:rPr>
      </w:pPr>
      <w:r>
        <w:rPr>
          <w:rFonts w:hint="eastAsia" w:ascii="宋体" w:hAnsi="宋体"/>
          <w:color w:val="000000"/>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autoSpaceDE w:val="0"/>
        <w:autoSpaceDN w:val="0"/>
        <w:adjustRightInd w:val="0"/>
        <w:ind w:left="424" w:leftChars="57" w:hanging="304" w:hangingChars="127"/>
        <w:jc w:val="left"/>
        <w:rPr>
          <w:rFonts w:ascii="宋体" w:hAnsi="宋体"/>
          <w:color w:val="000000"/>
          <w:sz w:val="24"/>
          <w:szCs w:val="28"/>
          <w:highlight w:val="none"/>
        </w:rPr>
      </w:pPr>
      <w:r>
        <w:rPr>
          <w:rFonts w:hint="eastAsia" w:ascii="宋体" w:hAnsi="宋体"/>
          <w:color w:val="000000"/>
          <w:sz w:val="24"/>
          <w:szCs w:val="28"/>
          <w:highlight w:val="none"/>
        </w:rPr>
        <w:t>5、危险性较大的分部分项工程清单及超过一定规模的危险性较大的分部分项工程清单：</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highlight w:val="none"/>
              </w:rPr>
            </w:pPr>
            <w:r>
              <w:rPr>
                <w:rFonts w:hint="eastAsia" w:ascii="宋体" w:hAnsi="宋体"/>
                <w:b/>
                <w:color w:val="000000"/>
                <w:sz w:val="24"/>
                <w:highlight w:val="none"/>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r>
              <w:rPr>
                <w:rFonts w:hint="eastAsia" w:ascii="宋体" w:hAnsi="宋体"/>
                <w:color w:val="000000"/>
                <w:sz w:val="24"/>
                <w:szCs w:val="36"/>
                <w:highlight w:val="none"/>
              </w:rPr>
              <w:t>建设单位</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r>
              <w:rPr>
                <w:rFonts w:hint="eastAsia" w:ascii="宋体" w:hAnsi="宋体"/>
                <w:color w:val="000000"/>
                <w:sz w:val="24"/>
                <w:szCs w:val="36"/>
                <w:highlight w:val="none"/>
              </w:rPr>
              <w:t>投标单位</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r>
              <w:rPr>
                <w:rFonts w:hint="eastAsia" w:ascii="宋体" w:hAnsi="宋体"/>
                <w:color w:val="000000"/>
                <w:sz w:val="24"/>
                <w:szCs w:val="3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一、基坑支护</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r>
              <w:rPr>
                <w:rFonts w:hint="eastAsia" w:ascii="宋体" w:hAnsi="宋体"/>
                <w:color w:val="000000"/>
                <w:sz w:val="24"/>
                <w:szCs w:val="36"/>
                <w:highlight w:val="none"/>
              </w:rPr>
              <w:t>( √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（一）开挖深度超过3m（含3m）的基坑（槽）的土方开挖、支护、降水工程。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tLeast"/>
              <w:jc w:val="left"/>
              <w:rPr>
                <w:rFonts w:ascii="宋体" w:hAnsi="宋体" w:cs="宋体"/>
                <w:color w:val="000000"/>
                <w:sz w:val="24"/>
                <w:highlight w:val="none"/>
              </w:rPr>
            </w:pPr>
            <w:r>
              <w:rPr>
                <w:rFonts w:hint="eastAsia" w:ascii="宋体" w:hAnsi="宋体" w:cs="宋体"/>
                <w:color w:val="000000"/>
                <w:sz w:val="24"/>
                <w:highlight w:val="none"/>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tLeast"/>
              <w:jc w:val="left"/>
              <w:rPr>
                <w:rFonts w:ascii="宋体" w:hAnsi="宋体" w:cs="宋体"/>
                <w:color w:val="000000"/>
                <w:sz w:val="24"/>
                <w:highlight w:val="none"/>
              </w:rPr>
            </w:pPr>
            <w:r>
              <w:rPr>
                <w:rFonts w:hint="eastAsia" w:ascii="宋体" w:hAnsi="宋体" w:cs="宋体"/>
                <w:color w:val="000000"/>
                <w:sz w:val="24"/>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tLeast"/>
              <w:jc w:val="left"/>
              <w:rPr>
                <w:rFonts w:ascii="宋体" w:hAnsi="宋体" w:cs="宋体"/>
                <w:color w:val="000000"/>
                <w:sz w:val="24"/>
                <w:highlight w:val="none"/>
              </w:rPr>
            </w:pPr>
            <w:r>
              <w:rPr>
                <w:rFonts w:hint="eastAsia" w:ascii="宋体" w:hAnsi="宋体" w:cs="宋体"/>
                <w:color w:val="000000"/>
                <w:sz w:val="24"/>
                <w:highlight w:val="none"/>
              </w:rPr>
              <w:t>（一）采用非常规起重设备、方法，且单件起吊重量在10kN及以上的起重吊装工程。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s="宋体"/>
                <w:color w:val="000000"/>
                <w:sz w:val="24"/>
                <w:highlight w:val="none"/>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s="宋体"/>
                <w:color w:val="000000"/>
                <w:sz w:val="24"/>
                <w:highlight w:val="none"/>
              </w:rPr>
            </w:pPr>
            <w:r>
              <w:rPr>
                <w:rFonts w:hint="eastAsia" w:ascii="宋体" w:hAnsi="宋体" w:cs="宋体"/>
                <w:color w:val="000000"/>
                <w:sz w:val="24"/>
                <w:highlight w:val="none"/>
              </w:rPr>
              <w:t>（三）起重机械安装和拆卸工程。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r>
              <w:rPr>
                <w:rFonts w:hint="eastAsia" w:ascii="宋体" w:hAnsi="宋体"/>
                <w:color w:val="000000"/>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四、脚手架工程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（一）搭设高度24m及以上的落地式钢管脚手架工程（包括采光井、电梯井脚手架）。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（二）附着式升降脚手架工程。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（三）悬挑式脚手架工程。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（四）高处作业吊篮。</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（五）卸料平台、操作平台工程。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（六）异型脚手架工程。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五、拆除工程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　六、暗挖工程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七、其它</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（一）建筑幕墙安装工程。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（二）钢结构、网架和索膜结构安装工程。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（三）人工挖孔桩工程。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（五）装配式建筑混凝土预制构件安装工程。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rPr>
                <w:rFonts w:ascii="宋体" w:hAnsi="宋体" w:cs="宋体"/>
                <w:b/>
                <w:color w:val="000000"/>
                <w:sz w:val="24"/>
                <w:highlight w:val="none"/>
              </w:rPr>
            </w:pPr>
            <w:r>
              <w:rPr>
                <w:rFonts w:hint="eastAsia" w:ascii="宋体" w:hAnsi="宋体" w:cs="宋体"/>
                <w:b/>
                <w:bCs/>
                <w:color w:val="000000"/>
                <w:sz w:val="24"/>
                <w:highlight w:val="none"/>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一、深基坑工程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开挖深度超过5m（含5m）的基坑（槽）的土方开挖、支护、降水工程。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（三）承重支撑体系：用于钢结构安装等满堂支撑体系，承受单点集中荷载7kN及以上。</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（一）采用非常规起重设备、方法，且单件起吊重量在100kN及以上的起重吊装工程。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（二）起重量300kN及以上，或搭设总高度200m及以上，或搭设基础标高在200m及以上的起重机械安装和拆卸工程。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四、脚手架工程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（一）搭设高度50m及以上的落地式钢管脚手架工程。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（二）提升高度在150m及以上的附着式升降脚手架工程或附着式升降操作平台工程。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（三）分段架体搭设高度20m及以上的悬挑式脚手架工程。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五、拆除工程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（二）文物保护建筑、优秀历史建筑或历史文化风貌区影响范围内的拆除工程。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六、暗挖工程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七、其它</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（一）施工高度50m及以上的建筑幕墙安装工程。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highlight w:val="none"/>
              </w:rPr>
            </w:pPr>
            <w:r>
              <w:rPr>
                <w:rFonts w:hint="eastAsia" w:ascii="宋体" w:hAnsi="宋体"/>
                <w:b/>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（二）跨度36m及以上的钢结构安装工程，或跨度60m及以上的网架和索膜结构安装工程。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（三）开挖深度16m及以上的人工挖孔桩工程。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（五）重量1000kN及以上的大型结构整体顶升、平移、转体等施工工艺。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highlight w:val="none"/>
              </w:rPr>
            </w:pPr>
            <w:r>
              <w:rPr>
                <w:rFonts w:hint="eastAsia" w:ascii="宋体" w:hAnsi="宋体"/>
                <w:color w:val="000000"/>
                <w:sz w:val="24"/>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highlight w:val="none"/>
              </w:rPr>
            </w:pPr>
            <w:r>
              <w:rPr>
                <w:rFonts w:hint="eastAsia" w:ascii="宋体" w:hAnsi="宋体"/>
                <w:color w:val="000000"/>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36"/>
                <w:highlight w:val="none"/>
              </w:rPr>
            </w:pPr>
          </w:p>
        </w:tc>
      </w:tr>
    </w:tbl>
    <w:p>
      <w:pPr>
        <w:spacing w:line="360" w:lineRule="auto"/>
        <w:ind w:firstLine="3000" w:firstLineChars="1250"/>
        <w:rPr>
          <w:rFonts w:ascii="宋体" w:hAnsi="宋体" w:cs="宋体"/>
          <w:color w:val="000000"/>
          <w:sz w:val="24"/>
          <w:highlight w:val="none"/>
        </w:rPr>
      </w:pPr>
    </w:p>
    <w:p>
      <w:pPr>
        <w:spacing w:line="360" w:lineRule="auto"/>
        <w:ind w:firstLine="3000" w:firstLineChars="1250"/>
        <w:rPr>
          <w:rFonts w:ascii="宋体" w:hAnsi="宋体" w:cs="宋体"/>
          <w:color w:val="000000"/>
          <w:sz w:val="24"/>
          <w:highlight w:val="none"/>
        </w:rPr>
      </w:pPr>
      <w:r>
        <w:rPr>
          <w:rFonts w:hint="eastAsia" w:ascii="宋体" w:hAnsi="宋体" w:cs="宋体"/>
          <w:color w:val="000000"/>
          <w:sz w:val="24"/>
          <w:highlight w:val="none"/>
        </w:rPr>
        <w:t>投标人名称（盖章）：</w:t>
      </w:r>
    </w:p>
    <w:p>
      <w:pPr>
        <w:spacing w:line="360" w:lineRule="auto"/>
        <w:ind w:firstLine="3000" w:firstLineChars="1250"/>
        <w:rPr>
          <w:rFonts w:ascii="宋体" w:hAnsi="宋体" w:cs="宋体"/>
          <w:color w:val="000000"/>
          <w:sz w:val="24"/>
          <w:highlight w:val="none"/>
        </w:rPr>
      </w:pPr>
      <w:r>
        <w:rPr>
          <w:rFonts w:hint="eastAsia" w:ascii="宋体" w:hAnsi="宋体" w:cs="宋体"/>
          <w:color w:val="000000"/>
          <w:sz w:val="24"/>
          <w:highlight w:val="none"/>
        </w:rPr>
        <w:t>法定代表人或被授权人（签字或盖章）：</w:t>
      </w:r>
    </w:p>
    <w:p>
      <w:pPr>
        <w:autoSpaceDE w:val="0"/>
        <w:autoSpaceDN w:val="0"/>
        <w:adjustRightInd w:val="0"/>
        <w:jc w:val="center"/>
        <w:rPr>
          <w:rFonts w:ascii="宋体" w:hAnsi="宋体" w:cs="宋体"/>
          <w:color w:val="000000"/>
          <w:szCs w:val="21"/>
          <w:highlight w:val="none"/>
        </w:rPr>
      </w:pPr>
      <w:r>
        <w:rPr>
          <w:rFonts w:hint="eastAsia" w:ascii="宋体" w:hAnsi="宋体" w:cs="宋体"/>
          <w:color w:val="000000"/>
          <w:sz w:val="24"/>
          <w:highlight w:val="none"/>
        </w:rPr>
        <w:t>日期：   年  月  日</w:t>
      </w:r>
    </w:p>
    <w:p>
      <w:pPr>
        <w:tabs>
          <w:tab w:val="left" w:pos="720"/>
        </w:tabs>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br w:type="page"/>
      </w:r>
    </w:p>
    <w:p>
      <w:pPr>
        <w:pStyle w:val="102"/>
        <w:rPr>
          <w:rFonts w:ascii="宋体" w:hAnsi="宋体" w:cs="宋体"/>
          <w:color w:val="000000"/>
          <w:highlight w:val="none"/>
        </w:rPr>
      </w:pPr>
      <w:bookmarkStart w:id="742" w:name="_Toc23424914"/>
      <w:bookmarkStart w:id="743" w:name="_Toc532475801"/>
      <w:bookmarkStart w:id="744" w:name="_Toc510963900"/>
      <w:bookmarkStart w:id="745" w:name="_Toc532475368"/>
    </w:p>
    <w:p>
      <w:pPr>
        <w:pStyle w:val="102"/>
        <w:rPr>
          <w:rFonts w:ascii="宋体" w:hAnsi="宋体" w:cs="宋体"/>
          <w:color w:val="000000"/>
          <w:highlight w:val="none"/>
        </w:rPr>
      </w:pPr>
    </w:p>
    <w:p>
      <w:pPr>
        <w:pStyle w:val="102"/>
        <w:rPr>
          <w:rFonts w:ascii="宋体" w:hAnsi="宋体" w:cs="宋体"/>
          <w:color w:val="000000"/>
          <w:highlight w:val="none"/>
        </w:rPr>
      </w:pPr>
    </w:p>
    <w:p>
      <w:pPr>
        <w:pStyle w:val="102"/>
        <w:rPr>
          <w:rFonts w:ascii="宋体" w:hAnsi="宋体" w:cs="宋体"/>
          <w:color w:val="000000"/>
          <w:highlight w:val="none"/>
        </w:rPr>
      </w:pPr>
    </w:p>
    <w:p>
      <w:pPr>
        <w:pStyle w:val="89"/>
        <w:spacing w:beforeLines="0" w:afterLines="0" w:line="360" w:lineRule="auto"/>
        <w:outlineLvl w:val="0"/>
        <w:rPr>
          <w:rFonts w:ascii="宋体" w:hAnsi="宋体" w:eastAsia="宋体" w:cs="宋体"/>
          <w:color w:val="000000"/>
          <w:highlight w:val="none"/>
        </w:rPr>
      </w:pPr>
      <w:bookmarkStart w:id="746" w:name="_Toc20237"/>
      <w:bookmarkStart w:id="747" w:name="_Toc28480"/>
      <w:bookmarkStart w:id="748" w:name="_Toc5878"/>
      <w:bookmarkStart w:id="749" w:name="_Toc12442"/>
      <w:r>
        <w:rPr>
          <w:rFonts w:hint="eastAsia" w:ascii="宋体" w:hAnsi="宋体" w:eastAsia="宋体" w:cs="宋体"/>
          <w:color w:val="000000"/>
          <w:highlight w:val="none"/>
        </w:rPr>
        <w:t>二、经济标投标文件格式</w:t>
      </w:r>
      <w:bookmarkEnd w:id="742"/>
      <w:bookmarkEnd w:id="743"/>
      <w:bookmarkEnd w:id="744"/>
      <w:bookmarkEnd w:id="745"/>
      <w:bookmarkEnd w:id="746"/>
      <w:bookmarkEnd w:id="747"/>
      <w:bookmarkEnd w:id="748"/>
      <w:bookmarkEnd w:id="749"/>
    </w:p>
    <w:p>
      <w:pPr>
        <w:pStyle w:val="62"/>
        <w:ind w:firstLine="496"/>
        <w:rPr>
          <w:rFonts w:ascii="宋体" w:hAnsi="宋体" w:cs="宋体"/>
          <w:color w:val="000000"/>
          <w:highlight w:val="none"/>
        </w:rPr>
      </w:pPr>
    </w:p>
    <w:p>
      <w:pPr>
        <w:pStyle w:val="69"/>
        <w:spacing w:beforeLines="0" w:afterLines="0"/>
        <w:ind w:firstLine="496"/>
        <w:rPr>
          <w:rFonts w:ascii="宋体" w:eastAsia="宋体" w:cs="宋体"/>
          <w:color w:val="000000"/>
          <w:highlight w:val="none"/>
        </w:rPr>
      </w:pPr>
      <w:bookmarkStart w:id="750" w:name="_Toc23424916"/>
      <w:bookmarkStart w:id="751" w:name="_Toc532475371"/>
      <w:bookmarkStart w:id="752" w:name="_Toc510963903"/>
      <w:bookmarkStart w:id="753" w:name="_Toc532475804"/>
      <w:r>
        <w:rPr>
          <w:rFonts w:hint="eastAsia" w:ascii="宋体" w:eastAsia="宋体" w:cs="宋体"/>
          <w:b w:val="0"/>
          <w:color w:val="000000"/>
          <w:highlight w:val="none"/>
        </w:rPr>
        <w:br w:type="page"/>
      </w:r>
      <w:bookmarkStart w:id="754" w:name="_Toc532475802"/>
      <w:bookmarkStart w:id="755" w:name="_Toc8472"/>
      <w:bookmarkStart w:id="756" w:name="_Toc11840"/>
      <w:bookmarkStart w:id="757" w:name="_Toc510963901"/>
      <w:bookmarkStart w:id="758" w:name="_Toc532475369"/>
      <w:bookmarkStart w:id="759" w:name="_Toc23424915"/>
      <w:bookmarkStart w:id="760" w:name="_Toc1674"/>
      <w:bookmarkStart w:id="761" w:name="_Toc474"/>
      <w:r>
        <w:rPr>
          <w:rFonts w:hint="eastAsia" w:ascii="宋体" w:eastAsia="宋体" w:cs="宋体"/>
          <w:color w:val="000000"/>
          <w:highlight w:val="none"/>
        </w:rPr>
        <w:t>格式一：经济标封面</w:t>
      </w:r>
      <w:bookmarkEnd w:id="754"/>
      <w:bookmarkEnd w:id="755"/>
      <w:bookmarkEnd w:id="756"/>
      <w:bookmarkEnd w:id="757"/>
      <w:bookmarkEnd w:id="758"/>
      <w:bookmarkEnd w:id="759"/>
      <w:bookmarkEnd w:id="760"/>
      <w:bookmarkEnd w:id="761"/>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103"/>
        <w:rPr>
          <w:rFonts w:ascii="宋体" w:hAnsi="宋体" w:eastAsia="宋体" w:cs="宋体"/>
          <w:b w:val="0"/>
          <w:color w:val="000000"/>
          <w:highlight w:val="none"/>
          <w:u w:val="single"/>
        </w:rPr>
      </w:pPr>
      <w:r>
        <w:rPr>
          <w:rFonts w:hint="eastAsia" w:ascii="宋体" w:hAnsi="宋体" w:eastAsia="宋体" w:cs="宋体"/>
          <w:b w:val="0"/>
          <w:color w:val="000000"/>
          <w:highlight w:val="none"/>
          <w:u w:val="single"/>
        </w:rPr>
        <w:t xml:space="preserve">[工程名称] </w:t>
      </w: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104"/>
        <w:rPr>
          <w:rFonts w:ascii="宋体" w:hAnsi="宋体" w:eastAsia="宋体" w:cs="宋体"/>
          <w:b w:val="0"/>
          <w:color w:val="000000"/>
          <w:highlight w:val="none"/>
        </w:rPr>
      </w:pPr>
      <w:r>
        <w:rPr>
          <w:rFonts w:hint="eastAsia" w:ascii="宋体" w:hAnsi="宋体" w:eastAsia="宋体" w:cs="宋体"/>
          <w:b w:val="0"/>
          <w:color w:val="000000"/>
          <w:highlight w:val="none"/>
        </w:rPr>
        <w:t xml:space="preserve">  投标文件</w:t>
      </w:r>
    </w:p>
    <w:p>
      <w:pPr>
        <w:pStyle w:val="62"/>
        <w:ind w:firstLine="656"/>
        <w:jc w:val="center"/>
        <w:rPr>
          <w:rFonts w:ascii="宋体" w:hAnsi="宋体" w:cs="宋体"/>
          <w:color w:val="000000"/>
          <w:sz w:val="32"/>
          <w:szCs w:val="32"/>
          <w:highlight w:val="none"/>
        </w:rPr>
      </w:pPr>
      <w:r>
        <w:rPr>
          <w:rFonts w:hint="eastAsia" w:ascii="宋体" w:hAnsi="宋体" w:cs="宋体"/>
          <w:color w:val="000000"/>
          <w:sz w:val="32"/>
          <w:szCs w:val="32"/>
          <w:highlight w:val="none"/>
        </w:rPr>
        <w:t>经济标</w:t>
      </w: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投标人：</w:t>
      </w:r>
      <w:r>
        <w:rPr>
          <w:rFonts w:hint="eastAsia" w:ascii="宋体" w:hAnsi="宋体" w:eastAsia="宋体" w:cs="宋体"/>
          <w:color w:val="000000"/>
          <w:highlight w:val="none"/>
          <w:u w:val="single"/>
        </w:rPr>
        <w:t xml:space="preserve">      （填写投标人单位名称）       （盖章）</w:t>
      </w:r>
    </w:p>
    <w:p>
      <w:pPr>
        <w:pStyle w:val="105"/>
        <w:ind w:firstLine="616"/>
        <w:rPr>
          <w:rFonts w:ascii="宋体" w:hAnsi="宋体" w:eastAsia="宋体" w:cs="宋体"/>
          <w:color w:val="000000"/>
          <w:highlight w:val="none"/>
        </w:rPr>
      </w:pP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法定代表人或</w:t>
      </w: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其委托代理人：</w:t>
      </w:r>
      <w:r>
        <w:rPr>
          <w:rFonts w:hint="eastAsia" w:ascii="宋体" w:hAnsi="宋体" w:eastAsia="宋体" w:cs="宋体"/>
          <w:color w:val="000000"/>
          <w:highlight w:val="none"/>
          <w:u w:val="single"/>
        </w:rPr>
        <w:t xml:space="preserve">                     （签字或盖章）</w:t>
      </w: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日  期：</w:t>
      </w:r>
    </w:p>
    <w:p>
      <w:pPr>
        <w:autoSpaceDE w:val="0"/>
        <w:autoSpaceDN w:val="0"/>
        <w:adjustRightInd w:val="0"/>
        <w:outlineLvl w:val="2"/>
        <w:rPr>
          <w:rFonts w:ascii="宋体" w:hAnsi="宋体" w:cs="宋体"/>
          <w:b/>
          <w:bCs/>
          <w:color w:val="000000"/>
          <w:sz w:val="24"/>
          <w:szCs w:val="28"/>
          <w:highlight w:val="none"/>
        </w:rPr>
      </w:pPr>
      <w:r>
        <w:rPr>
          <w:rFonts w:hint="eastAsia" w:ascii="宋体" w:hAnsi="宋体" w:cs="宋体"/>
          <w:color w:val="000000"/>
          <w:highlight w:val="none"/>
        </w:rPr>
        <w:br w:type="page"/>
      </w:r>
      <w:bookmarkStart w:id="762" w:name="_Toc28859"/>
      <w:bookmarkStart w:id="763" w:name="_Toc10379"/>
      <w:bookmarkStart w:id="764" w:name="_Toc10007"/>
      <w:r>
        <w:rPr>
          <w:rFonts w:hint="eastAsia" w:ascii="宋体" w:hAnsi="宋体" w:cs="宋体"/>
          <w:b/>
          <w:bCs/>
          <w:color w:val="000000"/>
          <w:sz w:val="24"/>
          <w:szCs w:val="28"/>
          <w:highlight w:val="none"/>
        </w:rPr>
        <w:t>格式二：经济标投标书</w:t>
      </w:r>
      <w:bookmarkEnd w:id="762"/>
      <w:bookmarkEnd w:id="763"/>
      <w:bookmarkEnd w:id="764"/>
    </w:p>
    <w:p>
      <w:pPr>
        <w:autoSpaceDE w:val="0"/>
        <w:autoSpaceDN w:val="0"/>
        <w:adjustRightInd w:val="0"/>
        <w:jc w:val="center"/>
        <w:rPr>
          <w:rFonts w:ascii="宋体" w:hAnsi="宋体" w:cs="宋体"/>
          <w:b/>
          <w:bCs/>
          <w:color w:val="000000"/>
          <w:sz w:val="52"/>
          <w:szCs w:val="52"/>
          <w:highlight w:val="none"/>
        </w:rPr>
      </w:pPr>
      <w:r>
        <w:rPr>
          <w:rFonts w:hint="eastAsia" w:ascii="宋体" w:hAnsi="宋体" w:cs="宋体"/>
          <w:b/>
          <w:bCs/>
          <w:color w:val="000000"/>
          <w:sz w:val="44"/>
          <w:szCs w:val="44"/>
          <w:highlight w:val="none"/>
          <w:lang w:val="zh-CN"/>
        </w:rPr>
        <w:t>经济标投标书</w:t>
      </w:r>
    </w:p>
    <w:p>
      <w:pPr>
        <w:wordWrap w:val="0"/>
        <w:autoSpaceDE w:val="0"/>
        <w:autoSpaceDN w:val="0"/>
        <w:adjustRightInd w:val="0"/>
        <w:spacing w:line="360" w:lineRule="auto"/>
        <w:ind w:right="480"/>
        <w:jc w:val="right"/>
        <w:rPr>
          <w:rFonts w:ascii="宋体" w:hAnsi="宋体" w:cs="宋体"/>
          <w:b/>
          <w:bCs/>
          <w:color w:val="000000"/>
          <w:sz w:val="32"/>
          <w:szCs w:val="32"/>
          <w:highlight w:val="none"/>
          <w:lang w:val="zh-CN"/>
        </w:rPr>
      </w:pPr>
      <w:r>
        <w:rPr>
          <w:rFonts w:hint="eastAsia" w:ascii="宋体" w:hAnsi="宋体" w:cs="宋体"/>
          <w:b/>
          <w:color w:val="000000"/>
          <w:sz w:val="24"/>
          <w:szCs w:val="24"/>
          <w:highlight w:val="none"/>
          <w:lang w:val="zh-CN"/>
        </w:rPr>
        <w:t>投标日期：     年  月  日</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165"/>
        <w:gridCol w:w="2294"/>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000000"/>
                <w:sz w:val="24"/>
                <w:szCs w:val="24"/>
                <w:highlight w:val="none"/>
                <w:lang w:val="zh-CN"/>
              </w:rPr>
            </w:pPr>
            <w:r>
              <w:rPr>
                <w:rFonts w:hint="eastAsia" w:ascii="宋体" w:hAnsi="宋体" w:cs="宋体"/>
                <w:b/>
                <w:color w:val="000000"/>
                <w:sz w:val="24"/>
                <w:szCs w:val="24"/>
                <w:highlight w:val="none"/>
                <w:lang w:val="zh-CN"/>
              </w:rPr>
              <w:t>工 程 名 称</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gridSpan w:val="2"/>
            <w:vMerge w:val="restart"/>
            <w:tcBorders>
              <w:top w:val="single" w:color="auto" w:sz="4" w:space="0"/>
              <w:left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000000"/>
                <w:sz w:val="24"/>
                <w:szCs w:val="24"/>
                <w:highlight w:val="none"/>
                <w:lang w:val="zh-CN"/>
              </w:rPr>
            </w:pPr>
            <w:r>
              <w:rPr>
                <w:rFonts w:hint="eastAsia" w:ascii="宋体" w:hAnsi="宋体" w:cs="宋体"/>
                <w:b/>
                <w:bCs/>
                <w:color w:val="000000"/>
                <w:sz w:val="24"/>
                <w:szCs w:val="24"/>
                <w:highlight w:val="none"/>
                <w:lang w:val="zh-CN"/>
              </w:rPr>
              <w:t>投标总报价</w:t>
            </w:r>
            <w:r>
              <w:rPr>
                <w:rFonts w:hint="eastAsia" w:ascii="宋体" w:hAnsi="宋体" w:cs="宋体"/>
                <w:b/>
                <w:color w:val="000000"/>
                <w:sz w:val="24"/>
                <w:szCs w:val="24"/>
                <w:highlight w:val="none"/>
                <w:lang w:val="zh-CN"/>
              </w:rPr>
              <w:t>（元）</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left"/>
              <w:rPr>
                <w:rFonts w:ascii="宋体" w:hAnsi="宋体" w:cs="宋体"/>
                <w:b/>
                <w:color w:val="000000"/>
                <w:sz w:val="24"/>
                <w:szCs w:val="24"/>
                <w:highlight w:val="none"/>
              </w:rPr>
            </w:pPr>
            <w:r>
              <w:rPr>
                <w:rFonts w:hint="eastAsia" w:ascii="宋体" w:hAnsi="宋体" w:cs="宋体"/>
                <w:b/>
                <w:color w:val="000000"/>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gridSpan w:val="2"/>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000000"/>
                <w:sz w:val="24"/>
                <w:szCs w:val="24"/>
                <w:highlight w:val="none"/>
                <w:lang w:val="zh-CN"/>
              </w:rPr>
            </w:pP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left"/>
              <w:rPr>
                <w:rFonts w:ascii="宋体" w:hAnsi="宋体" w:cs="宋体"/>
                <w:b/>
                <w:color w:val="000000"/>
                <w:sz w:val="24"/>
                <w:szCs w:val="24"/>
                <w:highlight w:val="none"/>
              </w:rPr>
            </w:pPr>
            <w:r>
              <w:rPr>
                <w:rFonts w:hint="eastAsia" w:ascii="宋体" w:hAnsi="宋体" w:cs="宋体"/>
                <w:b/>
                <w:color w:val="000000"/>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b/>
                <w:color w:val="000000"/>
                <w:sz w:val="24"/>
                <w:szCs w:val="24"/>
                <w:highlight w:val="none"/>
                <w:lang w:val="zh-CN"/>
              </w:rPr>
            </w:pPr>
            <w:r>
              <w:rPr>
                <w:rFonts w:hint="eastAsia" w:ascii="宋体" w:hAnsi="宋体" w:cs="宋体"/>
                <w:b/>
                <w:color w:val="000000"/>
                <w:sz w:val="24"/>
                <w:szCs w:val="24"/>
                <w:highlight w:val="none"/>
                <w:lang w:val="zh-CN"/>
              </w:rPr>
              <w:t>其中</w:t>
            </w:r>
          </w:p>
        </w:tc>
        <w:tc>
          <w:tcPr>
            <w:tcW w:w="2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
                <w:color w:val="000000"/>
                <w:sz w:val="24"/>
                <w:szCs w:val="24"/>
                <w:highlight w:val="none"/>
                <w:lang w:val="zh-CN"/>
              </w:rPr>
            </w:pPr>
            <w:r>
              <w:rPr>
                <w:rFonts w:hint="eastAsia" w:ascii="宋体" w:hAnsi="宋体" w:cs="宋体"/>
                <w:b/>
                <w:color w:val="000000"/>
                <w:sz w:val="24"/>
                <w:szCs w:val="24"/>
                <w:highlight w:val="none"/>
                <w:lang w:val="zh-CN"/>
              </w:rPr>
              <w:t>建安工程费（元）</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b/>
                <w:color w:val="000000"/>
                <w:sz w:val="24"/>
                <w:szCs w:val="24"/>
                <w:highlight w:val="none"/>
                <w:lang w:val="zh-CN"/>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
                <w:color w:val="000000"/>
                <w:sz w:val="24"/>
                <w:szCs w:val="24"/>
                <w:highlight w:val="none"/>
              </w:rPr>
            </w:pPr>
            <w:r>
              <w:rPr>
                <w:rFonts w:hint="eastAsia" w:ascii="宋体" w:hAnsi="宋体" w:cs="宋体"/>
                <w:b/>
                <w:color w:val="000000"/>
                <w:sz w:val="24"/>
                <w:szCs w:val="24"/>
                <w:highlight w:val="none"/>
                <w:lang w:val="zh-CN"/>
              </w:rPr>
              <w:t>建安工程费投标下浮率</w:t>
            </w:r>
            <w:r>
              <w:rPr>
                <w:rFonts w:hint="eastAsia" w:ascii="宋体" w:hAnsi="宋体" w:cs="宋体"/>
                <w:b/>
                <w:color w:val="000000"/>
                <w:sz w:val="24"/>
                <w:szCs w:val="24"/>
                <w:highlight w:val="none"/>
              </w:rPr>
              <w:t>（%）</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rPr>
                <w:rFonts w:ascii="宋体" w:hAnsi="宋体" w:cs="宋体"/>
                <w:b/>
                <w:bCs/>
                <w:color w:val="000000"/>
                <w:sz w:val="24"/>
                <w:szCs w:val="24"/>
                <w:highlight w:val="none"/>
                <w:u w:val="singl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 w:type="dxa"/>
            <w:vMerge w:val="continue"/>
            <w:tcBorders>
              <w:left w:val="single" w:color="auto" w:sz="4" w:space="0"/>
              <w:right w:val="single" w:color="auto" w:sz="4" w:space="0"/>
            </w:tcBorders>
            <w:noWrap w:val="0"/>
            <w:vAlign w:val="center"/>
          </w:tcPr>
          <w:p>
            <w:pPr>
              <w:autoSpaceDE w:val="0"/>
              <w:autoSpaceDN w:val="0"/>
              <w:adjustRightInd w:val="0"/>
              <w:jc w:val="center"/>
              <w:rPr>
                <w:rFonts w:ascii="宋体" w:hAnsi="宋体" w:cs="宋体"/>
                <w:b/>
                <w:color w:val="000000"/>
                <w:sz w:val="24"/>
                <w:szCs w:val="24"/>
                <w:highlight w:val="none"/>
                <w:lang w:val="zh-CN"/>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color w:val="000000"/>
                <w:sz w:val="24"/>
                <w:szCs w:val="24"/>
                <w:highlight w:val="none"/>
                <w:lang w:val="zh-CN"/>
              </w:rPr>
            </w:pPr>
            <w:r>
              <w:rPr>
                <w:rFonts w:hint="eastAsia" w:ascii="宋体" w:hAnsi="宋体" w:cs="宋体"/>
                <w:b/>
                <w:color w:val="000000"/>
                <w:sz w:val="24"/>
                <w:szCs w:val="24"/>
                <w:highlight w:val="none"/>
                <w:lang w:val="zh-CN"/>
              </w:rPr>
              <w:t>工程设计费（元）</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color w:val="000000"/>
                <w:sz w:val="24"/>
                <w:szCs w:val="24"/>
                <w:highlight w:val="none"/>
                <w:lang w:val="zh-CN"/>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color w:val="000000"/>
                <w:sz w:val="24"/>
                <w:szCs w:val="24"/>
                <w:highlight w:val="none"/>
                <w:lang w:val="zh-CN"/>
              </w:rPr>
            </w:pPr>
            <w:r>
              <w:rPr>
                <w:rFonts w:hint="eastAsia" w:ascii="宋体" w:hAnsi="宋体" w:cs="宋体"/>
                <w:b/>
                <w:color w:val="000000"/>
                <w:sz w:val="24"/>
                <w:szCs w:val="24"/>
                <w:highlight w:val="none"/>
                <w:lang w:val="zh-CN"/>
              </w:rPr>
              <w:t>工程设计费投标下浮率</w:t>
            </w:r>
            <w:r>
              <w:rPr>
                <w:rFonts w:hint="eastAsia" w:ascii="宋体" w:hAnsi="宋体" w:cs="宋体"/>
                <w:b/>
                <w:color w:val="000000"/>
                <w:sz w:val="24"/>
                <w:szCs w:val="24"/>
                <w:highlight w:val="none"/>
              </w:rPr>
              <w:t>（%）</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rPr>
                <w:rFonts w:ascii="宋体" w:hAnsi="宋体" w:cs="宋体"/>
                <w:b/>
                <w:bCs/>
                <w:color w:val="000000"/>
                <w:sz w:val="24"/>
                <w:szCs w:val="24"/>
                <w:highlight w:val="none"/>
                <w:u w:val="singl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000000"/>
                <w:sz w:val="24"/>
                <w:szCs w:val="24"/>
                <w:highlight w:val="none"/>
                <w:lang w:val="zh-CN"/>
              </w:rPr>
            </w:pPr>
            <w:r>
              <w:rPr>
                <w:rFonts w:hint="eastAsia" w:ascii="宋体" w:hAnsi="宋体" w:cs="宋体"/>
                <w:b/>
                <w:color w:val="000000"/>
                <w:sz w:val="24"/>
                <w:szCs w:val="24"/>
                <w:highlight w:val="none"/>
                <w:lang w:val="zh-CN"/>
              </w:rPr>
              <w:t>投标总工期</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36" w:hanging="236" w:hangingChars="98"/>
              <w:rPr>
                <w:rFonts w:ascii="宋体" w:hAnsi="宋体" w:cs="宋体"/>
                <w:b/>
                <w:bCs/>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tcBorders>
              <w:left w:val="single" w:color="auto" w:sz="4" w:space="0"/>
              <w:bottom w:val="single" w:color="auto" w:sz="4" w:space="0"/>
              <w:right w:val="single" w:color="auto" w:sz="4" w:space="0"/>
            </w:tcBorders>
            <w:noWrap w:val="0"/>
            <w:vAlign w:val="center"/>
          </w:tcPr>
          <w:p>
            <w:pPr>
              <w:jc w:val="center"/>
              <w:rPr>
                <w:rFonts w:ascii="宋体" w:hAnsi="宋体" w:cs="宋体"/>
                <w:b/>
                <w:color w:val="000000"/>
                <w:sz w:val="24"/>
                <w:szCs w:val="24"/>
                <w:highlight w:val="none"/>
                <w:lang w:val="zh-CN"/>
              </w:rPr>
            </w:pPr>
            <w:r>
              <w:rPr>
                <w:rFonts w:hint="eastAsia" w:ascii="宋体" w:hAnsi="宋体" w:cs="宋体"/>
                <w:b/>
                <w:bCs/>
                <w:color w:val="000000"/>
                <w:sz w:val="24"/>
                <w:szCs w:val="24"/>
                <w:highlight w:val="none"/>
                <w:lang w:val="zh-CN"/>
              </w:rPr>
              <w:t>质量标准</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000000"/>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color w:val="000000"/>
                <w:sz w:val="24"/>
                <w:szCs w:val="24"/>
                <w:highlight w:val="none"/>
                <w:lang w:val="zh-CN"/>
              </w:rPr>
            </w:pPr>
            <w:r>
              <w:rPr>
                <w:rFonts w:hint="eastAsia" w:ascii="宋体" w:hAnsi="宋体" w:cs="宋体"/>
                <w:b/>
                <w:color w:val="000000"/>
                <w:sz w:val="24"/>
                <w:szCs w:val="24"/>
                <w:highlight w:val="none"/>
                <w:lang w:val="zh-CN"/>
              </w:rPr>
              <w:t>保修期限</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000000"/>
                <w:sz w:val="24"/>
                <w:szCs w:val="24"/>
                <w:highlight w:val="none"/>
                <w:lang w:val="zh-CN"/>
              </w:rPr>
            </w:pPr>
            <w:r>
              <w:rPr>
                <w:rFonts w:hint="eastAsia" w:ascii="宋体" w:hAnsi="宋体" w:cs="宋体"/>
                <w:b/>
                <w:color w:val="000000"/>
                <w:sz w:val="24"/>
                <w:szCs w:val="24"/>
                <w:highlight w:val="none"/>
                <w:lang w:val="zh-CN"/>
              </w:rPr>
              <w:t>委派的项目负责人（</w:t>
            </w:r>
            <w:r>
              <w:rPr>
                <w:rFonts w:hint="eastAsia" w:ascii="宋体" w:hAnsi="宋体" w:cs="宋体"/>
                <w:b/>
                <w:color w:val="000000"/>
                <w:sz w:val="24"/>
                <w:szCs w:val="24"/>
                <w:highlight w:val="none"/>
              </w:rPr>
              <w:t>兼施工项目负责人</w:t>
            </w:r>
            <w:r>
              <w:rPr>
                <w:rFonts w:hint="eastAsia" w:ascii="宋体" w:hAnsi="宋体" w:cs="宋体"/>
                <w:b/>
                <w:color w:val="000000"/>
                <w:sz w:val="24"/>
                <w:szCs w:val="24"/>
                <w:highlight w:val="none"/>
                <w:lang w:val="zh-CN"/>
              </w:rPr>
              <w:t>）</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
                <w:color w:val="000000"/>
                <w:sz w:val="24"/>
                <w:szCs w:val="24"/>
                <w:highlight w:val="none"/>
              </w:rPr>
            </w:pPr>
            <w:r>
              <w:rPr>
                <w:rFonts w:hint="eastAsia" w:ascii="宋体" w:hAnsi="宋体" w:cs="宋体"/>
                <w:b/>
                <w:color w:val="000000"/>
                <w:sz w:val="24"/>
                <w:szCs w:val="24"/>
                <w:highlight w:val="none"/>
              </w:rPr>
              <w:t>姓  名</w:t>
            </w:r>
          </w:p>
        </w:tc>
        <w:tc>
          <w:tcPr>
            <w:tcW w:w="316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ascii="宋体" w:hAnsi="宋体" w:cs="宋体"/>
                <w:b/>
                <w:bCs/>
                <w:color w:val="000000"/>
                <w:sz w:val="24"/>
                <w:szCs w:val="24"/>
                <w:highlight w:val="none"/>
                <w:lang w:val="zh-CN"/>
              </w:rPr>
            </w:pPr>
            <w:r>
              <w:rPr>
                <w:rFonts w:hint="eastAsia" w:ascii="宋体" w:hAnsi="宋体" w:cs="宋体"/>
                <w:b/>
                <w:color w:val="000000"/>
                <w:sz w:val="24"/>
                <w:szCs w:val="24"/>
                <w:highlight w:val="none"/>
                <w:lang w:val="zh-CN"/>
              </w:rPr>
              <w:t>委派的</w:t>
            </w:r>
            <w:r>
              <w:rPr>
                <w:rFonts w:hint="eastAsia" w:ascii="宋体" w:hAnsi="宋体" w:cs="宋体"/>
                <w:b/>
                <w:color w:val="000000"/>
                <w:sz w:val="24"/>
                <w:szCs w:val="24"/>
                <w:highlight w:val="none"/>
              </w:rPr>
              <w:t>专职</w:t>
            </w:r>
            <w:r>
              <w:rPr>
                <w:rFonts w:hint="eastAsia" w:ascii="宋体" w:hAnsi="宋体" w:cs="宋体"/>
                <w:b/>
                <w:bCs/>
                <w:color w:val="000000"/>
                <w:sz w:val="24"/>
                <w:szCs w:val="24"/>
                <w:highlight w:val="none"/>
                <w:lang w:val="zh-CN"/>
              </w:rPr>
              <w:t>安全员</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姓  名</w:t>
            </w:r>
          </w:p>
        </w:tc>
        <w:tc>
          <w:tcPr>
            <w:tcW w:w="316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48" w:type="dxa"/>
            <w:gridSpan w:val="2"/>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ascii="宋体" w:hAnsi="宋体" w:cs="宋体"/>
                <w:b/>
                <w:bCs/>
                <w:color w:val="000000"/>
                <w:sz w:val="24"/>
                <w:szCs w:val="24"/>
                <w:highlight w:val="none"/>
                <w:lang w:val="zh-CN"/>
              </w:rPr>
            </w:pPr>
            <w:r>
              <w:rPr>
                <w:rFonts w:hint="eastAsia" w:ascii="宋体" w:hAnsi="宋体" w:cs="宋体"/>
                <w:b/>
                <w:color w:val="000000"/>
                <w:sz w:val="24"/>
                <w:szCs w:val="24"/>
                <w:highlight w:val="none"/>
                <w:lang w:val="zh-CN"/>
              </w:rPr>
              <w:t>委派的</w:t>
            </w:r>
            <w:r>
              <w:rPr>
                <w:rFonts w:hint="eastAsia" w:ascii="宋体" w:hAnsi="宋体" w:cs="宋体"/>
                <w:b/>
                <w:bCs/>
                <w:color w:val="000000"/>
                <w:sz w:val="24"/>
                <w:szCs w:val="24"/>
                <w:highlight w:val="none"/>
                <w:lang w:val="zh-CN"/>
              </w:rPr>
              <w:t>设计负责人</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bCs/>
                <w:color w:val="000000"/>
                <w:sz w:val="24"/>
                <w:szCs w:val="24"/>
                <w:highlight w:val="none"/>
                <w:lang w:val="zh-CN"/>
              </w:rPr>
            </w:pPr>
            <w:r>
              <w:rPr>
                <w:rFonts w:hint="eastAsia" w:ascii="宋体" w:hAnsi="宋体" w:cs="宋体"/>
                <w:b/>
                <w:color w:val="000000"/>
                <w:sz w:val="24"/>
                <w:szCs w:val="24"/>
                <w:highlight w:val="none"/>
              </w:rPr>
              <w:t>姓  名</w:t>
            </w:r>
          </w:p>
        </w:tc>
        <w:tc>
          <w:tcPr>
            <w:tcW w:w="316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法 定 代 表 人</w:t>
            </w:r>
          </w:p>
          <w:p>
            <w:pPr>
              <w:autoSpaceDE w:val="0"/>
              <w:autoSpaceDN w:val="0"/>
              <w:adjustRightInd w:val="0"/>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（签名或盖章）</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授 权 委 托 人</w:t>
            </w:r>
          </w:p>
          <w:p>
            <w:pPr>
              <w:autoSpaceDE w:val="0"/>
              <w:autoSpaceDN w:val="0"/>
              <w:adjustRightInd w:val="0"/>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（签名或盖章）</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投  标  单  位</w:t>
            </w:r>
          </w:p>
          <w:p>
            <w:pPr>
              <w:autoSpaceDE w:val="0"/>
              <w:autoSpaceDN w:val="0"/>
              <w:adjustRightInd w:val="0"/>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（企业公章）</w:t>
            </w:r>
          </w:p>
        </w:tc>
        <w:tc>
          <w:tcPr>
            <w:tcW w:w="545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000000"/>
                <w:sz w:val="24"/>
                <w:szCs w:val="24"/>
                <w:highlight w:val="none"/>
                <w:lang w:val="zh-CN"/>
              </w:rPr>
            </w:pPr>
          </w:p>
        </w:tc>
      </w:tr>
    </w:tbl>
    <w:p>
      <w:pP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 xml:space="preserve">    注：</w:t>
      </w:r>
    </w:p>
    <w:p>
      <w:pPr>
        <w:ind w:firstLine="394" w:firstLineChars="196"/>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（1）联合体投标的，“投标单位”一栏需书写所有联合体成员的单位全称，可由主办方签署、盖章。</w:t>
      </w:r>
    </w:p>
    <w:p>
      <w:pPr>
        <w:ind w:firstLine="394" w:firstLineChars="196"/>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（2）投标总报价的大写金额和小写金额不一致的，以大写金额为准，投标报价精确到小数点后两位。</w:t>
      </w:r>
    </w:p>
    <w:p>
      <w:pPr>
        <w:pStyle w:val="69"/>
        <w:spacing w:beforeLines="0" w:afterLines="0"/>
        <w:ind w:left="0" w:leftChars="0" w:firstLine="0" w:firstLineChars="0"/>
        <w:rPr>
          <w:rFonts w:hint="eastAsia" w:ascii="宋体" w:hAnsi="宋体" w:eastAsia="宋体" w:cs="宋体"/>
          <w:color w:val="000000"/>
          <w:highlight w:val="none"/>
        </w:rPr>
      </w:pPr>
      <w:r>
        <w:rPr>
          <w:rFonts w:hint="eastAsia" w:ascii="宋体" w:hAnsi="宋体" w:cs="宋体"/>
          <w:color w:val="000000"/>
          <w:highlight w:val="none"/>
        </w:rPr>
        <w:br w:type="page"/>
      </w:r>
      <w:bookmarkStart w:id="765" w:name="_Toc10754"/>
      <w:r>
        <w:rPr>
          <w:rFonts w:hint="eastAsia" w:ascii="宋体" w:hAnsi="宋体" w:eastAsia="宋体" w:cs="宋体"/>
          <w:color w:val="000000"/>
          <w:highlight w:val="none"/>
        </w:rPr>
        <w:t>格式三：</w:t>
      </w:r>
      <w:bookmarkEnd w:id="704"/>
      <w:bookmarkEnd w:id="705"/>
      <w:bookmarkEnd w:id="706"/>
      <w:bookmarkEnd w:id="750"/>
      <w:bookmarkEnd w:id="751"/>
      <w:bookmarkEnd w:id="752"/>
      <w:bookmarkEnd w:id="753"/>
      <w:bookmarkStart w:id="766" w:name="_Toc510963904"/>
      <w:bookmarkStart w:id="767" w:name="_Toc9060"/>
      <w:bookmarkStart w:id="768" w:name="_Toc3897"/>
      <w:bookmarkStart w:id="769" w:name="_Toc532475805"/>
      <w:bookmarkStart w:id="770" w:name="_Toc23424917"/>
      <w:bookmarkStart w:id="771" w:name="_Toc532475372"/>
      <w:bookmarkStart w:id="772" w:name="_Toc5059"/>
      <w:r>
        <w:rPr>
          <w:rFonts w:hint="eastAsia" w:ascii="宋体" w:hAnsi="宋体" w:eastAsia="宋体" w:cs="宋体"/>
          <w:color w:val="000000"/>
          <w:highlight w:val="none"/>
        </w:rPr>
        <w:t>参与编制经济标投标文件人员名单</w:t>
      </w:r>
      <w:bookmarkEnd w:id="765"/>
      <w:bookmarkEnd w:id="766"/>
      <w:bookmarkEnd w:id="767"/>
      <w:bookmarkEnd w:id="768"/>
      <w:bookmarkEnd w:id="769"/>
      <w:bookmarkEnd w:id="770"/>
      <w:bookmarkEnd w:id="771"/>
      <w:bookmarkEnd w:id="772"/>
    </w:p>
    <w:p>
      <w:pPr>
        <w:tabs>
          <w:tab w:val="left" w:pos="720"/>
        </w:tabs>
        <w:snapToGrid w:val="0"/>
        <w:spacing w:line="360" w:lineRule="auto"/>
        <w:jc w:val="center"/>
        <w:rPr>
          <w:rFonts w:ascii="宋体" w:hAnsi="宋体" w:cs="宋体"/>
          <w:color w:val="000000"/>
          <w:sz w:val="24"/>
          <w:highlight w:val="none"/>
        </w:rPr>
      </w:pPr>
    </w:p>
    <w:p>
      <w:pPr>
        <w:pStyle w:val="68"/>
        <w:ind w:firstLine="617"/>
        <w:rPr>
          <w:rFonts w:ascii="宋体" w:hAnsi="宋体" w:eastAsia="宋体" w:cs="宋体"/>
          <w:color w:val="000000"/>
          <w:sz w:val="32"/>
          <w:highlight w:val="none"/>
        </w:rPr>
      </w:pPr>
      <w:r>
        <w:rPr>
          <w:rFonts w:hint="eastAsia" w:ascii="宋体" w:hAnsi="宋体" w:eastAsia="宋体" w:cs="宋体"/>
          <w:color w:val="000000"/>
          <w:sz w:val="32"/>
          <w:highlight w:val="none"/>
        </w:rPr>
        <w:t>参与编制经济标投标文件人员名单</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324"/>
        <w:gridCol w:w="2246"/>
        <w:gridCol w:w="2153"/>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noWrap w:val="0"/>
            <w:vAlign w:val="center"/>
          </w:tcPr>
          <w:p>
            <w:pPr>
              <w:tabs>
                <w:tab w:val="left" w:pos="720"/>
              </w:tabs>
              <w:snapToGrid w:val="0"/>
              <w:spacing w:line="360" w:lineRule="auto"/>
              <w:jc w:val="center"/>
              <w:rPr>
                <w:rFonts w:ascii="宋体" w:hAnsi="宋体" w:cs="宋体"/>
                <w:color w:val="000000"/>
                <w:sz w:val="24"/>
                <w:highlight w:val="none"/>
              </w:rPr>
            </w:pPr>
            <w:r>
              <w:rPr>
                <w:rFonts w:hint="eastAsia" w:ascii="宋体" w:hAnsi="宋体" w:cs="宋体"/>
                <w:color w:val="000000"/>
                <w:sz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9" w:type="pct"/>
            <w:noWrap w:val="0"/>
            <w:vAlign w:val="center"/>
          </w:tcPr>
          <w:p>
            <w:pPr>
              <w:tabs>
                <w:tab w:val="left" w:pos="720"/>
              </w:tabs>
              <w:snapToGrid w:val="0"/>
              <w:spacing w:line="360" w:lineRule="auto"/>
              <w:jc w:val="center"/>
              <w:rPr>
                <w:rFonts w:ascii="宋体" w:hAnsi="宋体" w:cs="宋体"/>
                <w:color w:val="000000"/>
                <w:sz w:val="24"/>
                <w:highlight w:val="none"/>
              </w:rPr>
            </w:pPr>
            <w:r>
              <w:rPr>
                <w:rFonts w:hint="eastAsia" w:ascii="宋体" w:hAnsi="宋体" w:cs="宋体"/>
                <w:color w:val="000000"/>
                <w:sz w:val="24"/>
                <w:highlight w:val="none"/>
              </w:rPr>
              <w:t>姓名</w:t>
            </w:r>
          </w:p>
        </w:tc>
        <w:tc>
          <w:tcPr>
            <w:tcW w:w="729" w:type="pct"/>
            <w:noWrap w:val="0"/>
            <w:vAlign w:val="center"/>
          </w:tcPr>
          <w:p>
            <w:pPr>
              <w:tabs>
                <w:tab w:val="left" w:pos="720"/>
              </w:tabs>
              <w:snapToGrid w:val="0"/>
              <w:spacing w:line="360" w:lineRule="auto"/>
              <w:jc w:val="center"/>
              <w:rPr>
                <w:rFonts w:ascii="宋体" w:hAnsi="宋体" w:cs="宋体"/>
                <w:color w:val="000000"/>
                <w:sz w:val="24"/>
                <w:highlight w:val="none"/>
              </w:rPr>
            </w:pPr>
            <w:r>
              <w:rPr>
                <w:rFonts w:hint="eastAsia" w:ascii="宋体" w:hAnsi="宋体" w:cs="宋体"/>
                <w:color w:val="000000"/>
                <w:sz w:val="24"/>
                <w:highlight w:val="none"/>
              </w:rPr>
              <w:t>职务</w:t>
            </w:r>
          </w:p>
        </w:tc>
        <w:tc>
          <w:tcPr>
            <w:tcW w:w="1236" w:type="pct"/>
            <w:noWrap w:val="0"/>
            <w:vAlign w:val="center"/>
          </w:tcPr>
          <w:p>
            <w:pPr>
              <w:tabs>
                <w:tab w:val="left" w:pos="720"/>
              </w:tabs>
              <w:snapToGrid w:val="0"/>
              <w:spacing w:line="360" w:lineRule="auto"/>
              <w:jc w:val="center"/>
              <w:rPr>
                <w:rFonts w:ascii="宋体" w:hAnsi="宋体" w:cs="宋体"/>
                <w:color w:val="000000"/>
                <w:sz w:val="24"/>
                <w:highlight w:val="none"/>
              </w:rPr>
            </w:pPr>
            <w:r>
              <w:rPr>
                <w:rFonts w:hint="eastAsia" w:ascii="宋体" w:hAnsi="宋体" w:cs="宋体"/>
                <w:color w:val="000000"/>
                <w:sz w:val="24"/>
                <w:highlight w:val="none"/>
              </w:rPr>
              <w:t>所承担工作</w:t>
            </w:r>
          </w:p>
        </w:tc>
        <w:tc>
          <w:tcPr>
            <w:tcW w:w="1185" w:type="pct"/>
            <w:noWrap w:val="0"/>
            <w:vAlign w:val="center"/>
          </w:tcPr>
          <w:p>
            <w:pPr>
              <w:tabs>
                <w:tab w:val="left" w:pos="720"/>
              </w:tabs>
              <w:snapToGrid w:val="0"/>
              <w:spacing w:line="360" w:lineRule="auto"/>
              <w:jc w:val="center"/>
              <w:rPr>
                <w:rFonts w:ascii="宋体" w:hAnsi="宋体" w:cs="宋体"/>
                <w:color w:val="000000"/>
                <w:sz w:val="24"/>
                <w:highlight w:val="none"/>
              </w:rPr>
            </w:pPr>
            <w:r>
              <w:rPr>
                <w:rFonts w:hint="eastAsia" w:ascii="宋体" w:hAnsi="宋体" w:cs="宋体"/>
                <w:color w:val="000000"/>
                <w:sz w:val="24"/>
                <w:highlight w:val="none"/>
              </w:rPr>
              <w:t>身份证号码</w:t>
            </w:r>
          </w:p>
        </w:tc>
        <w:tc>
          <w:tcPr>
            <w:tcW w:w="1218" w:type="pct"/>
            <w:noWrap w:val="0"/>
            <w:vAlign w:val="center"/>
          </w:tcPr>
          <w:p>
            <w:pPr>
              <w:tabs>
                <w:tab w:val="left" w:pos="720"/>
              </w:tabs>
              <w:snapToGrid w:val="0"/>
              <w:spacing w:line="360" w:lineRule="auto"/>
              <w:jc w:val="center"/>
              <w:rPr>
                <w:rFonts w:ascii="宋体" w:hAnsi="宋体" w:cs="宋体"/>
                <w:color w:val="000000"/>
                <w:sz w:val="24"/>
                <w:highlight w:val="none"/>
              </w:rPr>
            </w:pPr>
            <w:r>
              <w:rPr>
                <w:rFonts w:hint="eastAsia" w:ascii="宋体" w:hAnsi="宋体" w:cs="宋体"/>
                <w:color w:val="000000"/>
                <w:sz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7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36"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185"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18" w:type="pct"/>
            <w:noWrap w:val="0"/>
            <w:vAlign w:val="center"/>
          </w:tcPr>
          <w:p>
            <w:pPr>
              <w:tabs>
                <w:tab w:val="left" w:pos="720"/>
              </w:tabs>
              <w:snapToGrid w:val="0"/>
              <w:spacing w:line="360" w:lineRule="auto"/>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7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36"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185"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18" w:type="pct"/>
            <w:noWrap w:val="0"/>
            <w:vAlign w:val="center"/>
          </w:tcPr>
          <w:p>
            <w:pPr>
              <w:tabs>
                <w:tab w:val="left" w:pos="720"/>
              </w:tabs>
              <w:snapToGrid w:val="0"/>
              <w:spacing w:line="360" w:lineRule="auto"/>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7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36"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185"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18" w:type="pct"/>
            <w:noWrap w:val="0"/>
            <w:vAlign w:val="center"/>
          </w:tcPr>
          <w:p>
            <w:pPr>
              <w:tabs>
                <w:tab w:val="left" w:pos="720"/>
              </w:tabs>
              <w:snapToGrid w:val="0"/>
              <w:spacing w:line="360" w:lineRule="auto"/>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7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36"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185"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18" w:type="pct"/>
            <w:noWrap w:val="0"/>
            <w:vAlign w:val="center"/>
          </w:tcPr>
          <w:p>
            <w:pPr>
              <w:tabs>
                <w:tab w:val="left" w:pos="720"/>
              </w:tabs>
              <w:snapToGrid w:val="0"/>
              <w:spacing w:line="360" w:lineRule="auto"/>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7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36"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185"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18" w:type="pct"/>
            <w:noWrap w:val="0"/>
            <w:vAlign w:val="center"/>
          </w:tcPr>
          <w:p>
            <w:pPr>
              <w:tabs>
                <w:tab w:val="left" w:pos="720"/>
              </w:tabs>
              <w:snapToGrid w:val="0"/>
              <w:spacing w:line="360" w:lineRule="auto"/>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7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36"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185"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18" w:type="pct"/>
            <w:noWrap w:val="0"/>
            <w:vAlign w:val="center"/>
          </w:tcPr>
          <w:p>
            <w:pPr>
              <w:tabs>
                <w:tab w:val="left" w:pos="720"/>
              </w:tabs>
              <w:snapToGrid w:val="0"/>
              <w:spacing w:line="360" w:lineRule="auto"/>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7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36"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185"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18" w:type="pct"/>
            <w:noWrap w:val="0"/>
            <w:vAlign w:val="center"/>
          </w:tcPr>
          <w:p>
            <w:pPr>
              <w:tabs>
                <w:tab w:val="left" w:pos="720"/>
              </w:tabs>
              <w:snapToGrid w:val="0"/>
              <w:spacing w:line="360" w:lineRule="auto"/>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729"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36"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185" w:type="pct"/>
            <w:noWrap w:val="0"/>
            <w:vAlign w:val="center"/>
          </w:tcPr>
          <w:p>
            <w:pPr>
              <w:tabs>
                <w:tab w:val="left" w:pos="720"/>
              </w:tabs>
              <w:snapToGrid w:val="0"/>
              <w:spacing w:line="360" w:lineRule="auto"/>
              <w:jc w:val="center"/>
              <w:rPr>
                <w:rFonts w:ascii="宋体" w:hAnsi="宋体" w:cs="宋体"/>
                <w:color w:val="000000"/>
                <w:sz w:val="24"/>
                <w:highlight w:val="none"/>
              </w:rPr>
            </w:pPr>
          </w:p>
        </w:tc>
        <w:tc>
          <w:tcPr>
            <w:tcW w:w="1218" w:type="pct"/>
            <w:noWrap w:val="0"/>
            <w:vAlign w:val="center"/>
          </w:tcPr>
          <w:p>
            <w:pPr>
              <w:tabs>
                <w:tab w:val="left" w:pos="720"/>
              </w:tabs>
              <w:snapToGrid w:val="0"/>
              <w:spacing w:line="360" w:lineRule="auto"/>
              <w:jc w:val="center"/>
              <w:rPr>
                <w:rFonts w:ascii="宋体" w:hAnsi="宋体" w:cs="宋体"/>
                <w:color w:val="000000"/>
                <w:sz w:val="24"/>
                <w:highlight w:val="none"/>
              </w:rPr>
            </w:pPr>
          </w:p>
        </w:tc>
      </w:tr>
    </w:tbl>
    <w:p>
      <w:pPr>
        <w:tabs>
          <w:tab w:val="left" w:pos="720"/>
        </w:tabs>
        <w:snapToGrid w:val="0"/>
        <w:spacing w:line="360" w:lineRule="auto"/>
        <w:rPr>
          <w:rFonts w:ascii="宋体" w:hAnsi="宋体" w:cs="宋体"/>
          <w:color w:val="000000"/>
          <w:sz w:val="24"/>
          <w:highlight w:val="none"/>
        </w:rPr>
      </w:pPr>
    </w:p>
    <w:p>
      <w:pPr>
        <w:autoSpaceDE w:val="0"/>
        <w:autoSpaceDN w:val="0"/>
        <w:adjustRightInd w:val="0"/>
        <w:spacing w:line="360" w:lineRule="auto"/>
        <w:ind w:firstLine="368"/>
        <w:rPr>
          <w:rFonts w:ascii="宋体" w:hAnsi="宋体" w:cs="宋体"/>
          <w:bCs/>
          <w:color w:val="000000"/>
          <w:sz w:val="24"/>
          <w:highlight w:val="none"/>
        </w:rPr>
      </w:pPr>
      <w:r>
        <w:rPr>
          <w:rFonts w:hint="eastAsia" w:ascii="宋体" w:hAnsi="宋体" w:cs="宋体"/>
          <w:color w:val="000000"/>
          <w:highlight w:val="none"/>
        </w:rPr>
        <w:t>注：参与编制经济标书所有人员名单应包括如编制报价文件、负责清样校对等所有人员在内的人员名单。</w:t>
      </w:r>
    </w:p>
    <w:p>
      <w:pPr>
        <w:autoSpaceDE w:val="0"/>
        <w:autoSpaceDN w:val="0"/>
        <w:adjustRightInd w:val="0"/>
        <w:outlineLvl w:val="2"/>
        <w:rPr>
          <w:rFonts w:ascii="宋体" w:hAnsi="宋体" w:cs="宋体"/>
          <w:b/>
          <w:color w:val="000000"/>
          <w:spacing w:val="4"/>
          <w:kern w:val="0"/>
          <w:sz w:val="24"/>
          <w:szCs w:val="24"/>
          <w:highlight w:val="none"/>
        </w:rPr>
      </w:pPr>
      <w:r>
        <w:rPr>
          <w:color w:val="000000"/>
          <w:highlight w:val="none"/>
        </w:rPr>
        <w:br w:type="page"/>
      </w:r>
      <w:bookmarkStart w:id="773" w:name="_Toc7227"/>
      <w:bookmarkStart w:id="774" w:name="_Toc28393"/>
      <w:r>
        <w:rPr>
          <w:rFonts w:hint="eastAsia" w:ascii="宋体" w:hAnsi="宋体" w:cs="宋体"/>
          <w:b/>
          <w:color w:val="000000"/>
          <w:spacing w:val="4"/>
          <w:kern w:val="0"/>
          <w:sz w:val="24"/>
          <w:szCs w:val="24"/>
          <w:highlight w:val="none"/>
        </w:rPr>
        <w:t>格式</w:t>
      </w:r>
      <w:r>
        <w:rPr>
          <w:rFonts w:hint="eastAsia" w:ascii="宋体" w:hAnsi="宋体" w:cs="宋体"/>
          <w:b/>
          <w:color w:val="000000"/>
          <w:spacing w:val="4"/>
          <w:kern w:val="0"/>
          <w:sz w:val="24"/>
          <w:szCs w:val="24"/>
          <w:highlight w:val="none"/>
          <w:lang w:val="en-US" w:eastAsia="zh-CN"/>
        </w:rPr>
        <w:t>四</w:t>
      </w:r>
      <w:r>
        <w:rPr>
          <w:rFonts w:hint="eastAsia" w:ascii="宋体" w:hAnsi="宋体" w:cs="宋体"/>
          <w:b/>
          <w:color w:val="000000"/>
          <w:spacing w:val="4"/>
          <w:kern w:val="0"/>
          <w:sz w:val="24"/>
          <w:szCs w:val="24"/>
          <w:highlight w:val="none"/>
        </w:rPr>
        <w:t>：对投标文件编制的承诺</w:t>
      </w:r>
      <w:bookmarkEnd w:id="773"/>
      <w:bookmarkEnd w:id="774"/>
    </w:p>
    <w:p>
      <w:pPr>
        <w:pStyle w:val="36"/>
        <w:spacing w:after="0" w:line="360" w:lineRule="auto"/>
        <w:ind w:firstLine="321"/>
        <w:jc w:val="center"/>
        <w:rPr>
          <w:rFonts w:ascii="宋体" w:hAnsi="宋体" w:cs="宋体"/>
          <w:b/>
          <w:color w:val="000000"/>
          <w:sz w:val="32"/>
          <w:szCs w:val="32"/>
          <w:highlight w:val="none"/>
        </w:rPr>
      </w:pPr>
      <w:r>
        <w:rPr>
          <w:rFonts w:hint="eastAsia" w:ascii="宋体" w:hAnsi="宋体" w:cs="宋体"/>
          <w:b/>
          <w:color w:val="000000"/>
          <w:sz w:val="32"/>
          <w:szCs w:val="32"/>
          <w:highlight w:val="none"/>
        </w:rPr>
        <w:t>对投标文件编制的承诺</w:t>
      </w:r>
    </w:p>
    <w:p>
      <w:pPr>
        <w:pStyle w:val="36"/>
        <w:spacing w:after="0" w:line="360" w:lineRule="auto"/>
        <w:ind w:left="-2" w:leftChars="-1" w:firstLine="540" w:firstLineChars="225"/>
        <w:rPr>
          <w:rFonts w:ascii="宋体" w:hAnsi="宋体" w:cs="宋体"/>
          <w:bCs/>
          <w:color w:val="000000"/>
          <w:sz w:val="24"/>
          <w:highlight w:val="none"/>
        </w:rPr>
      </w:pPr>
      <w:r>
        <w:rPr>
          <w:rFonts w:hint="eastAsia" w:ascii="宋体" w:hAnsi="宋体" w:cs="宋体"/>
          <w:bCs/>
          <w:color w:val="000000"/>
          <w:sz w:val="24"/>
          <w:highlight w:val="none"/>
        </w:rPr>
        <w:t>本公司授权（身份证号： ）负责对投标文件的编制及内容进行解释、说明，并承诺以下事项：</w:t>
      </w:r>
    </w:p>
    <w:p>
      <w:pPr>
        <w:pStyle w:val="36"/>
        <w:spacing w:after="0" w:line="360" w:lineRule="auto"/>
        <w:ind w:left="-2" w:leftChars="-1" w:firstLine="540" w:firstLineChars="225"/>
        <w:rPr>
          <w:rFonts w:ascii="宋体" w:hAnsi="宋体" w:cs="宋体"/>
          <w:bCs/>
          <w:color w:val="000000"/>
          <w:sz w:val="24"/>
          <w:highlight w:val="none"/>
        </w:rPr>
      </w:pPr>
      <w:r>
        <w:rPr>
          <w:rFonts w:hint="eastAsia" w:ascii="宋体" w:hAnsi="宋体" w:cs="宋体"/>
          <w:bCs/>
          <w:color w:val="000000"/>
          <w:sz w:val="24"/>
          <w:highlight w:val="none"/>
        </w:rPr>
        <w:t>1.被授权人清楚投标文件编制的具体情况，包括技术方案文件、以及投标文件的加密打包的理解；</w:t>
      </w:r>
    </w:p>
    <w:p>
      <w:pPr>
        <w:pStyle w:val="36"/>
        <w:spacing w:after="0" w:line="360" w:lineRule="auto"/>
        <w:ind w:left="-2" w:leftChars="-1" w:firstLine="540" w:firstLineChars="225"/>
        <w:rPr>
          <w:rFonts w:ascii="宋体" w:hAnsi="宋体" w:cs="宋体"/>
          <w:bCs/>
          <w:color w:val="000000"/>
          <w:sz w:val="24"/>
          <w:highlight w:val="none"/>
        </w:rPr>
      </w:pPr>
      <w:r>
        <w:rPr>
          <w:rFonts w:hint="eastAsia" w:ascii="宋体" w:hAnsi="宋体" w:cs="宋体"/>
          <w:bCs/>
          <w:color w:val="000000"/>
          <w:sz w:val="24"/>
          <w:highlight w:val="none"/>
        </w:rPr>
        <w:t>2.在本项目开标至评标结束前，努力确保被授权人在项目评标所在地附近；</w:t>
      </w:r>
    </w:p>
    <w:p>
      <w:pPr>
        <w:pStyle w:val="36"/>
        <w:spacing w:after="0" w:line="360" w:lineRule="auto"/>
        <w:ind w:left="-2" w:leftChars="-1" w:firstLine="540" w:firstLineChars="225"/>
        <w:rPr>
          <w:rFonts w:ascii="宋体" w:hAnsi="宋体" w:cs="宋体"/>
          <w:bCs/>
          <w:color w:val="000000"/>
          <w:sz w:val="24"/>
          <w:highlight w:val="none"/>
        </w:rPr>
      </w:pPr>
      <w:r>
        <w:rPr>
          <w:rFonts w:hint="eastAsia" w:ascii="宋体" w:hAnsi="宋体" w:cs="宋体"/>
          <w:bCs/>
          <w:color w:val="000000"/>
          <w:sz w:val="24"/>
          <w:highlight w:val="none"/>
        </w:rPr>
        <w:t>3.从评标委员会要求澄清起二小时内，被授权人应如实地书面澄清。</w:t>
      </w:r>
    </w:p>
    <w:p>
      <w:pPr>
        <w:pStyle w:val="36"/>
        <w:spacing w:after="0" w:line="360" w:lineRule="auto"/>
        <w:ind w:left="-2" w:leftChars="-1" w:firstLine="540" w:firstLineChars="225"/>
        <w:rPr>
          <w:rFonts w:ascii="宋体" w:hAnsi="宋体" w:cs="宋体"/>
          <w:bCs/>
          <w:color w:val="000000"/>
          <w:sz w:val="24"/>
          <w:highlight w:val="none"/>
        </w:rPr>
      </w:pPr>
      <w:r>
        <w:rPr>
          <w:rFonts w:hint="eastAsia" w:ascii="宋体" w:hAnsi="宋体" w:cs="宋体"/>
          <w:bCs/>
          <w:color w:val="000000"/>
          <w:sz w:val="24"/>
          <w:highlight w:val="none"/>
        </w:rPr>
        <w:t xml:space="preserve">如由于未遵守上述承诺内容之一导致无法进行澄清的，我公司认可和接受评标委员会作出的评审结论。                                 </w:t>
      </w:r>
    </w:p>
    <w:p>
      <w:pPr>
        <w:pStyle w:val="36"/>
        <w:spacing w:after="0" w:line="360" w:lineRule="auto"/>
        <w:ind w:firstLine="360" w:firstLineChars="150"/>
        <w:rPr>
          <w:rFonts w:ascii="宋体" w:hAnsi="宋体" w:cs="宋体"/>
          <w:bCs/>
          <w:color w:val="000000"/>
          <w:sz w:val="24"/>
          <w:highlight w:val="none"/>
        </w:rPr>
      </w:pPr>
    </w:p>
    <w:p>
      <w:pPr>
        <w:pStyle w:val="36"/>
        <w:spacing w:after="0"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附件：《投标文件编制情况》</w:t>
      </w:r>
    </w:p>
    <w:p>
      <w:pPr>
        <w:spacing w:line="360" w:lineRule="auto"/>
        <w:ind w:right="90" w:firstLine="3360" w:firstLineChars="1400"/>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投标人名称（盖法人公章）：                  </w:t>
      </w:r>
    </w:p>
    <w:p>
      <w:pPr>
        <w:spacing w:line="360" w:lineRule="auto"/>
        <w:ind w:firstLine="3480" w:firstLineChars="1450"/>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法定代表人或被授权人（签字或盖章）：                  </w:t>
      </w:r>
    </w:p>
    <w:p>
      <w:pPr>
        <w:spacing w:line="360" w:lineRule="auto"/>
        <w:ind w:firstLine="4440" w:firstLineChars="1850"/>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日期：      年   月   日</w:t>
      </w:r>
    </w:p>
    <w:p>
      <w:pPr>
        <w:spacing w:line="360" w:lineRule="auto"/>
        <w:rPr>
          <w:rFonts w:ascii="宋体" w:hAnsi="宋体" w:cs="宋体"/>
          <w:bCs/>
          <w:color w:val="000000"/>
          <w:sz w:val="18"/>
          <w:szCs w:val="18"/>
          <w:highlight w:val="none"/>
        </w:rPr>
      </w:pPr>
    </w:p>
    <w:p>
      <w:pPr>
        <w:pStyle w:val="36"/>
        <w:spacing w:after="0" w:line="360" w:lineRule="auto"/>
        <w:ind w:firstLine="640" w:firstLineChars="200"/>
        <w:jc w:val="center"/>
        <w:rPr>
          <w:rFonts w:ascii="宋体" w:hAnsi="宋体" w:cs="宋体"/>
          <w:bCs/>
          <w:color w:val="000000"/>
          <w:sz w:val="18"/>
          <w:szCs w:val="18"/>
          <w:highlight w:val="none"/>
        </w:rPr>
      </w:pPr>
      <w:r>
        <w:rPr>
          <w:rFonts w:hint="eastAsia" w:ascii="宋体" w:hAnsi="宋体" w:cs="宋体"/>
          <w:bCs/>
          <w:color w:val="000000"/>
          <w:sz w:val="32"/>
          <w:szCs w:val="32"/>
          <w:highlight w:val="none"/>
        </w:rPr>
        <w:t>投标文件编制情况</w:t>
      </w:r>
    </w:p>
    <w:p>
      <w:pPr>
        <w:pStyle w:val="36"/>
        <w:spacing w:after="0"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1.投标文件报价编制方式: □自行编制的，编制的负责人： （盖造价工程师执业专用章或全国建设工程造价员章，执业单位应与投标人一致） 。□委托编制的，受委托单位 ，编制的负责人： （盖造价工程师执业专用章或全国建设工程造价员章，执业单位应与受委托单位一致） 。</w:t>
      </w:r>
    </w:p>
    <w:p>
      <w:pPr>
        <w:pStyle w:val="36"/>
        <w:spacing w:after="0"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2.投标文件加密打包的电脑情况：</w:t>
      </w:r>
    </w:p>
    <w:tbl>
      <w:tblPr>
        <w:tblStyle w:val="38"/>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340" w:hRule="atLeast"/>
        </w:trPr>
        <w:tc>
          <w:tcPr>
            <w:tcW w:w="8522" w:type="dxa"/>
            <w:noWrap w:val="0"/>
            <w:vAlign w:val="top"/>
          </w:tcPr>
          <w:p>
            <w:pPr>
              <w:pStyle w:val="36"/>
              <w:spacing w:after="0" w:line="360" w:lineRule="auto"/>
              <w:ind w:firstLine="240"/>
              <w:rPr>
                <w:rFonts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投标文件加密打包的电脑    自有□      外包□       其他□</w:t>
            </w:r>
          </w:p>
          <w:p>
            <w:pPr>
              <w:pStyle w:val="36"/>
              <w:spacing w:after="0" w:line="360" w:lineRule="auto"/>
              <w:ind w:firstLine="240"/>
              <w:rPr>
                <w:rFonts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电脑类型</w:t>
            </w:r>
          </w:p>
          <w:p>
            <w:pPr>
              <w:pStyle w:val="36"/>
              <w:spacing w:after="0" w:line="360" w:lineRule="auto"/>
              <w:ind w:firstLine="240"/>
              <w:rPr>
                <w:rFonts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电脑所属单位</w:t>
            </w:r>
          </w:p>
          <w:p>
            <w:pPr>
              <w:pStyle w:val="36"/>
              <w:spacing w:after="0" w:line="360" w:lineRule="auto"/>
              <w:ind w:firstLine="240"/>
              <w:rPr>
                <w:rFonts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电脑所在地址       （如××市××区(县) ××街（路）××号××大厦××房）</w:t>
            </w:r>
          </w:p>
        </w:tc>
      </w:tr>
    </w:tbl>
    <w:p>
      <w:pPr>
        <w:pStyle w:val="21"/>
        <w:rPr>
          <w:rFonts w:hint="eastAsia"/>
          <w:color w:val="000000"/>
          <w:highlight w:val="none"/>
          <w:lang w:eastAsia="zh-CN"/>
        </w:rPr>
      </w:pPr>
    </w:p>
    <w:p>
      <w:pPr>
        <w:rPr>
          <w:rFonts w:hint="eastAsia"/>
          <w:highlight w:val="none"/>
        </w:rPr>
      </w:pPr>
    </w:p>
    <w:p>
      <w:pPr>
        <w:pStyle w:val="16"/>
        <w:rPr>
          <w:rFonts w:hint="eastAsia"/>
          <w:highlight w:val="none"/>
          <w:lang w:eastAsia="zh-CN"/>
        </w:rPr>
      </w:pPr>
    </w:p>
    <w:p>
      <w:pPr>
        <w:rPr>
          <w:rFonts w:hint="eastAsia"/>
          <w:highlight w:val="none"/>
        </w:rPr>
      </w:pPr>
    </w:p>
    <w:p>
      <w:pPr>
        <w:pStyle w:val="69"/>
        <w:spacing w:beforeLines="0" w:afterLines="0"/>
        <w:ind w:firstLine="498"/>
        <w:rPr>
          <w:rFonts w:hint="eastAsia" w:ascii="宋体" w:eastAsia="宋体" w:cs="宋体"/>
          <w:color w:val="000000"/>
          <w:highlight w:val="none"/>
        </w:rPr>
      </w:pPr>
      <w:bookmarkStart w:id="775" w:name="_Toc6726"/>
      <w:bookmarkStart w:id="776" w:name="_Toc32115"/>
    </w:p>
    <w:p>
      <w:pPr>
        <w:pStyle w:val="69"/>
        <w:spacing w:beforeLines="0" w:afterLines="0"/>
        <w:ind w:firstLine="498"/>
        <w:rPr>
          <w:rFonts w:hint="eastAsia" w:ascii="宋体" w:eastAsia="宋体" w:cs="宋体"/>
          <w:color w:val="000000"/>
          <w:highlight w:val="none"/>
        </w:rPr>
      </w:pPr>
    </w:p>
    <w:p>
      <w:pPr>
        <w:pStyle w:val="69"/>
        <w:spacing w:beforeLines="0" w:afterLines="0"/>
        <w:ind w:firstLine="498"/>
        <w:rPr>
          <w:rFonts w:hint="eastAsia" w:ascii="宋体" w:eastAsia="宋体" w:cs="宋体"/>
          <w:color w:val="000000"/>
          <w:highlight w:val="none"/>
        </w:rPr>
      </w:pPr>
    </w:p>
    <w:p>
      <w:pPr>
        <w:pStyle w:val="69"/>
        <w:spacing w:beforeLines="0" w:afterLines="0"/>
        <w:ind w:firstLine="498"/>
        <w:rPr>
          <w:rFonts w:hint="eastAsia" w:ascii="宋体" w:eastAsia="宋体" w:cs="宋体"/>
          <w:color w:val="000000"/>
          <w:highlight w:val="none"/>
        </w:rPr>
      </w:pPr>
    </w:p>
    <w:p>
      <w:pPr>
        <w:pStyle w:val="89"/>
        <w:spacing w:beforeLines="0" w:afterLines="0" w:line="360" w:lineRule="auto"/>
        <w:outlineLvl w:val="0"/>
        <w:rPr>
          <w:rFonts w:ascii="宋体" w:hAnsi="宋体" w:eastAsia="宋体" w:cs="宋体"/>
          <w:color w:val="000000"/>
          <w:highlight w:val="none"/>
        </w:rPr>
      </w:pPr>
      <w:bookmarkStart w:id="777" w:name="_Toc6806"/>
      <w:r>
        <w:rPr>
          <w:rFonts w:hint="eastAsia" w:ascii="宋体" w:hAnsi="宋体" w:eastAsia="宋体" w:cs="宋体"/>
          <w:color w:val="000000"/>
          <w:highlight w:val="none"/>
        </w:rPr>
        <w:t>三、定标文件格式</w:t>
      </w:r>
      <w:bookmarkEnd w:id="777"/>
    </w:p>
    <w:p>
      <w:pPr>
        <w:pStyle w:val="69"/>
        <w:spacing w:beforeLines="0" w:afterLines="0"/>
        <w:ind w:firstLine="498"/>
        <w:rPr>
          <w:rFonts w:hint="eastAsia" w:ascii="宋体" w:eastAsia="宋体" w:cs="宋体"/>
          <w:color w:val="000000"/>
          <w:highlight w:val="none"/>
        </w:rPr>
      </w:pPr>
    </w:p>
    <w:p>
      <w:pPr>
        <w:pStyle w:val="69"/>
        <w:spacing w:beforeLines="0" w:afterLines="0"/>
        <w:ind w:firstLine="498"/>
        <w:rPr>
          <w:rFonts w:hint="eastAsia" w:ascii="宋体" w:eastAsia="宋体" w:cs="宋体"/>
          <w:color w:val="000000"/>
          <w:highlight w:val="none"/>
        </w:rPr>
      </w:pPr>
    </w:p>
    <w:p>
      <w:pPr>
        <w:pStyle w:val="69"/>
        <w:spacing w:beforeLines="0" w:afterLines="0"/>
        <w:ind w:firstLine="498"/>
        <w:rPr>
          <w:rFonts w:hint="eastAsia" w:ascii="宋体" w:eastAsia="宋体" w:cs="宋体"/>
          <w:color w:val="000000"/>
          <w:highlight w:val="none"/>
        </w:rPr>
      </w:pPr>
    </w:p>
    <w:p>
      <w:pPr>
        <w:pStyle w:val="69"/>
        <w:spacing w:beforeLines="0" w:afterLines="0"/>
        <w:ind w:firstLine="498"/>
        <w:rPr>
          <w:rFonts w:hint="eastAsia" w:ascii="宋体" w:eastAsia="宋体" w:cs="宋体"/>
          <w:color w:val="000000"/>
          <w:highlight w:val="none"/>
        </w:rPr>
      </w:pPr>
    </w:p>
    <w:p>
      <w:pPr>
        <w:pStyle w:val="69"/>
        <w:spacing w:beforeLines="0" w:afterLines="0"/>
        <w:ind w:firstLine="498"/>
        <w:rPr>
          <w:rFonts w:hint="eastAsia" w:ascii="宋体" w:eastAsia="宋体" w:cs="宋体"/>
          <w:color w:val="000000"/>
          <w:highlight w:val="none"/>
        </w:rPr>
      </w:pPr>
    </w:p>
    <w:p>
      <w:pPr>
        <w:pStyle w:val="69"/>
        <w:spacing w:beforeLines="0" w:afterLines="0"/>
        <w:ind w:firstLine="498"/>
        <w:rPr>
          <w:rFonts w:hint="eastAsia" w:ascii="宋体" w:eastAsia="宋体" w:cs="宋体"/>
          <w:color w:val="000000"/>
          <w:highlight w:val="none"/>
        </w:rPr>
      </w:pPr>
    </w:p>
    <w:p>
      <w:pPr>
        <w:pStyle w:val="62"/>
        <w:ind w:firstLine="496"/>
        <w:rPr>
          <w:rFonts w:hint="eastAsia"/>
          <w:highlight w:val="none"/>
        </w:rPr>
      </w:pPr>
    </w:p>
    <w:p>
      <w:pPr>
        <w:pStyle w:val="62"/>
        <w:ind w:firstLine="496"/>
        <w:rPr>
          <w:rFonts w:hint="eastAsia"/>
          <w:highlight w:val="none"/>
        </w:rPr>
      </w:pPr>
    </w:p>
    <w:p>
      <w:pPr>
        <w:pStyle w:val="62"/>
        <w:ind w:firstLine="496"/>
        <w:rPr>
          <w:rFonts w:hint="eastAsia"/>
          <w:highlight w:val="none"/>
        </w:rPr>
      </w:pPr>
    </w:p>
    <w:p>
      <w:pPr>
        <w:pStyle w:val="62"/>
        <w:ind w:firstLine="496"/>
        <w:rPr>
          <w:rFonts w:hint="eastAsia"/>
          <w:highlight w:val="none"/>
        </w:rPr>
      </w:pPr>
    </w:p>
    <w:p>
      <w:pPr>
        <w:pStyle w:val="62"/>
        <w:ind w:firstLine="496"/>
        <w:rPr>
          <w:rFonts w:hint="eastAsia"/>
          <w:highlight w:val="none"/>
        </w:rPr>
      </w:pPr>
    </w:p>
    <w:p>
      <w:pPr>
        <w:pStyle w:val="62"/>
        <w:ind w:firstLine="496"/>
        <w:rPr>
          <w:rFonts w:hint="eastAsia"/>
          <w:highlight w:val="none"/>
        </w:rPr>
      </w:pPr>
    </w:p>
    <w:p>
      <w:pPr>
        <w:pStyle w:val="62"/>
        <w:ind w:firstLine="496"/>
        <w:rPr>
          <w:rFonts w:hint="eastAsia"/>
          <w:highlight w:val="none"/>
        </w:rPr>
      </w:pPr>
    </w:p>
    <w:p>
      <w:pPr>
        <w:pStyle w:val="62"/>
        <w:ind w:firstLine="496"/>
        <w:rPr>
          <w:rFonts w:hint="eastAsia"/>
          <w:highlight w:val="none"/>
        </w:rPr>
      </w:pPr>
    </w:p>
    <w:p>
      <w:pPr>
        <w:pStyle w:val="62"/>
        <w:ind w:firstLine="496"/>
        <w:rPr>
          <w:rFonts w:hint="eastAsia"/>
          <w:highlight w:val="none"/>
        </w:rPr>
      </w:pPr>
    </w:p>
    <w:p>
      <w:pPr>
        <w:pStyle w:val="62"/>
        <w:ind w:firstLine="496"/>
        <w:rPr>
          <w:rFonts w:hint="eastAsia"/>
          <w:highlight w:val="none"/>
        </w:rPr>
      </w:pPr>
    </w:p>
    <w:p>
      <w:pPr>
        <w:pStyle w:val="62"/>
        <w:ind w:firstLine="496"/>
        <w:rPr>
          <w:rFonts w:hint="eastAsia"/>
          <w:highlight w:val="none"/>
        </w:rPr>
      </w:pPr>
    </w:p>
    <w:p>
      <w:pPr>
        <w:pStyle w:val="62"/>
        <w:ind w:firstLine="496"/>
        <w:rPr>
          <w:rFonts w:hint="eastAsia"/>
          <w:highlight w:val="none"/>
        </w:rPr>
      </w:pPr>
    </w:p>
    <w:p>
      <w:pPr>
        <w:rPr>
          <w:ins w:id="1" w:author="安锦" w:date="2023-11-09T18:05:06Z"/>
          <w:rFonts w:hint="eastAsia"/>
          <w:highlight w:val="none"/>
        </w:rPr>
      </w:pPr>
      <w:ins w:id="2" w:author="安锦" w:date="2023-11-09T18:05:06Z">
        <w:r>
          <w:rPr>
            <w:rFonts w:hint="eastAsia"/>
            <w:highlight w:val="none"/>
          </w:rPr>
          <w:br w:type="page"/>
        </w:r>
      </w:ins>
    </w:p>
    <w:p>
      <w:pPr>
        <w:pStyle w:val="69"/>
        <w:spacing w:beforeLines="0" w:afterLines="0"/>
        <w:ind w:firstLine="498"/>
        <w:rPr>
          <w:rFonts w:ascii="宋体" w:eastAsia="宋体" w:cs="宋体"/>
          <w:color w:val="000000"/>
          <w:highlight w:val="none"/>
        </w:rPr>
      </w:pPr>
      <w:bookmarkStart w:id="778" w:name="_Toc3748"/>
      <w:r>
        <w:rPr>
          <w:rFonts w:hint="eastAsia" w:ascii="宋体" w:eastAsia="宋体" w:cs="宋体"/>
          <w:color w:val="000000"/>
          <w:highlight w:val="none"/>
        </w:rPr>
        <w:t>格式一：定标文件封面</w:t>
      </w:r>
      <w:bookmarkEnd w:id="778"/>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103"/>
        <w:rPr>
          <w:rFonts w:ascii="宋体" w:hAnsi="宋体" w:eastAsia="宋体" w:cs="宋体"/>
          <w:b w:val="0"/>
          <w:color w:val="000000"/>
          <w:highlight w:val="none"/>
          <w:u w:val="single"/>
        </w:rPr>
      </w:pPr>
      <w:r>
        <w:rPr>
          <w:rFonts w:hint="eastAsia" w:ascii="宋体" w:hAnsi="宋体" w:eastAsia="宋体" w:cs="宋体"/>
          <w:b w:val="0"/>
          <w:color w:val="000000"/>
          <w:highlight w:val="none"/>
          <w:u w:val="single"/>
        </w:rPr>
        <w:t xml:space="preserve">[工程名称] </w:t>
      </w: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104"/>
        <w:rPr>
          <w:rFonts w:ascii="宋体" w:hAnsi="宋体" w:eastAsia="宋体" w:cs="宋体"/>
          <w:b w:val="0"/>
          <w:color w:val="000000"/>
          <w:highlight w:val="none"/>
        </w:rPr>
      </w:pPr>
      <w:r>
        <w:rPr>
          <w:rFonts w:hint="eastAsia" w:ascii="宋体" w:hAnsi="宋体" w:eastAsia="宋体" w:cs="宋体"/>
          <w:b w:val="0"/>
          <w:color w:val="000000"/>
          <w:highlight w:val="none"/>
        </w:rPr>
        <w:t xml:space="preserve">  定标文件</w:t>
      </w: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62"/>
        <w:ind w:firstLine="496"/>
        <w:rPr>
          <w:rFonts w:ascii="宋体" w:hAnsi="宋体" w:cs="宋体"/>
          <w:color w:val="000000"/>
          <w:highlight w:val="none"/>
        </w:rPr>
      </w:pP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投标人：</w:t>
      </w:r>
      <w:r>
        <w:rPr>
          <w:rFonts w:hint="eastAsia" w:ascii="宋体" w:hAnsi="宋体" w:eastAsia="宋体" w:cs="宋体"/>
          <w:color w:val="000000"/>
          <w:highlight w:val="none"/>
          <w:u w:val="single"/>
        </w:rPr>
        <w:t xml:space="preserve">      （填写投标人单位名称）       （盖章）</w:t>
      </w:r>
    </w:p>
    <w:p>
      <w:pPr>
        <w:pStyle w:val="105"/>
        <w:ind w:firstLine="616"/>
        <w:rPr>
          <w:rFonts w:ascii="宋体" w:hAnsi="宋体" w:eastAsia="宋体" w:cs="宋体"/>
          <w:color w:val="000000"/>
          <w:highlight w:val="none"/>
        </w:rPr>
      </w:pP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法定代表人或</w:t>
      </w: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其委托代理人：</w:t>
      </w:r>
      <w:r>
        <w:rPr>
          <w:rFonts w:hint="eastAsia" w:ascii="宋体" w:hAnsi="宋体" w:eastAsia="宋体" w:cs="宋体"/>
          <w:color w:val="000000"/>
          <w:highlight w:val="none"/>
          <w:u w:val="single"/>
        </w:rPr>
        <w:t xml:space="preserve">                     （签字或盖章）</w:t>
      </w:r>
    </w:p>
    <w:p>
      <w:pPr>
        <w:pStyle w:val="105"/>
        <w:ind w:firstLine="616"/>
        <w:rPr>
          <w:rFonts w:ascii="宋体" w:hAnsi="宋体" w:eastAsia="宋体" w:cs="宋体"/>
          <w:color w:val="000000"/>
          <w:highlight w:val="none"/>
        </w:rPr>
      </w:pPr>
      <w:r>
        <w:rPr>
          <w:rFonts w:hint="eastAsia" w:ascii="宋体" w:hAnsi="宋体" w:eastAsia="宋体" w:cs="宋体"/>
          <w:color w:val="000000"/>
          <w:highlight w:val="none"/>
        </w:rPr>
        <w:t>日  期：</w:t>
      </w:r>
    </w:p>
    <w:p>
      <w:pPr>
        <w:spacing w:line="360" w:lineRule="auto"/>
        <w:jc w:val="left"/>
        <w:outlineLvl w:val="9"/>
        <w:rPr>
          <w:rFonts w:hint="eastAsia" w:ascii="宋体" w:hAnsi="宋体" w:cs="宋体"/>
          <w:b/>
          <w:bCs/>
          <w:color w:val="000000"/>
          <w:sz w:val="24"/>
          <w:szCs w:val="28"/>
          <w:highlight w:val="none"/>
        </w:rPr>
      </w:pPr>
    </w:p>
    <w:p>
      <w:pPr>
        <w:spacing w:line="360" w:lineRule="auto"/>
        <w:jc w:val="left"/>
        <w:outlineLvl w:val="9"/>
        <w:rPr>
          <w:rFonts w:hint="eastAsia" w:ascii="宋体" w:hAnsi="宋体" w:cs="宋体"/>
          <w:b/>
          <w:bCs/>
          <w:color w:val="000000"/>
          <w:sz w:val="24"/>
          <w:szCs w:val="28"/>
          <w:highlight w:val="none"/>
        </w:rPr>
      </w:pPr>
    </w:p>
    <w:p>
      <w:pPr>
        <w:spacing w:line="360" w:lineRule="auto"/>
        <w:jc w:val="left"/>
        <w:outlineLvl w:val="9"/>
        <w:rPr>
          <w:rFonts w:hint="eastAsia" w:ascii="宋体" w:hAnsi="宋体" w:cs="宋体"/>
          <w:b/>
          <w:bCs/>
          <w:color w:val="000000"/>
          <w:sz w:val="24"/>
          <w:szCs w:val="28"/>
          <w:highlight w:val="none"/>
        </w:rPr>
      </w:pPr>
    </w:p>
    <w:p>
      <w:pPr>
        <w:spacing w:line="360" w:lineRule="auto"/>
        <w:jc w:val="left"/>
        <w:outlineLvl w:val="9"/>
        <w:rPr>
          <w:rFonts w:hint="eastAsia" w:ascii="宋体" w:hAnsi="宋体" w:cs="宋体"/>
          <w:b/>
          <w:bCs/>
          <w:color w:val="000000"/>
          <w:sz w:val="24"/>
          <w:szCs w:val="28"/>
          <w:highlight w:val="none"/>
        </w:rPr>
      </w:pPr>
    </w:p>
    <w:p>
      <w:pPr>
        <w:pStyle w:val="16"/>
        <w:rPr>
          <w:rFonts w:hint="eastAsia"/>
          <w:highlight w:val="none"/>
          <w:lang w:val="en-US" w:eastAsia="zh-CN"/>
        </w:rPr>
      </w:pPr>
    </w:p>
    <w:p>
      <w:pPr>
        <w:rPr>
          <w:rFonts w:hint="eastAsia"/>
          <w:highlight w:val="none"/>
        </w:rPr>
      </w:pPr>
    </w:p>
    <w:p>
      <w:pPr>
        <w:pStyle w:val="16"/>
        <w:rPr>
          <w:rFonts w:hint="eastAsia"/>
          <w:highlight w:val="none"/>
          <w:lang w:val="en-US" w:eastAsia="zh-CN"/>
        </w:rPr>
      </w:pPr>
    </w:p>
    <w:p>
      <w:pPr>
        <w:pStyle w:val="69"/>
        <w:spacing w:beforeLines="0" w:afterLines="0"/>
        <w:ind w:firstLine="0" w:firstLineChars="0"/>
        <w:rPr>
          <w:rFonts w:hint="eastAsia" w:ascii="宋体" w:hAnsi="宋体" w:eastAsia="宋体" w:cs="宋体"/>
          <w:color w:val="000000"/>
          <w:spacing w:val="4"/>
          <w:kern w:val="0"/>
          <w:sz w:val="24"/>
          <w:szCs w:val="24"/>
          <w:highlight w:val="none"/>
        </w:rPr>
      </w:pPr>
      <w:r>
        <w:rPr>
          <w:rFonts w:hint="eastAsia" w:ascii="宋体" w:hAnsi="宋体" w:eastAsia="宋体" w:cs="宋体"/>
          <w:color w:val="000000"/>
          <w:spacing w:val="4"/>
          <w:kern w:val="0"/>
          <w:sz w:val="24"/>
          <w:szCs w:val="24"/>
          <w:highlight w:val="none"/>
        </w:rPr>
        <w:t>格式二:</w:t>
      </w:r>
      <w:r>
        <w:rPr>
          <w:rFonts w:hint="eastAsia" w:ascii="宋体" w:hAnsi="宋体" w:eastAsia="宋体" w:cs="宋体"/>
          <w:color w:val="000000"/>
          <w:sz w:val="24"/>
          <w:szCs w:val="24"/>
          <w:highlight w:val="none"/>
        </w:rPr>
        <w:t xml:space="preserve"> 定标文件相关资料</w:t>
      </w:r>
      <w:r>
        <w:rPr>
          <w:rFonts w:hint="eastAsia" w:ascii="宋体" w:hAnsi="宋体" w:eastAsia="宋体" w:cs="宋体"/>
          <w:color w:val="000000"/>
          <w:spacing w:val="4"/>
          <w:kern w:val="0"/>
          <w:sz w:val="24"/>
          <w:szCs w:val="24"/>
          <w:highlight w:val="none"/>
        </w:rPr>
        <w:t>：</w:t>
      </w:r>
    </w:p>
    <w:p>
      <w:pPr>
        <w:topLinePunct/>
        <w:spacing w:line="440" w:lineRule="exact"/>
        <w:rPr>
          <w:rFonts w:ascii="宋体" w:hAnsi="宋体"/>
          <w:b/>
          <w:bCs/>
          <w:sz w:val="24"/>
          <w:szCs w:val="24"/>
          <w:highlight w:val="none"/>
        </w:rPr>
      </w:pPr>
      <w:r>
        <w:rPr>
          <w:rFonts w:hint="eastAsia" w:ascii="宋体" w:hAnsi="宋体"/>
          <w:b/>
          <w:bCs/>
          <w:sz w:val="24"/>
          <w:szCs w:val="24"/>
          <w:highlight w:val="none"/>
        </w:rPr>
        <w:t>包括但不限制于以下内容：</w:t>
      </w:r>
    </w:p>
    <w:p>
      <w:pPr>
        <w:spacing w:line="400" w:lineRule="exact"/>
        <w:rPr>
          <w:rFonts w:ascii="宋体" w:hAnsi="宋体" w:cs="宋体"/>
          <w:color w:val="000000"/>
          <w:spacing w:val="4"/>
          <w:kern w:val="0"/>
          <w:sz w:val="30"/>
          <w:szCs w:val="30"/>
          <w:highlight w:val="none"/>
        </w:rPr>
      </w:pPr>
      <w:r>
        <w:rPr>
          <w:rFonts w:hint="eastAsia" w:ascii="宋体" w:hAnsi="宋体" w:cs="宋体"/>
          <w:color w:val="000000"/>
          <w:spacing w:val="4"/>
          <w:kern w:val="0"/>
          <w:sz w:val="30"/>
          <w:szCs w:val="30"/>
          <w:highlight w:val="none"/>
        </w:rPr>
        <w:t>1、投标人（联合体各方）的企业单位介绍；</w:t>
      </w:r>
    </w:p>
    <w:p>
      <w:pPr>
        <w:spacing w:line="400" w:lineRule="exact"/>
        <w:rPr>
          <w:rFonts w:ascii="宋体" w:hAnsi="宋体" w:cs="宋体"/>
          <w:color w:val="000000"/>
          <w:spacing w:val="4"/>
          <w:kern w:val="0"/>
          <w:sz w:val="30"/>
          <w:szCs w:val="30"/>
          <w:highlight w:val="none"/>
        </w:rPr>
      </w:pPr>
      <w:r>
        <w:rPr>
          <w:rFonts w:hint="eastAsia" w:ascii="宋体" w:hAnsi="宋体" w:cs="宋体"/>
          <w:color w:val="000000"/>
          <w:spacing w:val="4"/>
          <w:kern w:val="0"/>
          <w:sz w:val="30"/>
          <w:szCs w:val="30"/>
          <w:highlight w:val="none"/>
        </w:rPr>
        <w:t>2、投标人的方案文件（包括：工程实施方案）；</w:t>
      </w:r>
    </w:p>
    <w:p>
      <w:pPr>
        <w:spacing w:line="400" w:lineRule="exact"/>
        <w:rPr>
          <w:rFonts w:ascii="宋体" w:hAnsi="宋体" w:cs="宋体"/>
          <w:color w:val="000000"/>
          <w:spacing w:val="4"/>
          <w:kern w:val="0"/>
          <w:sz w:val="30"/>
          <w:szCs w:val="30"/>
          <w:highlight w:val="none"/>
        </w:rPr>
      </w:pPr>
      <w:r>
        <w:rPr>
          <w:rFonts w:hint="eastAsia" w:ascii="宋体" w:hAnsi="宋体" w:cs="宋体"/>
          <w:color w:val="000000"/>
          <w:spacing w:val="4"/>
          <w:kern w:val="0"/>
          <w:sz w:val="30"/>
          <w:szCs w:val="30"/>
          <w:highlight w:val="none"/>
        </w:rPr>
        <w:t>3、投标人的资信文件（包括：管理体系、第三方评价、业绩）；</w:t>
      </w:r>
    </w:p>
    <w:p>
      <w:pPr>
        <w:spacing w:line="400" w:lineRule="exact"/>
        <w:rPr>
          <w:rFonts w:ascii="宋体" w:hAnsi="宋体" w:cs="宋体"/>
          <w:color w:val="000000"/>
          <w:spacing w:val="4"/>
          <w:kern w:val="0"/>
          <w:sz w:val="30"/>
          <w:szCs w:val="30"/>
          <w:highlight w:val="none"/>
        </w:rPr>
      </w:pPr>
      <w:r>
        <w:rPr>
          <w:rFonts w:hint="eastAsia" w:ascii="宋体" w:hAnsi="宋体" w:cs="宋体"/>
          <w:color w:val="000000"/>
          <w:spacing w:val="4"/>
          <w:kern w:val="0"/>
          <w:sz w:val="30"/>
          <w:szCs w:val="30"/>
          <w:highlight w:val="none"/>
        </w:rPr>
        <w:t>4、投标人认为需要提交的其它文件。</w:t>
      </w:r>
    </w:p>
    <w:p>
      <w:pPr>
        <w:spacing w:line="360" w:lineRule="auto"/>
        <w:jc w:val="left"/>
        <w:outlineLvl w:val="2"/>
        <w:rPr>
          <w:rFonts w:hint="eastAsia" w:ascii="宋体" w:hAnsi="宋体" w:cs="宋体"/>
          <w:b/>
          <w:bCs/>
          <w:color w:val="000000"/>
          <w:sz w:val="24"/>
          <w:szCs w:val="28"/>
          <w:highlight w:val="none"/>
        </w:rPr>
      </w:pPr>
    </w:p>
    <w:p>
      <w:pPr>
        <w:spacing w:line="360" w:lineRule="auto"/>
        <w:jc w:val="left"/>
        <w:outlineLvl w:val="2"/>
        <w:rPr>
          <w:rFonts w:hint="eastAsia" w:ascii="宋体" w:hAnsi="宋体" w:cs="宋体"/>
          <w:b/>
          <w:bCs/>
          <w:color w:val="000000"/>
          <w:sz w:val="24"/>
          <w:szCs w:val="28"/>
          <w:highlight w:val="none"/>
        </w:rPr>
      </w:pPr>
    </w:p>
    <w:p>
      <w:pPr>
        <w:spacing w:line="360" w:lineRule="auto"/>
        <w:jc w:val="left"/>
        <w:outlineLvl w:val="2"/>
        <w:rPr>
          <w:rFonts w:hint="eastAsia" w:ascii="宋体" w:hAnsi="宋体" w:cs="宋体"/>
          <w:b/>
          <w:bCs/>
          <w:color w:val="000000"/>
          <w:sz w:val="24"/>
          <w:szCs w:val="28"/>
          <w:highlight w:val="none"/>
        </w:rPr>
      </w:pPr>
    </w:p>
    <w:p>
      <w:pPr>
        <w:spacing w:line="360" w:lineRule="auto"/>
        <w:jc w:val="left"/>
        <w:outlineLvl w:val="2"/>
        <w:rPr>
          <w:rFonts w:hint="eastAsia" w:ascii="宋体" w:hAnsi="宋体" w:cs="宋体"/>
          <w:b/>
          <w:bCs/>
          <w:color w:val="000000"/>
          <w:sz w:val="24"/>
          <w:szCs w:val="28"/>
          <w:highlight w:val="none"/>
        </w:rPr>
      </w:pPr>
    </w:p>
    <w:p>
      <w:pPr>
        <w:spacing w:line="360" w:lineRule="auto"/>
        <w:jc w:val="left"/>
        <w:outlineLvl w:val="2"/>
        <w:rPr>
          <w:rFonts w:hint="eastAsia" w:ascii="宋体" w:hAnsi="宋体" w:cs="宋体"/>
          <w:b/>
          <w:bCs/>
          <w:color w:val="000000"/>
          <w:sz w:val="24"/>
          <w:szCs w:val="28"/>
          <w:highlight w:val="none"/>
        </w:rPr>
      </w:pPr>
    </w:p>
    <w:p>
      <w:pPr>
        <w:spacing w:line="360" w:lineRule="auto"/>
        <w:jc w:val="left"/>
        <w:outlineLvl w:val="2"/>
        <w:rPr>
          <w:rFonts w:hint="eastAsia" w:ascii="宋体" w:hAnsi="宋体" w:cs="宋体"/>
          <w:b/>
          <w:bCs/>
          <w:color w:val="000000"/>
          <w:sz w:val="24"/>
          <w:szCs w:val="28"/>
          <w:highlight w:val="none"/>
        </w:rPr>
      </w:pPr>
    </w:p>
    <w:p>
      <w:pPr>
        <w:spacing w:line="360" w:lineRule="auto"/>
        <w:jc w:val="left"/>
        <w:outlineLvl w:val="2"/>
        <w:rPr>
          <w:rFonts w:hint="eastAsia" w:ascii="宋体" w:hAnsi="宋体" w:cs="宋体"/>
          <w:b/>
          <w:bCs/>
          <w:color w:val="000000"/>
          <w:sz w:val="24"/>
          <w:szCs w:val="28"/>
          <w:highlight w:val="none"/>
        </w:rPr>
      </w:pPr>
    </w:p>
    <w:p>
      <w:pPr>
        <w:spacing w:line="360" w:lineRule="auto"/>
        <w:jc w:val="left"/>
        <w:outlineLvl w:val="2"/>
        <w:rPr>
          <w:rFonts w:hint="eastAsia" w:ascii="宋体" w:hAnsi="宋体" w:cs="宋体"/>
          <w:b/>
          <w:bCs/>
          <w:color w:val="000000"/>
          <w:sz w:val="24"/>
          <w:szCs w:val="28"/>
          <w:highlight w:val="none"/>
        </w:rPr>
      </w:pPr>
    </w:p>
    <w:p>
      <w:pPr>
        <w:spacing w:line="360" w:lineRule="auto"/>
        <w:jc w:val="left"/>
        <w:outlineLvl w:val="2"/>
        <w:rPr>
          <w:rFonts w:hint="eastAsia" w:ascii="宋体" w:hAnsi="宋体" w:cs="宋体"/>
          <w:b/>
          <w:bCs/>
          <w:color w:val="000000"/>
          <w:sz w:val="24"/>
          <w:szCs w:val="28"/>
          <w:highlight w:val="none"/>
        </w:rPr>
      </w:pPr>
    </w:p>
    <w:p>
      <w:pPr>
        <w:pStyle w:val="16"/>
        <w:rPr>
          <w:rFonts w:hint="eastAsia"/>
          <w:highlight w:val="none"/>
          <w:lang w:val="en-US" w:eastAsia="zh-CN"/>
        </w:rPr>
      </w:pPr>
    </w:p>
    <w:p>
      <w:pPr>
        <w:rPr>
          <w:rFonts w:hint="eastAsia"/>
          <w:highlight w:val="none"/>
        </w:rPr>
      </w:pPr>
    </w:p>
    <w:p>
      <w:pPr>
        <w:pStyle w:val="16"/>
        <w:rPr>
          <w:rFonts w:hint="eastAsia"/>
          <w:highlight w:val="none"/>
          <w:lang w:val="en-US" w:eastAsia="zh-CN"/>
        </w:rPr>
      </w:pPr>
    </w:p>
    <w:p>
      <w:pPr>
        <w:rPr>
          <w:rFonts w:hint="eastAsia"/>
          <w:highlight w:val="none"/>
        </w:rPr>
      </w:pPr>
    </w:p>
    <w:p>
      <w:pPr>
        <w:pStyle w:val="16"/>
        <w:rPr>
          <w:rFonts w:hint="eastAsia"/>
          <w:highlight w:val="none"/>
          <w:lang w:val="en-US" w:eastAsia="zh-CN"/>
        </w:rPr>
      </w:pPr>
    </w:p>
    <w:p>
      <w:pPr>
        <w:rPr>
          <w:rFonts w:hint="eastAsia"/>
          <w:highlight w:val="none"/>
        </w:rPr>
      </w:pPr>
    </w:p>
    <w:p>
      <w:pPr>
        <w:pStyle w:val="16"/>
        <w:rPr>
          <w:rFonts w:hint="eastAsia"/>
          <w:highlight w:val="none"/>
          <w:lang w:val="en-US" w:eastAsia="zh-CN"/>
        </w:rPr>
      </w:pPr>
    </w:p>
    <w:p>
      <w:pPr>
        <w:rPr>
          <w:rFonts w:hint="eastAsia"/>
          <w:highlight w:val="none"/>
        </w:rPr>
      </w:pPr>
    </w:p>
    <w:p>
      <w:pPr>
        <w:pStyle w:val="16"/>
        <w:rPr>
          <w:rFonts w:hint="eastAsia"/>
          <w:highlight w:val="none"/>
          <w:lang w:val="en-US" w:eastAsia="zh-CN"/>
        </w:rPr>
      </w:pPr>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16"/>
        <w:rPr>
          <w:rFonts w:hint="eastAsia"/>
          <w:highlight w:val="none"/>
          <w:lang w:val="en-US" w:eastAsia="zh-CN"/>
        </w:rPr>
      </w:pPr>
    </w:p>
    <w:p>
      <w:pPr>
        <w:rPr>
          <w:rFonts w:hint="eastAsia"/>
          <w:highlight w:val="none"/>
        </w:rPr>
      </w:pPr>
    </w:p>
    <w:p>
      <w:pPr>
        <w:spacing w:line="360" w:lineRule="auto"/>
        <w:jc w:val="left"/>
        <w:outlineLvl w:val="2"/>
        <w:rPr>
          <w:rFonts w:ascii="宋体" w:hAnsi="宋体" w:cs="宋体"/>
          <w:color w:val="000000"/>
          <w:highlight w:val="none"/>
        </w:rPr>
      </w:pPr>
      <w:bookmarkStart w:id="779" w:name="_Toc23180"/>
      <w:r>
        <w:rPr>
          <w:rFonts w:hint="eastAsia" w:ascii="宋体" w:hAnsi="宋体" w:cs="宋体"/>
          <w:b/>
          <w:bCs/>
          <w:color w:val="000000"/>
          <w:sz w:val="24"/>
          <w:szCs w:val="28"/>
          <w:highlight w:val="none"/>
        </w:rPr>
        <w:t>格式三：企业类似工程业绩信息表</w:t>
      </w:r>
      <w:bookmarkEnd w:id="775"/>
      <w:bookmarkEnd w:id="776"/>
      <w:bookmarkEnd w:id="779"/>
    </w:p>
    <w:p>
      <w:pPr>
        <w:rPr>
          <w:rFonts w:ascii="宋体" w:hAnsi="宋体" w:cs="宋体"/>
          <w:color w:val="000000"/>
          <w:highlight w:val="none"/>
        </w:rPr>
      </w:pPr>
    </w:p>
    <w:p>
      <w:pPr>
        <w:rPr>
          <w:rFonts w:ascii="宋体" w:hAnsi="宋体" w:cs="宋体"/>
          <w:color w:val="000000"/>
          <w:highlight w:val="none"/>
        </w:rPr>
      </w:pPr>
    </w:p>
    <w:p>
      <w:pPr>
        <w:jc w:val="center"/>
        <w:rPr>
          <w:rFonts w:ascii="宋体" w:hAnsi="宋体" w:cs="宋体"/>
          <w:b/>
          <w:color w:val="000000"/>
          <w:sz w:val="24"/>
          <w:szCs w:val="24"/>
          <w:highlight w:val="none"/>
        </w:rPr>
      </w:pPr>
      <w:r>
        <w:rPr>
          <w:rFonts w:hint="eastAsia" w:ascii="宋体" w:hAnsi="宋体" w:cs="宋体"/>
          <w:b/>
          <w:color w:val="000000"/>
          <w:sz w:val="24"/>
          <w:szCs w:val="24"/>
          <w:highlight w:val="none"/>
        </w:rPr>
        <w:t>企业类似工程业绩信息表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2"/>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500" w:type="pct"/>
            <w:noWrap w:val="0"/>
            <w:vAlign w:val="center"/>
          </w:tcPr>
          <w:p>
            <w:pPr>
              <w:jc w:val="center"/>
              <w:rPr>
                <w:rFonts w:ascii="宋体" w:hAnsi="宋体" w:cs="宋体"/>
                <w:color w:val="000000"/>
                <w:sz w:val="24"/>
                <w:szCs w:val="24"/>
                <w:highlight w:val="none"/>
              </w:rPr>
            </w:pPr>
            <w:r>
              <w:rPr>
                <w:rFonts w:hint="eastAsia" w:ascii="宋体" w:hAnsi="宋体" w:cs="宋体"/>
                <w:color w:val="000000"/>
                <w:sz w:val="24"/>
                <w:szCs w:val="24"/>
                <w:highlight w:val="none"/>
              </w:rPr>
              <w:t>项目名称</w:t>
            </w:r>
          </w:p>
        </w:tc>
        <w:tc>
          <w:tcPr>
            <w:tcW w:w="2500" w:type="pct"/>
            <w:noWrap w:val="0"/>
            <w:vAlign w:val="center"/>
          </w:tcPr>
          <w:p>
            <w:pPr>
              <w:jc w:val="center"/>
              <w:rPr>
                <w:rFonts w:ascii="宋体" w:hAnsi="宋体" w:cs="宋体"/>
                <w:color w:val="000000"/>
                <w:sz w:val="24"/>
                <w:szCs w:val="24"/>
                <w:highlight w:val="none"/>
              </w:rPr>
            </w:pPr>
            <w:r>
              <w:rPr>
                <w:rFonts w:hint="eastAsia" w:ascii="宋体" w:hAnsi="宋体" w:cs="宋体"/>
                <w:color w:val="000000"/>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500" w:type="pct"/>
            <w:noWrap w:val="0"/>
            <w:vAlign w:val="top"/>
          </w:tcPr>
          <w:p>
            <w:pPr>
              <w:jc w:val="center"/>
              <w:rPr>
                <w:rFonts w:ascii="宋体" w:hAnsi="宋体" w:cs="宋体"/>
                <w:b/>
                <w:color w:val="000000"/>
                <w:sz w:val="24"/>
                <w:szCs w:val="24"/>
                <w:highlight w:val="none"/>
              </w:rPr>
            </w:pPr>
          </w:p>
        </w:tc>
        <w:tc>
          <w:tcPr>
            <w:tcW w:w="2500" w:type="pct"/>
            <w:noWrap w:val="0"/>
            <w:vAlign w:val="top"/>
          </w:tcPr>
          <w:p>
            <w:pPr>
              <w:jc w:val="center"/>
              <w:rPr>
                <w:rFonts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500" w:type="pct"/>
            <w:noWrap w:val="0"/>
            <w:vAlign w:val="top"/>
          </w:tcPr>
          <w:p>
            <w:pPr>
              <w:jc w:val="center"/>
              <w:rPr>
                <w:rFonts w:ascii="宋体" w:hAnsi="宋体" w:cs="宋体"/>
                <w:b/>
                <w:color w:val="000000"/>
                <w:sz w:val="24"/>
                <w:szCs w:val="24"/>
                <w:highlight w:val="none"/>
              </w:rPr>
            </w:pPr>
          </w:p>
        </w:tc>
        <w:tc>
          <w:tcPr>
            <w:tcW w:w="2500" w:type="pct"/>
            <w:noWrap w:val="0"/>
            <w:vAlign w:val="top"/>
          </w:tcPr>
          <w:p>
            <w:pPr>
              <w:jc w:val="center"/>
              <w:rPr>
                <w:rFonts w:ascii="宋体" w:hAnsi="宋体" w:cs="宋体"/>
                <w:b/>
                <w:color w:val="000000"/>
                <w:sz w:val="24"/>
                <w:szCs w:val="24"/>
                <w:highlight w:val="none"/>
              </w:rPr>
            </w:pPr>
          </w:p>
        </w:tc>
      </w:tr>
    </w:tbl>
    <w:p>
      <w:pPr>
        <w:spacing w:line="36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注：</w:t>
      </w:r>
      <w:r>
        <w:rPr>
          <w:rFonts w:hint="eastAsia" w:ascii="宋体" w:hAnsi="宋体"/>
          <w:color w:val="auto"/>
          <w:sz w:val="21"/>
          <w:szCs w:val="21"/>
          <w:highlight w:val="none"/>
          <w:lang w:val="en-US" w:eastAsia="zh-CN"/>
        </w:rPr>
        <w:t>类似工程</w:t>
      </w:r>
      <w:r>
        <w:rPr>
          <w:rFonts w:hint="eastAsia" w:ascii="宋体" w:hAnsi="宋体" w:eastAsia="宋体" w:cs="宋体"/>
          <w:color w:val="000000"/>
          <w:sz w:val="21"/>
          <w:szCs w:val="21"/>
          <w:highlight w:val="none"/>
        </w:rPr>
        <w:t>业绩</w:t>
      </w:r>
      <w:r>
        <w:rPr>
          <w:rFonts w:hint="eastAsia" w:ascii="宋体" w:hAnsi="宋体" w:eastAsia="宋体" w:cs="宋体"/>
          <w:color w:val="000000"/>
          <w:sz w:val="21"/>
          <w:szCs w:val="21"/>
          <w:highlight w:val="none"/>
          <w:lang w:eastAsia="zh-CN"/>
        </w:rPr>
        <w:t>提供扫描件。</w:t>
      </w:r>
    </w:p>
    <w:p>
      <w:pPr>
        <w:pStyle w:val="62"/>
        <w:spacing w:line="360"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（1）建筑面积以施工总承包合同或工程总承包合同（施工部分）（不含补充合同）为准，若施工总承包合同或工程总承包合同（施工部分）没标明，则以建设单位证明文件为准。</w:t>
      </w:r>
    </w:p>
    <w:p>
      <w:pPr>
        <w:pStyle w:val="62"/>
        <w:spacing w:line="360"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（2）完成时间以竣工验收文件为准。验收文件至少具有建设单位、设计、施工和监理单位盖章（适用于施工总承包项目）。</w:t>
      </w:r>
    </w:p>
    <w:p>
      <w:pPr>
        <w:pStyle w:val="62"/>
        <w:ind w:firstLine="3596" w:firstLineChars="1450"/>
        <w:rPr>
          <w:rFonts w:ascii="宋体" w:hAnsi="宋体" w:cs="宋体"/>
          <w:color w:val="000000"/>
          <w:highlight w:val="none"/>
        </w:rPr>
      </w:pPr>
    </w:p>
    <w:p>
      <w:pPr>
        <w:pStyle w:val="62"/>
        <w:ind w:firstLine="3596" w:firstLineChars="1450"/>
        <w:rPr>
          <w:rFonts w:ascii="宋体" w:hAnsi="宋体" w:cs="宋体"/>
          <w:color w:val="000000"/>
          <w:highlight w:val="none"/>
        </w:rPr>
      </w:pPr>
      <w:r>
        <w:rPr>
          <w:rFonts w:hint="eastAsia" w:ascii="宋体" w:hAnsi="宋体" w:cs="宋体"/>
          <w:color w:val="000000"/>
          <w:highlight w:val="none"/>
        </w:rPr>
        <w:t>投标人：　　（盖章）</w:t>
      </w:r>
    </w:p>
    <w:p>
      <w:pPr>
        <w:pStyle w:val="62"/>
        <w:ind w:firstLine="3596" w:firstLineChars="1450"/>
        <w:rPr>
          <w:rFonts w:ascii="宋体" w:hAnsi="宋体" w:cs="宋体"/>
          <w:color w:val="000000"/>
          <w:highlight w:val="none"/>
        </w:rPr>
      </w:pPr>
      <w:r>
        <w:rPr>
          <w:rFonts w:hint="eastAsia" w:ascii="宋体" w:hAnsi="宋体" w:cs="宋体"/>
          <w:color w:val="000000"/>
          <w:highlight w:val="none"/>
        </w:rPr>
        <w:t>法定代表人或授权代理人(签字或盖章)：</w:t>
      </w:r>
    </w:p>
    <w:p>
      <w:pPr>
        <w:ind w:firstLine="3596" w:firstLineChars="1450"/>
        <w:rPr>
          <w:rFonts w:ascii="宋体" w:hAnsi="宋体" w:cs="宋体"/>
          <w:snapToGrid w:val="0"/>
          <w:color w:val="000000"/>
          <w:spacing w:val="4"/>
          <w:kern w:val="0"/>
          <w:sz w:val="24"/>
          <w:szCs w:val="24"/>
          <w:highlight w:val="none"/>
        </w:rPr>
      </w:pPr>
      <w:bookmarkStart w:id="780" w:name="_Toc532475362"/>
      <w:bookmarkStart w:id="781" w:name="_Toc510963892"/>
      <w:bookmarkStart w:id="782" w:name="_Toc532475795"/>
      <w:r>
        <w:rPr>
          <w:rFonts w:hint="eastAsia" w:ascii="宋体" w:hAnsi="宋体" w:cs="宋体"/>
          <w:snapToGrid w:val="0"/>
          <w:color w:val="000000"/>
          <w:spacing w:val="4"/>
          <w:kern w:val="0"/>
          <w:sz w:val="24"/>
          <w:szCs w:val="24"/>
          <w:highlight w:val="none"/>
        </w:rPr>
        <w:t>日   期：     年    月    日</w:t>
      </w:r>
      <w:bookmarkEnd w:id="780"/>
      <w:bookmarkEnd w:id="781"/>
      <w:bookmarkEnd w:id="782"/>
    </w:p>
    <w:p>
      <w:pPr>
        <w:pStyle w:val="16"/>
        <w:rPr>
          <w:rFonts w:hint="eastAsia"/>
          <w:highlight w:val="none"/>
          <w:lang w:eastAsia="zh-CN"/>
        </w:rPr>
      </w:pPr>
    </w:p>
    <w:p>
      <w:pPr>
        <w:rPr>
          <w:rFonts w:hint="eastAsia"/>
          <w:highlight w:val="none"/>
        </w:rPr>
      </w:pPr>
    </w:p>
    <w:p>
      <w:pPr>
        <w:pStyle w:val="16"/>
        <w:rPr>
          <w:rFonts w:hint="eastAsia"/>
          <w:highlight w:val="none"/>
          <w:lang w:eastAsia="zh-CN"/>
        </w:rPr>
      </w:pPr>
    </w:p>
    <w:p>
      <w:pPr>
        <w:rPr>
          <w:rFonts w:hint="eastAsia"/>
          <w:highlight w:val="none"/>
        </w:rPr>
      </w:pPr>
    </w:p>
    <w:p>
      <w:pPr>
        <w:pStyle w:val="16"/>
        <w:rPr>
          <w:rFonts w:hint="eastAsia"/>
          <w:highlight w:val="none"/>
        </w:rPr>
      </w:pPr>
    </w:p>
    <w:p>
      <w:pPr>
        <w:rPr>
          <w:rFonts w:hint="eastAsia"/>
          <w:highlight w:val="none"/>
        </w:rPr>
      </w:pPr>
    </w:p>
    <w:p>
      <w:pPr>
        <w:pStyle w:val="16"/>
        <w:rPr>
          <w:rFonts w:hint="eastAsia"/>
          <w:highlight w:val="none"/>
        </w:rPr>
      </w:pPr>
    </w:p>
    <w:p>
      <w:pPr>
        <w:rPr>
          <w:rFonts w:hint="eastAsia"/>
          <w:highlight w:val="none"/>
        </w:rPr>
      </w:pPr>
    </w:p>
    <w:p>
      <w:pPr>
        <w:pStyle w:val="16"/>
        <w:rPr>
          <w:rFonts w:hint="eastAsia"/>
          <w:highlight w:val="none"/>
        </w:rPr>
      </w:pPr>
    </w:p>
    <w:p>
      <w:pPr>
        <w:pStyle w:val="16"/>
        <w:rPr>
          <w:rFonts w:hint="eastAsia"/>
          <w:highlight w:val="none"/>
          <w:lang w:val="zh-CN"/>
        </w:rPr>
      </w:pPr>
    </w:p>
    <w:sectPr>
      <w:pgSz w:w="11906" w:h="16838"/>
      <w:pgMar w:top="1440" w:right="1519"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TSong-Light">
    <w:altName w:val="Times New Roman"/>
    <w:panose1 w:val="00000000000000000000"/>
    <w:charset w:val="00"/>
    <w:family w:val="auto"/>
    <w:pitch w:val="default"/>
    <w:sig w:usb0="00000000" w:usb1="00000000" w:usb2="00000000" w:usb3="00000000" w:csb0="00040001" w:csb1="00000000"/>
  </w:font>
  <w:font w:name="方正大标宋简体">
    <w:altName w:val="微软雅黑"/>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5LUJ8kBAACeAwAADgAAAGRycy9lMm9Eb2MueG1srVNLbtswEN0XyB0I&#10;7mPJRlE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6FtKLDP44Ofv384/fp1/fiXL&#10;clUlhXoPNRY+eSyNw50bcG/mOGAwER9kMOmLlAjmUd/TRV8xRMLTpWpVVS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PktQnyQEAAJ4DAAAOAAAAAAAAAAEAIAAAAB4BAABkcnMvZTJvRG9j&#10;LnhtbFBLBQYAAAAABgAGAFkBAABZ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rRH/TIAQAAng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2"/>
      </w:rPr>
    </w:pPr>
    <w:r>
      <w:fldChar w:fldCharType="begin"/>
    </w:r>
    <w:r>
      <w:rPr>
        <w:rStyle w:val="42"/>
      </w:rPr>
      <w:instrText xml:space="preserve">PAGE  </w:instrText>
    </w:r>
    <w:r>
      <w:fldChar w:fldCharType="separate"/>
    </w:r>
    <w:r>
      <w:rPr>
        <w:rStyle w:val="42"/>
        <w:rFonts w:hint="eastAsia"/>
      </w:rPr>
      <w:t>一</w:t>
    </w:r>
    <w:r>
      <w:rPr>
        <w:rStyle w:val="42"/>
      </w:rPr>
      <w:t>–2</w:t>
    </w:r>
    <w:r>
      <w:fldChar w:fldCharType="end"/>
    </w:r>
  </w:p>
  <w:p>
    <w:pPr>
      <w:pStyle w:val="2"/>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zYa5jIAQAAng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ZugS8kBAACe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5w5YenBL9+/XX78uvz8ypbl&#10;y2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5m6BLyQEAAJ4DAAAOAAAAAAAAAAEAIAAAAB4BAABkcnMvZTJvRG9j&#10;LnhtbFBLBQYAAAAABgAGAFkBAABZ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l1we3IAQAAng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3240"/>
      </w:tabs>
      <w:kinsoku w:val="0"/>
      <w:overflowPunct w:val="0"/>
      <w:spacing w:line="14" w:lineRule="auto"/>
      <w:rPr>
        <w:sz w:val="20"/>
      </w:rPr>
    </w:pPr>
    <w:r>
      <w:rPr>
        <w:rFonts w:hint="eastAsia"/>
        <w:sz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7BA99"/>
    <w:multiLevelType w:val="singleLevel"/>
    <w:tmpl w:val="DD77BA99"/>
    <w:lvl w:ilvl="0" w:tentative="0">
      <w:start w:val="5"/>
      <w:numFmt w:val="chineseCounting"/>
      <w:suff w:val="space"/>
      <w:lvlText w:val="第%1章"/>
      <w:lvlJc w:val="left"/>
      <w:rPr>
        <w:rFonts w:hint="eastAsia"/>
      </w:rPr>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5E134926"/>
    <w:multiLevelType w:val="singleLevel"/>
    <w:tmpl w:val="5E134926"/>
    <w:lvl w:ilvl="0" w:tentative="0">
      <w:start w:val="1"/>
      <w:numFmt w:val="decimal"/>
      <w:lvlText w:val="%1."/>
      <w:lvlJc w:val="left"/>
      <w:pPr>
        <w:ind w:left="425" w:hanging="425"/>
      </w:pPr>
      <w:rPr>
        <w:rFonts w:hint="default"/>
      </w:rPr>
    </w:lvl>
  </w:abstractNum>
  <w:abstractNum w:abstractNumId="3">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34246F"/>
    <w:multiLevelType w:val="singleLevel"/>
    <w:tmpl w:val="6D34246F"/>
    <w:lvl w:ilvl="0" w:tentative="0">
      <w:start w:val="4"/>
      <w:numFmt w:val="decimal"/>
      <w:suff w:val="space"/>
      <w:lvlText w:val="%1."/>
      <w:lvlJc w:val="left"/>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安锦">
    <w15:presenceInfo w15:providerId="WPS Office" w15:userId="2561075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ZjRkZDA2M2YwMjBkNGExMzU1YzI4ODI3ZjAwMDAifQ=="/>
  </w:docVars>
  <w:rsids>
    <w:rsidRoot w:val="00172A27"/>
    <w:rsid w:val="00000DE9"/>
    <w:rsid w:val="0000133A"/>
    <w:rsid w:val="00001518"/>
    <w:rsid w:val="00001B17"/>
    <w:rsid w:val="0000378D"/>
    <w:rsid w:val="0000562D"/>
    <w:rsid w:val="0000771B"/>
    <w:rsid w:val="00012E70"/>
    <w:rsid w:val="0001314A"/>
    <w:rsid w:val="00013409"/>
    <w:rsid w:val="0001673E"/>
    <w:rsid w:val="0001686B"/>
    <w:rsid w:val="00030637"/>
    <w:rsid w:val="00030BFA"/>
    <w:rsid w:val="00033FD3"/>
    <w:rsid w:val="00036079"/>
    <w:rsid w:val="00037489"/>
    <w:rsid w:val="0003765B"/>
    <w:rsid w:val="00040E20"/>
    <w:rsid w:val="00043F7E"/>
    <w:rsid w:val="0004768B"/>
    <w:rsid w:val="0005291F"/>
    <w:rsid w:val="00052D5F"/>
    <w:rsid w:val="000538FB"/>
    <w:rsid w:val="000540B8"/>
    <w:rsid w:val="000547A0"/>
    <w:rsid w:val="000568C9"/>
    <w:rsid w:val="00060554"/>
    <w:rsid w:val="000609DC"/>
    <w:rsid w:val="00061B45"/>
    <w:rsid w:val="00061E2D"/>
    <w:rsid w:val="00062B5A"/>
    <w:rsid w:val="00063FD1"/>
    <w:rsid w:val="00066C21"/>
    <w:rsid w:val="00066E93"/>
    <w:rsid w:val="00071E5D"/>
    <w:rsid w:val="00073ACE"/>
    <w:rsid w:val="0007578B"/>
    <w:rsid w:val="00076D54"/>
    <w:rsid w:val="000773D6"/>
    <w:rsid w:val="000823A6"/>
    <w:rsid w:val="00082FEA"/>
    <w:rsid w:val="00083312"/>
    <w:rsid w:val="000842DE"/>
    <w:rsid w:val="000875D8"/>
    <w:rsid w:val="00094665"/>
    <w:rsid w:val="00096DB1"/>
    <w:rsid w:val="000974B7"/>
    <w:rsid w:val="00097D5C"/>
    <w:rsid w:val="00097E04"/>
    <w:rsid w:val="000A0AB8"/>
    <w:rsid w:val="000A10D2"/>
    <w:rsid w:val="000A401E"/>
    <w:rsid w:val="000A5AC8"/>
    <w:rsid w:val="000A68CC"/>
    <w:rsid w:val="000A6DC9"/>
    <w:rsid w:val="000B22A1"/>
    <w:rsid w:val="000B2B70"/>
    <w:rsid w:val="000B36AD"/>
    <w:rsid w:val="000B5901"/>
    <w:rsid w:val="000B5A36"/>
    <w:rsid w:val="000B615E"/>
    <w:rsid w:val="000B7682"/>
    <w:rsid w:val="000C1C5E"/>
    <w:rsid w:val="000C4A60"/>
    <w:rsid w:val="000C50C0"/>
    <w:rsid w:val="000C548B"/>
    <w:rsid w:val="000C5CD6"/>
    <w:rsid w:val="000C77AE"/>
    <w:rsid w:val="000C7F1C"/>
    <w:rsid w:val="000D1854"/>
    <w:rsid w:val="000D308B"/>
    <w:rsid w:val="000D4709"/>
    <w:rsid w:val="000D6EC1"/>
    <w:rsid w:val="000E0542"/>
    <w:rsid w:val="000E3F41"/>
    <w:rsid w:val="000E64BF"/>
    <w:rsid w:val="000F0E16"/>
    <w:rsid w:val="000F4FE9"/>
    <w:rsid w:val="00100E67"/>
    <w:rsid w:val="00101757"/>
    <w:rsid w:val="0010359E"/>
    <w:rsid w:val="00104A71"/>
    <w:rsid w:val="00105273"/>
    <w:rsid w:val="0011035C"/>
    <w:rsid w:val="00111D53"/>
    <w:rsid w:val="0011205D"/>
    <w:rsid w:val="001132D2"/>
    <w:rsid w:val="00114E7E"/>
    <w:rsid w:val="00116540"/>
    <w:rsid w:val="001211A7"/>
    <w:rsid w:val="00122496"/>
    <w:rsid w:val="0012269E"/>
    <w:rsid w:val="001245D3"/>
    <w:rsid w:val="0012543F"/>
    <w:rsid w:val="00126DDC"/>
    <w:rsid w:val="0013253A"/>
    <w:rsid w:val="00134893"/>
    <w:rsid w:val="001358F9"/>
    <w:rsid w:val="00136226"/>
    <w:rsid w:val="0013775A"/>
    <w:rsid w:val="00140592"/>
    <w:rsid w:val="001415F6"/>
    <w:rsid w:val="001439D7"/>
    <w:rsid w:val="00144067"/>
    <w:rsid w:val="00144387"/>
    <w:rsid w:val="00146694"/>
    <w:rsid w:val="0015105C"/>
    <w:rsid w:val="00152925"/>
    <w:rsid w:val="0015336D"/>
    <w:rsid w:val="0015521B"/>
    <w:rsid w:val="0016128D"/>
    <w:rsid w:val="00161F46"/>
    <w:rsid w:val="0016373A"/>
    <w:rsid w:val="00165C2C"/>
    <w:rsid w:val="00167BEE"/>
    <w:rsid w:val="00167C11"/>
    <w:rsid w:val="00167EEA"/>
    <w:rsid w:val="00170E33"/>
    <w:rsid w:val="001710EC"/>
    <w:rsid w:val="00171738"/>
    <w:rsid w:val="001724F4"/>
    <w:rsid w:val="00174BA7"/>
    <w:rsid w:val="00176254"/>
    <w:rsid w:val="00181D3A"/>
    <w:rsid w:val="0018357F"/>
    <w:rsid w:val="0018385E"/>
    <w:rsid w:val="001853CD"/>
    <w:rsid w:val="00187754"/>
    <w:rsid w:val="00187A83"/>
    <w:rsid w:val="0019565B"/>
    <w:rsid w:val="001973D4"/>
    <w:rsid w:val="001A1BF6"/>
    <w:rsid w:val="001A346A"/>
    <w:rsid w:val="001A4C48"/>
    <w:rsid w:val="001A5612"/>
    <w:rsid w:val="001A7180"/>
    <w:rsid w:val="001A730F"/>
    <w:rsid w:val="001A7880"/>
    <w:rsid w:val="001B283F"/>
    <w:rsid w:val="001B39AC"/>
    <w:rsid w:val="001B4A13"/>
    <w:rsid w:val="001B5BF8"/>
    <w:rsid w:val="001B5DEE"/>
    <w:rsid w:val="001C45BD"/>
    <w:rsid w:val="001C5C4F"/>
    <w:rsid w:val="001C614B"/>
    <w:rsid w:val="001C70DC"/>
    <w:rsid w:val="001C7EB3"/>
    <w:rsid w:val="001D13D5"/>
    <w:rsid w:val="001D2A0F"/>
    <w:rsid w:val="001D2AC0"/>
    <w:rsid w:val="001D3FD4"/>
    <w:rsid w:val="001D4370"/>
    <w:rsid w:val="001D4B15"/>
    <w:rsid w:val="001D4C1F"/>
    <w:rsid w:val="001D75EB"/>
    <w:rsid w:val="001E16C8"/>
    <w:rsid w:val="001E2917"/>
    <w:rsid w:val="001E3DE6"/>
    <w:rsid w:val="001F0447"/>
    <w:rsid w:val="001F0B11"/>
    <w:rsid w:val="001F1441"/>
    <w:rsid w:val="001F4808"/>
    <w:rsid w:val="001F4EA1"/>
    <w:rsid w:val="001F6F0A"/>
    <w:rsid w:val="0020041E"/>
    <w:rsid w:val="00201ABD"/>
    <w:rsid w:val="002028F9"/>
    <w:rsid w:val="002046B5"/>
    <w:rsid w:val="00204791"/>
    <w:rsid w:val="00204E1A"/>
    <w:rsid w:val="002074D8"/>
    <w:rsid w:val="00207A2B"/>
    <w:rsid w:val="00207E72"/>
    <w:rsid w:val="0021237C"/>
    <w:rsid w:val="00213DB0"/>
    <w:rsid w:val="00216226"/>
    <w:rsid w:val="00216350"/>
    <w:rsid w:val="00216982"/>
    <w:rsid w:val="00220CAC"/>
    <w:rsid w:val="00221377"/>
    <w:rsid w:val="00222071"/>
    <w:rsid w:val="00222AE0"/>
    <w:rsid w:val="00223225"/>
    <w:rsid w:val="00224318"/>
    <w:rsid w:val="00225C66"/>
    <w:rsid w:val="00230F5A"/>
    <w:rsid w:val="00232D5A"/>
    <w:rsid w:val="00235E85"/>
    <w:rsid w:val="002363F8"/>
    <w:rsid w:val="0023665A"/>
    <w:rsid w:val="002378C5"/>
    <w:rsid w:val="00242238"/>
    <w:rsid w:val="00246CFF"/>
    <w:rsid w:val="00251321"/>
    <w:rsid w:val="002528C7"/>
    <w:rsid w:val="00253068"/>
    <w:rsid w:val="00261799"/>
    <w:rsid w:val="00261A88"/>
    <w:rsid w:val="00261CA9"/>
    <w:rsid w:val="00262EC5"/>
    <w:rsid w:val="00263F40"/>
    <w:rsid w:val="00264E6E"/>
    <w:rsid w:val="00264EDB"/>
    <w:rsid w:val="00266162"/>
    <w:rsid w:val="00266B6C"/>
    <w:rsid w:val="00266D48"/>
    <w:rsid w:val="00267458"/>
    <w:rsid w:val="0026782A"/>
    <w:rsid w:val="00267E84"/>
    <w:rsid w:val="00270D15"/>
    <w:rsid w:val="0027131E"/>
    <w:rsid w:val="00274EC6"/>
    <w:rsid w:val="00275CAC"/>
    <w:rsid w:val="00276664"/>
    <w:rsid w:val="0027705D"/>
    <w:rsid w:val="00277F2C"/>
    <w:rsid w:val="00282C09"/>
    <w:rsid w:val="0028343D"/>
    <w:rsid w:val="00284D63"/>
    <w:rsid w:val="00285466"/>
    <w:rsid w:val="00286036"/>
    <w:rsid w:val="00287F11"/>
    <w:rsid w:val="002915CD"/>
    <w:rsid w:val="00291E5D"/>
    <w:rsid w:val="0029269C"/>
    <w:rsid w:val="00293C36"/>
    <w:rsid w:val="00294674"/>
    <w:rsid w:val="0029568C"/>
    <w:rsid w:val="00295708"/>
    <w:rsid w:val="002A0000"/>
    <w:rsid w:val="002A026C"/>
    <w:rsid w:val="002A0514"/>
    <w:rsid w:val="002A10D9"/>
    <w:rsid w:val="002A2DBA"/>
    <w:rsid w:val="002A30C4"/>
    <w:rsid w:val="002A33E4"/>
    <w:rsid w:val="002A4006"/>
    <w:rsid w:val="002A43A5"/>
    <w:rsid w:val="002A5913"/>
    <w:rsid w:val="002A62BD"/>
    <w:rsid w:val="002B0A35"/>
    <w:rsid w:val="002B0A83"/>
    <w:rsid w:val="002B2185"/>
    <w:rsid w:val="002B2CA4"/>
    <w:rsid w:val="002B3D06"/>
    <w:rsid w:val="002B4717"/>
    <w:rsid w:val="002C0033"/>
    <w:rsid w:val="002C2072"/>
    <w:rsid w:val="002C2F79"/>
    <w:rsid w:val="002C3197"/>
    <w:rsid w:val="002C428C"/>
    <w:rsid w:val="002C6063"/>
    <w:rsid w:val="002D117D"/>
    <w:rsid w:val="002D2274"/>
    <w:rsid w:val="002D2D65"/>
    <w:rsid w:val="002D35C5"/>
    <w:rsid w:val="002D68C0"/>
    <w:rsid w:val="002D71B1"/>
    <w:rsid w:val="002E202C"/>
    <w:rsid w:val="002E24F2"/>
    <w:rsid w:val="002E414B"/>
    <w:rsid w:val="002E43C5"/>
    <w:rsid w:val="002E7F95"/>
    <w:rsid w:val="002F22D9"/>
    <w:rsid w:val="002F3C62"/>
    <w:rsid w:val="002F3EA3"/>
    <w:rsid w:val="002F4079"/>
    <w:rsid w:val="002F5030"/>
    <w:rsid w:val="002F6332"/>
    <w:rsid w:val="002F7B55"/>
    <w:rsid w:val="0030093A"/>
    <w:rsid w:val="00300B06"/>
    <w:rsid w:val="00304035"/>
    <w:rsid w:val="003050FC"/>
    <w:rsid w:val="00305258"/>
    <w:rsid w:val="003074D3"/>
    <w:rsid w:val="003075E7"/>
    <w:rsid w:val="0031010C"/>
    <w:rsid w:val="00312AA7"/>
    <w:rsid w:val="00313580"/>
    <w:rsid w:val="00314D9D"/>
    <w:rsid w:val="0031563E"/>
    <w:rsid w:val="0031593B"/>
    <w:rsid w:val="0031695B"/>
    <w:rsid w:val="003217C5"/>
    <w:rsid w:val="003236E1"/>
    <w:rsid w:val="00324276"/>
    <w:rsid w:val="00325081"/>
    <w:rsid w:val="00330509"/>
    <w:rsid w:val="0033058E"/>
    <w:rsid w:val="00332076"/>
    <w:rsid w:val="00333175"/>
    <w:rsid w:val="00334C0D"/>
    <w:rsid w:val="00335DBE"/>
    <w:rsid w:val="00336351"/>
    <w:rsid w:val="00337386"/>
    <w:rsid w:val="003376E5"/>
    <w:rsid w:val="00341D0C"/>
    <w:rsid w:val="00341DF6"/>
    <w:rsid w:val="00343460"/>
    <w:rsid w:val="00344431"/>
    <w:rsid w:val="0034515A"/>
    <w:rsid w:val="00350009"/>
    <w:rsid w:val="00351A45"/>
    <w:rsid w:val="00351A93"/>
    <w:rsid w:val="00352BB1"/>
    <w:rsid w:val="00353155"/>
    <w:rsid w:val="00354E74"/>
    <w:rsid w:val="0035666E"/>
    <w:rsid w:val="003574C1"/>
    <w:rsid w:val="003608E3"/>
    <w:rsid w:val="00361DB2"/>
    <w:rsid w:val="00364051"/>
    <w:rsid w:val="00364812"/>
    <w:rsid w:val="0036481E"/>
    <w:rsid w:val="003654D3"/>
    <w:rsid w:val="00367C89"/>
    <w:rsid w:val="00367E75"/>
    <w:rsid w:val="0037065F"/>
    <w:rsid w:val="00370AA2"/>
    <w:rsid w:val="00372A67"/>
    <w:rsid w:val="00372B70"/>
    <w:rsid w:val="00373E82"/>
    <w:rsid w:val="00374C0D"/>
    <w:rsid w:val="003750F8"/>
    <w:rsid w:val="00376230"/>
    <w:rsid w:val="00377245"/>
    <w:rsid w:val="0037757B"/>
    <w:rsid w:val="003802FD"/>
    <w:rsid w:val="00380BDE"/>
    <w:rsid w:val="00382034"/>
    <w:rsid w:val="00383688"/>
    <w:rsid w:val="00387D67"/>
    <w:rsid w:val="00390955"/>
    <w:rsid w:val="00391B4A"/>
    <w:rsid w:val="0039202F"/>
    <w:rsid w:val="0039216B"/>
    <w:rsid w:val="003943EC"/>
    <w:rsid w:val="00395588"/>
    <w:rsid w:val="00395D6F"/>
    <w:rsid w:val="0039742E"/>
    <w:rsid w:val="00397EE0"/>
    <w:rsid w:val="003A01A8"/>
    <w:rsid w:val="003A2152"/>
    <w:rsid w:val="003A2934"/>
    <w:rsid w:val="003A307E"/>
    <w:rsid w:val="003A50B6"/>
    <w:rsid w:val="003A5178"/>
    <w:rsid w:val="003B1493"/>
    <w:rsid w:val="003B2155"/>
    <w:rsid w:val="003B217C"/>
    <w:rsid w:val="003B2ED9"/>
    <w:rsid w:val="003B46DF"/>
    <w:rsid w:val="003C4211"/>
    <w:rsid w:val="003C6E0A"/>
    <w:rsid w:val="003D016E"/>
    <w:rsid w:val="003D0C46"/>
    <w:rsid w:val="003D228E"/>
    <w:rsid w:val="003D2DA1"/>
    <w:rsid w:val="003D3657"/>
    <w:rsid w:val="003D49B3"/>
    <w:rsid w:val="003D4DCB"/>
    <w:rsid w:val="003D7279"/>
    <w:rsid w:val="003D7908"/>
    <w:rsid w:val="003E0B8A"/>
    <w:rsid w:val="003E212B"/>
    <w:rsid w:val="003E4AC8"/>
    <w:rsid w:val="003E4EC4"/>
    <w:rsid w:val="003E5720"/>
    <w:rsid w:val="003E755A"/>
    <w:rsid w:val="003F3181"/>
    <w:rsid w:val="003F3708"/>
    <w:rsid w:val="003F3BE3"/>
    <w:rsid w:val="003F68B1"/>
    <w:rsid w:val="00402290"/>
    <w:rsid w:val="00402748"/>
    <w:rsid w:val="00402A04"/>
    <w:rsid w:val="00403310"/>
    <w:rsid w:val="00403D3F"/>
    <w:rsid w:val="00404FBA"/>
    <w:rsid w:val="00405EE9"/>
    <w:rsid w:val="004062B8"/>
    <w:rsid w:val="00407BB4"/>
    <w:rsid w:val="00410FD3"/>
    <w:rsid w:val="00411E2F"/>
    <w:rsid w:val="00413A76"/>
    <w:rsid w:val="00413ADB"/>
    <w:rsid w:val="00415CCB"/>
    <w:rsid w:val="00416E62"/>
    <w:rsid w:val="0042161D"/>
    <w:rsid w:val="004225F2"/>
    <w:rsid w:val="0042475D"/>
    <w:rsid w:val="00424801"/>
    <w:rsid w:val="00426552"/>
    <w:rsid w:val="0043077C"/>
    <w:rsid w:val="004311D6"/>
    <w:rsid w:val="00432EC2"/>
    <w:rsid w:val="004332AB"/>
    <w:rsid w:val="0043367A"/>
    <w:rsid w:val="004345AA"/>
    <w:rsid w:val="00435039"/>
    <w:rsid w:val="00436222"/>
    <w:rsid w:val="00436E8A"/>
    <w:rsid w:val="0044282A"/>
    <w:rsid w:val="0044332C"/>
    <w:rsid w:val="00444B58"/>
    <w:rsid w:val="0044659E"/>
    <w:rsid w:val="00447E46"/>
    <w:rsid w:val="004511DC"/>
    <w:rsid w:val="004517CA"/>
    <w:rsid w:val="00451A19"/>
    <w:rsid w:val="00452710"/>
    <w:rsid w:val="004532CE"/>
    <w:rsid w:val="00453489"/>
    <w:rsid w:val="004554AE"/>
    <w:rsid w:val="00456AC9"/>
    <w:rsid w:val="00457B69"/>
    <w:rsid w:val="0046132E"/>
    <w:rsid w:val="004618AD"/>
    <w:rsid w:val="00463196"/>
    <w:rsid w:val="00466B95"/>
    <w:rsid w:val="00467288"/>
    <w:rsid w:val="00467786"/>
    <w:rsid w:val="004708AE"/>
    <w:rsid w:val="00470C4D"/>
    <w:rsid w:val="00472135"/>
    <w:rsid w:val="00474B4B"/>
    <w:rsid w:val="00475F43"/>
    <w:rsid w:val="0047619C"/>
    <w:rsid w:val="004761F4"/>
    <w:rsid w:val="00476944"/>
    <w:rsid w:val="00476E80"/>
    <w:rsid w:val="0047733F"/>
    <w:rsid w:val="004776F2"/>
    <w:rsid w:val="004810C7"/>
    <w:rsid w:val="0048165B"/>
    <w:rsid w:val="004822E7"/>
    <w:rsid w:val="00485A1F"/>
    <w:rsid w:val="00486726"/>
    <w:rsid w:val="00486BCD"/>
    <w:rsid w:val="00487072"/>
    <w:rsid w:val="0048708A"/>
    <w:rsid w:val="00487E26"/>
    <w:rsid w:val="00491555"/>
    <w:rsid w:val="00495415"/>
    <w:rsid w:val="004964B5"/>
    <w:rsid w:val="00497291"/>
    <w:rsid w:val="004A140F"/>
    <w:rsid w:val="004A196E"/>
    <w:rsid w:val="004A216C"/>
    <w:rsid w:val="004A3A93"/>
    <w:rsid w:val="004A4257"/>
    <w:rsid w:val="004A4887"/>
    <w:rsid w:val="004A764F"/>
    <w:rsid w:val="004B0BAC"/>
    <w:rsid w:val="004B174D"/>
    <w:rsid w:val="004B1D11"/>
    <w:rsid w:val="004B1F08"/>
    <w:rsid w:val="004B28B8"/>
    <w:rsid w:val="004B2904"/>
    <w:rsid w:val="004B3953"/>
    <w:rsid w:val="004B44F0"/>
    <w:rsid w:val="004B45C8"/>
    <w:rsid w:val="004B537B"/>
    <w:rsid w:val="004B6A56"/>
    <w:rsid w:val="004C1025"/>
    <w:rsid w:val="004C164C"/>
    <w:rsid w:val="004C2804"/>
    <w:rsid w:val="004C6064"/>
    <w:rsid w:val="004C7092"/>
    <w:rsid w:val="004D20D4"/>
    <w:rsid w:val="004D35D1"/>
    <w:rsid w:val="004D4FE6"/>
    <w:rsid w:val="004D67A0"/>
    <w:rsid w:val="004D7F6F"/>
    <w:rsid w:val="004E1452"/>
    <w:rsid w:val="004E16E5"/>
    <w:rsid w:val="004E21E4"/>
    <w:rsid w:val="004E3270"/>
    <w:rsid w:val="004E5415"/>
    <w:rsid w:val="004E6D71"/>
    <w:rsid w:val="004F0214"/>
    <w:rsid w:val="004F581C"/>
    <w:rsid w:val="00501C0C"/>
    <w:rsid w:val="00502DBE"/>
    <w:rsid w:val="00505774"/>
    <w:rsid w:val="0050639C"/>
    <w:rsid w:val="00506AF2"/>
    <w:rsid w:val="00507D99"/>
    <w:rsid w:val="00510DB1"/>
    <w:rsid w:val="0051158E"/>
    <w:rsid w:val="00512CC1"/>
    <w:rsid w:val="00515834"/>
    <w:rsid w:val="00517889"/>
    <w:rsid w:val="00520C76"/>
    <w:rsid w:val="005215B7"/>
    <w:rsid w:val="005216C4"/>
    <w:rsid w:val="00524210"/>
    <w:rsid w:val="00524A00"/>
    <w:rsid w:val="005258D9"/>
    <w:rsid w:val="00527C61"/>
    <w:rsid w:val="00530D73"/>
    <w:rsid w:val="005315D7"/>
    <w:rsid w:val="005317D3"/>
    <w:rsid w:val="00534307"/>
    <w:rsid w:val="00536185"/>
    <w:rsid w:val="0053694F"/>
    <w:rsid w:val="00537D7A"/>
    <w:rsid w:val="00537FC0"/>
    <w:rsid w:val="00540D29"/>
    <w:rsid w:val="00541C7A"/>
    <w:rsid w:val="005438E1"/>
    <w:rsid w:val="00544D54"/>
    <w:rsid w:val="00545BA3"/>
    <w:rsid w:val="005515A6"/>
    <w:rsid w:val="00551D70"/>
    <w:rsid w:val="005600E9"/>
    <w:rsid w:val="00560665"/>
    <w:rsid w:val="0056221A"/>
    <w:rsid w:val="00563394"/>
    <w:rsid w:val="00563C21"/>
    <w:rsid w:val="005647D4"/>
    <w:rsid w:val="0056497C"/>
    <w:rsid w:val="005655E4"/>
    <w:rsid w:val="0056719F"/>
    <w:rsid w:val="00570C03"/>
    <w:rsid w:val="0057155B"/>
    <w:rsid w:val="0057182E"/>
    <w:rsid w:val="0057440E"/>
    <w:rsid w:val="005753CA"/>
    <w:rsid w:val="005758AD"/>
    <w:rsid w:val="00576E16"/>
    <w:rsid w:val="0057743D"/>
    <w:rsid w:val="00581590"/>
    <w:rsid w:val="00581771"/>
    <w:rsid w:val="0058189D"/>
    <w:rsid w:val="00581ECF"/>
    <w:rsid w:val="00583902"/>
    <w:rsid w:val="00583D05"/>
    <w:rsid w:val="0058536C"/>
    <w:rsid w:val="00586647"/>
    <w:rsid w:val="005874E7"/>
    <w:rsid w:val="00587F25"/>
    <w:rsid w:val="005900D3"/>
    <w:rsid w:val="005914A6"/>
    <w:rsid w:val="00591F8E"/>
    <w:rsid w:val="00592C33"/>
    <w:rsid w:val="00592F9B"/>
    <w:rsid w:val="005946A1"/>
    <w:rsid w:val="0059573E"/>
    <w:rsid w:val="00595818"/>
    <w:rsid w:val="005962F1"/>
    <w:rsid w:val="00596853"/>
    <w:rsid w:val="005A30B8"/>
    <w:rsid w:val="005A35F5"/>
    <w:rsid w:val="005A7594"/>
    <w:rsid w:val="005B001F"/>
    <w:rsid w:val="005B1653"/>
    <w:rsid w:val="005B4DFB"/>
    <w:rsid w:val="005B534B"/>
    <w:rsid w:val="005B7B86"/>
    <w:rsid w:val="005B7F0A"/>
    <w:rsid w:val="005C0484"/>
    <w:rsid w:val="005C0A93"/>
    <w:rsid w:val="005C2A4E"/>
    <w:rsid w:val="005C390D"/>
    <w:rsid w:val="005C4C61"/>
    <w:rsid w:val="005C687E"/>
    <w:rsid w:val="005D065B"/>
    <w:rsid w:val="005E0519"/>
    <w:rsid w:val="005E09EC"/>
    <w:rsid w:val="005E1567"/>
    <w:rsid w:val="005E1B95"/>
    <w:rsid w:val="005E3A10"/>
    <w:rsid w:val="005E6061"/>
    <w:rsid w:val="005F0993"/>
    <w:rsid w:val="005F294A"/>
    <w:rsid w:val="005F2FEF"/>
    <w:rsid w:val="005F3199"/>
    <w:rsid w:val="005F32A1"/>
    <w:rsid w:val="005F3B68"/>
    <w:rsid w:val="005F3D90"/>
    <w:rsid w:val="005F3E78"/>
    <w:rsid w:val="005F3F07"/>
    <w:rsid w:val="005F5BF9"/>
    <w:rsid w:val="005F649A"/>
    <w:rsid w:val="00601C00"/>
    <w:rsid w:val="00601D4B"/>
    <w:rsid w:val="0060298C"/>
    <w:rsid w:val="00602D22"/>
    <w:rsid w:val="006066FA"/>
    <w:rsid w:val="006070DF"/>
    <w:rsid w:val="006071D9"/>
    <w:rsid w:val="0060763B"/>
    <w:rsid w:val="00611513"/>
    <w:rsid w:val="00611766"/>
    <w:rsid w:val="00611994"/>
    <w:rsid w:val="00612EC4"/>
    <w:rsid w:val="0061399D"/>
    <w:rsid w:val="00613A07"/>
    <w:rsid w:val="00613C47"/>
    <w:rsid w:val="00614EE2"/>
    <w:rsid w:val="006158D6"/>
    <w:rsid w:val="0061725E"/>
    <w:rsid w:val="00617E0D"/>
    <w:rsid w:val="00621D07"/>
    <w:rsid w:val="00623651"/>
    <w:rsid w:val="00623756"/>
    <w:rsid w:val="006239C7"/>
    <w:rsid w:val="006310A6"/>
    <w:rsid w:val="00631401"/>
    <w:rsid w:val="00631820"/>
    <w:rsid w:val="0063182E"/>
    <w:rsid w:val="00631A49"/>
    <w:rsid w:val="00634785"/>
    <w:rsid w:val="006352D5"/>
    <w:rsid w:val="00635A17"/>
    <w:rsid w:val="00635B42"/>
    <w:rsid w:val="0063614B"/>
    <w:rsid w:val="00637EE9"/>
    <w:rsid w:val="00641825"/>
    <w:rsid w:val="00642860"/>
    <w:rsid w:val="006475C6"/>
    <w:rsid w:val="006520B8"/>
    <w:rsid w:val="006522BD"/>
    <w:rsid w:val="0065254A"/>
    <w:rsid w:val="00654461"/>
    <w:rsid w:val="0065707C"/>
    <w:rsid w:val="006577F9"/>
    <w:rsid w:val="00657B07"/>
    <w:rsid w:val="00660056"/>
    <w:rsid w:val="006610F5"/>
    <w:rsid w:val="00661104"/>
    <w:rsid w:val="006634C8"/>
    <w:rsid w:val="0066587F"/>
    <w:rsid w:val="00665F79"/>
    <w:rsid w:val="00666BE8"/>
    <w:rsid w:val="006671D1"/>
    <w:rsid w:val="00667B10"/>
    <w:rsid w:val="00667E02"/>
    <w:rsid w:val="00667FD8"/>
    <w:rsid w:val="00671213"/>
    <w:rsid w:val="0067233E"/>
    <w:rsid w:val="00672CBD"/>
    <w:rsid w:val="00673B0F"/>
    <w:rsid w:val="00676EDB"/>
    <w:rsid w:val="00677FB1"/>
    <w:rsid w:val="00680D9C"/>
    <w:rsid w:val="006825C5"/>
    <w:rsid w:val="00683071"/>
    <w:rsid w:val="006834AC"/>
    <w:rsid w:val="006869CE"/>
    <w:rsid w:val="00686E9C"/>
    <w:rsid w:val="00690537"/>
    <w:rsid w:val="006958DB"/>
    <w:rsid w:val="00695FD6"/>
    <w:rsid w:val="00696295"/>
    <w:rsid w:val="00697AA5"/>
    <w:rsid w:val="006A1B71"/>
    <w:rsid w:val="006A1C0F"/>
    <w:rsid w:val="006A1F8D"/>
    <w:rsid w:val="006A64E7"/>
    <w:rsid w:val="006B000C"/>
    <w:rsid w:val="006B04B3"/>
    <w:rsid w:val="006B0587"/>
    <w:rsid w:val="006B0D1A"/>
    <w:rsid w:val="006B0F09"/>
    <w:rsid w:val="006B1734"/>
    <w:rsid w:val="006B21A6"/>
    <w:rsid w:val="006B2A7A"/>
    <w:rsid w:val="006B417F"/>
    <w:rsid w:val="006B5E64"/>
    <w:rsid w:val="006B6E5A"/>
    <w:rsid w:val="006B78AA"/>
    <w:rsid w:val="006B7FA1"/>
    <w:rsid w:val="006C0A05"/>
    <w:rsid w:val="006C1FB8"/>
    <w:rsid w:val="006C2D26"/>
    <w:rsid w:val="006C2F49"/>
    <w:rsid w:val="006C34DE"/>
    <w:rsid w:val="006C394D"/>
    <w:rsid w:val="006C5637"/>
    <w:rsid w:val="006C5C8F"/>
    <w:rsid w:val="006C7175"/>
    <w:rsid w:val="006C71E6"/>
    <w:rsid w:val="006C7B70"/>
    <w:rsid w:val="006D0CC2"/>
    <w:rsid w:val="006D2271"/>
    <w:rsid w:val="006D4E53"/>
    <w:rsid w:val="006D640B"/>
    <w:rsid w:val="006E0902"/>
    <w:rsid w:val="006E23AE"/>
    <w:rsid w:val="006E7F22"/>
    <w:rsid w:val="006F0A9D"/>
    <w:rsid w:val="006F1BD1"/>
    <w:rsid w:val="006F252D"/>
    <w:rsid w:val="006F4C77"/>
    <w:rsid w:val="006F56AF"/>
    <w:rsid w:val="006F5B87"/>
    <w:rsid w:val="006F6D59"/>
    <w:rsid w:val="00700298"/>
    <w:rsid w:val="00701776"/>
    <w:rsid w:val="00702D82"/>
    <w:rsid w:val="00703C34"/>
    <w:rsid w:val="00704ADB"/>
    <w:rsid w:val="007064A7"/>
    <w:rsid w:val="00706584"/>
    <w:rsid w:val="007115F4"/>
    <w:rsid w:val="007131D2"/>
    <w:rsid w:val="007145FB"/>
    <w:rsid w:val="00716A53"/>
    <w:rsid w:val="00716BBB"/>
    <w:rsid w:val="00720F6B"/>
    <w:rsid w:val="00721B8A"/>
    <w:rsid w:val="00721F31"/>
    <w:rsid w:val="007233B0"/>
    <w:rsid w:val="00724248"/>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51A10"/>
    <w:rsid w:val="00751F11"/>
    <w:rsid w:val="007529BB"/>
    <w:rsid w:val="007541ED"/>
    <w:rsid w:val="00756044"/>
    <w:rsid w:val="00756B36"/>
    <w:rsid w:val="00756EBD"/>
    <w:rsid w:val="00761A28"/>
    <w:rsid w:val="00761E6F"/>
    <w:rsid w:val="007635D8"/>
    <w:rsid w:val="00764EFF"/>
    <w:rsid w:val="0076555C"/>
    <w:rsid w:val="00766B32"/>
    <w:rsid w:val="00766F31"/>
    <w:rsid w:val="00771758"/>
    <w:rsid w:val="00772351"/>
    <w:rsid w:val="00773585"/>
    <w:rsid w:val="00773A85"/>
    <w:rsid w:val="007741CA"/>
    <w:rsid w:val="007750CC"/>
    <w:rsid w:val="00775B37"/>
    <w:rsid w:val="00775F7F"/>
    <w:rsid w:val="007762BD"/>
    <w:rsid w:val="00781C1A"/>
    <w:rsid w:val="00783F4E"/>
    <w:rsid w:val="00791343"/>
    <w:rsid w:val="00791DEB"/>
    <w:rsid w:val="0079629D"/>
    <w:rsid w:val="00797EAB"/>
    <w:rsid w:val="007A1CBD"/>
    <w:rsid w:val="007A1EC6"/>
    <w:rsid w:val="007A1FD5"/>
    <w:rsid w:val="007A2A89"/>
    <w:rsid w:val="007A31D6"/>
    <w:rsid w:val="007A3BCD"/>
    <w:rsid w:val="007A46A1"/>
    <w:rsid w:val="007A7023"/>
    <w:rsid w:val="007B0ADC"/>
    <w:rsid w:val="007B347B"/>
    <w:rsid w:val="007B3D88"/>
    <w:rsid w:val="007B557C"/>
    <w:rsid w:val="007C00C2"/>
    <w:rsid w:val="007C0685"/>
    <w:rsid w:val="007C07F5"/>
    <w:rsid w:val="007C0F83"/>
    <w:rsid w:val="007C1C1D"/>
    <w:rsid w:val="007C1D98"/>
    <w:rsid w:val="007C349F"/>
    <w:rsid w:val="007C42BB"/>
    <w:rsid w:val="007C5E1D"/>
    <w:rsid w:val="007C6115"/>
    <w:rsid w:val="007C67A2"/>
    <w:rsid w:val="007D09C8"/>
    <w:rsid w:val="007D1589"/>
    <w:rsid w:val="007D2ADF"/>
    <w:rsid w:val="007D3209"/>
    <w:rsid w:val="007D35BB"/>
    <w:rsid w:val="007D41FF"/>
    <w:rsid w:val="007D5ABE"/>
    <w:rsid w:val="007E0759"/>
    <w:rsid w:val="007E0819"/>
    <w:rsid w:val="007E0A4E"/>
    <w:rsid w:val="007E0F4C"/>
    <w:rsid w:val="007E38D4"/>
    <w:rsid w:val="007E7FF1"/>
    <w:rsid w:val="007F0B17"/>
    <w:rsid w:val="007F0BDB"/>
    <w:rsid w:val="007F1DD4"/>
    <w:rsid w:val="007F3CA4"/>
    <w:rsid w:val="007F3F75"/>
    <w:rsid w:val="007F54F1"/>
    <w:rsid w:val="007F63A3"/>
    <w:rsid w:val="007F6837"/>
    <w:rsid w:val="007F744C"/>
    <w:rsid w:val="008037AD"/>
    <w:rsid w:val="0080555F"/>
    <w:rsid w:val="00813085"/>
    <w:rsid w:val="00813760"/>
    <w:rsid w:val="00814224"/>
    <w:rsid w:val="008142EA"/>
    <w:rsid w:val="00814ABA"/>
    <w:rsid w:val="008169EF"/>
    <w:rsid w:val="0081736E"/>
    <w:rsid w:val="00820B12"/>
    <w:rsid w:val="00820B3C"/>
    <w:rsid w:val="00823B96"/>
    <w:rsid w:val="00826834"/>
    <w:rsid w:val="00826EB6"/>
    <w:rsid w:val="00827609"/>
    <w:rsid w:val="00827ED8"/>
    <w:rsid w:val="00830B52"/>
    <w:rsid w:val="008313F3"/>
    <w:rsid w:val="00831424"/>
    <w:rsid w:val="0083249F"/>
    <w:rsid w:val="00832629"/>
    <w:rsid w:val="00832F70"/>
    <w:rsid w:val="0083548C"/>
    <w:rsid w:val="00835FAA"/>
    <w:rsid w:val="00836A3D"/>
    <w:rsid w:val="00837377"/>
    <w:rsid w:val="00841B45"/>
    <w:rsid w:val="00842C3C"/>
    <w:rsid w:val="008439D4"/>
    <w:rsid w:val="00844CC6"/>
    <w:rsid w:val="00845B02"/>
    <w:rsid w:val="00847BB2"/>
    <w:rsid w:val="0085059A"/>
    <w:rsid w:val="00850F37"/>
    <w:rsid w:val="0085384E"/>
    <w:rsid w:val="0085483E"/>
    <w:rsid w:val="0085738E"/>
    <w:rsid w:val="0086111E"/>
    <w:rsid w:val="008616BD"/>
    <w:rsid w:val="00861B7D"/>
    <w:rsid w:val="0086382E"/>
    <w:rsid w:val="00863898"/>
    <w:rsid w:val="00863F33"/>
    <w:rsid w:val="00864342"/>
    <w:rsid w:val="008655F3"/>
    <w:rsid w:val="00865908"/>
    <w:rsid w:val="00866623"/>
    <w:rsid w:val="00867B22"/>
    <w:rsid w:val="00872E05"/>
    <w:rsid w:val="008748C0"/>
    <w:rsid w:val="00874E79"/>
    <w:rsid w:val="0087532F"/>
    <w:rsid w:val="008818F0"/>
    <w:rsid w:val="00883408"/>
    <w:rsid w:val="00883BBF"/>
    <w:rsid w:val="00884CFF"/>
    <w:rsid w:val="008862CC"/>
    <w:rsid w:val="008862E3"/>
    <w:rsid w:val="0089100C"/>
    <w:rsid w:val="008928E5"/>
    <w:rsid w:val="00893A89"/>
    <w:rsid w:val="00894A47"/>
    <w:rsid w:val="008962C6"/>
    <w:rsid w:val="008A1B52"/>
    <w:rsid w:val="008A208E"/>
    <w:rsid w:val="008A3B8B"/>
    <w:rsid w:val="008A50EE"/>
    <w:rsid w:val="008A5442"/>
    <w:rsid w:val="008A641B"/>
    <w:rsid w:val="008B0143"/>
    <w:rsid w:val="008B254B"/>
    <w:rsid w:val="008B3768"/>
    <w:rsid w:val="008B5E01"/>
    <w:rsid w:val="008B5F1A"/>
    <w:rsid w:val="008B61CF"/>
    <w:rsid w:val="008C0D26"/>
    <w:rsid w:val="008C4F23"/>
    <w:rsid w:val="008C68B9"/>
    <w:rsid w:val="008C7CC6"/>
    <w:rsid w:val="008C7F75"/>
    <w:rsid w:val="008D0735"/>
    <w:rsid w:val="008D2C98"/>
    <w:rsid w:val="008D4110"/>
    <w:rsid w:val="008D6BF0"/>
    <w:rsid w:val="008D7617"/>
    <w:rsid w:val="008D79EA"/>
    <w:rsid w:val="008E29D7"/>
    <w:rsid w:val="008E39C4"/>
    <w:rsid w:val="008E50B0"/>
    <w:rsid w:val="008E5861"/>
    <w:rsid w:val="008F15B1"/>
    <w:rsid w:val="008F18F1"/>
    <w:rsid w:val="008F37BD"/>
    <w:rsid w:val="008F3EDC"/>
    <w:rsid w:val="008F46C7"/>
    <w:rsid w:val="008F4895"/>
    <w:rsid w:val="008F4EDE"/>
    <w:rsid w:val="008F5C40"/>
    <w:rsid w:val="008F6D64"/>
    <w:rsid w:val="00900C4B"/>
    <w:rsid w:val="009063F7"/>
    <w:rsid w:val="009118B6"/>
    <w:rsid w:val="0091378B"/>
    <w:rsid w:val="0091756D"/>
    <w:rsid w:val="0092180F"/>
    <w:rsid w:val="00922FD6"/>
    <w:rsid w:val="009230E9"/>
    <w:rsid w:val="009238B5"/>
    <w:rsid w:val="00924A12"/>
    <w:rsid w:val="00925DBA"/>
    <w:rsid w:val="009267E4"/>
    <w:rsid w:val="00930137"/>
    <w:rsid w:val="009302E8"/>
    <w:rsid w:val="00930EA6"/>
    <w:rsid w:val="009318EF"/>
    <w:rsid w:val="00932970"/>
    <w:rsid w:val="009332BD"/>
    <w:rsid w:val="00934EA6"/>
    <w:rsid w:val="00935977"/>
    <w:rsid w:val="00935D6B"/>
    <w:rsid w:val="009369BB"/>
    <w:rsid w:val="0093783D"/>
    <w:rsid w:val="00940493"/>
    <w:rsid w:val="00941067"/>
    <w:rsid w:val="009416A2"/>
    <w:rsid w:val="00942551"/>
    <w:rsid w:val="00944ECD"/>
    <w:rsid w:val="00945087"/>
    <w:rsid w:val="00946513"/>
    <w:rsid w:val="009470B6"/>
    <w:rsid w:val="00950F66"/>
    <w:rsid w:val="00951E61"/>
    <w:rsid w:val="00955E2E"/>
    <w:rsid w:val="00957B69"/>
    <w:rsid w:val="00962A13"/>
    <w:rsid w:val="00963E5E"/>
    <w:rsid w:val="009644D4"/>
    <w:rsid w:val="00964B00"/>
    <w:rsid w:val="00966485"/>
    <w:rsid w:val="0097102D"/>
    <w:rsid w:val="009743FB"/>
    <w:rsid w:val="009750CA"/>
    <w:rsid w:val="00977DA9"/>
    <w:rsid w:val="00981AB0"/>
    <w:rsid w:val="0098256F"/>
    <w:rsid w:val="00982816"/>
    <w:rsid w:val="00982936"/>
    <w:rsid w:val="00984DC3"/>
    <w:rsid w:val="009859E2"/>
    <w:rsid w:val="00992237"/>
    <w:rsid w:val="0099377F"/>
    <w:rsid w:val="00993C08"/>
    <w:rsid w:val="00995788"/>
    <w:rsid w:val="00995CA9"/>
    <w:rsid w:val="00995D75"/>
    <w:rsid w:val="00996298"/>
    <w:rsid w:val="00996FF5"/>
    <w:rsid w:val="00997177"/>
    <w:rsid w:val="009A01EE"/>
    <w:rsid w:val="009A1007"/>
    <w:rsid w:val="009A2D0A"/>
    <w:rsid w:val="009A2F21"/>
    <w:rsid w:val="009A393E"/>
    <w:rsid w:val="009A59F5"/>
    <w:rsid w:val="009A681C"/>
    <w:rsid w:val="009B1089"/>
    <w:rsid w:val="009B13C0"/>
    <w:rsid w:val="009B365C"/>
    <w:rsid w:val="009B6F9E"/>
    <w:rsid w:val="009C0983"/>
    <w:rsid w:val="009C17AF"/>
    <w:rsid w:val="009C28B5"/>
    <w:rsid w:val="009C3F53"/>
    <w:rsid w:val="009C571B"/>
    <w:rsid w:val="009C630F"/>
    <w:rsid w:val="009D0FD1"/>
    <w:rsid w:val="009D2049"/>
    <w:rsid w:val="009D2AEB"/>
    <w:rsid w:val="009D3F00"/>
    <w:rsid w:val="009D66C2"/>
    <w:rsid w:val="009E0DDE"/>
    <w:rsid w:val="009E2601"/>
    <w:rsid w:val="009E2677"/>
    <w:rsid w:val="009E2F1F"/>
    <w:rsid w:val="009E3064"/>
    <w:rsid w:val="009E4070"/>
    <w:rsid w:val="009E5525"/>
    <w:rsid w:val="009E60EC"/>
    <w:rsid w:val="009F0DBB"/>
    <w:rsid w:val="009F1397"/>
    <w:rsid w:val="009F420A"/>
    <w:rsid w:val="009F54BA"/>
    <w:rsid w:val="009F66BC"/>
    <w:rsid w:val="009F7596"/>
    <w:rsid w:val="009F77F6"/>
    <w:rsid w:val="00A014FC"/>
    <w:rsid w:val="00A01A8F"/>
    <w:rsid w:val="00A01EC3"/>
    <w:rsid w:val="00A01F84"/>
    <w:rsid w:val="00A04E4A"/>
    <w:rsid w:val="00A062FE"/>
    <w:rsid w:val="00A064BD"/>
    <w:rsid w:val="00A06B8F"/>
    <w:rsid w:val="00A07681"/>
    <w:rsid w:val="00A109FA"/>
    <w:rsid w:val="00A10B34"/>
    <w:rsid w:val="00A13CEE"/>
    <w:rsid w:val="00A14102"/>
    <w:rsid w:val="00A15646"/>
    <w:rsid w:val="00A17372"/>
    <w:rsid w:val="00A1791E"/>
    <w:rsid w:val="00A207B9"/>
    <w:rsid w:val="00A21C2D"/>
    <w:rsid w:val="00A26D25"/>
    <w:rsid w:val="00A30B0E"/>
    <w:rsid w:val="00A34A17"/>
    <w:rsid w:val="00A3657C"/>
    <w:rsid w:val="00A41B54"/>
    <w:rsid w:val="00A42397"/>
    <w:rsid w:val="00A42686"/>
    <w:rsid w:val="00A4295C"/>
    <w:rsid w:val="00A43863"/>
    <w:rsid w:val="00A43A38"/>
    <w:rsid w:val="00A4409C"/>
    <w:rsid w:val="00A479D3"/>
    <w:rsid w:val="00A50BE5"/>
    <w:rsid w:val="00A51C76"/>
    <w:rsid w:val="00A5320B"/>
    <w:rsid w:val="00A53E8F"/>
    <w:rsid w:val="00A54C91"/>
    <w:rsid w:val="00A54DFE"/>
    <w:rsid w:val="00A5520A"/>
    <w:rsid w:val="00A56818"/>
    <w:rsid w:val="00A61503"/>
    <w:rsid w:val="00A62DFC"/>
    <w:rsid w:val="00A654B3"/>
    <w:rsid w:val="00A65730"/>
    <w:rsid w:val="00A67766"/>
    <w:rsid w:val="00A70218"/>
    <w:rsid w:val="00A70441"/>
    <w:rsid w:val="00A71E86"/>
    <w:rsid w:val="00A7390E"/>
    <w:rsid w:val="00A74755"/>
    <w:rsid w:val="00A74F96"/>
    <w:rsid w:val="00A74FDD"/>
    <w:rsid w:val="00A76040"/>
    <w:rsid w:val="00A76F9E"/>
    <w:rsid w:val="00A77427"/>
    <w:rsid w:val="00A77705"/>
    <w:rsid w:val="00A806EE"/>
    <w:rsid w:val="00A80BCF"/>
    <w:rsid w:val="00A81A60"/>
    <w:rsid w:val="00A84EDA"/>
    <w:rsid w:val="00A853E3"/>
    <w:rsid w:val="00A91507"/>
    <w:rsid w:val="00A91DE4"/>
    <w:rsid w:val="00A92C11"/>
    <w:rsid w:val="00A946D5"/>
    <w:rsid w:val="00A94960"/>
    <w:rsid w:val="00A9729B"/>
    <w:rsid w:val="00A97672"/>
    <w:rsid w:val="00A97760"/>
    <w:rsid w:val="00A97A87"/>
    <w:rsid w:val="00AA1351"/>
    <w:rsid w:val="00AA304E"/>
    <w:rsid w:val="00AA3630"/>
    <w:rsid w:val="00AA47E3"/>
    <w:rsid w:val="00AA55BD"/>
    <w:rsid w:val="00AA6244"/>
    <w:rsid w:val="00AA69AF"/>
    <w:rsid w:val="00AB0B5F"/>
    <w:rsid w:val="00AB1ABE"/>
    <w:rsid w:val="00AB1ECF"/>
    <w:rsid w:val="00AB2327"/>
    <w:rsid w:val="00AB276F"/>
    <w:rsid w:val="00AB27EB"/>
    <w:rsid w:val="00AB3D99"/>
    <w:rsid w:val="00AB4482"/>
    <w:rsid w:val="00AB4C8C"/>
    <w:rsid w:val="00AB569E"/>
    <w:rsid w:val="00AB7DBF"/>
    <w:rsid w:val="00AC0C73"/>
    <w:rsid w:val="00AC0E1B"/>
    <w:rsid w:val="00AC1603"/>
    <w:rsid w:val="00AC670A"/>
    <w:rsid w:val="00AD2263"/>
    <w:rsid w:val="00AD2D40"/>
    <w:rsid w:val="00AD2EA3"/>
    <w:rsid w:val="00AD3215"/>
    <w:rsid w:val="00AD549C"/>
    <w:rsid w:val="00AD6FC4"/>
    <w:rsid w:val="00AD759F"/>
    <w:rsid w:val="00AD75E0"/>
    <w:rsid w:val="00AD7800"/>
    <w:rsid w:val="00AE0029"/>
    <w:rsid w:val="00AE05E2"/>
    <w:rsid w:val="00AE0DF6"/>
    <w:rsid w:val="00AE1461"/>
    <w:rsid w:val="00AE1BB2"/>
    <w:rsid w:val="00AE3E85"/>
    <w:rsid w:val="00AE59CA"/>
    <w:rsid w:val="00AE7280"/>
    <w:rsid w:val="00AE7F2E"/>
    <w:rsid w:val="00AF046E"/>
    <w:rsid w:val="00AF10EB"/>
    <w:rsid w:val="00B004A2"/>
    <w:rsid w:val="00B00B6B"/>
    <w:rsid w:val="00B03FC2"/>
    <w:rsid w:val="00B0418A"/>
    <w:rsid w:val="00B06839"/>
    <w:rsid w:val="00B06D21"/>
    <w:rsid w:val="00B06FF8"/>
    <w:rsid w:val="00B07FC9"/>
    <w:rsid w:val="00B10808"/>
    <w:rsid w:val="00B115E3"/>
    <w:rsid w:val="00B11B86"/>
    <w:rsid w:val="00B126C6"/>
    <w:rsid w:val="00B14486"/>
    <w:rsid w:val="00B14F6B"/>
    <w:rsid w:val="00B167E4"/>
    <w:rsid w:val="00B16985"/>
    <w:rsid w:val="00B17273"/>
    <w:rsid w:val="00B1760C"/>
    <w:rsid w:val="00B203D7"/>
    <w:rsid w:val="00B20889"/>
    <w:rsid w:val="00B2104C"/>
    <w:rsid w:val="00B21743"/>
    <w:rsid w:val="00B21AE8"/>
    <w:rsid w:val="00B23892"/>
    <w:rsid w:val="00B23D7F"/>
    <w:rsid w:val="00B273A2"/>
    <w:rsid w:val="00B305B7"/>
    <w:rsid w:val="00B305CD"/>
    <w:rsid w:val="00B35F69"/>
    <w:rsid w:val="00B36AFF"/>
    <w:rsid w:val="00B40857"/>
    <w:rsid w:val="00B43DA1"/>
    <w:rsid w:val="00B43DE9"/>
    <w:rsid w:val="00B43EA0"/>
    <w:rsid w:val="00B43F35"/>
    <w:rsid w:val="00B455B3"/>
    <w:rsid w:val="00B45854"/>
    <w:rsid w:val="00B45B7C"/>
    <w:rsid w:val="00B503E7"/>
    <w:rsid w:val="00B5175E"/>
    <w:rsid w:val="00B51BDC"/>
    <w:rsid w:val="00B52428"/>
    <w:rsid w:val="00B53BB9"/>
    <w:rsid w:val="00B53FE9"/>
    <w:rsid w:val="00B54011"/>
    <w:rsid w:val="00B553B8"/>
    <w:rsid w:val="00B57488"/>
    <w:rsid w:val="00B631CA"/>
    <w:rsid w:val="00B64910"/>
    <w:rsid w:val="00B65221"/>
    <w:rsid w:val="00B65603"/>
    <w:rsid w:val="00B656A1"/>
    <w:rsid w:val="00B66203"/>
    <w:rsid w:val="00B66912"/>
    <w:rsid w:val="00B66A2D"/>
    <w:rsid w:val="00B722AF"/>
    <w:rsid w:val="00B7244A"/>
    <w:rsid w:val="00B75189"/>
    <w:rsid w:val="00B75BD3"/>
    <w:rsid w:val="00B7646C"/>
    <w:rsid w:val="00B76491"/>
    <w:rsid w:val="00B766B8"/>
    <w:rsid w:val="00B77267"/>
    <w:rsid w:val="00B77AE0"/>
    <w:rsid w:val="00B81346"/>
    <w:rsid w:val="00B81424"/>
    <w:rsid w:val="00B82BF5"/>
    <w:rsid w:val="00B83327"/>
    <w:rsid w:val="00B852B1"/>
    <w:rsid w:val="00B86838"/>
    <w:rsid w:val="00B91A30"/>
    <w:rsid w:val="00B91B72"/>
    <w:rsid w:val="00B93720"/>
    <w:rsid w:val="00B93D95"/>
    <w:rsid w:val="00B962BC"/>
    <w:rsid w:val="00B970A7"/>
    <w:rsid w:val="00B974D4"/>
    <w:rsid w:val="00BA0FB1"/>
    <w:rsid w:val="00BA1EF7"/>
    <w:rsid w:val="00BA3623"/>
    <w:rsid w:val="00BA3941"/>
    <w:rsid w:val="00BA4457"/>
    <w:rsid w:val="00BB00E3"/>
    <w:rsid w:val="00BB0102"/>
    <w:rsid w:val="00BB0EE5"/>
    <w:rsid w:val="00BB281B"/>
    <w:rsid w:val="00BB3483"/>
    <w:rsid w:val="00BB38ED"/>
    <w:rsid w:val="00BB3C79"/>
    <w:rsid w:val="00BB4E02"/>
    <w:rsid w:val="00BB6E9D"/>
    <w:rsid w:val="00BC03BA"/>
    <w:rsid w:val="00BC0E16"/>
    <w:rsid w:val="00BC0EAB"/>
    <w:rsid w:val="00BC16EF"/>
    <w:rsid w:val="00BC3760"/>
    <w:rsid w:val="00BC7540"/>
    <w:rsid w:val="00BD3AC4"/>
    <w:rsid w:val="00BD4C7C"/>
    <w:rsid w:val="00BD52E1"/>
    <w:rsid w:val="00BD5418"/>
    <w:rsid w:val="00BD7805"/>
    <w:rsid w:val="00BD7BCD"/>
    <w:rsid w:val="00BD7D3D"/>
    <w:rsid w:val="00BE00EF"/>
    <w:rsid w:val="00BE2D59"/>
    <w:rsid w:val="00BE2E5F"/>
    <w:rsid w:val="00BE546D"/>
    <w:rsid w:val="00BE5DC9"/>
    <w:rsid w:val="00BE6FBF"/>
    <w:rsid w:val="00BE7055"/>
    <w:rsid w:val="00BE764A"/>
    <w:rsid w:val="00BE7A9C"/>
    <w:rsid w:val="00BF1561"/>
    <w:rsid w:val="00BF19D7"/>
    <w:rsid w:val="00BF1C96"/>
    <w:rsid w:val="00BF2163"/>
    <w:rsid w:val="00BF29DB"/>
    <w:rsid w:val="00BF2B9C"/>
    <w:rsid w:val="00BF2F11"/>
    <w:rsid w:val="00BF4A48"/>
    <w:rsid w:val="00BF5061"/>
    <w:rsid w:val="00BF5DD5"/>
    <w:rsid w:val="00C01085"/>
    <w:rsid w:val="00C01768"/>
    <w:rsid w:val="00C0458C"/>
    <w:rsid w:val="00C04638"/>
    <w:rsid w:val="00C053CB"/>
    <w:rsid w:val="00C0786D"/>
    <w:rsid w:val="00C10A48"/>
    <w:rsid w:val="00C11B36"/>
    <w:rsid w:val="00C120DA"/>
    <w:rsid w:val="00C1287E"/>
    <w:rsid w:val="00C13CE3"/>
    <w:rsid w:val="00C14760"/>
    <w:rsid w:val="00C14874"/>
    <w:rsid w:val="00C15BBC"/>
    <w:rsid w:val="00C1634B"/>
    <w:rsid w:val="00C16AB1"/>
    <w:rsid w:val="00C20448"/>
    <w:rsid w:val="00C2196F"/>
    <w:rsid w:val="00C23948"/>
    <w:rsid w:val="00C271FC"/>
    <w:rsid w:val="00C276A6"/>
    <w:rsid w:val="00C276C9"/>
    <w:rsid w:val="00C31031"/>
    <w:rsid w:val="00C32749"/>
    <w:rsid w:val="00C33169"/>
    <w:rsid w:val="00C33197"/>
    <w:rsid w:val="00C331CD"/>
    <w:rsid w:val="00C35E4D"/>
    <w:rsid w:val="00C368F3"/>
    <w:rsid w:val="00C37ADA"/>
    <w:rsid w:val="00C37FE7"/>
    <w:rsid w:val="00C40556"/>
    <w:rsid w:val="00C42B61"/>
    <w:rsid w:val="00C46733"/>
    <w:rsid w:val="00C4685E"/>
    <w:rsid w:val="00C53467"/>
    <w:rsid w:val="00C60C81"/>
    <w:rsid w:val="00C60E01"/>
    <w:rsid w:val="00C61329"/>
    <w:rsid w:val="00C61976"/>
    <w:rsid w:val="00C61DD5"/>
    <w:rsid w:val="00C63FA0"/>
    <w:rsid w:val="00C646B0"/>
    <w:rsid w:val="00C64821"/>
    <w:rsid w:val="00C65B5F"/>
    <w:rsid w:val="00C67A5D"/>
    <w:rsid w:val="00C71D13"/>
    <w:rsid w:val="00C73F2B"/>
    <w:rsid w:val="00C746A8"/>
    <w:rsid w:val="00C750A8"/>
    <w:rsid w:val="00C76C9A"/>
    <w:rsid w:val="00C77881"/>
    <w:rsid w:val="00C80B31"/>
    <w:rsid w:val="00C83261"/>
    <w:rsid w:val="00C84552"/>
    <w:rsid w:val="00C84EDA"/>
    <w:rsid w:val="00C851D0"/>
    <w:rsid w:val="00C862C0"/>
    <w:rsid w:val="00C87CCD"/>
    <w:rsid w:val="00C91022"/>
    <w:rsid w:val="00C919DB"/>
    <w:rsid w:val="00C92C73"/>
    <w:rsid w:val="00C93488"/>
    <w:rsid w:val="00C955AF"/>
    <w:rsid w:val="00C9573D"/>
    <w:rsid w:val="00C972AC"/>
    <w:rsid w:val="00C97326"/>
    <w:rsid w:val="00C97499"/>
    <w:rsid w:val="00C97A93"/>
    <w:rsid w:val="00CA2156"/>
    <w:rsid w:val="00CA41B7"/>
    <w:rsid w:val="00CA603E"/>
    <w:rsid w:val="00CA6672"/>
    <w:rsid w:val="00CA707A"/>
    <w:rsid w:val="00CA7322"/>
    <w:rsid w:val="00CA7BE1"/>
    <w:rsid w:val="00CB198E"/>
    <w:rsid w:val="00CB294D"/>
    <w:rsid w:val="00CC0404"/>
    <w:rsid w:val="00CC0C3B"/>
    <w:rsid w:val="00CC1996"/>
    <w:rsid w:val="00CC24FF"/>
    <w:rsid w:val="00CC26AB"/>
    <w:rsid w:val="00CD05E3"/>
    <w:rsid w:val="00CD0D93"/>
    <w:rsid w:val="00CD1B1A"/>
    <w:rsid w:val="00CD44E8"/>
    <w:rsid w:val="00CD46E2"/>
    <w:rsid w:val="00CD53C1"/>
    <w:rsid w:val="00CE043E"/>
    <w:rsid w:val="00CE1125"/>
    <w:rsid w:val="00CE1EE3"/>
    <w:rsid w:val="00CE40CE"/>
    <w:rsid w:val="00CE42FA"/>
    <w:rsid w:val="00CE5B96"/>
    <w:rsid w:val="00CE5DE4"/>
    <w:rsid w:val="00CE6809"/>
    <w:rsid w:val="00CF02E2"/>
    <w:rsid w:val="00CF1C0B"/>
    <w:rsid w:val="00CF623C"/>
    <w:rsid w:val="00CF6E6C"/>
    <w:rsid w:val="00CF7142"/>
    <w:rsid w:val="00D005CF"/>
    <w:rsid w:val="00D00EC4"/>
    <w:rsid w:val="00D020B8"/>
    <w:rsid w:val="00D0227E"/>
    <w:rsid w:val="00D029F8"/>
    <w:rsid w:val="00D03224"/>
    <w:rsid w:val="00D03740"/>
    <w:rsid w:val="00D0503A"/>
    <w:rsid w:val="00D05C7B"/>
    <w:rsid w:val="00D05F79"/>
    <w:rsid w:val="00D12993"/>
    <w:rsid w:val="00D13400"/>
    <w:rsid w:val="00D14790"/>
    <w:rsid w:val="00D15FC2"/>
    <w:rsid w:val="00D1757B"/>
    <w:rsid w:val="00D25EE9"/>
    <w:rsid w:val="00D2626E"/>
    <w:rsid w:val="00D26F03"/>
    <w:rsid w:val="00D27820"/>
    <w:rsid w:val="00D30A5C"/>
    <w:rsid w:val="00D31464"/>
    <w:rsid w:val="00D318F3"/>
    <w:rsid w:val="00D31FAB"/>
    <w:rsid w:val="00D3394C"/>
    <w:rsid w:val="00D34B2F"/>
    <w:rsid w:val="00D40664"/>
    <w:rsid w:val="00D41428"/>
    <w:rsid w:val="00D458D5"/>
    <w:rsid w:val="00D46CE5"/>
    <w:rsid w:val="00D47C03"/>
    <w:rsid w:val="00D50B28"/>
    <w:rsid w:val="00D51640"/>
    <w:rsid w:val="00D52DE3"/>
    <w:rsid w:val="00D530A3"/>
    <w:rsid w:val="00D53302"/>
    <w:rsid w:val="00D559F4"/>
    <w:rsid w:val="00D56281"/>
    <w:rsid w:val="00D57DEE"/>
    <w:rsid w:val="00D628F5"/>
    <w:rsid w:val="00D637FB"/>
    <w:rsid w:val="00D63BDA"/>
    <w:rsid w:val="00D64660"/>
    <w:rsid w:val="00D6511B"/>
    <w:rsid w:val="00D668AF"/>
    <w:rsid w:val="00D66925"/>
    <w:rsid w:val="00D70919"/>
    <w:rsid w:val="00D737E1"/>
    <w:rsid w:val="00D73D75"/>
    <w:rsid w:val="00D74E43"/>
    <w:rsid w:val="00D76206"/>
    <w:rsid w:val="00D76409"/>
    <w:rsid w:val="00D8051B"/>
    <w:rsid w:val="00D80805"/>
    <w:rsid w:val="00D81E7D"/>
    <w:rsid w:val="00D82E90"/>
    <w:rsid w:val="00D86671"/>
    <w:rsid w:val="00D920B4"/>
    <w:rsid w:val="00D92795"/>
    <w:rsid w:val="00D94B31"/>
    <w:rsid w:val="00D96B76"/>
    <w:rsid w:val="00D96DC0"/>
    <w:rsid w:val="00D9718A"/>
    <w:rsid w:val="00D975F7"/>
    <w:rsid w:val="00DA2A78"/>
    <w:rsid w:val="00DA3435"/>
    <w:rsid w:val="00DA37F2"/>
    <w:rsid w:val="00DA3A12"/>
    <w:rsid w:val="00DA4CA8"/>
    <w:rsid w:val="00DA7846"/>
    <w:rsid w:val="00DA7C5B"/>
    <w:rsid w:val="00DB0BA1"/>
    <w:rsid w:val="00DB0F85"/>
    <w:rsid w:val="00DB1948"/>
    <w:rsid w:val="00DB1DF4"/>
    <w:rsid w:val="00DB239F"/>
    <w:rsid w:val="00DB3423"/>
    <w:rsid w:val="00DB34AE"/>
    <w:rsid w:val="00DB54CD"/>
    <w:rsid w:val="00DB587F"/>
    <w:rsid w:val="00DB664F"/>
    <w:rsid w:val="00DB725E"/>
    <w:rsid w:val="00DC1AED"/>
    <w:rsid w:val="00DC2FC4"/>
    <w:rsid w:val="00DC4E3A"/>
    <w:rsid w:val="00DC6242"/>
    <w:rsid w:val="00DC6641"/>
    <w:rsid w:val="00DC7206"/>
    <w:rsid w:val="00DD2912"/>
    <w:rsid w:val="00DD4AD9"/>
    <w:rsid w:val="00DE0BE1"/>
    <w:rsid w:val="00DE0FC3"/>
    <w:rsid w:val="00DE42D4"/>
    <w:rsid w:val="00DE4F70"/>
    <w:rsid w:val="00DE7026"/>
    <w:rsid w:val="00DE7C0E"/>
    <w:rsid w:val="00DF0FEB"/>
    <w:rsid w:val="00DF21B6"/>
    <w:rsid w:val="00DF4C88"/>
    <w:rsid w:val="00DF6207"/>
    <w:rsid w:val="00E008C8"/>
    <w:rsid w:val="00E01DE9"/>
    <w:rsid w:val="00E04250"/>
    <w:rsid w:val="00E043C7"/>
    <w:rsid w:val="00E04B49"/>
    <w:rsid w:val="00E05CB4"/>
    <w:rsid w:val="00E0655B"/>
    <w:rsid w:val="00E0728C"/>
    <w:rsid w:val="00E10DD9"/>
    <w:rsid w:val="00E11139"/>
    <w:rsid w:val="00E121AC"/>
    <w:rsid w:val="00E13231"/>
    <w:rsid w:val="00E132B2"/>
    <w:rsid w:val="00E139AA"/>
    <w:rsid w:val="00E14F95"/>
    <w:rsid w:val="00E17930"/>
    <w:rsid w:val="00E214FC"/>
    <w:rsid w:val="00E21B38"/>
    <w:rsid w:val="00E21BE6"/>
    <w:rsid w:val="00E23AD8"/>
    <w:rsid w:val="00E27B6A"/>
    <w:rsid w:val="00E32A92"/>
    <w:rsid w:val="00E32EDE"/>
    <w:rsid w:val="00E33D88"/>
    <w:rsid w:val="00E34E36"/>
    <w:rsid w:val="00E35579"/>
    <w:rsid w:val="00E37C19"/>
    <w:rsid w:val="00E37CED"/>
    <w:rsid w:val="00E37E2C"/>
    <w:rsid w:val="00E4009F"/>
    <w:rsid w:val="00E40F8D"/>
    <w:rsid w:val="00E41414"/>
    <w:rsid w:val="00E4329C"/>
    <w:rsid w:val="00E436D8"/>
    <w:rsid w:val="00E4555D"/>
    <w:rsid w:val="00E4560D"/>
    <w:rsid w:val="00E460DA"/>
    <w:rsid w:val="00E46442"/>
    <w:rsid w:val="00E46F71"/>
    <w:rsid w:val="00E47371"/>
    <w:rsid w:val="00E47F06"/>
    <w:rsid w:val="00E51A41"/>
    <w:rsid w:val="00E53137"/>
    <w:rsid w:val="00E57051"/>
    <w:rsid w:val="00E618E4"/>
    <w:rsid w:val="00E620D1"/>
    <w:rsid w:val="00E62D56"/>
    <w:rsid w:val="00E6486E"/>
    <w:rsid w:val="00E64BFC"/>
    <w:rsid w:val="00E64D22"/>
    <w:rsid w:val="00E64F43"/>
    <w:rsid w:val="00E65D76"/>
    <w:rsid w:val="00E71D3E"/>
    <w:rsid w:val="00E7207F"/>
    <w:rsid w:val="00E72798"/>
    <w:rsid w:val="00E74F53"/>
    <w:rsid w:val="00E75278"/>
    <w:rsid w:val="00E75DF8"/>
    <w:rsid w:val="00E774A0"/>
    <w:rsid w:val="00E80E88"/>
    <w:rsid w:val="00E84990"/>
    <w:rsid w:val="00E85061"/>
    <w:rsid w:val="00E85581"/>
    <w:rsid w:val="00E87500"/>
    <w:rsid w:val="00E92BF3"/>
    <w:rsid w:val="00E934A1"/>
    <w:rsid w:val="00E937EA"/>
    <w:rsid w:val="00EA0521"/>
    <w:rsid w:val="00EA14EC"/>
    <w:rsid w:val="00EA1A84"/>
    <w:rsid w:val="00EA246D"/>
    <w:rsid w:val="00EA41A7"/>
    <w:rsid w:val="00EA6683"/>
    <w:rsid w:val="00EB08B8"/>
    <w:rsid w:val="00EB11D7"/>
    <w:rsid w:val="00EB12C0"/>
    <w:rsid w:val="00EB16A1"/>
    <w:rsid w:val="00EB2401"/>
    <w:rsid w:val="00EB2CAB"/>
    <w:rsid w:val="00EB2CB0"/>
    <w:rsid w:val="00EB473C"/>
    <w:rsid w:val="00EB4B9D"/>
    <w:rsid w:val="00EB66F9"/>
    <w:rsid w:val="00EC046B"/>
    <w:rsid w:val="00EC283E"/>
    <w:rsid w:val="00EC2DD1"/>
    <w:rsid w:val="00EC35BD"/>
    <w:rsid w:val="00EC3EA0"/>
    <w:rsid w:val="00EC5D55"/>
    <w:rsid w:val="00ED0925"/>
    <w:rsid w:val="00ED1279"/>
    <w:rsid w:val="00ED1728"/>
    <w:rsid w:val="00ED1C2E"/>
    <w:rsid w:val="00ED265A"/>
    <w:rsid w:val="00ED2B4A"/>
    <w:rsid w:val="00ED438B"/>
    <w:rsid w:val="00ED448D"/>
    <w:rsid w:val="00ED4AFE"/>
    <w:rsid w:val="00ED6502"/>
    <w:rsid w:val="00EE060F"/>
    <w:rsid w:val="00EE068C"/>
    <w:rsid w:val="00EE08C8"/>
    <w:rsid w:val="00EE1507"/>
    <w:rsid w:val="00EE1EEC"/>
    <w:rsid w:val="00EE2025"/>
    <w:rsid w:val="00EE2BAE"/>
    <w:rsid w:val="00EE2F28"/>
    <w:rsid w:val="00EE4FEE"/>
    <w:rsid w:val="00EE70DB"/>
    <w:rsid w:val="00EE782F"/>
    <w:rsid w:val="00EF1B7C"/>
    <w:rsid w:val="00EF4BED"/>
    <w:rsid w:val="00EF52B1"/>
    <w:rsid w:val="00EF5DD9"/>
    <w:rsid w:val="00F0158F"/>
    <w:rsid w:val="00F06C67"/>
    <w:rsid w:val="00F07A7A"/>
    <w:rsid w:val="00F10111"/>
    <w:rsid w:val="00F101A3"/>
    <w:rsid w:val="00F10BB0"/>
    <w:rsid w:val="00F11A57"/>
    <w:rsid w:val="00F136E0"/>
    <w:rsid w:val="00F16359"/>
    <w:rsid w:val="00F22920"/>
    <w:rsid w:val="00F22CAD"/>
    <w:rsid w:val="00F233C1"/>
    <w:rsid w:val="00F254AD"/>
    <w:rsid w:val="00F3192F"/>
    <w:rsid w:val="00F32BE6"/>
    <w:rsid w:val="00F35A30"/>
    <w:rsid w:val="00F369F7"/>
    <w:rsid w:val="00F40C61"/>
    <w:rsid w:val="00F43710"/>
    <w:rsid w:val="00F442EF"/>
    <w:rsid w:val="00F449F9"/>
    <w:rsid w:val="00F44B91"/>
    <w:rsid w:val="00F4602A"/>
    <w:rsid w:val="00F47FC7"/>
    <w:rsid w:val="00F502D5"/>
    <w:rsid w:val="00F519E4"/>
    <w:rsid w:val="00F53257"/>
    <w:rsid w:val="00F533D5"/>
    <w:rsid w:val="00F5515A"/>
    <w:rsid w:val="00F5625A"/>
    <w:rsid w:val="00F60A91"/>
    <w:rsid w:val="00F63889"/>
    <w:rsid w:val="00F65DC3"/>
    <w:rsid w:val="00F71390"/>
    <w:rsid w:val="00F74CBC"/>
    <w:rsid w:val="00F76F95"/>
    <w:rsid w:val="00F80BB8"/>
    <w:rsid w:val="00F82BC2"/>
    <w:rsid w:val="00F84186"/>
    <w:rsid w:val="00F85EE1"/>
    <w:rsid w:val="00F905FA"/>
    <w:rsid w:val="00F9288D"/>
    <w:rsid w:val="00F93224"/>
    <w:rsid w:val="00F93895"/>
    <w:rsid w:val="00F9434D"/>
    <w:rsid w:val="00F94FE7"/>
    <w:rsid w:val="00F96A0F"/>
    <w:rsid w:val="00FA21A0"/>
    <w:rsid w:val="00FA2758"/>
    <w:rsid w:val="00FA4491"/>
    <w:rsid w:val="00FA49B8"/>
    <w:rsid w:val="00FA4A49"/>
    <w:rsid w:val="00FA6D70"/>
    <w:rsid w:val="00FB007A"/>
    <w:rsid w:val="00FB16B5"/>
    <w:rsid w:val="00FB20BE"/>
    <w:rsid w:val="00FB272A"/>
    <w:rsid w:val="00FB28E9"/>
    <w:rsid w:val="00FB34FE"/>
    <w:rsid w:val="00FB4D2B"/>
    <w:rsid w:val="00FB6A8E"/>
    <w:rsid w:val="00FB6CD5"/>
    <w:rsid w:val="00FB6F34"/>
    <w:rsid w:val="00FB752E"/>
    <w:rsid w:val="00FC2291"/>
    <w:rsid w:val="00FC22E4"/>
    <w:rsid w:val="00FC3E0F"/>
    <w:rsid w:val="00FC3FF6"/>
    <w:rsid w:val="00FC5C18"/>
    <w:rsid w:val="00FC60DB"/>
    <w:rsid w:val="00FC6DDE"/>
    <w:rsid w:val="00FD2B05"/>
    <w:rsid w:val="00FD3369"/>
    <w:rsid w:val="00FD37DC"/>
    <w:rsid w:val="00FD394A"/>
    <w:rsid w:val="00FD3EEF"/>
    <w:rsid w:val="00FD4A40"/>
    <w:rsid w:val="00FD4EF4"/>
    <w:rsid w:val="00FD5B7A"/>
    <w:rsid w:val="00FD60DD"/>
    <w:rsid w:val="00FE0116"/>
    <w:rsid w:val="00FE33B1"/>
    <w:rsid w:val="00FE368E"/>
    <w:rsid w:val="00FE374E"/>
    <w:rsid w:val="00FE40BE"/>
    <w:rsid w:val="00FE73B3"/>
    <w:rsid w:val="00FE78F0"/>
    <w:rsid w:val="00FF1A42"/>
    <w:rsid w:val="00FF30D4"/>
    <w:rsid w:val="00FF3A58"/>
    <w:rsid w:val="00FF5494"/>
    <w:rsid w:val="00FF56FD"/>
    <w:rsid w:val="00FF6EA6"/>
    <w:rsid w:val="00FF7685"/>
    <w:rsid w:val="010F524E"/>
    <w:rsid w:val="014C40D5"/>
    <w:rsid w:val="018F2DF3"/>
    <w:rsid w:val="01B946CE"/>
    <w:rsid w:val="01D94483"/>
    <w:rsid w:val="0239097E"/>
    <w:rsid w:val="0253209C"/>
    <w:rsid w:val="02B853D7"/>
    <w:rsid w:val="02BA7D82"/>
    <w:rsid w:val="02C53472"/>
    <w:rsid w:val="02DB4866"/>
    <w:rsid w:val="03147B4C"/>
    <w:rsid w:val="031C4B47"/>
    <w:rsid w:val="03510B84"/>
    <w:rsid w:val="03897D70"/>
    <w:rsid w:val="039321C0"/>
    <w:rsid w:val="03B42042"/>
    <w:rsid w:val="03C1671A"/>
    <w:rsid w:val="03DF34E4"/>
    <w:rsid w:val="03E04A35"/>
    <w:rsid w:val="04294F27"/>
    <w:rsid w:val="04670287"/>
    <w:rsid w:val="048D2D5D"/>
    <w:rsid w:val="04A21B7B"/>
    <w:rsid w:val="05007B92"/>
    <w:rsid w:val="05253B5F"/>
    <w:rsid w:val="05565CD6"/>
    <w:rsid w:val="056E16CF"/>
    <w:rsid w:val="058D5B2B"/>
    <w:rsid w:val="0599227E"/>
    <w:rsid w:val="059A7404"/>
    <w:rsid w:val="05B10860"/>
    <w:rsid w:val="05C856C6"/>
    <w:rsid w:val="05DD1395"/>
    <w:rsid w:val="061B6D6D"/>
    <w:rsid w:val="06211918"/>
    <w:rsid w:val="06295A9A"/>
    <w:rsid w:val="06621996"/>
    <w:rsid w:val="0674000C"/>
    <w:rsid w:val="069E1F4A"/>
    <w:rsid w:val="069E5DF6"/>
    <w:rsid w:val="071D6FB9"/>
    <w:rsid w:val="07313D00"/>
    <w:rsid w:val="07391B32"/>
    <w:rsid w:val="075A027B"/>
    <w:rsid w:val="07623F84"/>
    <w:rsid w:val="0767644F"/>
    <w:rsid w:val="077D62A5"/>
    <w:rsid w:val="079F18B6"/>
    <w:rsid w:val="07C26CA5"/>
    <w:rsid w:val="07C34422"/>
    <w:rsid w:val="07FF3B44"/>
    <w:rsid w:val="08AA40C0"/>
    <w:rsid w:val="08C72F61"/>
    <w:rsid w:val="08EC4C92"/>
    <w:rsid w:val="09042EE3"/>
    <w:rsid w:val="091E614B"/>
    <w:rsid w:val="09355DDA"/>
    <w:rsid w:val="09575226"/>
    <w:rsid w:val="097A676A"/>
    <w:rsid w:val="09D64FAE"/>
    <w:rsid w:val="09FD0E9F"/>
    <w:rsid w:val="0A1365B2"/>
    <w:rsid w:val="0A2A4608"/>
    <w:rsid w:val="0A3248E0"/>
    <w:rsid w:val="0A370FD3"/>
    <w:rsid w:val="0A8235E3"/>
    <w:rsid w:val="0ACC2FFA"/>
    <w:rsid w:val="0AE01C58"/>
    <w:rsid w:val="0AFE7196"/>
    <w:rsid w:val="0B666A61"/>
    <w:rsid w:val="0B67534F"/>
    <w:rsid w:val="0BC11374"/>
    <w:rsid w:val="0BF11842"/>
    <w:rsid w:val="0BFF67D7"/>
    <w:rsid w:val="0C146625"/>
    <w:rsid w:val="0C3254DC"/>
    <w:rsid w:val="0C7D65BC"/>
    <w:rsid w:val="0CAD38AC"/>
    <w:rsid w:val="0CAF654F"/>
    <w:rsid w:val="0CB27AE1"/>
    <w:rsid w:val="0CD52391"/>
    <w:rsid w:val="0CD90881"/>
    <w:rsid w:val="0CED7D8C"/>
    <w:rsid w:val="0D2E3533"/>
    <w:rsid w:val="0D601752"/>
    <w:rsid w:val="0D650C0A"/>
    <w:rsid w:val="0D6A4AD7"/>
    <w:rsid w:val="0D6D1F35"/>
    <w:rsid w:val="0DB3491E"/>
    <w:rsid w:val="0DB93794"/>
    <w:rsid w:val="0DC15C82"/>
    <w:rsid w:val="0DD53DD4"/>
    <w:rsid w:val="0DE516BF"/>
    <w:rsid w:val="0E2C6F61"/>
    <w:rsid w:val="0E4F702F"/>
    <w:rsid w:val="0E7B2823"/>
    <w:rsid w:val="0E8C7F2B"/>
    <w:rsid w:val="0ED24D13"/>
    <w:rsid w:val="0EDC5252"/>
    <w:rsid w:val="0F131281"/>
    <w:rsid w:val="0F2D762B"/>
    <w:rsid w:val="0F384615"/>
    <w:rsid w:val="0F463BEB"/>
    <w:rsid w:val="0F4D0E7B"/>
    <w:rsid w:val="0F533AD3"/>
    <w:rsid w:val="0F5B2B2B"/>
    <w:rsid w:val="0F9D6B5D"/>
    <w:rsid w:val="0FAC2634"/>
    <w:rsid w:val="0FDE250A"/>
    <w:rsid w:val="1009014F"/>
    <w:rsid w:val="101709AD"/>
    <w:rsid w:val="103D73CE"/>
    <w:rsid w:val="11214B6D"/>
    <w:rsid w:val="1165662C"/>
    <w:rsid w:val="117B76DD"/>
    <w:rsid w:val="11D00633"/>
    <w:rsid w:val="123D6C66"/>
    <w:rsid w:val="12561E1C"/>
    <w:rsid w:val="133B3B5D"/>
    <w:rsid w:val="133F5C40"/>
    <w:rsid w:val="13415AF5"/>
    <w:rsid w:val="13485E89"/>
    <w:rsid w:val="136B697C"/>
    <w:rsid w:val="13B91FDD"/>
    <w:rsid w:val="14340E2C"/>
    <w:rsid w:val="144877C8"/>
    <w:rsid w:val="1455243A"/>
    <w:rsid w:val="14667AD2"/>
    <w:rsid w:val="149E2043"/>
    <w:rsid w:val="151072FF"/>
    <w:rsid w:val="1521244A"/>
    <w:rsid w:val="15465AB7"/>
    <w:rsid w:val="158F4E06"/>
    <w:rsid w:val="15A27681"/>
    <w:rsid w:val="15AA1238"/>
    <w:rsid w:val="15C76D29"/>
    <w:rsid w:val="15F36845"/>
    <w:rsid w:val="15F95707"/>
    <w:rsid w:val="1648040C"/>
    <w:rsid w:val="165F137E"/>
    <w:rsid w:val="16A0541A"/>
    <w:rsid w:val="16A51FB6"/>
    <w:rsid w:val="16F01893"/>
    <w:rsid w:val="16FB4558"/>
    <w:rsid w:val="170148CE"/>
    <w:rsid w:val="17134CD7"/>
    <w:rsid w:val="17153C0C"/>
    <w:rsid w:val="172E0EF2"/>
    <w:rsid w:val="173F7C7B"/>
    <w:rsid w:val="17521871"/>
    <w:rsid w:val="1783031F"/>
    <w:rsid w:val="17A24BE3"/>
    <w:rsid w:val="17F55E01"/>
    <w:rsid w:val="1812217E"/>
    <w:rsid w:val="18244E26"/>
    <w:rsid w:val="188E3A9B"/>
    <w:rsid w:val="18BD2625"/>
    <w:rsid w:val="18C04373"/>
    <w:rsid w:val="18C232B7"/>
    <w:rsid w:val="18C3178B"/>
    <w:rsid w:val="18C73315"/>
    <w:rsid w:val="18EB7EE6"/>
    <w:rsid w:val="190301FC"/>
    <w:rsid w:val="192D0021"/>
    <w:rsid w:val="19A877EB"/>
    <w:rsid w:val="19B61C01"/>
    <w:rsid w:val="19BA5D94"/>
    <w:rsid w:val="19BA72CB"/>
    <w:rsid w:val="19BB2A30"/>
    <w:rsid w:val="19BE2A28"/>
    <w:rsid w:val="19C824EA"/>
    <w:rsid w:val="19E93FD1"/>
    <w:rsid w:val="1A6A7E36"/>
    <w:rsid w:val="1A9F05F2"/>
    <w:rsid w:val="1AC217DD"/>
    <w:rsid w:val="1AE216CD"/>
    <w:rsid w:val="1B3A2A27"/>
    <w:rsid w:val="1B3C5AB2"/>
    <w:rsid w:val="1B627C0A"/>
    <w:rsid w:val="1B7603DB"/>
    <w:rsid w:val="1BD40BB0"/>
    <w:rsid w:val="1C1D5C5A"/>
    <w:rsid w:val="1C424732"/>
    <w:rsid w:val="1C5138BA"/>
    <w:rsid w:val="1C855FFC"/>
    <w:rsid w:val="1C8B2DC8"/>
    <w:rsid w:val="1CA14B49"/>
    <w:rsid w:val="1CAB4773"/>
    <w:rsid w:val="1CBD009F"/>
    <w:rsid w:val="1CD8377F"/>
    <w:rsid w:val="1CD96EAA"/>
    <w:rsid w:val="1D433820"/>
    <w:rsid w:val="1D594227"/>
    <w:rsid w:val="1D5A77BF"/>
    <w:rsid w:val="1D667FFB"/>
    <w:rsid w:val="1DA26639"/>
    <w:rsid w:val="1DA75ECB"/>
    <w:rsid w:val="1DB218CD"/>
    <w:rsid w:val="1DB4647D"/>
    <w:rsid w:val="1DC5334C"/>
    <w:rsid w:val="1DDC0787"/>
    <w:rsid w:val="1DF32AF5"/>
    <w:rsid w:val="1E151C8F"/>
    <w:rsid w:val="1E3C5D68"/>
    <w:rsid w:val="1E6F6DC6"/>
    <w:rsid w:val="1E7563B9"/>
    <w:rsid w:val="1E764E95"/>
    <w:rsid w:val="1EA62CD6"/>
    <w:rsid w:val="1EB13227"/>
    <w:rsid w:val="1EB83EDC"/>
    <w:rsid w:val="1ECF381A"/>
    <w:rsid w:val="1EE3171E"/>
    <w:rsid w:val="1EF21687"/>
    <w:rsid w:val="1EFF0233"/>
    <w:rsid w:val="1F0F3078"/>
    <w:rsid w:val="1F2C68C3"/>
    <w:rsid w:val="1F33163E"/>
    <w:rsid w:val="1F597DA9"/>
    <w:rsid w:val="1F742F7B"/>
    <w:rsid w:val="1F843D72"/>
    <w:rsid w:val="1FC17DA7"/>
    <w:rsid w:val="1FF94A12"/>
    <w:rsid w:val="20077F78"/>
    <w:rsid w:val="20094952"/>
    <w:rsid w:val="204905BE"/>
    <w:rsid w:val="20887285"/>
    <w:rsid w:val="20AD0BF1"/>
    <w:rsid w:val="20F24498"/>
    <w:rsid w:val="21087856"/>
    <w:rsid w:val="211946F4"/>
    <w:rsid w:val="216655AE"/>
    <w:rsid w:val="217536FA"/>
    <w:rsid w:val="2195181B"/>
    <w:rsid w:val="21B60FF9"/>
    <w:rsid w:val="21D6588E"/>
    <w:rsid w:val="22052962"/>
    <w:rsid w:val="220C7A9F"/>
    <w:rsid w:val="2215717E"/>
    <w:rsid w:val="221B18A3"/>
    <w:rsid w:val="22226190"/>
    <w:rsid w:val="222E39E5"/>
    <w:rsid w:val="225E0B69"/>
    <w:rsid w:val="2297721A"/>
    <w:rsid w:val="229D2427"/>
    <w:rsid w:val="22B72481"/>
    <w:rsid w:val="22E8120B"/>
    <w:rsid w:val="230E3DA3"/>
    <w:rsid w:val="2312101B"/>
    <w:rsid w:val="232616A1"/>
    <w:rsid w:val="23277D23"/>
    <w:rsid w:val="2329499C"/>
    <w:rsid w:val="234F3F82"/>
    <w:rsid w:val="23EB1DA2"/>
    <w:rsid w:val="245E136A"/>
    <w:rsid w:val="24997DA3"/>
    <w:rsid w:val="24A939B9"/>
    <w:rsid w:val="24B6742C"/>
    <w:rsid w:val="24C20D54"/>
    <w:rsid w:val="24D61B28"/>
    <w:rsid w:val="24DC08BF"/>
    <w:rsid w:val="24F42854"/>
    <w:rsid w:val="24FB291F"/>
    <w:rsid w:val="2546260F"/>
    <w:rsid w:val="25493507"/>
    <w:rsid w:val="25604303"/>
    <w:rsid w:val="25B16144"/>
    <w:rsid w:val="262558FD"/>
    <w:rsid w:val="26381567"/>
    <w:rsid w:val="269A0EF9"/>
    <w:rsid w:val="26AC1B2A"/>
    <w:rsid w:val="26AD4CE3"/>
    <w:rsid w:val="26B02E2F"/>
    <w:rsid w:val="26BE0D88"/>
    <w:rsid w:val="26CF1B23"/>
    <w:rsid w:val="26F6476F"/>
    <w:rsid w:val="26FC2A88"/>
    <w:rsid w:val="270A1394"/>
    <w:rsid w:val="273242E5"/>
    <w:rsid w:val="2738229A"/>
    <w:rsid w:val="276F394A"/>
    <w:rsid w:val="27850DB9"/>
    <w:rsid w:val="279C010A"/>
    <w:rsid w:val="27D96D98"/>
    <w:rsid w:val="27E46300"/>
    <w:rsid w:val="27E47E54"/>
    <w:rsid w:val="2831504C"/>
    <w:rsid w:val="28426463"/>
    <w:rsid w:val="284B72B3"/>
    <w:rsid w:val="28724E95"/>
    <w:rsid w:val="28B50B26"/>
    <w:rsid w:val="28DD1D90"/>
    <w:rsid w:val="28F04925"/>
    <w:rsid w:val="291564DB"/>
    <w:rsid w:val="291E6186"/>
    <w:rsid w:val="294C77EB"/>
    <w:rsid w:val="29A77F26"/>
    <w:rsid w:val="29AE3150"/>
    <w:rsid w:val="29AE55A9"/>
    <w:rsid w:val="29E511A9"/>
    <w:rsid w:val="29F738D5"/>
    <w:rsid w:val="29FF2175"/>
    <w:rsid w:val="2A020C74"/>
    <w:rsid w:val="2A083575"/>
    <w:rsid w:val="2A103172"/>
    <w:rsid w:val="2A240F21"/>
    <w:rsid w:val="2A365850"/>
    <w:rsid w:val="2A3E16D4"/>
    <w:rsid w:val="2A590EEE"/>
    <w:rsid w:val="2A7C0305"/>
    <w:rsid w:val="2AA16AB9"/>
    <w:rsid w:val="2AD81157"/>
    <w:rsid w:val="2BBF30C3"/>
    <w:rsid w:val="2BC86688"/>
    <w:rsid w:val="2BC9660D"/>
    <w:rsid w:val="2BFD6B16"/>
    <w:rsid w:val="2C2038D9"/>
    <w:rsid w:val="2C7D42F4"/>
    <w:rsid w:val="2C9835CA"/>
    <w:rsid w:val="2CA11F33"/>
    <w:rsid w:val="2D121152"/>
    <w:rsid w:val="2D214A86"/>
    <w:rsid w:val="2D242EF3"/>
    <w:rsid w:val="2D966817"/>
    <w:rsid w:val="2DAA7713"/>
    <w:rsid w:val="2DC16FCB"/>
    <w:rsid w:val="2DE753EE"/>
    <w:rsid w:val="2E0C1D6B"/>
    <w:rsid w:val="2E2850C4"/>
    <w:rsid w:val="2E375F69"/>
    <w:rsid w:val="2E6B62C7"/>
    <w:rsid w:val="2E873C77"/>
    <w:rsid w:val="2EAE1057"/>
    <w:rsid w:val="2ECE666B"/>
    <w:rsid w:val="2EE2040B"/>
    <w:rsid w:val="2F0C1768"/>
    <w:rsid w:val="2F200C93"/>
    <w:rsid w:val="2F450157"/>
    <w:rsid w:val="2F6F1945"/>
    <w:rsid w:val="2FBF3F34"/>
    <w:rsid w:val="2FC52C51"/>
    <w:rsid w:val="30073B78"/>
    <w:rsid w:val="30305357"/>
    <w:rsid w:val="303A2F09"/>
    <w:rsid w:val="30402602"/>
    <w:rsid w:val="30604397"/>
    <w:rsid w:val="306A1D77"/>
    <w:rsid w:val="30A9322D"/>
    <w:rsid w:val="30B45F5A"/>
    <w:rsid w:val="30C92B3B"/>
    <w:rsid w:val="30E6623F"/>
    <w:rsid w:val="311A4F01"/>
    <w:rsid w:val="31202B8E"/>
    <w:rsid w:val="312C2234"/>
    <w:rsid w:val="3152655A"/>
    <w:rsid w:val="317957AA"/>
    <w:rsid w:val="317E36F8"/>
    <w:rsid w:val="31BC3861"/>
    <w:rsid w:val="32261B06"/>
    <w:rsid w:val="3247367B"/>
    <w:rsid w:val="32A72E8C"/>
    <w:rsid w:val="33297CE9"/>
    <w:rsid w:val="337827AA"/>
    <w:rsid w:val="33CA1B0B"/>
    <w:rsid w:val="33D726ED"/>
    <w:rsid w:val="34347434"/>
    <w:rsid w:val="344A48C2"/>
    <w:rsid w:val="34682775"/>
    <w:rsid w:val="34727975"/>
    <w:rsid w:val="34B4528F"/>
    <w:rsid w:val="34B54432"/>
    <w:rsid w:val="34F80FCC"/>
    <w:rsid w:val="35007B1B"/>
    <w:rsid w:val="35085D0D"/>
    <w:rsid w:val="350D5220"/>
    <w:rsid w:val="35633E8E"/>
    <w:rsid w:val="35A11DD7"/>
    <w:rsid w:val="35A250E3"/>
    <w:rsid w:val="35F13A8D"/>
    <w:rsid w:val="35FB38D2"/>
    <w:rsid w:val="35FB40C6"/>
    <w:rsid w:val="35FB7A22"/>
    <w:rsid w:val="360911D3"/>
    <w:rsid w:val="36232DC2"/>
    <w:rsid w:val="36372B5F"/>
    <w:rsid w:val="367D721C"/>
    <w:rsid w:val="36E31F58"/>
    <w:rsid w:val="36ED0492"/>
    <w:rsid w:val="370E7091"/>
    <w:rsid w:val="37154308"/>
    <w:rsid w:val="3762276C"/>
    <w:rsid w:val="37645B04"/>
    <w:rsid w:val="379A0FE0"/>
    <w:rsid w:val="37A92E71"/>
    <w:rsid w:val="37B855F7"/>
    <w:rsid w:val="37C11CE4"/>
    <w:rsid w:val="37E41401"/>
    <w:rsid w:val="37E4331D"/>
    <w:rsid w:val="37F60D8B"/>
    <w:rsid w:val="37F83B78"/>
    <w:rsid w:val="38153DDB"/>
    <w:rsid w:val="38342C4B"/>
    <w:rsid w:val="38554081"/>
    <w:rsid w:val="385E6884"/>
    <w:rsid w:val="386B727B"/>
    <w:rsid w:val="388F1DD7"/>
    <w:rsid w:val="38F41507"/>
    <w:rsid w:val="38F4757D"/>
    <w:rsid w:val="38F646D1"/>
    <w:rsid w:val="393C3E96"/>
    <w:rsid w:val="394E7B9B"/>
    <w:rsid w:val="39911D91"/>
    <w:rsid w:val="39B10819"/>
    <w:rsid w:val="39BB6418"/>
    <w:rsid w:val="39C063EF"/>
    <w:rsid w:val="39D32FD8"/>
    <w:rsid w:val="39D57EF0"/>
    <w:rsid w:val="39E22519"/>
    <w:rsid w:val="3A0C646E"/>
    <w:rsid w:val="3A294D7B"/>
    <w:rsid w:val="3A6561C9"/>
    <w:rsid w:val="3A6914E8"/>
    <w:rsid w:val="3A745884"/>
    <w:rsid w:val="3AA33F14"/>
    <w:rsid w:val="3ACE574C"/>
    <w:rsid w:val="3B482070"/>
    <w:rsid w:val="3B60011E"/>
    <w:rsid w:val="3B63737D"/>
    <w:rsid w:val="3B6B19B8"/>
    <w:rsid w:val="3B6D5039"/>
    <w:rsid w:val="3BAB1292"/>
    <w:rsid w:val="3C4E234C"/>
    <w:rsid w:val="3CE432EB"/>
    <w:rsid w:val="3D733B77"/>
    <w:rsid w:val="3D7429B2"/>
    <w:rsid w:val="3D776481"/>
    <w:rsid w:val="3D9D039F"/>
    <w:rsid w:val="3DE36B22"/>
    <w:rsid w:val="3E030956"/>
    <w:rsid w:val="3E0D1785"/>
    <w:rsid w:val="3E3C2B86"/>
    <w:rsid w:val="3E844D20"/>
    <w:rsid w:val="3ECA13E6"/>
    <w:rsid w:val="3EE25E17"/>
    <w:rsid w:val="3F0E09A9"/>
    <w:rsid w:val="3F2216AD"/>
    <w:rsid w:val="3F3859BE"/>
    <w:rsid w:val="3F482BCE"/>
    <w:rsid w:val="3F7655E5"/>
    <w:rsid w:val="3FAC22B9"/>
    <w:rsid w:val="3FB44A49"/>
    <w:rsid w:val="3FF44B02"/>
    <w:rsid w:val="3FFB3608"/>
    <w:rsid w:val="3FFD0790"/>
    <w:rsid w:val="401D7FC2"/>
    <w:rsid w:val="402A05DB"/>
    <w:rsid w:val="4044724E"/>
    <w:rsid w:val="408C16E3"/>
    <w:rsid w:val="40C56041"/>
    <w:rsid w:val="40FE7835"/>
    <w:rsid w:val="41072341"/>
    <w:rsid w:val="413C1377"/>
    <w:rsid w:val="414F2C35"/>
    <w:rsid w:val="41971E0A"/>
    <w:rsid w:val="41A62A24"/>
    <w:rsid w:val="41C84ED8"/>
    <w:rsid w:val="41F54357"/>
    <w:rsid w:val="41FD010C"/>
    <w:rsid w:val="42080A9C"/>
    <w:rsid w:val="42263950"/>
    <w:rsid w:val="424606D3"/>
    <w:rsid w:val="427F2C5F"/>
    <w:rsid w:val="429172CC"/>
    <w:rsid w:val="42BB6E80"/>
    <w:rsid w:val="42CB5E09"/>
    <w:rsid w:val="42CE0484"/>
    <w:rsid w:val="43054933"/>
    <w:rsid w:val="431F54B9"/>
    <w:rsid w:val="43360435"/>
    <w:rsid w:val="433F1F8B"/>
    <w:rsid w:val="436342E7"/>
    <w:rsid w:val="436A2861"/>
    <w:rsid w:val="43BF2BD7"/>
    <w:rsid w:val="43FA7D96"/>
    <w:rsid w:val="441564F6"/>
    <w:rsid w:val="442610C9"/>
    <w:rsid w:val="442F4039"/>
    <w:rsid w:val="44324E2D"/>
    <w:rsid w:val="445E0930"/>
    <w:rsid w:val="44995345"/>
    <w:rsid w:val="44DA75FA"/>
    <w:rsid w:val="451F670F"/>
    <w:rsid w:val="4526187E"/>
    <w:rsid w:val="455D7296"/>
    <w:rsid w:val="455F36F2"/>
    <w:rsid w:val="456B71F2"/>
    <w:rsid w:val="45C24630"/>
    <w:rsid w:val="45DB1B92"/>
    <w:rsid w:val="45DB7850"/>
    <w:rsid w:val="460F75B1"/>
    <w:rsid w:val="46400721"/>
    <w:rsid w:val="468731C3"/>
    <w:rsid w:val="468C141A"/>
    <w:rsid w:val="46C765FF"/>
    <w:rsid w:val="46CA7B5A"/>
    <w:rsid w:val="46D16626"/>
    <w:rsid w:val="46DC6EB3"/>
    <w:rsid w:val="46F47164"/>
    <w:rsid w:val="46F8000E"/>
    <w:rsid w:val="4704295F"/>
    <w:rsid w:val="471D0BC7"/>
    <w:rsid w:val="47655442"/>
    <w:rsid w:val="47AD5B80"/>
    <w:rsid w:val="47ED0978"/>
    <w:rsid w:val="481C13BF"/>
    <w:rsid w:val="483F2440"/>
    <w:rsid w:val="485A144B"/>
    <w:rsid w:val="48821704"/>
    <w:rsid w:val="48D35B86"/>
    <w:rsid w:val="48F12767"/>
    <w:rsid w:val="48F302A8"/>
    <w:rsid w:val="491D5063"/>
    <w:rsid w:val="493F7F3F"/>
    <w:rsid w:val="494326FE"/>
    <w:rsid w:val="494E1C53"/>
    <w:rsid w:val="498F2A6E"/>
    <w:rsid w:val="49E905DC"/>
    <w:rsid w:val="4A01097D"/>
    <w:rsid w:val="4A13024E"/>
    <w:rsid w:val="4A235138"/>
    <w:rsid w:val="4A7A44FE"/>
    <w:rsid w:val="4AB31311"/>
    <w:rsid w:val="4AC03D9E"/>
    <w:rsid w:val="4B202062"/>
    <w:rsid w:val="4B4E43A6"/>
    <w:rsid w:val="4BB156FA"/>
    <w:rsid w:val="4BB43511"/>
    <w:rsid w:val="4BB64397"/>
    <w:rsid w:val="4C24362E"/>
    <w:rsid w:val="4C4D3637"/>
    <w:rsid w:val="4C672C81"/>
    <w:rsid w:val="4C720B09"/>
    <w:rsid w:val="4C775CBC"/>
    <w:rsid w:val="4CB63176"/>
    <w:rsid w:val="4CB952A0"/>
    <w:rsid w:val="4CD35D09"/>
    <w:rsid w:val="4CE30117"/>
    <w:rsid w:val="4D077263"/>
    <w:rsid w:val="4D1C7BD3"/>
    <w:rsid w:val="4D440B3B"/>
    <w:rsid w:val="4D80267C"/>
    <w:rsid w:val="4DFF194E"/>
    <w:rsid w:val="4DFF2684"/>
    <w:rsid w:val="4E3D5BA6"/>
    <w:rsid w:val="4E791AD7"/>
    <w:rsid w:val="4E83505D"/>
    <w:rsid w:val="4E9E3E16"/>
    <w:rsid w:val="4EB47032"/>
    <w:rsid w:val="4ECD69B5"/>
    <w:rsid w:val="4EDB0166"/>
    <w:rsid w:val="4EE364E7"/>
    <w:rsid w:val="4EE53D72"/>
    <w:rsid w:val="4F0B187C"/>
    <w:rsid w:val="4F8317DD"/>
    <w:rsid w:val="4FBD4D42"/>
    <w:rsid w:val="4FCD7699"/>
    <w:rsid w:val="5034526C"/>
    <w:rsid w:val="505062AF"/>
    <w:rsid w:val="505446A7"/>
    <w:rsid w:val="509753B2"/>
    <w:rsid w:val="50B96C00"/>
    <w:rsid w:val="50C35C18"/>
    <w:rsid w:val="50DD197E"/>
    <w:rsid w:val="50DF58C1"/>
    <w:rsid w:val="5107225F"/>
    <w:rsid w:val="512300E0"/>
    <w:rsid w:val="5128120B"/>
    <w:rsid w:val="5196418D"/>
    <w:rsid w:val="51980D4A"/>
    <w:rsid w:val="51A81F9C"/>
    <w:rsid w:val="51DD3CF4"/>
    <w:rsid w:val="51F91887"/>
    <w:rsid w:val="52131EBF"/>
    <w:rsid w:val="521C159F"/>
    <w:rsid w:val="528D4E0A"/>
    <w:rsid w:val="52A526FE"/>
    <w:rsid w:val="52BC67CA"/>
    <w:rsid w:val="52D97DAD"/>
    <w:rsid w:val="52E636C6"/>
    <w:rsid w:val="52F97892"/>
    <w:rsid w:val="530429E1"/>
    <w:rsid w:val="53564E7E"/>
    <w:rsid w:val="537B0041"/>
    <w:rsid w:val="542A243C"/>
    <w:rsid w:val="542C153F"/>
    <w:rsid w:val="5451789C"/>
    <w:rsid w:val="546148FC"/>
    <w:rsid w:val="548B0DE9"/>
    <w:rsid w:val="54C746D6"/>
    <w:rsid w:val="54CE0F89"/>
    <w:rsid w:val="54EF0857"/>
    <w:rsid w:val="54F225AE"/>
    <w:rsid w:val="550D11B8"/>
    <w:rsid w:val="55134FF8"/>
    <w:rsid w:val="5533447B"/>
    <w:rsid w:val="553914D1"/>
    <w:rsid w:val="554566F2"/>
    <w:rsid w:val="554D240D"/>
    <w:rsid w:val="556B375E"/>
    <w:rsid w:val="55D63080"/>
    <w:rsid w:val="56120F2D"/>
    <w:rsid w:val="561708B5"/>
    <w:rsid w:val="56245862"/>
    <w:rsid w:val="562653FF"/>
    <w:rsid w:val="56383EDB"/>
    <w:rsid w:val="563F2B6B"/>
    <w:rsid w:val="56AD44C1"/>
    <w:rsid w:val="56C2228C"/>
    <w:rsid w:val="56DD22AA"/>
    <w:rsid w:val="56DF7CA4"/>
    <w:rsid w:val="570461AC"/>
    <w:rsid w:val="5715646F"/>
    <w:rsid w:val="572671E1"/>
    <w:rsid w:val="57473342"/>
    <w:rsid w:val="57764369"/>
    <w:rsid w:val="579B4BAE"/>
    <w:rsid w:val="57C10105"/>
    <w:rsid w:val="57CF2DE7"/>
    <w:rsid w:val="57EA50AF"/>
    <w:rsid w:val="58146F4D"/>
    <w:rsid w:val="582020AF"/>
    <w:rsid w:val="58441CCE"/>
    <w:rsid w:val="58900A00"/>
    <w:rsid w:val="5899060A"/>
    <w:rsid w:val="589A168E"/>
    <w:rsid w:val="58F250E9"/>
    <w:rsid w:val="597B1AB3"/>
    <w:rsid w:val="59C90947"/>
    <w:rsid w:val="59D75B33"/>
    <w:rsid w:val="59D967CE"/>
    <w:rsid w:val="59DB660A"/>
    <w:rsid w:val="59ED77C7"/>
    <w:rsid w:val="5A114842"/>
    <w:rsid w:val="5A4C30A3"/>
    <w:rsid w:val="5A6326B9"/>
    <w:rsid w:val="5A810687"/>
    <w:rsid w:val="5AAE3548"/>
    <w:rsid w:val="5AB55661"/>
    <w:rsid w:val="5AE841B2"/>
    <w:rsid w:val="5AF830CA"/>
    <w:rsid w:val="5B1F6EE9"/>
    <w:rsid w:val="5B2B6E12"/>
    <w:rsid w:val="5B4E0F5F"/>
    <w:rsid w:val="5B5F7302"/>
    <w:rsid w:val="5B70610D"/>
    <w:rsid w:val="5B845F39"/>
    <w:rsid w:val="5BEB1B67"/>
    <w:rsid w:val="5BF73773"/>
    <w:rsid w:val="5C272945"/>
    <w:rsid w:val="5C425CFC"/>
    <w:rsid w:val="5C8179EB"/>
    <w:rsid w:val="5C8C7482"/>
    <w:rsid w:val="5CB87D6C"/>
    <w:rsid w:val="5D3D1867"/>
    <w:rsid w:val="5D506A1D"/>
    <w:rsid w:val="5D5750F2"/>
    <w:rsid w:val="5D624909"/>
    <w:rsid w:val="5D793DA2"/>
    <w:rsid w:val="5D8E6B86"/>
    <w:rsid w:val="5D9D72CD"/>
    <w:rsid w:val="5DBD092A"/>
    <w:rsid w:val="5E2401F2"/>
    <w:rsid w:val="5E284C88"/>
    <w:rsid w:val="5E435949"/>
    <w:rsid w:val="5E436494"/>
    <w:rsid w:val="5E5D608D"/>
    <w:rsid w:val="5E756687"/>
    <w:rsid w:val="5E8F0379"/>
    <w:rsid w:val="5E964E7D"/>
    <w:rsid w:val="5EDF13B1"/>
    <w:rsid w:val="5EEA6392"/>
    <w:rsid w:val="5EED5BDD"/>
    <w:rsid w:val="5F011023"/>
    <w:rsid w:val="5F201E20"/>
    <w:rsid w:val="5F355B61"/>
    <w:rsid w:val="5F812E78"/>
    <w:rsid w:val="5F8D3CAC"/>
    <w:rsid w:val="5F8F11A7"/>
    <w:rsid w:val="5FA03CFD"/>
    <w:rsid w:val="5FA411A6"/>
    <w:rsid w:val="5FC73F67"/>
    <w:rsid w:val="60566219"/>
    <w:rsid w:val="605C4F47"/>
    <w:rsid w:val="608A76DC"/>
    <w:rsid w:val="608D58D2"/>
    <w:rsid w:val="60BB30BB"/>
    <w:rsid w:val="60C67C50"/>
    <w:rsid w:val="60EA0C7D"/>
    <w:rsid w:val="611B2C3C"/>
    <w:rsid w:val="624D5708"/>
    <w:rsid w:val="62B22E19"/>
    <w:rsid w:val="62B32DA3"/>
    <w:rsid w:val="62ED5AA7"/>
    <w:rsid w:val="63097033"/>
    <w:rsid w:val="636F68B9"/>
    <w:rsid w:val="63A36345"/>
    <w:rsid w:val="63CA4BEF"/>
    <w:rsid w:val="63D72461"/>
    <w:rsid w:val="641017A8"/>
    <w:rsid w:val="64181EC5"/>
    <w:rsid w:val="648139C1"/>
    <w:rsid w:val="648A7EB0"/>
    <w:rsid w:val="649829A9"/>
    <w:rsid w:val="64C44984"/>
    <w:rsid w:val="651A12A7"/>
    <w:rsid w:val="652F6B1E"/>
    <w:rsid w:val="653708AF"/>
    <w:rsid w:val="657659F9"/>
    <w:rsid w:val="65842F89"/>
    <w:rsid w:val="65B05C11"/>
    <w:rsid w:val="65CA1BB6"/>
    <w:rsid w:val="65D67DC6"/>
    <w:rsid w:val="65EE67C8"/>
    <w:rsid w:val="65F961B9"/>
    <w:rsid w:val="66141406"/>
    <w:rsid w:val="662B0176"/>
    <w:rsid w:val="663522DE"/>
    <w:rsid w:val="668E0232"/>
    <w:rsid w:val="672E6309"/>
    <w:rsid w:val="67467314"/>
    <w:rsid w:val="678B0DE8"/>
    <w:rsid w:val="678B37F9"/>
    <w:rsid w:val="678E0B8C"/>
    <w:rsid w:val="67C0594A"/>
    <w:rsid w:val="67D02912"/>
    <w:rsid w:val="680B10C1"/>
    <w:rsid w:val="683B5C29"/>
    <w:rsid w:val="685D09D5"/>
    <w:rsid w:val="6871363F"/>
    <w:rsid w:val="68821541"/>
    <w:rsid w:val="68B23596"/>
    <w:rsid w:val="68EE6D01"/>
    <w:rsid w:val="690305C1"/>
    <w:rsid w:val="691C5D7F"/>
    <w:rsid w:val="69330FB6"/>
    <w:rsid w:val="69644B5A"/>
    <w:rsid w:val="69666837"/>
    <w:rsid w:val="696C085C"/>
    <w:rsid w:val="69F754F0"/>
    <w:rsid w:val="6A1422BF"/>
    <w:rsid w:val="6A311AC7"/>
    <w:rsid w:val="6AB32A09"/>
    <w:rsid w:val="6B085216"/>
    <w:rsid w:val="6B3837F7"/>
    <w:rsid w:val="6B623255"/>
    <w:rsid w:val="6B6555BF"/>
    <w:rsid w:val="6C6626DA"/>
    <w:rsid w:val="6C7146F7"/>
    <w:rsid w:val="6C965C75"/>
    <w:rsid w:val="6CA12577"/>
    <w:rsid w:val="6CF00B25"/>
    <w:rsid w:val="6D013670"/>
    <w:rsid w:val="6D4321EA"/>
    <w:rsid w:val="6D5D4B8E"/>
    <w:rsid w:val="6D731215"/>
    <w:rsid w:val="6D9A7F7D"/>
    <w:rsid w:val="6E1F6819"/>
    <w:rsid w:val="6E272FA3"/>
    <w:rsid w:val="6ED529FF"/>
    <w:rsid w:val="6EDE24EA"/>
    <w:rsid w:val="6F0F4033"/>
    <w:rsid w:val="6F2533C2"/>
    <w:rsid w:val="6F745420"/>
    <w:rsid w:val="6F830903"/>
    <w:rsid w:val="6F8F4467"/>
    <w:rsid w:val="6F9775A3"/>
    <w:rsid w:val="6FA702DC"/>
    <w:rsid w:val="6FC84254"/>
    <w:rsid w:val="6FCD4F36"/>
    <w:rsid w:val="707A1AB0"/>
    <w:rsid w:val="708422B7"/>
    <w:rsid w:val="70B54732"/>
    <w:rsid w:val="70D967B3"/>
    <w:rsid w:val="70E471AF"/>
    <w:rsid w:val="70EE15E6"/>
    <w:rsid w:val="70FC649E"/>
    <w:rsid w:val="71341C5F"/>
    <w:rsid w:val="716562BC"/>
    <w:rsid w:val="71662C52"/>
    <w:rsid w:val="71A2342D"/>
    <w:rsid w:val="720D33F4"/>
    <w:rsid w:val="721260C2"/>
    <w:rsid w:val="721D3A6A"/>
    <w:rsid w:val="724A0232"/>
    <w:rsid w:val="729E2462"/>
    <w:rsid w:val="729F4D07"/>
    <w:rsid w:val="72AB08C1"/>
    <w:rsid w:val="72C16EB7"/>
    <w:rsid w:val="72D510AC"/>
    <w:rsid w:val="732B2977"/>
    <w:rsid w:val="73536CF4"/>
    <w:rsid w:val="739D2CBD"/>
    <w:rsid w:val="73BA794D"/>
    <w:rsid w:val="74031D63"/>
    <w:rsid w:val="741F515C"/>
    <w:rsid w:val="745131DF"/>
    <w:rsid w:val="74AB6BCC"/>
    <w:rsid w:val="74DB5B85"/>
    <w:rsid w:val="74DC7DBF"/>
    <w:rsid w:val="751854FF"/>
    <w:rsid w:val="752E1FCE"/>
    <w:rsid w:val="7543252F"/>
    <w:rsid w:val="755C1179"/>
    <w:rsid w:val="75BF44B0"/>
    <w:rsid w:val="76226699"/>
    <w:rsid w:val="763C34EC"/>
    <w:rsid w:val="764C7A4B"/>
    <w:rsid w:val="764C7F1F"/>
    <w:rsid w:val="764F3FF2"/>
    <w:rsid w:val="766E2873"/>
    <w:rsid w:val="76832BE7"/>
    <w:rsid w:val="76AB5533"/>
    <w:rsid w:val="76C87C1C"/>
    <w:rsid w:val="77437B24"/>
    <w:rsid w:val="7776441B"/>
    <w:rsid w:val="778C6ECE"/>
    <w:rsid w:val="77BB217E"/>
    <w:rsid w:val="77F064F7"/>
    <w:rsid w:val="782640FE"/>
    <w:rsid w:val="783319F7"/>
    <w:rsid w:val="78342545"/>
    <w:rsid w:val="783F3C59"/>
    <w:rsid w:val="78743EEF"/>
    <w:rsid w:val="78764F78"/>
    <w:rsid w:val="788641C2"/>
    <w:rsid w:val="7895434C"/>
    <w:rsid w:val="78A41DB3"/>
    <w:rsid w:val="78C82E8E"/>
    <w:rsid w:val="78DC45ED"/>
    <w:rsid w:val="79276150"/>
    <w:rsid w:val="79335478"/>
    <w:rsid w:val="79EB2334"/>
    <w:rsid w:val="7A256A27"/>
    <w:rsid w:val="7A374D14"/>
    <w:rsid w:val="7A65612E"/>
    <w:rsid w:val="7A7F5669"/>
    <w:rsid w:val="7A8169CC"/>
    <w:rsid w:val="7AC7483F"/>
    <w:rsid w:val="7ADD0F40"/>
    <w:rsid w:val="7B173254"/>
    <w:rsid w:val="7B464576"/>
    <w:rsid w:val="7B475FAB"/>
    <w:rsid w:val="7B4E023F"/>
    <w:rsid w:val="7B7E331B"/>
    <w:rsid w:val="7B800028"/>
    <w:rsid w:val="7B9C7E71"/>
    <w:rsid w:val="7BBE2AF8"/>
    <w:rsid w:val="7C623F6E"/>
    <w:rsid w:val="7C871D70"/>
    <w:rsid w:val="7C881833"/>
    <w:rsid w:val="7C9356B8"/>
    <w:rsid w:val="7CBD495E"/>
    <w:rsid w:val="7CCF19CB"/>
    <w:rsid w:val="7CD36CFF"/>
    <w:rsid w:val="7D1C0197"/>
    <w:rsid w:val="7D302B31"/>
    <w:rsid w:val="7D3E7DD3"/>
    <w:rsid w:val="7D450B5C"/>
    <w:rsid w:val="7DCF2E9C"/>
    <w:rsid w:val="7DFF35B4"/>
    <w:rsid w:val="7E082C11"/>
    <w:rsid w:val="7E52272B"/>
    <w:rsid w:val="7E537B1F"/>
    <w:rsid w:val="7E5C4E43"/>
    <w:rsid w:val="7E600CB2"/>
    <w:rsid w:val="7E6D2268"/>
    <w:rsid w:val="7E7254B9"/>
    <w:rsid w:val="7EC44BC8"/>
    <w:rsid w:val="7F1555BA"/>
    <w:rsid w:val="7F28323F"/>
    <w:rsid w:val="7F580E55"/>
    <w:rsid w:val="7F8D0E16"/>
    <w:rsid w:val="7F915D29"/>
    <w:rsid w:val="7FBF5085"/>
    <w:rsid w:val="7FC05006"/>
    <w:rsid w:val="7FC76CA7"/>
    <w:rsid w:val="7FCF122B"/>
    <w:rsid w:val="7FF806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49"/>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link w:val="50"/>
    <w:qFormat/>
    <w:uiPriority w:val="0"/>
    <w:pPr>
      <w:keepNext/>
      <w:keepLines/>
      <w:spacing w:before="260" w:beforeLines="0" w:after="260" w:afterLines="0" w:line="415" w:lineRule="auto"/>
      <w:ind w:firstLine="137" w:firstLineChars="49"/>
      <w:outlineLvl w:val="2"/>
    </w:pPr>
    <w:rPr>
      <w:rFonts w:ascii="黑体" w:hAnsi="宋体" w:eastAsia="黑体"/>
      <w:bCs/>
      <w:sz w:val="28"/>
      <w:szCs w:val="28"/>
    </w:rPr>
  </w:style>
  <w:style w:type="paragraph" w:styleId="6">
    <w:name w:val="heading 4"/>
    <w:basedOn w:val="1"/>
    <w:next w:val="1"/>
    <w:link w:val="5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7">
    <w:name w:val="heading 6"/>
    <w:basedOn w:val="1"/>
    <w:next w:val="1"/>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0">
    <w:name w:val="Default Paragraph Font"/>
    <w:qFormat/>
    <w:uiPriority w:val="0"/>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footer"/>
    <w:basedOn w:val="1"/>
    <w:link w:val="47"/>
    <w:qFormat/>
    <w:uiPriority w:val="0"/>
    <w:pPr>
      <w:tabs>
        <w:tab w:val="center" w:pos="4153"/>
        <w:tab w:val="right" w:pos="8306"/>
      </w:tabs>
      <w:snapToGrid w:val="0"/>
      <w:jc w:val="left"/>
    </w:pPr>
    <w:rPr>
      <w:sz w:val="18"/>
      <w:szCs w:val="18"/>
    </w:rPr>
  </w:style>
  <w:style w:type="paragraph" w:styleId="11">
    <w:name w:val="toc 7"/>
    <w:basedOn w:val="1"/>
    <w:next w:val="1"/>
    <w:qFormat/>
    <w:uiPriority w:val="0"/>
    <w:pPr>
      <w:ind w:left="1260"/>
      <w:jc w:val="left"/>
    </w:pPr>
    <w:rPr>
      <w:sz w:val="18"/>
      <w:szCs w:val="18"/>
    </w:rPr>
  </w:style>
  <w:style w:type="paragraph" w:styleId="12">
    <w:name w:val="Normal Indent"/>
    <w:basedOn w:val="1"/>
    <w:qFormat/>
    <w:uiPriority w:val="0"/>
    <w:pPr>
      <w:ind w:firstLine="420" w:firstLineChars="200"/>
    </w:pPr>
  </w:style>
  <w:style w:type="paragraph" w:styleId="13">
    <w:name w:val="Document Map"/>
    <w:basedOn w:val="1"/>
    <w:link w:val="52"/>
    <w:qFormat/>
    <w:uiPriority w:val="0"/>
    <w:pPr>
      <w:shd w:val="clear" w:color="auto" w:fill="000080"/>
    </w:pPr>
  </w:style>
  <w:style w:type="paragraph" w:styleId="14">
    <w:name w:val="annotation text"/>
    <w:basedOn w:val="1"/>
    <w:link w:val="53"/>
    <w:qFormat/>
    <w:uiPriority w:val="0"/>
    <w:pPr>
      <w:jc w:val="left"/>
    </w:pPr>
  </w:style>
  <w:style w:type="paragraph" w:styleId="15">
    <w:name w:val="Body Text 3"/>
    <w:basedOn w:val="1"/>
    <w:qFormat/>
    <w:uiPriority w:val="0"/>
    <w:rPr>
      <w:rFonts w:ascii="宋体"/>
      <w:sz w:val="24"/>
      <w:szCs w:val="20"/>
    </w:rPr>
  </w:style>
  <w:style w:type="paragraph" w:styleId="16">
    <w:name w:val="Body Text"/>
    <w:basedOn w:val="1"/>
    <w:next w:val="1"/>
    <w:link w:val="54"/>
    <w:qFormat/>
    <w:uiPriority w:val="0"/>
    <w:pPr>
      <w:spacing w:after="120" w:afterLines="0"/>
    </w:pPr>
  </w:style>
  <w:style w:type="paragraph" w:styleId="17">
    <w:name w:val="Body Text Indent"/>
    <w:basedOn w:val="1"/>
    <w:next w:val="18"/>
    <w:qFormat/>
    <w:uiPriority w:val="0"/>
    <w:pPr>
      <w:spacing w:after="120" w:afterLines="0"/>
      <w:ind w:left="420" w:leftChars="200"/>
    </w:pPr>
  </w:style>
  <w:style w:type="paragraph" w:styleId="18">
    <w:name w:val="envelope return"/>
    <w:basedOn w:val="1"/>
    <w:qFormat/>
    <w:uiPriority w:val="0"/>
    <w:pPr>
      <w:snapToGrid w:val="0"/>
    </w:pPr>
    <w:rPr>
      <w:rFonts w:ascii="Arial" w:hAnsi="Arial"/>
      <w:szCs w:val="24"/>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0"/>
    <w:pPr>
      <w:ind w:left="420"/>
      <w:jc w:val="left"/>
    </w:pPr>
    <w:rPr>
      <w:iCs/>
      <w:sz w:val="20"/>
      <w:szCs w:val="20"/>
    </w:rPr>
  </w:style>
  <w:style w:type="paragraph" w:styleId="21">
    <w:name w:val="Plain Text"/>
    <w:basedOn w:val="1"/>
    <w:next w:val="1"/>
    <w:link w:val="55"/>
    <w:qFormat/>
    <w:uiPriority w:val="0"/>
    <w:rPr>
      <w:rFonts w:ascii="等线" w:hAnsi="Courier New" w:eastAsia="等线"/>
      <w:szCs w:val="22"/>
    </w:rPr>
  </w:style>
  <w:style w:type="paragraph" w:styleId="22">
    <w:name w:val="toc 8"/>
    <w:basedOn w:val="1"/>
    <w:next w:val="1"/>
    <w:qFormat/>
    <w:uiPriority w:val="0"/>
    <w:pPr>
      <w:ind w:left="1470"/>
      <w:jc w:val="left"/>
    </w:pPr>
    <w:rPr>
      <w:sz w:val="18"/>
      <w:szCs w:val="18"/>
    </w:rPr>
  </w:style>
  <w:style w:type="paragraph" w:styleId="23">
    <w:name w:val="Date"/>
    <w:basedOn w:val="1"/>
    <w:next w:val="1"/>
    <w:link w:val="56"/>
    <w:qFormat/>
    <w:uiPriority w:val="0"/>
    <w:rPr>
      <w:sz w:val="24"/>
      <w:szCs w:val="20"/>
    </w:rPr>
  </w:style>
  <w:style w:type="paragraph" w:styleId="24">
    <w:name w:val="Balloon Text"/>
    <w:basedOn w:val="1"/>
    <w:qFormat/>
    <w:uiPriority w:val="0"/>
    <w:rPr>
      <w:sz w:val="18"/>
      <w:szCs w:val="18"/>
    </w:rPr>
  </w:style>
  <w:style w:type="paragraph" w:styleId="25">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spacing w:before="120" w:beforeLines="0" w:after="120" w:afterLines="0"/>
      <w:jc w:val="left"/>
    </w:pPr>
    <w:rPr>
      <w:b/>
      <w:bCs/>
      <w:caps/>
      <w:sz w:val="20"/>
      <w:szCs w:val="20"/>
    </w:rPr>
  </w:style>
  <w:style w:type="paragraph" w:styleId="27">
    <w:name w:val="toc 4"/>
    <w:basedOn w:val="1"/>
    <w:next w:val="1"/>
    <w:qFormat/>
    <w:uiPriority w:val="0"/>
    <w:pPr>
      <w:ind w:left="630"/>
      <w:jc w:val="left"/>
    </w:pPr>
    <w:rPr>
      <w:sz w:val="18"/>
      <w:szCs w:val="18"/>
    </w:rPr>
  </w:style>
  <w:style w:type="paragraph" w:styleId="28">
    <w:name w:val="toc 6"/>
    <w:basedOn w:val="1"/>
    <w:next w:val="1"/>
    <w:qFormat/>
    <w:uiPriority w:val="0"/>
    <w:pPr>
      <w:ind w:left="1050"/>
      <w:jc w:val="left"/>
    </w:pPr>
    <w:rPr>
      <w:sz w:val="18"/>
      <w:szCs w:val="18"/>
    </w:rPr>
  </w:style>
  <w:style w:type="paragraph" w:styleId="29">
    <w:name w:val="Body Text Indent 3"/>
    <w:basedOn w:val="1"/>
    <w:qFormat/>
    <w:uiPriority w:val="0"/>
    <w:pPr>
      <w:spacing w:after="120" w:afterLines="0"/>
      <w:ind w:left="420" w:leftChars="200"/>
    </w:pPr>
    <w:rPr>
      <w:sz w:val="16"/>
      <w:szCs w:val="16"/>
    </w:rPr>
  </w:style>
  <w:style w:type="paragraph" w:styleId="30">
    <w:name w:val="toc 2"/>
    <w:basedOn w:val="1"/>
    <w:next w:val="1"/>
    <w:qFormat/>
    <w:uiPriority w:val="0"/>
    <w:pPr>
      <w:ind w:left="210"/>
      <w:jc w:val="left"/>
    </w:pPr>
    <w:rPr>
      <w:smallCaps/>
      <w:sz w:val="20"/>
      <w:szCs w:val="20"/>
    </w:rPr>
  </w:style>
  <w:style w:type="paragraph" w:styleId="31">
    <w:name w:val="toc 9"/>
    <w:basedOn w:val="1"/>
    <w:next w:val="1"/>
    <w:qFormat/>
    <w:uiPriority w:val="0"/>
    <w:pPr>
      <w:ind w:left="1680"/>
      <w:jc w:val="left"/>
    </w:pPr>
    <w:rPr>
      <w:sz w:val="18"/>
      <w:szCs w:val="18"/>
    </w:rPr>
  </w:style>
  <w:style w:type="paragraph" w:styleId="32">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33">
    <w:name w:val="index 1"/>
    <w:basedOn w:val="1"/>
    <w:next w:val="1"/>
    <w:qFormat/>
    <w:uiPriority w:val="0"/>
    <w:pPr>
      <w:spacing w:line="220" w:lineRule="exact"/>
      <w:jc w:val="center"/>
    </w:pPr>
    <w:rPr>
      <w:rFonts w:ascii="仿宋_GB2312" w:eastAsia="仿宋_GB2312"/>
      <w:szCs w:val="21"/>
    </w:rPr>
  </w:style>
  <w:style w:type="paragraph" w:styleId="34">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35">
    <w:name w:val="annotation subject"/>
    <w:basedOn w:val="14"/>
    <w:next w:val="14"/>
    <w:link w:val="58"/>
    <w:qFormat/>
    <w:uiPriority w:val="0"/>
    <w:pPr>
      <w:jc w:val="both"/>
    </w:pPr>
    <w:rPr>
      <w:b/>
      <w:bCs/>
    </w:rPr>
  </w:style>
  <w:style w:type="paragraph" w:styleId="36">
    <w:name w:val="Body Text First Indent"/>
    <w:basedOn w:val="16"/>
    <w:link w:val="59"/>
    <w:qFormat/>
    <w:uiPriority w:val="0"/>
    <w:pPr>
      <w:spacing w:line="312" w:lineRule="auto"/>
      <w:ind w:firstLine="420"/>
    </w:pPr>
  </w:style>
  <w:style w:type="paragraph" w:styleId="37">
    <w:name w:val="Body Text First Indent 2"/>
    <w:basedOn w:val="17"/>
    <w:unhideWhenUsed/>
    <w:qFormat/>
    <w:uiPriority w:val="99"/>
    <w:pPr>
      <w:ind w:firstLine="420" w:firstLineChars="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0"/>
  </w:style>
  <w:style w:type="character" w:styleId="43">
    <w:name w:val="FollowedHyperlink"/>
    <w:qFormat/>
    <w:uiPriority w:val="0"/>
    <w:rPr>
      <w:color w:val="333333"/>
      <w:u w:val="none"/>
    </w:rPr>
  </w:style>
  <w:style w:type="character" w:styleId="44">
    <w:name w:val="Hyperlink"/>
    <w:qFormat/>
    <w:uiPriority w:val="0"/>
    <w:rPr>
      <w:color w:val="333333"/>
      <w:u w:val="non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customStyle="1" w:styleId="47">
    <w:name w:val="页脚 字符"/>
    <w:link w:val="2"/>
    <w:qFormat/>
    <w:uiPriority w:val="0"/>
    <w:rPr>
      <w:rFonts w:eastAsia="宋体"/>
      <w:kern w:val="2"/>
      <w:sz w:val="18"/>
      <w:szCs w:val="18"/>
      <w:lang w:val="en-US" w:eastAsia="zh-CN" w:bidi="ar-SA"/>
    </w:rPr>
  </w:style>
  <w:style w:type="character" w:customStyle="1" w:styleId="48">
    <w:name w:val="标题 1 字符"/>
    <w:link w:val="3"/>
    <w:qFormat/>
    <w:uiPriority w:val="0"/>
    <w:rPr>
      <w:rFonts w:eastAsia="宋体"/>
      <w:b/>
      <w:bCs/>
      <w:kern w:val="44"/>
      <w:sz w:val="44"/>
      <w:szCs w:val="44"/>
      <w:lang w:val="en-US" w:eastAsia="zh-CN" w:bidi="ar-SA"/>
    </w:rPr>
  </w:style>
  <w:style w:type="character" w:customStyle="1" w:styleId="49">
    <w:name w:val="标题 2 字符"/>
    <w:link w:val="4"/>
    <w:qFormat/>
    <w:uiPriority w:val="0"/>
    <w:rPr>
      <w:rFonts w:ascii="Arial" w:hAnsi="Arial" w:eastAsia="黑体"/>
      <w:b/>
      <w:bCs/>
      <w:kern w:val="2"/>
      <w:sz w:val="32"/>
      <w:szCs w:val="32"/>
      <w:lang w:val="en-US" w:eastAsia="zh-CN" w:bidi="ar-SA"/>
    </w:rPr>
  </w:style>
  <w:style w:type="character" w:customStyle="1" w:styleId="50">
    <w:name w:val="标题 3 字符"/>
    <w:link w:val="5"/>
    <w:qFormat/>
    <w:uiPriority w:val="0"/>
    <w:rPr>
      <w:rFonts w:ascii="黑体" w:hAnsi="宋体" w:eastAsia="黑体"/>
      <w:bCs/>
      <w:kern w:val="2"/>
      <w:sz w:val="28"/>
      <w:szCs w:val="28"/>
      <w:lang w:val="en-US" w:eastAsia="zh-CN" w:bidi="ar-SA"/>
    </w:rPr>
  </w:style>
  <w:style w:type="character" w:customStyle="1" w:styleId="51">
    <w:name w:val="标题 4 字符"/>
    <w:link w:val="6"/>
    <w:qFormat/>
    <w:uiPriority w:val="0"/>
    <w:rPr>
      <w:rFonts w:ascii="Arial" w:hAnsi="Arial" w:eastAsia="黑体"/>
      <w:b/>
      <w:bCs/>
      <w:kern w:val="2"/>
      <w:sz w:val="28"/>
      <w:szCs w:val="28"/>
      <w:lang w:val="en-US" w:eastAsia="zh-CN" w:bidi="ar-SA"/>
    </w:rPr>
  </w:style>
  <w:style w:type="character" w:customStyle="1" w:styleId="52">
    <w:name w:val="文档结构图 字符"/>
    <w:link w:val="13"/>
    <w:qFormat/>
    <w:uiPriority w:val="0"/>
    <w:rPr>
      <w:rFonts w:eastAsia="宋体"/>
      <w:kern w:val="2"/>
      <w:sz w:val="21"/>
      <w:szCs w:val="24"/>
      <w:lang w:val="en-US" w:eastAsia="zh-CN" w:bidi="ar-SA"/>
    </w:rPr>
  </w:style>
  <w:style w:type="character" w:customStyle="1" w:styleId="53">
    <w:name w:val="批注文字 字符"/>
    <w:link w:val="14"/>
    <w:qFormat/>
    <w:uiPriority w:val="0"/>
    <w:rPr>
      <w:rFonts w:eastAsia="宋体"/>
      <w:kern w:val="2"/>
      <w:sz w:val="21"/>
      <w:szCs w:val="24"/>
      <w:lang w:val="en-US" w:eastAsia="zh-CN" w:bidi="ar-SA"/>
    </w:rPr>
  </w:style>
  <w:style w:type="character" w:customStyle="1" w:styleId="54">
    <w:name w:val="正文文本 字符"/>
    <w:link w:val="16"/>
    <w:qFormat/>
    <w:uiPriority w:val="0"/>
    <w:rPr>
      <w:rFonts w:eastAsia="宋体"/>
      <w:kern w:val="2"/>
      <w:sz w:val="21"/>
      <w:szCs w:val="24"/>
      <w:lang w:val="en-US" w:eastAsia="zh-CN" w:bidi="ar-SA"/>
    </w:rPr>
  </w:style>
  <w:style w:type="character" w:customStyle="1" w:styleId="55">
    <w:name w:val="纯文本 字符"/>
    <w:link w:val="21"/>
    <w:qFormat/>
    <w:uiPriority w:val="0"/>
    <w:rPr>
      <w:rFonts w:ascii="等线" w:hAnsi="Courier New" w:eastAsia="等线" w:cs="Courier New"/>
      <w:kern w:val="2"/>
      <w:sz w:val="21"/>
      <w:szCs w:val="22"/>
    </w:rPr>
  </w:style>
  <w:style w:type="character" w:customStyle="1" w:styleId="56">
    <w:name w:val="日期 字符"/>
    <w:link w:val="23"/>
    <w:qFormat/>
    <w:uiPriority w:val="0"/>
    <w:rPr>
      <w:kern w:val="2"/>
      <w:sz w:val="24"/>
    </w:rPr>
  </w:style>
  <w:style w:type="character" w:customStyle="1" w:styleId="57">
    <w:name w:val="页眉 字符"/>
    <w:link w:val="25"/>
    <w:qFormat/>
    <w:uiPriority w:val="0"/>
    <w:rPr>
      <w:rFonts w:eastAsia="宋体"/>
      <w:kern w:val="2"/>
      <w:sz w:val="18"/>
      <w:szCs w:val="18"/>
      <w:lang w:val="en-US" w:eastAsia="zh-CN" w:bidi="ar-SA"/>
    </w:rPr>
  </w:style>
  <w:style w:type="character" w:customStyle="1" w:styleId="58">
    <w:name w:val="批注主题 字符"/>
    <w:link w:val="35"/>
    <w:qFormat/>
    <w:uiPriority w:val="0"/>
    <w:rPr>
      <w:rFonts w:eastAsia="宋体"/>
      <w:b/>
      <w:bCs/>
      <w:kern w:val="2"/>
      <w:sz w:val="21"/>
      <w:szCs w:val="24"/>
      <w:lang w:val="en-US" w:eastAsia="zh-CN" w:bidi="ar-SA"/>
    </w:rPr>
  </w:style>
  <w:style w:type="character" w:customStyle="1" w:styleId="59">
    <w:name w:val="正文首行缩进 字符"/>
    <w:link w:val="36"/>
    <w:qFormat/>
    <w:uiPriority w:val="0"/>
    <w:rPr>
      <w:lang w:val="en-US" w:eastAsia="zh-CN" w:bidi="ar-SA"/>
    </w:rPr>
  </w:style>
  <w:style w:type="character" w:customStyle="1" w:styleId="60">
    <w:name w:val="font21"/>
    <w:qFormat/>
    <w:uiPriority w:val="0"/>
    <w:rPr>
      <w:rFonts w:hint="eastAsia" w:ascii="仿宋" w:hAnsi="仿宋" w:eastAsia="仿宋" w:cs="仿宋"/>
      <w:b/>
      <w:color w:val="000000"/>
      <w:sz w:val="28"/>
      <w:szCs w:val="28"/>
      <w:u w:val="none"/>
    </w:rPr>
  </w:style>
  <w:style w:type="character" w:customStyle="1" w:styleId="61">
    <w:name w:val="文一 Char Char"/>
    <w:link w:val="62"/>
    <w:qFormat/>
    <w:uiPriority w:val="0"/>
    <w:rPr>
      <w:rFonts w:ascii="等线" w:hAnsi="等线" w:eastAsia="等线"/>
      <w:spacing w:val="4"/>
      <w:sz w:val="24"/>
      <w:szCs w:val="24"/>
    </w:rPr>
  </w:style>
  <w:style w:type="paragraph" w:customStyle="1" w:styleId="62">
    <w:name w:val="文一"/>
    <w:basedOn w:val="1"/>
    <w:link w:val="61"/>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63">
    <w:name w:val="fontstyle01"/>
    <w:qFormat/>
    <w:uiPriority w:val="0"/>
    <w:rPr>
      <w:rFonts w:hint="eastAsia" w:ascii="宋体" w:hAnsi="宋体" w:eastAsia="宋体"/>
      <w:color w:val="000000"/>
      <w:sz w:val="22"/>
      <w:szCs w:val="22"/>
    </w:rPr>
  </w:style>
  <w:style w:type="character" w:customStyle="1" w:styleId="64">
    <w:name w:val="font161"/>
    <w:qFormat/>
    <w:uiPriority w:val="0"/>
    <w:rPr>
      <w:b/>
      <w:bCs/>
      <w:sz w:val="32"/>
      <w:szCs w:val="32"/>
    </w:rPr>
  </w:style>
  <w:style w:type="character" w:customStyle="1" w:styleId="65">
    <w:name w:val="font11"/>
    <w:qFormat/>
    <w:uiPriority w:val="0"/>
    <w:rPr>
      <w:rFonts w:hint="eastAsia" w:ascii="仿宋" w:hAnsi="仿宋" w:eastAsia="仿宋" w:cs="仿宋"/>
      <w:color w:val="000000"/>
      <w:sz w:val="28"/>
      <w:szCs w:val="28"/>
      <w:u w:val="none"/>
    </w:rPr>
  </w:style>
  <w:style w:type="paragraph" w:customStyle="1" w:styleId="66">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Cs w:val="0"/>
      <w:sz w:val="24"/>
      <w:szCs w:val="20"/>
    </w:rPr>
  </w:style>
  <w:style w:type="paragraph" w:customStyle="1" w:styleId="67">
    <w:name w:val="样式2"/>
    <w:basedOn w:val="5"/>
    <w:qFormat/>
    <w:uiPriority w:val="0"/>
    <w:rPr>
      <w:i/>
    </w:rPr>
  </w:style>
  <w:style w:type="paragraph" w:customStyle="1" w:styleId="68">
    <w:name w:val="正题"/>
    <w:basedOn w:val="62"/>
    <w:next w:val="62"/>
    <w:qFormat/>
    <w:uiPriority w:val="0"/>
    <w:pPr>
      <w:ind w:firstLine="0" w:firstLineChars="0"/>
      <w:jc w:val="center"/>
    </w:pPr>
    <w:rPr>
      <w:rFonts w:eastAsia="黑体"/>
      <w:b/>
      <w:sz w:val="36"/>
      <w:szCs w:val="36"/>
    </w:rPr>
  </w:style>
  <w:style w:type="paragraph" w:customStyle="1" w:styleId="69">
    <w:name w:val="章节三"/>
    <w:basedOn w:val="62"/>
    <w:next w:val="62"/>
    <w:qFormat/>
    <w:uiPriority w:val="0"/>
    <w:pPr>
      <w:topLinePunct/>
      <w:adjustRightInd w:val="0"/>
      <w:snapToGrid w:val="0"/>
      <w:spacing w:beforeLines="50" w:afterLines="50"/>
      <w:jc w:val="left"/>
      <w:outlineLvl w:val="2"/>
    </w:pPr>
    <w:rPr>
      <w:rFonts w:ascii="黑体" w:hAnsi="宋体" w:eastAsia="黑体"/>
      <w:b/>
      <w:spacing w:val="4"/>
      <w:sz w:val="24"/>
    </w:rPr>
  </w:style>
  <w:style w:type="paragraph" w:customStyle="1" w:styleId="70">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1">
    <w:name w:val="发文落款"/>
    <w:basedOn w:val="72"/>
    <w:qFormat/>
    <w:uiPriority w:val="0"/>
    <w:pPr>
      <w:ind w:left="4094" w:right="607" w:firstLine="0"/>
      <w:jc w:val="center"/>
    </w:pPr>
  </w:style>
  <w:style w:type="paragraph" w:customStyle="1" w:styleId="7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3">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4">
    <w:name w:val="Body text|3"/>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75">
    <w:name w:val="表格"/>
    <w:basedOn w:val="1"/>
    <w:qFormat/>
    <w:uiPriority w:val="0"/>
    <w:pPr>
      <w:jc w:val="center"/>
      <w:textAlignment w:val="center"/>
    </w:pPr>
    <w:rPr>
      <w:rFonts w:ascii="华文细黑" w:hAnsi="华文细黑"/>
      <w:kern w:val="0"/>
      <w:szCs w:val="20"/>
    </w:rPr>
  </w:style>
  <w:style w:type="paragraph" w:customStyle="1" w:styleId="76">
    <w:name w:val="样式1"/>
    <w:basedOn w:val="1"/>
    <w:next w:val="6"/>
    <w:qFormat/>
    <w:uiPriority w:val="0"/>
    <w:pPr>
      <w:spacing w:line="360" w:lineRule="auto"/>
      <w:ind w:firstLine="420" w:firstLineChars="200"/>
    </w:pPr>
    <w:rPr>
      <w:rFonts w:ascii="宋体" w:hAnsi="宋体"/>
      <w:szCs w:val="21"/>
    </w:rPr>
  </w:style>
  <w:style w:type="paragraph" w:customStyle="1" w:styleId="7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8">
    <w:name w:val="Revision"/>
    <w:qFormat/>
    <w:uiPriority w:val="0"/>
    <w:rPr>
      <w:rFonts w:ascii="Times New Roman" w:hAnsi="Times New Roman" w:eastAsia="宋体" w:cs="Times New Roman"/>
      <w:kern w:val="2"/>
      <w:sz w:val="21"/>
      <w:szCs w:val="24"/>
      <w:lang w:val="en-US" w:eastAsia="zh-CN" w:bidi="ar-SA"/>
    </w:rPr>
  </w:style>
  <w:style w:type="paragraph" w:customStyle="1" w:styleId="7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Char1"/>
    <w:basedOn w:val="1"/>
    <w:qFormat/>
    <w:uiPriority w:val="0"/>
    <w:pPr>
      <w:tabs>
        <w:tab w:val="left" w:pos="360"/>
      </w:tabs>
    </w:pPr>
    <w:rPr>
      <w:sz w:val="24"/>
    </w:rPr>
  </w:style>
  <w:style w:type="paragraph" w:customStyle="1" w:styleId="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2">
    <w:name w:val="1"/>
    <w:basedOn w:val="1"/>
    <w:qFormat/>
    <w:uiPriority w:val="0"/>
  </w:style>
  <w:style w:type="paragraph" w:customStyle="1" w:styleId="83">
    <w:name w:val="Other|1"/>
    <w:basedOn w:val="1"/>
    <w:qFormat/>
    <w:uiPriority w:val="0"/>
    <w:pPr>
      <w:widowControl w:val="0"/>
      <w:shd w:val="clear" w:color="auto" w:fill="auto"/>
      <w:spacing w:line="228" w:lineRule="exact"/>
    </w:pPr>
    <w:rPr>
      <w:rFonts w:ascii="宋体" w:hAnsi="宋体" w:eastAsia="宋体" w:cs="宋体"/>
      <w:sz w:val="17"/>
      <w:szCs w:val="17"/>
      <w:u w:val="none"/>
      <w:shd w:val="clear" w:color="auto" w:fill="auto"/>
      <w:lang w:val="zh-TW" w:eastAsia="zh-TW" w:bidi="zh-TW"/>
    </w:rPr>
  </w:style>
  <w:style w:type="paragraph" w:customStyle="1" w:styleId="84">
    <w:name w:val="表格文字"/>
    <w:basedOn w:val="1"/>
    <w:qFormat/>
    <w:uiPriority w:val="0"/>
    <w:pPr>
      <w:adjustRightInd w:val="0"/>
      <w:spacing w:line="420" w:lineRule="atLeast"/>
      <w:jc w:val="left"/>
      <w:textAlignment w:val="baseline"/>
    </w:pPr>
    <w:rPr>
      <w:kern w:val="0"/>
      <w:szCs w:val="20"/>
    </w:rPr>
  </w:style>
  <w:style w:type="paragraph" w:customStyle="1" w:styleId="85">
    <w:name w:val="Char"/>
    <w:basedOn w:val="1"/>
    <w:qFormat/>
    <w:uiPriority w:val="0"/>
    <w:pPr>
      <w:tabs>
        <w:tab w:val="left" w:pos="360"/>
      </w:tabs>
    </w:pPr>
    <w:rPr>
      <w:sz w:val="24"/>
    </w:rPr>
  </w:style>
  <w:style w:type="paragraph" w:customStyle="1" w:styleId="86">
    <w:name w:val="表头"/>
    <w:basedOn w:val="1"/>
    <w:qFormat/>
    <w:uiPriority w:val="0"/>
    <w:pPr>
      <w:spacing w:line="360" w:lineRule="auto"/>
      <w:jc w:val="center"/>
    </w:pPr>
    <w:rPr>
      <w:rFonts w:ascii="黑体" w:eastAsia="黑体"/>
      <w:kern w:val="0"/>
      <w:sz w:val="24"/>
      <w:szCs w:val="20"/>
    </w:rPr>
  </w:style>
  <w:style w:type="paragraph" w:customStyle="1" w:styleId="87">
    <w:name w:val="_Style 86"/>
    <w:semiHidden/>
    <w:qFormat/>
    <w:uiPriority w:val="99"/>
    <w:rPr>
      <w:rFonts w:ascii="Times New Roman" w:hAnsi="Times New Roman" w:eastAsia="宋体" w:cs="Times New Roman"/>
      <w:kern w:val="2"/>
      <w:sz w:val="21"/>
      <w:szCs w:val="24"/>
      <w:lang w:val="en-US" w:eastAsia="zh-CN" w:bidi="ar-SA"/>
    </w:rPr>
  </w:style>
  <w:style w:type="paragraph" w:customStyle="1" w:styleId="88">
    <w:name w:val="样式 宋体 行距: 1.5 倍行距"/>
    <w:basedOn w:val="1"/>
    <w:qFormat/>
    <w:uiPriority w:val="0"/>
    <w:pPr>
      <w:jc w:val="center"/>
    </w:pPr>
    <w:rPr>
      <w:b/>
      <w:bCs/>
    </w:rPr>
  </w:style>
  <w:style w:type="paragraph" w:customStyle="1" w:styleId="89">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90">
    <w:name w:val="Table Paragraph"/>
    <w:basedOn w:val="1"/>
    <w:qFormat/>
    <w:uiPriority w:val="1"/>
  </w:style>
  <w:style w:type="paragraph" w:customStyle="1" w:styleId="9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2">
    <w:name w:val="hover"/>
    <w:qFormat/>
    <w:uiPriority w:val="0"/>
    <w:rPr>
      <w:color w:val="FFFFFF"/>
    </w:rPr>
  </w:style>
  <w:style w:type="character" w:customStyle="1" w:styleId="93">
    <w:name w:val="hover1"/>
    <w:qFormat/>
    <w:uiPriority w:val="0"/>
    <w:rPr>
      <w:shd w:val="clear" w:color="auto" w:fill="929292"/>
    </w:rPr>
  </w:style>
  <w:style w:type="character" w:customStyle="1" w:styleId="94">
    <w:name w:val="article-icon"/>
    <w:qFormat/>
    <w:uiPriority w:val="0"/>
  </w:style>
  <w:style w:type="character" w:customStyle="1" w:styleId="95">
    <w:name w:val="hover11"/>
    <w:qFormat/>
    <w:uiPriority w:val="0"/>
    <w:rPr>
      <w:color w:val="FFFFFF"/>
    </w:rPr>
  </w:style>
  <w:style w:type="character" w:customStyle="1" w:styleId="96">
    <w:name w:val="hover12"/>
    <w:qFormat/>
    <w:uiPriority w:val="0"/>
    <w:rPr>
      <w:shd w:val="clear" w:color="auto" w:fill="929292"/>
    </w:rPr>
  </w:style>
  <w:style w:type="character" w:customStyle="1" w:styleId="97">
    <w:name w:val="font51"/>
    <w:qFormat/>
    <w:uiPriority w:val="0"/>
    <w:rPr>
      <w:rFonts w:hint="eastAsia" w:ascii="新宋体" w:hAnsi="新宋体" w:eastAsia="新宋体" w:cs="新宋体"/>
      <w:color w:val="000000"/>
      <w:sz w:val="22"/>
      <w:szCs w:val="22"/>
      <w:u w:val="none"/>
    </w:rPr>
  </w:style>
  <w:style w:type="character" w:customStyle="1" w:styleId="98">
    <w:name w:val="font141"/>
    <w:qFormat/>
    <w:uiPriority w:val="0"/>
    <w:rPr>
      <w:rFonts w:hint="eastAsia" w:ascii="宋体" w:hAnsi="宋体" w:eastAsia="宋体" w:cs="宋体"/>
      <w:color w:val="000000"/>
      <w:sz w:val="22"/>
      <w:szCs w:val="22"/>
      <w:u w:val="none"/>
    </w:rPr>
  </w:style>
  <w:style w:type="character" w:customStyle="1" w:styleId="99">
    <w:name w:val="font61"/>
    <w:qFormat/>
    <w:uiPriority w:val="0"/>
    <w:rPr>
      <w:rFonts w:hint="eastAsia" w:ascii="新宋体" w:hAnsi="新宋体" w:eastAsia="新宋体" w:cs="新宋体"/>
      <w:color w:val="000000"/>
      <w:sz w:val="22"/>
      <w:szCs w:val="22"/>
      <w:u w:val="none"/>
    </w:rPr>
  </w:style>
  <w:style w:type="character" w:customStyle="1" w:styleId="100">
    <w:name w:val="font112"/>
    <w:qFormat/>
    <w:uiPriority w:val="0"/>
    <w:rPr>
      <w:rFonts w:hint="eastAsia" w:ascii="新宋体" w:hAnsi="新宋体" w:eastAsia="新宋体" w:cs="新宋体"/>
      <w:color w:val="FF0000"/>
      <w:sz w:val="22"/>
      <w:szCs w:val="22"/>
      <w:u w:val="none"/>
    </w:rPr>
  </w:style>
  <w:style w:type="paragraph" w:customStyle="1" w:styleId="101">
    <w:name w:val="文二"/>
    <w:basedOn w:val="1"/>
    <w:qFormat/>
    <w:uiPriority w:val="0"/>
    <w:pPr>
      <w:jc w:val="left"/>
    </w:pPr>
    <w:rPr>
      <w:rFonts w:ascii="宋体" w:hAnsi="宋体"/>
      <w:szCs w:val="21"/>
    </w:rPr>
  </w:style>
  <w:style w:type="paragraph" w:styleId="10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封二"/>
    <w:basedOn w:val="62"/>
    <w:next w:val="62"/>
    <w:qFormat/>
    <w:uiPriority w:val="0"/>
    <w:pPr>
      <w:ind w:firstLine="0" w:firstLineChars="0"/>
      <w:jc w:val="center"/>
    </w:pPr>
    <w:rPr>
      <w:rFonts w:eastAsia="黑体"/>
      <w:b/>
      <w:sz w:val="36"/>
      <w:szCs w:val="36"/>
    </w:rPr>
  </w:style>
  <w:style w:type="paragraph" w:customStyle="1" w:styleId="104">
    <w:name w:val="封一"/>
    <w:basedOn w:val="62"/>
    <w:next w:val="62"/>
    <w:qFormat/>
    <w:uiPriority w:val="0"/>
    <w:pPr>
      <w:ind w:firstLine="0" w:firstLineChars="0"/>
      <w:jc w:val="center"/>
    </w:pPr>
    <w:rPr>
      <w:rFonts w:eastAsia="黑体"/>
      <w:b/>
      <w:sz w:val="84"/>
      <w:szCs w:val="84"/>
    </w:rPr>
  </w:style>
  <w:style w:type="paragraph" w:customStyle="1" w:styleId="105">
    <w:name w:val="封四"/>
    <w:basedOn w:val="62"/>
    <w:next w:val="62"/>
    <w:qFormat/>
    <w:uiPriority w:val="0"/>
    <w:pPr>
      <w:jc w:val="left"/>
    </w:pPr>
    <w:rPr>
      <w:rFonts w:eastAsia="等线"/>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32674</Words>
  <Characters>34002</Characters>
  <Lines>387</Lines>
  <Paragraphs>108</Paragraphs>
  <TotalTime>3</TotalTime>
  <ScaleCrop>false</ScaleCrop>
  <LinksUpToDate>false</LinksUpToDate>
  <CharactersWithSpaces>37027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2023-10-13T08:32:00Z</dcterms:created>
  <dc:creator>Administrator</dc:creator>
  <cp:lastModifiedBy>Administrator</cp:lastModifiedBy>
  <cp:lastPrinted>2021-09-14T03:31:00Z</cp:lastPrinted>
  <dcterms:modified xsi:type="dcterms:W3CDTF">2023-11-10T05:32:13Z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7099DAFF8DEC400EA3208BEA095E1393_13</vt:lpwstr>
  </property>
</Properties>
</file>