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0"/>
        </w:tabs>
        <w:spacing w:line="320" w:lineRule="exact"/>
        <w:ind w:firstLine="0" w:firstLineChars="0"/>
        <w:jc w:val="left"/>
        <w:rPr>
          <w:rFonts w:hAnsi="宋体"/>
          <w:color w:val="auto"/>
          <w:sz w:val="28"/>
        </w:rPr>
      </w:pPr>
    </w:p>
    <w:p>
      <w:pPr>
        <w:shd w:val="clear"/>
        <w:tabs>
          <w:tab w:val="left" w:pos="0"/>
        </w:tabs>
        <w:spacing w:line="320" w:lineRule="exact"/>
        <w:ind w:firstLine="0" w:firstLineChars="0"/>
        <w:jc w:val="left"/>
        <w:rPr>
          <w:rFonts w:hAnsi="宋体"/>
          <w:color w:val="auto"/>
          <w:sz w:val="28"/>
        </w:rPr>
      </w:pPr>
    </w:p>
    <w:p>
      <w:pPr>
        <w:shd w:val="clear"/>
        <w:tabs>
          <w:tab w:val="left" w:pos="0"/>
        </w:tabs>
        <w:adjustRightInd w:val="0"/>
        <w:snapToGrid w:val="0"/>
        <w:ind w:firstLine="0" w:firstLineChars="0"/>
        <w:jc w:val="center"/>
        <w:rPr>
          <w:rFonts w:hAnsi="宋体"/>
          <w:b/>
          <w:bCs/>
          <w:color w:val="auto"/>
          <w:sz w:val="44"/>
          <w:szCs w:val="44"/>
        </w:rPr>
      </w:pPr>
      <w:r>
        <w:rPr>
          <w:rFonts w:hint="eastAsia" w:hAnsi="宋体"/>
          <w:b/>
          <w:bCs/>
          <w:color w:val="auto"/>
          <w:sz w:val="44"/>
          <w:szCs w:val="44"/>
        </w:rPr>
        <w:t>琶洲街黄埔古村古港提升工程</w:t>
      </w:r>
    </w:p>
    <w:p>
      <w:pPr>
        <w:shd w:val="clear"/>
        <w:tabs>
          <w:tab w:val="left" w:pos="0"/>
        </w:tabs>
        <w:adjustRightInd w:val="0"/>
        <w:snapToGrid w:val="0"/>
        <w:ind w:firstLine="0" w:firstLineChars="0"/>
        <w:jc w:val="center"/>
        <w:rPr>
          <w:rFonts w:hAnsi="宋体"/>
          <w:b/>
          <w:color w:val="auto"/>
          <w:spacing w:val="-20"/>
          <w:sz w:val="44"/>
          <w:szCs w:val="44"/>
          <w:u w:val="single"/>
        </w:rPr>
      </w:pPr>
      <w:r>
        <w:rPr>
          <w:rFonts w:hint="eastAsia" w:hAnsi="宋体"/>
          <w:b/>
          <w:bCs/>
          <w:color w:val="auto"/>
          <w:sz w:val="44"/>
          <w:szCs w:val="44"/>
        </w:rPr>
        <w:t>项目管理及工程监理</w:t>
      </w:r>
    </w:p>
    <w:p>
      <w:pPr>
        <w:shd w:val="clear"/>
        <w:ind w:firstLine="480"/>
        <w:rPr>
          <w:rFonts w:hAnsi="宋体"/>
          <w:color w:val="auto"/>
          <w:szCs w:val="24"/>
        </w:rPr>
      </w:pPr>
    </w:p>
    <w:p>
      <w:pPr>
        <w:pStyle w:val="11"/>
        <w:shd w:val="clear"/>
        <w:ind w:firstLine="680"/>
        <w:rPr>
          <w:color w:val="auto"/>
        </w:rPr>
      </w:pPr>
    </w:p>
    <w:p>
      <w:pPr>
        <w:shd w:val="clear"/>
        <w:spacing w:line="2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pStyle w:val="2"/>
        <w:shd w:val="clear"/>
        <w:ind w:firstLine="400"/>
        <w:rPr>
          <w:color w:val="auto"/>
        </w:rPr>
      </w:pPr>
    </w:p>
    <w:p>
      <w:pPr>
        <w:pStyle w:val="2"/>
        <w:shd w:val="clear"/>
        <w:ind w:firstLine="400"/>
        <w:rPr>
          <w:color w:val="auto"/>
        </w:rPr>
      </w:pPr>
    </w:p>
    <w:p>
      <w:pPr>
        <w:shd w:val="clear"/>
        <w:spacing w:line="269" w:lineRule="exact"/>
        <w:ind w:firstLine="480"/>
        <w:rPr>
          <w:rFonts w:hAnsi="宋体"/>
          <w:color w:val="auto"/>
        </w:rPr>
      </w:pPr>
    </w:p>
    <w:p>
      <w:pPr>
        <w:shd w:val="clear"/>
        <w:ind w:firstLine="0" w:firstLineChars="0"/>
        <w:jc w:val="center"/>
        <w:rPr>
          <w:rFonts w:hAnsi="宋体"/>
          <w:b/>
          <w:bCs/>
          <w:color w:val="auto"/>
          <w:sz w:val="72"/>
          <w:szCs w:val="72"/>
        </w:rPr>
      </w:pPr>
      <w:r>
        <w:rPr>
          <w:rFonts w:hAnsi="宋体"/>
          <w:b/>
          <w:bCs/>
          <w:color w:val="auto"/>
          <w:sz w:val="72"/>
          <w:szCs w:val="72"/>
        </w:rPr>
        <w:t>招标文件</w:t>
      </w:r>
    </w:p>
    <w:p>
      <w:pPr>
        <w:shd w:val="clear"/>
        <w:ind w:firstLine="602"/>
        <w:jc w:val="center"/>
        <w:rPr>
          <w:rFonts w:hAnsi="宋体"/>
          <w:b/>
          <w:bCs/>
          <w:color w:val="auto"/>
          <w:sz w:val="30"/>
          <w:szCs w:val="30"/>
        </w:rPr>
      </w:pPr>
    </w:p>
    <w:p>
      <w:pPr>
        <w:pStyle w:val="11"/>
        <w:shd w:val="clear"/>
        <w:ind w:firstLine="602"/>
        <w:rPr>
          <w:rFonts w:hAnsi="宋体"/>
          <w:b/>
          <w:bCs/>
          <w:color w:val="auto"/>
          <w:sz w:val="30"/>
          <w:szCs w:val="30"/>
        </w:rPr>
      </w:pPr>
    </w:p>
    <w:p>
      <w:pPr>
        <w:pStyle w:val="11"/>
        <w:shd w:val="clear"/>
        <w:ind w:firstLine="602"/>
        <w:rPr>
          <w:rFonts w:hAnsi="宋体"/>
          <w:b/>
          <w:bCs/>
          <w:color w:val="auto"/>
          <w:sz w:val="30"/>
          <w:szCs w:val="30"/>
        </w:rPr>
      </w:pPr>
    </w:p>
    <w:p>
      <w:pPr>
        <w:pStyle w:val="11"/>
        <w:shd w:val="clear"/>
        <w:ind w:firstLine="0" w:firstLineChars="0"/>
        <w:rPr>
          <w:rFonts w:hAnsi="宋体"/>
          <w:b/>
          <w:bCs/>
          <w:color w:val="auto"/>
          <w:sz w:val="30"/>
          <w:szCs w:val="30"/>
        </w:rPr>
      </w:pPr>
    </w:p>
    <w:p>
      <w:pPr>
        <w:pStyle w:val="2"/>
        <w:shd w:val="clear"/>
        <w:ind w:firstLine="400"/>
        <w:rPr>
          <w:color w:val="auto"/>
        </w:rPr>
      </w:pPr>
    </w:p>
    <w:p>
      <w:pPr>
        <w:widowControl w:val="0"/>
        <w:shd w:val="clear"/>
        <w:tabs>
          <w:tab w:val="left" w:pos="5458"/>
          <w:tab w:val="left" w:pos="8533"/>
        </w:tabs>
        <w:spacing w:after="120" w:line="350" w:lineRule="auto"/>
        <w:ind w:right="213" w:firstLine="1506" w:firstLineChars="500"/>
        <w:rPr>
          <w:rFonts w:hAnsi="宋体" w:cs="宋体"/>
          <w:b/>
          <w:color w:val="auto"/>
          <w:sz w:val="30"/>
          <w:szCs w:val="30"/>
          <w:u w:val="single"/>
        </w:rPr>
      </w:pPr>
      <w:r>
        <w:rPr>
          <w:rFonts w:hint="eastAsia" w:hAnsi="宋体" w:cs="宋体"/>
          <w:b/>
          <w:color w:val="auto"/>
          <w:sz w:val="30"/>
          <w:szCs w:val="30"/>
        </w:rPr>
        <w:t>招 标 人：</w:t>
      </w:r>
      <w:r>
        <w:rPr>
          <w:rFonts w:hint="eastAsia" w:hAnsi="宋体" w:cs="宋体"/>
          <w:b/>
          <w:color w:val="auto"/>
          <w:sz w:val="30"/>
          <w:szCs w:val="30"/>
          <w:u w:val="single"/>
        </w:rPr>
        <w:t>广州市海珠区人民政府琶洲街道办事处</w:t>
      </w:r>
    </w:p>
    <w:p>
      <w:pPr>
        <w:widowControl w:val="0"/>
        <w:shd w:val="clear"/>
        <w:tabs>
          <w:tab w:val="left" w:pos="5458"/>
          <w:tab w:val="left" w:pos="8533"/>
        </w:tabs>
        <w:spacing w:after="120" w:line="350" w:lineRule="auto"/>
        <w:ind w:right="213" w:firstLine="1506" w:firstLineChars="500"/>
        <w:rPr>
          <w:rFonts w:hAnsi="宋体" w:cs="宋体"/>
          <w:b/>
          <w:color w:val="auto"/>
          <w:sz w:val="30"/>
          <w:szCs w:val="30"/>
          <w:u w:val="single"/>
        </w:rPr>
      </w:pPr>
      <w:r>
        <w:rPr>
          <w:rFonts w:hint="eastAsia" w:hAnsi="宋体" w:cs="宋体"/>
          <w:b/>
          <w:color w:val="auto"/>
          <w:sz w:val="30"/>
          <w:szCs w:val="30"/>
        </w:rPr>
        <w:t>招标代理：</w:t>
      </w:r>
      <w:r>
        <w:rPr>
          <w:rFonts w:hint="eastAsia" w:hAnsi="宋体" w:cs="宋体"/>
          <w:b/>
          <w:color w:val="auto"/>
          <w:sz w:val="30"/>
          <w:szCs w:val="30"/>
          <w:u w:val="single"/>
        </w:rPr>
        <w:t>广东省机电设备招标有限公司</w:t>
      </w:r>
    </w:p>
    <w:p>
      <w:pPr>
        <w:shd w:val="clear"/>
        <w:ind w:firstLine="1560" w:firstLineChars="518"/>
        <w:rPr>
          <w:rFonts w:hAnsi="宋体" w:cs="宋体"/>
          <w:b/>
          <w:color w:val="auto"/>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992" w:gutter="0"/>
          <w:pgNumType w:start="0"/>
          <w:cols w:space="720" w:num="1"/>
          <w:titlePg/>
          <w:docGrid w:linePitch="312" w:charSpace="0"/>
        </w:sectPr>
      </w:pPr>
      <w:r>
        <w:rPr>
          <w:rFonts w:hint="eastAsia" w:hAnsi="宋体" w:cs="宋体"/>
          <w:b/>
          <w:color w:val="auto"/>
          <w:kern w:val="2"/>
          <w:sz w:val="30"/>
          <w:szCs w:val="30"/>
        </w:rPr>
        <w:t>日    期：2023年10月</w:t>
      </w:r>
    </w:p>
    <w:p>
      <w:pPr>
        <w:pStyle w:val="6"/>
        <w:shd w:val="clear"/>
        <w:ind w:firstLine="883"/>
        <w:jc w:val="center"/>
        <w:rPr>
          <w:color w:val="auto"/>
        </w:rPr>
      </w:pPr>
      <w:bookmarkStart w:id="0" w:name="page3"/>
      <w:bookmarkEnd w:id="0"/>
      <w:bookmarkStart w:id="1" w:name="page4"/>
      <w:bookmarkEnd w:id="1"/>
      <w:bookmarkStart w:id="2" w:name="_Toc35513422"/>
      <w:bookmarkStart w:id="3" w:name="_Toc15058"/>
      <w:bookmarkStart w:id="4" w:name="_Toc263"/>
      <w:bookmarkStart w:id="5" w:name="_Toc17035"/>
      <w:bookmarkStart w:id="6" w:name="_Toc20214"/>
      <w:bookmarkStart w:id="7" w:name="_Toc16363"/>
      <w:r>
        <w:rPr>
          <w:rFonts w:hint="eastAsia"/>
          <w:color w:val="auto"/>
        </w:rPr>
        <w:t>重要提示</w:t>
      </w:r>
      <w:bookmarkEnd w:id="2"/>
    </w:p>
    <w:p>
      <w:pPr>
        <w:shd w:val="clear"/>
        <w:ind w:firstLine="537" w:firstLineChars="224"/>
        <w:jc w:val="center"/>
        <w:rPr>
          <w:rFonts w:hAnsi="宋体"/>
          <w:bCs/>
          <w:color w:val="auto"/>
        </w:rPr>
      </w:pPr>
    </w:p>
    <w:p>
      <w:pPr>
        <w:shd w:val="clear"/>
        <w:ind w:firstLine="480"/>
        <w:rPr>
          <w:rFonts w:hAnsi="宋体"/>
          <w:color w:val="auto"/>
          <w:szCs w:val="24"/>
        </w:rPr>
      </w:pPr>
      <w:r>
        <w:rPr>
          <w:rFonts w:hint="eastAsia" w:hAnsi="宋体"/>
          <w:color w:val="auto"/>
          <w:szCs w:val="24"/>
        </w:rPr>
        <w:t>本项目实施电子招投标，投标人应先认真阅读《房屋建筑和市政基础设施工程全流程电子化项目专章》。</w:t>
      </w:r>
    </w:p>
    <w:p>
      <w:pPr>
        <w:pStyle w:val="6"/>
        <w:shd w:val="clear"/>
        <w:ind w:firstLine="883"/>
        <w:jc w:val="center"/>
        <w:rPr>
          <w:color w:val="auto"/>
        </w:rPr>
      </w:pPr>
      <w:r>
        <w:rPr>
          <w:color w:val="auto"/>
        </w:rPr>
        <w:br w:type="page"/>
      </w:r>
      <w:bookmarkStart w:id="8" w:name="_Toc35513423"/>
      <w:r>
        <w:rPr>
          <w:color w:val="auto"/>
          <w:lang w:val="zh-CN"/>
        </w:rPr>
        <w:t>目录</w:t>
      </w:r>
      <w:bookmarkEnd w:id="3"/>
      <w:bookmarkEnd w:id="4"/>
      <w:bookmarkEnd w:id="5"/>
      <w:bookmarkEnd w:id="6"/>
      <w:bookmarkEnd w:id="7"/>
      <w:bookmarkEnd w:id="8"/>
    </w:p>
    <w:p>
      <w:pPr>
        <w:pStyle w:val="23"/>
        <w:shd w:val="clear"/>
        <w:tabs>
          <w:tab w:val="right" w:leader="dot" w:pos="8636"/>
        </w:tabs>
        <w:ind w:firstLine="560"/>
        <w:rPr>
          <w:rFonts w:ascii="Calibri" w:hAnsi="Calibri"/>
          <w:color w:val="auto"/>
          <w:kern w:val="2"/>
          <w:sz w:val="21"/>
          <w:szCs w:val="22"/>
        </w:rPr>
      </w:pPr>
      <w:r>
        <w:rPr>
          <w:rFonts w:hAnsi="宋体"/>
          <w:color w:val="auto"/>
          <w:sz w:val="28"/>
          <w:szCs w:val="28"/>
        </w:rPr>
        <w:fldChar w:fldCharType="begin"/>
      </w:r>
      <w:r>
        <w:rPr>
          <w:rFonts w:hAnsi="宋体"/>
          <w:color w:val="auto"/>
          <w:sz w:val="28"/>
          <w:szCs w:val="28"/>
        </w:rPr>
        <w:instrText xml:space="preserve"> TOC \o "1-3" \h \z \u </w:instrText>
      </w:r>
      <w:r>
        <w:rPr>
          <w:rFonts w:hAnsi="宋体"/>
          <w:color w:val="auto"/>
          <w:sz w:val="28"/>
          <w:szCs w:val="28"/>
        </w:rPr>
        <w:fldChar w:fldCharType="separate"/>
      </w:r>
    </w:p>
    <w:p>
      <w:pPr>
        <w:pStyle w:val="23"/>
        <w:shd w:val="clear"/>
        <w:tabs>
          <w:tab w:val="right" w:leader="dot" w:pos="8636"/>
        </w:tabs>
        <w:ind w:firstLine="480"/>
        <w:rPr>
          <w:rFonts w:ascii="Calibri" w:hAnsi="Calibri"/>
          <w:color w:val="auto"/>
          <w:kern w:val="2"/>
          <w:sz w:val="21"/>
          <w:szCs w:val="22"/>
        </w:rPr>
      </w:pPr>
      <w:r>
        <w:rPr>
          <w:color w:val="auto"/>
        </w:rPr>
        <w:fldChar w:fldCharType="begin"/>
      </w:r>
      <w:r>
        <w:rPr>
          <w:color w:val="auto"/>
        </w:rPr>
        <w:instrText xml:space="preserve"> HYPERLINK \l "_Toc35513424" </w:instrText>
      </w:r>
      <w:r>
        <w:rPr>
          <w:color w:val="auto"/>
        </w:rPr>
        <w:fldChar w:fldCharType="separate"/>
      </w:r>
      <w:r>
        <w:rPr>
          <w:rStyle w:val="36"/>
          <w:rFonts w:hint="eastAsia"/>
          <w:color w:val="auto"/>
        </w:rPr>
        <w:t>第一卷</w:t>
      </w:r>
      <w:r>
        <w:rPr>
          <w:color w:val="auto"/>
        </w:rPr>
        <w:tab/>
      </w:r>
      <w:r>
        <w:rPr>
          <w:color w:val="auto"/>
        </w:rPr>
        <w:fldChar w:fldCharType="begin"/>
      </w:r>
      <w:r>
        <w:rPr>
          <w:color w:val="auto"/>
        </w:rPr>
        <w:instrText xml:space="preserve"> PAGEREF _Toc35513424 \h </w:instrText>
      </w:r>
      <w:r>
        <w:rPr>
          <w:color w:val="auto"/>
        </w:rPr>
        <w:fldChar w:fldCharType="separate"/>
      </w:r>
      <w:r>
        <w:rPr>
          <w:color w:val="auto"/>
        </w:rPr>
        <w:t>3</w:t>
      </w:r>
      <w:r>
        <w:rPr>
          <w:color w:val="auto"/>
        </w:rPr>
        <w:fldChar w:fldCharType="end"/>
      </w:r>
      <w:r>
        <w:rPr>
          <w:color w:val="auto"/>
        </w:rPr>
        <w:fldChar w:fldCharType="end"/>
      </w:r>
    </w:p>
    <w:p>
      <w:pPr>
        <w:pStyle w:val="23"/>
        <w:shd w:val="clear"/>
        <w:tabs>
          <w:tab w:val="right" w:leader="dot" w:pos="8636"/>
        </w:tabs>
        <w:ind w:firstLine="480"/>
        <w:rPr>
          <w:rFonts w:ascii="Calibri" w:hAnsi="Calibri"/>
          <w:color w:val="auto"/>
          <w:kern w:val="2"/>
          <w:sz w:val="21"/>
          <w:szCs w:val="22"/>
        </w:rPr>
      </w:pPr>
      <w:r>
        <w:rPr>
          <w:color w:val="auto"/>
        </w:rPr>
        <w:fldChar w:fldCharType="begin"/>
      </w:r>
      <w:r>
        <w:rPr>
          <w:color w:val="auto"/>
        </w:rPr>
        <w:instrText xml:space="preserve"> HYPERLINK \l "_Toc35513425" </w:instrText>
      </w:r>
      <w:r>
        <w:rPr>
          <w:color w:val="auto"/>
        </w:rPr>
        <w:fldChar w:fldCharType="separate"/>
      </w:r>
      <w:r>
        <w:rPr>
          <w:rStyle w:val="36"/>
          <w:rFonts w:hint="eastAsia"/>
          <w:color w:val="auto"/>
        </w:rPr>
        <w:t>第一章 招标公告</w:t>
      </w:r>
      <w:r>
        <w:rPr>
          <w:color w:val="auto"/>
        </w:rPr>
        <w:tab/>
      </w:r>
      <w:r>
        <w:rPr>
          <w:color w:val="auto"/>
        </w:rPr>
        <w:fldChar w:fldCharType="begin"/>
      </w:r>
      <w:r>
        <w:rPr>
          <w:color w:val="auto"/>
        </w:rPr>
        <w:instrText xml:space="preserve"> PAGEREF _Toc35513425 \h </w:instrText>
      </w:r>
      <w:r>
        <w:rPr>
          <w:color w:val="auto"/>
        </w:rPr>
        <w:fldChar w:fldCharType="separate"/>
      </w:r>
      <w:r>
        <w:rPr>
          <w:color w:val="auto"/>
        </w:rPr>
        <w:t>4</w:t>
      </w:r>
      <w:r>
        <w:rPr>
          <w:color w:val="auto"/>
        </w:rPr>
        <w:fldChar w:fldCharType="end"/>
      </w:r>
      <w:r>
        <w:rPr>
          <w:color w:val="auto"/>
        </w:rPr>
        <w:fldChar w:fldCharType="end"/>
      </w:r>
    </w:p>
    <w:p>
      <w:pPr>
        <w:pStyle w:val="23"/>
        <w:shd w:val="clear"/>
        <w:tabs>
          <w:tab w:val="right" w:leader="dot" w:pos="8636"/>
        </w:tabs>
        <w:ind w:firstLine="480"/>
        <w:rPr>
          <w:rFonts w:ascii="Calibri" w:hAnsi="Calibri"/>
          <w:color w:val="auto"/>
          <w:kern w:val="2"/>
          <w:sz w:val="21"/>
          <w:szCs w:val="22"/>
        </w:rPr>
      </w:pPr>
      <w:r>
        <w:rPr>
          <w:color w:val="auto"/>
        </w:rPr>
        <w:fldChar w:fldCharType="begin"/>
      </w:r>
      <w:r>
        <w:rPr>
          <w:color w:val="auto"/>
        </w:rPr>
        <w:instrText xml:space="preserve"> HYPERLINK \l "_Toc35513426" </w:instrText>
      </w:r>
      <w:r>
        <w:rPr>
          <w:color w:val="auto"/>
        </w:rPr>
        <w:fldChar w:fldCharType="separate"/>
      </w:r>
      <w:r>
        <w:rPr>
          <w:rStyle w:val="36"/>
          <w:rFonts w:hint="eastAsia"/>
          <w:color w:val="auto"/>
        </w:rPr>
        <w:t>第二章 投标人须知</w:t>
      </w:r>
      <w:r>
        <w:rPr>
          <w:color w:val="auto"/>
        </w:rPr>
        <w:tab/>
      </w:r>
      <w:r>
        <w:rPr>
          <w:color w:val="auto"/>
        </w:rPr>
        <w:fldChar w:fldCharType="begin"/>
      </w:r>
      <w:r>
        <w:rPr>
          <w:color w:val="auto"/>
        </w:rPr>
        <w:instrText xml:space="preserve"> PAGEREF _Toc35513426 \h </w:instrText>
      </w:r>
      <w:r>
        <w:rPr>
          <w:color w:val="auto"/>
        </w:rPr>
        <w:fldChar w:fldCharType="separate"/>
      </w:r>
      <w:r>
        <w:rPr>
          <w:color w:val="auto"/>
        </w:rPr>
        <w:t>5</w:t>
      </w:r>
      <w:r>
        <w:rPr>
          <w:color w:val="auto"/>
        </w:rPr>
        <w:fldChar w:fldCharType="end"/>
      </w:r>
      <w:r>
        <w:rPr>
          <w:color w:val="auto"/>
        </w:rPr>
        <w:fldChar w:fldCharType="end"/>
      </w:r>
    </w:p>
    <w:p>
      <w:pPr>
        <w:pStyle w:val="23"/>
        <w:shd w:val="clear"/>
        <w:tabs>
          <w:tab w:val="right" w:leader="dot" w:pos="8636"/>
        </w:tabs>
        <w:ind w:firstLine="480"/>
        <w:rPr>
          <w:rFonts w:ascii="Calibri" w:hAnsi="Calibri"/>
          <w:color w:val="auto"/>
          <w:kern w:val="2"/>
          <w:sz w:val="21"/>
          <w:szCs w:val="22"/>
        </w:rPr>
      </w:pPr>
      <w:r>
        <w:rPr>
          <w:color w:val="auto"/>
        </w:rPr>
        <w:fldChar w:fldCharType="begin"/>
      </w:r>
      <w:r>
        <w:rPr>
          <w:color w:val="auto"/>
        </w:rPr>
        <w:instrText xml:space="preserve"> HYPERLINK \l "_Toc35513485" </w:instrText>
      </w:r>
      <w:r>
        <w:rPr>
          <w:color w:val="auto"/>
        </w:rPr>
        <w:fldChar w:fldCharType="separate"/>
      </w:r>
      <w:r>
        <w:rPr>
          <w:rStyle w:val="36"/>
          <w:rFonts w:hint="eastAsia" w:hAnsi="宋体"/>
          <w:color w:val="auto"/>
        </w:rPr>
        <w:t>第三章 评标办法（综合评估法）</w:t>
      </w:r>
      <w:r>
        <w:rPr>
          <w:color w:val="auto"/>
        </w:rPr>
        <w:tab/>
      </w:r>
      <w:r>
        <w:rPr>
          <w:color w:val="auto"/>
        </w:rPr>
        <w:fldChar w:fldCharType="begin"/>
      </w:r>
      <w:r>
        <w:rPr>
          <w:color w:val="auto"/>
        </w:rPr>
        <w:instrText xml:space="preserve"> PAGEREF _Toc35513485 \h </w:instrText>
      </w:r>
      <w:r>
        <w:rPr>
          <w:color w:val="auto"/>
        </w:rPr>
        <w:fldChar w:fldCharType="separate"/>
      </w:r>
      <w:r>
        <w:rPr>
          <w:color w:val="auto"/>
        </w:rPr>
        <w:t>34</w:t>
      </w:r>
      <w:r>
        <w:rPr>
          <w:color w:val="auto"/>
        </w:rPr>
        <w:fldChar w:fldCharType="end"/>
      </w:r>
      <w:r>
        <w:rPr>
          <w:color w:val="auto"/>
        </w:rPr>
        <w:fldChar w:fldCharType="end"/>
      </w:r>
    </w:p>
    <w:p>
      <w:pPr>
        <w:pStyle w:val="23"/>
        <w:shd w:val="clear"/>
        <w:tabs>
          <w:tab w:val="right" w:leader="dot" w:pos="8636"/>
        </w:tabs>
        <w:ind w:firstLine="480"/>
        <w:rPr>
          <w:rFonts w:ascii="Calibri" w:hAnsi="Calibri"/>
          <w:color w:val="auto"/>
          <w:kern w:val="2"/>
          <w:sz w:val="21"/>
          <w:szCs w:val="22"/>
        </w:rPr>
      </w:pPr>
      <w:r>
        <w:rPr>
          <w:color w:val="auto"/>
        </w:rPr>
        <w:fldChar w:fldCharType="begin"/>
      </w:r>
      <w:r>
        <w:rPr>
          <w:color w:val="auto"/>
        </w:rPr>
        <w:instrText xml:space="preserve"> HYPERLINK \l "_Toc35513497" </w:instrText>
      </w:r>
      <w:r>
        <w:rPr>
          <w:color w:val="auto"/>
        </w:rPr>
        <w:fldChar w:fldCharType="separate"/>
      </w:r>
      <w:r>
        <w:rPr>
          <w:rStyle w:val="36"/>
          <w:rFonts w:hint="eastAsia" w:hAnsi="宋体"/>
          <w:color w:val="auto"/>
        </w:rPr>
        <w:t>第四章</w:t>
      </w:r>
      <w:r>
        <w:rPr>
          <w:rStyle w:val="36"/>
          <w:rFonts w:hAnsi="宋体"/>
          <w:color w:val="auto"/>
        </w:rPr>
        <w:t xml:space="preserve"> </w:t>
      </w:r>
      <w:r>
        <w:rPr>
          <w:rStyle w:val="36"/>
          <w:rFonts w:hint="eastAsia" w:hAnsi="宋体"/>
          <w:color w:val="auto"/>
        </w:rPr>
        <w:t>合同条款及格式</w:t>
      </w:r>
      <w:r>
        <w:rPr>
          <w:color w:val="auto"/>
        </w:rPr>
        <w:tab/>
      </w:r>
      <w:r>
        <w:rPr>
          <w:color w:val="auto"/>
        </w:rPr>
        <w:fldChar w:fldCharType="begin"/>
      </w:r>
      <w:r>
        <w:rPr>
          <w:color w:val="auto"/>
        </w:rPr>
        <w:instrText xml:space="preserve"> PAGEREF _Toc35513497 \h </w:instrText>
      </w:r>
      <w:r>
        <w:rPr>
          <w:color w:val="auto"/>
        </w:rPr>
        <w:fldChar w:fldCharType="separate"/>
      </w:r>
      <w:r>
        <w:rPr>
          <w:color w:val="auto"/>
        </w:rPr>
        <w:t>43</w:t>
      </w:r>
      <w:r>
        <w:rPr>
          <w:color w:val="auto"/>
        </w:rPr>
        <w:fldChar w:fldCharType="end"/>
      </w:r>
      <w:r>
        <w:rPr>
          <w:color w:val="auto"/>
        </w:rPr>
        <w:fldChar w:fldCharType="end"/>
      </w:r>
    </w:p>
    <w:p>
      <w:pPr>
        <w:pStyle w:val="23"/>
        <w:shd w:val="clear"/>
        <w:tabs>
          <w:tab w:val="right" w:leader="dot" w:pos="8636"/>
        </w:tabs>
        <w:ind w:firstLine="480"/>
        <w:rPr>
          <w:rFonts w:ascii="Calibri" w:hAnsi="Calibri"/>
          <w:color w:val="auto"/>
          <w:kern w:val="2"/>
          <w:sz w:val="21"/>
          <w:szCs w:val="22"/>
        </w:rPr>
      </w:pPr>
      <w:r>
        <w:rPr>
          <w:color w:val="auto"/>
        </w:rPr>
        <w:fldChar w:fldCharType="begin"/>
      </w:r>
      <w:r>
        <w:rPr>
          <w:color w:val="auto"/>
        </w:rPr>
        <w:instrText xml:space="preserve"> HYPERLINK \l "_Toc35513498" </w:instrText>
      </w:r>
      <w:r>
        <w:rPr>
          <w:color w:val="auto"/>
        </w:rPr>
        <w:fldChar w:fldCharType="separate"/>
      </w:r>
      <w:r>
        <w:rPr>
          <w:rStyle w:val="36"/>
          <w:rFonts w:hint="eastAsia" w:hAnsi="宋体"/>
          <w:color w:val="auto"/>
        </w:rPr>
        <w:t>第二卷</w:t>
      </w:r>
      <w:bookmarkStart w:id="9" w:name="_Hlt72432306"/>
      <w:bookmarkStart w:id="10" w:name="_Hlt72432307"/>
      <w:r>
        <w:rPr>
          <w:color w:val="auto"/>
        </w:rPr>
        <w:tab/>
      </w:r>
      <w:bookmarkEnd w:id="9"/>
      <w:bookmarkEnd w:id="10"/>
      <w:r>
        <w:rPr>
          <w:color w:val="auto"/>
        </w:rPr>
        <w:fldChar w:fldCharType="begin"/>
      </w:r>
      <w:r>
        <w:rPr>
          <w:color w:val="auto"/>
        </w:rPr>
        <w:instrText xml:space="preserve"> PAGEREF _Toc35513498 \h </w:instrText>
      </w:r>
      <w:r>
        <w:rPr>
          <w:color w:val="auto"/>
        </w:rPr>
        <w:fldChar w:fldCharType="separate"/>
      </w:r>
      <w:r>
        <w:rPr>
          <w:color w:val="auto"/>
        </w:rPr>
        <w:t>44</w:t>
      </w:r>
      <w:r>
        <w:rPr>
          <w:color w:val="auto"/>
        </w:rPr>
        <w:fldChar w:fldCharType="end"/>
      </w:r>
      <w:r>
        <w:rPr>
          <w:color w:val="auto"/>
        </w:rPr>
        <w:fldChar w:fldCharType="end"/>
      </w:r>
    </w:p>
    <w:p>
      <w:pPr>
        <w:pStyle w:val="23"/>
        <w:shd w:val="clear"/>
        <w:tabs>
          <w:tab w:val="right" w:leader="dot" w:pos="8636"/>
        </w:tabs>
        <w:ind w:firstLine="480"/>
        <w:rPr>
          <w:color w:val="auto"/>
        </w:rPr>
      </w:pPr>
      <w:r>
        <w:rPr>
          <w:color w:val="auto"/>
        </w:rPr>
        <w:fldChar w:fldCharType="begin"/>
      </w:r>
      <w:r>
        <w:rPr>
          <w:color w:val="auto"/>
        </w:rPr>
        <w:instrText xml:space="preserve"> HYPERLINK \l "_Toc35513499" </w:instrText>
      </w:r>
      <w:r>
        <w:rPr>
          <w:color w:val="auto"/>
        </w:rPr>
        <w:fldChar w:fldCharType="separate"/>
      </w:r>
      <w:r>
        <w:rPr>
          <w:rStyle w:val="36"/>
          <w:rFonts w:hint="eastAsia" w:hAnsi="宋体"/>
          <w:color w:val="auto"/>
        </w:rPr>
        <w:t>第五章</w:t>
      </w:r>
      <w:r>
        <w:rPr>
          <w:rStyle w:val="36"/>
          <w:rFonts w:hAnsi="宋体"/>
          <w:color w:val="auto"/>
        </w:rPr>
        <w:t xml:space="preserve"> </w:t>
      </w:r>
      <w:r>
        <w:rPr>
          <w:rStyle w:val="36"/>
          <w:rFonts w:hint="eastAsia" w:hAnsi="宋体"/>
          <w:color w:val="auto"/>
        </w:rPr>
        <w:t>委托人要求</w:t>
      </w:r>
      <w:r>
        <w:rPr>
          <w:color w:val="auto"/>
        </w:rPr>
        <w:tab/>
      </w:r>
      <w:r>
        <w:rPr>
          <w:color w:val="auto"/>
        </w:rPr>
        <w:fldChar w:fldCharType="begin"/>
      </w:r>
      <w:r>
        <w:rPr>
          <w:color w:val="auto"/>
        </w:rPr>
        <w:instrText xml:space="preserve"> PAGEREF _Toc35513499 \h </w:instrText>
      </w:r>
      <w:r>
        <w:rPr>
          <w:color w:val="auto"/>
        </w:rPr>
        <w:fldChar w:fldCharType="separate"/>
      </w:r>
      <w:r>
        <w:rPr>
          <w:color w:val="auto"/>
        </w:rPr>
        <w:t>44</w:t>
      </w:r>
      <w:r>
        <w:rPr>
          <w:color w:val="auto"/>
        </w:rPr>
        <w:fldChar w:fldCharType="end"/>
      </w:r>
      <w:r>
        <w:rPr>
          <w:color w:val="auto"/>
        </w:rPr>
        <w:fldChar w:fldCharType="end"/>
      </w:r>
    </w:p>
    <w:p>
      <w:pPr>
        <w:pStyle w:val="26"/>
        <w:shd w:val="clear"/>
        <w:tabs>
          <w:tab w:val="right" w:leader="dot" w:pos="8636"/>
        </w:tabs>
        <w:ind w:left="0" w:leftChars="0" w:firstLine="480"/>
        <w:rPr>
          <w:rStyle w:val="36"/>
          <w:rFonts w:hAnsi="宋体"/>
          <w:color w:val="auto"/>
        </w:rPr>
      </w:pPr>
      <w:r>
        <w:rPr>
          <w:rStyle w:val="36"/>
          <w:rFonts w:hint="eastAsia" w:hAnsi="宋体"/>
          <w:color w:val="auto"/>
        </w:rPr>
        <w:t>第三卷</w:t>
      </w:r>
      <w:r>
        <w:rPr>
          <w:rStyle w:val="36"/>
          <w:rFonts w:hAnsi="宋体"/>
          <w:color w:val="auto"/>
        </w:rPr>
        <w:tab/>
      </w:r>
      <w:r>
        <w:rPr>
          <w:rStyle w:val="36"/>
          <w:rFonts w:hint="eastAsia" w:hAnsi="宋体"/>
          <w:color w:val="auto"/>
        </w:rPr>
        <w:t>60</w:t>
      </w:r>
    </w:p>
    <w:p>
      <w:pPr>
        <w:pStyle w:val="23"/>
        <w:shd w:val="clear"/>
        <w:tabs>
          <w:tab w:val="right" w:leader="dot" w:pos="8636"/>
        </w:tabs>
        <w:ind w:firstLine="480"/>
        <w:rPr>
          <w:rFonts w:ascii="Calibri" w:hAnsi="Calibri"/>
          <w:color w:val="auto"/>
          <w:kern w:val="2"/>
          <w:sz w:val="21"/>
          <w:szCs w:val="22"/>
        </w:rPr>
      </w:pPr>
      <w:r>
        <w:rPr>
          <w:color w:val="auto"/>
        </w:rPr>
        <w:fldChar w:fldCharType="begin"/>
      </w:r>
      <w:r>
        <w:rPr>
          <w:color w:val="auto"/>
        </w:rPr>
        <w:instrText xml:space="preserve"> HYPERLINK \l "_Toc35513536" </w:instrText>
      </w:r>
      <w:r>
        <w:rPr>
          <w:color w:val="auto"/>
        </w:rPr>
        <w:fldChar w:fldCharType="separate"/>
      </w:r>
      <w:r>
        <w:rPr>
          <w:rStyle w:val="36"/>
          <w:rFonts w:hint="eastAsia" w:hAnsi="宋体"/>
          <w:color w:val="auto"/>
        </w:rPr>
        <w:t>第六章</w:t>
      </w:r>
      <w:r>
        <w:rPr>
          <w:rStyle w:val="36"/>
          <w:rFonts w:hAnsi="宋体"/>
          <w:color w:val="auto"/>
        </w:rPr>
        <w:t xml:space="preserve"> </w:t>
      </w:r>
      <w:r>
        <w:rPr>
          <w:rStyle w:val="36"/>
          <w:rFonts w:hint="eastAsia" w:hAnsi="宋体"/>
          <w:color w:val="auto"/>
        </w:rPr>
        <w:t>投标文件格式</w:t>
      </w:r>
      <w:r>
        <w:rPr>
          <w:color w:val="auto"/>
        </w:rPr>
        <w:tab/>
      </w:r>
      <w:r>
        <w:rPr>
          <w:color w:val="auto"/>
        </w:rPr>
        <w:fldChar w:fldCharType="begin"/>
      </w:r>
      <w:r>
        <w:rPr>
          <w:color w:val="auto"/>
        </w:rPr>
        <w:instrText xml:space="preserve"> PAGEREF _Toc35513536 \h </w:instrText>
      </w:r>
      <w:r>
        <w:rPr>
          <w:color w:val="auto"/>
        </w:rPr>
        <w:fldChar w:fldCharType="separate"/>
      </w:r>
      <w:r>
        <w:rPr>
          <w:color w:val="auto"/>
        </w:rPr>
        <w:t>57</w:t>
      </w:r>
      <w:r>
        <w:rPr>
          <w:color w:val="auto"/>
        </w:rPr>
        <w:fldChar w:fldCharType="end"/>
      </w:r>
      <w:r>
        <w:rPr>
          <w:color w:val="auto"/>
        </w:rPr>
        <w:fldChar w:fldCharType="end"/>
      </w:r>
    </w:p>
    <w:p>
      <w:pPr>
        <w:shd w:val="clear"/>
        <w:ind w:firstLine="560"/>
        <w:rPr>
          <w:rFonts w:hAnsi="宋体"/>
          <w:color w:val="auto"/>
          <w:sz w:val="28"/>
          <w:szCs w:val="28"/>
        </w:rPr>
      </w:pPr>
      <w:r>
        <w:rPr>
          <w:rFonts w:hAnsi="宋体"/>
          <w:color w:val="auto"/>
          <w:sz w:val="28"/>
          <w:szCs w:val="28"/>
        </w:rPr>
        <w:fldChar w:fldCharType="end"/>
      </w:r>
    </w:p>
    <w:p>
      <w:pPr>
        <w:pStyle w:val="23"/>
        <w:shd w:val="clear"/>
        <w:tabs>
          <w:tab w:val="left" w:pos="5244"/>
          <w:tab w:val="right" w:leader="dot" w:pos="8630"/>
        </w:tabs>
        <w:spacing w:line="480" w:lineRule="auto"/>
        <w:ind w:firstLine="480"/>
        <w:jc w:val="left"/>
        <w:rPr>
          <w:rFonts w:hAnsi="宋体"/>
          <w:color w:val="auto"/>
        </w:rPr>
      </w:pPr>
      <w:r>
        <w:rPr>
          <w:rFonts w:hAnsi="宋体"/>
          <w:color w:val="auto"/>
        </w:rPr>
        <w:tab/>
      </w:r>
    </w:p>
    <w:p>
      <w:pPr>
        <w:shd w:val="clear"/>
        <w:tabs>
          <w:tab w:val="left" w:leader="dot" w:pos="8760"/>
        </w:tabs>
        <w:ind w:left="780" w:firstLine="420"/>
        <w:rPr>
          <w:rFonts w:hAnsi="宋体"/>
          <w:color w:val="auto"/>
          <w:sz w:val="21"/>
        </w:rPr>
        <w:sectPr>
          <w:headerReference r:id="rId13" w:type="first"/>
          <w:footerReference r:id="rId16" w:type="first"/>
          <w:headerReference r:id="rId11" w:type="default"/>
          <w:footerReference r:id="rId14" w:type="default"/>
          <w:headerReference r:id="rId12" w:type="even"/>
          <w:footerReference r:id="rId15" w:type="even"/>
          <w:pgSz w:w="12240" w:h="15840"/>
          <w:pgMar w:top="1440" w:right="1797" w:bottom="1440" w:left="1797" w:header="567" w:footer="567" w:gutter="0"/>
          <w:pgNumType w:start="1"/>
          <w:cols w:space="720" w:num="1"/>
          <w:titlePg/>
          <w:docGrid w:linePitch="360" w:charSpace="0"/>
        </w:sectPr>
      </w:pPr>
    </w:p>
    <w:p>
      <w:pPr>
        <w:pStyle w:val="6"/>
        <w:shd w:val="clear"/>
        <w:ind w:firstLine="883"/>
        <w:jc w:val="center"/>
        <w:rPr>
          <w:color w:val="auto"/>
        </w:rPr>
      </w:pPr>
      <w:bookmarkStart w:id="11" w:name="page9"/>
      <w:bookmarkEnd w:id="11"/>
      <w:bookmarkStart w:id="12" w:name="_Toc30415"/>
      <w:bookmarkStart w:id="13" w:name="_Toc35513424"/>
      <w:bookmarkStart w:id="14" w:name="_Toc14709203"/>
      <w:bookmarkStart w:id="15" w:name="_Toc11715"/>
      <w:bookmarkStart w:id="16" w:name="_Toc11333"/>
      <w:bookmarkStart w:id="17" w:name="_Toc21465"/>
      <w:r>
        <w:rPr>
          <w:color w:val="auto"/>
        </w:rPr>
        <w:t>第一卷</w:t>
      </w:r>
      <w:bookmarkEnd w:id="12"/>
      <w:bookmarkEnd w:id="13"/>
      <w:bookmarkEnd w:id="14"/>
      <w:bookmarkEnd w:id="15"/>
      <w:bookmarkEnd w:id="16"/>
      <w:bookmarkEnd w:id="17"/>
    </w:p>
    <w:p>
      <w:pPr>
        <w:shd w:val="clear"/>
        <w:ind w:firstLine="480"/>
        <w:rPr>
          <w:rFonts w:hAnsi="宋体"/>
          <w:color w:val="auto"/>
        </w:rPr>
      </w:pPr>
    </w:p>
    <w:p>
      <w:pPr>
        <w:shd w:val="clear"/>
        <w:spacing w:line="491" w:lineRule="exact"/>
        <w:ind w:firstLine="863"/>
        <w:jc w:val="center"/>
        <w:rPr>
          <w:rFonts w:hAnsi="宋体"/>
          <w:b/>
          <w:color w:val="auto"/>
          <w:sz w:val="43"/>
        </w:rPr>
      </w:pPr>
    </w:p>
    <w:p>
      <w:pPr>
        <w:shd w:val="clear"/>
        <w:ind w:firstLine="860"/>
        <w:rPr>
          <w:rFonts w:hAnsi="宋体"/>
          <w:color w:val="auto"/>
          <w:sz w:val="43"/>
        </w:rPr>
      </w:pPr>
    </w:p>
    <w:p>
      <w:pPr>
        <w:shd w:val="clear"/>
        <w:ind w:firstLine="860"/>
        <w:rPr>
          <w:rFonts w:hAnsi="宋体"/>
          <w:color w:val="auto"/>
          <w:sz w:val="43"/>
        </w:rPr>
      </w:pPr>
    </w:p>
    <w:p>
      <w:pPr>
        <w:shd w:val="clear"/>
        <w:ind w:firstLine="860"/>
        <w:rPr>
          <w:rFonts w:hAnsi="宋体"/>
          <w:color w:val="auto"/>
          <w:sz w:val="43"/>
        </w:rPr>
      </w:pPr>
    </w:p>
    <w:p>
      <w:pPr>
        <w:shd w:val="clear"/>
        <w:ind w:firstLine="860"/>
        <w:rPr>
          <w:rFonts w:hAnsi="宋体"/>
          <w:color w:val="auto"/>
          <w:sz w:val="43"/>
        </w:rPr>
      </w:pPr>
    </w:p>
    <w:p>
      <w:pPr>
        <w:shd w:val="clear"/>
        <w:ind w:firstLine="860"/>
        <w:rPr>
          <w:rFonts w:hAnsi="宋体"/>
          <w:color w:val="auto"/>
          <w:sz w:val="43"/>
        </w:rPr>
      </w:pPr>
    </w:p>
    <w:p>
      <w:pPr>
        <w:shd w:val="clear"/>
        <w:ind w:firstLine="860"/>
        <w:jc w:val="center"/>
        <w:rPr>
          <w:rFonts w:hAnsi="宋体"/>
          <w:color w:val="auto"/>
          <w:sz w:val="43"/>
        </w:rPr>
      </w:pPr>
    </w:p>
    <w:p>
      <w:pPr>
        <w:shd w:val="clear"/>
        <w:ind w:firstLine="860"/>
        <w:rPr>
          <w:rFonts w:hAnsi="宋体"/>
          <w:color w:val="auto"/>
          <w:sz w:val="43"/>
        </w:rPr>
      </w:pPr>
    </w:p>
    <w:p>
      <w:pPr>
        <w:shd w:val="clear"/>
        <w:ind w:firstLine="860"/>
        <w:rPr>
          <w:rFonts w:hAnsi="宋体"/>
          <w:color w:val="auto"/>
          <w:sz w:val="43"/>
        </w:rPr>
      </w:pPr>
    </w:p>
    <w:p>
      <w:pPr>
        <w:shd w:val="clear"/>
        <w:ind w:firstLine="860"/>
        <w:rPr>
          <w:rFonts w:hAnsi="宋体"/>
          <w:color w:val="auto"/>
          <w:sz w:val="43"/>
        </w:rPr>
      </w:pPr>
    </w:p>
    <w:p>
      <w:pPr>
        <w:shd w:val="clear"/>
        <w:ind w:firstLine="860"/>
        <w:rPr>
          <w:rFonts w:hAnsi="宋体"/>
          <w:color w:val="auto"/>
          <w:sz w:val="43"/>
        </w:rPr>
      </w:pPr>
    </w:p>
    <w:p>
      <w:pPr>
        <w:shd w:val="clear"/>
        <w:ind w:firstLine="860"/>
        <w:rPr>
          <w:rFonts w:hAnsi="宋体"/>
          <w:color w:val="auto"/>
          <w:sz w:val="43"/>
        </w:rPr>
        <w:sectPr>
          <w:pgSz w:w="12240" w:h="15840"/>
          <w:pgMar w:top="1440" w:right="1440" w:bottom="378" w:left="1440" w:header="0" w:footer="567" w:gutter="0"/>
          <w:cols w:space="720" w:num="1"/>
          <w:rtlGutter w:val="1"/>
          <w:docGrid w:linePitch="360" w:charSpace="0"/>
        </w:sectPr>
      </w:pPr>
    </w:p>
    <w:p>
      <w:pPr>
        <w:shd w:val="clear"/>
        <w:spacing w:line="10" w:lineRule="exact"/>
        <w:ind w:firstLine="480"/>
        <w:rPr>
          <w:rFonts w:hAnsi="宋体"/>
          <w:color w:val="auto"/>
        </w:rPr>
      </w:pPr>
      <w:bookmarkStart w:id="18" w:name="page10"/>
      <w:bookmarkEnd w:id="18"/>
    </w:p>
    <w:p>
      <w:pPr>
        <w:pStyle w:val="6"/>
        <w:shd w:val="clear"/>
        <w:ind w:firstLine="883"/>
        <w:jc w:val="center"/>
        <w:rPr>
          <w:color w:val="auto"/>
        </w:rPr>
      </w:pPr>
      <w:bookmarkStart w:id="19" w:name="_Toc2705"/>
      <w:bookmarkStart w:id="20" w:name="_Toc35513425"/>
      <w:bookmarkStart w:id="21" w:name="_Toc14709204"/>
      <w:bookmarkStart w:id="22" w:name="_Toc27412"/>
      <w:bookmarkStart w:id="23" w:name="_Toc28184"/>
      <w:bookmarkStart w:id="24" w:name="_Toc27917"/>
      <w:r>
        <w:rPr>
          <w:color w:val="auto"/>
        </w:rPr>
        <w:t>第一章招标公告</w:t>
      </w:r>
      <w:bookmarkEnd w:id="19"/>
      <w:bookmarkEnd w:id="20"/>
      <w:bookmarkEnd w:id="21"/>
      <w:bookmarkEnd w:id="22"/>
      <w:bookmarkEnd w:id="23"/>
      <w:bookmarkEnd w:id="24"/>
    </w:p>
    <w:p>
      <w:pPr>
        <w:shd w:val="clear"/>
        <w:ind w:firstLine="480"/>
        <w:rPr>
          <w:rFonts w:hAnsi="宋体"/>
          <w:color w:val="auto"/>
        </w:rPr>
      </w:pPr>
    </w:p>
    <w:p>
      <w:pPr>
        <w:shd w:val="clear"/>
        <w:ind w:firstLine="563"/>
        <w:jc w:val="center"/>
        <w:rPr>
          <w:rFonts w:hAnsi="宋体"/>
          <w:b/>
          <w:color w:val="auto"/>
          <w:spacing w:val="-20"/>
          <w:sz w:val="32"/>
          <w:szCs w:val="32"/>
          <w:u w:val="single"/>
        </w:rPr>
      </w:pPr>
      <w:r>
        <w:rPr>
          <w:rFonts w:hint="eastAsia" w:hAnsi="宋体"/>
          <w:b/>
          <w:color w:val="auto"/>
          <w:spacing w:val="-20"/>
          <w:sz w:val="32"/>
          <w:szCs w:val="32"/>
          <w:u w:val="single"/>
        </w:rPr>
        <w:t>（略）</w:t>
      </w:r>
    </w:p>
    <w:p>
      <w:pPr>
        <w:pStyle w:val="6"/>
        <w:shd w:val="clear"/>
        <w:ind w:firstLine="883"/>
        <w:jc w:val="center"/>
        <w:rPr>
          <w:color w:val="auto"/>
        </w:rPr>
      </w:pPr>
      <w:bookmarkStart w:id="25" w:name="page12"/>
      <w:bookmarkEnd w:id="25"/>
      <w:bookmarkStart w:id="26" w:name="page14"/>
      <w:bookmarkEnd w:id="26"/>
      <w:bookmarkStart w:id="27" w:name="page15"/>
      <w:bookmarkEnd w:id="27"/>
      <w:bookmarkStart w:id="28" w:name="page16"/>
      <w:bookmarkEnd w:id="28"/>
      <w:bookmarkStart w:id="29" w:name="_Toc10310"/>
      <w:bookmarkStart w:id="30" w:name="_Toc12707"/>
      <w:bookmarkStart w:id="31" w:name="_Toc14709205"/>
      <w:bookmarkStart w:id="32" w:name="_Toc7855"/>
      <w:bookmarkStart w:id="33" w:name="_Toc290"/>
      <w:r>
        <w:rPr>
          <w:color w:val="auto"/>
        </w:rPr>
        <w:br w:type="page"/>
      </w:r>
      <w:bookmarkStart w:id="34" w:name="_Toc35513426"/>
      <w:r>
        <w:rPr>
          <w:color w:val="auto"/>
        </w:rPr>
        <w:t>第二章投标人须知</w:t>
      </w:r>
      <w:bookmarkEnd w:id="29"/>
      <w:bookmarkEnd w:id="30"/>
      <w:bookmarkEnd w:id="31"/>
      <w:bookmarkEnd w:id="32"/>
      <w:bookmarkEnd w:id="33"/>
      <w:bookmarkEnd w:id="34"/>
    </w:p>
    <w:p>
      <w:pPr>
        <w:shd w:val="clear"/>
        <w:spacing w:line="200" w:lineRule="exact"/>
        <w:ind w:firstLine="480"/>
        <w:rPr>
          <w:rFonts w:hAnsi="宋体"/>
          <w:color w:val="auto"/>
        </w:rPr>
      </w:pPr>
    </w:p>
    <w:p>
      <w:pPr>
        <w:shd w:val="clear"/>
        <w:spacing w:line="201" w:lineRule="exact"/>
        <w:ind w:firstLine="480"/>
        <w:rPr>
          <w:rFonts w:hAnsi="宋体"/>
          <w:color w:val="auto"/>
        </w:rPr>
      </w:pPr>
    </w:p>
    <w:p>
      <w:pPr>
        <w:pStyle w:val="6"/>
        <w:shd w:val="clear"/>
        <w:ind w:firstLine="883"/>
        <w:jc w:val="center"/>
        <w:rPr>
          <w:color w:val="auto"/>
        </w:rPr>
      </w:pPr>
      <w:bookmarkStart w:id="35" w:name="_Toc35513427"/>
      <w:r>
        <w:rPr>
          <w:color w:val="auto"/>
        </w:rPr>
        <w:t>投标人须知前附表</w:t>
      </w:r>
      <w:bookmarkEnd w:id="35"/>
    </w:p>
    <w:p>
      <w:pPr>
        <w:shd w:val="clear"/>
        <w:spacing w:line="386" w:lineRule="exact"/>
        <w:ind w:firstLine="480"/>
        <w:rPr>
          <w:rFonts w:hAnsi="宋体"/>
          <w:color w:val="auto"/>
        </w:rPr>
      </w:pPr>
    </w:p>
    <w:tbl>
      <w:tblPr>
        <w:tblStyle w:val="32"/>
        <w:tblW w:w="9397" w:type="dxa"/>
        <w:tblInd w:w="10" w:type="dxa"/>
        <w:tblLayout w:type="fixed"/>
        <w:tblCellMar>
          <w:top w:w="0" w:type="dxa"/>
          <w:left w:w="0" w:type="dxa"/>
          <w:bottom w:w="0" w:type="dxa"/>
          <w:right w:w="0" w:type="dxa"/>
        </w:tblCellMar>
      </w:tblPr>
      <w:tblGrid>
        <w:gridCol w:w="1235"/>
        <w:gridCol w:w="3160"/>
        <w:gridCol w:w="5002"/>
      </w:tblGrid>
      <w:tr>
        <w:tblPrEx>
          <w:tblCellMar>
            <w:top w:w="0" w:type="dxa"/>
            <w:left w:w="0" w:type="dxa"/>
            <w:bottom w:w="0" w:type="dxa"/>
            <w:right w:w="0" w:type="dxa"/>
          </w:tblCellMar>
        </w:tblPrEx>
        <w:trPr>
          <w:trHeight w:val="745" w:hRule="atLeast"/>
          <w:tblHeader/>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center"/>
              <w:rPr>
                <w:rFonts w:hAnsi="宋体"/>
                <w:b/>
                <w:color w:val="auto"/>
                <w:sz w:val="21"/>
                <w:szCs w:val="21"/>
              </w:rPr>
            </w:pPr>
            <w:r>
              <w:rPr>
                <w:rFonts w:hAnsi="宋体"/>
                <w:b/>
                <w:color w:val="auto"/>
                <w:sz w:val="21"/>
                <w:szCs w:val="21"/>
              </w:rPr>
              <w:t>条款号</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center"/>
              <w:rPr>
                <w:rFonts w:hAnsi="宋体"/>
                <w:b/>
                <w:color w:val="auto"/>
                <w:sz w:val="21"/>
                <w:szCs w:val="21"/>
              </w:rPr>
            </w:pPr>
            <w:r>
              <w:rPr>
                <w:rFonts w:hAnsi="宋体"/>
                <w:b/>
                <w:color w:val="auto"/>
                <w:sz w:val="21"/>
                <w:szCs w:val="21"/>
              </w:rPr>
              <w:t>条款名称</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center"/>
              <w:rPr>
                <w:rFonts w:hAnsi="宋体"/>
                <w:b/>
                <w:color w:val="auto"/>
                <w:sz w:val="21"/>
                <w:szCs w:val="21"/>
              </w:rPr>
            </w:pPr>
            <w:r>
              <w:rPr>
                <w:rFonts w:hAnsi="宋体"/>
                <w:b/>
                <w:color w:val="auto"/>
                <w:sz w:val="21"/>
                <w:szCs w:val="21"/>
              </w:rPr>
              <w:t>编列内容</w:t>
            </w:r>
          </w:p>
        </w:tc>
      </w:tr>
      <w:tr>
        <w:tblPrEx>
          <w:tblCellMar>
            <w:top w:w="0" w:type="dxa"/>
            <w:left w:w="0" w:type="dxa"/>
            <w:bottom w:w="0" w:type="dxa"/>
            <w:right w:w="0" w:type="dxa"/>
          </w:tblCellMar>
        </w:tblPrEx>
        <w:trPr>
          <w:trHeight w:val="1455"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1.1.2</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8"/>
                <w:sz w:val="21"/>
                <w:szCs w:val="21"/>
              </w:rPr>
            </w:pPr>
            <w:r>
              <w:rPr>
                <w:rFonts w:hAnsi="宋体"/>
                <w:color w:val="auto"/>
                <w:sz w:val="21"/>
                <w:szCs w:val="21"/>
              </w:rPr>
              <w:t>招标人</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276" w:lineRule="auto"/>
              <w:ind w:firstLine="0" w:firstLineChars="0"/>
              <w:rPr>
                <w:rFonts w:hAnsi="宋体" w:cs="宋体"/>
                <w:color w:val="auto"/>
                <w:sz w:val="21"/>
                <w:szCs w:val="21"/>
                <w:u w:val="single"/>
              </w:rPr>
            </w:pPr>
            <w:r>
              <w:rPr>
                <w:rFonts w:hint="eastAsia" w:hAnsi="宋体" w:cs="宋体"/>
                <w:color w:val="auto"/>
                <w:sz w:val="21"/>
                <w:szCs w:val="21"/>
              </w:rPr>
              <w:t>名称：</w:t>
            </w:r>
            <w:r>
              <w:rPr>
                <w:rFonts w:hint="eastAsia" w:hAnsi="宋体" w:cs="宋体"/>
                <w:color w:val="auto"/>
                <w:sz w:val="21"/>
                <w:szCs w:val="21"/>
                <w:u w:val="single"/>
              </w:rPr>
              <w:t>广州市海珠区人民政府琶洲街道办事处</w:t>
            </w:r>
          </w:p>
          <w:p>
            <w:pPr>
              <w:shd w:val="clear"/>
              <w:spacing w:line="276" w:lineRule="auto"/>
              <w:ind w:firstLine="0" w:firstLineChars="0"/>
              <w:rPr>
                <w:rFonts w:hAnsi="宋体" w:cs="宋体"/>
                <w:color w:val="auto"/>
                <w:sz w:val="21"/>
                <w:szCs w:val="21"/>
                <w:u w:val="single"/>
              </w:rPr>
            </w:pPr>
            <w:r>
              <w:rPr>
                <w:rFonts w:hint="eastAsia" w:hAnsi="宋体" w:cs="宋体"/>
                <w:color w:val="auto"/>
                <w:sz w:val="21"/>
                <w:szCs w:val="21"/>
              </w:rPr>
              <w:t>地址：</w:t>
            </w:r>
            <w:r>
              <w:rPr>
                <w:rFonts w:hint="eastAsia" w:hAnsi="宋体" w:cs="宋体"/>
                <w:color w:val="auto"/>
                <w:sz w:val="21"/>
                <w:szCs w:val="21"/>
                <w:u w:val="single"/>
              </w:rPr>
              <w:t>广东省广州市海珠区新港东路</w:t>
            </w:r>
            <w:r>
              <w:rPr>
                <w:rFonts w:hAnsi="宋体" w:cs="宋体"/>
                <w:color w:val="auto"/>
                <w:sz w:val="21"/>
                <w:szCs w:val="21"/>
                <w:u w:val="single"/>
              </w:rPr>
              <w:t>86号</w:t>
            </w:r>
          </w:p>
          <w:p>
            <w:pPr>
              <w:shd w:val="clear"/>
              <w:spacing w:line="276" w:lineRule="auto"/>
              <w:ind w:firstLine="0" w:firstLineChars="0"/>
              <w:rPr>
                <w:rFonts w:hAnsi="宋体" w:cs="宋体"/>
                <w:color w:val="auto"/>
                <w:sz w:val="21"/>
                <w:szCs w:val="21"/>
              </w:rPr>
            </w:pPr>
            <w:r>
              <w:rPr>
                <w:rFonts w:hint="eastAsia" w:hAnsi="宋体" w:cs="宋体"/>
                <w:color w:val="auto"/>
                <w:sz w:val="21"/>
                <w:szCs w:val="21"/>
              </w:rPr>
              <w:t>联系人：</w:t>
            </w:r>
            <w:r>
              <w:rPr>
                <w:rFonts w:hint="eastAsia" w:hAnsi="宋体" w:cs="宋体"/>
                <w:color w:val="auto"/>
                <w:sz w:val="21"/>
                <w:szCs w:val="21"/>
                <w:u w:val="single"/>
              </w:rPr>
              <w:t xml:space="preserve">湛先生 </w:t>
            </w:r>
          </w:p>
          <w:p>
            <w:pPr>
              <w:shd w:val="clear"/>
              <w:spacing w:line="312" w:lineRule="auto"/>
              <w:ind w:right="120" w:rightChars="50" w:firstLine="0" w:firstLineChars="0"/>
              <w:jc w:val="left"/>
              <w:rPr>
                <w:rFonts w:hAnsi="宋体"/>
                <w:color w:val="auto"/>
                <w:sz w:val="21"/>
                <w:szCs w:val="21"/>
                <w:u w:val="single"/>
              </w:rPr>
            </w:pPr>
            <w:r>
              <w:rPr>
                <w:rFonts w:hint="eastAsia" w:hAnsi="宋体" w:cs="宋体"/>
                <w:color w:val="auto"/>
                <w:sz w:val="21"/>
                <w:szCs w:val="21"/>
              </w:rPr>
              <w:t>电话：</w:t>
            </w:r>
            <w:r>
              <w:rPr>
                <w:rFonts w:hint="eastAsia" w:hAnsi="宋体" w:cs="宋体"/>
                <w:color w:val="auto"/>
                <w:sz w:val="21"/>
                <w:szCs w:val="21"/>
                <w:u w:val="single"/>
              </w:rPr>
              <w:t>020-89117434</w:t>
            </w:r>
          </w:p>
        </w:tc>
      </w:tr>
      <w:tr>
        <w:tblPrEx>
          <w:tblCellMar>
            <w:top w:w="0" w:type="dxa"/>
            <w:left w:w="0" w:type="dxa"/>
            <w:bottom w:w="0" w:type="dxa"/>
            <w:right w:w="0" w:type="dxa"/>
          </w:tblCellMar>
        </w:tblPrEx>
        <w:trPr>
          <w:trHeight w:val="1674"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1.1.3</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招标代理机构</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adjustRightInd w:val="0"/>
              <w:snapToGrid w:val="0"/>
              <w:ind w:firstLine="0" w:firstLineChars="0"/>
              <w:rPr>
                <w:rFonts w:hAnsi="宋体" w:cs="宋体"/>
                <w:color w:val="auto"/>
                <w:sz w:val="21"/>
                <w:szCs w:val="21"/>
              </w:rPr>
            </w:pPr>
            <w:r>
              <w:rPr>
                <w:rFonts w:hint="eastAsia" w:hAnsi="宋体" w:cs="宋体"/>
                <w:color w:val="auto"/>
                <w:sz w:val="21"/>
                <w:szCs w:val="21"/>
              </w:rPr>
              <w:t>名称：</w:t>
            </w:r>
            <w:r>
              <w:rPr>
                <w:rFonts w:hint="eastAsia" w:hAnsi="宋体" w:cs="宋体"/>
                <w:color w:val="auto"/>
                <w:sz w:val="21"/>
                <w:szCs w:val="21"/>
                <w:u w:val="single"/>
              </w:rPr>
              <w:t>广东省机电设备招标有限公司</w:t>
            </w:r>
          </w:p>
          <w:p>
            <w:pPr>
              <w:shd w:val="clear"/>
              <w:adjustRightInd w:val="0"/>
              <w:snapToGrid w:val="0"/>
              <w:ind w:firstLine="0" w:firstLineChars="0"/>
              <w:rPr>
                <w:rFonts w:hAnsi="宋体" w:cs="宋体"/>
                <w:color w:val="auto"/>
                <w:sz w:val="21"/>
                <w:szCs w:val="21"/>
              </w:rPr>
            </w:pPr>
            <w:r>
              <w:rPr>
                <w:rFonts w:hint="eastAsia" w:hAnsi="宋体" w:cs="宋体"/>
                <w:color w:val="auto"/>
                <w:sz w:val="21"/>
                <w:szCs w:val="21"/>
              </w:rPr>
              <w:t>地址：</w:t>
            </w:r>
            <w:r>
              <w:rPr>
                <w:rFonts w:hint="eastAsia" w:hAnsi="宋体" w:cs="宋体"/>
                <w:color w:val="auto"/>
                <w:sz w:val="21"/>
                <w:szCs w:val="21"/>
                <w:u w:val="single"/>
              </w:rPr>
              <w:t>广东省广州市越秀区环市中路316号金鹰大厦10楼</w:t>
            </w:r>
          </w:p>
          <w:p>
            <w:pPr>
              <w:shd w:val="clear"/>
              <w:adjustRightInd w:val="0"/>
              <w:snapToGrid w:val="0"/>
              <w:ind w:firstLine="0" w:firstLineChars="0"/>
              <w:rPr>
                <w:rFonts w:hAnsi="宋体" w:cs="宋体"/>
                <w:color w:val="auto"/>
                <w:sz w:val="21"/>
                <w:szCs w:val="21"/>
                <w:u w:val="single"/>
              </w:rPr>
            </w:pPr>
            <w:r>
              <w:rPr>
                <w:rFonts w:hint="eastAsia" w:hAnsi="宋体" w:cs="宋体"/>
                <w:color w:val="auto"/>
                <w:sz w:val="21"/>
                <w:szCs w:val="21"/>
              </w:rPr>
              <w:t>联系人：</w:t>
            </w:r>
            <w:r>
              <w:rPr>
                <w:rFonts w:hint="eastAsia" w:hAnsi="宋体" w:cs="宋体"/>
                <w:color w:val="auto"/>
                <w:sz w:val="21"/>
                <w:szCs w:val="21"/>
                <w:u w:val="single"/>
              </w:rPr>
              <w:t xml:space="preserve">谢工、杨工 </w:t>
            </w:r>
          </w:p>
          <w:p>
            <w:pPr>
              <w:shd w:val="clear"/>
              <w:spacing w:line="312" w:lineRule="auto"/>
              <w:ind w:left="120" w:leftChars="50" w:right="120" w:rightChars="50" w:firstLine="0" w:firstLineChars="0"/>
              <w:jc w:val="left"/>
              <w:rPr>
                <w:rFonts w:hAnsi="宋体"/>
                <w:color w:val="auto"/>
                <w:sz w:val="21"/>
                <w:szCs w:val="21"/>
                <w:u w:val="single"/>
              </w:rPr>
            </w:pPr>
            <w:r>
              <w:rPr>
                <w:rFonts w:hint="eastAsia" w:hAnsi="宋体" w:cs="宋体"/>
                <w:color w:val="auto"/>
                <w:sz w:val="21"/>
                <w:szCs w:val="21"/>
              </w:rPr>
              <w:t>电话：</w:t>
            </w:r>
            <w:r>
              <w:rPr>
                <w:rFonts w:hint="eastAsia" w:hAnsi="宋体" w:cs="宋体"/>
                <w:color w:val="auto"/>
                <w:sz w:val="21"/>
                <w:szCs w:val="21"/>
                <w:u w:val="single"/>
              </w:rPr>
              <w:t>020-83546177</w:t>
            </w:r>
          </w:p>
        </w:tc>
      </w:tr>
      <w:tr>
        <w:tblPrEx>
          <w:tblCellMar>
            <w:top w:w="0" w:type="dxa"/>
            <w:left w:w="0" w:type="dxa"/>
            <w:bottom w:w="0" w:type="dxa"/>
            <w:right w:w="0" w:type="dxa"/>
          </w:tblCellMar>
        </w:tblPrEx>
        <w:trPr>
          <w:trHeight w:val="389"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1.1.4</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招标项目名称</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s="宋体"/>
                <w:color w:val="auto"/>
                <w:sz w:val="21"/>
                <w:szCs w:val="21"/>
                <w:u w:val="single"/>
              </w:rPr>
              <w:t>琶洲街黄埔古村古港提升工程项目管理及工程监理</w:t>
            </w:r>
          </w:p>
        </w:tc>
      </w:tr>
      <w:tr>
        <w:tblPrEx>
          <w:tblCellMar>
            <w:top w:w="0" w:type="dxa"/>
            <w:left w:w="0" w:type="dxa"/>
            <w:bottom w:w="0" w:type="dxa"/>
            <w:right w:w="0" w:type="dxa"/>
          </w:tblCellMar>
        </w:tblPrEx>
        <w:trPr>
          <w:trHeight w:val="386"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1.1.5</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项目建设地点</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u w:val="single"/>
              </w:rPr>
            </w:pPr>
            <w:r>
              <w:rPr>
                <w:rFonts w:hint="eastAsia" w:hAnsi="宋体"/>
                <w:color w:val="auto"/>
                <w:sz w:val="21"/>
                <w:szCs w:val="21"/>
                <w:u w:val="single"/>
              </w:rPr>
              <w:t>详见招标公告。</w:t>
            </w:r>
          </w:p>
        </w:tc>
      </w:tr>
      <w:tr>
        <w:tblPrEx>
          <w:tblCellMar>
            <w:top w:w="0" w:type="dxa"/>
            <w:left w:w="0" w:type="dxa"/>
            <w:bottom w:w="0" w:type="dxa"/>
            <w:right w:w="0" w:type="dxa"/>
          </w:tblCellMar>
        </w:tblPrEx>
        <w:trPr>
          <w:trHeight w:val="389"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1.1.6</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项目建设规模</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u w:val="single"/>
              </w:rPr>
            </w:pPr>
            <w:r>
              <w:rPr>
                <w:rFonts w:hint="eastAsia" w:hAnsi="宋体"/>
                <w:color w:val="auto"/>
                <w:sz w:val="21"/>
                <w:szCs w:val="21"/>
                <w:u w:val="single"/>
              </w:rPr>
              <w:t>详见招标公告。</w:t>
            </w:r>
          </w:p>
        </w:tc>
      </w:tr>
      <w:tr>
        <w:tblPrEx>
          <w:tblCellMar>
            <w:top w:w="0" w:type="dxa"/>
            <w:left w:w="0" w:type="dxa"/>
            <w:bottom w:w="0" w:type="dxa"/>
            <w:right w:w="0" w:type="dxa"/>
          </w:tblCellMar>
        </w:tblPrEx>
        <w:trPr>
          <w:trHeight w:val="386"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1.1.7</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工程项目施工预计开工日期和建设周期</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s="宋体"/>
                <w:color w:val="auto"/>
                <w:sz w:val="21"/>
                <w:szCs w:val="21"/>
                <w:u w:val="single"/>
              </w:rPr>
              <w:t>施工开工时间以总监理工程师签发的开工令为准。</w:t>
            </w:r>
          </w:p>
        </w:tc>
      </w:tr>
      <w:tr>
        <w:tblPrEx>
          <w:tblCellMar>
            <w:top w:w="0" w:type="dxa"/>
            <w:left w:w="0" w:type="dxa"/>
            <w:bottom w:w="0" w:type="dxa"/>
            <w:right w:w="0" w:type="dxa"/>
          </w:tblCellMar>
        </w:tblPrEx>
        <w:trPr>
          <w:trHeight w:val="389"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1.1.8</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建筑安装工程费/工程概算</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w:t>
            </w:r>
          </w:p>
        </w:tc>
      </w:tr>
      <w:tr>
        <w:tblPrEx>
          <w:tblCellMar>
            <w:top w:w="0" w:type="dxa"/>
            <w:left w:w="0" w:type="dxa"/>
            <w:bottom w:w="0" w:type="dxa"/>
            <w:right w:w="0" w:type="dxa"/>
          </w:tblCellMar>
        </w:tblPrEx>
        <w:trPr>
          <w:trHeight w:val="90"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1.2.1</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资金来源及比例</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u w:val="single"/>
              </w:rPr>
            </w:pPr>
            <w:r>
              <w:rPr>
                <w:rFonts w:hint="eastAsia" w:hAnsi="宋体"/>
                <w:color w:val="auto"/>
                <w:sz w:val="21"/>
                <w:szCs w:val="21"/>
                <w:u w:val="single"/>
              </w:rPr>
              <w:t>详见招标公告。</w:t>
            </w:r>
          </w:p>
        </w:tc>
      </w:tr>
      <w:tr>
        <w:tblPrEx>
          <w:tblCellMar>
            <w:top w:w="0" w:type="dxa"/>
            <w:left w:w="0" w:type="dxa"/>
            <w:bottom w:w="0" w:type="dxa"/>
            <w:right w:w="0" w:type="dxa"/>
          </w:tblCellMar>
        </w:tblPrEx>
        <w:trPr>
          <w:trHeight w:val="544"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1.2.2</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资金落实情况</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u w:val="single"/>
              </w:rPr>
            </w:pPr>
            <w:r>
              <w:rPr>
                <w:rFonts w:hint="eastAsia" w:hAnsi="宋体"/>
                <w:color w:val="auto"/>
                <w:sz w:val="21"/>
                <w:szCs w:val="21"/>
                <w:u w:val="single"/>
              </w:rPr>
              <w:t>资金已落实。</w:t>
            </w:r>
          </w:p>
        </w:tc>
      </w:tr>
      <w:tr>
        <w:tblPrEx>
          <w:tblCellMar>
            <w:top w:w="0" w:type="dxa"/>
            <w:left w:w="0" w:type="dxa"/>
            <w:bottom w:w="0" w:type="dxa"/>
            <w:right w:w="0" w:type="dxa"/>
          </w:tblCellMar>
        </w:tblPrEx>
        <w:trPr>
          <w:trHeight w:val="708"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1.3.1</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招标范围</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u w:val="single"/>
              </w:rPr>
              <w:t>详见本项目招标公告。</w:t>
            </w:r>
          </w:p>
        </w:tc>
      </w:tr>
      <w:tr>
        <w:tblPrEx>
          <w:tblCellMar>
            <w:top w:w="0" w:type="dxa"/>
            <w:left w:w="0" w:type="dxa"/>
            <w:bottom w:w="0" w:type="dxa"/>
            <w:right w:w="0" w:type="dxa"/>
          </w:tblCellMar>
        </w:tblPrEx>
        <w:trPr>
          <w:trHeight w:val="474"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int="eastAsia" w:hAnsi="宋体"/>
                <w:color w:val="auto"/>
                <w:w w:val="99"/>
                <w:sz w:val="21"/>
                <w:szCs w:val="21"/>
              </w:rPr>
              <w:t>1.3.</w:t>
            </w:r>
            <w:r>
              <w:rPr>
                <w:rFonts w:hAnsi="宋体"/>
                <w:color w:val="auto"/>
                <w:w w:val="99"/>
                <w:sz w:val="21"/>
                <w:szCs w:val="21"/>
              </w:rPr>
              <w:t>2</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质量标准</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u w:val="single"/>
              </w:rPr>
              <w:t>详见招标公告。</w:t>
            </w:r>
          </w:p>
        </w:tc>
      </w:tr>
      <w:tr>
        <w:tblPrEx>
          <w:tblCellMar>
            <w:top w:w="0" w:type="dxa"/>
            <w:left w:w="0" w:type="dxa"/>
            <w:bottom w:w="0" w:type="dxa"/>
            <w:right w:w="0" w:type="dxa"/>
          </w:tblCellMar>
        </w:tblPrEx>
        <w:trPr>
          <w:trHeight w:val="435"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1.4.1</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投标人资质条件、能力、信誉</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u w:val="single"/>
              </w:rPr>
            </w:pPr>
            <w:r>
              <w:rPr>
                <w:rFonts w:hint="eastAsia" w:hAnsi="宋体"/>
                <w:color w:val="auto"/>
                <w:sz w:val="21"/>
                <w:szCs w:val="21"/>
                <w:u w:val="single"/>
              </w:rPr>
              <w:t>详见</w:t>
            </w:r>
            <w:r>
              <w:rPr>
                <w:rFonts w:hAnsi="宋体"/>
                <w:color w:val="auto"/>
                <w:sz w:val="21"/>
                <w:szCs w:val="21"/>
                <w:u w:val="single"/>
              </w:rPr>
              <w:t>招标公告。</w:t>
            </w:r>
          </w:p>
        </w:tc>
      </w:tr>
      <w:tr>
        <w:tblPrEx>
          <w:tblCellMar>
            <w:top w:w="0" w:type="dxa"/>
            <w:left w:w="0" w:type="dxa"/>
            <w:bottom w:w="0" w:type="dxa"/>
            <w:right w:w="0" w:type="dxa"/>
          </w:tblCellMar>
        </w:tblPrEx>
        <w:trPr>
          <w:trHeight w:val="958"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lang w:bidi="ar"/>
              </w:rPr>
              <w:t>1.4.2</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lang w:bidi="ar"/>
              </w:rPr>
              <w:t>是否接受联合体投标</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s="宋体"/>
                <w:color w:val="auto"/>
                <w:sz w:val="21"/>
                <w:szCs w:val="21"/>
              </w:rPr>
            </w:pPr>
            <w:r>
              <w:rPr>
                <w:rFonts w:hint="eastAsia" w:hAnsi="宋体"/>
                <w:color w:val="auto"/>
                <w:sz w:val="21"/>
                <w:szCs w:val="21"/>
                <w:lang w:bidi="ar"/>
              </w:rPr>
              <w:t>☑</w:t>
            </w:r>
            <w:r>
              <w:rPr>
                <w:rFonts w:hint="eastAsia" w:hAnsi="宋体" w:cs="宋体"/>
                <w:color w:val="auto"/>
                <w:sz w:val="21"/>
                <w:szCs w:val="21"/>
                <w:lang w:bidi="ar"/>
              </w:rPr>
              <w:t>不接受，详</w:t>
            </w:r>
            <w:r>
              <w:rPr>
                <w:rFonts w:hint="eastAsia" w:hAnsi="宋体"/>
                <w:color w:val="auto"/>
                <w:sz w:val="21"/>
                <w:szCs w:val="21"/>
                <w:u w:val="single"/>
                <w:lang w:bidi="ar"/>
              </w:rPr>
              <w:t>见本项目招标公告要求。</w:t>
            </w:r>
          </w:p>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lang w:bidi="ar"/>
              </w:rPr>
              <w:t>□</w:t>
            </w:r>
            <w:r>
              <w:rPr>
                <w:rFonts w:hint="eastAsia" w:hAnsi="宋体"/>
                <w:color w:val="auto"/>
                <w:sz w:val="21"/>
                <w:szCs w:val="21"/>
                <w:lang w:bidi="ar"/>
              </w:rPr>
              <w:t>接受，应满足下列要求：</w:t>
            </w:r>
            <w:r>
              <w:rPr>
                <w:rFonts w:hAnsi="宋体"/>
                <w:color w:val="auto"/>
                <w:sz w:val="21"/>
                <w:szCs w:val="21"/>
              </w:rPr>
              <w:t xml:space="preserve"> </w:t>
            </w:r>
          </w:p>
        </w:tc>
      </w:tr>
      <w:tr>
        <w:tblPrEx>
          <w:tblCellMar>
            <w:top w:w="0" w:type="dxa"/>
            <w:left w:w="0" w:type="dxa"/>
            <w:bottom w:w="0" w:type="dxa"/>
            <w:right w:w="0" w:type="dxa"/>
          </w:tblCellMar>
        </w:tblPrEx>
        <w:trPr>
          <w:trHeight w:val="499"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lang w:bidi="ar"/>
              </w:rPr>
              <w:t>1.4.3</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lang w:bidi="ar"/>
              </w:rPr>
              <w:t>投标人不得存在的其他情形</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w:t>
            </w:r>
          </w:p>
        </w:tc>
      </w:tr>
      <w:tr>
        <w:tblPrEx>
          <w:tblCellMar>
            <w:top w:w="0" w:type="dxa"/>
            <w:left w:w="0" w:type="dxa"/>
            <w:bottom w:w="0" w:type="dxa"/>
            <w:right w:w="0" w:type="dxa"/>
          </w:tblCellMar>
        </w:tblPrEx>
        <w:trPr>
          <w:trHeight w:val="499"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lang w:bidi="ar"/>
              </w:rPr>
            </w:pPr>
            <w:r>
              <w:rPr>
                <w:rFonts w:hint="eastAsia" w:hAnsi="宋体"/>
                <w:color w:val="auto"/>
                <w:w w:val="99"/>
                <w:sz w:val="21"/>
                <w:szCs w:val="21"/>
                <w:lang w:bidi="ar"/>
              </w:rPr>
              <w:t>1.4.5</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lang w:bidi="ar"/>
              </w:rPr>
            </w:pPr>
            <w:r>
              <w:rPr>
                <w:rFonts w:hint="eastAsia" w:hAnsi="宋体"/>
                <w:color w:val="auto"/>
                <w:sz w:val="21"/>
                <w:szCs w:val="21"/>
                <w:lang w:bidi="ar"/>
              </w:rPr>
              <w:t>项目负责人（工程监理负责人、项目管理负责人）</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u w:val="single"/>
              </w:rPr>
              <w:t>详见</w:t>
            </w:r>
            <w:r>
              <w:rPr>
                <w:rFonts w:hAnsi="宋体"/>
                <w:color w:val="auto"/>
                <w:sz w:val="21"/>
                <w:szCs w:val="21"/>
                <w:u w:val="single"/>
              </w:rPr>
              <w:t>招标公告。</w:t>
            </w:r>
          </w:p>
        </w:tc>
      </w:tr>
      <w:tr>
        <w:tblPrEx>
          <w:tblCellMar>
            <w:top w:w="0" w:type="dxa"/>
            <w:left w:w="0" w:type="dxa"/>
            <w:bottom w:w="0" w:type="dxa"/>
            <w:right w:w="0" w:type="dxa"/>
          </w:tblCellMar>
        </w:tblPrEx>
        <w:trPr>
          <w:trHeight w:val="2046"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lang w:bidi="ar"/>
              </w:rPr>
            </w:pPr>
            <w:r>
              <w:rPr>
                <w:rFonts w:hAnsi="宋体"/>
                <w:color w:val="auto"/>
                <w:w w:val="99"/>
                <w:sz w:val="21"/>
                <w:szCs w:val="21"/>
                <w:lang w:bidi="ar"/>
              </w:rPr>
              <w:t>1.9.1</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lang w:bidi="ar"/>
              </w:rPr>
            </w:pPr>
            <w:r>
              <w:rPr>
                <w:rFonts w:hint="eastAsia" w:hAnsi="宋体"/>
                <w:color w:val="auto"/>
                <w:sz w:val="21"/>
                <w:szCs w:val="21"/>
                <w:lang w:bidi="ar"/>
              </w:rPr>
              <w:t>踏勘现场</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s="宋体"/>
                <w:color w:val="auto"/>
                <w:sz w:val="21"/>
                <w:szCs w:val="21"/>
                <w:u w:val="single"/>
                <w:lang w:bidi="ar"/>
              </w:rPr>
            </w:pPr>
            <w:r>
              <w:rPr>
                <w:rFonts w:hint="eastAsia" w:hAnsi="宋体"/>
                <w:color w:val="auto"/>
                <w:sz w:val="21"/>
                <w:szCs w:val="21"/>
                <w:lang w:bidi="ar"/>
              </w:rPr>
              <w:t>☑</w:t>
            </w:r>
            <w:r>
              <w:rPr>
                <w:rFonts w:hint="eastAsia" w:hAnsi="宋体" w:cs="宋体"/>
                <w:color w:val="auto"/>
                <w:sz w:val="21"/>
                <w:szCs w:val="21"/>
                <w:lang w:bidi="ar"/>
              </w:rPr>
              <w:t>不组织</w:t>
            </w:r>
            <w:r>
              <w:rPr>
                <w:rFonts w:hint="eastAsia" w:hAnsi="宋体" w:cs="宋体"/>
                <w:color w:val="auto"/>
                <w:sz w:val="21"/>
                <w:szCs w:val="21"/>
                <w:u w:val="single"/>
                <w:lang w:bidi="ar"/>
              </w:rPr>
              <w:t>，由投标人自行踏勘。</w:t>
            </w:r>
          </w:p>
          <w:p>
            <w:pPr>
              <w:shd w:val="clear"/>
              <w:spacing w:line="312" w:lineRule="auto"/>
              <w:ind w:left="120" w:leftChars="50" w:right="120" w:rightChars="50" w:firstLine="0" w:firstLineChars="0"/>
              <w:jc w:val="left"/>
              <w:rPr>
                <w:rFonts w:hAnsi="宋体" w:cs="宋体"/>
                <w:color w:val="auto"/>
                <w:sz w:val="21"/>
                <w:szCs w:val="21"/>
              </w:rPr>
            </w:pPr>
            <w:r>
              <w:rPr>
                <w:rFonts w:hAnsi="宋体"/>
                <w:color w:val="auto"/>
                <w:sz w:val="21"/>
                <w:szCs w:val="21"/>
                <w:lang w:bidi="ar"/>
              </w:rPr>
              <w:t>□</w:t>
            </w:r>
            <w:r>
              <w:rPr>
                <w:rFonts w:hint="eastAsia" w:hAnsi="宋体" w:cs="宋体"/>
                <w:color w:val="auto"/>
                <w:sz w:val="21"/>
                <w:szCs w:val="21"/>
                <w:lang w:bidi="ar"/>
              </w:rPr>
              <w:t>组织，踏勘时间：</w:t>
            </w:r>
            <w:r>
              <w:rPr>
                <w:rFonts w:hint="eastAsia" w:hAnsi="宋体" w:cs="宋体"/>
                <w:color w:val="auto"/>
                <w:sz w:val="21"/>
                <w:szCs w:val="21"/>
              </w:rPr>
              <w:t xml:space="preserve"> </w:t>
            </w:r>
          </w:p>
          <w:p>
            <w:pPr>
              <w:shd w:val="clear"/>
              <w:spacing w:line="312" w:lineRule="auto"/>
              <w:ind w:left="120" w:leftChars="50" w:right="120" w:rightChars="50" w:firstLine="0" w:firstLineChars="0"/>
              <w:jc w:val="left"/>
              <w:rPr>
                <w:rFonts w:hAnsi="宋体" w:cs="宋体"/>
                <w:color w:val="auto"/>
                <w:sz w:val="21"/>
                <w:szCs w:val="21"/>
                <w:lang w:bidi="ar"/>
              </w:rPr>
            </w:pPr>
            <w:r>
              <w:rPr>
                <w:rFonts w:hint="eastAsia" w:hAnsi="宋体"/>
                <w:color w:val="auto"/>
                <w:sz w:val="21"/>
                <w:szCs w:val="21"/>
                <w:lang w:bidi="ar"/>
              </w:rPr>
              <w:t>踏勘集中地点：</w:t>
            </w:r>
            <w:r>
              <w:rPr>
                <w:rFonts w:hint="eastAsia" w:hAnsi="宋体" w:cs="宋体"/>
                <w:color w:val="auto"/>
                <w:sz w:val="21"/>
                <w:szCs w:val="21"/>
                <w:lang w:bidi="ar"/>
              </w:rPr>
              <w:t xml:space="preserve"> </w:t>
            </w:r>
          </w:p>
          <w:p>
            <w:pPr>
              <w:shd w:val="clear"/>
              <w:spacing w:line="312" w:lineRule="auto"/>
              <w:ind w:left="120" w:leftChars="50" w:right="120" w:rightChars="50" w:firstLine="0" w:firstLineChars="0"/>
              <w:jc w:val="left"/>
              <w:rPr>
                <w:rFonts w:hAnsi="宋体" w:cs="宋体"/>
                <w:color w:val="auto"/>
                <w:sz w:val="21"/>
                <w:szCs w:val="21"/>
                <w:u w:val="single"/>
                <w:lang w:bidi="ar"/>
              </w:rPr>
            </w:pPr>
            <w:r>
              <w:rPr>
                <w:rFonts w:hint="eastAsia" w:hAnsi="宋体"/>
                <w:b/>
                <w:color w:val="auto"/>
                <w:sz w:val="21"/>
                <w:szCs w:val="21"/>
              </w:rPr>
              <w:sym w:font="Wingdings 2" w:char="0052"/>
            </w:r>
            <w:r>
              <w:rPr>
                <w:rFonts w:hint="eastAsia" w:hAnsi="宋体" w:cs="宋体"/>
                <w:b/>
                <w:bCs/>
                <w:color w:val="auto"/>
                <w:sz w:val="21"/>
                <w:szCs w:val="21"/>
                <w:u w:val="single"/>
                <w:lang w:bidi="ar"/>
              </w:rPr>
              <w:t>补充说明如下：</w:t>
            </w:r>
          </w:p>
          <w:p>
            <w:pPr>
              <w:shd w:val="clear"/>
              <w:spacing w:line="312" w:lineRule="auto"/>
              <w:ind w:left="120" w:leftChars="50" w:right="120" w:rightChars="50" w:firstLine="0" w:firstLineChars="0"/>
              <w:jc w:val="left"/>
              <w:rPr>
                <w:rFonts w:hAnsi="宋体" w:cs="宋体"/>
                <w:color w:val="auto"/>
                <w:sz w:val="21"/>
                <w:szCs w:val="21"/>
                <w:u w:val="single"/>
                <w:lang w:bidi="ar"/>
              </w:rPr>
            </w:pPr>
            <w:r>
              <w:rPr>
                <w:rFonts w:hint="eastAsia" w:hAnsi="宋体" w:cs="宋体"/>
                <w:color w:val="auto"/>
                <w:sz w:val="21"/>
                <w:szCs w:val="21"/>
                <w:u w:val="single"/>
                <w:lang w:bidi="ar"/>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pPr>
              <w:shd w:val="clear"/>
              <w:spacing w:line="312" w:lineRule="auto"/>
              <w:ind w:left="120" w:leftChars="50" w:right="120" w:rightChars="50" w:firstLine="0" w:firstLineChars="0"/>
              <w:jc w:val="left"/>
              <w:rPr>
                <w:rFonts w:hAnsi="宋体" w:cs="宋体"/>
                <w:color w:val="auto"/>
                <w:sz w:val="21"/>
                <w:szCs w:val="21"/>
                <w:u w:val="single"/>
                <w:lang w:bidi="ar"/>
              </w:rPr>
            </w:pPr>
            <w:r>
              <w:rPr>
                <w:rFonts w:hint="eastAsia" w:hAnsi="宋体" w:cs="宋体"/>
                <w:color w:val="auto"/>
                <w:sz w:val="21"/>
                <w:szCs w:val="21"/>
                <w:u w:val="single"/>
                <w:lang w:bidi="ar"/>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shd w:val="clear"/>
              <w:spacing w:line="312" w:lineRule="auto"/>
              <w:ind w:left="120" w:leftChars="50" w:right="120" w:rightChars="50" w:firstLine="0" w:firstLineChars="0"/>
              <w:jc w:val="left"/>
              <w:rPr>
                <w:rFonts w:hAnsi="宋体" w:cs="宋体"/>
                <w:color w:val="auto"/>
                <w:sz w:val="21"/>
                <w:szCs w:val="21"/>
                <w:u w:val="single"/>
                <w:lang w:bidi="ar"/>
              </w:rPr>
            </w:pPr>
            <w:r>
              <w:rPr>
                <w:rFonts w:hint="eastAsia" w:hAnsi="宋体" w:cs="宋体"/>
                <w:color w:val="auto"/>
                <w:sz w:val="21"/>
                <w:szCs w:val="21"/>
                <w:u w:val="single"/>
                <w:lang w:bidi="ar"/>
              </w:rPr>
              <w:t>（3）在现场考察中由招标人提供的资料和数据，只是为了使投标人能够利用招标人现有的资料。招标人对投标人由此而作出的推论、解释和结论概不负责。</w:t>
            </w:r>
          </w:p>
        </w:tc>
      </w:tr>
      <w:tr>
        <w:tblPrEx>
          <w:tblCellMar>
            <w:top w:w="0" w:type="dxa"/>
            <w:left w:w="0" w:type="dxa"/>
            <w:bottom w:w="0" w:type="dxa"/>
            <w:right w:w="0" w:type="dxa"/>
          </w:tblCellMar>
        </w:tblPrEx>
        <w:trPr>
          <w:trHeight w:val="1069"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lang w:bidi="ar"/>
              </w:rPr>
            </w:pPr>
            <w:r>
              <w:rPr>
                <w:rFonts w:hAnsi="宋体"/>
                <w:color w:val="auto"/>
                <w:w w:val="98"/>
                <w:sz w:val="21"/>
                <w:szCs w:val="21"/>
                <w:lang w:bidi="ar"/>
              </w:rPr>
              <w:t>1.10.1</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lang w:bidi="ar"/>
              </w:rPr>
            </w:pPr>
            <w:r>
              <w:rPr>
                <w:rFonts w:hint="eastAsia" w:hAnsi="宋体"/>
                <w:color w:val="auto"/>
                <w:sz w:val="21"/>
                <w:szCs w:val="21"/>
                <w:lang w:bidi="ar"/>
              </w:rPr>
              <w:t>投标预备会</w:t>
            </w:r>
          </w:p>
        </w:tc>
        <w:tc>
          <w:tcPr>
            <w:tcW w:w="5002" w:type="dxa"/>
            <w:tcBorders>
              <w:top w:val="single" w:color="auto" w:sz="8" w:space="0"/>
              <w:left w:val="single" w:color="auto" w:sz="8" w:space="0"/>
              <w:bottom w:val="single" w:color="auto" w:sz="4" w:space="0"/>
              <w:right w:val="single" w:color="auto" w:sz="8" w:space="0"/>
            </w:tcBorders>
            <w:vAlign w:val="center"/>
          </w:tcPr>
          <w:p>
            <w:pPr>
              <w:shd w:val="clear"/>
              <w:spacing w:line="312" w:lineRule="auto"/>
              <w:ind w:left="120" w:leftChars="50" w:right="120" w:rightChars="50" w:firstLine="0" w:firstLineChars="0"/>
              <w:jc w:val="left"/>
              <w:rPr>
                <w:rFonts w:hAnsi="宋体" w:cs="宋体"/>
                <w:color w:val="auto"/>
                <w:sz w:val="21"/>
                <w:szCs w:val="21"/>
              </w:rPr>
            </w:pPr>
            <w:r>
              <w:rPr>
                <w:rFonts w:hint="eastAsia" w:hAnsi="宋体"/>
                <w:color w:val="auto"/>
                <w:sz w:val="21"/>
                <w:szCs w:val="21"/>
                <w:lang w:bidi="ar"/>
              </w:rPr>
              <w:t>☑</w:t>
            </w:r>
            <w:r>
              <w:rPr>
                <w:rFonts w:hint="eastAsia" w:hAnsi="宋体" w:cs="宋体"/>
                <w:color w:val="auto"/>
                <w:sz w:val="21"/>
                <w:szCs w:val="21"/>
                <w:lang w:bidi="ar"/>
              </w:rPr>
              <w:t>不召开</w:t>
            </w:r>
          </w:p>
          <w:p>
            <w:pPr>
              <w:shd w:val="clear"/>
              <w:spacing w:line="312" w:lineRule="auto"/>
              <w:ind w:left="120" w:leftChars="50" w:right="120" w:rightChars="50" w:firstLine="0" w:firstLineChars="0"/>
              <w:jc w:val="left"/>
              <w:rPr>
                <w:rFonts w:hAnsi="宋体" w:cs="宋体"/>
                <w:color w:val="auto"/>
                <w:sz w:val="21"/>
                <w:szCs w:val="21"/>
              </w:rPr>
            </w:pPr>
            <w:r>
              <w:rPr>
                <w:rFonts w:hAnsi="宋体"/>
                <w:color w:val="auto"/>
                <w:sz w:val="21"/>
                <w:szCs w:val="21"/>
                <w:lang w:bidi="ar"/>
              </w:rPr>
              <w:t>□</w:t>
            </w:r>
            <w:r>
              <w:rPr>
                <w:rFonts w:hint="eastAsia" w:hAnsi="宋体" w:cs="宋体"/>
                <w:color w:val="auto"/>
                <w:sz w:val="21"/>
                <w:szCs w:val="21"/>
                <w:lang w:bidi="ar"/>
              </w:rPr>
              <w:t>召开，召开时间：</w:t>
            </w:r>
            <w:r>
              <w:rPr>
                <w:rFonts w:hint="eastAsia" w:hAnsi="宋体" w:cs="宋体"/>
                <w:color w:val="auto"/>
                <w:sz w:val="21"/>
                <w:szCs w:val="21"/>
              </w:rPr>
              <w:t xml:space="preserve"> </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lang w:bidi="ar"/>
              </w:rPr>
              <w:t>召开地点：</w:t>
            </w:r>
            <w:r>
              <w:rPr>
                <w:rFonts w:hAnsi="宋体"/>
                <w:color w:val="auto"/>
                <w:sz w:val="21"/>
                <w:szCs w:val="21"/>
              </w:rPr>
              <w:t xml:space="preserve"> </w:t>
            </w:r>
          </w:p>
        </w:tc>
      </w:tr>
      <w:tr>
        <w:tblPrEx>
          <w:tblCellMar>
            <w:top w:w="0" w:type="dxa"/>
            <w:left w:w="0" w:type="dxa"/>
            <w:bottom w:w="0" w:type="dxa"/>
            <w:right w:w="0" w:type="dxa"/>
          </w:tblCellMar>
        </w:tblPrEx>
        <w:trPr>
          <w:trHeight w:val="823"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lang w:bidi="ar"/>
              </w:rPr>
            </w:pPr>
            <w:r>
              <w:rPr>
                <w:rFonts w:hAnsi="宋体"/>
                <w:color w:val="auto"/>
                <w:w w:val="98"/>
                <w:sz w:val="21"/>
                <w:szCs w:val="21"/>
                <w:lang w:bidi="ar"/>
              </w:rPr>
              <w:t>1.10.</w:t>
            </w:r>
            <w:r>
              <w:rPr>
                <w:rFonts w:hint="eastAsia" w:hAnsi="宋体"/>
                <w:color w:val="auto"/>
                <w:w w:val="98"/>
                <w:sz w:val="21"/>
                <w:szCs w:val="21"/>
                <w:lang w:bidi="ar"/>
              </w:rPr>
              <w:t>2</w:t>
            </w:r>
          </w:p>
        </w:tc>
        <w:tc>
          <w:tcPr>
            <w:tcW w:w="3160" w:type="dxa"/>
            <w:tcBorders>
              <w:top w:val="single" w:color="auto" w:sz="8" w:space="0"/>
              <w:left w:val="single" w:color="auto" w:sz="8" w:space="0"/>
              <w:bottom w:val="single" w:color="auto" w:sz="8" w:space="0"/>
              <w:right w:val="single" w:color="auto" w:sz="4" w:space="0"/>
            </w:tcBorders>
            <w:vAlign w:val="center"/>
          </w:tcPr>
          <w:p>
            <w:pPr>
              <w:shd w:val="clear"/>
              <w:spacing w:line="312" w:lineRule="auto"/>
              <w:ind w:left="120" w:leftChars="50" w:right="120" w:rightChars="50" w:firstLine="0" w:firstLineChars="0"/>
              <w:jc w:val="left"/>
              <w:rPr>
                <w:rFonts w:hAnsi="宋体"/>
                <w:color w:val="auto"/>
                <w:sz w:val="21"/>
                <w:szCs w:val="21"/>
                <w:lang w:bidi="ar"/>
              </w:rPr>
            </w:pPr>
            <w:r>
              <w:rPr>
                <w:rFonts w:hint="eastAsia" w:hAnsi="宋体"/>
                <w:color w:val="auto"/>
                <w:sz w:val="21"/>
                <w:szCs w:val="21"/>
                <w:lang w:bidi="ar"/>
              </w:rPr>
              <w:t>投标人在投标预备会前提出问题</w:t>
            </w:r>
          </w:p>
        </w:tc>
        <w:tc>
          <w:tcPr>
            <w:tcW w:w="5002" w:type="dxa"/>
            <w:tcBorders>
              <w:top w:val="single" w:color="auto" w:sz="4" w:space="0"/>
              <w:left w:val="single" w:color="auto" w:sz="4" w:space="0"/>
              <w:bottom w:val="single" w:color="auto" w:sz="4" w:space="0"/>
              <w:right w:val="single" w:color="auto" w:sz="4"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u w:val="single"/>
              </w:rPr>
              <w:t>本项目不召开投标预备会</w:t>
            </w:r>
            <w:r>
              <w:rPr>
                <w:rFonts w:hint="eastAsia" w:hAnsi="宋体"/>
                <w:color w:val="auto"/>
                <w:sz w:val="21"/>
                <w:szCs w:val="21"/>
              </w:rPr>
              <w:t>。</w:t>
            </w:r>
          </w:p>
        </w:tc>
      </w:tr>
      <w:tr>
        <w:tblPrEx>
          <w:tblCellMar>
            <w:top w:w="0" w:type="dxa"/>
            <w:left w:w="0" w:type="dxa"/>
            <w:bottom w:w="0" w:type="dxa"/>
            <w:right w:w="0" w:type="dxa"/>
          </w:tblCellMar>
        </w:tblPrEx>
        <w:trPr>
          <w:trHeight w:val="487"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lang w:bidi="ar"/>
              </w:rPr>
            </w:pPr>
            <w:r>
              <w:rPr>
                <w:rFonts w:hAnsi="宋体"/>
                <w:color w:val="auto"/>
                <w:w w:val="98"/>
                <w:sz w:val="21"/>
                <w:szCs w:val="21"/>
                <w:lang w:bidi="ar"/>
              </w:rPr>
              <w:t>1.10.3</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lang w:bidi="ar"/>
              </w:rPr>
            </w:pPr>
            <w:r>
              <w:rPr>
                <w:rFonts w:hint="eastAsia" w:hAnsi="宋体"/>
                <w:color w:val="auto"/>
                <w:sz w:val="21"/>
                <w:szCs w:val="21"/>
                <w:lang w:bidi="ar"/>
              </w:rPr>
              <w:t>招标文件澄清发出的形式</w:t>
            </w:r>
          </w:p>
        </w:tc>
        <w:tc>
          <w:tcPr>
            <w:tcW w:w="5002" w:type="dxa"/>
            <w:tcBorders>
              <w:top w:val="single" w:color="auto" w:sz="4"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lang w:bidi="ar"/>
              </w:rPr>
            </w:pPr>
            <w:r>
              <w:rPr>
                <w:rFonts w:hint="eastAsia" w:hAnsi="宋体"/>
                <w:color w:val="auto"/>
                <w:sz w:val="21"/>
                <w:szCs w:val="21"/>
                <w:u w:val="single"/>
              </w:rPr>
              <w:t xml:space="preserve">/ </w:t>
            </w:r>
            <w:r>
              <w:rPr>
                <w:rFonts w:hint="eastAsia" w:hAnsi="宋体"/>
                <w:color w:val="auto"/>
                <w:sz w:val="21"/>
                <w:szCs w:val="21"/>
              </w:rPr>
              <w:t xml:space="preserve"> （此为投标预备会的答疑澄清）</w:t>
            </w:r>
          </w:p>
        </w:tc>
      </w:tr>
      <w:tr>
        <w:tblPrEx>
          <w:tblCellMar>
            <w:top w:w="0" w:type="dxa"/>
            <w:left w:w="0" w:type="dxa"/>
            <w:bottom w:w="0" w:type="dxa"/>
            <w:right w:w="0" w:type="dxa"/>
          </w:tblCellMar>
        </w:tblPrEx>
        <w:trPr>
          <w:trHeight w:val="415"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lang w:bidi="ar"/>
              </w:rPr>
            </w:pPr>
            <w:r>
              <w:rPr>
                <w:rFonts w:hAnsi="宋体"/>
                <w:color w:val="auto"/>
                <w:w w:val="98"/>
                <w:sz w:val="21"/>
                <w:szCs w:val="21"/>
                <w:lang w:bidi="ar"/>
              </w:rPr>
              <w:t>1.12.1</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lang w:bidi="ar"/>
              </w:rPr>
            </w:pPr>
            <w:r>
              <w:rPr>
                <w:rFonts w:hint="eastAsia" w:hAnsi="宋体"/>
                <w:color w:val="auto"/>
                <w:sz w:val="21"/>
                <w:szCs w:val="21"/>
                <w:lang w:bidi="ar"/>
              </w:rPr>
              <w:t>实质性要求和条件</w:t>
            </w:r>
          </w:p>
        </w:tc>
        <w:tc>
          <w:tcPr>
            <w:tcW w:w="5002" w:type="dxa"/>
            <w:tcBorders>
              <w:top w:val="single" w:color="auto" w:sz="8" w:space="0"/>
              <w:left w:val="single" w:color="auto" w:sz="8" w:space="0"/>
              <w:bottom w:val="single" w:color="auto" w:sz="8" w:space="0"/>
              <w:right w:val="single" w:color="auto" w:sz="8" w:space="0"/>
            </w:tcBorders>
            <w:vAlign w:val="center"/>
          </w:tcPr>
          <w:p>
            <w:pPr>
              <w:pStyle w:val="65"/>
              <w:shd w:val="clear"/>
              <w:snapToGrid w:val="0"/>
              <w:spacing w:line="312" w:lineRule="auto"/>
              <w:ind w:left="120" w:leftChars="50" w:right="120" w:rightChars="50" w:firstLine="0" w:firstLineChars="0"/>
              <w:jc w:val="left"/>
              <w:rPr>
                <w:color w:val="auto"/>
                <w:sz w:val="21"/>
                <w:szCs w:val="21"/>
                <w:lang w:eastAsia="zh-CN" w:bidi="ar"/>
              </w:rPr>
            </w:pPr>
            <w:r>
              <w:rPr>
                <w:rFonts w:hint="eastAsia"/>
                <w:color w:val="auto"/>
                <w:sz w:val="21"/>
                <w:szCs w:val="21"/>
                <w:lang w:eastAsia="zh-CN" w:bidi="ar"/>
              </w:rPr>
              <w:t>/</w:t>
            </w:r>
          </w:p>
        </w:tc>
      </w:tr>
      <w:tr>
        <w:tblPrEx>
          <w:tblCellMar>
            <w:top w:w="0" w:type="dxa"/>
            <w:left w:w="0" w:type="dxa"/>
            <w:bottom w:w="0" w:type="dxa"/>
            <w:right w:w="0" w:type="dxa"/>
          </w:tblCellMar>
        </w:tblPrEx>
        <w:trPr>
          <w:trHeight w:val="1168"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w w:val="98"/>
                <w:sz w:val="21"/>
                <w:szCs w:val="21"/>
              </w:rPr>
              <w:t>1.12.3</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偏差</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lang w:bidi="ar"/>
              </w:rPr>
              <w:t>☑</w:t>
            </w:r>
            <w:r>
              <w:rPr>
                <w:rFonts w:hAnsi="宋体"/>
                <w:color w:val="auto"/>
                <w:sz w:val="21"/>
                <w:szCs w:val="21"/>
              </w:rPr>
              <w:t>不允许</w:t>
            </w:r>
          </w:p>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□允许，偏差范围：</w:t>
            </w:r>
            <w:r>
              <w:rPr>
                <w:rFonts w:hint="eastAsia" w:hAnsi="宋体"/>
                <w:color w:val="auto"/>
                <w:sz w:val="21"/>
                <w:szCs w:val="21"/>
              </w:rPr>
              <w:t>/</w:t>
            </w:r>
          </w:p>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偏差幅度：</w:t>
            </w:r>
            <w:r>
              <w:rPr>
                <w:rFonts w:hint="eastAsia" w:hAnsi="宋体"/>
                <w:color w:val="auto"/>
                <w:sz w:val="21"/>
                <w:szCs w:val="21"/>
              </w:rPr>
              <w:t>/</w:t>
            </w:r>
          </w:p>
        </w:tc>
      </w:tr>
      <w:tr>
        <w:tblPrEx>
          <w:tblCellMar>
            <w:top w:w="0" w:type="dxa"/>
            <w:left w:w="0" w:type="dxa"/>
            <w:bottom w:w="0" w:type="dxa"/>
            <w:right w:w="0" w:type="dxa"/>
          </w:tblCellMar>
        </w:tblPrEx>
        <w:trPr>
          <w:trHeight w:val="460"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8"/>
                <w:sz w:val="21"/>
                <w:szCs w:val="21"/>
              </w:rPr>
            </w:pPr>
            <w:r>
              <w:rPr>
                <w:rFonts w:hAnsi="宋体"/>
                <w:color w:val="auto"/>
                <w:w w:val="98"/>
                <w:sz w:val="21"/>
                <w:szCs w:val="21"/>
                <w:lang w:bidi="ar"/>
              </w:rPr>
              <w:t>2.1</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lang w:bidi="ar"/>
              </w:rPr>
              <w:t>构成招标文件的其他资料</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s="宋体"/>
                <w:color w:val="auto"/>
                <w:sz w:val="21"/>
                <w:szCs w:val="21"/>
                <w:lang w:bidi="ar"/>
              </w:rPr>
              <w:t>答疑纪要、澄清文件等。</w:t>
            </w:r>
          </w:p>
        </w:tc>
      </w:tr>
      <w:tr>
        <w:tblPrEx>
          <w:tblCellMar>
            <w:top w:w="0" w:type="dxa"/>
            <w:left w:w="0" w:type="dxa"/>
            <w:bottom w:w="0" w:type="dxa"/>
            <w:right w:w="0" w:type="dxa"/>
          </w:tblCellMar>
        </w:tblPrEx>
        <w:trPr>
          <w:trHeight w:val="524" w:hRule="atLeast"/>
        </w:trPr>
        <w:tc>
          <w:tcPr>
            <w:tcW w:w="1235" w:type="dxa"/>
            <w:vMerge w:val="restart"/>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w w:val="99"/>
                <w:sz w:val="21"/>
                <w:szCs w:val="21"/>
              </w:rPr>
              <w:t>2.2.1</w:t>
            </w:r>
          </w:p>
        </w:tc>
        <w:tc>
          <w:tcPr>
            <w:tcW w:w="3160" w:type="dxa"/>
            <w:vMerge w:val="restart"/>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sz w:val="21"/>
                <w:szCs w:val="21"/>
              </w:rPr>
              <w:t>投标人要求澄清招标文件</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时间：</w:t>
            </w:r>
            <w:r>
              <w:rPr>
                <w:rFonts w:hint="eastAsia" w:hAnsi="宋体"/>
                <w:color w:val="auto"/>
                <w:sz w:val="21"/>
                <w:szCs w:val="21"/>
              </w:rPr>
              <w:t>递交投标文件截止日期前18日提出</w:t>
            </w:r>
          </w:p>
        </w:tc>
      </w:tr>
      <w:tr>
        <w:tblPrEx>
          <w:tblCellMar>
            <w:top w:w="0" w:type="dxa"/>
            <w:left w:w="0" w:type="dxa"/>
            <w:bottom w:w="0" w:type="dxa"/>
            <w:right w:w="0" w:type="dxa"/>
          </w:tblCellMar>
        </w:tblPrEx>
        <w:trPr>
          <w:trHeight w:val="4104" w:hRule="atLeast"/>
        </w:trPr>
        <w:tc>
          <w:tcPr>
            <w:tcW w:w="1235" w:type="dxa"/>
            <w:vMerge w:val="continue"/>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p>
        </w:tc>
        <w:tc>
          <w:tcPr>
            <w:tcW w:w="3160" w:type="dxa"/>
            <w:vMerge w:val="continue"/>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276" w:lineRule="auto"/>
              <w:ind w:left="120" w:leftChars="50" w:right="120" w:rightChars="50" w:firstLine="0" w:firstLineChars="0"/>
              <w:jc w:val="left"/>
              <w:rPr>
                <w:rFonts w:hAnsi="宋体"/>
                <w:color w:val="auto"/>
                <w:sz w:val="21"/>
                <w:szCs w:val="21"/>
              </w:rPr>
            </w:pPr>
            <w:r>
              <w:rPr>
                <w:rFonts w:hAnsi="宋体"/>
                <w:color w:val="auto"/>
                <w:sz w:val="21"/>
                <w:szCs w:val="21"/>
              </w:rPr>
              <w:t>形式：</w:t>
            </w:r>
          </w:p>
          <w:p>
            <w:pPr>
              <w:shd w:val="clear"/>
              <w:spacing w:line="276" w:lineRule="auto"/>
              <w:ind w:left="120" w:leftChars="50" w:right="120" w:rightChars="50" w:firstLine="0" w:firstLineChars="0"/>
              <w:jc w:val="left"/>
              <w:rPr>
                <w:rFonts w:hAnsi="宋体" w:cs="宋体"/>
                <w:color w:val="auto"/>
                <w:sz w:val="21"/>
                <w:szCs w:val="21"/>
              </w:rPr>
            </w:pPr>
            <w:r>
              <w:rPr>
                <w:rFonts w:hint="eastAsia" w:hAnsi="宋体" w:cs="宋体"/>
                <w:color w:val="auto"/>
                <w:sz w:val="21"/>
                <w:szCs w:val="21"/>
              </w:rPr>
              <w:t>1、投标人的疑问通过广州交易集团有限公司（广州公共资源交易中心）数字交易平台提交。</w:t>
            </w:r>
          </w:p>
          <w:p>
            <w:pPr>
              <w:shd w:val="clear"/>
              <w:spacing w:line="276" w:lineRule="auto"/>
              <w:ind w:left="120" w:leftChars="50" w:right="120" w:rightChars="50" w:firstLine="0" w:firstLineChars="0"/>
              <w:jc w:val="left"/>
              <w:rPr>
                <w:rFonts w:hAnsi="宋体" w:cs="宋体"/>
                <w:color w:val="auto"/>
                <w:sz w:val="21"/>
                <w:szCs w:val="21"/>
              </w:rPr>
            </w:pPr>
            <w:r>
              <w:rPr>
                <w:rFonts w:hint="eastAsia" w:hAnsi="宋体" w:cs="宋体"/>
                <w:b/>
                <w:bCs/>
                <w:color w:val="auto"/>
                <w:sz w:val="21"/>
                <w:szCs w:val="21"/>
              </w:rPr>
              <w:t>具体要求：</w:t>
            </w:r>
            <w:r>
              <w:rPr>
                <w:rFonts w:hint="eastAsia" w:hAnsi="宋体" w:cs="宋体"/>
                <w:color w:val="auto"/>
                <w:sz w:val="21"/>
                <w:szCs w:val="21"/>
              </w:rPr>
              <w:t>操作详见广州交易集团有限公司（广州公共资源交易中心）网站发布的</w:t>
            </w:r>
            <w:r>
              <w:rPr>
                <w:rFonts w:hint="eastAsia" w:hAnsi="宋体" w:cs="宋体"/>
                <w:b/>
                <w:bCs/>
                <w:color w:val="auto"/>
                <w:sz w:val="21"/>
                <w:szCs w:val="21"/>
              </w:rPr>
              <w:t>《房屋建筑和市政基础设施工程全流程电子化项目专章》</w:t>
            </w:r>
            <w:r>
              <w:rPr>
                <w:rFonts w:hint="eastAsia" w:hAnsi="宋体" w:cs="宋体"/>
                <w:color w:val="auto"/>
                <w:sz w:val="21"/>
                <w:szCs w:val="21"/>
              </w:rPr>
              <w:t>。提问一律不得署名。</w:t>
            </w:r>
          </w:p>
          <w:p>
            <w:pPr>
              <w:shd w:val="clear"/>
              <w:spacing w:line="276" w:lineRule="auto"/>
              <w:ind w:left="120" w:leftChars="50" w:right="120" w:rightChars="50" w:firstLine="0" w:firstLineChars="0"/>
              <w:jc w:val="left"/>
              <w:rPr>
                <w:rFonts w:hAnsi="宋体" w:cs="宋体"/>
                <w:color w:val="auto"/>
                <w:sz w:val="21"/>
                <w:szCs w:val="21"/>
              </w:rPr>
            </w:pPr>
            <w:r>
              <w:rPr>
                <w:rFonts w:hint="eastAsia" w:hAnsi="宋体" w:cs="宋体"/>
                <w:color w:val="auto"/>
                <w:sz w:val="21"/>
                <w:szCs w:val="21"/>
              </w:rPr>
              <w:t>网上答疑的操作指南为：投标人登录交易中心数字交易平台，进入“我是投标人”-&gt;“我的投标”-&gt;“招标答疑提问”查询项目并提问。</w:t>
            </w:r>
          </w:p>
          <w:p>
            <w:pPr>
              <w:shd w:val="clear"/>
              <w:spacing w:line="276" w:lineRule="auto"/>
              <w:ind w:left="120" w:leftChars="50" w:right="120" w:rightChars="50" w:firstLine="0" w:firstLineChars="0"/>
              <w:jc w:val="left"/>
              <w:rPr>
                <w:rFonts w:hAnsi="宋体"/>
                <w:color w:val="auto"/>
                <w:sz w:val="21"/>
                <w:szCs w:val="21"/>
              </w:rPr>
            </w:pPr>
            <w:r>
              <w:rPr>
                <w:rFonts w:hint="eastAsia" w:hAnsi="宋体" w:cs="宋体"/>
                <w:color w:val="auto"/>
                <w:sz w:val="21"/>
                <w:szCs w:val="21"/>
              </w:rPr>
              <w:t>2、投标人应在投标截止时间18日前停止质疑。招标人应在投标截止时间15日前解答投标人对招标文件提出的疑问，形成答疑纪要，在广州交易集团有限公司（广州公共资源交易中心）网站项目答疑专区发布。</w:t>
            </w:r>
          </w:p>
        </w:tc>
      </w:tr>
      <w:tr>
        <w:tblPrEx>
          <w:tblCellMar>
            <w:top w:w="0" w:type="dxa"/>
            <w:left w:w="0" w:type="dxa"/>
            <w:bottom w:w="0" w:type="dxa"/>
            <w:right w:w="0" w:type="dxa"/>
          </w:tblCellMar>
        </w:tblPrEx>
        <w:trPr>
          <w:trHeight w:val="695"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lang w:bidi="ar"/>
              </w:rPr>
              <w:t>2.2.2</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lang w:bidi="ar"/>
              </w:rPr>
              <w:t>招标文件澄清发出的形式</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在递交投标文件截止时间15天前；在广州交易集团有限公司（广州公共资源交易中心）网站通过项目答疑专区网上公开发布。</w:t>
            </w:r>
          </w:p>
        </w:tc>
      </w:tr>
      <w:tr>
        <w:tblPrEx>
          <w:tblCellMar>
            <w:top w:w="0" w:type="dxa"/>
            <w:left w:w="0" w:type="dxa"/>
            <w:bottom w:w="0" w:type="dxa"/>
            <w:right w:w="0" w:type="dxa"/>
          </w:tblCellMar>
        </w:tblPrEx>
        <w:trPr>
          <w:trHeight w:val="450" w:hRule="atLeast"/>
        </w:trPr>
        <w:tc>
          <w:tcPr>
            <w:tcW w:w="1235" w:type="dxa"/>
            <w:vMerge w:val="restart"/>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w w:val="99"/>
                <w:sz w:val="21"/>
                <w:szCs w:val="21"/>
              </w:rPr>
              <w:t>2.2.3</w:t>
            </w:r>
          </w:p>
        </w:tc>
        <w:tc>
          <w:tcPr>
            <w:tcW w:w="3160" w:type="dxa"/>
            <w:vMerge w:val="restart"/>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投标人确认收到招标文件澄清</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时间：</w:t>
            </w:r>
            <w:r>
              <w:rPr>
                <w:rFonts w:hint="eastAsia" w:hAnsi="宋体"/>
                <w:color w:val="auto"/>
                <w:sz w:val="21"/>
                <w:szCs w:val="21"/>
              </w:rPr>
              <w:t>发出即视作收到。</w:t>
            </w:r>
          </w:p>
        </w:tc>
      </w:tr>
      <w:tr>
        <w:tblPrEx>
          <w:tblCellMar>
            <w:top w:w="0" w:type="dxa"/>
            <w:left w:w="0" w:type="dxa"/>
            <w:bottom w:w="0" w:type="dxa"/>
            <w:right w:w="0" w:type="dxa"/>
          </w:tblCellMar>
        </w:tblPrEx>
        <w:trPr>
          <w:trHeight w:val="774" w:hRule="atLeast"/>
        </w:trPr>
        <w:tc>
          <w:tcPr>
            <w:tcW w:w="1235" w:type="dxa"/>
            <w:vMerge w:val="continue"/>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p>
        </w:tc>
        <w:tc>
          <w:tcPr>
            <w:tcW w:w="3160" w:type="dxa"/>
            <w:vMerge w:val="continue"/>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形式：</w:t>
            </w:r>
            <w:r>
              <w:rPr>
                <w:rFonts w:hint="eastAsia" w:hAnsi="宋体"/>
                <w:color w:val="auto"/>
                <w:sz w:val="21"/>
                <w:szCs w:val="21"/>
              </w:rPr>
              <w:t>招标文件澄清（招标答疑纪要）一经在广州交易集团有限公司（广州公共资源交易中心）网站发布，视作已发放给所有投标人。</w:t>
            </w:r>
          </w:p>
        </w:tc>
      </w:tr>
      <w:tr>
        <w:tblPrEx>
          <w:tblCellMar>
            <w:top w:w="0" w:type="dxa"/>
            <w:left w:w="0" w:type="dxa"/>
            <w:bottom w:w="0" w:type="dxa"/>
            <w:right w:w="0" w:type="dxa"/>
          </w:tblCellMar>
        </w:tblPrEx>
        <w:trPr>
          <w:trHeight w:val="790"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w w:val="99"/>
                <w:sz w:val="21"/>
                <w:szCs w:val="21"/>
              </w:rPr>
              <w:t>2.</w:t>
            </w:r>
            <w:r>
              <w:rPr>
                <w:rFonts w:hint="eastAsia" w:hAnsi="宋体"/>
                <w:color w:val="auto"/>
                <w:w w:val="99"/>
                <w:sz w:val="21"/>
                <w:szCs w:val="21"/>
              </w:rPr>
              <w:t>3.1</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lang w:bidi="ar"/>
              </w:rPr>
              <w:t>招标文件修改发出的形式</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以补充公告或项目答疑澄清的方式在广州交易集团有限公司（广州公共资源交易中心）网站发布</w:t>
            </w:r>
          </w:p>
        </w:tc>
      </w:tr>
      <w:tr>
        <w:tblPrEx>
          <w:tblCellMar>
            <w:top w:w="0" w:type="dxa"/>
            <w:left w:w="0" w:type="dxa"/>
            <w:bottom w:w="0" w:type="dxa"/>
            <w:right w:w="0" w:type="dxa"/>
          </w:tblCellMar>
        </w:tblPrEx>
        <w:trPr>
          <w:trHeight w:val="450" w:hRule="atLeast"/>
        </w:trPr>
        <w:tc>
          <w:tcPr>
            <w:tcW w:w="1235" w:type="dxa"/>
            <w:vMerge w:val="restart"/>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2.3.2</w:t>
            </w:r>
          </w:p>
        </w:tc>
        <w:tc>
          <w:tcPr>
            <w:tcW w:w="3160" w:type="dxa"/>
            <w:vMerge w:val="restart"/>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lang w:bidi="ar"/>
              </w:rPr>
            </w:pPr>
            <w:r>
              <w:rPr>
                <w:rFonts w:hAnsi="宋体"/>
                <w:color w:val="auto"/>
                <w:sz w:val="21"/>
                <w:szCs w:val="21"/>
              </w:rPr>
              <w:t>投标人确认收到招标文件修改</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时间：</w:t>
            </w:r>
            <w:r>
              <w:rPr>
                <w:rFonts w:hint="eastAsia" w:hAnsi="宋体"/>
                <w:color w:val="auto"/>
                <w:sz w:val="21"/>
                <w:szCs w:val="21"/>
              </w:rPr>
              <w:t>发出即视作收到。</w:t>
            </w:r>
          </w:p>
        </w:tc>
      </w:tr>
      <w:tr>
        <w:tblPrEx>
          <w:tblCellMar>
            <w:top w:w="0" w:type="dxa"/>
            <w:left w:w="0" w:type="dxa"/>
            <w:bottom w:w="0" w:type="dxa"/>
            <w:right w:w="0" w:type="dxa"/>
          </w:tblCellMar>
        </w:tblPrEx>
        <w:trPr>
          <w:trHeight w:val="678" w:hRule="atLeast"/>
        </w:trPr>
        <w:tc>
          <w:tcPr>
            <w:tcW w:w="1235" w:type="dxa"/>
            <w:vMerge w:val="continue"/>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p>
        </w:tc>
        <w:tc>
          <w:tcPr>
            <w:tcW w:w="3160" w:type="dxa"/>
            <w:vMerge w:val="continue"/>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lang w:bidi="ar"/>
              </w:rPr>
            </w:pP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形式：</w:t>
            </w:r>
            <w:r>
              <w:rPr>
                <w:rFonts w:hint="eastAsia" w:hAnsi="宋体"/>
                <w:color w:val="auto"/>
                <w:sz w:val="21"/>
                <w:szCs w:val="21"/>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tblPrEx>
          <w:tblCellMar>
            <w:top w:w="0" w:type="dxa"/>
            <w:left w:w="0" w:type="dxa"/>
            <w:bottom w:w="0" w:type="dxa"/>
            <w:right w:w="0" w:type="dxa"/>
          </w:tblCellMar>
        </w:tblPrEx>
        <w:trPr>
          <w:trHeight w:val="739"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3.1.1</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sz w:val="21"/>
                <w:szCs w:val="21"/>
              </w:rPr>
              <w:t>构成投标文件的其他资料</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满足项目评审需要。具体内容要求按投标文件格式填写。</w:t>
            </w:r>
          </w:p>
        </w:tc>
      </w:tr>
      <w:tr>
        <w:tblPrEx>
          <w:tblCellMar>
            <w:top w:w="0" w:type="dxa"/>
            <w:left w:w="0" w:type="dxa"/>
            <w:bottom w:w="0" w:type="dxa"/>
            <w:right w:w="0" w:type="dxa"/>
          </w:tblCellMar>
        </w:tblPrEx>
        <w:trPr>
          <w:trHeight w:val="875"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3.2.1</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sz w:val="21"/>
                <w:szCs w:val="21"/>
              </w:rPr>
              <w:t>增值税税金的计算方法</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w:t>
            </w:r>
          </w:p>
        </w:tc>
      </w:tr>
      <w:tr>
        <w:tblPrEx>
          <w:tblCellMar>
            <w:top w:w="0" w:type="dxa"/>
            <w:left w:w="0" w:type="dxa"/>
            <w:bottom w:w="0" w:type="dxa"/>
            <w:right w:w="0" w:type="dxa"/>
          </w:tblCellMar>
        </w:tblPrEx>
        <w:trPr>
          <w:trHeight w:val="875"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sz w:val="21"/>
                <w:szCs w:val="21"/>
              </w:rPr>
              <w:t>3.2.3</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报价方式</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39" w:leftChars="58" w:right="120" w:rightChars="50" w:firstLine="0" w:firstLineChars="0"/>
              <w:jc w:val="left"/>
              <w:rPr>
                <w:rFonts w:hAnsi="宋体"/>
                <w:color w:val="auto"/>
                <w:sz w:val="21"/>
                <w:szCs w:val="21"/>
              </w:rPr>
            </w:pPr>
            <w:r>
              <w:rPr>
                <w:rFonts w:hint="eastAsia" w:hAnsi="宋体"/>
                <w:color w:val="auto"/>
                <w:sz w:val="21"/>
                <w:szCs w:val="21"/>
              </w:rPr>
              <w:t>由投标人根据招标文件要求以及企业自身情况填报投标报价及下浮率（如下浮率报价和数值报价不一致时，以下浮率报价为准，评标委员会有权对各自对应的投标报价进行修正）。</w:t>
            </w:r>
          </w:p>
          <w:p>
            <w:pPr>
              <w:shd w:val="clear"/>
              <w:spacing w:line="312" w:lineRule="auto"/>
              <w:ind w:left="139" w:leftChars="58" w:right="120" w:rightChars="50" w:firstLine="0" w:firstLineChars="0"/>
              <w:jc w:val="left"/>
              <w:rPr>
                <w:rFonts w:hAnsi="宋体"/>
                <w:color w:val="auto"/>
                <w:sz w:val="21"/>
                <w:szCs w:val="21"/>
              </w:rPr>
            </w:pPr>
            <w:r>
              <w:rPr>
                <w:rFonts w:hint="eastAsia" w:hAnsi="宋体"/>
                <w:color w:val="auto"/>
                <w:sz w:val="21"/>
                <w:szCs w:val="21"/>
              </w:rPr>
              <w:t>结算方式按照合同相关约定执行。</w:t>
            </w:r>
          </w:p>
          <w:p>
            <w:pPr>
              <w:pStyle w:val="2"/>
              <w:shd w:val="clear"/>
              <w:ind w:left="139" w:leftChars="58" w:firstLine="0" w:firstLineChars="0"/>
              <w:rPr>
                <w:rFonts w:hAnsi="宋体" w:eastAsia="宋体"/>
                <w:color w:val="auto"/>
                <w:sz w:val="21"/>
                <w:szCs w:val="21"/>
              </w:rPr>
            </w:pPr>
            <w:r>
              <w:rPr>
                <w:rFonts w:hint="eastAsia" w:hAnsi="宋体" w:eastAsia="宋体"/>
                <w:color w:val="auto"/>
                <w:sz w:val="21"/>
                <w:szCs w:val="21"/>
              </w:rPr>
              <w:t>投标报价不得超过本项目最高投标限价。</w:t>
            </w:r>
          </w:p>
        </w:tc>
      </w:tr>
      <w:tr>
        <w:tblPrEx>
          <w:tblCellMar>
            <w:top w:w="0" w:type="dxa"/>
            <w:left w:w="0" w:type="dxa"/>
            <w:bottom w:w="0" w:type="dxa"/>
            <w:right w:w="0" w:type="dxa"/>
          </w:tblCellMar>
        </w:tblPrEx>
        <w:trPr>
          <w:trHeight w:val="346"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3.2.4</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int="eastAsia" w:hAnsi="宋体"/>
                <w:color w:val="auto"/>
                <w:sz w:val="21"/>
                <w:szCs w:val="21"/>
              </w:rPr>
              <w:t>最高投标限价（招标控制价）</w:t>
            </w:r>
          </w:p>
        </w:tc>
        <w:tc>
          <w:tcPr>
            <w:tcW w:w="5002" w:type="dxa"/>
            <w:tcBorders>
              <w:top w:val="single" w:color="auto" w:sz="8" w:space="0"/>
              <w:left w:val="single" w:color="auto" w:sz="8" w:space="0"/>
              <w:bottom w:val="single" w:color="auto" w:sz="8" w:space="0"/>
              <w:right w:val="single" w:color="auto" w:sz="8" w:space="0"/>
            </w:tcBorders>
            <w:vAlign w:val="bottom"/>
          </w:tcPr>
          <w:p>
            <w:pPr>
              <w:shd w:val="clear"/>
              <w:spacing w:line="240" w:lineRule="auto"/>
              <w:ind w:left="120" w:leftChars="50" w:right="120" w:rightChars="50" w:firstLine="0" w:firstLineChars="0"/>
              <w:jc w:val="left"/>
              <w:rPr>
                <w:rFonts w:hAnsi="宋体"/>
                <w:color w:val="auto"/>
                <w:sz w:val="21"/>
                <w:szCs w:val="21"/>
              </w:rPr>
            </w:pPr>
            <w:r>
              <w:rPr>
                <w:rFonts w:hAnsi="宋体"/>
                <w:color w:val="auto"/>
                <w:sz w:val="21"/>
                <w:szCs w:val="21"/>
              </w:rPr>
              <w:t>□无</w:t>
            </w:r>
          </w:p>
          <w:p>
            <w:pPr>
              <w:shd w:val="clear"/>
              <w:adjustRightInd w:val="0"/>
              <w:snapToGrid w:val="0"/>
              <w:ind w:firstLine="105" w:firstLineChars="50"/>
              <w:rPr>
                <w:rFonts w:hAnsi="宋体"/>
                <w:color w:val="auto"/>
                <w:sz w:val="21"/>
                <w:szCs w:val="21"/>
              </w:rPr>
            </w:pPr>
            <w:r>
              <w:rPr>
                <w:rFonts w:hint="eastAsia" w:hAnsi="宋体"/>
                <w:color w:val="auto"/>
                <w:sz w:val="21"/>
                <w:szCs w:val="21"/>
                <w:lang w:bidi="ar"/>
              </w:rPr>
              <w:t>☑</w:t>
            </w:r>
            <w:r>
              <w:rPr>
                <w:rFonts w:hAnsi="宋体"/>
                <w:color w:val="auto"/>
                <w:sz w:val="21"/>
                <w:szCs w:val="21"/>
              </w:rPr>
              <w:t>有，</w:t>
            </w:r>
            <w:r>
              <w:rPr>
                <w:rFonts w:hint="eastAsia" w:hAnsi="宋体"/>
                <w:color w:val="auto"/>
                <w:sz w:val="21"/>
                <w:szCs w:val="21"/>
              </w:rPr>
              <w:t>本项目最高投标限价：</w:t>
            </w:r>
            <w:r>
              <w:rPr>
                <w:rFonts w:hAnsi="宋体"/>
                <w:color w:val="auto"/>
                <w:sz w:val="21"/>
                <w:szCs w:val="21"/>
                <w:u w:val="single"/>
              </w:rPr>
              <w:t>275</w:t>
            </w:r>
            <w:r>
              <w:rPr>
                <w:rFonts w:hint="eastAsia" w:hAnsi="宋体"/>
                <w:color w:val="auto"/>
                <w:sz w:val="21"/>
                <w:szCs w:val="21"/>
                <w:u w:val="single"/>
              </w:rPr>
              <w:t>.</w:t>
            </w:r>
            <w:r>
              <w:rPr>
                <w:rFonts w:hAnsi="宋体"/>
                <w:color w:val="auto"/>
                <w:sz w:val="21"/>
                <w:szCs w:val="21"/>
                <w:u w:val="single"/>
              </w:rPr>
              <w:t>1</w:t>
            </w:r>
            <w:r>
              <w:rPr>
                <w:rFonts w:hint="eastAsia" w:hAnsi="宋体"/>
                <w:color w:val="auto"/>
                <w:sz w:val="21"/>
                <w:szCs w:val="21"/>
                <w:u w:val="single"/>
              </w:rPr>
              <w:t>4</w:t>
            </w:r>
            <w:r>
              <w:rPr>
                <w:rFonts w:hint="eastAsia" w:hAnsi="宋体"/>
                <w:color w:val="auto"/>
                <w:sz w:val="21"/>
                <w:szCs w:val="21"/>
              </w:rPr>
              <w:t>万元（含税），其中①项目管理服务费最高投标限价：</w:t>
            </w:r>
            <w:r>
              <w:rPr>
                <w:rFonts w:hint="eastAsia" w:hAnsi="宋体"/>
                <w:color w:val="auto"/>
                <w:sz w:val="21"/>
                <w:szCs w:val="21"/>
                <w:u w:val="single"/>
              </w:rPr>
              <w:t>1</w:t>
            </w:r>
            <w:r>
              <w:rPr>
                <w:rFonts w:hAnsi="宋体"/>
                <w:color w:val="auto"/>
                <w:sz w:val="21"/>
                <w:szCs w:val="21"/>
                <w:u w:val="single"/>
              </w:rPr>
              <w:t>39</w:t>
            </w:r>
            <w:r>
              <w:rPr>
                <w:rFonts w:hint="eastAsia" w:hAnsi="宋体"/>
                <w:color w:val="auto"/>
                <w:sz w:val="21"/>
                <w:szCs w:val="21"/>
                <w:u w:val="single"/>
              </w:rPr>
              <w:t>.</w:t>
            </w:r>
            <w:r>
              <w:rPr>
                <w:rFonts w:hAnsi="宋体"/>
                <w:color w:val="auto"/>
                <w:sz w:val="21"/>
                <w:szCs w:val="21"/>
                <w:u w:val="single"/>
              </w:rPr>
              <w:t>85</w:t>
            </w:r>
            <w:r>
              <w:rPr>
                <w:rFonts w:hint="eastAsia" w:hAnsi="宋体"/>
                <w:color w:val="auto"/>
                <w:sz w:val="21"/>
                <w:szCs w:val="21"/>
              </w:rPr>
              <w:t>万元；②工程监理服务费最高投标限价：</w:t>
            </w:r>
            <w:r>
              <w:rPr>
                <w:rFonts w:hint="eastAsia" w:hAnsi="宋体"/>
                <w:color w:val="auto"/>
                <w:sz w:val="21"/>
                <w:szCs w:val="21"/>
                <w:u w:val="single"/>
              </w:rPr>
              <w:t>1</w:t>
            </w:r>
            <w:r>
              <w:rPr>
                <w:rFonts w:hAnsi="宋体"/>
                <w:color w:val="auto"/>
                <w:sz w:val="21"/>
                <w:szCs w:val="21"/>
                <w:u w:val="single"/>
              </w:rPr>
              <w:t>35</w:t>
            </w:r>
            <w:r>
              <w:rPr>
                <w:rFonts w:hint="eastAsia" w:hAnsi="宋体"/>
                <w:color w:val="auto"/>
                <w:sz w:val="21"/>
                <w:szCs w:val="21"/>
                <w:u w:val="single"/>
              </w:rPr>
              <w:t>.</w:t>
            </w:r>
            <w:r>
              <w:rPr>
                <w:rFonts w:hAnsi="宋体"/>
                <w:color w:val="auto"/>
                <w:sz w:val="21"/>
                <w:szCs w:val="21"/>
                <w:u w:val="single"/>
              </w:rPr>
              <w:t>29</w:t>
            </w:r>
            <w:r>
              <w:rPr>
                <w:rFonts w:hint="eastAsia" w:hAnsi="宋体"/>
                <w:color w:val="auto"/>
                <w:sz w:val="21"/>
                <w:szCs w:val="21"/>
              </w:rPr>
              <w:t>万元；</w:t>
            </w:r>
            <w:r>
              <w:rPr>
                <w:rFonts w:hAnsi="宋体"/>
                <w:color w:val="auto"/>
                <w:sz w:val="21"/>
                <w:szCs w:val="21"/>
              </w:rPr>
              <w:t xml:space="preserve"> </w:t>
            </w:r>
          </w:p>
          <w:p>
            <w:pPr>
              <w:pStyle w:val="2"/>
              <w:shd w:val="clear"/>
              <w:snapToGrid w:val="0"/>
              <w:ind w:left="139" w:leftChars="58" w:firstLine="0" w:firstLineChars="0"/>
              <w:rPr>
                <w:rFonts w:hAnsi="宋体" w:eastAsia="宋体"/>
                <w:color w:val="auto"/>
                <w:sz w:val="21"/>
                <w:szCs w:val="21"/>
              </w:rPr>
            </w:pPr>
            <w:r>
              <w:rPr>
                <w:rFonts w:hint="eastAsia" w:hAnsi="宋体" w:eastAsia="宋体"/>
                <w:color w:val="auto"/>
                <w:sz w:val="21"/>
                <w:szCs w:val="21"/>
              </w:rPr>
              <w:t>注：投标报价不得超过最高投标限价、任何一个单项投标报价不得超过相应单项最高投标限价，否则投标无效。</w:t>
            </w:r>
          </w:p>
        </w:tc>
      </w:tr>
      <w:tr>
        <w:tblPrEx>
          <w:tblCellMar>
            <w:top w:w="0" w:type="dxa"/>
            <w:left w:w="0" w:type="dxa"/>
            <w:bottom w:w="0" w:type="dxa"/>
            <w:right w:w="0" w:type="dxa"/>
          </w:tblCellMar>
        </w:tblPrEx>
        <w:trPr>
          <w:trHeight w:val="1202"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rPr>
                <w:rFonts w:hAnsi="宋体"/>
                <w:color w:val="auto"/>
                <w:w w:val="99"/>
                <w:sz w:val="21"/>
                <w:szCs w:val="21"/>
              </w:rPr>
            </w:pPr>
            <w:r>
              <w:rPr>
                <w:rFonts w:hAnsi="宋体"/>
                <w:color w:val="auto"/>
                <w:w w:val="99"/>
                <w:sz w:val="21"/>
                <w:szCs w:val="21"/>
              </w:rPr>
              <w:t>3.2.5</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投标报价的其他要求</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s="宋体"/>
                <w:color w:val="auto"/>
                <w:sz w:val="21"/>
                <w:szCs w:val="21"/>
              </w:rPr>
              <w:t>投标人必须详细审阅全部招标文件及招标相关资料</w:t>
            </w:r>
            <w:r>
              <w:rPr>
                <w:rFonts w:hint="eastAsia" w:hAnsi="宋体"/>
                <w:color w:val="auto"/>
                <w:sz w:val="21"/>
                <w:szCs w:val="21"/>
              </w:rPr>
              <w:t>,</w:t>
            </w:r>
            <w:r>
              <w:rPr>
                <w:rFonts w:hint="eastAsia" w:hAnsi="宋体" w:cs="宋体"/>
                <w:color w:val="auto"/>
                <w:sz w:val="21"/>
                <w:szCs w:val="21"/>
              </w:rPr>
              <w:t>充分考虑职责和义务</w:t>
            </w:r>
            <w:r>
              <w:rPr>
                <w:rFonts w:hint="eastAsia" w:hAnsi="宋体"/>
                <w:color w:val="auto"/>
                <w:sz w:val="21"/>
                <w:szCs w:val="21"/>
              </w:rPr>
              <w:t>,</w:t>
            </w:r>
            <w:r>
              <w:rPr>
                <w:rFonts w:hint="eastAsia" w:hAnsi="宋体" w:cs="宋体"/>
                <w:color w:val="auto"/>
                <w:sz w:val="21"/>
                <w:szCs w:val="21"/>
              </w:rPr>
              <w:t>全面地理解招标文件对投标报价的要求</w:t>
            </w:r>
            <w:r>
              <w:rPr>
                <w:rFonts w:hint="eastAsia" w:hAnsi="宋体"/>
                <w:color w:val="auto"/>
                <w:sz w:val="21"/>
                <w:szCs w:val="21"/>
              </w:rPr>
              <w:t>,</w:t>
            </w:r>
            <w:r>
              <w:rPr>
                <w:rFonts w:hint="eastAsia" w:hAnsi="宋体" w:cs="宋体"/>
                <w:color w:val="auto"/>
                <w:sz w:val="21"/>
                <w:szCs w:val="21"/>
              </w:rPr>
              <w:t>并按招标人提出的条件及内容进行报价。</w:t>
            </w:r>
          </w:p>
        </w:tc>
      </w:tr>
      <w:tr>
        <w:tblPrEx>
          <w:tblCellMar>
            <w:top w:w="0" w:type="dxa"/>
            <w:left w:w="0" w:type="dxa"/>
            <w:bottom w:w="0" w:type="dxa"/>
            <w:right w:w="0" w:type="dxa"/>
          </w:tblCellMar>
        </w:tblPrEx>
        <w:trPr>
          <w:trHeight w:val="502" w:hRule="atLeast"/>
        </w:trPr>
        <w:tc>
          <w:tcPr>
            <w:tcW w:w="1235" w:type="dxa"/>
            <w:tcBorders>
              <w:top w:val="single" w:color="auto" w:sz="8" w:space="0"/>
              <w:left w:val="single" w:color="auto" w:sz="8" w:space="0"/>
              <w:bottom w:val="single" w:color="auto" w:sz="8" w:space="0"/>
              <w:right w:val="single" w:color="auto" w:sz="8" w:space="0"/>
            </w:tcBorders>
            <w:vAlign w:val="bottom"/>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3.3.1</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投标有效期</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w w:val="99"/>
                <w:sz w:val="21"/>
                <w:szCs w:val="21"/>
                <w:u w:val="single"/>
              </w:rPr>
              <w:t>90</w:t>
            </w:r>
            <w:r>
              <w:rPr>
                <w:rFonts w:hint="eastAsia" w:hAnsi="宋体"/>
                <w:color w:val="auto"/>
                <w:sz w:val="21"/>
                <w:szCs w:val="21"/>
              </w:rPr>
              <w:t>日历天（从投标截止之日计起）</w:t>
            </w:r>
          </w:p>
        </w:tc>
      </w:tr>
      <w:tr>
        <w:tblPrEx>
          <w:tblCellMar>
            <w:top w:w="0" w:type="dxa"/>
            <w:left w:w="0" w:type="dxa"/>
            <w:bottom w:w="0" w:type="dxa"/>
            <w:right w:w="0" w:type="dxa"/>
          </w:tblCellMar>
        </w:tblPrEx>
        <w:trPr>
          <w:trHeight w:val="694"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3.4.1</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投标保证金</w:t>
            </w:r>
          </w:p>
        </w:tc>
        <w:tc>
          <w:tcPr>
            <w:tcW w:w="5002" w:type="dxa"/>
            <w:tcBorders>
              <w:top w:val="single" w:color="auto" w:sz="8" w:space="0"/>
              <w:left w:val="single" w:color="auto" w:sz="8" w:space="0"/>
              <w:bottom w:val="single" w:color="auto" w:sz="8" w:space="0"/>
              <w:right w:val="single" w:color="auto" w:sz="8" w:space="0"/>
            </w:tcBorders>
            <w:vAlign w:val="center"/>
          </w:tcPr>
          <w:p>
            <w:pPr>
              <w:pStyle w:val="14"/>
              <w:shd w:val="clear"/>
              <w:topLinePunct/>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是否要求投标人递交投标保证金：</w:t>
            </w:r>
          </w:p>
          <w:p>
            <w:pPr>
              <w:pStyle w:val="14"/>
              <w:shd w:val="clear"/>
              <w:topLinePunct/>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lang w:bidi="ar"/>
              </w:rPr>
              <w:t>☑</w:t>
            </w:r>
            <w:r>
              <w:rPr>
                <w:rFonts w:hint="eastAsia" w:hAnsi="宋体"/>
                <w:color w:val="auto"/>
                <w:sz w:val="21"/>
                <w:szCs w:val="21"/>
              </w:rPr>
              <w:t>不要求递交投标保证金。</w:t>
            </w:r>
          </w:p>
          <w:p>
            <w:pPr>
              <w:pStyle w:val="14"/>
              <w:shd w:val="clear"/>
              <w:topLinePunct/>
              <w:spacing w:line="312" w:lineRule="auto"/>
              <w:ind w:left="120" w:leftChars="50" w:right="120" w:rightChars="50" w:firstLine="0" w:firstLineChars="0"/>
              <w:jc w:val="left"/>
              <w:rPr>
                <w:rFonts w:hAnsi="宋体"/>
                <w:color w:val="auto"/>
                <w:sz w:val="21"/>
                <w:szCs w:val="21"/>
              </w:rPr>
            </w:pPr>
            <w:r>
              <w:rPr>
                <w:rFonts w:hAnsi="宋体"/>
                <w:color w:val="auto"/>
                <w:sz w:val="21"/>
                <w:szCs w:val="21"/>
                <w:lang w:bidi="ar"/>
              </w:rPr>
              <w:t>□</w:t>
            </w:r>
            <w:r>
              <w:rPr>
                <w:rFonts w:hint="eastAsia" w:hAnsi="宋体"/>
                <w:color w:val="auto"/>
                <w:sz w:val="21"/>
                <w:szCs w:val="21"/>
              </w:rPr>
              <w:t>要求递交投标保证金。</w:t>
            </w:r>
          </w:p>
          <w:p>
            <w:pPr>
              <w:pStyle w:val="14"/>
              <w:shd w:val="clear"/>
              <w:topLinePunct/>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投标保证金的金额：</w:t>
            </w:r>
            <w:r>
              <w:rPr>
                <w:rFonts w:hint="eastAsia" w:hAnsi="宋体"/>
                <w:color w:val="auto"/>
                <w:sz w:val="21"/>
                <w:szCs w:val="21"/>
                <w:u w:val="single"/>
              </w:rPr>
              <w:t>/</w:t>
            </w:r>
            <w:r>
              <w:rPr>
                <w:rFonts w:hint="eastAsia" w:hAnsi="宋体"/>
                <w:color w:val="auto"/>
                <w:sz w:val="21"/>
                <w:szCs w:val="21"/>
              </w:rPr>
              <w:t xml:space="preserve">万元 </w:t>
            </w:r>
          </w:p>
        </w:tc>
      </w:tr>
      <w:tr>
        <w:tblPrEx>
          <w:tblCellMar>
            <w:top w:w="0" w:type="dxa"/>
            <w:left w:w="0" w:type="dxa"/>
            <w:bottom w:w="0" w:type="dxa"/>
            <w:right w:w="0" w:type="dxa"/>
          </w:tblCellMar>
        </w:tblPrEx>
        <w:trPr>
          <w:trHeight w:val="344"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3.4.4</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其他可以不予退还投标保证金的情形</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u w:val="single"/>
              </w:rPr>
            </w:pPr>
            <w:r>
              <w:rPr>
                <w:rFonts w:hint="eastAsia" w:hAnsi="宋体"/>
                <w:color w:val="auto"/>
                <w:sz w:val="21"/>
                <w:szCs w:val="21"/>
              </w:rPr>
              <w:t>/</w:t>
            </w:r>
          </w:p>
        </w:tc>
      </w:tr>
      <w:tr>
        <w:tblPrEx>
          <w:tblCellMar>
            <w:top w:w="0" w:type="dxa"/>
            <w:left w:w="0" w:type="dxa"/>
            <w:bottom w:w="0" w:type="dxa"/>
            <w:right w:w="0" w:type="dxa"/>
          </w:tblCellMar>
        </w:tblPrEx>
        <w:trPr>
          <w:trHeight w:val="985"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8"/>
                <w:sz w:val="21"/>
                <w:szCs w:val="21"/>
              </w:rPr>
            </w:pPr>
            <w:r>
              <w:rPr>
                <w:rFonts w:hAnsi="宋体"/>
                <w:color w:val="auto"/>
                <w:w w:val="98"/>
                <w:sz w:val="21"/>
                <w:szCs w:val="21"/>
              </w:rPr>
              <w:t>3.5</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资格审查资料的特殊要求</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w:t>
            </w:r>
            <w:r>
              <w:rPr>
                <w:rFonts w:hAnsi="宋体"/>
                <w:color w:val="auto"/>
                <w:sz w:val="21"/>
                <w:szCs w:val="21"/>
              </w:rPr>
              <w:t>无</w:t>
            </w:r>
          </w:p>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□有，具体要求：</w:t>
            </w:r>
          </w:p>
        </w:tc>
      </w:tr>
      <w:tr>
        <w:tblPrEx>
          <w:tblCellMar>
            <w:top w:w="0" w:type="dxa"/>
            <w:left w:w="0" w:type="dxa"/>
            <w:bottom w:w="0" w:type="dxa"/>
            <w:right w:w="0" w:type="dxa"/>
          </w:tblCellMar>
        </w:tblPrEx>
        <w:trPr>
          <w:trHeight w:val="798"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3.5.2</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近年财务状况的年份要求</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w w:val="99"/>
                <w:sz w:val="21"/>
                <w:szCs w:val="21"/>
                <w:u w:val="single"/>
              </w:rPr>
              <w:t>/</w:t>
            </w:r>
          </w:p>
        </w:tc>
      </w:tr>
      <w:tr>
        <w:tblPrEx>
          <w:tblCellMar>
            <w:top w:w="0" w:type="dxa"/>
            <w:left w:w="0" w:type="dxa"/>
            <w:bottom w:w="0" w:type="dxa"/>
            <w:right w:w="0" w:type="dxa"/>
          </w:tblCellMar>
        </w:tblPrEx>
        <w:trPr>
          <w:trHeight w:val="848"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3.5.3</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近年完成的类似项目情况的时间要求</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5"/>
                <w:sz w:val="21"/>
                <w:szCs w:val="21"/>
              </w:rPr>
            </w:pPr>
            <w:r>
              <w:rPr>
                <w:rFonts w:hint="eastAsia" w:hAnsi="宋体"/>
                <w:color w:val="auto"/>
                <w:w w:val="99"/>
                <w:sz w:val="21"/>
                <w:szCs w:val="21"/>
                <w:u w:val="single"/>
              </w:rPr>
              <w:t xml:space="preserve">  /   </w:t>
            </w:r>
            <w:r>
              <w:rPr>
                <w:rFonts w:hAnsi="宋体"/>
                <w:color w:val="auto"/>
                <w:sz w:val="21"/>
                <w:szCs w:val="21"/>
              </w:rPr>
              <w:t>年</w:t>
            </w:r>
            <w:r>
              <w:rPr>
                <w:rFonts w:hint="eastAsia" w:hAnsi="宋体"/>
                <w:color w:val="auto"/>
                <w:w w:val="99"/>
                <w:sz w:val="21"/>
                <w:szCs w:val="21"/>
                <w:u w:val="single"/>
              </w:rPr>
              <w:t xml:space="preserve">  /  </w:t>
            </w:r>
            <w:r>
              <w:rPr>
                <w:rFonts w:hAnsi="宋体"/>
                <w:color w:val="auto"/>
                <w:sz w:val="21"/>
                <w:szCs w:val="21"/>
              </w:rPr>
              <w:t>月</w:t>
            </w:r>
            <w:r>
              <w:rPr>
                <w:rFonts w:hint="eastAsia" w:hAnsi="宋体"/>
                <w:color w:val="auto"/>
                <w:w w:val="99"/>
                <w:sz w:val="21"/>
                <w:szCs w:val="21"/>
                <w:u w:val="single"/>
              </w:rPr>
              <w:t xml:space="preserve">  /   </w:t>
            </w:r>
            <w:r>
              <w:rPr>
                <w:rFonts w:hAnsi="宋体"/>
                <w:color w:val="auto"/>
                <w:sz w:val="21"/>
                <w:szCs w:val="21"/>
              </w:rPr>
              <w:t>日</w:t>
            </w:r>
          </w:p>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至</w:t>
            </w:r>
            <w:r>
              <w:rPr>
                <w:rFonts w:hint="eastAsia" w:hAnsi="宋体"/>
                <w:color w:val="auto"/>
                <w:w w:val="99"/>
                <w:sz w:val="21"/>
                <w:szCs w:val="21"/>
                <w:u w:val="single"/>
              </w:rPr>
              <w:t xml:space="preserve">   / </w:t>
            </w:r>
            <w:r>
              <w:rPr>
                <w:rFonts w:hAnsi="宋体"/>
                <w:color w:val="auto"/>
                <w:sz w:val="21"/>
                <w:szCs w:val="21"/>
              </w:rPr>
              <w:t>年</w:t>
            </w:r>
            <w:r>
              <w:rPr>
                <w:rFonts w:hint="eastAsia" w:hAnsi="宋体"/>
                <w:color w:val="auto"/>
                <w:w w:val="99"/>
                <w:sz w:val="21"/>
                <w:szCs w:val="21"/>
                <w:u w:val="single"/>
              </w:rPr>
              <w:t xml:space="preserve">  /  </w:t>
            </w:r>
            <w:r>
              <w:rPr>
                <w:rFonts w:hAnsi="宋体"/>
                <w:color w:val="auto"/>
                <w:sz w:val="21"/>
                <w:szCs w:val="21"/>
              </w:rPr>
              <w:t>月</w:t>
            </w:r>
            <w:r>
              <w:rPr>
                <w:rFonts w:hint="eastAsia" w:hAnsi="宋体"/>
                <w:color w:val="auto"/>
                <w:w w:val="99"/>
                <w:sz w:val="21"/>
                <w:szCs w:val="21"/>
                <w:u w:val="single"/>
              </w:rPr>
              <w:t xml:space="preserve">   /  </w:t>
            </w:r>
            <w:r>
              <w:rPr>
                <w:rFonts w:hAnsi="宋体"/>
                <w:color w:val="auto"/>
                <w:sz w:val="21"/>
                <w:szCs w:val="21"/>
              </w:rPr>
              <w:t>日</w:t>
            </w:r>
          </w:p>
        </w:tc>
      </w:tr>
      <w:tr>
        <w:tblPrEx>
          <w:tblCellMar>
            <w:top w:w="0" w:type="dxa"/>
            <w:left w:w="0" w:type="dxa"/>
            <w:bottom w:w="0" w:type="dxa"/>
            <w:right w:w="0" w:type="dxa"/>
          </w:tblCellMar>
        </w:tblPrEx>
        <w:trPr>
          <w:trHeight w:val="771"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3.6.1</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是否允许递交备选投标方案</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w:t>
            </w:r>
            <w:r>
              <w:rPr>
                <w:rFonts w:hAnsi="宋体"/>
                <w:color w:val="auto"/>
                <w:sz w:val="21"/>
                <w:szCs w:val="21"/>
              </w:rPr>
              <w:t>不允许</w:t>
            </w:r>
          </w:p>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□允许</w:t>
            </w:r>
          </w:p>
        </w:tc>
      </w:tr>
      <w:tr>
        <w:tblPrEx>
          <w:tblCellMar>
            <w:top w:w="0" w:type="dxa"/>
            <w:left w:w="0" w:type="dxa"/>
            <w:bottom w:w="0" w:type="dxa"/>
            <w:right w:w="0" w:type="dxa"/>
          </w:tblCellMar>
        </w:tblPrEx>
        <w:trPr>
          <w:trHeight w:val="640"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3.7.3（B）</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投标文件所附证书证件要求</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证书证件需为原件清晰扫描件，并采用单位数字证书，按照招标文件要求在相应位置加盖电子印章。</w:t>
            </w:r>
          </w:p>
        </w:tc>
      </w:tr>
      <w:tr>
        <w:tblPrEx>
          <w:tblCellMar>
            <w:top w:w="0" w:type="dxa"/>
            <w:left w:w="0" w:type="dxa"/>
            <w:bottom w:w="0" w:type="dxa"/>
            <w:right w:w="0" w:type="dxa"/>
          </w:tblCellMar>
        </w:tblPrEx>
        <w:trPr>
          <w:trHeight w:val="359"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3.7.3（B）</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sz w:val="21"/>
                <w:szCs w:val="21"/>
              </w:rPr>
              <w:t>投标文件签字或盖章要求</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1、投标文件全部采用电子文档，投标文件所附证书证件均为原件扫描件，并采用单位数字证书，按招标文件要求在相应位置加盖电子印章。投标文件中需个人签字或盖章的，应加盖个人电子印章或在线下完成后扫描上传。</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2、具体操作详见广州交易集团有限公司（广州公共资源交易中心）网站最新发布的《房屋建筑和市政基础设施工程全流程电子化项目专章》。</w:t>
            </w:r>
          </w:p>
        </w:tc>
      </w:tr>
      <w:tr>
        <w:tblPrEx>
          <w:tblCellMar>
            <w:top w:w="0" w:type="dxa"/>
            <w:left w:w="0" w:type="dxa"/>
            <w:bottom w:w="0" w:type="dxa"/>
            <w:right w:w="0" w:type="dxa"/>
          </w:tblCellMar>
        </w:tblPrEx>
        <w:trPr>
          <w:trHeight w:val="737" w:hRule="atLeast"/>
        </w:trPr>
        <w:tc>
          <w:tcPr>
            <w:tcW w:w="1235" w:type="dxa"/>
            <w:tcBorders>
              <w:top w:val="single" w:color="auto" w:sz="8" w:space="0"/>
              <w:left w:val="single" w:color="auto" w:sz="8" w:space="0"/>
              <w:bottom w:val="single" w:color="auto" w:sz="4"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4.1.1（B）</w:t>
            </w:r>
          </w:p>
        </w:tc>
        <w:tc>
          <w:tcPr>
            <w:tcW w:w="3160" w:type="dxa"/>
            <w:tcBorders>
              <w:top w:val="single" w:color="auto" w:sz="8" w:space="0"/>
              <w:left w:val="single" w:color="auto" w:sz="8" w:space="0"/>
              <w:bottom w:val="single" w:color="auto" w:sz="4"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投标文件加密要求</w:t>
            </w:r>
          </w:p>
        </w:tc>
        <w:tc>
          <w:tcPr>
            <w:tcW w:w="5002" w:type="dxa"/>
            <w:tcBorders>
              <w:top w:val="single" w:color="auto" w:sz="8" w:space="0"/>
              <w:left w:val="single" w:color="auto" w:sz="8" w:space="0"/>
              <w:bottom w:val="single" w:color="auto" w:sz="4"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kern w:val="2"/>
                <w:sz w:val="21"/>
                <w:szCs w:val="21"/>
                <w:u w:val="single"/>
              </w:rPr>
              <w:t>网上递交的电子投标文件须进行加密。具体操作详见广州交易集团有限公司（广州公共资源交易中心）最新指引。</w:t>
            </w:r>
          </w:p>
        </w:tc>
      </w:tr>
      <w:tr>
        <w:tblPrEx>
          <w:tblCellMar>
            <w:top w:w="0" w:type="dxa"/>
            <w:left w:w="0" w:type="dxa"/>
            <w:bottom w:w="0" w:type="dxa"/>
            <w:right w:w="0" w:type="dxa"/>
          </w:tblCellMar>
        </w:tblPrEx>
        <w:trPr>
          <w:trHeight w:val="487" w:hRule="atLeast"/>
        </w:trPr>
        <w:tc>
          <w:tcPr>
            <w:tcW w:w="1235" w:type="dxa"/>
            <w:tcBorders>
              <w:top w:val="single" w:color="auto" w:sz="4" w:space="0"/>
              <w:left w:val="single" w:color="auto" w:sz="4" w:space="0"/>
              <w:bottom w:val="single" w:color="auto" w:sz="4" w:space="0"/>
              <w:right w:val="single" w:color="auto" w:sz="4"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4.1.2</w:t>
            </w:r>
          </w:p>
        </w:tc>
        <w:tc>
          <w:tcPr>
            <w:tcW w:w="3160" w:type="dxa"/>
            <w:tcBorders>
              <w:top w:val="single" w:color="auto" w:sz="4" w:space="0"/>
              <w:left w:val="single" w:color="auto" w:sz="4" w:space="0"/>
              <w:bottom w:val="single" w:color="auto" w:sz="4" w:space="0"/>
              <w:right w:val="single" w:color="auto" w:sz="4"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封套上应载明的信息</w:t>
            </w:r>
          </w:p>
        </w:tc>
        <w:tc>
          <w:tcPr>
            <w:tcW w:w="5002" w:type="dxa"/>
            <w:tcBorders>
              <w:top w:val="single" w:color="auto" w:sz="4" w:space="0"/>
              <w:left w:val="single" w:color="auto" w:sz="4" w:space="0"/>
              <w:bottom w:val="single" w:color="auto" w:sz="4" w:space="0"/>
              <w:right w:val="single" w:color="auto" w:sz="4"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如有提交投标文件光盘备用，封套上应注明如下信息：</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招标人名称：</w:t>
            </w:r>
          </w:p>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u w:val="single"/>
              </w:rPr>
              <w:t xml:space="preserve">          </w:t>
            </w:r>
            <w:r>
              <w:rPr>
                <w:rFonts w:hint="eastAsia" w:hAnsi="宋体"/>
                <w:color w:val="auto"/>
                <w:sz w:val="21"/>
                <w:szCs w:val="21"/>
              </w:rPr>
              <w:t>（项目名称）招标项目投标文件</w:t>
            </w:r>
          </w:p>
          <w:p>
            <w:pPr>
              <w:shd w:val="clear"/>
              <w:spacing w:line="312" w:lineRule="auto"/>
              <w:ind w:left="120" w:leftChars="50" w:right="120" w:rightChars="50" w:firstLine="0" w:firstLineChars="0"/>
              <w:jc w:val="left"/>
              <w:rPr>
                <w:rFonts w:hAnsi="宋体"/>
                <w:color w:val="auto"/>
                <w:sz w:val="21"/>
                <w:szCs w:val="21"/>
                <w:u w:val="single"/>
              </w:rPr>
            </w:pPr>
            <w:r>
              <w:rPr>
                <w:rFonts w:hint="eastAsia" w:hAnsi="宋体"/>
                <w:color w:val="auto"/>
                <w:sz w:val="21"/>
                <w:szCs w:val="21"/>
              </w:rPr>
              <w:t>招标项目编号：</w:t>
            </w:r>
            <w:r>
              <w:rPr>
                <w:rFonts w:hint="eastAsia" w:hAnsi="宋体"/>
                <w:color w:val="auto"/>
                <w:sz w:val="21"/>
                <w:szCs w:val="21"/>
                <w:u w:val="single"/>
              </w:rPr>
              <w:t xml:space="preserve">            </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在</w:t>
            </w:r>
            <w:r>
              <w:rPr>
                <w:rFonts w:hAnsi="宋体"/>
                <w:color w:val="auto"/>
                <w:sz w:val="21"/>
                <w:szCs w:val="21"/>
                <w:u w:val="single"/>
              </w:rPr>
              <w:t xml:space="preserve">    </w:t>
            </w:r>
            <w:r>
              <w:rPr>
                <w:rFonts w:hint="eastAsia" w:hAnsi="宋体"/>
                <w:color w:val="auto"/>
                <w:sz w:val="21"/>
                <w:szCs w:val="21"/>
              </w:rPr>
              <w:t>年</w:t>
            </w:r>
            <w:r>
              <w:rPr>
                <w:rFonts w:hAnsi="宋体"/>
                <w:color w:val="auto"/>
                <w:sz w:val="21"/>
                <w:szCs w:val="21"/>
                <w:u w:val="single"/>
              </w:rPr>
              <w:t xml:space="preserve">    </w:t>
            </w:r>
            <w:r>
              <w:rPr>
                <w:rFonts w:hint="eastAsia" w:hAnsi="宋体"/>
                <w:color w:val="auto"/>
                <w:sz w:val="21"/>
                <w:szCs w:val="21"/>
              </w:rPr>
              <w:t>月</w:t>
            </w:r>
            <w:r>
              <w:rPr>
                <w:rFonts w:hAnsi="宋体"/>
                <w:color w:val="auto"/>
                <w:sz w:val="21"/>
                <w:szCs w:val="21"/>
                <w:u w:val="single"/>
              </w:rPr>
              <w:t xml:space="preserve">    </w:t>
            </w:r>
            <w:r>
              <w:rPr>
                <w:rFonts w:hint="eastAsia" w:hAnsi="宋体"/>
                <w:color w:val="auto"/>
                <w:sz w:val="21"/>
                <w:szCs w:val="21"/>
              </w:rPr>
              <w:t>日</w:t>
            </w:r>
            <w:r>
              <w:rPr>
                <w:rFonts w:hAnsi="宋体"/>
                <w:color w:val="auto"/>
                <w:sz w:val="21"/>
                <w:szCs w:val="21"/>
                <w:u w:val="single"/>
              </w:rPr>
              <w:t xml:space="preserve">    </w:t>
            </w:r>
            <w:r>
              <w:rPr>
                <w:rFonts w:hint="eastAsia" w:hAnsi="宋体"/>
                <w:color w:val="auto"/>
                <w:sz w:val="21"/>
                <w:szCs w:val="21"/>
              </w:rPr>
              <w:t>时前不得开启（按投标截止时间）</w:t>
            </w:r>
          </w:p>
        </w:tc>
      </w:tr>
      <w:tr>
        <w:tblPrEx>
          <w:tblCellMar>
            <w:top w:w="0" w:type="dxa"/>
            <w:left w:w="0" w:type="dxa"/>
            <w:bottom w:w="0" w:type="dxa"/>
            <w:right w:w="0" w:type="dxa"/>
          </w:tblCellMar>
        </w:tblPrEx>
        <w:trPr>
          <w:trHeight w:val="912" w:hRule="atLeast"/>
        </w:trPr>
        <w:tc>
          <w:tcPr>
            <w:tcW w:w="1235" w:type="dxa"/>
            <w:tcBorders>
              <w:top w:val="single" w:color="auto" w:sz="4"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4.2.1</w:t>
            </w:r>
          </w:p>
        </w:tc>
        <w:tc>
          <w:tcPr>
            <w:tcW w:w="3160" w:type="dxa"/>
            <w:tcBorders>
              <w:top w:val="single" w:color="auto" w:sz="4"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sz w:val="21"/>
                <w:szCs w:val="21"/>
              </w:rPr>
              <w:t>投标截止时间</w:t>
            </w:r>
          </w:p>
        </w:tc>
        <w:tc>
          <w:tcPr>
            <w:tcW w:w="5002" w:type="dxa"/>
            <w:tcBorders>
              <w:top w:val="single" w:color="auto" w:sz="4" w:space="0"/>
              <w:left w:val="single" w:color="auto" w:sz="8" w:space="0"/>
              <w:bottom w:val="single" w:color="auto" w:sz="8" w:space="0"/>
              <w:right w:val="single" w:color="auto" w:sz="8" w:space="0"/>
            </w:tcBorders>
            <w:vAlign w:val="bottom"/>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 xml:space="preserve"> </w:t>
            </w:r>
            <w:r>
              <w:rPr>
                <w:rFonts w:hint="eastAsia" w:hAnsi="宋体"/>
                <w:color w:val="auto"/>
                <w:sz w:val="21"/>
                <w:szCs w:val="21"/>
                <w:u w:val="single"/>
              </w:rPr>
              <w:t xml:space="preserve">  2023  </w:t>
            </w:r>
            <w:r>
              <w:rPr>
                <w:rFonts w:hint="eastAsia" w:hAnsi="宋体"/>
                <w:color w:val="auto"/>
                <w:sz w:val="21"/>
                <w:szCs w:val="21"/>
              </w:rPr>
              <w:t>年</w:t>
            </w:r>
            <w:r>
              <w:rPr>
                <w:rFonts w:hint="eastAsia" w:hAnsi="宋体"/>
                <w:color w:val="auto"/>
                <w:sz w:val="21"/>
                <w:szCs w:val="21"/>
                <w:u w:val="single"/>
              </w:rPr>
              <w:t xml:space="preserve">   </w:t>
            </w:r>
            <w:r>
              <w:rPr>
                <w:rFonts w:hint="eastAsia" w:hAnsi="宋体"/>
                <w:color w:val="auto"/>
                <w:sz w:val="21"/>
                <w:szCs w:val="21"/>
              </w:rPr>
              <w:t>月</w:t>
            </w:r>
            <w:r>
              <w:rPr>
                <w:rFonts w:hint="eastAsia" w:hAnsi="宋体"/>
                <w:color w:val="auto"/>
                <w:sz w:val="21"/>
                <w:szCs w:val="21"/>
                <w:u w:val="single"/>
              </w:rPr>
              <w:t xml:space="preserve">   </w:t>
            </w:r>
            <w:r>
              <w:rPr>
                <w:rFonts w:hint="eastAsia" w:hAnsi="宋体"/>
                <w:color w:val="auto"/>
                <w:sz w:val="21"/>
                <w:szCs w:val="21"/>
              </w:rPr>
              <w:t>日</w:t>
            </w:r>
            <w:r>
              <w:rPr>
                <w:rFonts w:hint="eastAsia" w:hAnsi="宋体"/>
                <w:color w:val="auto"/>
                <w:sz w:val="21"/>
                <w:szCs w:val="21"/>
                <w:u w:val="single"/>
              </w:rPr>
              <w:t xml:space="preserve">    </w:t>
            </w:r>
            <w:r>
              <w:rPr>
                <w:rFonts w:hint="eastAsia" w:hAnsi="宋体"/>
                <w:color w:val="auto"/>
                <w:sz w:val="21"/>
                <w:szCs w:val="21"/>
              </w:rPr>
              <w:t>时</w:t>
            </w:r>
            <w:r>
              <w:rPr>
                <w:rFonts w:hint="eastAsia" w:hAnsi="宋体"/>
                <w:color w:val="auto"/>
                <w:sz w:val="21"/>
                <w:szCs w:val="21"/>
                <w:u w:val="single"/>
              </w:rPr>
              <w:t xml:space="preserve">    </w:t>
            </w:r>
            <w:r>
              <w:rPr>
                <w:rFonts w:hint="eastAsia" w:hAnsi="宋体"/>
                <w:color w:val="auto"/>
                <w:sz w:val="21"/>
                <w:szCs w:val="21"/>
              </w:rPr>
              <w:t>分（北京时间）</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（详见广州交易集团有限公司（广州公共资源交易中心）网站信息）</w:t>
            </w:r>
          </w:p>
        </w:tc>
      </w:tr>
      <w:tr>
        <w:tblPrEx>
          <w:tblCellMar>
            <w:top w:w="0" w:type="dxa"/>
            <w:left w:w="0" w:type="dxa"/>
            <w:bottom w:w="0" w:type="dxa"/>
            <w:right w:w="0" w:type="dxa"/>
          </w:tblCellMar>
        </w:tblPrEx>
        <w:trPr>
          <w:trHeight w:val="1775"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napToGrid w:val="0"/>
              <w:spacing w:line="312" w:lineRule="auto"/>
              <w:ind w:left="120" w:leftChars="50" w:right="120" w:rightChars="50" w:firstLine="0" w:firstLineChars="0"/>
              <w:jc w:val="left"/>
              <w:rPr>
                <w:rFonts w:hAnsi="宋体"/>
                <w:color w:val="auto"/>
                <w:sz w:val="21"/>
                <w:szCs w:val="21"/>
              </w:rPr>
            </w:pPr>
            <w:r>
              <w:rPr>
                <w:rFonts w:hAnsi="宋体"/>
                <w:color w:val="auto"/>
                <w:sz w:val="21"/>
                <w:szCs w:val="21"/>
              </w:rPr>
              <w:t>4.2.2</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napToGrid w:val="0"/>
              <w:spacing w:line="312" w:lineRule="auto"/>
              <w:ind w:left="120" w:leftChars="50" w:right="120" w:rightChars="50" w:firstLine="0" w:firstLineChars="0"/>
              <w:jc w:val="left"/>
              <w:rPr>
                <w:rFonts w:hAnsi="宋体"/>
                <w:color w:val="auto"/>
                <w:sz w:val="21"/>
                <w:szCs w:val="21"/>
              </w:rPr>
            </w:pPr>
            <w:r>
              <w:rPr>
                <w:rFonts w:hAnsi="宋体"/>
                <w:color w:val="auto"/>
                <w:sz w:val="21"/>
                <w:szCs w:val="21"/>
              </w:rPr>
              <w:t>递交</w:t>
            </w:r>
            <w:r>
              <w:rPr>
                <w:rFonts w:hint="eastAsia" w:hAnsi="宋体"/>
                <w:color w:val="auto"/>
                <w:sz w:val="21"/>
                <w:szCs w:val="21"/>
              </w:rPr>
              <w:t>电子</w:t>
            </w:r>
            <w:r>
              <w:rPr>
                <w:rFonts w:hAnsi="宋体"/>
                <w:color w:val="auto"/>
                <w:sz w:val="21"/>
                <w:szCs w:val="21"/>
              </w:rPr>
              <w:t>投标文件</w:t>
            </w:r>
            <w:r>
              <w:rPr>
                <w:rFonts w:hint="eastAsia" w:hAnsi="宋体"/>
                <w:color w:val="auto"/>
                <w:sz w:val="21"/>
                <w:szCs w:val="21"/>
              </w:rPr>
              <w:t>交易平台</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napToGrid w:val="0"/>
              <w:spacing w:line="312" w:lineRule="auto"/>
              <w:ind w:left="120" w:leftChars="50" w:right="120" w:rightChars="50" w:firstLine="0" w:firstLineChars="0"/>
              <w:jc w:val="left"/>
              <w:rPr>
                <w:rFonts w:hAnsi="宋体"/>
                <w:color w:val="auto"/>
                <w:sz w:val="21"/>
                <w:szCs w:val="21"/>
                <w:u w:val="single"/>
              </w:rPr>
            </w:pPr>
            <w:r>
              <w:rPr>
                <w:rFonts w:hint="eastAsia" w:hAnsi="宋体"/>
                <w:color w:val="auto"/>
                <w:sz w:val="21"/>
                <w:szCs w:val="21"/>
                <w:u w:val="single"/>
              </w:rPr>
              <w:t xml:space="preserve">1.递交方式：网上递交投标文件 </w:t>
            </w:r>
          </w:p>
          <w:p>
            <w:pPr>
              <w:shd w:val="clear"/>
              <w:snapToGrid w:val="0"/>
              <w:spacing w:line="312" w:lineRule="auto"/>
              <w:ind w:left="120" w:leftChars="50" w:right="120" w:rightChars="50" w:firstLine="0" w:firstLineChars="0"/>
              <w:jc w:val="left"/>
              <w:rPr>
                <w:rFonts w:hAnsi="宋体"/>
                <w:color w:val="auto"/>
                <w:sz w:val="21"/>
                <w:szCs w:val="21"/>
                <w:u w:val="single"/>
              </w:rPr>
            </w:pPr>
            <w:r>
              <w:rPr>
                <w:rFonts w:hint="eastAsia" w:hAnsi="宋体"/>
                <w:color w:val="auto"/>
                <w:sz w:val="21"/>
                <w:szCs w:val="21"/>
                <w:u w:val="single"/>
              </w:rPr>
              <w:t>2.交易平台：广州交易集团有限公司（广州公共资源交易中心）网站。</w:t>
            </w:r>
          </w:p>
          <w:p>
            <w:pPr>
              <w:shd w:val="clear"/>
              <w:snapToGrid w:val="0"/>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u w:val="single"/>
              </w:rPr>
              <w:t>3.上述时间是否有改变，请密切留意招标答疑纪要的相关信息。</w:t>
            </w:r>
          </w:p>
        </w:tc>
      </w:tr>
      <w:tr>
        <w:tblPrEx>
          <w:tblCellMar>
            <w:top w:w="0" w:type="dxa"/>
            <w:left w:w="0" w:type="dxa"/>
            <w:bottom w:w="0" w:type="dxa"/>
            <w:right w:w="0" w:type="dxa"/>
          </w:tblCellMar>
        </w:tblPrEx>
        <w:trPr>
          <w:trHeight w:val="380"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4.2.3</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投标文件是否退还</w:t>
            </w:r>
          </w:p>
        </w:tc>
        <w:tc>
          <w:tcPr>
            <w:tcW w:w="5002" w:type="dxa"/>
            <w:tcBorders>
              <w:top w:val="single" w:color="auto" w:sz="8" w:space="0"/>
              <w:left w:val="single" w:color="auto" w:sz="8" w:space="0"/>
              <w:bottom w:val="single" w:color="auto" w:sz="8" w:space="0"/>
              <w:right w:val="single" w:color="auto" w:sz="8" w:space="0"/>
            </w:tcBorders>
            <w:vAlign w:val="bottom"/>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w:t>
            </w:r>
            <w:r>
              <w:rPr>
                <w:rFonts w:hAnsi="宋体"/>
                <w:color w:val="auto"/>
                <w:sz w:val="21"/>
                <w:szCs w:val="21"/>
              </w:rPr>
              <w:t>否</w:t>
            </w:r>
          </w:p>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□是，退还时间：</w:t>
            </w:r>
          </w:p>
        </w:tc>
      </w:tr>
      <w:tr>
        <w:tblPrEx>
          <w:tblCellMar>
            <w:top w:w="0" w:type="dxa"/>
            <w:left w:w="0" w:type="dxa"/>
            <w:bottom w:w="0" w:type="dxa"/>
            <w:right w:w="0" w:type="dxa"/>
          </w:tblCellMar>
        </w:tblPrEx>
        <w:trPr>
          <w:trHeight w:val="2330"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5.1</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sz w:val="21"/>
                <w:szCs w:val="21"/>
              </w:rPr>
              <w:t>开标时间和地点</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276" w:lineRule="auto"/>
              <w:ind w:left="120" w:leftChars="50" w:right="120" w:rightChars="50" w:firstLine="0" w:firstLineChars="0"/>
              <w:jc w:val="left"/>
              <w:rPr>
                <w:rFonts w:hAnsi="宋体"/>
                <w:color w:val="auto"/>
                <w:sz w:val="21"/>
                <w:szCs w:val="21"/>
              </w:rPr>
            </w:pPr>
            <w:r>
              <w:rPr>
                <w:rFonts w:hAnsi="宋体"/>
                <w:color w:val="auto"/>
                <w:sz w:val="21"/>
                <w:szCs w:val="21"/>
              </w:rPr>
              <w:t>开标时间：同投标截止时间</w:t>
            </w:r>
          </w:p>
          <w:p>
            <w:pPr>
              <w:shd w:val="clear"/>
              <w:spacing w:line="276" w:lineRule="auto"/>
              <w:ind w:left="120" w:leftChars="50" w:right="120" w:rightChars="50" w:firstLine="0" w:firstLineChars="0"/>
              <w:jc w:val="left"/>
              <w:rPr>
                <w:rFonts w:hAnsi="宋体"/>
                <w:color w:val="auto"/>
                <w:sz w:val="21"/>
                <w:szCs w:val="21"/>
              </w:rPr>
            </w:pPr>
            <w:r>
              <w:rPr>
                <w:rFonts w:hint="eastAsia" w:hAnsi="宋体"/>
                <w:color w:val="auto"/>
                <w:sz w:val="21"/>
                <w:szCs w:val="21"/>
              </w:rPr>
              <w:t>开标地点：广州交易集团有限公司（广州公共资源交易中心）（广州市天河区天润路333号）</w:t>
            </w:r>
          </w:p>
          <w:p>
            <w:pPr>
              <w:shd w:val="clear"/>
              <w:spacing w:line="276" w:lineRule="auto"/>
              <w:ind w:left="120" w:leftChars="50" w:right="120" w:rightChars="50" w:firstLine="0" w:firstLineChars="0"/>
              <w:jc w:val="left"/>
              <w:rPr>
                <w:rFonts w:hAnsi="宋体"/>
                <w:color w:val="auto"/>
                <w:sz w:val="21"/>
                <w:szCs w:val="21"/>
              </w:rPr>
            </w:pPr>
            <w:r>
              <w:rPr>
                <w:rFonts w:hint="eastAsia" w:hAnsi="宋体"/>
                <w:color w:val="auto"/>
                <w:sz w:val="21"/>
                <w:szCs w:val="21"/>
              </w:rPr>
              <w:t>详见广州交易集团有限公司（广州公共资源交易中心）网站信息，并邀请所有投标人的法定代表人（单位负责人）或其委托代理人准时参加。开标时，投标人代表有权出席开标会，也可以自主决定不参加开标会。</w:t>
            </w:r>
          </w:p>
        </w:tc>
      </w:tr>
      <w:tr>
        <w:tblPrEx>
          <w:tblCellMar>
            <w:top w:w="0" w:type="dxa"/>
            <w:left w:w="0" w:type="dxa"/>
            <w:bottom w:w="0" w:type="dxa"/>
            <w:right w:w="0" w:type="dxa"/>
          </w:tblCellMar>
        </w:tblPrEx>
        <w:trPr>
          <w:trHeight w:val="921" w:hRule="atLeast"/>
        </w:trPr>
        <w:tc>
          <w:tcPr>
            <w:tcW w:w="1235" w:type="dxa"/>
            <w:vMerge w:val="restart"/>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77"/>
                <w:sz w:val="21"/>
                <w:szCs w:val="21"/>
              </w:rPr>
            </w:pPr>
            <w:r>
              <w:rPr>
                <w:rFonts w:hAnsi="宋体"/>
                <w:color w:val="auto"/>
                <w:w w:val="77"/>
                <w:sz w:val="21"/>
                <w:szCs w:val="21"/>
              </w:rPr>
              <w:t>5.2（4）</w:t>
            </w:r>
          </w:p>
        </w:tc>
        <w:tc>
          <w:tcPr>
            <w:tcW w:w="3160" w:type="dxa"/>
            <w:vMerge w:val="restart"/>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开标程序</w:t>
            </w:r>
          </w:p>
        </w:tc>
        <w:tc>
          <w:tcPr>
            <w:tcW w:w="5002" w:type="dxa"/>
            <w:tcBorders>
              <w:top w:val="single" w:color="auto" w:sz="8" w:space="0"/>
              <w:left w:val="single" w:color="auto" w:sz="8" w:space="0"/>
              <w:bottom w:val="single" w:color="auto" w:sz="8" w:space="0"/>
              <w:right w:val="single" w:color="auto" w:sz="8" w:space="0"/>
            </w:tcBorders>
            <w:vAlign w:val="bottom"/>
          </w:tcPr>
          <w:p>
            <w:pPr>
              <w:shd w:val="clear"/>
              <w:spacing w:line="276" w:lineRule="auto"/>
              <w:ind w:left="120" w:leftChars="50" w:right="120" w:rightChars="50" w:firstLine="0" w:firstLineChars="0"/>
              <w:jc w:val="left"/>
              <w:rPr>
                <w:rFonts w:hAnsi="宋体"/>
                <w:color w:val="auto"/>
                <w:sz w:val="21"/>
                <w:szCs w:val="21"/>
              </w:rPr>
            </w:pPr>
            <w:r>
              <w:rPr>
                <w:rFonts w:hint="eastAsia" w:hAnsi="宋体"/>
                <w:color w:val="auto"/>
                <w:sz w:val="21"/>
                <w:szCs w:val="21"/>
              </w:rPr>
              <w:t>电子招投标项目开标按下列程序进行：</w:t>
            </w:r>
          </w:p>
          <w:p>
            <w:pPr>
              <w:shd w:val="clear"/>
              <w:spacing w:line="276" w:lineRule="auto"/>
              <w:ind w:left="120" w:leftChars="50" w:right="120" w:rightChars="50" w:firstLine="0" w:firstLineChars="0"/>
              <w:jc w:val="left"/>
              <w:rPr>
                <w:rFonts w:hAnsi="宋体"/>
                <w:color w:val="auto"/>
                <w:sz w:val="21"/>
                <w:szCs w:val="21"/>
              </w:rPr>
            </w:pPr>
            <w:r>
              <w:rPr>
                <w:rFonts w:hint="eastAsia" w:hAnsi="宋体"/>
                <w:color w:val="auto"/>
                <w:sz w:val="21"/>
                <w:szCs w:val="21"/>
              </w:rPr>
              <w:t>5.2.1主持人按下列程序进行开标：</w:t>
            </w:r>
          </w:p>
          <w:p>
            <w:pPr>
              <w:shd w:val="clear"/>
              <w:spacing w:line="276" w:lineRule="auto"/>
              <w:ind w:left="120" w:leftChars="50" w:right="120" w:rightChars="50" w:firstLine="0" w:firstLineChars="0"/>
              <w:jc w:val="left"/>
              <w:rPr>
                <w:rFonts w:hAnsi="宋体"/>
                <w:color w:val="auto"/>
                <w:sz w:val="21"/>
                <w:szCs w:val="21"/>
              </w:rPr>
            </w:pPr>
            <w:r>
              <w:rPr>
                <w:rFonts w:hint="eastAsia" w:hAnsi="宋体"/>
                <w:color w:val="auto"/>
                <w:sz w:val="21"/>
                <w:szCs w:val="21"/>
              </w:rPr>
              <w:t>（1）宣布开标纪律；</w:t>
            </w:r>
          </w:p>
          <w:p>
            <w:pPr>
              <w:shd w:val="clear"/>
              <w:spacing w:line="276" w:lineRule="auto"/>
              <w:ind w:left="120" w:leftChars="50" w:right="120" w:rightChars="50" w:firstLine="0" w:firstLineChars="0"/>
              <w:jc w:val="left"/>
              <w:rPr>
                <w:rFonts w:hAnsi="宋体"/>
                <w:color w:val="auto"/>
                <w:sz w:val="21"/>
                <w:szCs w:val="21"/>
              </w:rPr>
            </w:pPr>
            <w:r>
              <w:rPr>
                <w:rFonts w:hint="eastAsia" w:hAnsi="宋体"/>
                <w:color w:val="auto"/>
                <w:sz w:val="21"/>
                <w:szCs w:val="21"/>
              </w:rPr>
              <w:t>（2）公布在投标截止时间前递交投标文件的投标人名称；</w:t>
            </w:r>
          </w:p>
          <w:p>
            <w:pPr>
              <w:shd w:val="clear"/>
              <w:spacing w:line="276" w:lineRule="auto"/>
              <w:ind w:left="120" w:leftChars="50" w:right="120" w:rightChars="50" w:firstLine="0" w:firstLineChars="0"/>
              <w:jc w:val="left"/>
              <w:rPr>
                <w:rFonts w:hAnsi="宋体"/>
                <w:color w:val="auto"/>
                <w:sz w:val="21"/>
                <w:szCs w:val="21"/>
              </w:rPr>
            </w:pPr>
            <w:r>
              <w:rPr>
                <w:rFonts w:hint="eastAsia" w:hAnsi="宋体"/>
                <w:color w:val="auto"/>
                <w:sz w:val="21"/>
                <w:szCs w:val="21"/>
              </w:rPr>
              <w:t>（3）宣布开标人、唱标人、记录人、监标人等有关人员姓名；</w:t>
            </w:r>
          </w:p>
          <w:p>
            <w:pPr>
              <w:shd w:val="clear"/>
              <w:spacing w:line="276" w:lineRule="auto"/>
              <w:ind w:left="120" w:leftChars="50" w:right="120" w:rightChars="50" w:firstLine="0" w:firstLineChars="0"/>
              <w:jc w:val="left"/>
              <w:rPr>
                <w:rFonts w:hAnsi="宋体"/>
                <w:color w:val="auto"/>
                <w:sz w:val="21"/>
                <w:szCs w:val="21"/>
              </w:rPr>
            </w:pPr>
            <w:r>
              <w:rPr>
                <w:rFonts w:hint="eastAsia" w:hAnsi="宋体"/>
                <w:color w:val="auto"/>
                <w:sz w:val="21"/>
                <w:szCs w:val="21"/>
              </w:rPr>
              <w:t>（4）（B）投标人通过电子招标投标交易平台对已递交的电子投标文件进行解密，公布招标项目名称、投标人名称、</w:t>
            </w:r>
            <w:r>
              <w:rPr>
                <w:rFonts w:hint="eastAsia" w:hAnsi="宋体"/>
                <w:strike/>
                <w:color w:val="auto"/>
                <w:sz w:val="21"/>
                <w:szCs w:val="21"/>
              </w:rPr>
              <w:t>投标保证金的递交情况、</w:t>
            </w:r>
            <w:r>
              <w:rPr>
                <w:rFonts w:hint="eastAsia" w:hAnsi="宋体"/>
                <w:color w:val="auto"/>
                <w:sz w:val="21"/>
                <w:szCs w:val="21"/>
              </w:rPr>
              <w:t>投标报价、监理服务期限及其他内容，并记录在案；</w:t>
            </w:r>
          </w:p>
          <w:p>
            <w:pPr>
              <w:shd w:val="clear"/>
              <w:spacing w:line="276" w:lineRule="auto"/>
              <w:ind w:left="120" w:leftChars="50" w:right="120" w:rightChars="50" w:firstLine="0" w:firstLineChars="0"/>
              <w:jc w:val="left"/>
              <w:rPr>
                <w:rFonts w:hAnsi="宋体"/>
                <w:color w:val="auto"/>
                <w:sz w:val="21"/>
                <w:szCs w:val="21"/>
              </w:rPr>
            </w:pPr>
            <w:r>
              <w:rPr>
                <w:rFonts w:hint="eastAsia" w:hAnsi="宋体"/>
                <w:color w:val="auto"/>
                <w:sz w:val="21"/>
                <w:szCs w:val="21"/>
              </w:rPr>
              <w:t>（5）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hd w:val="clear"/>
              <w:spacing w:line="276" w:lineRule="auto"/>
              <w:ind w:left="120" w:leftChars="50" w:right="120" w:rightChars="50" w:firstLine="0" w:firstLineChars="0"/>
              <w:jc w:val="left"/>
              <w:rPr>
                <w:rFonts w:hAnsi="宋体"/>
                <w:color w:val="auto"/>
                <w:sz w:val="21"/>
                <w:szCs w:val="21"/>
              </w:rPr>
            </w:pPr>
            <w:r>
              <w:rPr>
                <w:rFonts w:hint="eastAsia" w:hAnsi="宋体"/>
                <w:color w:val="auto"/>
                <w:sz w:val="21"/>
                <w:szCs w:val="21"/>
              </w:rPr>
              <w:t>（6）投标人未参加开标或在规定的时间内未提出异议的，视为对开标无异议。</w:t>
            </w:r>
          </w:p>
          <w:p>
            <w:pPr>
              <w:shd w:val="clear"/>
              <w:spacing w:line="276" w:lineRule="auto"/>
              <w:ind w:left="120" w:leftChars="50" w:right="120" w:rightChars="50" w:firstLine="0" w:firstLineChars="0"/>
              <w:jc w:val="left"/>
              <w:rPr>
                <w:rFonts w:hAnsi="宋体"/>
                <w:color w:val="auto"/>
                <w:sz w:val="21"/>
                <w:szCs w:val="21"/>
              </w:rPr>
            </w:pPr>
            <w:r>
              <w:rPr>
                <w:rFonts w:hint="eastAsia" w:hAnsi="宋体"/>
                <w:color w:val="auto"/>
                <w:sz w:val="21"/>
                <w:szCs w:val="21"/>
              </w:rPr>
              <w:t>（7）（B）投标人代表、招标人代表、监标人、记录人等有关人员在开标记录上签字确认；若有关人员不签字的，不影响开标程序；</w:t>
            </w:r>
          </w:p>
          <w:p>
            <w:pPr>
              <w:shd w:val="clear"/>
              <w:spacing w:line="276" w:lineRule="auto"/>
              <w:ind w:left="120" w:leftChars="50" w:right="120" w:rightChars="50" w:firstLine="0" w:firstLineChars="0"/>
              <w:jc w:val="left"/>
              <w:rPr>
                <w:rFonts w:hAnsi="宋体"/>
                <w:color w:val="auto"/>
                <w:sz w:val="21"/>
                <w:szCs w:val="21"/>
              </w:rPr>
            </w:pPr>
            <w:r>
              <w:rPr>
                <w:rFonts w:hint="eastAsia" w:hAnsi="宋体"/>
                <w:color w:val="auto"/>
                <w:sz w:val="21"/>
                <w:szCs w:val="21"/>
              </w:rPr>
              <w:t>（8）开标结束。</w:t>
            </w:r>
          </w:p>
        </w:tc>
      </w:tr>
      <w:tr>
        <w:tblPrEx>
          <w:tblCellMar>
            <w:top w:w="0" w:type="dxa"/>
            <w:left w:w="0" w:type="dxa"/>
            <w:bottom w:w="0" w:type="dxa"/>
            <w:right w:w="0" w:type="dxa"/>
          </w:tblCellMar>
        </w:tblPrEx>
        <w:trPr>
          <w:trHeight w:val="386" w:hRule="atLeast"/>
        </w:trPr>
        <w:tc>
          <w:tcPr>
            <w:tcW w:w="1235" w:type="dxa"/>
            <w:vMerge w:val="continue"/>
            <w:tcBorders>
              <w:left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77"/>
                <w:sz w:val="21"/>
                <w:szCs w:val="21"/>
              </w:rPr>
            </w:pPr>
          </w:p>
        </w:tc>
        <w:tc>
          <w:tcPr>
            <w:tcW w:w="3160" w:type="dxa"/>
            <w:vMerge w:val="continue"/>
            <w:tcBorders>
              <w:left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p>
        </w:tc>
        <w:tc>
          <w:tcPr>
            <w:tcW w:w="5002" w:type="dxa"/>
            <w:tcBorders>
              <w:top w:val="single" w:color="auto" w:sz="8" w:space="0"/>
              <w:left w:val="single" w:color="auto" w:sz="8" w:space="0"/>
              <w:bottom w:val="single" w:color="auto" w:sz="8" w:space="0"/>
              <w:right w:val="single" w:color="auto" w:sz="8" w:space="0"/>
            </w:tcBorders>
            <w:vAlign w:val="bottom"/>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5.2.2投标截止时间前未完成投标文件传输的或因投标人之外的原因造成投标文件未解密的或未在投标截止时间后半小时内解密的，视为投标人其撤回投标文件。因投标人原因造成投标文件未解密的，视为撤销其投标文件。</w:t>
            </w:r>
          </w:p>
        </w:tc>
      </w:tr>
      <w:tr>
        <w:tblPrEx>
          <w:tblCellMar>
            <w:top w:w="0" w:type="dxa"/>
            <w:left w:w="0" w:type="dxa"/>
            <w:bottom w:w="0" w:type="dxa"/>
            <w:right w:w="0" w:type="dxa"/>
          </w:tblCellMar>
        </w:tblPrEx>
        <w:trPr>
          <w:trHeight w:val="844" w:hRule="atLeast"/>
        </w:trPr>
        <w:tc>
          <w:tcPr>
            <w:tcW w:w="1235" w:type="dxa"/>
            <w:vMerge w:val="continue"/>
            <w:tcBorders>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77"/>
                <w:sz w:val="21"/>
                <w:szCs w:val="21"/>
              </w:rPr>
            </w:pPr>
          </w:p>
        </w:tc>
        <w:tc>
          <w:tcPr>
            <w:tcW w:w="3160" w:type="dxa"/>
            <w:vMerge w:val="continue"/>
            <w:tcBorders>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p>
        </w:tc>
        <w:tc>
          <w:tcPr>
            <w:tcW w:w="5002" w:type="dxa"/>
            <w:tcBorders>
              <w:top w:val="single" w:color="auto" w:sz="8" w:space="0"/>
              <w:left w:val="single" w:color="auto" w:sz="8" w:space="0"/>
              <w:bottom w:val="single" w:color="auto" w:sz="8" w:space="0"/>
              <w:right w:val="single" w:color="auto" w:sz="8" w:space="0"/>
            </w:tcBorders>
            <w:vAlign w:val="bottom"/>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5.2.3开标时，两个（含两个）以上的投标人加密打包投标文件电脑机器特征码一致的，不参与下一程序，并由评标委员会否决其投标。</w:t>
            </w:r>
          </w:p>
        </w:tc>
      </w:tr>
      <w:tr>
        <w:tblPrEx>
          <w:tblCellMar>
            <w:top w:w="0" w:type="dxa"/>
            <w:left w:w="0" w:type="dxa"/>
            <w:bottom w:w="0" w:type="dxa"/>
            <w:right w:w="0" w:type="dxa"/>
          </w:tblCellMar>
        </w:tblPrEx>
        <w:trPr>
          <w:trHeight w:val="844" w:hRule="atLeast"/>
        </w:trPr>
        <w:tc>
          <w:tcPr>
            <w:tcW w:w="1235" w:type="dxa"/>
            <w:tcBorders>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int="eastAsia" w:hAnsi="宋体"/>
                <w:color w:val="auto"/>
                <w:w w:val="99"/>
                <w:sz w:val="21"/>
                <w:szCs w:val="21"/>
              </w:rPr>
              <w:t>5.3</w:t>
            </w:r>
          </w:p>
        </w:tc>
        <w:tc>
          <w:tcPr>
            <w:tcW w:w="3160" w:type="dxa"/>
            <w:tcBorders>
              <w:left w:val="single" w:color="auto" w:sz="8" w:space="0"/>
              <w:bottom w:val="single" w:color="auto" w:sz="8" w:space="0"/>
              <w:right w:val="single" w:color="auto" w:sz="8" w:space="0"/>
            </w:tcBorders>
            <w:vAlign w:val="center"/>
          </w:tcPr>
          <w:p>
            <w:pPr>
              <w:shd w:val="clear"/>
              <w:ind w:left="120" w:leftChars="50" w:right="120" w:rightChars="50" w:firstLine="0" w:firstLineChars="0"/>
              <w:jc w:val="left"/>
              <w:rPr>
                <w:rFonts w:hAnsi="宋体"/>
                <w:color w:val="auto"/>
                <w:sz w:val="21"/>
                <w:szCs w:val="21"/>
              </w:rPr>
            </w:pPr>
            <w:r>
              <w:rPr>
                <w:rFonts w:hint="eastAsia" w:hAnsi="宋体"/>
                <w:color w:val="auto"/>
                <w:sz w:val="21"/>
                <w:szCs w:val="21"/>
              </w:rPr>
              <w:t>开标异议</w:t>
            </w:r>
          </w:p>
        </w:tc>
        <w:tc>
          <w:tcPr>
            <w:tcW w:w="5002" w:type="dxa"/>
            <w:tcBorders>
              <w:top w:val="single" w:color="auto" w:sz="8" w:space="0"/>
              <w:left w:val="single" w:color="auto" w:sz="8" w:space="0"/>
              <w:bottom w:val="single" w:color="auto" w:sz="8" w:space="0"/>
              <w:right w:val="single" w:color="auto" w:sz="8" w:space="0"/>
            </w:tcBorders>
            <w:vAlign w:val="bottom"/>
          </w:tcPr>
          <w:p>
            <w:pPr>
              <w:shd w:val="clear"/>
              <w:ind w:left="139" w:leftChars="58" w:right="120" w:rightChars="50" w:firstLine="0" w:firstLineChars="0"/>
              <w:jc w:val="left"/>
              <w:rPr>
                <w:rFonts w:hAnsi="宋体"/>
                <w:color w:val="auto"/>
                <w:sz w:val="21"/>
                <w:szCs w:val="21"/>
              </w:rPr>
            </w:pPr>
            <w:r>
              <w:rPr>
                <w:rFonts w:hint="eastAsia" w:hAnsi="宋体"/>
                <w:color w:val="auto"/>
                <w:sz w:val="21"/>
                <w:szCs w:val="21"/>
              </w:rPr>
              <w:t>如参加现场开标的投标人对开标结果有异议的，应当在开标现场提出，该投标人代表须同时出示本人身份证原件，招标人应当当场作出答复，并制作记录。</w:t>
            </w:r>
          </w:p>
          <w:p>
            <w:pPr>
              <w:pStyle w:val="11"/>
              <w:shd w:val="clear"/>
              <w:ind w:left="139" w:leftChars="58" w:right="182" w:rightChars="76" w:firstLine="2" w:firstLineChars="0"/>
              <w:rPr>
                <w:rFonts w:hAnsi="宋体"/>
                <w:color w:val="auto"/>
                <w:sz w:val="21"/>
                <w:szCs w:val="21"/>
              </w:rPr>
            </w:pPr>
            <w:r>
              <w:rPr>
                <w:rFonts w:hint="eastAsia" w:hAnsi="宋体"/>
                <w:color w:val="auto"/>
                <w:sz w:val="21"/>
                <w:szCs w:val="21"/>
              </w:rPr>
              <w:t>如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tc>
      </w:tr>
      <w:tr>
        <w:tblPrEx>
          <w:tblCellMar>
            <w:top w:w="0" w:type="dxa"/>
            <w:left w:w="0" w:type="dxa"/>
            <w:bottom w:w="0" w:type="dxa"/>
            <w:right w:w="0" w:type="dxa"/>
          </w:tblCellMar>
        </w:tblPrEx>
        <w:trPr>
          <w:trHeight w:val="546"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6.1.1</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评标委员会的组建</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评标委员会由招标人依法组建。</w:t>
            </w:r>
          </w:p>
        </w:tc>
      </w:tr>
      <w:tr>
        <w:tblPrEx>
          <w:tblCellMar>
            <w:top w:w="0" w:type="dxa"/>
            <w:left w:w="0" w:type="dxa"/>
            <w:bottom w:w="0" w:type="dxa"/>
            <w:right w:w="0" w:type="dxa"/>
          </w:tblCellMar>
        </w:tblPrEx>
        <w:trPr>
          <w:trHeight w:val="607"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6.3.2</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sz w:val="21"/>
                <w:szCs w:val="21"/>
              </w:rPr>
              <w:t>评标委员会推荐中标候选人的人数</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推荐中标候选人</w:t>
            </w:r>
            <w:r>
              <w:rPr>
                <w:rFonts w:hint="eastAsia" w:hAnsi="宋体"/>
                <w:color w:val="auto"/>
                <w:sz w:val="21"/>
                <w:szCs w:val="21"/>
                <w:u w:val="single"/>
              </w:rPr>
              <w:t xml:space="preserve"> 3 </w:t>
            </w:r>
            <w:r>
              <w:rPr>
                <w:rFonts w:hint="eastAsia" w:hAnsi="宋体"/>
                <w:color w:val="auto"/>
                <w:sz w:val="21"/>
                <w:szCs w:val="21"/>
              </w:rPr>
              <w:t>人</w:t>
            </w:r>
          </w:p>
        </w:tc>
      </w:tr>
      <w:tr>
        <w:tblPrEx>
          <w:tblCellMar>
            <w:top w:w="0" w:type="dxa"/>
            <w:left w:w="0" w:type="dxa"/>
            <w:bottom w:w="0" w:type="dxa"/>
            <w:right w:w="0" w:type="dxa"/>
          </w:tblCellMar>
        </w:tblPrEx>
        <w:trPr>
          <w:trHeight w:val="1545"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8"/>
                <w:sz w:val="21"/>
                <w:szCs w:val="21"/>
              </w:rPr>
            </w:pPr>
            <w:r>
              <w:rPr>
                <w:rFonts w:hAnsi="宋体"/>
                <w:color w:val="auto"/>
                <w:w w:val="98"/>
                <w:sz w:val="21"/>
                <w:szCs w:val="21"/>
              </w:rPr>
              <w:t>7.1</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中标候选人公示媒介及期限</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u w:val="single"/>
              </w:rPr>
            </w:pPr>
            <w:r>
              <w:rPr>
                <w:rFonts w:hAnsi="宋体"/>
                <w:color w:val="auto"/>
                <w:sz w:val="21"/>
                <w:szCs w:val="21"/>
              </w:rPr>
              <w:t>公示媒介：</w:t>
            </w:r>
            <w:r>
              <w:rPr>
                <w:rFonts w:hint="eastAsia" w:hAnsi="宋体"/>
                <w:color w:val="auto"/>
                <w:sz w:val="21"/>
                <w:szCs w:val="21"/>
                <w:u w:val="single"/>
              </w:rPr>
              <w:t>中国招标投标公共服务平台、广东省招标投标监管网、广州交易集团有限公司（广州公共资源交易中心）网站</w:t>
            </w:r>
          </w:p>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公示期限：</w:t>
            </w:r>
            <w:r>
              <w:rPr>
                <w:rFonts w:hint="eastAsia" w:hAnsi="宋体"/>
                <w:color w:val="auto"/>
                <w:sz w:val="21"/>
                <w:szCs w:val="21"/>
                <w:u w:val="single"/>
              </w:rPr>
              <w:t xml:space="preserve">  </w:t>
            </w:r>
            <w:r>
              <w:rPr>
                <w:rFonts w:hint="eastAsia" w:hAnsi="宋体"/>
                <w:color w:val="auto"/>
                <w:w w:val="98"/>
                <w:sz w:val="21"/>
                <w:szCs w:val="21"/>
                <w:u w:val="single"/>
              </w:rPr>
              <w:t xml:space="preserve">3  </w:t>
            </w:r>
            <w:r>
              <w:rPr>
                <w:rFonts w:hAnsi="宋体"/>
                <w:color w:val="auto"/>
                <w:sz w:val="21"/>
                <w:szCs w:val="21"/>
              </w:rPr>
              <w:t>日</w:t>
            </w:r>
          </w:p>
        </w:tc>
      </w:tr>
      <w:tr>
        <w:tblPrEx>
          <w:tblCellMar>
            <w:top w:w="0" w:type="dxa"/>
            <w:left w:w="0" w:type="dxa"/>
            <w:bottom w:w="0" w:type="dxa"/>
            <w:right w:w="0" w:type="dxa"/>
          </w:tblCellMar>
        </w:tblPrEx>
        <w:trPr>
          <w:trHeight w:val="3544"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8"/>
                <w:sz w:val="21"/>
                <w:szCs w:val="21"/>
              </w:rPr>
            </w:pPr>
            <w:r>
              <w:rPr>
                <w:rFonts w:hAnsi="宋体"/>
                <w:color w:val="auto"/>
                <w:w w:val="98"/>
                <w:sz w:val="21"/>
                <w:szCs w:val="21"/>
              </w:rPr>
              <w:t>7.4</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sz w:val="21"/>
                <w:szCs w:val="21"/>
              </w:rPr>
              <w:t>是否授权评标委员会确定中标人</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□是</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w:t>
            </w:r>
            <w:r>
              <w:rPr>
                <w:rFonts w:hAnsi="宋体"/>
                <w:color w:val="auto"/>
                <w:sz w:val="21"/>
                <w:szCs w:val="21"/>
              </w:rPr>
              <w:t>否</w:t>
            </w:r>
            <w:r>
              <w:rPr>
                <w:rFonts w:hint="eastAsia" w:hAnsi="宋体"/>
                <w:color w:val="auto"/>
                <w:sz w:val="21"/>
                <w:szCs w:val="21"/>
              </w:rPr>
              <w:t>，评标委员会推荐前3名中标候选人。</w:t>
            </w:r>
          </w:p>
          <w:p>
            <w:pPr>
              <w:shd w:val="clear"/>
              <w:spacing w:line="312" w:lineRule="auto"/>
              <w:ind w:left="120" w:leftChars="50" w:right="120" w:rightChars="50" w:firstLine="0" w:firstLineChars="0"/>
              <w:jc w:val="left"/>
              <w:rPr>
                <w:rFonts w:hAnsi="宋体"/>
                <w:b/>
                <w:bCs/>
                <w:color w:val="auto"/>
                <w:sz w:val="21"/>
                <w:szCs w:val="21"/>
              </w:rPr>
            </w:pPr>
            <w:r>
              <w:rPr>
                <w:rFonts w:hint="eastAsia" w:hAnsi="宋体"/>
                <w:b/>
                <w:bCs/>
                <w:color w:val="auto"/>
                <w:sz w:val="21"/>
                <w:szCs w:val="21"/>
              </w:rPr>
              <w:t>补充说明：</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（1）依法必须进行公开招标的项目，招标人应当确定排名第一的中标候选人为中标人。</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2）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tblPrEx>
          <w:tblCellMar>
            <w:top w:w="0" w:type="dxa"/>
            <w:left w:w="0" w:type="dxa"/>
            <w:bottom w:w="0" w:type="dxa"/>
            <w:right w:w="0" w:type="dxa"/>
          </w:tblCellMar>
        </w:tblPrEx>
        <w:trPr>
          <w:trHeight w:val="1480"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9"/>
                <w:sz w:val="21"/>
                <w:szCs w:val="21"/>
              </w:rPr>
            </w:pPr>
            <w:r>
              <w:rPr>
                <w:rFonts w:hAnsi="宋体"/>
                <w:color w:val="auto"/>
                <w:w w:val="99"/>
                <w:sz w:val="21"/>
                <w:szCs w:val="21"/>
              </w:rPr>
              <w:t>7.6.1</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履约保证金</w:t>
            </w:r>
          </w:p>
        </w:tc>
        <w:tc>
          <w:tcPr>
            <w:tcW w:w="5002"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是否要求中标人提交履约保证金：</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 xml:space="preserve">☑要求，履约保证金的形式：银行保函 </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履约保证金的金额：中标价的</w:t>
            </w:r>
            <w:r>
              <w:rPr>
                <w:rFonts w:hAnsi="宋体"/>
                <w:color w:val="auto"/>
                <w:sz w:val="21"/>
                <w:szCs w:val="21"/>
              </w:rPr>
              <w:t>10</w:t>
            </w:r>
            <w:r>
              <w:rPr>
                <w:rFonts w:hint="eastAsia" w:hAnsi="宋体"/>
                <w:color w:val="auto"/>
                <w:sz w:val="21"/>
                <w:szCs w:val="21"/>
              </w:rPr>
              <w:t>%。</w:t>
            </w:r>
          </w:p>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□不要求</w:t>
            </w:r>
          </w:p>
        </w:tc>
      </w:tr>
      <w:tr>
        <w:tblPrEx>
          <w:tblCellMar>
            <w:top w:w="0" w:type="dxa"/>
            <w:left w:w="0" w:type="dxa"/>
            <w:bottom w:w="0" w:type="dxa"/>
            <w:right w:w="0" w:type="dxa"/>
          </w:tblCellMar>
        </w:tblPrEx>
        <w:trPr>
          <w:trHeight w:val="391"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w w:val="94"/>
                <w:sz w:val="21"/>
                <w:szCs w:val="21"/>
              </w:rPr>
            </w:pPr>
            <w:r>
              <w:rPr>
                <w:rFonts w:hAnsi="宋体"/>
                <w:color w:val="auto"/>
                <w:w w:val="94"/>
                <w:sz w:val="21"/>
                <w:szCs w:val="21"/>
              </w:rPr>
              <w:t>9</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是否采用电子招标投标</w:t>
            </w:r>
          </w:p>
        </w:tc>
        <w:tc>
          <w:tcPr>
            <w:tcW w:w="5002" w:type="dxa"/>
            <w:tcBorders>
              <w:top w:val="single" w:color="auto" w:sz="8" w:space="0"/>
              <w:left w:val="single" w:color="auto" w:sz="8" w:space="0"/>
              <w:bottom w:val="single" w:color="auto" w:sz="8" w:space="0"/>
              <w:right w:val="single" w:color="auto" w:sz="8" w:space="0"/>
            </w:tcBorders>
            <w:vAlign w:val="bottom"/>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□否</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w:t>
            </w:r>
            <w:r>
              <w:rPr>
                <w:rFonts w:hAnsi="宋体"/>
                <w:color w:val="auto"/>
                <w:sz w:val="21"/>
                <w:szCs w:val="21"/>
              </w:rPr>
              <w:t>是，具体要求：</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1、具体操作详见附件</w:t>
            </w:r>
            <w:r>
              <w:rPr>
                <w:rFonts w:hint="eastAsia" w:hAnsi="宋体"/>
                <w:b/>
                <w:bCs/>
                <w:color w:val="auto"/>
                <w:sz w:val="21"/>
                <w:szCs w:val="21"/>
              </w:rPr>
              <w:t>《房屋建筑和市政基础设施工程全流程电子化项目专章》</w:t>
            </w:r>
            <w:r>
              <w:rPr>
                <w:rFonts w:hint="eastAsia" w:hAnsi="宋体"/>
                <w:color w:val="auto"/>
                <w:sz w:val="21"/>
                <w:szCs w:val="21"/>
              </w:rPr>
              <w:t>。</w:t>
            </w:r>
          </w:p>
          <w:p>
            <w:pPr>
              <w:shd w:val="clear"/>
              <w:spacing w:line="312" w:lineRule="auto"/>
              <w:ind w:left="120" w:leftChars="50" w:right="120" w:rightChars="50" w:firstLine="0" w:firstLineChars="0"/>
              <w:jc w:val="left"/>
              <w:rPr>
                <w:rFonts w:hAnsi="宋体" w:cs="Courier New"/>
                <w:color w:val="auto"/>
                <w:sz w:val="21"/>
                <w:szCs w:val="21"/>
              </w:rPr>
            </w:pPr>
            <w:r>
              <w:rPr>
                <w:rFonts w:hint="eastAsia" w:hAnsi="宋体" w:cs="Courier New"/>
                <w:color w:val="auto"/>
                <w:sz w:val="21"/>
                <w:szCs w:val="21"/>
              </w:rPr>
              <w:t>2.提交投标文件光盘备用</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投标人可按</w:t>
            </w:r>
            <w:r>
              <w:rPr>
                <w:rFonts w:hint="eastAsia" w:hAnsi="宋体"/>
                <w:b/>
                <w:color w:val="auto"/>
                <w:sz w:val="21"/>
                <w:szCs w:val="21"/>
              </w:rPr>
              <w:t>《房屋建筑和市政基础设施工程全流程电子化项目专章》</w:t>
            </w:r>
            <w:r>
              <w:rPr>
                <w:rFonts w:hint="eastAsia" w:hAnsi="宋体"/>
                <w:color w:val="auto"/>
                <w:sz w:val="21"/>
                <w:szCs w:val="21"/>
              </w:rPr>
              <w:t>的操作方法制作的非加密的电子投标文件刻入光盘（1份），在规定</w:t>
            </w:r>
            <w:r>
              <w:rPr>
                <w:rFonts w:hAnsi="宋体"/>
                <w:color w:val="auto"/>
                <w:sz w:val="21"/>
                <w:szCs w:val="21"/>
              </w:rPr>
              <w:t>的时间、地点</w:t>
            </w:r>
            <w:r>
              <w:rPr>
                <w:rFonts w:hint="eastAsia" w:hAnsi="宋体"/>
                <w:color w:val="auto"/>
                <w:sz w:val="21"/>
                <w:szCs w:val="21"/>
              </w:rPr>
              <w:t>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读取提交的光盘。</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3.补救方案</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（1）投标文件解密失败的补救方案：</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在规定时间内，因投标人之外原因（指</w:t>
            </w:r>
            <w:r>
              <w:rPr>
                <w:rFonts w:hAnsi="宋体"/>
                <w:color w:val="auto"/>
                <w:sz w:val="21"/>
                <w:szCs w:val="21"/>
              </w:rPr>
              <w:t>网络瘫痪</w:t>
            </w:r>
            <w:r>
              <w:rPr>
                <w:rFonts w:hint="eastAsia" w:hAnsi="宋体"/>
                <w:color w:val="auto"/>
                <w:sz w:val="21"/>
                <w:szCs w:val="21"/>
              </w:rPr>
              <w:t>、服务器损坏、交易系统故障短期无法恢复等因素）导致的电子投标文件解密失败，在开标现场读取光盘内容，继续开标程序。评标委员会对其投标文件的评审以光盘内容为准。因</w:t>
            </w:r>
            <w:r>
              <w:rPr>
                <w:rFonts w:hAnsi="宋体"/>
                <w:color w:val="auto"/>
                <w:sz w:val="21"/>
                <w:szCs w:val="21"/>
              </w:rPr>
              <w:t>投标人原因</w:t>
            </w:r>
            <w:r>
              <w:rPr>
                <w:rFonts w:hint="eastAsia" w:hAnsi="宋体"/>
                <w:color w:val="auto"/>
                <w:sz w:val="21"/>
                <w:szCs w:val="21"/>
              </w:rPr>
              <w:t>解密失败</w:t>
            </w:r>
            <w:r>
              <w:rPr>
                <w:rFonts w:hAnsi="宋体"/>
                <w:color w:val="auto"/>
                <w:sz w:val="21"/>
                <w:szCs w:val="21"/>
              </w:rPr>
              <w:t>且</w:t>
            </w:r>
            <w:r>
              <w:rPr>
                <w:rFonts w:hint="eastAsia" w:hAnsi="宋体"/>
                <w:color w:val="auto"/>
                <w:sz w:val="21"/>
                <w:szCs w:val="21"/>
              </w:rPr>
              <w:t>未</w:t>
            </w:r>
            <w:r>
              <w:rPr>
                <w:rFonts w:hAnsi="宋体"/>
                <w:color w:val="auto"/>
                <w:sz w:val="21"/>
                <w:szCs w:val="21"/>
              </w:rPr>
              <w:t>递交电子光盘</w:t>
            </w:r>
            <w:r>
              <w:rPr>
                <w:rFonts w:hint="eastAsia" w:hAnsi="宋体"/>
                <w:color w:val="auto"/>
                <w:sz w:val="21"/>
                <w:szCs w:val="21"/>
              </w:rPr>
              <w:t>或递交</w:t>
            </w:r>
            <w:r>
              <w:rPr>
                <w:rFonts w:hAnsi="宋体"/>
                <w:color w:val="auto"/>
                <w:sz w:val="21"/>
                <w:szCs w:val="21"/>
              </w:rPr>
              <w:t>的电子光盘</w:t>
            </w:r>
            <w:r>
              <w:rPr>
                <w:rFonts w:hint="eastAsia" w:hAnsi="宋体"/>
                <w:color w:val="auto"/>
                <w:sz w:val="21"/>
                <w:szCs w:val="21"/>
              </w:rPr>
              <w:t>不能</w:t>
            </w:r>
            <w:r>
              <w:rPr>
                <w:rFonts w:hAnsi="宋体"/>
                <w:color w:val="auto"/>
                <w:sz w:val="21"/>
                <w:szCs w:val="21"/>
              </w:rPr>
              <w:t>读取的，视为撤回投标文件。</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（2）评标时突发情况的补救方案</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若遇不可抗力发生（如：网络瘫痪、服务器损坏、交易系统故障短期无法恢复等因素），由评标委员会开启递交的全部投标文件光盘，并按光盘内容进行评审。</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（3）除发生上述情况外，开标评标均以投标人通过交易平台网上递交的电子投标文件为准。</w:t>
            </w:r>
          </w:p>
        </w:tc>
      </w:tr>
      <w:tr>
        <w:tblPrEx>
          <w:tblCellMar>
            <w:top w:w="0" w:type="dxa"/>
            <w:left w:w="0" w:type="dxa"/>
            <w:bottom w:w="0" w:type="dxa"/>
            <w:right w:w="0" w:type="dxa"/>
          </w:tblCellMar>
        </w:tblPrEx>
        <w:trPr>
          <w:trHeight w:val="608"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10</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需要补充的其他内容</w:t>
            </w:r>
          </w:p>
        </w:tc>
        <w:tc>
          <w:tcPr>
            <w:tcW w:w="5002" w:type="dxa"/>
            <w:tcBorders>
              <w:top w:val="single" w:color="auto" w:sz="8" w:space="0"/>
              <w:left w:val="single" w:color="auto" w:sz="8" w:space="0"/>
              <w:bottom w:val="single" w:color="auto" w:sz="8" w:space="0"/>
              <w:right w:val="single" w:color="auto" w:sz="8" w:space="0"/>
            </w:tcBorders>
            <w:vAlign w:val="bottom"/>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w:t>
            </w:r>
          </w:p>
        </w:tc>
      </w:tr>
      <w:tr>
        <w:tblPrEx>
          <w:tblCellMar>
            <w:top w:w="0" w:type="dxa"/>
            <w:left w:w="0" w:type="dxa"/>
            <w:bottom w:w="0" w:type="dxa"/>
            <w:right w:w="0" w:type="dxa"/>
          </w:tblCellMar>
        </w:tblPrEx>
        <w:trPr>
          <w:trHeight w:val="360"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10</w:t>
            </w:r>
            <w:r>
              <w:rPr>
                <w:rFonts w:hint="eastAsia" w:hAnsi="宋体"/>
                <w:color w:val="auto"/>
                <w:sz w:val="21"/>
                <w:szCs w:val="21"/>
              </w:rPr>
              <w:t>.1</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特别提示</w:t>
            </w:r>
          </w:p>
        </w:tc>
        <w:tc>
          <w:tcPr>
            <w:tcW w:w="5002" w:type="dxa"/>
            <w:tcBorders>
              <w:top w:val="single" w:color="auto" w:sz="8" w:space="0"/>
              <w:left w:val="single" w:color="auto" w:sz="8" w:space="0"/>
              <w:bottom w:val="single" w:color="auto" w:sz="8" w:space="0"/>
              <w:right w:val="single" w:color="auto" w:sz="8" w:space="0"/>
            </w:tcBorders>
            <w:vAlign w:val="bottom"/>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投标人在本项目招标人的工程项目中存在下列行为的，将被拒绝一年内参与我单位后续工程投标：</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（1）将中标工程转包或者违法分包的；</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（2）在中标工程中不执行质量、安全生产相关规定的，造成质量或安全事故的；</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（3）存在围标或串标情形的；</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 xml:space="preserve">（4）存在弄虚作假骗取中标情形的； </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（5）存在因过错行为被生效法律文书认定承担违约或侵权责任的。</w:t>
            </w:r>
          </w:p>
        </w:tc>
      </w:tr>
      <w:tr>
        <w:tblPrEx>
          <w:tblCellMar>
            <w:top w:w="0" w:type="dxa"/>
            <w:left w:w="0" w:type="dxa"/>
            <w:bottom w:w="0" w:type="dxa"/>
            <w:right w:w="0" w:type="dxa"/>
          </w:tblCellMar>
        </w:tblPrEx>
        <w:trPr>
          <w:trHeight w:val="1067"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Ansi="宋体"/>
                <w:color w:val="auto"/>
                <w:sz w:val="21"/>
                <w:szCs w:val="21"/>
              </w:rPr>
              <w:t>10.</w:t>
            </w:r>
            <w:r>
              <w:rPr>
                <w:rFonts w:hint="eastAsia" w:hAnsi="宋体"/>
                <w:color w:val="auto"/>
                <w:sz w:val="21"/>
                <w:szCs w:val="21"/>
              </w:rPr>
              <w:t>2</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招标失败的情形</w:t>
            </w:r>
          </w:p>
        </w:tc>
        <w:tc>
          <w:tcPr>
            <w:tcW w:w="5002" w:type="dxa"/>
            <w:tcBorders>
              <w:top w:val="single" w:color="auto" w:sz="8" w:space="0"/>
              <w:left w:val="single" w:color="auto" w:sz="8" w:space="0"/>
              <w:bottom w:val="single" w:color="auto" w:sz="8" w:space="0"/>
              <w:right w:val="single" w:color="auto" w:sz="8" w:space="0"/>
            </w:tcBorders>
            <w:vAlign w:val="bottom"/>
          </w:tcPr>
          <w:p>
            <w:pPr>
              <w:shd w:val="clear"/>
              <w:spacing w:line="312" w:lineRule="auto"/>
              <w:ind w:left="120" w:leftChars="50" w:right="120" w:rightChars="50" w:firstLine="0" w:firstLineChars="0"/>
              <w:jc w:val="left"/>
              <w:rPr>
                <w:rFonts w:hAnsi="宋体"/>
                <w:color w:val="auto"/>
                <w:sz w:val="21"/>
                <w:szCs w:val="21"/>
              </w:rPr>
            </w:pPr>
            <w:r>
              <w:rPr>
                <w:rFonts w:hint="eastAsia" w:hAnsi="宋体" w:cs="宋体"/>
                <w:color w:val="auto"/>
                <w:sz w:val="21"/>
                <w:szCs w:val="21"/>
              </w:rPr>
              <w:t>本项目采用资格后审方式，满足资格审查合格条件或通过初步评审的投标人不足</w:t>
            </w:r>
            <w:r>
              <w:rPr>
                <w:rFonts w:hAnsi="宋体"/>
                <w:color w:val="auto"/>
                <w:sz w:val="21"/>
                <w:szCs w:val="21"/>
              </w:rPr>
              <w:t>3</w:t>
            </w:r>
            <w:r>
              <w:rPr>
                <w:rFonts w:hint="eastAsia" w:hAnsi="宋体" w:cs="宋体"/>
                <w:color w:val="auto"/>
                <w:sz w:val="21"/>
                <w:szCs w:val="21"/>
              </w:rPr>
              <w:t>名时为招标失败。招标人分析招标失败原因，修正招标方案，报有关管理部门核准后，重新组织招标。</w:t>
            </w:r>
          </w:p>
        </w:tc>
      </w:tr>
      <w:tr>
        <w:tblPrEx>
          <w:tblCellMar>
            <w:top w:w="0" w:type="dxa"/>
            <w:left w:w="0" w:type="dxa"/>
            <w:bottom w:w="0" w:type="dxa"/>
            <w:right w:w="0" w:type="dxa"/>
          </w:tblCellMar>
        </w:tblPrEx>
        <w:trPr>
          <w:trHeight w:val="1067"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10.3</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第一中标候选人放弃中标资格情形</w:t>
            </w:r>
          </w:p>
        </w:tc>
        <w:tc>
          <w:tcPr>
            <w:tcW w:w="5002" w:type="dxa"/>
            <w:tcBorders>
              <w:top w:val="single" w:color="auto" w:sz="8" w:space="0"/>
              <w:left w:val="single" w:color="auto" w:sz="8" w:space="0"/>
              <w:bottom w:val="single" w:color="auto" w:sz="8" w:space="0"/>
              <w:right w:val="single" w:color="auto" w:sz="8" w:space="0"/>
            </w:tcBorders>
            <w:vAlign w:val="bottom"/>
          </w:tcPr>
          <w:p>
            <w:pPr>
              <w:shd w:val="clear"/>
              <w:spacing w:line="312" w:lineRule="auto"/>
              <w:ind w:left="120" w:leftChars="50" w:right="120" w:rightChars="50" w:firstLine="0" w:firstLineChars="0"/>
              <w:jc w:val="left"/>
              <w:rPr>
                <w:rFonts w:hAnsi="宋体"/>
                <w:color w:val="auto"/>
                <w:sz w:val="21"/>
                <w:szCs w:val="21"/>
                <w:u w:val="single"/>
              </w:rPr>
            </w:pPr>
            <w:r>
              <w:rPr>
                <w:rFonts w:hint="eastAsia" w:hAnsi="宋体"/>
                <w:color w:val="auto"/>
                <w:sz w:val="21"/>
                <w:szCs w:val="21"/>
                <w:u w:val="single"/>
              </w:rPr>
              <w:t>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tblPrEx>
          <w:tblCellMar>
            <w:top w:w="0" w:type="dxa"/>
            <w:left w:w="0" w:type="dxa"/>
            <w:bottom w:w="0" w:type="dxa"/>
            <w:right w:w="0" w:type="dxa"/>
          </w:tblCellMar>
        </w:tblPrEx>
        <w:trPr>
          <w:trHeight w:val="629"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10.4</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中标候选人公示要求</w:t>
            </w:r>
          </w:p>
        </w:tc>
        <w:tc>
          <w:tcPr>
            <w:tcW w:w="5002" w:type="dxa"/>
            <w:tcBorders>
              <w:top w:val="single" w:color="auto" w:sz="8" w:space="0"/>
              <w:left w:val="single" w:color="auto" w:sz="8" w:space="0"/>
              <w:bottom w:val="single" w:color="auto" w:sz="8" w:space="0"/>
              <w:right w:val="single" w:color="auto" w:sz="8" w:space="0"/>
            </w:tcBorders>
            <w:vAlign w:val="bottom"/>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在产生中标候选人后，招标人将中标候选人的投标文件商务部分的电子版（报价清单、方案等涉及商业秘密的内容除外）在广州交易集团有限公司（广州公共资源交易中心）网站、广东省招标投标监管网公开。</w:t>
            </w:r>
          </w:p>
        </w:tc>
      </w:tr>
      <w:tr>
        <w:tblPrEx>
          <w:tblCellMar>
            <w:top w:w="0" w:type="dxa"/>
            <w:left w:w="0" w:type="dxa"/>
            <w:bottom w:w="0" w:type="dxa"/>
            <w:right w:w="0" w:type="dxa"/>
          </w:tblCellMar>
        </w:tblPrEx>
        <w:trPr>
          <w:trHeight w:val="359"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1</w:t>
            </w:r>
            <w:r>
              <w:rPr>
                <w:rFonts w:hAnsi="宋体"/>
                <w:color w:val="auto"/>
                <w:sz w:val="21"/>
                <w:szCs w:val="21"/>
              </w:rPr>
              <w:t>0.5</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否决投标条款</w:t>
            </w:r>
          </w:p>
        </w:tc>
        <w:tc>
          <w:tcPr>
            <w:tcW w:w="5002" w:type="dxa"/>
            <w:tcBorders>
              <w:top w:val="single" w:color="auto" w:sz="8" w:space="0"/>
              <w:left w:val="single" w:color="auto" w:sz="8" w:space="0"/>
              <w:bottom w:val="single" w:color="auto" w:sz="8" w:space="0"/>
              <w:right w:val="single" w:color="auto" w:sz="8" w:space="0"/>
            </w:tcBorders>
            <w:vAlign w:val="bottom"/>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否决投标条款：</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1、在投标截止期后逾期或未在广州交易集团有限公司（广州公共资源交易中心）数字交易平台（http://www.gzggzy.cn）递交电子投标文件的，电子招标投标交易平台将拒绝接收其投标文件。</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2、投标人未按招标文件要求提供附件或未按要求加盖电子印章及签名的，经评标委员会认定后，其投标文件将被否决。</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3、投标文件中投标报价高于最高投标限价的，其投标文件将被否决。</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4、按投标报价的算术校核原则及方法调整或修正投标文件的投标报价，调整后的投标报价对投标人起约束作用。如果投标人不接受修正后的报价，则取消其中标资格。</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5、资审合格后，投标人的资格发生变化而不满足投标人合格条件，在发出中标通知书前，资格问题仍未解决的，招标人将取消其中标资格。</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6、中标人未按本招标文件第二章 投标人须知 第6.6.1项规定提交履约担保，视为放弃中标。</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7、投标人如在本项目中存在串通投标、弄虚作假、行贿情形的，中标无效，该投标人将被招标人列入黑名单并限制其投标。行政监督部门将对其违法行为进行政处罚并通报。</w:t>
            </w:r>
          </w:p>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8、投标文件符合列于《评标办法前附表》“形式评审标准”“资格评审标准”“响应性评审标准”中所有情形的，为有效投标文件。任一情形不符合均为无效投标文件，经评标委员会认定后，其投标文件将被否决。</w:t>
            </w:r>
          </w:p>
        </w:tc>
      </w:tr>
      <w:tr>
        <w:tblPrEx>
          <w:tblCellMar>
            <w:top w:w="0" w:type="dxa"/>
            <w:left w:w="0" w:type="dxa"/>
            <w:bottom w:w="0" w:type="dxa"/>
            <w:right w:w="0" w:type="dxa"/>
          </w:tblCellMar>
        </w:tblPrEx>
        <w:trPr>
          <w:trHeight w:val="359" w:hRule="atLeast"/>
        </w:trPr>
        <w:tc>
          <w:tcPr>
            <w:tcW w:w="1235"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1</w:t>
            </w:r>
            <w:r>
              <w:rPr>
                <w:rFonts w:hAnsi="宋体"/>
                <w:color w:val="auto"/>
                <w:sz w:val="21"/>
                <w:szCs w:val="21"/>
              </w:rPr>
              <w:t>0.6</w:t>
            </w:r>
          </w:p>
        </w:tc>
        <w:tc>
          <w:tcPr>
            <w:tcW w:w="3160" w:type="dxa"/>
            <w:tcBorders>
              <w:top w:val="single" w:color="auto" w:sz="8" w:space="0"/>
              <w:left w:val="single" w:color="auto" w:sz="8" w:space="0"/>
              <w:bottom w:val="single" w:color="auto" w:sz="8" w:space="0"/>
              <w:right w:val="single" w:color="auto" w:sz="8" w:space="0"/>
            </w:tcBorders>
            <w:vAlign w:val="center"/>
          </w:tcPr>
          <w:p>
            <w:pPr>
              <w:shd w:val="clear"/>
              <w:spacing w:line="312" w:lineRule="auto"/>
              <w:ind w:left="120" w:leftChars="50" w:right="120" w:rightChars="50" w:firstLine="0" w:firstLineChars="0"/>
              <w:jc w:val="left"/>
              <w:rPr>
                <w:rFonts w:hAnsi="宋体"/>
                <w:color w:val="auto"/>
                <w:sz w:val="21"/>
                <w:szCs w:val="21"/>
              </w:rPr>
            </w:pPr>
            <w:r>
              <w:rPr>
                <w:rFonts w:hint="eastAsia" w:hAnsi="宋体"/>
                <w:color w:val="auto"/>
                <w:sz w:val="21"/>
                <w:szCs w:val="21"/>
              </w:rPr>
              <w:t>其他</w:t>
            </w:r>
          </w:p>
        </w:tc>
        <w:tc>
          <w:tcPr>
            <w:tcW w:w="5002" w:type="dxa"/>
            <w:tcBorders>
              <w:top w:val="single" w:color="auto" w:sz="8" w:space="0"/>
              <w:left w:val="single" w:color="auto" w:sz="8" w:space="0"/>
              <w:bottom w:val="single" w:color="auto" w:sz="8" w:space="0"/>
              <w:right w:val="single" w:color="auto" w:sz="8" w:space="0"/>
            </w:tcBorders>
            <w:vAlign w:val="bottom"/>
          </w:tcPr>
          <w:p>
            <w:pPr>
              <w:numPr>
                <w:ilvl w:val="0"/>
                <w:numId w:val="1"/>
              </w:numPr>
              <w:shd w:val="clear"/>
              <w:spacing w:line="312" w:lineRule="auto"/>
              <w:ind w:right="120" w:rightChars="50" w:firstLineChars="0"/>
              <w:jc w:val="left"/>
              <w:rPr>
                <w:color w:val="auto"/>
                <w:sz w:val="21"/>
                <w:szCs w:val="16"/>
              </w:rPr>
            </w:pPr>
            <w:r>
              <w:rPr>
                <w:rFonts w:hint="eastAsia"/>
                <w:color w:val="auto"/>
                <w:sz w:val="21"/>
                <w:szCs w:val="16"/>
              </w:rPr>
              <w:t>根据招标代理与招标人的约定，中标人须在领取《中标通知书》前向招标代理机构支付中标服务费（即招标代理服务费）。</w:t>
            </w:r>
          </w:p>
          <w:p>
            <w:pPr>
              <w:shd w:val="clear"/>
              <w:tabs>
                <w:tab w:val="left" w:pos="312"/>
              </w:tabs>
              <w:spacing w:line="312" w:lineRule="auto"/>
              <w:ind w:right="120" w:rightChars="50" w:firstLine="0" w:firstLineChars="0"/>
              <w:jc w:val="left"/>
              <w:rPr>
                <w:color w:val="auto"/>
                <w:sz w:val="21"/>
              </w:rPr>
            </w:pPr>
            <w:r>
              <w:rPr>
                <w:rFonts w:hint="eastAsia"/>
                <w:color w:val="auto"/>
                <w:sz w:val="21"/>
                <w:szCs w:val="16"/>
              </w:rPr>
              <w:t>收费规定：以本项目中标金额为计算基数，按中华人民共和国国家发展计划委员会颁发的计价格[2002]1980号文《招标代理服务收费管理暂行办法》规定的“服务类”标准计取。</w:t>
            </w:r>
          </w:p>
          <w:p>
            <w:pPr>
              <w:numPr>
                <w:ilvl w:val="0"/>
                <w:numId w:val="1"/>
              </w:numPr>
              <w:shd w:val="clear"/>
              <w:spacing w:line="312" w:lineRule="auto"/>
              <w:ind w:right="120" w:rightChars="50" w:firstLineChars="0"/>
              <w:jc w:val="left"/>
              <w:rPr>
                <w:color w:val="auto"/>
              </w:rPr>
            </w:pPr>
            <w:r>
              <w:rPr>
                <w:rFonts w:hint="eastAsia"/>
                <w:color w:val="auto"/>
                <w:sz w:val="21"/>
                <w:szCs w:val="16"/>
              </w:rPr>
              <w:t>中标后，中标单位须提交与网上上传电子投标文件完全一致的纸质投标文件（1正4副，需加盖企业公章及法人章）给招标人。</w:t>
            </w:r>
          </w:p>
        </w:tc>
      </w:tr>
    </w:tbl>
    <w:p>
      <w:pPr>
        <w:pStyle w:val="7"/>
        <w:shd w:val="clear"/>
        <w:rPr>
          <w:color w:val="auto"/>
        </w:rPr>
      </w:pPr>
      <w:bookmarkStart w:id="36" w:name="page21"/>
      <w:bookmarkEnd w:id="36"/>
      <w:r>
        <w:rPr>
          <w:color w:val="auto"/>
        </w:rPr>
        <w:br w:type="page"/>
      </w:r>
      <w:bookmarkStart w:id="37" w:name="_Toc35513428"/>
      <w:r>
        <w:rPr>
          <w:rFonts w:hint="eastAsia"/>
          <w:color w:val="auto"/>
        </w:rPr>
        <w:t>1.</w:t>
      </w:r>
      <w:r>
        <w:rPr>
          <w:color w:val="auto"/>
        </w:rPr>
        <w:t>总则</w:t>
      </w:r>
      <w:bookmarkEnd w:id="37"/>
    </w:p>
    <w:p>
      <w:pPr>
        <w:pStyle w:val="8"/>
        <w:shd w:val="clear"/>
        <w:ind w:firstLine="482"/>
        <w:rPr>
          <w:color w:val="auto"/>
        </w:rPr>
      </w:pPr>
      <w:bookmarkStart w:id="38" w:name="_Toc35513429"/>
      <w:r>
        <w:rPr>
          <w:color w:val="auto"/>
        </w:rPr>
        <w:t>1.1 招标项目概况</w:t>
      </w:r>
      <w:bookmarkEnd w:id="38"/>
    </w:p>
    <w:p>
      <w:pPr>
        <w:shd w:val="clear"/>
        <w:ind w:firstLine="480"/>
        <w:rPr>
          <w:color w:val="auto"/>
        </w:rPr>
      </w:pPr>
      <w:r>
        <w:rPr>
          <w:color w:val="auto"/>
        </w:rPr>
        <w:t>1.1.1 根据《中华人民共和国招标投标法》、《中华人民共和国招标投标法实施条例》等有关法律、法规和规章的规定，本招标项目已具备招标条件，现对</w:t>
      </w:r>
      <w:r>
        <w:rPr>
          <w:rFonts w:hint="eastAsia"/>
          <w:color w:val="auto"/>
        </w:rPr>
        <w:t>该项目</w:t>
      </w:r>
      <w:r>
        <w:rPr>
          <w:color w:val="auto"/>
        </w:rPr>
        <w:t>进行招标。</w:t>
      </w:r>
    </w:p>
    <w:p>
      <w:pPr>
        <w:shd w:val="clear"/>
        <w:ind w:firstLine="480"/>
        <w:rPr>
          <w:color w:val="auto"/>
        </w:rPr>
      </w:pPr>
      <w:r>
        <w:rPr>
          <w:color w:val="auto"/>
        </w:rPr>
        <w:t>1.1.2 招标人：见投标人须知前附表。</w:t>
      </w:r>
    </w:p>
    <w:p>
      <w:pPr>
        <w:shd w:val="clear"/>
        <w:ind w:firstLine="480"/>
        <w:rPr>
          <w:color w:val="auto"/>
        </w:rPr>
      </w:pPr>
      <w:r>
        <w:rPr>
          <w:color w:val="auto"/>
        </w:rPr>
        <w:t>1.1.3 招标代理机构：见投标人须知前附表。</w:t>
      </w:r>
    </w:p>
    <w:p>
      <w:pPr>
        <w:shd w:val="clear"/>
        <w:ind w:firstLine="480"/>
        <w:rPr>
          <w:color w:val="auto"/>
        </w:rPr>
      </w:pPr>
      <w:r>
        <w:rPr>
          <w:color w:val="auto"/>
        </w:rPr>
        <w:t>1.1.4 招标项目名称：见投标人须知前附表。</w:t>
      </w:r>
    </w:p>
    <w:p>
      <w:pPr>
        <w:shd w:val="clear"/>
        <w:ind w:firstLine="480"/>
        <w:rPr>
          <w:color w:val="auto"/>
        </w:rPr>
      </w:pPr>
      <w:r>
        <w:rPr>
          <w:color w:val="auto"/>
        </w:rPr>
        <w:t>1.1.5 项目建设地点：见投标人须知前附表。</w:t>
      </w:r>
    </w:p>
    <w:p>
      <w:pPr>
        <w:shd w:val="clear"/>
        <w:ind w:firstLine="480"/>
        <w:rPr>
          <w:color w:val="auto"/>
        </w:rPr>
      </w:pPr>
      <w:r>
        <w:rPr>
          <w:color w:val="auto"/>
        </w:rPr>
        <w:t>1.1.6 项目建设规模：见投标人须知前附表。</w:t>
      </w:r>
    </w:p>
    <w:p>
      <w:pPr>
        <w:shd w:val="clear"/>
        <w:ind w:firstLine="480"/>
        <w:rPr>
          <w:color w:val="auto"/>
        </w:rPr>
      </w:pPr>
      <w:r>
        <w:rPr>
          <w:color w:val="auto"/>
        </w:rPr>
        <w:t>1.1.7 工程项目施工预计开工日期和建设周期：见投标人须知前附表。</w:t>
      </w:r>
    </w:p>
    <w:p>
      <w:pPr>
        <w:shd w:val="clear"/>
        <w:ind w:firstLine="480"/>
        <w:rPr>
          <w:color w:val="auto"/>
        </w:rPr>
      </w:pPr>
      <w:r>
        <w:rPr>
          <w:color w:val="auto"/>
        </w:rPr>
        <w:t>1.1.8 建筑安装工程费/工程概算：见投标人须知前附表。</w:t>
      </w:r>
    </w:p>
    <w:p>
      <w:pPr>
        <w:pStyle w:val="8"/>
        <w:shd w:val="clear"/>
        <w:ind w:firstLine="482"/>
        <w:rPr>
          <w:color w:val="auto"/>
        </w:rPr>
      </w:pPr>
      <w:bookmarkStart w:id="39" w:name="_Toc35513430"/>
      <w:r>
        <w:rPr>
          <w:color w:val="auto"/>
        </w:rPr>
        <w:t>1.2 招标项目的资金来源和落实情况</w:t>
      </w:r>
      <w:bookmarkEnd w:id="39"/>
    </w:p>
    <w:p>
      <w:pPr>
        <w:shd w:val="clear"/>
        <w:ind w:firstLine="480"/>
        <w:rPr>
          <w:color w:val="auto"/>
        </w:rPr>
      </w:pPr>
      <w:r>
        <w:rPr>
          <w:color w:val="auto"/>
        </w:rPr>
        <w:t>1.2.1 资金来源及比例：见投标人须知前附表。</w:t>
      </w:r>
    </w:p>
    <w:p>
      <w:pPr>
        <w:shd w:val="clear"/>
        <w:ind w:firstLine="480"/>
        <w:rPr>
          <w:color w:val="auto"/>
        </w:rPr>
      </w:pPr>
      <w:r>
        <w:rPr>
          <w:color w:val="auto"/>
        </w:rPr>
        <w:t>1.2.2 资金落实情况：见投标人须知前附表。</w:t>
      </w:r>
    </w:p>
    <w:p>
      <w:pPr>
        <w:pStyle w:val="8"/>
        <w:shd w:val="clear"/>
        <w:ind w:firstLine="482"/>
        <w:rPr>
          <w:color w:val="auto"/>
        </w:rPr>
      </w:pPr>
      <w:bookmarkStart w:id="40" w:name="_Toc35513431"/>
      <w:r>
        <w:rPr>
          <w:color w:val="auto"/>
        </w:rPr>
        <w:t>1.3 招标范围、服务期限和质量标准</w:t>
      </w:r>
      <w:bookmarkEnd w:id="40"/>
    </w:p>
    <w:p>
      <w:pPr>
        <w:shd w:val="clear"/>
        <w:ind w:firstLine="480"/>
        <w:rPr>
          <w:color w:val="auto"/>
        </w:rPr>
      </w:pPr>
      <w:r>
        <w:rPr>
          <w:color w:val="auto"/>
        </w:rPr>
        <w:t>1.3.1 招标范围：见投标人须知前附表。</w:t>
      </w:r>
    </w:p>
    <w:p>
      <w:pPr>
        <w:shd w:val="clear"/>
        <w:ind w:firstLine="480"/>
        <w:rPr>
          <w:color w:val="auto"/>
        </w:rPr>
      </w:pPr>
      <w:r>
        <w:rPr>
          <w:color w:val="auto"/>
        </w:rPr>
        <w:t>1.3.2服务期限：见投标人须知前附表。</w:t>
      </w:r>
    </w:p>
    <w:p>
      <w:pPr>
        <w:shd w:val="clear"/>
        <w:ind w:firstLine="480"/>
        <w:rPr>
          <w:color w:val="auto"/>
        </w:rPr>
      </w:pPr>
      <w:r>
        <w:rPr>
          <w:color w:val="auto"/>
        </w:rPr>
        <w:t>1.3.3 质量标准：见投标人须知前附表。</w:t>
      </w:r>
    </w:p>
    <w:p>
      <w:pPr>
        <w:pStyle w:val="8"/>
        <w:shd w:val="clear"/>
        <w:ind w:firstLine="482"/>
        <w:rPr>
          <w:color w:val="auto"/>
        </w:rPr>
      </w:pPr>
      <w:bookmarkStart w:id="41" w:name="_Toc35513432"/>
      <w:r>
        <w:rPr>
          <w:color w:val="auto"/>
        </w:rPr>
        <w:t>1.4 投标人资格要求</w:t>
      </w:r>
      <w:bookmarkEnd w:id="41"/>
    </w:p>
    <w:p>
      <w:pPr>
        <w:shd w:val="clear"/>
        <w:ind w:firstLine="480"/>
        <w:rPr>
          <w:color w:val="auto"/>
        </w:rPr>
      </w:pPr>
      <w:r>
        <w:rPr>
          <w:color w:val="auto"/>
        </w:rPr>
        <w:t>1.4.1 投标人应具备承担本招标项目资质条件、能力和信誉：</w:t>
      </w:r>
    </w:p>
    <w:p>
      <w:pPr>
        <w:shd w:val="clear"/>
        <w:ind w:firstLine="480"/>
        <w:rPr>
          <w:color w:val="auto"/>
        </w:rPr>
      </w:pPr>
      <w:r>
        <w:rPr>
          <w:color w:val="auto"/>
        </w:rPr>
        <w:t>（1）资质要求：见投标人须知前附表；</w:t>
      </w:r>
    </w:p>
    <w:p>
      <w:pPr>
        <w:shd w:val="clear"/>
        <w:ind w:firstLine="480"/>
        <w:rPr>
          <w:color w:val="auto"/>
        </w:rPr>
      </w:pPr>
      <w:r>
        <w:rPr>
          <w:color w:val="auto"/>
        </w:rPr>
        <w:t>（2）财务要求：见投标人须知前附表；</w:t>
      </w:r>
    </w:p>
    <w:p>
      <w:pPr>
        <w:shd w:val="clear"/>
        <w:ind w:firstLine="480"/>
        <w:rPr>
          <w:color w:val="auto"/>
        </w:rPr>
      </w:pPr>
      <w:r>
        <w:rPr>
          <w:color w:val="auto"/>
        </w:rPr>
        <w:t>（3）业绩要求：见投标人须知前附表；</w:t>
      </w:r>
    </w:p>
    <w:p>
      <w:pPr>
        <w:shd w:val="clear"/>
        <w:ind w:firstLine="480"/>
        <w:rPr>
          <w:color w:val="auto"/>
        </w:rPr>
      </w:pPr>
      <w:r>
        <w:rPr>
          <w:rFonts w:hint="eastAsia"/>
          <w:color w:val="auto"/>
        </w:rPr>
        <w:t>（4）</w:t>
      </w:r>
      <w:r>
        <w:rPr>
          <w:color w:val="auto"/>
        </w:rPr>
        <w:t>信誉要求：见投标人须知前附表；</w:t>
      </w:r>
    </w:p>
    <w:p>
      <w:pPr>
        <w:shd w:val="clear"/>
        <w:ind w:firstLine="480"/>
        <w:rPr>
          <w:color w:val="auto"/>
        </w:rPr>
      </w:pPr>
      <w:r>
        <w:rPr>
          <w:rFonts w:hint="eastAsia"/>
          <w:color w:val="auto"/>
        </w:rPr>
        <w:t>（5）</w:t>
      </w:r>
      <w:r>
        <w:rPr>
          <w:color w:val="auto"/>
        </w:rPr>
        <w:t>项目负责人要求：见投标人须知前</w:t>
      </w:r>
      <w:bookmarkStart w:id="42" w:name="page22"/>
      <w:bookmarkEnd w:id="42"/>
      <w:r>
        <w:rPr>
          <w:color w:val="auto"/>
        </w:rPr>
        <w:t>附表；</w:t>
      </w:r>
    </w:p>
    <w:p>
      <w:pPr>
        <w:shd w:val="clear"/>
        <w:ind w:firstLine="480"/>
        <w:rPr>
          <w:color w:val="auto"/>
        </w:rPr>
      </w:pPr>
      <w:r>
        <w:rPr>
          <w:color w:val="auto"/>
        </w:rPr>
        <w:t>（6）其他主要人员要求：见投标人须知前附表。</w:t>
      </w:r>
    </w:p>
    <w:p>
      <w:pPr>
        <w:shd w:val="clear"/>
        <w:ind w:firstLine="480"/>
        <w:rPr>
          <w:color w:val="auto"/>
        </w:rPr>
      </w:pPr>
      <w:r>
        <w:rPr>
          <w:color w:val="auto"/>
        </w:rPr>
        <w:t>（7）试验检测仪器设备要求：见投标人须知前附表。</w:t>
      </w:r>
    </w:p>
    <w:p>
      <w:pPr>
        <w:shd w:val="clear"/>
        <w:ind w:firstLine="480"/>
        <w:rPr>
          <w:color w:val="auto"/>
        </w:rPr>
      </w:pPr>
      <w:r>
        <w:rPr>
          <w:color w:val="auto"/>
        </w:rPr>
        <w:t>（8）其他要求：见投标人须知前附表。</w:t>
      </w:r>
    </w:p>
    <w:p>
      <w:pPr>
        <w:shd w:val="clear"/>
        <w:ind w:firstLine="480"/>
        <w:rPr>
          <w:color w:val="auto"/>
        </w:rPr>
      </w:pPr>
      <w:r>
        <w:rPr>
          <w:color w:val="auto"/>
        </w:rPr>
        <w:t>需要提交的相关证明材料见本章第 3.5 款的规定。</w:t>
      </w:r>
    </w:p>
    <w:p>
      <w:pPr>
        <w:shd w:val="clear"/>
        <w:ind w:firstLine="480"/>
        <w:rPr>
          <w:strike/>
          <w:color w:val="auto"/>
        </w:rPr>
      </w:pPr>
      <w:r>
        <w:rPr>
          <w:strike/>
          <w:color w:val="auto"/>
        </w:rPr>
        <w:t>1.4.2 投标人须知前附表规定接受联合体投标的，联合体除应符合本章第 1.4.1 项和投标人须知前附表的要求外，还应遵守以下规定：</w:t>
      </w:r>
    </w:p>
    <w:p>
      <w:pPr>
        <w:shd w:val="clear"/>
        <w:ind w:firstLine="480"/>
        <w:rPr>
          <w:strike/>
          <w:color w:val="auto"/>
        </w:rPr>
      </w:pPr>
      <w:r>
        <w:rPr>
          <w:strike/>
          <w:color w:val="auto"/>
        </w:rPr>
        <w:t>（1）联合体各方应按招标文件提供的格式签订联合体协议书，明确联合体主办方和各方权利义务，并承诺就中标项目向招标人承担连带责任；</w:t>
      </w:r>
    </w:p>
    <w:p>
      <w:pPr>
        <w:shd w:val="clear"/>
        <w:ind w:firstLine="480"/>
        <w:rPr>
          <w:strike/>
          <w:color w:val="auto"/>
        </w:rPr>
      </w:pPr>
      <w:r>
        <w:rPr>
          <w:strike/>
          <w:color w:val="auto"/>
        </w:rPr>
        <w:t>（2）由同一专业的单位组成的联合体，按照资质等级较低的单位确定资质等级；</w:t>
      </w:r>
    </w:p>
    <w:p>
      <w:pPr>
        <w:shd w:val="clear"/>
        <w:ind w:firstLine="480"/>
        <w:rPr>
          <w:color w:val="auto"/>
        </w:rPr>
      </w:pPr>
      <w:r>
        <w:rPr>
          <w:strike/>
          <w:color w:val="auto"/>
        </w:rPr>
        <w:t>（3）联合体各方不得再以自己名义单独或参加其他联合体在本招标项目中投标，否则各相关投标均无效。</w:t>
      </w:r>
    </w:p>
    <w:p>
      <w:pPr>
        <w:shd w:val="clear"/>
        <w:ind w:firstLine="480"/>
        <w:rPr>
          <w:color w:val="auto"/>
        </w:rPr>
      </w:pPr>
      <w:r>
        <w:rPr>
          <w:color w:val="auto"/>
        </w:rPr>
        <w:t>1.4.3 投标人不得存在下列情形之一：</w:t>
      </w:r>
    </w:p>
    <w:p>
      <w:pPr>
        <w:shd w:val="clear"/>
        <w:ind w:firstLine="480"/>
        <w:rPr>
          <w:color w:val="auto"/>
        </w:rPr>
      </w:pPr>
      <w:r>
        <w:rPr>
          <w:color w:val="auto"/>
        </w:rPr>
        <w:t>（1）为招标人不具有独立法人资格的附属机构（单位）；</w:t>
      </w:r>
    </w:p>
    <w:p>
      <w:pPr>
        <w:shd w:val="clear"/>
        <w:ind w:firstLine="480"/>
        <w:rPr>
          <w:color w:val="auto"/>
        </w:rPr>
      </w:pPr>
      <w:r>
        <w:rPr>
          <w:color w:val="auto"/>
        </w:rPr>
        <w:t>（</w:t>
      </w:r>
      <w:r>
        <w:rPr>
          <w:rFonts w:hint="eastAsia"/>
          <w:color w:val="auto"/>
        </w:rPr>
        <w:t>2</w:t>
      </w:r>
      <w:r>
        <w:rPr>
          <w:color w:val="auto"/>
        </w:rPr>
        <w:t>）与本招标项目的其他投标人为同一个单位负责人；</w:t>
      </w:r>
    </w:p>
    <w:p>
      <w:pPr>
        <w:shd w:val="clear"/>
        <w:ind w:firstLine="480"/>
        <w:rPr>
          <w:color w:val="auto"/>
        </w:rPr>
      </w:pPr>
      <w:r>
        <w:rPr>
          <w:color w:val="auto"/>
        </w:rPr>
        <w:t>（</w:t>
      </w:r>
      <w:r>
        <w:rPr>
          <w:rFonts w:hint="eastAsia"/>
          <w:color w:val="auto"/>
        </w:rPr>
        <w:t>3</w:t>
      </w:r>
      <w:r>
        <w:rPr>
          <w:color w:val="auto"/>
        </w:rPr>
        <w:t>）与本招标项目的其他投标人存在控股、管理关系；</w:t>
      </w:r>
    </w:p>
    <w:p>
      <w:pPr>
        <w:shd w:val="clear"/>
        <w:ind w:firstLine="480"/>
        <w:rPr>
          <w:color w:val="auto"/>
        </w:rPr>
      </w:pPr>
      <w:r>
        <w:rPr>
          <w:color w:val="auto"/>
        </w:rPr>
        <w:t>（</w:t>
      </w:r>
      <w:r>
        <w:rPr>
          <w:rFonts w:hint="eastAsia"/>
          <w:color w:val="auto"/>
        </w:rPr>
        <w:t>4</w:t>
      </w:r>
      <w:r>
        <w:rPr>
          <w:color w:val="auto"/>
        </w:rPr>
        <w:t>）为本</w:t>
      </w:r>
      <w:r>
        <w:rPr>
          <w:rFonts w:hint="eastAsia"/>
          <w:color w:val="auto"/>
        </w:rPr>
        <w:t>次</w:t>
      </w:r>
      <w:r>
        <w:rPr>
          <w:color w:val="auto"/>
        </w:rPr>
        <w:t>招标项目的招标代理机构；</w:t>
      </w:r>
    </w:p>
    <w:p>
      <w:pPr>
        <w:shd w:val="clear"/>
        <w:ind w:firstLine="480"/>
        <w:rPr>
          <w:color w:val="auto"/>
        </w:rPr>
      </w:pPr>
      <w:r>
        <w:rPr>
          <w:color w:val="auto"/>
        </w:rPr>
        <w:t>（</w:t>
      </w:r>
      <w:r>
        <w:rPr>
          <w:rFonts w:hint="eastAsia"/>
          <w:color w:val="auto"/>
        </w:rPr>
        <w:t>5</w:t>
      </w:r>
      <w:r>
        <w:rPr>
          <w:color w:val="auto"/>
        </w:rPr>
        <w:t>）与本</w:t>
      </w:r>
      <w:r>
        <w:rPr>
          <w:rFonts w:hint="eastAsia"/>
          <w:color w:val="auto"/>
        </w:rPr>
        <w:t>次</w:t>
      </w:r>
      <w:r>
        <w:rPr>
          <w:color w:val="auto"/>
        </w:rPr>
        <w:t>招标项目招标代理机构同为一个法定代表人；</w:t>
      </w:r>
    </w:p>
    <w:p>
      <w:pPr>
        <w:shd w:val="clear"/>
        <w:ind w:firstLine="480"/>
        <w:rPr>
          <w:color w:val="auto"/>
        </w:rPr>
      </w:pPr>
      <w:r>
        <w:rPr>
          <w:color w:val="auto"/>
        </w:rPr>
        <w:t>（</w:t>
      </w:r>
      <w:r>
        <w:rPr>
          <w:rFonts w:hint="eastAsia"/>
          <w:color w:val="auto"/>
        </w:rPr>
        <w:t>6</w:t>
      </w:r>
      <w:r>
        <w:rPr>
          <w:color w:val="auto"/>
        </w:rPr>
        <w:t>）与本</w:t>
      </w:r>
      <w:r>
        <w:rPr>
          <w:rFonts w:hint="eastAsia"/>
          <w:color w:val="auto"/>
        </w:rPr>
        <w:t>次</w:t>
      </w:r>
      <w:r>
        <w:rPr>
          <w:color w:val="auto"/>
        </w:rPr>
        <w:t>招标项目的招标代理机构存在控股或参股关系；</w:t>
      </w:r>
    </w:p>
    <w:p>
      <w:pPr>
        <w:shd w:val="clear"/>
        <w:ind w:firstLine="480"/>
        <w:rPr>
          <w:color w:val="auto"/>
        </w:rPr>
      </w:pPr>
      <w:r>
        <w:rPr>
          <w:color w:val="auto"/>
        </w:rPr>
        <w:t>（</w:t>
      </w:r>
      <w:r>
        <w:rPr>
          <w:rFonts w:hint="eastAsia"/>
          <w:color w:val="auto"/>
        </w:rPr>
        <w:t>7</w:t>
      </w:r>
      <w:r>
        <w:rPr>
          <w:color w:val="auto"/>
        </w:rPr>
        <w:t>）与本招标项目的施工承包人以及建筑材料、建筑构配件和设备供应商有隶属关系或者其他利害关系；</w:t>
      </w:r>
    </w:p>
    <w:p>
      <w:pPr>
        <w:shd w:val="clear"/>
        <w:ind w:firstLine="480"/>
        <w:rPr>
          <w:color w:val="auto"/>
        </w:rPr>
      </w:pPr>
      <w:r>
        <w:rPr>
          <w:color w:val="auto"/>
        </w:rPr>
        <w:t>（</w:t>
      </w:r>
      <w:r>
        <w:rPr>
          <w:rFonts w:hint="eastAsia"/>
          <w:color w:val="auto"/>
        </w:rPr>
        <w:t>8</w:t>
      </w:r>
      <w:r>
        <w:rPr>
          <w:color w:val="auto"/>
        </w:rPr>
        <w:t>）被依法暂停或者取消投标资格；</w:t>
      </w:r>
    </w:p>
    <w:p>
      <w:pPr>
        <w:shd w:val="clear"/>
        <w:ind w:firstLine="480"/>
        <w:rPr>
          <w:color w:val="auto"/>
        </w:rPr>
      </w:pPr>
      <w:r>
        <w:rPr>
          <w:color w:val="auto"/>
        </w:rPr>
        <w:t>（</w:t>
      </w:r>
      <w:r>
        <w:rPr>
          <w:rFonts w:hint="eastAsia"/>
          <w:color w:val="auto"/>
        </w:rPr>
        <w:t>9</w:t>
      </w:r>
      <w:r>
        <w:rPr>
          <w:color w:val="auto"/>
        </w:rPr>
        <w:t>）被责令停产停业、暂扣或者吊销许可证、暂扣或者吊销执照；</w:t>
      </w:r>
    </w:p>
    <w:p>
      <w:pPr>
        <w:shd w:val="clear"/>
        <w:ind w:firstLine="480"/>
        <w:rPr>
          <w:color w:val="auto"/>
        </w:rPr>
      </w:pPr>
      <w:r>
        <w:rPr>
          <w:color w:val="auto"/>
        </w:rPr>
        <w:t>（1</w:t>
      </w:r>
      <w:r>
        <w:rPr>
          <w:rFonts w:hint="eastAsia"/>
          <w:color w:val="auto"/>
        </w:rPr>
        <w:t>0</w:t>
      </w:r>
      <w:r>
        <w:rPr>
          <w:color w:val="auto"/>
        </w:rPr>
        <w:t>）进入清算程序，或被宣告破产，或其他丧失履约能力的情形；</w:t>
      </w:r>
    </w:p>
    <w:p>
      <w:pPr>
        <w:shd w:val="clear"/>
        <w:ind w:firstLine="480"/>
        <w:rPr>
          <w:color w:val="auto"/>
        </w:rPr>
      </w:pPr>
      <w:r>
        <w:rPr>
          <w:color w:val="auto"/>
        </w:rPr>
        <w:t>（1</w:t>
      </w:r>
      <w:r>
        <w:rPr>
          <w:rFonts w:hint="eastAsia"/>
          <w:color w:val="auto"/>
        </w:rPr>
        <w:t>1</w:t>
      </w:r>
      <w:r>
        <w:rPr>
          <w:color w:val="auto"/>
        </w:rPr>
        <w:t>）在最近三年内发生重大工程质量问题（以相关行业主管部门的行政处罚决定或司法机关出具的有关法律文书为准）；</w:t>
      </w:r>
    </w:p>
    <w:p>
      <w:pPr>
        <w:shd w:val="clear"/>
        <w:ind w:firstLine="480"/>
        <w:rPr>
          <w:color w:val="auto"/>
        </w:rPr>
      </w:pPr>
      <w:r>
        <w:rPr>
          <w:color w:val="auto"/>
        </w:rPr>
        <w:t>（1</w:t>
      </w:r>
      <w:r>
        <w:rPr>
          <w:rFonts w:hint="eastAsia"/>
          <w:color w:val="auto"/>
        </w:rPr>
        <w:t>2</w:t>
      </w:r>
      <w:r>
        <w:rPr>
          <w:color w:val="auto"/>
        </w:rPr>
        <w:t>）被工商行政管理机关在全国企业信用信息公示系统中列入严重违法失信企业名单；</w:t>
      </w:r>
    </w:p>
    <w:p>
      <w:pPr>
        <w:shd w:val="clear"/>
        <w:ind w:firstLine="480"/>
        <w:rPr>
          <w:color w:val="auto"/>
        </w:rPr>
      </w:pPr>
      <w:r>
        <w:rPr>
          <w:color w:val="auto"/>
        </w:rPr>
        <w:t>（1</w:t>
      </w:r>
      <w:r>
        <w:rPr>
          <w:rFonts w:hint="eastAsia"/>
          <w:color w:val="auto"/>
        </w:rPr>
        <w:t>3</w:t>
      </w:r>
      <w:r>
        <w:rPr>
          <w:color w:val="auto"/>
        </w:rPr>
        <w:t>）被最高人民法院在“信用中国”网站（www.creditchina.gov.cn）或各级信用信息共享平台中列入失信被执行人名单；</w:t>
      </w:r>
    </w:p>
    <w:p>
      <w:pPr>
        <w:shd w:val="clear"/>
        <w:ind w:firstLine="480"/>
        <w:rPr>
          <w:color w:val="auto"/>
        </w:rPr>
      </w:pPr>
      <w:r>
        <w:rPr>
          <w:color w:val="auto"/>
        </w:rPr>
        <w:t>（1</w:t>
      </w:r>
      <w:r>
        <w:rPr>
          <w:rFonts w:hint="eastAsia"/>
          <w:color w:val="auto"/>
        </w:rPr>
        <w:t>4</w:t>
      </w:r>
      <w:r>
        <w:rPr>
          <w:color w:val="auto"/>
        </w:rPr>
        <w:t>）法律法规或投标人须知前附表规定的其他情形。</w:t>
      </w:r>
    </w:p>
    <w:p>
      <w:pPr>
        <w:pStyle w:val="8"/>
        <w:shd w:val="clear"/>
        <w:ind w:firstLine="482"/>
        <w:rPr>
          <w:color w:val="auto"/>
        </w:rPr>
      </w:pPr>
      <w:bookmarkStart w:id="43" w:name="_Toc35513433"/>
      <w:r>
        <w:rPr>
          <w:color w:val="auto"/>
        </w:rPr>
        <w:t xml:space="preserve">1.5 </w:t>
      </w:r>
      <w:r>
        <w:rPr>
          <w:rFonts w:hint="eastAsia" w:cs="黑体"/>
          <w:color w:val="auto"/>
        </w:rPr>
        <w:t>费用承担</w:t>
      </w:r>
      <w:bookmarkEnd w:id="43"/>
    </w:p>
    <w:p>
      <w:pPr>
        <w:shd w:val="clear"/>
        <w:ind w:firstLine="480"/>
        <w:rPr>
          <w:color w:val="auto"/>
        </w:rPr>
      </w:pPr>
      <w:r>
        <w:rPr>
          <w:color w:val="auto"/>
        </w:rPr>
        <w:t>投标人准备和参加投标活动发生的费用自理。</w:t>
      </w:r>
    </w:p>
    <w:p>
      <w:pPr>
        <w:pStyle w:val="8"/>
        <w:shd w:val="clear"/>
        <w:ind w:firstLine="482"/>
        <w:rPr>
          <w:color w:val="auto"/>
        </w:rPr>
      </w:pPr>
      <w:bookmarkStart w:id="44" w:name="_Toc35513434"/>
      <w:r>
        <w:rPr>
          <w:color w:val="auto"/>
        </w:rPr>
        <w:t xml:space="preserve">1.6 </w:t>
      </w:r>
      <w:r>
        <w:rPr>
          <w:rFonts w:hint="eastAsia" w:cs="黑体"/>
          <w:color w:val="auto"/>
        </w:rPr>
        <w:t>保密</w:t>
      </w:r>
      <w:bookmarkEnd w:id="44"/>
    </w:p>
    <w:p>
      <w:pPr>
        <w:shd w:val="clear"/>
        <w:ind w:firstLine="480"/>
        <w:rPr>
          <w:color w:val="auto"/>
        </w:rPr>
      </w:pPr>
      <w:r>
        <w:rPr>
          <w:color w:val="auto"/>
        </w:rPr>
        <w:t>参与招标投标活动的各方应对招标文件和投标文件中的商业和技术等秘密保密，否则应承担相应的法律责任。</w:t>
      </w:r>
    </w:p>
    <w:p>
      <w:pPr>
        <w:pStyle w:val="8"/>
        <w:shd w:val="clear"/>
        <w:ind w:firstLine="482"/>
        <w:rPr>
          <w:color w:val="auto"/>
        </w:rPr>
      </w:pPr>
      <w:bookmarkStart w:id="45" w:name="_Toc35513435"/>
      <w:r>
        <w:rPr>
          <w:color w:val="auto"/>
        </w:rPr>
        <w:t>1.7 语言文字</w:t>
      </w:r>
      <w:bookmarkEnd w:id="45"/>
    </w:p>
    <w:p>
      <w:pPr>
        <w:shd w:val="clear"/>
        <w:ind w:firstLine="480"/>
        <w:rPr>
          <w:color w:val="auto"/>
        </w:rPr>
      </w:pPr>
      <w:r>
        <w:rPr>
          <w:color w:val="auto"/>
        </w:rPr>
        <w:t>招标投标文件使用的语言文字为中文。专用术语使用外文的，应附有中文注释。</w:t>
      </w:r>
    </w:p>
    <w:p>
      <w:pPr>
        <w:pStyle w:val="8"/>
        <w:shd w:val="clear"/>
        <w:ind w:firstLine="482"/>
        <w:rPr>
          <w:color w:val="auto"/>
        </w:rPr>
      </w:pPr>
      <w:bookmarkStart w:id="46" w:name="_Toc35513436"/>
      <w:r>
        <w:rPr>
          <w:color w:val="auto"/>
        </w:rPr>
        <w:t>1.8 计量单位</w:t>
      </w:r>
      <w:bookmarkEnd w:id="46"/>
    </w:p>
    <w:p>
      <w:pPr>
        <w:shd w:val="clear"/>
        <w:ind w:firstLine="480"/>
        <w:rPr>
          <w:color w:val="auto"/>
        </w:rPr>
      </w:pPr>
      <w:r>
        <w:rPr>
          <w:color w:val="auto"/>
        </w:rPr>
        <w:t>所有计量均采用中华人民共和国法定计量单位。</w:t>
      </w:r>
    </w:p>
    <w:p>
      <w:pPr>
        <w:pStyle w:val="8"/>
        <w:shd w:val="clear"/>
        <w:ind w:firstLine="482"/>
        <w:rPr>
          <w:color w:val="auto"/>
        </w:rPr>
      </w:pPr>
      <w:bookmarkStart w:id="47" w:name="_Toc35513437"/>
      <w:r>
        <w:rPr>
          <w:color w:val="auto"/>
        </w:rPr>
        <w:t>1.9 踏勘现场</w:t>
      </w:r>
      <w:bookmarkEnd w:id="47"/>
    </w:p>
    <w:p>
      <w:pPr>
        <w:shd w:val="clear"/>
        <w:ind w:firstLine="480"/>
        <w:rPr>
          <w:strike/>
          <w:color w:val="auto"/>
        </w:rPr>
      </w:pPr>
      <w:r>
        <w:rPr>
          <w:strike/>
          <w:color w:val="auto"/>
        </w:rPr>
        <w:t>1.9.1 投标人须知前附表规定组织踏勘现场的，招标人按投标人须知前附表规定的时间、地点组织投标人踏勘项目现场。部分投标人未按时参加踏勘现场的，不影响踏勘现场的正常进行。</w:t>
      </w:r>
    </w:p>
    <w:p>
      <w:pPr>
        <w:shd w:val="clear"/>
        <w:ind w:firstLine="480"/>
        <w:rPr>
          <w:color w:val="auto"/>
        </w:rPr>
      </w:pPr>
      <w:r>
        <w:rPr>
          <w:color w:val="auto"/>
        </w:rPr>
        <w:t>1.9.2 投标人踏勘现场发生的费用自理。</w:t>
      </w:r>
    </w:p>
    <w:p>
      <w:pPr>
        <w:shd w:val="clear"/>
        <w:ind w:firstLine="480"/>
        <w:rPr>
          <w:color w:val="auto"/>
        </w:rPr>
      </w:pPr>
      <w:r>
        <w:rPr>
          <w:color w:val="auto"/>
        </w:rPr>
        <w:t>1.9.3 除招标人的原因外，投标人自行负责在踏勘现场中所发生的人员伤亡和财产损失。</w:t>
      </w:r>
    </w:p>
    <w:p>
      <w:pPr>
        <w:shd w:val="clear"/>
        <w:ind w:firstLine="480"/>
        <w:rPr>
          <w:color w:val="auto"/>
        </w:rPr>
      </w:pPr>
      <w:r>
        <w:rPr>
          <w:color w:val="auto"/>
        </w:rPr>
        <w:t>1.9.4 招标人在踏勘现场中介绍的工程场地和相关的周边环境情况，供投标人在编制投标文件时参考，招标人不对投标人据此作出的判断和决策负责。</w:t>
      </w:r>
    </w:p>
    <w:p>
      <w:pPr>
        <w:pStyle w:val="8"/>
        <w:shd w:val="clear"/>
        <w:ind w:firstLine="482"/>
        <w:rPr>
          <w:color w:val="auto"/>
        </w:rPr>
      </w:pPr>
      <w:bookmarkStart w:id="48" w:name="_Toc35513438"/>
      <w:r>
        <w:rPr>
          <w:color w:val="auto"/>
        </w:rPr>
        <w:t>1.10 投标预备会</w:t>
      </w:r>
      <w:bookmarkEnd w:id="48"/>
    </w:p>
    <w:p>
      <w:pPr>
        <w:shd w:val="clear"/>
        <w:ind w:firstLine="480"/>
        <w:rPr>
          <w:strike/>
          <w:color w:val="auto"/>
        </w:rPr>
      </w:pPr>
      <w:r>
        <w:rPr>
          <w:strike/>
          <w:color w:val="auto"/>
        </w:rPr>
        <w:t>1.10.1 投标人须知前附表规定召开投标预备会的，招标人按投标人须知前附表规定的时间和地点召开投标预备会，澄清投标人提出的问题。</w:t>
      </w:r>
    </w:p>
    <w:p>
      <w:pPr>
        <w:shd w:val="clear"/>
        <w:ind w:firstLine="480"/>
        <w:rPr>
          <w:strike/>
          <w:color w:val="auto"/>
        </w:rPr>
      </w:pPr>
      <w:r>
        <w:rPr>
          <w:strike/>
          <w:color w:val="auto"/>
        </w:rPr>
        <w:t>1.10.2 投标人应按投标人须知前附表规定的时间和形式将提出的问题送达招标人，以便招标人在会议期间澄清。</w:t>
      </w:r>
    </w:p>
    <w:p>
      <w:pPr>
        <w:shd w:val="clear"/>
        <w:ind w:firstLine="0" w:firstLineChars="0"/>
        <w:rPr>
          <w:strike/>
          <w:color w:val="auto"/>
        </w:rPr>
      </w:pPr>
      <w:r>
        <w:rPr>
          <w:rFonts w:hint="eastAsia"/>
          <w:strike/>
          <w:color w:val="auto"/>
        </w:rPr>
        <w:t xml:space="preserve"> </w:t>
      </w:r>
      <w:r>
        <w:rPr>
          <w:strike/>
          <w:color w:val="auto"/>
        </w:rPr>
        <w:t xml:space="preserve">   1.10.3 投标预备会后，招标人将对投标人所提问题的澄清，以投标人须知前附表规定的形式通知所有购买招标文件的投标人。该澄清内容为招标文件的组成</w:t>
      </w:r>
      <w:bookmarkStart w:id="49" w:name="page24"/>
      <w:bookmarkEnd w:id="49"/>
      <w:r>
        <w:rPr>
          <w:strike/>
          <w:color w:val="auto"/>
        </w:rPr>
        <w:t>部分。</w:t>
      </w:r>
    </w:p>
    <w:p>
      <w:pPr>
        <w:keepNext/>
        <w:keepLines/>
        <w:shd w:val="clear"/>
        <w:spacing w:before="48" w:beforeLines="20" w:after="48" w:afterLines="20"/>
        <w:ind w:firstLine="643"/>
        <w:outlineLvl w:val="2"/>
        <w:rPr>
          <w:rFonts w:hAnsi="宋体"/>
          <w:b/>
          <w:bCs/>
          <w:color w:val="auto"/>
          <w:sz w:val="32"/>
          <w:szCs w:val="32"/>
        </w:rPr>
      </w:pPr>
      <w:bookmarkStart w:id="50" w:name="_Toc35513440"/>
      <w:r>
        <w:rPr>
          <w:rFonts w:hint="eastAsia" w:hAnsi="宋体"/>
          <w:b/>
          <w:bCs/>
          <w:color w:val="auto"/>
          <w:sz w:val="32"/>
          <w:szCs w:val="32"/>
        </w:rPr>
        <w:t>1.11 分包</w:t>
      </w:r>
    </w:p>
    <w:p>
      <w:pPr>
        <w:shd w:val="clear"/>
        <w:ind w:firstLine="480"/>
        <w:rPr>
          <w:rFonts w:hAnsi="宋体"/>
          <w:color w:val="auto"/>
        </w:rPr>
      </w:pPr>
      <w:r>
        <w:rPr>
          <w:rFonts w:hint="eastAsia" w:hAnsi="宋体"/>
          <w:color w:val="auto"/>
        </w:rPr>
        <w:t>本项目严禁分包。</w:t>
      </w:r>
    </w:p>
    <w:p>
      <w:pPr>
        <w:keepNext/>
        <w:keepLines/>
        <w:shd w:val="clear"/>
        <w:spacing w:before="48" w:beforeLines="20" w:after="48" w:afterLines="20"/>
        <w:ind w:firstLine="643"/>
        <w:outlineLvl w:val="2"/>
        <w:rPr>
          <w:rFonts w:hAnsi="宋体"/>
          <w:b/>
          <w:bCs/>
          <w:color w:val="auto"/>
          <w:sz w:val="32"/>
          <w:szCs w:val="32"/>
        </w:rPr>
      </w:pPr>
      <w:r>
        <w:rPr>
          <w:rFonts w:hint="eastAsia" w:hAnsi="宋体"/>
          <w:b/>
          <w:bCs/>
          <w:color w:val="auto"/>
          <w:sz w:val="32"/>
          <w:szCs w:val="32"/>
        </w:rPr>
        <w:t>1.12 响应和偏差</w:t>
      </w:r>
    </w:p>
    <w:p>
      <w:pPr>
        <w:shd w:val="clear"/>
        <w:ind w:firstLine="480"/>
        <w:rPr>
          <w:color w:val="auto"/>
        </w:rPr>
      </w:pPr>
      <w:r>
        <w:rPr>
          <w:rFonts w:hint="eastAsia"/>
          <w:color w:val="auto"/>
        </w:rPr>
        <w:t>1.12.1 投标文件应当对招标文件的实质性要求和条件作出满足性或更有利于招标人的响应，否则，投标人的投标将被否决。实质性要求和条件见投标人须知前附表。</w:t>
      </w:r>
    </w:p>
    <w:p>
      <w:pPr>
        <w:shd w:val="clear"/>
        <w:ind w:firstLine="480"/>
        <w:rPr>
          <w:color w:val="auto"/>
        </w:rPr>
      </w:pPr>
      <w:r>
        <w:rPr>
          <w:rFonts w:hint="eastAsia"/>
          <w:color w:val="auto"/>
        </w:rPr>
        <w:t>1.12.2 投标人应根据招标文件的要求提供投标服务方案等内容以对招标文件作出响应。</w:t>
      </w:r>
    </w:p>
    <w:p>
      <w:pPr>
        <w:shd w:val="clear"/>
        <w:ind w:firstLine="480"/>
        <w:rPr>
          <w:color w:val="auto"/>
        </w:rPr>
      </w:pPr>
      <w:r>
        <w:rPr>
          <w:rFonts w:hint="eastAsia"/>
          <w:color w:val="auto"/>
        </w:rPr>
        <w:t>1.12.3 投标人须知前附表允许投标文件偏离招标文件某些要求的，偏差应当符合招标文件规定的偏差范围和幅度。</w:t>
      </w:r>
    </w:p>
    <w:bookmarkEnd w:id="50"/>
    <w:p>
      <w:pPr>
        <w:shd w:val="clear"/>
        <w:ind w:firstLine="480"/>
        <w:rPr>
          <w:rFonts w:hAnsi="宋体"/>
          <w:color w:val="auto"/>
          <w:szCs w:val="24"/>
        </w:rPr>
      </w:pPr>
    </w:p>
    <w:p>
      <w:pPr>
        <w:pStyle w:val="7"/>
        <w:shd w:val="clear"/>
        <w:rPr>
          <w:color w:val="auto"/>
        </w:rPr>
      </w:pPr>
      <w:bookmarkStart w:id="51" w:name="_Toc35513441"/>
      <w:r>
        <w:rPr>
          <w:rFonts w:hint="eastAsia"/>
          <w:color w:val="auto"/>
        </w:rPr>
        <w:t>2.</w:t>
      </w:r>
      <w:r>
        <w:rPr>
          <w:color w:val="auto"/>
        </w:rPr>
        <w:t>招标文件</w:t>
      </w:r>
      <w:bookmarkEnd w:id="51"/>
    </w:p>
    <w:p>
      <w:pPr>
        <w:pStyle w:val="8"/>
        <w:shd w:val="clear"/>
        <w:ind w:firstLine="482"/>
        <w:rPr>
          <w:color w:val="auto"/>
        </w:rPr>
      </w:pPr>
      <w:bookmarkStart w:id="52" w:name="_Toc35513442"/>
      <w:r>
        <w:rPr>
          <w:color w:val="auto"/>
        </w:rPr>
        <w:t>2.1 招标文件的组成</w:t>
      </w:r>
      <w:bookmarkEnd w:id="52"/>
    </w:p>
    <w:p>
      <w:pPr>
        <w:shd w:val="clear"/>
        <w:ind w:firstLine="480"/>
        <w:rPr>
          <w:color w:val="auto"/>
        </w:rPr>
      </w:pPr>
      <w:r>
        <w:rPr>
          <w:color w:val="auto"/>
        </w:rPr>
        <w:t>本招标文件包括：</w:t>
      </w:r>
    </w:p>
    <w:p>
      <w:pPr>
        <w:shd w:val="clear"/>
        <w:ind w:firstLine="480"/>
        <w:rPr>
          <w:color w:val="auto"/>
        </w:rPr>
      </w:pPr>
      <w:r>
        <w:rPr>
          <w:color w:val="auto"/>
        </w:rPr>
        <w:t>（1）招标公告（或投标邀请书）；</w:t>
      </w:r>
    </w:p>
    <w:p>
      <w:pPr>
        <w:shd w:val="clear"/>
        <w:ind w:firstLine="480"/>
        <w:rPr>
          <w:color w:val="auto"/>
        </w:rPr>
      </w:pPr>
      <w:r>
        <w:rPr>
          <w:color w:val="auto"/>
        </w:rPr>
        <w:t>（2）投标人须知；</w:t>
      </w:r>
    </w:p>
    <w:p>
      <w:pPr>
        <w:shd w:val="clear"/>
        <w:ind w:firstLine="480"/>
        <w:rPr>
          <w:color w:val="auto"/>
        </w:rPr>
      </w:pPr>
      <w:r>
        <w:rPr>
          <w:color w:val="auto"/>
        </w:rPr>
        <w:t>（3）评标办法；</w:t>
      </w:r>
    </w:p>
    <w:p>
      <w:pPr>
        <w:shd w:val="clear"/>
        <w:ind w:firstLine="480"/>
        <w:rPr>
          <w:color w:val="auto"/>
        </w:rPr>
      </w:pPr>
      <w:r>
        <w:rPr>
          <w:color w:val="auto"/>
        </w:rPr>
        <w:t>（4）合同条款及格式；</w:t>
      </w:r>
    </w:p>
    <w:p>
      <w:pPr>
        <w:shd w:val="clear"/>
        <w:ind w:firstLine="480"/>
        <w:rPr>
          <w:color w:val="auto"/>
        </w:rPr>
      </w:pPr>
      <w:r>
        <w:rPr>
          <w:color w:val="auto"/>
        </w:rPr>
        <w:t>（5）委托人要求；</w:t>
      </w:r>
    </w:p>
    <w:p>
      <w:pPr>
        <w:shd w:val="clear"/>
        <w:ind w:firstLine="480"/>
        <w:rPr>
          <w:color w:val="auto"/>
        </w:rPr>
      </w:pPr>
      <w:r>
        <w:rPr>
          <w:color w:val="auto"/>
        </w:rPr>
        <w:t>（6）投标文件格式；</w:t>
      </w:r>
    </w:p>
    <w:p>
      <w:pPr>
        <w:shd w:val="clear"/>
        <w:ind w:firstLine="480"/>
        <w:rPr>
          <w:color w:val="auto"/>
        </w:rPr>
      </w:pPr>
      <w:r>
        <w:rPr>
          <w:color w:val="auto"/>
        </w:rPr>
        <w:t>（7）投标人须知前附表规定的其他资料。</w:t>
      </w:r>
    </w:p>
    <w:p>
      <w:pPr>
        <w:shd w:val="clear"/>
        <w:ind w:firstLine="480"/>
        <w:rPr>
          <w:color w:val="auto"/>
        </w:rPr>
      </w:pPr>
      <w:r>
        <w:rPr>
          <w:color w:val="auto"/>
        </w:rPr>
        <w:t>根据本章第 1.10 款、第 2.2 款和第 2.3 款对招标文件所作的澄清、修改，构成招标文件的组成部分。</w:t>
      </w:r>
    </w:p>
    <w:p>
      <w:pPr>
        <w:pStyle w:val="8"/>
        <w:shd w:val="clear"/>
        <w:ind w:firstLine="482"/>
        <w:rPr>
          <w:color w:val="auto"/>
        </w:rPr>
      </w:pPr>
      <w:bookmarkStart w:id="53" w:name="_Toc35513443"/>
      <w:r>
        <w:rPr>
          <w:color w:val="auto"/>
        </w:rPr>
        <w:t>2.2 招标文件的澄清</w:t>
      </w:r>
      <w:bookmarkEnd w:id="53"/>
    </w:p>
    <w:p>
      <w:pPr>
        <w:shd w:val="clear"/>
        <w:ind w:firstLine="480"/>
        <w:rPr>
          <w:color w:val="auto"/>
        </w:rPr>
      </w:pPr>
      <w:r>
        <w:rPr>
          <w:color w:val="auto"/>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hd w:val="clear"/>
        <w:ind w:firstLine="480"/>
        <w:rPr>
          <w:color w:val="auto"/>
        </w:rPr>
      </w:pPr>
      <w:r>
        <w:rPr>
          <w:color w:val="auto"/>
        </w:rPr>
        <w:t>2.2.2 招标文件的澄清以投标人须知前附表规定的形式发给所有投标人，但不指明澄清问题的来源。澄清发出的时间距本章第 4.2.1 项规定的投标</w:t>
      </w:r>
      <w:bookmarkStart w:id="54" w:name="page25"/>
      <w:bookmarkEnd w:id="54"/>
      <w:r>
        <w:rPr>
          <w:color w:val="auto"/>
        </w:rPr>
        <w:t>截止时间不足 15 日的，并且澄清内容可能影响投标文件编制的，将相应延长投标截止时间。</w:t>
      </w:r>
    </w:p>
    <w:p>
      <w:pPr>
        <w:shd w:val="clear"/>
        <w:ind w:firstLine="480"/>
        <w:rPr>
          <w:color w:val="auto"/>
        </w:rPr>
      </w:pPr>
      <w:r>
        <w:rPr>
          <w:color w:val="auto"/>
        </w:rPr>
        <w:t>2.2.3 投标人在收到澄清后，应按投标人须知前附表规定的时间和形式通知招标人，确认已收到该澄清。</w:t>
      </w:r>
    </w:p>
    <w:p>
      <w:pPr>
        <w:shd w:val="clear"/>
        <w:ind w:firstLine="480"/>
        <w:rPr>
          <w:color w:val="auto"/>
        </w:rPr>
      </w:pPr>
      <w:r>
        <w:rPr>
          <w:color w:val="auto"/>
        </w:rPr>
        <w:t>2.2.4 除非招标人认为确有必要答复，否则，招标人有权拒绝回复投标人在本章第 2.2.1 项规定的时间后的任何澄清要求。</w:t>
      </w:r>
    </w:p>
    <w:p>
      <w:pPr>
        <w:pStyle w:val="8"/>
        <w:shd w:val="clear"/>
        <w:ind w:firstLine="482"/>
        <w:rPr>
          <w:color w:val="auto"/>
        </w:rPr>
      </w:pPr>
      <w:bookmarkStart w:id="55" w:name="_Toc35513444"/>
      <w:r>
        <w:rPr>
          <w:color w:val="auto"/>
        </w:rPr>
        <w:t>2.3 招标文件的修改</w:t>
      </w:r>
      <w:bookmarkEnd w:id="55"/>
    </w:p>
    <w:p>
      <w:pPr>
        <w:shd w:val="clear"/>
        <w:ind w:firstLine="480"/>
        <w:rPr>
          <w:color w:val="auto"/>
        </w:rPr>
      </w:pPr>
      <w:r>
        <w:rPr>
          <w:rFonts w:hint="eastAsia"/>
          <w:color w:val="auto"/>
        </w:rPr>
        <w:t xml:space="preserve"> </w:t>
      </w:r>
      <w:r>
        <w:rPr>
          <w:color w:val="auto"/>
        </w:rPr>
        <w:t>2.3.1 招标人以投标人须知前附表规定的形式修改招标文件，并通知所有已购买招标文件的投标人。修改招标文件的时间距本章第 4.2.1 项规定的投标截止时间不足15</w:t>
      </w:r>
      <w:r>
        <w:rPr>
          <w:rFonts w:hint="eastAsia"/>
          <w:color w:val="auto"/>
        </w:rPr>
        <w:t>日</w:t>
      </w:r>
      <w:r>
        <w:rPr>
          <w:color w:val="auto"/>
        </w:rPr>
        <w:t>的，并且修改内容可能影响投标文件编制的，将相应延长投标截止时间。</w:t>
      </w:r>
    </w:p>
    <w:p>
      <w:pPr>
        <w:shd w:val="clear"/>
        <w:ind w:firstLine="480"/>
        <w:rPr>
          <w:color w:val="auto"/>
        </w:rPr>
      </w:pPr>
      <w:r>
        <w:rPr>
          <w:rFonts w:hint="eastAsia"/>
          <w:color w:val="auto"/>
        </w:rPr>
        <w:t xml:space="preserve"> </w:t>
      </w:r>
      <w:r>
        <w:rPr>
          <w:color w:val="auto"/>
        </w:rPr>
        <w:t xml:space="preserve">2.3.2 </w:t>
      </w:r>
      <w:r>
        <w:rPr>
          <w:rFonts w:hint="eastAsia"/>
          <w:color w:val="auto"/>
          <w:u w:val="single"/>
        </w:rPr>
        <w:t>招标文件的澄清或修改在广州交易集团有限公司（广州公共资源交易中心）网站发布。招标文件的澄清或修改一经在广州交易集团有限公司（广州公共资源交易中心）网站发布，视作已发放给所有投标人。</w:t>
      </w:r>
    </w:p>
    <w:p>
      <w:pPr>
        <w:pStyle w:val="8"/>
        <w:shd w:val="clear"/>
        <w:ind w:firstLine="482"/>
        <w:rPr>
          <w:color w:val="auto"/>
        </w:rPr>
      </w:pPr>
      <w:bookmarkStart w:id="56" w:name="_Toc35513445"/>
      <w:r>
        <w:rPr>
          <w:color w:val="auto"/>
        </w:rPr>
        <w:t>2.4 招标文件的异议</w:t>
      </w:r>
      <w:bookmarkEnd w:id="56"/>
    </w:p>
    <w:p>
      <w:pPr>
        <w:shd w:val="clear"/>
        <w:ind w:firstLine="480"/>
        <w:rPr>
          <w:color w:val="auto"/>
        </w:rPr>
      </w:pPr>
      <w:r>
        <w:rPr>
          <w:color w:val="auto"/>
        </w:rPr>
        <w:t>投标人或者其他利害关系人对招标文件有异议的，应当在投标截止时间 10 日前以书面形式提出。招标人将在收到异议之日起 3 日内作出答复；作出答复前，将暂停招标投标活动。</w:t>
      </w:r>
    </w:p>
    <w:p>
      <w:pPr>
        <w:shd w:val="clear"/>
        <w:ind w:firstLine="480"/>
        <w:rPr>
          <w:rFonts w:hAnsi="宋体"/>
          <w:color w:val="auto"/>
          <w:szCs w:val="24"/>
        </w:rPr>
      </w:pPr>
    </w:p>
    <w:p>
      <w:pPr>
        <w:pStyle w:val="7"/>
        <w:shd w:val="clear"/>
        <w:rPr>
          <w:color w:val="auto"/>
        </w:rPr>
      </w:pPr>
      <w:bookmarkStart w:id="57" w:name="_Toc35513446"/>
      <w:r>
        <w:rPr>
          <w:rFonts w:hint="eastAsia"/>
          <w:color w:val="auto"/>
        </w:rPr>
        <w:t>3.</w:t>
      </w:r>
      <w:r>
        <w:rPr>
          <w:color w:val="auto"/>
        </w:rPr>
        <w:t>投标文件</w:t>
      </w:r>
      <w:bookmarkEnd w:id="57"/>
    </w:p>
    <w:p>
      <w:pPr>
        <w:pStyle w:val="8"/>
        <w:shd w:val="clear"/>
        <w:ind w:firstLine="482"/>
        <w:rPr>
          <w:color w:val="auto"/>
        </w:rPr>
      </w:pPr>
      <w:bookmarkStart w:id="58" w:name="_Toc35513447"/>
      <w:r>
        <w:rPr>
          <w:color w:val="auto"/>
        </w:rPr>
        <w:t>3.1 投标文件的组成</w:t>
      </w:r>
      <w:bookmarkEnd w:id="58"/>
      <w:r>
        <w:rPr>
          <w:rFonts w:hint="eastAsia"/>
          <w:color w:val="auto"/>
        </w:rPr>
        <w:t xml:space="preserve"> </w:t>
      </w:r>
    </w:p>
    <w:p>
      <w:pPr>
        <w:shd w:val="clear"/>
        <w:ind w:firstLine="480"/>
        <w:rPr>
          <w:color w:val="auto"/>
        </w:rPr>
      </w:pPr>
      <w:r>
        <w:rPr>
          <w:color w:val="auto"/>
        </w:rPr>
        <w:t>3.1.1 投标文件应包括下列内容：</w:t>
      </w:r>
    </w:p>
    <w:p>
      <w:pPr>
        <w:shd w:val="clear"/>
        <w:ind w:firstLine="480"/>
        <w:rPr>
          <w:color w:val="auto"/>
        </w:rPr>
      </w:pPr>
      <w:r>
        <w:rPr>
          <w:color w:val="auto"/>
        </w:rPr>
        <w:t>（1）投标函及投标函附录；</w:t>
      </w:r>
    </w:p>
    <w:p>
      <w:pPr>
        <w:shd w:val="clear"/>
        <w:ind w:firstLine="480"/>
        <w:rPr>
          <w:color w:val="auto"/>
        </w:rPr>
      </w:pPr>
      <w:r>
        <w:rPr>
          <w:color w:val="auto"/>
        </w:rPr>
        <w:t>（2）法定代表人身份证明或授权委托书；</w:t>
      </w:r>
    </w:p>
    <w:p>
      <w:pPr>
        <w:shd w:val="clear"/>
        <w:ind w:firstLine="480"/>
        <w:rPr>
          <w:strike/>
          <w:color w:val="auto"/>
        </w:rPr>
      </w:pPr>
      <w:r>
        <w:rPr>
          <w:rFonts w:hint="eastAsia"/>
          <w:strike/>
          <w:color w:val="auto"/>
        </w:rPr>
        <w:t>（3）联合体协议书（如有）；</w:t>
      </w:r>
    </w:p>
    <w:p>
      <w:pPr>
        <w:pStyle w:val="11"/>
        <w:shd w:val="clear"/>
        <w:ind w:firstLine="480"/>
        <w:rPr>
          <w:rFonts w:hAnsi="Times New Roman"/>
          <w:strike/>
          <w:color w:val="auto"/>
          <w:sz w:val="24"/>
        </w:rPr>
      </w:pPr>
      <w:r>
        <w:rPr>
          <w:rFonts w:hint="eastAsia" w:hAnsi="Times New Roman"/>
          <w:strike/>
          <w:color w:val="auto"/>
          <w:sz w:val="24"/>
        </w:rPr>
        <w:t>（4）投标保证金；</w:t>
      </w:r>
    </w:p>
    <w:p>
      <w:pPr>
        <w:shd w:val="clear"/>
        <w:ind w:firstLine="480"/>
        <w:rPr>
          <w:color w:val="auto"/>
        </w:rPr>
      </w:pPr>
      <w:r>
        <w:rPr>
          <w:color w:val="auto"/>
        </w:rPr>
        <w:t>（5）</w:t>
      </w:r>
      <w:r>
        <w:rPr>
          <w:rFonts w:hint="eastAsia"/>
          <w:color w:val="auto"/>
        </w:rPr>
        <w:t>投标</w:t>
      </w:r>
      <w:r>
        <w:rPr>
          <w:color w:val="auto"/>
        </w:rPr>
        <w:t>报价表；</w:t>
      </w:r>
    </w:p>
    <w:p>
      <w:pPr>
        <w:shd w:val="clear"/>
        <w:ind w:firstLine="480"/>
        <w:rPr>
          <w:color w:val="auto"/>
        </w:rPr>
      </w:pPr>
      <w:r>
        <w:rPr>
          <w:color w:val="auto"/>
        </w:rPr>
        <w:t>（6）资格审查资料；</w:t>
      </w:r>
    </w:p>
    <w:p>
      <w:pPr>
        <w:shd w:val="clear"/>
        <w:ind w:firstLine="480"/>
        <w:rPr>
          <w:color w:val="auto"/>
        </w:rPr>
      </w:pPr>
      <w:r>
        <w:rPr>
          <w:color w:val="auto"/>
        </w:rPr>
        <w:t>（7）其他资料。</w:t>
      </w:r>
    </w:p>
    <w:p>
      <w:pPr>
        <w:shd w:val="clear"/>
        <w:ind w:firstLine="480"/>
        <w:rPr>
          <w:color w:val="auto"/>
        </w:rPr>
      </w:pPr>
      <w:r>
        <w:rPr>
          <w:color w:val="auto"/>
        </w:rPr>
        <w:t>投标人在评标过程中作出的符合法律法规和招标文件规定</w:t>
      </w:r>
      <w:bookmarkStart w:id="59" w:name="page26"/>
      <w:bookmarkEnd w:id="59"/>
      <w:r>
        <w:rPr>
          <w:color w:val="auto"/>
        </w:rPr>
        <w:t>的澄清确认，构成投标文件的组成部分。</w:t>
      </w:r>
    </w:p>
    <w:p>
      <w:pPr>
        <w:shd w:val="clear"/>
        <w:ind w:firstLine="480"/>
        <w:rPr>
          <w:color w:val="auto"/>
        </w:rPr>
      </w:pPr>
      <w:r>
        <w:rPr>
          <w:color w:val="auto"/>
        </w:rPr>
        <w:t>3.1.2 投标人须知前附表规定不接受联合体投标的，或投标人没有组成联合体的，投标文件不包括本章第 3.1.1</w:t>
      </w:r>
      <w:r>
        <w:rPr>
          <w:rFonts w:hint="eastAsia"/>
          <w:color w:val="auto"/>
        </w:rPr>
        <w:t>中</w:t>
      </w:r>
      <w:r>
        <w:rPr>
          <w:color w:val="auto"/>
        </w:rPr>
        <w:t>所指的联合体协议书。</w:t>
      </w:r>
    </w:p>
    <w:p>
      <w:pPr>
        <w:shd w:val="clear"/>
        <w:ind w:firstLine="480"/>
        <w:rPr>
          <w:color w:val="auto"/>
        </w:rPr>
      </w:pPr>
      <w:r>
        <w:rPr>
          <w:rFonts w:hint="eastAsia"/>
          <w:color w:val="auto"/>
        </w:rPr>
        <w:t>3.1.3投标人须知前附表未要求提交投标保证金的，投标文件不包括本章第3.1.1（5）所指的投标保证金。</w:t>
      </w:r>
    </w:p>
    <w:p>
      <w:pPr>
        <w:pStyle w:val="8"/>
        <w:shd w:val="clear"/>
        <w:ind w:firstLine="482"/>
        <w:rPr>
          <w:color w:val="auto"/>
        </w:rPr>
      </w:pPr>
      <w:bookmarkStart w:id="60" w:name="_Toc35513448"/>
      <w:r>
        <w:rPr>
          <w:color w:val="auto"/>
        </w:rPr>
        <w:t>3.2 投标报价</w:t>
      </w:r>
      <w:bookmarkEnd w:id="60"/>
    </w:p>
    <w:p>
      <w:pPr>
        <w:shd w:val="clear"/>
        <w:ind w:firstLine="480"/>
        <w:rPr>
          <w:color w:val="auto"/>
        </w:rPr>
      </w:pPr>
      <w:r>
        <w:rPr>
          <w:color w:val="auto"/>
        </w:rPr>
        <w:t>3.2.1 投标报价应包括国家规定的增值税税金，除投标人须知前</w:t>
      </w:r>
      <w:r>
        <w:rPr>
          <w:rFonts w:hint="eastAsia"/>
          <w:color w:val="auto"/>
        </w:rPr>
        <w:t xml:space="preserve"> </w:t>
      </w:r>
      <w:r>
        <w:rPr>
          <w:color w:val="auto"/>
        </w:rPr>
        <w:t>表另有规定外，增值税税金按一般计税方法计算。投标人应按第六章</w:t>
      </w:r>
      <w:r>
        <w:rPr>
          <w:rFonts w:hint="eastAsia"/>
          <w:color w:val="auto"/>
        </w:rPr>
        <w:t>“</w:t>
      </w:r>
      <w:r>
        <w:rPr>
          <w:color w:val="auto"/>
        </w:rPr>
        <w:t>投标文件格式</w:t>
      </w:r>
      <w:r>
        <w:rPr>
          <w:rFonts w:hint="eastAsia"/>
          <w:color w:val="auto"/>
        </w:rPr>
        <w:t>”</w:t>
      </w:r>
      <w:r>
        <w:rPr>
          <w:color w:val="auto"/>
        </w:rPr>
        <w:t>的要求在投标函中</w:t>
      </w:r>
      <w:r>
        <w:rPr>
          <w:rFonts w:hint="eastAsia"/>
          <w:color w:val="auto"/>
        </w:rPr>
        <w:t>在投标报价表中进行报价。</w:t>
      </w:r>
    </w:p>
    <w:p>
      <w:pPr>
        <w:shd w:val="clear"/>
        <w:ind w:firstLine="480"/>
        <w:rPr>
          <w:color w:val="auto"/>
        </w:rPr>
      </w:pPr>
      <w:r>
        <w:rPr>
          <w:color w:val="auto"/>
        </w:rPr>
        <w:t>3.2.2 投标人应充分了解该项目的总体情况以及影响投标报价的其他要素。</w:t>
      </w:r>
    </w:p>
    <w:p>
      <w:pPr>
        <w:shd w:val="clear"/>
        <w:ind w:firstLine="480"/>
        <w:rPr>
          <w:color w:val="auto"/>
        </w:rPr>
      </w:pPr>
      <w:r>
        <w:rPr>
          <w:color w:val="auto"/>
        </w:rPr>
        <w:t>3.2.3 本项目的报价方式见投标人须知前附表。投标人在投标截止时间前修改投标函中的投标报价总额</w:t>
      </w:r>
      <w:r>
        <w:rPr>
          <w:rFonts w:hint="eastAsia"/>
          <w:color w:val="auto"/>
        </w:rPr>
        <w:t>，同时修改投标文件“投标报价表”中的相应报价</w:t>
      </w:r>
      <w:r>
        <w:rPr>
          <w:color w:val="auto"/>
        </w:rPr>
        <w:t>。此修改须符合本章第 4.3 款的有关要求。</w:t>
      </w:r>
      <w:r>
        <w:rPr>
          <w:rFonts w:hint="eastAsia"/>
          <w:color w:val="auto"/>
        </w:rPr>
        <w:t xml:space="preserve"> </w:t>
      </w:r>
    </w:p>
    <w:p>
      <w:pPr>
        <w:shd w:val="clear"/>
        <w:ind w:firstLine="480"/>
        <w:rPr>
          <w:color w:val="auto"/>
        </w:rPr>
      </w:pPr>
      <w:r>
        <w:rPr>
          <w:color w:val="auto"/>
        </w:rPr>
        <w:t>3.2.4 招标人设有最高投标限价的，投标人的投标报价不得超过最高投标限价，最高投标限价在投标人须知前附表中载明。</w:t>
      </w:r>
    </w:p>
    <w:p>
      <w:pPr>
        <w:shd w:val="clear"/>
        <w:ind w:firstLine="480"/>
        <w:rPr>
          <w:color w:val="auto"/>
        </w:rPr>
      </w:pPr>
      <w:r>
        <w:rPr>
          <w:color w:val="auto"/>
        </w:rPr>
        <w:t>3.2.5 投标报价的其他要求见投标人须知前附表。</w:t>
      </w:r>
    </w:p>
    <w:p>
      <w:pPr>
        <w:pStyle w:val="8"/>
        <w:shd w:val="clear"/>
        <w:ind w:firstLine="482"/>
        <w:rPr>
          <w:color w:val="auto"/>
        </w:rPr>
      </w:pPr>
      <w:bookmarkStart w:id="61" w:name="_Toc35513449"/>
      <w:r>
        <w:rPr>
          <w:color w:val="auto"/>
        </w:rPr>
        <w:t>3.3 投标有效期</w:t>
      </w:r>
      <w:bookmarkEnd w:id="61"/>
    </w:p>
    <w:p>
      <w:pPr>
        <w:shd w:val="clear"/>
        <w:ind w:firstLine="480"/>
        <w:rPr>
          <w:color w:val="auto"/>
        </w:rPr>
      </w:pPr>
      <w:r>
        <w:rPr>
          <w:color w:val="auto"/>
        </w:rPr>
        <w:t>3.3.1 除投标人须知前附表另有规定外，投标有效期为 90 天。</w:t>
      </w:r>
    </w:p>
    <w:p>
      <w:pPr>
        <w:shd w:val="clear"/>
        <w:ind w:firstLine="480"/>
        <w:rPr>
          <w:color w:val="auto"/>
        </w:rPr>
      </w:pPr>
      <w:r>
        <w:rPr>
          <w:color w:val="auto"/>
        </w:rPr>
        <w:t>3.3.2 在投标有效期内，投标人撤销投标文件的，应承担招标文件和法律规定的责任。</w:t>
      </w:r>
    </w:p>
    <w:p>
      <w:pPr>
        <w:shd w:val="clear"/>
        <w:ind w:firstLine="480"/>
        <w:rPr>
          <w:color w:val="auto"/>
        </w:rPr>
      </w:pPr>
      <w:r>
        <w:rPr>
          <w:rFonts w:hint="eastAsia"/>
          <w:color w:val="auto"/>
        </w:rPr>
        <w:t>3.3.3出现特殊情况需要延长投标有效期的，招标人以书面形式通知所有投标人延长投标有效期。投标人应予以书面答复，同意延长的</w:t>
      </w:r>
      <w:r>
        <w:rPr>
          <w:rFonts w:hint="eastAsia"/>
          <w:strike/>
          <w:color w:val="auto"/>
        </w:rPr>
        <w:t>，应相应延长其投标保证金的有效期，</w:t>
      </w:r>
      <w:r>
        <w:rPr>
          <w:rFonts w:hint="eastAsia"/>
          <w:color w:val="auto"/>
        </w:rPr>
        <w:t>但不得要求或被允许修改其投标文件；投标人拒绝延长的，其投标失效</w:t>
      </w:r>
      <w:r>
        <w:rPr>
          <w:rFonts w:hint="eastAsia"/>
          <w:strike/>
          <w:color w:val="auto"/>
        </w:rPr>
        <w:t>，但投标人有权收回其投标保证金及以现金或者支票形式递交的投标保证金的银行同期存款利息</w:t>
      </w:r>
      <w:r>
        <w:rPr>
          <w:rFonts w:hint="eastAsia"/>
          <w:color w:val="auto"/>
        </w:rPr>
        <w:t>。</w:t>
      </w:r>
    </w:p>
    <w:p>
      <w:pPr>
        <w:pStyle w:val="8"/>
        <w:shd w:val="clear"/>
        <w:ind w:firstLine="482"/>
        <w:rPr>
          <w:strike/>
          <w:color w:val="auto"/>
        </w:rPr>
      </w:pPr>
      <w:r>
        <w:rPr>
          <w:strike/>
          <w:color w:val="auto"/>
        </w:rPr>
        <w:t xml:space="preserve">3.4 </w:t>
      </w:r>
      <w:r>
        <w:rPr>
          <w:rFonts w:hint="eastAsia"/>
          <w:strike/>
          <w:color w:val="auto"/>
        </w:rPr>
        <w:t>投标保证金</w:t>
      </w:r>
    </w:p>
    <w:p>
      <w:pPr>
        <w:pStyle w:val="2"/>
        <w:shd w:val="clear"/>
        <w:ind w:firstLine="480"/>
        <w:rPr>
          <w:rFonts w:hAnsi="宋体" w:eastAsia="宋体"/>
          <w:strike/>
          <w:color w:val="auto"/>
          <w:sz w:val="24"/>
          <w:szCs w:val="24"/>
        </w:rPr>
      </w:pPr>
      <w:r>
        <w:rPr>
          <w:rFonts w:hAnsi="宋体" w:eastAsia="宋体"/>
          <w:strike/>
          <w:color w:val="auto"/>
          <w:sz w:val="24"/>
          <w:szCs w:val="24"/>
        </w:rPr>
        <w:t xml:space="preserve">3.4.1 </w:t>
      </w:r>
      <w:r>
        <w:rPr>
          <w:rFonts w:hint="eastAsia" w:hAnsi="宋体" w:eastAsia="宋体"/>
          <w:strike/>
          <w:color w:val="auto"/>
          <w:sz w:val="24"/>
          <w:szCs w:val="24"/>
        </w:rPr>
        <w:t>投标人在递交投标文件的同时，应按投标人须知前附表规定的金额、形式递交投标保证金，并作为其投标文件的组成部分。联合体投标的，其投标保证金可以由主办方递交，并应符合投标人须知前附表的规定。</w:t>
      </w:r>
    </w:p>
    <w:p>
      <w:pPr>
        <w:pStyle w:val="2"/>
        <w:shd w:val="clear"/>
        <w:ind w:firstLine="480"/>
        <w:rPr>
          <w:rFonts w:hAnsi="宋体" w:eastAsia="宋体"/>
          <w:strike/>
          <w:color w:val="auto"/>
          <w:sz w:val="24"/>
          <w:szCs w:val="24"/>
        </w:rPr>
      </w:pPr>
      <w:r>
        <w:rPr>
          <w:rFonts w:hAnsi="宋体" w:eastAsia="宋体"/>
          <w:strike/>
          <w:color w:val="auto"/>
          <w:sz w:val="24"/>
          <w:szCs w:val="24"/>
        </w:rPr>
        <w:t xml:space="preserve">3.4.2 </w:t>
      </w:r>
      <w:r>
        <w:rPr>
          <w:rFonts w:hint="eastAsia" w:hAnsi="宋体" w:eastAsia="宋体"/>
          <w:strike/>
          <w:color w:val="auto"/>
          <w:sz w:val="24"/>
          <w:szCs w:val="24"/>
        </w:rPr>
        <w:t>投标人不按本章第</w:t>
      </w:r>
      <w:r>
        <w:rPr>
          <w:rFonts w:hAnsi="宋体" w:eastAsia="宋体"/>
          <w:strike/>
          <w:color w:val="auto"/>
          <w:sz w:val="24"/>
          <w:szCs w:val="24"/>
        </w:rPr>
        <w:t xml:space="preserve"> 3.4.1 </w:t>
      </w:r>
      <w:r>
        <w:rPr>
          <w:rFonts w:hint="eastAsia" w:hAnsi="宋体" w:eastAsia="宋体"/>
          <w:strike/>
          <w:color w:val="auto"/>
          <w:sz w:val="24"/>
          <w:szCs w:val="24"/>
        </w:rPr>
        <w:t>项要求提交投标保证金的，评标委员会将否决其投标。</w:t>
      </w:r>
    </w:p>
    <w:p>
      <w:pPr>
        <w:pStyle w:val="2"/>
        <w:shd w:val="clear"/>
        <w:ind w:firstLine="480"/>
        <w:rPr>
          <w:rFonts w:hAnsi="宋体" w:eastAsia="宋体"/>
          <w:strike/>
          <w:color w:val="auto"/>
          <w:sz w:val="24"/>
          <w:szCs w:val="24"/>
        </w:rPr>
      </w:pPr>
      <w:r>
        <w:rPr>
          <w:rFonts w:hAnsi="宋体" w:eastAsia="宋体"/>
          <w:strike/>
          <w:color w:val="auto"/>
          <w:sz w:val="24"/>
          <w:szCs w:val="24"/>
        </w:rPr>
        <w:t>3.4.3招标人最迟将在与中标人签订合同后5日内，向未中标的投标人和中标人退还投标保证金。投标保证金以现金或者支票形式递交的，还应退还银行同期存款利息。</w:t>
      </w:r>
    </w:p>
    <w:p>
      <w:pPr>
        <w:pStyle w:val="2"/>
        <w:shd w:val="clear"/>
        <w:ind w:firstLine="480"/>
        <w:rPr>
          <w:rFonts w:hAnsi="宋体" w:eastAsia="宋体"/>
          <w:strike/>
          <w:color w:val="auto"/>
          <w:sz w:val="24"/>
          <w:szCs w:val="24"/>
        </w:rPr>
      </w:pPr>
      <w:r>
        <w:rPr>
          <w:rFonts w:hAnsi="宋体" w:eastAsia="宋体"/>
          <w:strike/>
          <w:color w:val="auto"/>
          <w:sz w:val="24"/>
          <w:szCs w:val="24"/>
        </w:rPr>
        <w:t xml:space="preserve">3.4.4 </w:t>
      </w:r>
      <w:r>
        <w:rPr>
          <w:rFonts w:hint="eastAsia" w:hAnsi="宋体" w:eastAsia="宋体"/>
          <w:strike/>
          <w:color w:val="auto"/>
          <w:sz w:val="24"/>
          <w:szCs w:val="24"/>
        </w:rPr>
        <w:t>如有下列情况之一的，将不予退还投标担保：</w:t>
      </w:r>
    </w:p>
    <w:p>
      <w:pPr>
        <w:shd w:val="clear"/>
        <w:ind w:firstLine="480"/>
        <w:rPr>
          <w:strike/>
          <w:color w:val="auto"/>
        </w:rPr>
      </w:pPr>
      <w:r>
        <w:rPr>
          <w:rFonts w:hint="eastAsia"/>
          <w:strike/>
          <w:color w:val="auto"/>
        </w:rPr>
        <w:t>（1）投标人在投标有效期内撤销投标文件；</w:t>
      </w:r>
    </w:p>
    <w:p>
      <w:pPr>
        <w:shd w:val="clear"/>
        <w:ind w:firstLine="480"/>
        <w:rPr>
          <w:strike/>
          <w:color w:val="auto"/>
        </w:rPr>
      </w:pPr>
      <w:r>
        <w:rPr>
          <w:rFonts w:hint="eastAsia"/>
          <w:strike/>
          <w:color w:val="auto"/>
        </w:rPr>
        <w:t>（2）中标人在收到中标通知书后，无正当理由不与招标人订立合同，在签订合同时向招标人提出附加条件，或者不按照招标文件要求提交履约保证金；</w:t>
      </w:r>
    </w:p>
    <w:p>
      <w:pPr>
        <w:shd w:val="clear"/>
        <w:ind w:firstLine="480"/>
        <w:rPr>
          <w:b/>
          <w:bCs/>
          <w:strike/>
          <w:color w:val="auto"/>
        </w:rPr>
      </w:pPr>
      <w:r>
        <w:rPr>
          <w:rFonts w:hint="eastAsia"/>
          <w:strike/>
          <w:color w:val="auto"/>
        </w:rPr>
        <w:t>（3）发生投标人须知前附表规定的其他可以不予退还投标保证金的情形。</w:t>
      </w:r>
    </w:p>
    <w:p>
      <w:pPr>
        <w:pStyle w:val="8"/>
        <w:shd w:val="clear"/>
        <w:ind w:firstLine="482"/>
        <w:rPr>
          <w:color w:val="auto"/>
        </w:rPr>
      </w:pPr>
      <w:bookmarkStart w:id="62" w:name="_Toc35513450"/>
      <w:r>
        <w:rPr>
          <w:color w:val="auto"/>
        </w:rPr>
        <w:t>3.5 资格审查资料（适用于未进行资格预审的）</w:t>
      </w:r>
      <w:bookmarkEnd w:id="62"/>
    </w:p>
    <w:p>
      <w:pPr>
        <w:shd w:val="clear"/>
        <w:ind w:firstLine="480"/>
        <w:rPr>
          <w:color w:val="auto"/>
        </w:rPr>
      </w:pPr>
      <w:r>
        <w:rPr>
          <w:color w:val="auto"/>
        </w:rPr>
        <w:t>除投标人须知前附表另有规定外，投标人应按下列规定提供资格审查资料，以证明其满足本章第 1.4 款规定的资质、财务、业绩、信誉等要求。</w:t>
      </w:r>
    </w:p>
    <w:p>
      <w:pPr>
        <w:shd w:val="clear"/>
        <w:ind w:firstLine="480"/>
        <w:rPr>
          <w:color w:val="auto"/>
        </w:rPr>
      </w:pPr>
      <w:r>
        <w:rPr>
          <w:color w:val="auto"/>
        </w:rPr>
        <w:t xml:space="preserve">3.5.1 </w:t>
      </w:r>
      <w:r>
        <w:rPr>
          <w:rFonts w:hint="eastAsia"/>
          <w:color w:val="auto"/>
        </w:rPr>
        <w:t>“</w:t>
      </w:r>
      <w:r>
        <w:rPr>
          <w:color w:val="auto"/>
        </w:rPr>
        <w:t>投标人基本情况表</w:t>
      </w:r>
      <w:r>
        <w:rPr>
          <w:rFonts w:hint="eastAsia"/>
          <w:color w:val="auto"/>
        </w:rPr>
        <w:t>”</w:t>
      </w:r>
      <w:r>
        <w:rPr>
          <w:color w:val="auto"/>
        </w:rPr>
        <w:t>应附投标人营业执照和组织机构代码证（按照</w:t>
      </w:r>
      <w:r>
        <w:rPr>
          <w:rFonts w:hint="eastAsia"/>
          <w:color w:val="auto"/>
        </w:rPr>
        <w:t>“</w:t>
      </w:r>
      <w:r>
        <w:rPr>
          <w:color w:val="auto"/>
        </w:rPr>
        <w:t>三证合一</w:t>
      </w:r>
      <w:r>
        <w:rPr>
          <w:rFonts w:hint="eastAsia"/>
          <w:color w:val="auto"/>
        </w:rPr>
        <w:t>”</w:t>
      </w:r>
      <w:r>
        <w:rPr>
          <w:color w:val="auto"/>
        </w:rPr>
        <w:t>或</w:t>
      </w:r>
      <w:r>
        <w:rPr>
          <w:rFonts w:hint="eastAsia"/>
          <w:color w:val="auto"/>
        </w:rPr>
        <w:t>“</w:t>
      </w:r>
      <w:r>
        <w:rPr>
          <w:color w:val="auto"/>
        </w:rPr>
        <w:t>五证合一</w:t>
      </w:r>
      <w:r>
        <w:rPr>
          <w:rFonts w:hint="eastAsia"/>
          <w:color w:val="auto"/>
        </w:rPr>
        <w:t>”</w:t>
      </w:r>
      <w:r>
        <w:rPr>
          <w:color w:val="auto"/>
        </w:rPr>
        <w:t>登记制度进行登记的，可仅供营业执照</w:t>
      </w:r>
      <w:r>
        <w:rPr>
          <w:rFonts w:hint="eastAsia" w:hAnsi="宋体"/>
          <w:color w:val="auto"/>
          <w:szCs w:val="24"/>
        </w:rPr>
        <w:t>彩色</w:t>
      </w:r>
      <w:r>
        <w:rPr>
          <w:rFonts w:hint="eastAsia"/>
          <w:color w:val="auto"/>
        </w:rPr>
        <w:t>扫描件</w:t>
      </w:r>
      <w:r>
        <w:rPr>
          <w:color w:val="auto"/>
        </w:rPr>
        <w:t>）、投标人资质证书副本等材料。</w:t>
      </w:r>
    </w:p>
    <w:p>
      <w:pPr>
        <w:shd w:val="clear"/>
        <w:ind w:firstLine="480"/>
        <w:rPr>
          <w:color w:val="auto"/>
        </w:rPr>
      </w:pPr>
      <w:r>
        <w:rPr>
          <w:strike/>
          <w:color w:val="auto"/>
        </w:rPr>
        <w:t xml:space="preserve">3.5.2 </w:t>
      </w:r>
      <w:r>
        <w:rPr>
          <w:rFonts w:hint="eastAsia"/>
          <w:strike/>
          <w:color w:val="auto"/>
        </w:rPr>
        <w:t>“</w:t>
      </w:r>
      <w:r>
        <w:rPr>
          <w:strike/>
          <w:color w:val="auto"/>
        </w:rPr>
        <w:t>近年财务状况表</w:t>
      </w:r>
      <w:r>
        <w:rPr>
          <w:rFonts w:hint="eastAsia"/>
          <w:strike/>
          <w:color w:val="auto"/>
        </w:rPr>
        <w:t>”</w:t>
      </w:r>
      <w:r>
        <w:rPr>
          <w:strike/>
          <w:color w:val="auto"/>
        </w:rPr>
        <w:t>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r>
        <w:rPr>
          <w:color w:val="auto"/>
        </w:rPr>
        <w:t>。</w:t>
      </w:r>
    </w:p>
    <w:p>
      <w:pPr>
        <w:shd w:val="clear"/>
        <w:ind w:firstLine="480"/>
        <w:rPr>
          <w:color w:val="auto"/>
        </w:rPr>
      </w:pPr>
      <w:r>
        <w:rPr>
          <w:color w:val="auto"/>
        </w:rPr>
        <w:t xml:space="preserve">3.5.3 </w:t>
      </w:r>
      <w:r>
        <w:rPr>
          <w:rFonts w:hint="eastAsia"/>
          <w:color w:val="auto"/>
        </w:rPr>
        <w:t>“投标人自</w:t>
      </w:r>
      <w:r>
        <w:rPr>
          <w:rFonts w:hint="eastAsia"/>
          <w:color w:val="auto"/>
          <w:u w:val="single"/>
        </w:rPr>
        <w:t xml:space="preserve">   </w:t>
      </w:r>
      <w:r>
        <w:rPr>
          <w:rFonts w:hint="eastAsia"/>
          <w:color w:val="auto"/>
        </w:rPr>
        <w:t>年1月1日至</w:t>
      </w:r>
      <w:r>
        <w:rPr>
          <w:color w:val="auto"/>
        </w:rPr>
        <w:t>完成的类似项目情况表</w:t>
      </w:r>
      <w:r>
        <w:rPr>
          <w:rFonts w:hint="eastAsia"/>
          <w:color w:val="auto"/>
        </w:rPr>
        <w:t>”</w:t>
      </w:r>
      <w:r>
        <w:rPr>
          <w:color w:val="auto"/>
        </w:rPr>
        <w:t>应附</w:t>
      </w:r>
      <w:r>
        <w:rPr>
          <w:strike/>
          <w:color w:val="auto"/>
        </w:rPr>
        <w:t>中标通知书和（或）合同协议书、</w:t>
      </w:r>
      <w:r>
        <w:rPr>
          <w:rFonts w:hint="eastAsia"/>
          <w:strike/>
          <w:color w:val="auto"/>
        </w:rPr>
        <w:t>竣工验收报告或</w:t>
      </w:r>
      <w:r>
        <w:rPr>
          <w:strike/>
          <w:color w:val="auto"/>
        </w:rPr>
        <w:t>委托人出具的</w:t>
      </w:r>
      <w:r>
        <w:rPr>
          <w:rFonts w:hint="eastAsia"/>
          <w:strike/>
          <w:color w:val="auto"/>
        </w:rPr>
        <w:t>完工</w:t>
      </w:r>
      <w:r>
        <w:rPr>
          <w:rFonts w:hint="eastAsia"/>
          <w:color w:val="auto"/>
        </w:rPr>
        <w:t>相关</w:t>
      </w:r>
      <w:r>
        <w:rPr>
          <w:color w:val="auto"/>
        </w:rPr>
        <w:t>证明文件</w:t>
      </w:r>
      <w:r>
        <w:rPr>
          <w:rFonts w:hint="eastAsia"/>
          <w:color w:val="auto"/>
        </w:rPr>
        <w:t>，具体详见投标文件格式</w:t>
      </w:r>
      <w:r>
        <w:rPr>
          <w:color w:val="auto"/>
        </w:rPr>
        <w:t>；具体时间要求见投标人须知前附表，</w:t>
      </w:r>
      <w:r>
        <w:rPr>
          <w:rFonts w:hint="eastAsia"/>
          <w:color w:val="auto"/>
        </w:rPr>
        <w:t>项目情况表</w:t>
      </w:r>
      <w:r>
        <w:rPr>
          <w:color w:val="auto"/>
        </w:rPr>
        <w:t>每张表格只填写一个项目，并标明序号。</w:t>
      </w:r>
    </w:p>
    <w:p>
      <w:pPr>
        <w:shd w:val="clear"/>
        <w:ind w:firstLine="480"/>
        <w:rPr>
          <w:color w:val="auto"/>
        </w:rPr>
      </w:pPr>
      <w:r>
        <w:rPr>
          <w:strike/>
          <w:color w:val="auto"/>
        </w:rPr>
        <w:t>3.5.4</w:t>
      </w:r>
      <w:r>
        <w:rPr>
          <w:rFonts w:hint="eastAsia"/>
          <w:strike/>
          <w:color w:val="auto"/>
        </w:rPr>
        <w:t>“</w:t>
      </w:r>
      <w:r>
        <w:rPr>
          <w:strike/>
          <w:color w:val="auto"/>
        </w:rPr>
        <w:t>正在承接的项目情况表</w:t>
      </w:r>
      <w:r>
        <w:rPr>
          <w:rFonts w:hint="eastAsia"/>
          <w:strike/>
          <w:color w:val="auto"/>
        </w:rPr>
        <w:t>”</w:t>
      </w:r>
      <w:r>
        <w:rPr>
          <w:strike/>
          <w:color w:val="auto"/>
        </w:rPr>
        <w:t>应附中标通知书和（或）合同协议书。每张表格只填写一个项目，并标明序号。</w:t>
      </w:r>
    </w:p>
    <w:p>
      <w:pPr>
        <w:shd w:val="clear"/>
        <w:ind w:firstLine="480"/>
        <w:rPr>
          <w:color w:val="auto"/>
        </w:rPr>
      </w:pPr>
      <w:r>
        <w:rPr>
          <w:color w:val="auto"/>
        </w:rPr>
        <w:t>3.5.</w:t>
      </w:r>
      <w:r>
        <w:rPr>
          <w:rFonts w:hint="eastAsia"/>
          <w:color w:val="auto"/>
        </w:rPr>
        <w:t>5</w:t>
      </w:r>
      <w:r>
        <w:rPr>
          <w:color w:val="auto"/>
        </w:rPr>
        <w:t xml:space="preserve"> </w:t>
      </w:r>
      <w:r>
        <w:rPr>
          <w:rFonts w:hint="eastAsia"/>
          <w:color w:val="auto"/>
        </w:rPr>
        <w:t>“拟投入本项目人员一览表”</w:t>
      </w:r>
      <w:r>
        <w:rPr>
          <w:color w:val="auto"/>
        </w:rPr>
        <w:t>应填报满足本章第 1.4.1 项规定的</w:t>
      </w:r>
      <w:r>
        <w:rPr>
          <w:rFonts w:hint="eastAsia"/>
          <w:color w:val="auto"/>
          <w:u w:val="single"/>
        </w:rPr>
        <w:t>项目负责人</w:t>
      </w:r>
      <w:r>
        <w:rPr>
          <w:color w:val="auto"/>
        </w:rPr>
        <w:t>和其他主要人员的相关信息。</w:t>
      </w:r>
      <w:r>
        <w:rPr>
          <w:rFonts w:hint="eastAsia"/>
          <w:color w:val="auto"/>
        </w:rPr>
        <w:t>“</w:t>
      </w:r>
      <w:r>
        <w:rPr>
          <w:color w:val="auto"/>
        </w:rPr>
        <w:t>主要人员简历表</w:t>
      </w:r>
      <w:r>
        <w:rPr>
          <w:rFonts w:hint="eastAsia"/>
          <w:color w:val="auto"/>
        </w:rPr>
        <w:t>”应包括项目管理负责人、监理负责人（总监理工程师）</w:t>
      </w:r>
      <w:bookmarkStart w:id="63" w:name="page28"/>
      <w:bookmarkEnd w:id="63"/>
      <w:r>
        <w:rPr>
          <w:rFonts w:hint="eastAsia"/>
          <w:color w:val="auto"/>
        </w:rPr>
        <w:t>，</w:t>
      </w:r>
      <w:r>
        <w:rPr>
          <w:color w:val="auto"/>
        </w:rPr>
        <w:t>应</w:t>
      </w:r>
      <w:r>
        <w:rPr>
          <w:rFonts w:hint="eastAsia"/>
          <w:color w:val="auto"/>
        </w:rPr>
        <w:t>附身份证、毕业证（以最高学历为准）、职称证（如有）、注册证（如有）、资格证（如有）及投标人单位为员工购买的社保机构出具的社保证明，若当地政府部门允许企业在疫情期间缓缴社会保险费且投标人未缴纳的，投标人可提供当地政府部门允许缓缴社保的相关文件作为缴纳社保的证明。</w:t>
      </w:r>
    </w:p>
    <w:p>
      <w:pPr>
        <w:shd w:val="clear"/>
        <w:ind w:firstLine="480"/>
        <w:rPr>
          <w:color w:val="auto"/>
        </w:rPr>
      </w:pPr>
      <w:r>
        <w:rPr>
          <w:color w:val="auto"/>
        </w:rPr>
        <w:t>3.5.</w:t>
      </w:r>
      <w:r>
        <w:rPr>
          <w:rFonts w:hint="eastAsia"/>
          <w:color w:val="auto"/>
        </w:rPr>
        <w:t>6</w:t>
      </w:r>
      <w:r>
        <w:rPr>
          <w:color w:val="auto"/>
        </w:rPr>
        <w:t xml:space="preserve"> 投标人须知前附表规定接受联合体投标的，本章第3.5.1项至第3.5.</w:t>
      </w:r>
      <w:r>
        <w:rPr>
          <w:rFonts w:hint="eastAsia"/>
          <w:color w:val="auto"/>
        </w:rPr>
        <w:t>5</w:t>
      </w:r>
      <w:r>
        <w:rPr>
          <w:color w:val="auto"/>
        </w:rPr>
        <w:t>项规定的表格和资料应包括联合体各方相关情况。</w:t>
      </w:r>
    </w:p>
    <w:p>
      <w:pPr>
        <w:pStyle w:val="8"/>
        <w:shd w:val="clear"/>
        <w:ind w:firstLine="482"/>
        <w:rPr>
          <w:color w:val="auto"/>
        </w:rPr>
      </w:pPr>
      <w:bookmarkStart w:id="64" w:name="_Toc35513451"/>
      <w:r>
        <w:rPr>
          <w:color w:val="auto"/>
        </w:rPr>
        <w:t>3.6 备选投标方案</w:t>
      </w:r>
      <w:bookmarkEnd w:id="64"/>
    </w:p>
    <w:p>
      <w:pPr>
        <w:shd w:val="clear"/>
        <w:ind w:firstLine="480"/>
        <w:rPr>
          <w:color w:val="auto"/>
        </w:rPr>
      </w:pPr>
      <w:r>
        <w:rPr>
          <w:color w:val="auto"/>
        </w:rPr>
        <w:t>3.6.1 除投标人须知前附表规定允许外，投标人不得递交备选投标方案，否则其投标将被否决。</w:t>
      </w:r>
    </w:p>
    <w:p>
      <w:pPr>
        <w:shd w:val="clear"/>
        <w:ind w:firstLine="480"/>
        <w:rPr>
          <w:color w:val="auto"/>
        </w:rPr>
      </w:pPr>
      <w:r>
        <w:rPr>
          <w:color w:val="auto"/>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hd w:val="clear"/>
        <w:ind w:firstLine="480"/>
        <w:rPr>
          <w:color w:val="auto"/>
        </w:rPr>
      </w:pPr>
      <w:r>
        <w:rPr>
          <w:color w:val="auto"/>
        </w:rPr>
        <w:t>3.6.3 投标人提供两个或两个以上投标报价，或者在投标文件中提供一个报价，但同时提供两个或两个以上</w:t>
      </w:r>
      <w:r>
        <w:rPr>
          <w:rFonts w:hint="eastAsia"/>
          <w:color w:val="auto"/>
        </w:rPr>
        <w:t>服务</w:t>
      </w:r>
      <w:r>
        <w:rPr>
          <w:color w:val="auto"/>
        </w:rPr>
        <w:t>方案的，视为提供备选方案。</w:t>
      </w:r>
    </w:p>
    <w:p>
      <w:pPr>
        <w:pStyle w:val="8"/>
        <w:shd w:val="clear"/>
        <w:ind w:firstLine="482"/>
        <w:rPr>
          <w:color w:val="auto"/>
        </w:rPr>
      </w:pPr>
      <w:bookmarkStart w:id="65" w:name="_Toc35513452"/>
      <w:r>
        <w:rPr>
          <w:color w:val="auto"/>
        </w:rPr>
        <w:t>3.7 投标文件的编制</w:t>
      </w:r>
      <w:bookmarkEnd w:id="65"/>
    </w:p>
    <w:p>
      <w:pPr>
        <w:shd w:val="clear"/>
        <w:ind w:firstLine="480"/>
        <w:rPr>
          <w:color w:val="auto"/>
        </w:rPr>
      </w:pPr>
      <w:r>
        <w:rPr>
          <w:color w:val="auto"/>
        </w:rPr>
        <w:t>3.7.1 投标文件应按第六章</w:t>
      </w:r>
      <w:r>
        <w:rPr>
          <w:rFonts w:hint="eastAsia"/>
          <w:color w:val="auto"/>
        </w:rPr>
        <w:t>“</w:t>
      </w:r>
      <w:r>
        <w:rPr>
          <w:color w:val="auto"/>
        </w:rPr>
        <w:t>投标文件格式</w:t>
      </w:r>
      <w:r>
        <w:rPr>
          <w:rFonts w:hint="eastAsia"/>
          <w:color w:val="auto"/>
        </w:rPr>
        <w:t>”</w:t>
      </w:r>
      <w:r>
        <w:rPr>
          <w:color w:val="auto"/>
        </w:rPr>
        <w:t>进行编写，如有必要，可以增加附页，作为投标文件的组成部分。其中，投标函附录在满足招标文件实质性要求的基础上，可以提出比招标文件要求更有利于招标人的承诺。</w:t>
      </w:r>
    </w:p>
    <w:p>
      <w:pPr>
        <w:shd w:val="clear"/>
        <w:ind w:firstLine="480"/>
        <w:rPr>
          <w:color w:val="auto"/>
        </w:rPr>
      </w:pPr>
      <w:r>
        <w:rPr>
          <w:color w:val="auto"/>
        </w:rPr>
        <w:t>3.7.2 投标文件应当对招标文件有关</w:t>
      </w:r>
      <w:r>
        <w:rPr>
          <w:rFonts w:hint="eastAsia"/>
          <w:color w:val="auto"/>
        </w:rPr>
        <w:t>该项目</w:t>
      </w:r>
      <w:r>
        <w:rPr>
          <w:color w:val="auto"/>
        </w:rPr>
        <w:t>服务期限、投标有效期、委托人要求、招标范围等实质性内容作出响应。</w:t>
      </w:r>
    </w:p>
    <w:p>
      <w:pPr>
        <w:shd w:val="clear"/>
        <w:ind w:firstLine="480"/>
        <w:rPr>
          <w:color w:val="auto"/>
        </w:rPr>
      </w:pPr>
      <w:r>
        <w:rPr>
          <w:color w:val="auto"/>
        </w:rPr>
        <w:t>3.7.3投标文件全部采用电子文档，除投标人须知前附表另有规定外，投标文件所附证书证件均为原件</w:t>
      </w:r>
      <w:r>
        <w:rPr>
          <w:rFonts w:hint="eastAsia"/>
          <w:color w:val="auto"/>
        </w:rPr>
        <w:t>彩色</w:t>
      </w:r>
      <w:r>
        <w:rPr>
          <w:color w:val="auto"/>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hd w:val="clear"/>
        <w:ind w:firstLine="480"/>
        <w:rPr>
          <w:rFonts w:hAnsi="宋体"/>
          <w:color w:val="auto"/>
          <w:szCs w:val="24"/>
        </w:rPr>
      </w:pPr>
    </w:p>
    <w:p>
      <w:pPr>
        <w:pStyle w:val="7"/>
        <w:shd w:val="clear"/>
        <w:rPr>
          <w:color w:val="auto"/>
        </w:rPr>
      </w:pPr>
      <w:bookmarkStart w:id="66" w:name="_Toc35513453"/>
      <w:r>
        <w:rPr>
          <w:rFonts w:hint="eastAsia"/>
          <w:color w:val="auto"/>
        </w:rPr>
        <w:t>4.</w:t>
      </w:r>
      <w:r>
        <w:rPr>
          <w:color w:val="auto"/>
        </w:rPr>
        <w:t>投标</w:t>
      </w:r>
      <w:bookmarkEnd w:id="66"/>
    </w:p>
    <w:p>
      <w:pPr>
        <w:pStyle w:val="8"/>
        <w:shd w:val="clear"/>
        <w:ind w:firstLine="480"/>
        <w:rPr>
          <w:rFonts w:hAnsi="Times New Roman"/>
          <w:b w:val="0"/>
          <w:bCs w:val="0"/>
          <w:color w:val="auto"/>
          <w:szCs w:val="20"/>
        </w:rPr>
      </w:pPr>
      <w:bookmarkStart w:id="67" w:name="_Toc35513454"/>
      <w:r>
        <w:rPr>
          <w:rFonts w:hAnsi="Times New Roman"/>
          <w:b w:val="0"/>
          <w:bCs w:val="0"/>
          <w:color w:val="auto"/>
          <w:szCs w:val="20"/>
        </w:rPr>
        <w:t>4.1 投标文件的密封和标记</w:t>
      </w:r>
      <w:bookmarkEnd w:id="67"/>
    </w:p>
    <w:p>
      <w:pPr>
        <w:shd w:val="clear"/>
        <w:ind w:firstLine="480"/>
        <w:rPr>
          <w:color w:val="auto"/>
        </w:rPr>
      </w:pPr>
      <w:r>
        <w:rPr>
          <w:color w:val="auto"/>
        </w:rPr>
        <w:t>4.1.1投标人应当按照招标文件和电子招标投标交易平台的要求加密投标文件，具体要求见投标人须知前附表。</w:t>
      </w:r>
    </w:p>
    <w:p>
      <w:pPr>
        <w:shd w:val="clear"/>
        <w:ind w:firstLine="480"/>
        <w:rPr>
          <w:color w:val="auto"/>
        </w:rPr>
      </w:pPr>
      <w:r>
        <w:rPr>
          <w:rFonts w:hint="eastAsia"/>
          <w:color w:val="auto"/>
        </w:rPr>
        <w:t>4.1.2如有提交投标文件光盘备用，封套上应写明的内容见投标人须知前附表。</w:t>
      </w:r>
    </w:p>
    <w:p>
      <w:pPr>
        <w:pStyle w:val="8"/>
        <w:shd w:val="clear"/>
        <w:ind w:firstLine="480"/>
        <w:rPr>
          <w:rFonts w:hAnsi="Times New Roman"/>
          <w:b w:val="0"/>
          <w:bCs w:val="0"/>
          <w:color w:val="auto"/>
          <w:szCs w:val="20"/>
        </w:rPr>
      </w:pPr>
      <w:r>
        <w:rPr>
          <w:rFonts w:hint="eastAsia" w:hAnsi="Times New Roman"/>
          <w:b w:val="0"/>
          <w:bCs w:val="0"/>
          <w:color w:val="auto"/>
          <w:szCs w:val="20"/>
        </w:rPr>
        <w:t>4.1.3投标人在投标截止期后逾期或未在指定地点递交备用投标文件电子光盘的，或投标人递交的备用投标文件电子光盘未按招标文件要求密封或未在密封处盖章或签字的，或投标人代表未凭法定代表人证明书原件、授权委托书原件（仅限于非法定代表人）、本人身份证原件按要求递交备用投标文件电子光盘的，招标人将予以拒收。</w:t>
      </w:r>
    </w:p>
    <w:p>
      <w:pPr>
        <w:pStyle w:val="8"/>
        <w:shd w:val="clear"/>
        <w:ind w:firstLine="482"/>
        <w:rPr>
          <w:color w:val="auto"/>
        </w:rPr>
      </w:pPr>
      <w:bookmarkStart w:id="68" w:name="_Toc35513455"/>
      <w:r>
        <w:rPr>
          <w:color w:val="auto"/>
        </w:rPr>
        <w:t>4.2 投标文件的递交</w:t>
      </w:r>
      <w:bookmarkEnd w:id="68"/>
    </w:p>
    <w:p>
      <w:pPr>
        <w:shd w:val="clear"/>
        <w:ind w:firstLine="480"/>
        <w:rPr>
          <w:color w:val="auto"/>
        </w:rPr>
      </w:pPr>
      <w:r>
        <w:rPr>
          <w:color w:val="auto"/>
        </w:rPr>
        <w:t>4.2.1 投标人应在投标人须知前附表规定的投标截止时间前递交投标文件。</w:t>
      </w:r>
    </w:p>
    <w:p>
      <w:pPr>
        <w:shd w:val="clear"/>
        <w:ind w:firstLine="480"/>
        <w:rPr>
          <w:color w:val="auto"/>
        </w:rPr>
      </w:pPr>
      <w:r>
        <w:rPr>
          <w:color w:val="auto"/>
        </w:rPr>
        <w:t>4.2.2 投标人通过下载招标文件的电子招标投标交易平台递交电子投标文件。</w:t>
      </w:r>
    </w:p>
    <w:p>
      <w:pPr>
        <w:shd w:val="clear"/>
        <w:ind w:firstLine="480"/>
        <w:rPr>
          <w:color w:val="auto"/>
        </w:rPr>
      </w:pPr>
      <w:r>
        <w:rPr>
          <w:color w:val="auto"/>
        </w:rPr>
        <w:t>4.2.3 除投标人须知前附表另有规定外，投标人所递交的投标文件不予退还。</w:t>
      </w:r>
    </w:p>
    <w:p>
      <w:pPr>
        <w:shd w:val="clear"/>
        <w:ind w:firstLine="480"/>
        <w:rPr>
          <w:color w:val="auto"/>
        </w:rPr>
      </w:pPr>
      <w:r>
        <w:rPr>
          <w:color w:val="auto"/>
        </w:rPr>
        <w:t>4.2.4</w:t>
      </w:r>
      <w:r>
        <w:rPr>
          <w:rFonts w:hint="eastAsia"/>
          <w:color w:val="auto"/>
        </w:rPr>
        <w:t xml:space="preserve"> </w:t>
      </w:r>
      <w:r>
        <w:rPr>
          <w:color w:val="auto"/>
        </w:rPr>
        <w:t>投标人完成电子投标文件上传后，电子招标投标交易平台即时向投标人发出递交回执通知。递交时间以递交回执通知载明的传输完成时间为准。</w:t>
      </w:r>
    </w:p>
    <w:p>
      <w:pPr>
        <w:shd w:val="clear"/>
        <w:ind w:firstLine="480"/>
        <w:rPr>
          <w:color w:val="auto"/>
        </w:rPr>
      </w:pPr>
      <w:r>
        <w:rPr>
          <w:color w:val="auto"/>
        </w:rPr>
        <w:t>4.2.5</w:t>
      </w:r>
      <w:r>
        <w:rPr>
          <w:rFonts w:hint="eastAsia"/>
          <w:color w:val="auto"/>
        </w:rPr>
        <w:t xml:space="preserve"> </w:t>
      </w:r>
      <w:r>
        <w:rPr>
          <w:color w:val="auto"/>
        </w:rPr>
        <w:t>逾期送达的投标</w:t>
      </w:r>
      <w:bookmarkStart w:id="69" w:name="page30"/>
      <w:bookmarkEnd w:id="69"/>
      <w:r>
        <w:rPr>
          <w:color w:val="auto"/>
        </w:rPr>
        <w:t>文件，电子招标投标交易平台将予以拒收。</w:t>
      </w:r>
    </w:p>
    <w:p>
      <w:pPr>
        <w:pStyle w:val="8"/>
        <w:shd w:val="clear"/>
        <w:ind w:firstLine="482"/>
        <w:rPr>
          <w:color w:val="auto"/>
        </w:rPr>
      </w:pPr>
      <w:bookmarkStart w:id="70" w:name="_Toc35513456"/>
      <w:r>
        <w:rPr>
          <w:color w:val="auto"/>
        </w:rPr>
        <w:t>4.3 投标文件的修改与撤回</w:t>
      </w:r>
      <w:bookmarkEnd w:id="70"/>
    </w:p>
    <w:p>
      <w:pPr>
        <w:shd w:val="clear"/>
        <w:ind w:firstLine="480"/>
        <w:rPr>
          <w:color w:val="auto"/>
        </w:rPr>
      </w:pPr>
      <w:r>
        <w:rPr>
          <w:color w:val="auto"/>
        </w:rPr>
        <w:t>4.3.1 在本章第 4.2.1 项规定的投标截止时间前，投标人可以修改或撤回已递交的投标文件，但应以书面形式通知招标人。</w:t>
      </w:r>
    </w:p>
    <w:p>
      <w:pPr>
        <w:shd w:val="clear"/>
        <w:ind w:firstLine="480"/>
        <w:rPr>
          <w:color w:val="auto"/>
        </w:rPr>
      </w:pPr>
      <w:r>
        <w:rPr>
          <w:color w:val="auto"/>
        </w:rPr>
        <w:t>4.3.2投标人修改或撤回已递交投标文件的通知，应按照本章第 3.7.3项的要求加盖电子印章。电子招标投标交易平台收到通知后，即时向投标人发出确认回执通知。</w:t>
      </w:r>
    </w:p>
    <w:p>
      <w:pPr>
        <w:shd w:val="clear"/>
        <w:ind w:firstLine="480"/>
        <w:rPr>
          <w:strike/>
          <w:color w:val="auto"/>
        </w:rPr>
      </w:pPr>
      <w:r>
        <w:rPr>
          <w:rFonts w:hint="eastAsia"/>
          <w:strike/>
          <w:color w:val="auto"/>
        </w:rPr>
        <w:t>4.3.3投标人撤回投标文件的，招标人自收到投标人书面撤回通知之日起5日内退还已收取的投标保证金。</w:t>
      </w:r>
    </w:p>
    <w:p>
      <w:pPr>
        <w:shd w:val="clear"/>
        <w:ind w:firstLine="480"/>
        <w:rPr>
          <w:color w:val="auto"/>
        </w:rPr>
      </w:pPr>
      <w:r>
        <w:rPr>
          <w:color w:val="auto"/>
        </w:rPr>
        <w:t>4.3.4 修改的内容为投标文件的组成部分。修改的投标文件应按照本章第 3 条、第 4 条的规定进行编制、密封、标记和递交，并标明</w:t>
      </w:r>
      <w:r>
        <w:rPr>
          <w:rFonts w:hint="eastAsia"/>
          <w:color w:val="auto"/>
        </w:rPr>
        <w:t>“</w:t>
      </w:r>
      <w:r>
        <w:rPr>
          <w:color w:val="auto"/>
        </w:rPr>
        <w:t>修改</w:t>
      </w:r>
      <w:r>
        <w:rPr>
          <w:rFonts w:hint="eastAsia"/>
          <w:color w:val="auto"/>
        </w:rPr>
        <w:t>”</w:t>
      </w:r>
      <w:r>
        <w:rPr>
          <w:color w:val="auto"/>
        </w:rPr>
        <w:t>字样。</w:t>
      </w:r>
    </w:p>
    <w:p>
      <w:pPr>
        <w:shd w:val="clear"/>
        <w:ind w:firstLine="480"/>
        <w:rPr>
          <w:rFonts w:hAnsi="宋体"/>
          <w:color w:val="auto"/>
          <w:szCs w:val="24"/>
        </w:rPr>
      </w:pPr>
    </w:p>
    <w:p>
      <w:pPr>
        <w:pStyle w:val="7"/>
        <w:shd w:val="clear"/>
        <w:rPr>
          <w:color w:val="auto"/>
        </w:rPr>
      </w:pPr>
      <w:bookmarkStart w:id="71" w:name="_Toc35513457"/>
      <w:r>
        <w:rPr>
          <w:rFonts w:hint="eastAsia"/>
          <w:color w:val="auto"/>
        </w:rPr>
        <w:t>5.</w:t>
      </w:r>
      <w:r>
        <w:rPr>
          <w:color w:val="auto"/>
        </w:rPr>
        <w:t>开标</w:t>
      </w:r>
      <w:bookmarkEnd w:id="71"/>
    </w:p>
    <w:p>
      <w:pPr>
        <w:pStyle w:val="8"/>
        <w:shd w:val="clear"/>
        <w:ind w:firstLine="482"/>
        <w:rPr>
          <w:color w:val="auto"/>
        </w:rPr>
      </w:pPr>
      <w:bookmarkStart w:id="72" w:name="_Toc35513458"/>
      <w:r>
        <w:rPr>
          <w:color w:val="auto"/>
        </w:rPr>
        <w:t>5.1 开标时间和地点</w:t>
      </w:r>
      <w:bookmarkEnd w:id="72"/>
    </w:p>
    <w:p>
      <w:pPr>
        <w:shd w:val="clear"/>
        <w:ind w:firstLine="480"/>
        <w:rPr>
          <w:color w:val="auto"/>
        </w:rPr>
      </w:pPr>
      <w:r>
        <w:rPr>
          <w:color w:val="auto"/>
        </w:rPr>
        <w:t>招标人在本章第 4.2.1 项规定的投标截止时间（开标时间）,通过电子招标投标交易平台公开开标，</w:t>
      </w:r>
      <w:r>
        <w:rPr>
          <w:rFonts w:hint="eastAsia"/>
          <w:color w:val="auto"/>
        </w:rPr>
        <w:t>开标时，投标人代表有权出席开标会，也可以自主决定不参加开标会，若投标人代表对开标过程提出异议，该投标人代表须同时出示本人身份证原件。</w:t>
      </w:r>
    </w:p>
    <w:p>
      <w:pPr>
        <w:pStyle w:val="8"/>
        <w:shd w:val="clear"/>
        <w:ind w:firstLine="482"/>
        <w:rPr>
          <w:color w:val="auto"/>
        </w:rPr>
      </w:pPr>
      <w:bookmarkStart w:id="73" w:name="_Toc35513459"/>
      <w:r>
        <w:rPr>
          <w:color w:val="auto"/>
        </w:rPr>
        <w:t>5.2 开标程序</w:t>
      </w:r>
      <w:bookmarkEnd w:id="73"/>
    </w:p>
    <w:p>
      <w:pPr>
        <w:shd w:val="clear"/>
        <w:ind w:firstLine="480"/>
        <w:rPr>
          <w:color w:val="auto"/>
        </w:rPr>
      </w:pPr>
      <w:r>
        <w:rPr>
          <w:rFonts w:hint="eastAsia"/>
          <w:color w:val="auto"/>
        </w:rPr>
        <w:t>5.2.1主持人按下列程序进行开标：</w:t>
      </w:r>
    </w:p>
    <w:p>
      <w:pPr>
        <w:shd w:val="clear"/>
        <w:ind w:firstLine="480"/>
        <w:rPr>
          <w:color w:val="auto"/>
        </w:rPr>
      </w:pPr>
      <w:r>
        <w:rPr>
          <w:rFonts w:hint="eastAsia"/>
          <w:color w:val="auto"/>
        </w:rPr>
        <w:t>（1）宣布开标纪律；</w:t>
      </w:r>
    </w:p>
    <w:p>
      <w:pPr>
        <w:shd w:val="clear"/>
        <w:ind w:firstLine="480"/>
        <w:rPr>
          <w:color w:val="auto"/>
        </w:rPr>
      </w:pPr>
      <w:r>
        <w:rPr>
          <w:rFonts w:hint="eastAsia"/>
          <w:color w:val="auto"/>
        </w:rPr>
        <w:t>（2）公布在投标截止时间前递交投标文件的投标人名称；</w:t>
      </w:r>
    </w:p>
    <w:p>
      <w:pPr>
        <w:shd w:val="clear"/>
        <w:ind w:firstLine="480"/>
        <w:rPr>
          <w:color w:val="auto"/>
        </w:rPr>
      </w:pPr>
      <w:r>
        <w:rPr>
          <w:rFonts w:hint="eastAsia"/>
          <w:color w:val="auto"/>
        </w:rPr>
        <w:t>（3）宣布开标人、唱标人、记录人、监标人等有关人员姓名；</w:t>
      </w:r>
    </w:p>
    <w:p>
      <w:pPr>
        <w:shd w:val="clear"/>
        <w:ind w:firstLine="480"/>
        <w:rPr>
          <w:color w:val="auto"/>
        </w:rPr>
      </w:pPr>
      <w:r>
        <w:rPr>
          <w:rFonts w:hint="eastAsia"/>
          <w:color w:val="auto"/>
        </w:rPr>
        <w:t>（4）（B）投标人通过电子招标投标交易平台对已递交的电子投标文件进行解密，公布招标项目名称、投标人名称</w:t>
      </w:r>
      <w:r>
        <w:rPr>
          <w:rFonts w:hint="eastAsia"/>
          <w:strike/>
          <w:color w:val="auto"/>
        </w:rPr>
        <w:t>、投标保证金的递交情况</w:t>
      </w:r>
      <w:r>
        <w:rPr>
          <w:rFonts w:hint="eastAsia"/>
          <w:color w:val="auto"/>
        </w:rPr>
        <w:t>、投标报价、监理服务期限及其他内容，并记录在案；</w:t>
      </w:r>
    </w:p>
    <w:p>
      <w:pPr>
        <w:shd w:val="clear"/>
        <w:ind w:firstLine="480"/>
        <w:rPr>
          <w:color w:val="auto"/>
        </w:rPr>
      </w:pPr>
      <w:r>
        <w:rPr>
          <w:rFonts w:hint="eastAsia"/>
          <w:color w:val="auto"/>
        </w:rPr>
        <w:t>（5）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hd w:val="clear"/>
        <w:ind w:firstLine="480"/>
        <w:rPr>
          <w:color w:val="auto"/>
        </w:rPr>
      </w:pPr>
      <w:r>
        <w:rPr>
          <w:rFonts w:hint="eastAsia"/>
          <w:color w:val="auto"/>
        </w:rPr>
        <w:t>（6）投标人未参加开标或在规定的时间内未提出异议的，视为对开标无异议。</w:t>
      </w:r>
    </w:p>
    <w:p>
      <w:pPr>
        <w:shd w:val="clear"/>
        <w:ind w:firstLine="480"/>
        <w:rPr>
          <w:color w:val="auto"/>
        </w:rPr>
      </w:pPr>
      <w:r>
        <w:rPr>
          <w:rFonts w:hint="eastAsia"/>
          <w:color w:val="auto"/>
        </w:rPr>
        <w:t>（7）（B）投标人代表、招标人代表、监标人、记录人等有关人员在开标记录上签字确认；若有关人员不签字的，不影响开标程序；</w:t>
      </w:r>
    </w:p>
    <w:p>
      <w:pPr>
        <w:shd w:val="clear"/>
        <w:ind w:firstLine="480"/>
        <w:rPr>
          <w:color w:val="auto"/>
        </w:rPr>
      </w:pPr>
      <w:r>
        <w:rPr>
          <w:rFonts w:hint="eastAsia"/>
          <w:color w:val="auto"/>
        </w:rPr>
        <w:t>（8）开标结束。</w:t>
      </w:r>
    </w:p>
    <w:p>
      <w:pPr>
        <w:shd w:val="clear"/>
        <w:ind w:firstLine="480"/>
        <w:rPr>
          <w:color w:val="auto"/>
        </w:rPr>
      </w:pPr>
      <w:r>
        <w:rPr>
          <w:rFonts w:hint="eastAsia"/>
          <w:color w:val="auto"/>
        </w:rPr>
        <w:t>5.2.2投标截止时间前未完成投标文件传输的或因投标人之外的原因造成投标文件未解密且未递交备用投标文件备用电子光盘的，视为投标人撤回其投标文件。因投标人原因造成投标文件未解密的，或未在投标截止时间后半小时内解密的且未提交光盘用的，视为撤销其投标文件。</w:t>
      </w:r>
    </w:p>
    <w:p>
      <w:pPr>
        <w:shd w:val="clear"/>
        <w:ind w:firstLine="480"/>
        <w:rPr>
          <w:color w:val="auto"/>
        </w:rPr>
      </w:pPr>
      <w:r>
        <w:rPr>
          <w:rFonts w:hint="eastAsia"/>
          <w:color w:val="auto"/>
        </w:rPr>
        <w:t>5.2.3开标时，两个（含两个）以上的投标人加密打包投标文件的电脑机器特征码一致的，不参与下一程序，并由评标委员会否决其投标。</w:t>
      </w:r>
    </w:p>
    <w:p>
      <w:pPr>
        <w:pStyle w:val="8"/>
        <w:shd w:val="clear"/>
        <w:ind w:firstLine="482"/>
        <w:rPr>
          <w:color w:val="auto"/>
        </w:rPr>
      </w:pPr>
      <w:bookmarkStart w:id="74" w:name="_Toc35513460"/>
      <w:r>
        <w:rPr>
          <w:color w:val="auto"/>
        </w:rPr>
        <w:t>5.3 开标异议</w:t>
      </w:r>
      <w:bookmarkEnd w:id="74"/>
    </w:p>
    <w:p>
      <w:pPr>
        <w:shd w:val="clear"/>
        <w:ind w:firstLine="480"/>
        <w:rPr>
          <w:color w:val="auto"/>
        </w:rPr>
      </w:pPr>
      <w:r>
        <w:rPr>
          <w:rFonts w:hint="eastAsia"/>
          <w:color w:val="auto"/>
        </w:rPr>
        <w:t>如参加现场开标的投标人对开标结果有异议的，应当在开标现场提出，该投标人代表须同时出示本人身份证原件，招标人应当当场作出答复，并制作记录。</w:t>
      </w:r>
    </w:p>
    <w:p>
      <w:pPr>
        <w:shd w:val="clear"/>
        <w:ind w:firstLine="480"/>
        <w:rPr>
          <w:color w:val="auto"/>
        </w:rPr>
      </w:pPr>
      <w:r>
        <w:rPr>
          <w:rFonts w:hint="eastAsia"/>
          <w:color w:val="auto"/>
        </w:rPr>
        <w:t>如参加在线开标的投标人对开标结果有异议的，应当在唱标结束后的异议提出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pStyle w:val="7"/>
        <w:shd w:val="clear"/>
        <w:rPr>
          <w:color w:val="auto"/>
        </w:rPr>
      </w:pPr>
      <w:bookmarkStart w:id="75" w:name="_Toc35513461"/>
      <w:r>
        <w:rPr>
          <w:rFonts w:hint="eastAsia"/>
          <w:color w:val="auto"/>
        </w:rPr>
        <w:t>6.</w:t>
      </w:r>
      <w:r>
        <w:rPr>
          <w:color w:val="auto"/>
        </w:rPr>
        <w:t>评标</w:t>
      </w:r>
      <w:bookmarkEnd w:id="75"/>
    </w:p>
    <w:p>
      <w:pPr>
        <w:pStyle w:val="8"/>
        <w:shd w:val="clear"/>
        <w:ind w:firstLine="482"/>
        <w:rPr>
          <w:color w:val="auto"/>
        </w:rPr>
      </w:pPr>
      <w:bookmarkStart w:id="76" w:name="_Toc35513462"/>
      <w:r>
        <w:rPr>
          <w:color w:val="auto"/>
        </w:rPr>
        <w:t>6.1 评标委员会</w:t>
      </w:r>
      <w:bookmarkEnd w:id="76"/>
    </w:p>
    <w:p>
      <w:pPr>
        <w:shd w:val="clear"/>
        <w:ind w:firstLine="480"/>
        <w:rPr>
          <w:color w:val="auto"/>
        </w:rPr>
      </w:pPr>
      <w:r>
        <w:rPr>
          <w:color w:val="auto"/>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hd w:val="clear"/>
        <w:ind w:firstLine="480"/>
        <w:rPr>
          <w:color w:val="auto"/>
        </w:rPr>
      </w:pPr>
      <w:r>
        <w:rPr>
          <w:color w:val="auto"/>
        </w:rPr>
        <w:t>6.1.2 评标委员会成员有下列情形之一的，应当回避：</w:t>
      </w:r>
    </w:p>
    <w:p>
      <w:pPr>
        <w:shd w:val="clear"/>
        <w:ind w:firstLine="480"/>
        <w:rPr>
          <w:color w:val="auto"/>
        </w:rPr>
      </w:pPr>
      <w:r>
        <w:rPr>
          <w:color w:val="auto"/>
        </w:rPr>
        <w:t>（1）投标人或投标人主要负责人的近亲属；</w:t>
      </w:r>
    </w:p>
    <w:p>
      <w:pPr>
        <w:shd w:val="clear"/>
        <w:ind w:firstLine="480"/>
        <w:rPr>
          <w:color w:val="auto"/>
        </w:rPr>
      </w:pPr>
      <w:r>
        <w:rPr>
          <w:color w:val="auto"/>
        </w:rPr>
        <w:t>（2）项目主管部门或者行政监督部门的人员；</w:t>
      </w:r>
    </w:p>
    <w:p>
      <w:pPr>
        <w:shd w:val="clear"/>
        <w:ind w:firstLine="480"/>
        <w:rPr>
          <w:color w:val="auto"/>
        </w:rPr>
      </w:pPr>
      <w:r>
        <w:rPr>
          <w:color w:val="auto"/>
        </w:rPr>
        <w:t>（3）与投标人有经济利益关系，可能影响对投标公正评审的；</w:t>
      </w:r>
    </w:p>
    <w:p>
      <w:pPr>
        <w:shd w:val="clear"/>
        <w:ind w:firstLine="480"/>
        <w:rPr>
          <w:color w:val="auto"/>
        </w:rPr>
      </w:pPr>
      <w:r>
        <w:rPr>
          <w:color w:val="auto"/>
        </w:rPr>
        <w:t>（4）曾因在招标、评标以及其他与招标投标有关活动中从事违法行为而受过行政处罚或刑事处罚的；</w:t>
      </w:r>
    </w:p>
    <w:p>
      <w:pPr>
        <w:shd w:val="clear"/>
        <w:ind w:firstLine="480"/>
        <w:rPr>
          <w:color w:val="auto"/>
        </w:rPr>
      </w:pPr>
      <w:r>
        <w:rPr>
          <w:color w:val="auto"/>
        </w:rPr>
        <w:t>（5）与投标人有其他利害关系。</w:t>
      </w:r>
    </w:p>
    <w:p>
      <w:pPr>
        <w:shd w:val="clear"/>
        <w:ind w:firstLine="480"/>
        <w:rPr>
          <w:color w:val="auto"/>
        </w:rPr>
      </w:pPr>
      <w:r>
        <w:rPr>
          <w:color w:val="auto"/>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8"/>
        <w:shd w:val="clear"/>
        <w:ind w:firstLine="482"/>
        <w:rPr>
          <w:color w:val="auto"/>
        </w:rPr>
      </w:pPr>
      <w:bookmarkStart w:id="77" w:name="_Toc35513463"/>
      <w:r>
        <w:rPr>
          <w:color w:val="auto"/>
        </w:rPr>
        <w:t>6.2 评标原则</w:t>
      </w:r>
      <w:bookmarkEnd w:id="77"/>
    </w:p>
    <w:p>
      <w:pPr>
        <w:shd w:val="clear"/>
        <w:ind w:firstLine="480"/>
        <w:rPr>
          <w:color w:val="auto"/>
        </w:rPr>
      </w:pPr>
      <w:r>
        <w:rPr>
          <w:color w:val="auto"/>
        </w:rPr>
        <w:t>评</w:t>
      </w:r>
      <w:bookmarkStart w:id="78" w:name="page32"/>
      <w:bookmarkEnd w:id="78"/>
      <w:r>
        <w:rPr>
          <w:color w:val="auto"/>
        </w:rPr>
        <w:t>标活动遵循公平、公正、科学和择优的原则。</w:t>
      </w:r>
    </w:p>
    <w:p>
      <w:pPr>
        <w:pStyle w:val="8"/>
        <w:shd w:val="clear"/>
        <w:ind w:firstLine="482"/>
        <w:rPr>
          <w:color w:val="auto"/>
        </w:rPr>
      </w:pPr>
      <w:bookmarkStart w:id="79" w:name="_Toc35513464"/>
      <w:r>
        <w:rPr>
          <w:color w:val="auto"/>
        </w:rPr>
        <w:t>6.3 评标</w:t>
      </w:r>
      <w:bookmarkEnd w:id="79"/>
    </w:p>
    <w:p>
      <w:pPr>
        <w:shd w:val="clear"/>
        <w:ind w:firstLine="480"/>
        <w:rPr>
          <w:color w:val="auto"/>
        </w:rPr>
      </w:pPr>
      <w:r>
        <w:rPr>
          <w:color w:val="auto"/>
        </w:rPr>
        <w:t>6.3.1 评标委员会按照第三章</w:t>
      </w:r>
      <w:r>
        <w:rPr>
          <w:rFonts w:hint="eastAsia"/>
          <w:color w:val="auto"/>
        </w:rPr>
        <w:t>“</w:t>
      </w:r>
      <w:r>
        <w:rPr>
          <w:color w:val="auto"/>
        </w:rPr>
        <w:t>评标办法</w:t>
      </w:r>
      <w:r>
        <w:rPr>
          <w:rFonts w:hint="eastAsia"/>
          <w:color w:val="auto"/>
        </w:rPr>
        <w:t>”</w:t>
      </w:r>
      <w:r>
        <w:rPr>
          <w:color w:val="auto"/>
        </w:rPr>
        <w:t>规定的方法、评审因素、标准和程序对投标文件进行评审。第三章“评标办法”没有规定的方法、评审因素和标准，不作为评标依据。</w:t>
      </w:r>
    </w:p>
    <w:p>
      <w:pPr>
        <w:shd w:val="clear"/>
        <w:ind w:firstLine="480"/>
        <w:rPr>
          <w:color w:val="auto"/>
        </w:rPr>
      </w:pPr>
      <w:r>
        <w:rPr>
          <w:color w:val="auto"/>
        </w:rPr>
        <w:t>6.3.2 评标完成后，评标委员会应当向招标人提交书面评标报告和中标候选人名单。评标委员会推荐中标候选人的人数见投标人须知前附表。</w:t>
      </w:r>
    </w:p>
    <w:p>
      <w:pPr>
        <w:shd w:val="clear"/>
        <w:ind w:firstLine="364" w:firstLineChars="152"/>
        <w:rPr>
          <w:rFonts w:hAnsi="宋体"/>
          <w:color w:val="auto"/>
          <w:szCs w:val="24"/>
        </w:rPr>
      </w:pPr>
    </w:p>
    <w:p>
      <w:pPr>
        <w:pStyle w:val="7"/>
        <w:shd w:val="clear"/>
        <w:rPr>
          <w:color w:val="auto"/>
        </w:rPr>
      </w:pPr>
      <w:bookmarkStart w:id="80" w:name="_Toc35513465"/>
      <w:r>
        <w:rPr>
          <w:rFonts w:hint="eastAsia"/>
          <w:color w:val="auto"/>
        </w:rPr>
        <w:t>7.</w:t>
      </w:r>
      <w:r>
        <w:rPr>
          <w:color w:val="auto"/>
        </w:rPr>
        <w:t>合同授予</w:t>
      </w:r>
      <w:bookmarkEnd w:id="80"/>
    </w:p>
    <w:p>
      <w:pPr>
        <w:pStyle w:val="8"/>
        <w:shd w:val="clear"/>
        <w:ind w:firstLine="482"/>
        <w:rPr>
          <w:color w:val="auto"/>
        </w:rPr>
      </w:pPr>
      <w:bookmarkStart w:id="81" w:name="_Toc35513466"/>
      <w:r>
        <w:rPr>
          <w:color w:val="auto"/>
        </w:rPr>
        <w:t>7.1 中标候选人公示</w:t>
      </w:r>
      <w:bookmarkEnd w:id="81"/>
    </w:p>
    <w:p>
      <w:pPr>
        <w:shd w:val="clear"/>
        <w:ind w:firstLine="480"/>
        <w:rPr>
          <w:color w:val="auto"/>
        </w:rPr>
      </w:pPr>
      <w:r>
        <w:rPr>
          <w:color w:val="auto"/>
        </w:rPr>
        <w:t>招标人在收到评标报告之日起</w:t>
      </w:r>
      <w:r>
        <w:rPr>
          <w:bCs/>
          <w:color w:val="auto"/>
        </w:rPr>
        <w:t>3日内</w:t>
      </w:r>
      <w:r>
        <w:rPr>
          <w:color w:val="auto"/>
        </w:rPr>
        <w:t>，按照投标人须知前附表规定的公示媒介和期限公示中标候选人，公示期</w:t>
      </w:r>
      <w:r>
        <w:rPr>
          <w:bCs/>
          <w:color w:val="auto"/>
        </w:rPr>
        <w:t>不得少于3</w:t>
      </w:r>
      <w:r>
        <w:rPr>
          <w:rFonts w:hint="eastAsia"/>
          <w:bCs/>
          <w:color w:val="auto"/>
        </w:rPr>
        <w:t>日</w:t>
      </w:r>
      <w:r>
        <w:rPr>
          <w:color w:val="auto"/>
        </w:rPr>
        <w:t>。</w:t>
      </w:r>
    </w:p>
    <w:p>
      <w:pPr>
        <w:pStyle w:val="8"/>
        <w:shd w:val="clear"/>
        <w:ind w:firstLine="482"/>
        <w:rPr>
          <w:color w:val="auto"/>
        </w:rPr>
      </w:pPr>
      <w:bookmarkStart w:id="82" w:name="_Toc35513467"/>
      <w:r>
        <w:rPr>
          <w:color w:val="auto"/>
        </w:rPr>
        <w:t>7.2 评标结果异议</w:t>
      </w:r>
      <w:bookmarkEnd w:id="82"/>
    </w:p>
    <w:p>
      <w:pPr>
        <w:shd w:val="clear"/>
        <w:ind w:firstLine="480"/>
        <w:rPr>
          <w:color w:val="auto"/>
        </w:rPr>
      </w:pPr>
      <w:r>
        <w:rPr>
          <w:color w:val="auto"/>
        </w:rPr>
        <w:t>投标人或者其他利害关系人对评标结果有异议的，应当在中标候选人公示期间提出。招标人将在收到异议之日起 3 日内作出答复；作出答复前，将暂停招标投标活动。</w:t>
      </w:r>
    </w:p>
    <w:p>
      <w:pPr>
        <w:pStyle w:val="8"/>
        <w:shd w:val="clear"/>
        <w:ind w:firstLine="482"/>
        <w:rPr>
          <w:color w:val="auto"/>
        </w:rPr>
      </w:pPr>
      <w:bookmarkStart w:id="83" w:name="_Toc35513468"/>
      <w:r>
        <w:rPr>
          <w:color w:val="auto"/>
        </w:rPr>
        <w:t>7.3 中标候选人履约能力审查</w:t>
      </w:r>
      <w:bookmarkEnd w:id="83"/>
    </w:p>
    <w:p>
      <w:pPr>
        <w:shd w:val="clear"/>
        <w:ind w:firstLine="480"/>
        <w:rPr>
          <w:color w:val="auto"/>
        </w:rPr>
      </w:pPr>
      <w:r>
        <w:rPr>
          <w:color w:val="auto"/>
        </w:rPr>
        <w:t>中标候选人的经营、财务状况发生较大变化或存在违法行为，招标人认为可能影响其履约能力的，将在发出中标通知书前提请原评标委员会按照招标文件规定的标准和方法进行审查确认。</w:t>
      </w:r>
    </w:p>
    <w:p>
      <w:pPr>
        <w:pStyle w:val="8"/>
        <w:shd w:val="clear"/>
        <w:ind w:firstLine="482"/>
        <w:rPr>
          <w:color w:val="auto"/>
        </w:rPr>
      </w:pPr>
      <w:bookmarkStart w:id="84" w:name="_Toc35513469"/>
      <w:r>
        <w:rPr>
          <w:color w:val="auto"/>
        </w:rPr>
        <w:t>7.4 定标</w:t>
      </w:r>
      <w:bookmarkEnd w:id="84"/>
    </w:p>
    <w:p>
      <w:pPr>
        <w:shd w:val="clear"/>
        <w:ind w:firstLine="480"/>
        <w:rPr>
          <w:color w:val="auto"/>
        </w:rPr>
      </w:pPr>
      <w:r>
        <w:rPr>
          <w:color w:val="auto"/>
        </w:rPr>
        <w:t>按照投标人须知前附表的规定，招标人或招标人授权的评标委员会依法确定中标人。</w:t>
      </w:r>
    </w:p>
    <w:p>
      <w:pPr>
        <w:pStyle w:val="8"/>
        <w:shd w:val="clear"/>
        <w:ind w:firstLine="482"/>
        <w:rPr>
          <w:color w:val="auto"/>
        </w:rPr>
      </w:pPr>
      <w:bookmarkStart w:id="85" w:name="_Toc35513470"/>
      <w:r>
        <w:rPr>
          <w:color w:val="auto"/>
        </w:rPr>
        <w:t>7.5 中标通知</w:t>
      </w:r>
      <w:bookmarkEnd w:id="85"/>
    </w:p>
    <w:p>
      <w:pPr>
        <w:pStyle w:val="8"/>
        <w:shd w:val="clear"/>
        <w:ind w:firstLine="480"/>
        <w:rPr>
          <w:rFonts w:hAnsi="Times New Roman"/>
          <w:b w:val="0"/>
          <w:bCs w:val="0"/>
          <w:color w:val="auto"/>
          <w:szCs w:val="20"/>
        </w:rPr>
      </w:pPr>
      <w:r>
        <w:rPr>
          <w:rFonts w:hint="eastAsia" w:hAnsi="Times New Roman"/>
          <w:b w:val="0"/>
          <w:bCs w:val="0"/>
          <w:color w:val="auto"/>
          <w:szCs w:val="20"/>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pPr>
        <w:pStyle w:val="8"/>
        <w:shd w:val="clear"/>
        <w:ind w:firstLine="482"/>
        <w:rPr>
          <w:color w:val="auto"/>
        </w:rPr>
      </w:pPr>
      <w:bookmarkStart w:id="86" w:name="_Toc35513471"/>
      <w:r>
        <w:rPr>
          <w:color w:val="auto"/>
        </w:rPr>
        <w:t>7.6 履约保证金</w:t>
      </w:r>
      <w:bookmarkEnd w:id="86"/>
    </w:p>
    <w:p>
      <w:pPr>
        <w:shd w:val="clear"/>
        <w:ind w:firstLine="480"/>
        <w:rPr>
          <w:color w:val="auto"/>
        </w:rPr>
      </w:pPr>
      <w:r>
        <w:rPr>
          <w:color w:val="auto"/>
        </w:rPr>
        <w:t>7.6.1 在签订合同前，中标人应按投标人须知</w:t>
      </w:r>
      <w:bookmarkStart w:id="87" w:name="page33"/>
      <w:bookmarkEnd w:id="87"/>
      <w:r>
        <w:rPr>
          <w:color w:val="auto"/>
        </w:rPr>
        <w:t>前附表规定的形式、金额和招标文件第四章</w:t>
      </w:r>
      <w:r>
        <w:rPr>
          <w:rFonts w:hint="eastAsia"/>
          <w:color w:val="auto"/>
        </w:rPr>
        <w:t>“</w:t>
      </w:r>
      <w:r>
        <w:rPr>
          <w:color w:val="auto"/>
        </w:rPr>
        <w:t>合同条款及格式</w:t>
      </w:r>
      <w:r>
        <w:rPr>
          <w:rFonts w:hint="eastAsia"/>
          <w:color w:val="auto"/>
        </w:rPr>
        <w:t>”</w:t>
      </w:r>
      <w:r>
        <w:rPr>
          <w:color w:val="auto"/>
        </w:rPr>
        <w:t>规定的或者事先经过招标人书面认可的履约保证金格式向招标人提交履约保证金。除投标人须知前附表另有规定外，履约保证金为中标合同金额的</w:t>
      </w:r>
      <w:r>
        <w:rPr>
          <w:color w:val="auto"/>
          <w:u w:val="single"/>
        </w:rPr>
        <w:t>10</w:t>
      </w:r>
      <w:r>
        <w:rPr>
          <w:color w:val="auto"/>
        </w:rPr>
        <w:t>%</w:t>
      </w:r>
      <w:r>
        <w:rPr>
          <w:color w:val="auto"/>
        </w:rPr>
        <w:t>。</w:t>
      </w:r>
    </w:p>
    <w:p>
      <w:pPr>
        <w:pStyle w:val="2"/>
        <w:shd w:val="clear"/>
        <w:ind w:firstLine="480"/>
        <w:rPr>
          <w:rFonts w:hAnsi="Times New Roman" w:eastAsia="宋体"/>
          <w:color w:val="auto"/>
          <w:sz w:val="24"/>
        </w:rPr>
      </w:pPr>
      <w:r>
        <w:rPr>
          <w:rFonts w:hint="eastAsia" w:hAnsi="Times New Roman" w:eastAsia="宋体"/>
          <w:color w:val="auto"/>
          <w:sz w:val="24"/>
        </w:rPr>
        <w:t>7.6.2中标人不能按本章第7.6.1项要求提交履约保证金的，视为放弃中标</w:t>
      </w:r>
      <w:r>
        <w:rPr>
          <w:rFonts w:hint="eastAsia" w:hAnsi="Times New Roman" w:eastAsia="宋体"/>
          <w:strike/>
          <w:color w:val="auto"/>
          <w:sz w:val="24"/>
        </w:rPr>
        <w:t>，其投标保证金不予退还，给招标人造成的损失超过投标保证金数额的，中标人还应当对超过部分予以赔偿</w:t>
      </w:r>
      <w:r>
        <w:rPr>
          <w:rFonts w:hint="eastAsia" w:hAnsi="Times New Roman" w:eastAsia="宋体"/>
          <w:color w:val="auto"/>
          <w:sz w:val="24"/>
        </w:rPr>
        <w:t>。</w:t>
      </w:r>
    </w:p>
    <w:p>
      <w:pPr>
        <w:pStyle w:val="8"/>
        <w:shd w:val="clear"/>
        <w:ind w:firstLine="482"/>
        <w:rPr>
          <w:color w:val="auto"/>
        </w:rPr>
      </w:pPr>
      <w:bookmarkStart w:id="88" w:name="_Toc35513472"/>
      <w:r>
        <w:rPr>
          <w:color w:val="auto"/>
        </w:rPr>
        <w:t>7.7 签订合同</w:t>
      </w:r>
      <w:bookmarkEnd w:id="88"/>
    </w:p>
    <w:p>
      <w:pPr>
        <w:pStyle w:val="2"/>
        <w:shd w:val="clear"/>
        <w:ind w:firstLine="480"/>
        <w:rPr>
          <w:rFonts w:hAnsi="Times New Roman" w:eastAsia="宋体"/>
          <w:strike/>
          <w:color w:val="auto"/>
          <w:sz w:val="24"/>
        </w:rPr>
      </w:pPr>
      <w:r>
        <w:rPr>
          <w:rFonts w:hint="eastAsia" w:hAnsi="Times New Roman" w:eastAsia="宋体"/>
          <w:color w:val="auto"/>
          <w:sz w:val="24"/>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w:t>
      </w:r>
      <w:r>
        <w:rPr>
          <w:rFonts w:hint="eastAsia" w:hAnsi="Times New Roman" w:eastAsia="宋体"/>
          <w:strike/>
          <w:color w:val="auto"/>
          <w:sz w:val="24"/>
        </w:rPr>
        <w:t>，其投标保证金不予退还；给招标人造成的损失超过投标保证金数额的，中标人还应当对超过部分予以赔偿。</w:t>
      </w:r>
    </w:p>
    <w:p>
      <w:pPr>
        <w:pStyle w:val="2"/>
        <w:shd w:val="clear"/>
        <w:ind w:firstLine="480"/>
        <w:rPr>
          <w:rFonts w:hAnsi="Times New Roman" w:eastAsia="宋体"/>
          <w:strike/>
          <w:color w:val="auto"/>
          <w:sz w:val="24"/>
        </w:rPr>
      </w:pPr>
      <w:r>
        <w:rPr>
          <w:rFonts w:hint="eastAsia" w:hAnsi="Times New Roman" w:eastAsia="宋体"/>
          <w:strike/>
          <w:color w:val="auto"/>
          <w:sz w:val="24"/>
        </w:rPr>
        <w:t>7.7.2发出中标通知书后，招标人无正当理由拒签合同，或者在签订合同时向中标人提出附加条件的，招标人向中标人退还投标保证金；给中标人造成损失的，还应当赔偿损失。</w:t>
      </w:r>
    </w:p>
    <w:p>
      <w:pPr>
        <w:shd w:val="clear"/>
        <w:ind w:firstLine="364" w:firstLineChars="152"/>
        <w:rPr>
          <w:rFonts w:hAnsi="宋体"/>
          <w:strike/>
          <w:color w:val="auto"/>
          <w:szCs w:val="24"/>
        </w:rPr>
      </w:pPr>
      <w:r>
        <w:rPr>
          <w:rFonts w:hint="eastAsia"/>
          <w:strike/>
          <w:color w:val="auto"/>
        </w:rPr>
        <w:t>7.7.3联合体中标的，联合体各方应当共同与招标人签订合同，就中标项目向招标人承担连带责任。</w:t>
      </w:r>
    </w:p>
    <w:p>
      <w:pPr>
        <w:pStyle w:val="7"/>
        <w:shd w:val="clear"/>
        <w:rPr>
          <w:color w:val="auto"/>
        </w:rPr>
      </w:pPr>
      <w:bookmarkStart w:id="89" w:name="_Toc35513473"/>
      <w:r>
        <w:rPr>
          <w:color w:val="auto"/>
        </w:rPr>
        <w:t>8.纪律和监督</w:t>
      </w:r>
      <w:bookmarkEnd w:id="89"/>
    </w:p>
    <w:p>
      <w:pPr>
        <w:pStyle w:val="8"/>
        <w:shd w:val="clear"/>
        <w:ind w:firstLine="482"/>
        <w:rPr>
          <w:color w:val="auto"/>
        </w:rPr>
      </w:pPr>
      <w:bookmarkStart w:id="90" w:name="_Toc35513474"/>
      <w:r>
        <w:rPr>
          <w:color w:val="auto"/>
        </w:rPr>
        <w:t>8.1 对招标人的纪律要求</w:t>
      </w:r>
      <w:bookmarkEnd w:id="90"/>
    </w:p>
    <w:p>
      <w:pPr>
        <w:shd w:val="clear"/>
        <w:ind w:firstLine="480"/>
        <w:rPr>
          <w:color w:val="auto"/>
        </w:rPr>
      </w:pPr>
      <w:r>
        <w:rPr>
          <w:color w:val="auto"/>
        </w:rPr>
        <w:t>招标人不得泄露招标投标活动中应当保密的情况和资料，不得与投标人串通损害国家利益、社会公共利益或者他人合法权益。</w:t>
      </w:r>
    </w:p>
    <w:p>
      <w:pPr>
        <w:pStyle w:val="8"/>
        <w:shd w:val="clear"/>
        <w:ind w:firstLine="482"/>
        <w:rPr>
          <w:color w:val="auto"/>
        </w:rPr>
      </w:pPr>
      <w:bookmarkStart w:id="91" w:name="_Toc35513475"/>
      <w:r>
        <w:rPr>
          <w:color w:val="auto"/>
        </w:rPr>
        <w:t>8.2 对投标人的纪律要求</w:t>
      </w:r>
      <w:bookmarkEnd w:id="91"/>
    </w:p>
    <w:p>
      <w:pPr>
        <w:shd w:val="clear"/>
        <w:ind w:firstLine="480"/>
        <w:rPr>
          <w:color w:val="auto"/>
        </w:rPr>
      </w:pPr>
      <w:r>
        <w:rPr>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8"/>
        <w:shd w:val="clear"/>
        <w:ind w:firstLine="482"/>
        <w:rPr>
          <w:color w:val="auto"/>
        </w:rPr>
      </w:pPr>
      <w:bookmarkStart w:id="92" w:name="_Toc35513476"/>
      <w:r>
        <w:rPr>
          <w:color w:val="auto"/>
        </w:rPr>
        <w:t>8.3 对评标委员会成员的纪律要求</w:t>
      </w:r>
      <w:bookmarkEnd w:id="92"/>
    </w:p>
    <w:p>
      <w:pPr>
        <w:shd w:val="clear"/>
        <w:ind w:firstLine="480"/>
        <w:rPr>
          <w:color w:val="auto"/>
        </w:rPr>
      </w:pPr>
      <w:r>
        <w:rPr>
          <w:color w:val="auto"/>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w:t>
      </w:r>
      <w:bookmarkStart w:id="93" w:name="page34"/>
      <w:bookmarkEnd w:id="93"/>
      <w:r>
        <w:rPr>
          <w:color w:val="auto"/>
        </w:rPr>
        <w:t>擅离职守，影响评标程序正常进行，不得使用第三章</w:t>
      </w:r>
      <w:r>
        <w:rPr>
          <w:rFonts w:hint="eastAsia"/>
          <w:color w:val="auto"/>
        </w:rPr>
        <w:t>“</w:t>
      </w:r>
      <w:r>
        <w:rPr>
          <w:color w:val="auto"/>
        </w:rPr>
        <w:t>评标办法</w:t>
      </w:r>
      <w:r>
        <w:rPr>
          <w:rFonts w:hint="eastAsia"/>
          <w:color w:val="auto"/>
        </w:rPr>
        <w:t>”</w:t>
      </w:r>
      <w:r>
        <w:rPr>
          <w:color w:val="auto"/>
        </w:rPr>
        <w:t>没有规定的评审因素和标准进行评标。</w:t>
      </w:r>
    </w:p>
    <w:p>
      <w:pPr>
        <w:pStyle w:val="8"/>
        <w:shd w:val="clear"/>
        <w:ind w:firstLine="482"/>
        <w:rPr>
          <w:color w:val="auto"/>
        </w:rPr>
      </w:pPr>
      <w:bookmarkStart w:id="94" w:name="_Toc35513477"/>
      <w:r>
        <w:rPr>
          <w:color w:val="auto"/>
        </w:rPr>
        <w:t>8.4 对与评标活动有关的工作人员的纪律要求</w:t>
      </w:r>
      <w:bookmarkEnd w:id="94"/>
    </w:p>
    <w:p>
      <w:pPr>
        <w:shd w:val="clear"/>
        <w:ind w:firstLine="480"/>
        <w:rPr>
          <w:color w:val="auto"/>
        </w:rPr>
      </w:pPr>
      <w:r>
        <w:rPr>
          <w:color w:val="auto"/>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8"/>
        <w:shd w:val="clear"/>
        <w:ind w:firstLine="482"/>
        <w:rPr>
          <w:color w:val="auto"/>
        </w:rPr>
      </w:pPr>
      <w:bookmarkStart w:id="95" w:name="_Toc35513478"/>
      <w:r>
        <w:rPr>
          <w:color w:val="auto"/>
        </w:rPr>
        <w:t>8.5 投诉</w:t>
      </w:r>
      <w:bookmarkEnd w:id="95"/>
    </w:p>
    <w:p>
      <w:pPr>
        <w:shd w:val="clear"/>
        <w:ind w:firstLine="480"/>
        <w:rPr>
          <w:color w:val="auto"/>
        </w:rPr>
      </w:pPr>
      <w:r>
        <w:rPr>
          <w:color w:val="auto"/>
        </w:rPr>
        <w:t>8.5.1 投标人或者其他利害关系人认为招标投标活动不符合法律、行政法规规定的，可以自知道或者应当知道之日起 10 日内向有关行政监督部门投诉。投诉应当有明确的请求和必要的证明材料。</w:t>
      </w:r>
    </w:p>
    <w:p>
      <w:pPr>
        <w:shd w:val="clear"/>
        <w:ind w:firstLine="480"/>
        <w:rPr>
          <w:color w:val="auto"/>
        </w:rPr>
      </w:pPr>
      <w:r>
        <w:rPr>
          <w:color w:val="auto"/>
        </w:rPr>
        <w:t>8.5.2 投标人或者其他利害关系人对招标文件、开标和评标结果提出投诉的，应当按照投标人须知第 2.4 款、第 5.3 款和第 7.2 款的规定先向招标人提出异议。异议答复期间不计算在第8.5.1项规定的期限内。</w:t>
      </w:r>
    </w:p>
    <w:p>
      <w:pPr>
        <w:shd w:val="clear"/>
        <w:ind w:firstLine="480"/>
        <w:rPr>
          <w:rFonts w:hAnsi="宋体"/>
          <w:color w:val="auto"/>
          <w:szCs w:val="24"/>
        </w:rPr>
      </w:pPr>
    </w:p>
    <w:p>
      <w:pPr>
        <w:pStyle w:val="7"/>
        <w:shd w:val="clear"/>
        <w:rPr>
          <w:color w:val="auto"/>
        </w:rPr>
      </w:pPr>
      <w:bookmarkStart w:id="96" w:name="_Toc35513479"/>
      <w:r>
        <w:rPr>
          <w:rFonts w:hint="eastAsia"/>
          <w:color w:val="auto"/>
        </w:rPr>
        <w:t>9.</w:t>
      </w:r>
      <w:r>
        <w:rPr>
          <w:color w:val="auto"/>
        </w:rPr>
        <w:t>是否采用电子招标投标</w:t>
      </w:r>
      <w:bookmarkEnd w:id="96"/>
    </w:p>
    <w:p>
      <w:pPr>
        <w:shd w:val="clear"/>
        <w:ind w:firstLine="480"/>
        <w:rPr>
          <w:color w:val="auto"/>
        </w:rPr>
      </w:pPr>
      <w:r>
        <w:rPr>
          <w:color w:val="auto"/>
        </w:rPr>
        <w:t>本招标项目是否采用电子招标投标方式，见投标人须知前附表。</w:t>
      </w:r>
    </w:p>
    <w:p>
      <w:pPr>
        <w:shd w:val="clear"/>
        <w:ind w:firstLine="480"/>
        <w:rPr>
          <w:rFonts w:hAnsi="宋体"/>
          <w:color w:val="auto"/>
          <w:szCs w:val="24"/>
        </w:rPr>
      </w:pPr>
    </w:p>
    <w:p>
      <w:pPr>
        <w:pStyle w:val="7"/>
        <w:shd w:val="clear"/>
        <w:rPr>
          <w:color w:val="auto"/>
        </w:rPr>
      </w:pPr>
      <w:bookmarkStart w:id="97" w:name="_Toc35513480"/>
      <w:r>
        <w:rPr>
          <w:rFonts w:hint="eastAsia"/>
          <w:color w:val="auto"/>
        </w:rPr>
        <w:t xml:space="preserve">10. </w:t>
      </w:r>
      <w:r>
        <w:rPr>
          <w:color w:val="auto"/>
        </w:rPr>
        <w:t>需要补充的其他内容</w:t>
      </w:r>
      <w:bookmarkEnd w:id="97"/>
    </w:p>
    <w:p>
      <w:pPr>
        <w:shd w:val="clear"/>
        <w:ind w:firstLine="480"/>
        <w:rPr>
          <w:color w:val="auto"/>
        </w:rPr>
      </w:pPr>
      <w:bookmarkStart w:id="98" w:name="page35"/>
      <w:bookmarkEnd w:id="98"/>
      <w:r>
        <w:rPr>
          <w:color w:val="auto"/>
        </w:rPr>
        <w:t>要补充的其他内容：见投标人须知前附表。</w:t>
      </w:r>
    </w:p>
    <w:p>
      <w:pPr>
        <w:pStyle w:val="7"/>
        <w:shd w:val="clear"/>
        <w:rPr>
          <w:color w:val="auto"/>
        </w:rPr>
      </w:pPr>
      <w:r>
        <w:rPr>
          <w:b w:val="0"/>
          <w:color w:val="auto"/>
          <w:sz w:val="28"/>
        </w:rPr>
        <w:br w:type="page"/>
      </w:r>
      <w:bookmarkStart w:id="99" w:name="_Toc21827"/>
      <w:bookmarkStart w:id="100" w:name="_Toc35513481"/>
      <w:bookmarkStart w:id="101" w:name="_Toc19884"/>
      <w:bookmarkStart w:id="102" w:name="_Toc26773"/>
      <w:bookmarkStart w:id="103" w:name="_Toc534882199"/>
      <w:r>
        <w:rPr>
          <w:rFonts w:hint="eastAsia"/>
          <w:color w:val="auto"/>
        </w:rPr>
        <w:t>附件一：开标记录表</w:t>
      </w:r>
      <w:bookmarkEnd w:id="99"/>
      <w:bookmarkEnd w:id="100"/>
      <w:bookmarkEnd w:id="101"/>
      <w:bookmarkEnd w:id="102"/>
      <w:bookmarkEnd w:id="103"/>
    </w:p>
    <w:p>
      <w:pPr>
        <w:shd w:val="clear"/>
        <w:ind w:firstLine="643"/>
        <w:jc w:val="center"/>
        <w:rPr>
          <w:rFonts w:hAnsi="宋体"/>
          <w:b/>
          <w:color w:val="auto"/>
          <w:sz w:val="32"/>
          <w:szCs w:val="32"/>
        </w:rPr>
      </w:pPr>
      <w:r>
        <w:rPr>
          <w:rFonts w:hint="eastAsia" w:hAnsi="宋体"/>
          <w:b/>
          <w:color w:val="auto"/>
          <w:sz w:val="32"/>
          <w:szCs w:val="32"/>
        </w:rPr>
        <w:t>开标记录表（以交易中心系统最终导出的为准）</w:t>
      </w:r>
    </w:p>
    <w:p>
      <w:pPr>
        <w:shd w:val="clear"/>
        <w:ind w:right="480" w:firstLine="199" w:firstLineChars="83"/>
        <w:rPr>
          <w:rFonts w:hAnsi="宋体"/>
          <w:color w:val="auto"/>
        </w:rPr>
      </w:pPr>
      <w:r>
        <w:rPr>
          <w:rFonts w:hint="eastAsia" w:hAnsi="宋体"/>
          <w:color w:val="auto"/>
        </w:rPr>
        <w:t>开标时间：</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r>
        <w:rPr>
          <w:rFonts w:hint="eastAsia" w:hAnsi="宋体"/>
          <w:color w:val="auto"/>
          <w:u w:val="single"/>
        </w:rPr>
        <w:t xml:space="preserve">         </w:t>
      </w:r>
      <w:r>
        <w:rPr>
          <w:rFonts w:hint="eastAsia" w:hAnsi="宋体"/>
          <w:color w:val="auto"/>
        </w:rPr>
        <w:t>时</w:t>
      </w:r>
      <w:r>
        <w:rPr>
          <w:rFonts w:hint="eastAsia" w:hAnsi="宋体"/>
          <w:color w:val="auto"/>
          <w:u w:val="single"/>
        </w:rPr>
        <w:t xml:space="preserve">         </w:t>
      </w:r>
      <w:r>
        <w:rPr>
          <w:rFonts w:hint="eastAsia" w:hAnsi="宋体"/>
          <w:color w:val="auto"/>
        </w:rPr>
        <w:t>分</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0"/>
        <w:gridCol w:w="816"/>
        <w:gridCol w:w="886"/>
        <w:gridCol w:w="1004"/>
        <w:gridCol w:w="948"/>
        <w:gridCol w:w="948"/>
        <w:gridCol w:w="761"/>
        <w:gridCol w:w="1006"/>
        <w:gridCol w:w="1006"/>
        <w:gridCol w:w="53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20" w:type="dxa"/>
            <w:vAlign w:val="center"/>
          </w:tcPr>
          <w:p>
            <w:pPr>
              <w:shd w:val="clear"/>
              <w:adjustRightInd w:val="0"/>
              <w:snapToGrid w:val="0"/>
              <w:spacing w:line="240" w:lineRule="auto"/>
              <w:ind w:firstLine="0" w:firstLineChars="0"/>
              <w:rPr>
                <w:rFonts w:hAnsi="宋体" w:cs="宋体"/>
                <w:color w:val="auto"/>
                <w:sz w:val="21"/>
                <w:szCs w:val="21"/>
              </w:rPr>
            </w:pPr>
            <w:r>
              <w:rPr>
                <w:rFonts w:hint="eastAsia" w:hAnsi="宋体" w:cs="宋体"/>
                <w:color w:val="auto"/>
                <w:sz w:val="21"/>
                <w:szCs w:val="21"/>
              </w:rPr>
              <w:t>序号</w:t>
            </w:r>
          </w:p>
        </w:tc>
        <w:tc>
          <w:tcPr>
            <w:tcW w:w="816" w:type="dxa"/>
            <w:vAlign w:val="center"/>
          </w:tcPr>
          <w:p>
            <w:pPr>
              <w:shd w:val="clear"/>
              <w:adjustRightInd w:val="0"/>
              <w:snapToGrid w:val="0"/>
              <w:spacing w:line="240" w:lineRule="auto"/>
              <w:ind w:firstLine="0" w:firstLineChars="0"/>
              <w:rPr>
                <w:rFonts w:hAnsi="宋体" w:cs="宋体"/>
                <w:color w:val="auto"/>
                <w:sz w:val="21"/>
                <w:szCs w:val="21"/>
              </w:rPr>
            </w:pPr>
            <w:r>
              <w:rPr>
                <w:rFonts w:hint="eastAsia" w:hAnsi="宋体" w:cs="宋体"/>
                <w:color w:val="auto"/>
                <w:sz w:val="21"/>
                <w:szCs w:val="21"/>
              </w:rPr>
              <w:t>投标人</w:t>
            </w:r>
          </w:p>
        </w:tc>
        <w:tc>
          <w:tcPr>
            <w:tcW w:w="886" w:type="dxa"/>
            <w:vAlign w:val="center"/>
          </w:tcPr>
          <w:p>
            <w:pPr>
              <w:shd w:val="clear"/>
              <w:adjustRightInd w:val="0"/>
              <w:snapToGrid w:val="0"/>
              <w:spacing w:line="240" w:lineRule="auto"/>
              <w:ind w:firstLine="0" w:firstLineChars="0"/>
              <w:rPr>
                <w:rFonts w:hAnsi="宋体" w:cs="宋体"/>
                <w:color w:val="auto"/>
                <w:sz w:val="21"/>
                <w:szCs w:val="21"/>
              </w:rPr>
            </w:pPr>
            <w:r>
              <w:rPr>
                <w:rFonts w:hint="eastAsia" w:hAnsi="宋体" w:cs="宋体"/>
                <w:color w:val="auto"/>
                <w:sz w:val="21"/>
                <w:szCs w:val="21"/>
              </w:rPr>
              <w:t>投标文件递交</w:t>
            </w:r>
          </w:p>
        </w:tc>
        <w:tc>
          <w:tcPr>
            <w:tcW w:w="1004" w:type="dxa"/>
            <w:vAlign w:val="center"/>
          </w:tcPr>
          <w:p>
            <w:pPr>
              <w:shd w:val="clear"/>
              <w:adjustRightInd w:val="0"/>
              <w:snapToGrid w:val="0"/>
              <w:spacing w:line="240" w:lineRule="auto"/>
              <w:ind w:firstLine="0" w:firstLineChars="0"/>
              <w:jc w:val="center"/>
              <w:rPr>
                <w:rFonts w:hAnsi="宋体" w:cs="宋体"/>
                <w:color w:val="auto"/>
                <w:sz w:val="21"/>
                <w:szCs w:val="21"/>
              </w:rPr>
            </w:pPr>
            <w:r>
              <w:rPr>
                <w:rFonts w:hint="eastAsia" w:hAnsi="宋体" w:cs="宋体"/>
                <w:color w:val="auto"/>
                <w:sz w:val="21"/>
                <w:szCs w:val="21"/>
              </w:rPr>
              <w:t>解密情况</w:t>
            </w:r>
          </w:p>
        </w:tc>
        <w:tc>
          <w:tcPr>
            <w:tcW w:w="948" w:type="dxa"/>
            <w:vAlign w:val="center"/>
          </w:tcPr>
          <w:p>
            <w:pPr>
              <w:shd w:val="clear"/>
              <w:adjustRightInd w:val="0"/>
              <w:snapToGrid w:val="0"/>
              <w:spacing w:line="240" w:lineRule="auto"/>
              <w:ind w:firstLine="0" w:firstLineChars="0"/>
              <w:rPr>
                <w:rFonts w:hAnsi="宋体" w:cs="宋体"/>
                <w:color w:val="auto"/>
                <w:sz w:val="21"/>
                <w:szCs w:val="21"/>
              </w:rPr>
            </w:pPr>
            <w:r>
              <w:rPr>
                <w:rFonts w:hint="eastAsia" w:hAnsi="宋体" w:cs="宋体"/>
                <w:strike/>
                <w:color w:val="auto"/>
                <w:sz w:val="21"/>
                <w:szCs w:val="21"/>
              </w:rPr>
              <w:t>投标保证金</w:t>
            </w:r>
          </w:p>
        </w:tc>
        <w:tc>
          <w:tcPr>
            <w:tcW w:w="948" w:type="dxa"/>
            <w:vAlign w:val="center"/>
          </w:tcPr>
          <w:p>
            <w:pPr>
              <w:shd w:val="clear"/>
              <w:adjustRightInd w:val="0"/>
              <w:snapToGrid w:val="0"/>
              <w:spacing w:line="240" w:lineRule="auto"/>
              <w:ind w:firstLine="0" w:firstLineChars="0"/>
              <w:rPr>
                <w:rFonts w:hAnsi="宋体" w:cs="宋体"/>
                <w:color w:val="auto"/>
                <w:sz w:val="21"/>
                <w:szCs w:val="21"/>
              </w:rPr>
            </w:pPr>
            <w:r>
              <w:rPr>
                <w:rFonts w:hint="eastAsia" w:hAnsi="宋体" w:cs="宋体"/>
                <w:color w:val="auto"/>
                <w:sz w:val="21"/>
                <w:szCs w:val="21"/>
              </w:rPr>
              <w:t>投标报价（万元）</w:t>
            </w:r>
          </w:p>
        </w:tc>
        <w:tc>
          <w:tcPr>
            <w:tcW w:w="761" w:type="dxa"/>
            <w:vAlign w:val="center"/>
          </w:tcPr>
          <w:p>
            <w:pPr>
              <w:shd w:val="clear"/>
              <w:adjustRightInd w:val="0"/>
              <w:snapToGrid w:val="0"/>
              <w:spacing w:line="240" w:lineRule="auto"/>
              <w:ind w:firstLine="0" w:firstLineChars="0"/>
              <w:rPr>
                <w:rFonts w:hAnsi="宋体" w:cs="宋体"/>
                <w:color w:val="auto"/>
                <w:sz w:val="21"/>
                <w:szCs w:val="21"/>
              </w:rPr>
            </w:pPr>
            <w:r>
              <w:rPr>
                <w:rFonts w:hint="eastAsia" w:hAnsi="宋体" w:cs="宋体"/>
                <w:color w:val="auto"/>
                <w:sz w:val="21"/>
                <w:szCs w:val="21"/>
              </w:rPr>
              <w:t>项目负责人</w:t>
            </w:r>
          </w:p>
        </w:tc>
        <w:tc>
          <w:tcPr>
            <w:tcW w:w="1006" w:type="dxa"/>
          </w:tcPr>
          <w:p>
            <w:pPr>
              <w:shd w:val="clear"/>
              <w:adjustRightInd w:val="0"/>
              <w:snapToGrid w:val="0"/>
              <w:spacing w:line="240" w:lineRule="auto"/>
              <w:ind w:firstLine="0" w:firstLineChars="0"/>
              <w:rPr>
                <w:rFonts w:hAnsi="宋体" w:cs="宋体"/>
                <w:color w:val="auto"/>
                <w:sz w:val="21"/>
                <w:szCs w:val="21"/>
              </w:rPr>
            </w:pPr>
            <w:r>
              <w:rPr>
                <w:rFonts w:hint="eastAsia" w:hAnsi="宋体" w:cs="宋体"/>
                <w:color w:val="auto"/>
                <w:sz w:val="21"/>
                <w:szCs w:val="21"/>
              </w:rPr>
              <w:t>监理负责人</w:t>
            </w:r>
          </w:p>
        </w:tc>
        <w:tc>
          <w:tcPr>
            <w:tcW w:w="1006" w:type="dxa"/>
            <w:vAlign w:val="center"/>
          </w:tcPr>
          <w:p>
            <w:pPr>
              <w:shd w:val="clear"/>
              <w:adjustRightInd w:val="0"/>
              <w:snapToGrid w:val="0"/>
              <w:spacing w:line="240" w:lineRule="auto"/>
              <w:ind w:firstLine="0" w:firstLineChars="0"/>
              <w:rPr>
                <w:rFonts w:hAnsi="宋体" w:cs="宋体"/>
                <w:color w:val="auto"/>
                <w:sz w:val="21"/>
                <w:szCs w:val="21"/>
              </w:rPr>
            </w:pPr>
            <w:r>
              <w:rPr>
                <w:rFonts w:hint="eastAsia" w:hAnsi="宋体" w:cs="宋体"/>
                <w:color w:val="auto"/>
                <w:sz w:val="21"/>
                <w:szCs w:val="21"/>
              </w:rPr>
              <w:t>服务期限</w:t>
            </w:r>
          </w:p>
        </w:tc>
        <w:tc>
          <w:tcPr>
            <w:tcW w:w="534" w:type="dxa"/>
            <w:vAlign w:val="center"/>
          </w:tcPr>
          <w:p>
            <w:pPr>
              <w:shd w:val="clear"/>
              <w:adjustRightInd w:val="0"/>
              <w:snapToGrid w:val="0"/>
              <w:spacing w:line="240" w:lineRule="auto"/>
              <w:ind w:firstLine="0" w:firstLineChars="0"/>
              <w:rPr>
                <w:rFonts w:hAnsi="宋体" w:cs="宋体"/>
                <w:color w:val="auto"/>
                <w:sz w:val="21"/>
                <w:szCs w:val="21"/>
              </w:rPr>
            </w:pPr>
            <w:r>
              <w:rPr>
                <w:rFonts w:hint="eastAsia" w:hAnsi="宋体" w:cs="宋体"/>
                <w:color w:val="auto"/>
                <w:sz w:val="21"/>
                <w:szCs w:val="21"/>
              </w:rPr>
              <w:t>备注</w:t>
            </w:r>
          </w:p>
        </w:tc>
        <w:tc>
          <w:tcPr>
            <w:tcW w:w="941" w:type="dxa"/>
            <w:vAlign w:val="center"/>
          </w:tcPr>
          <w:p>
            <w:pPr>
              <w:shd w:val="clear"/>
              <w:adjustRightInd w:val="0"/>
              <w:snapToGrid w:val="0"/>
              <w:spacing w:line="240" w:lineRule="auto"/>
              <w:ind w:firstLine="0" w:firstLineChars="0"/>
              <w:rPr>
                <w:rFonts w:hAnsi="宋体" w:cs="宋体"/>
                <w:color w:val="auto"/>
                <w:sz w:val="21"/>
                <w:szCs w:val="21"/>
              </w:rPr>
            </w:pPr>
            <w:r>
              <w:rPr>
                <w:rFonts w:hint="eastAsia" w:hAnsi="宋体" w:cs="宋体"/>
                <w:color w:val="auto"/>
                <w:sz w:val="21"/>
                <w:szCs w:val="21"/>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20" w:type="dxa"/>
            <w:vAlign w:val="center"/>
          </w:tcPr>
          <w:p>
            <w:pPr>
              <w:shd w:val="clear"/>
              <w:adjustRightInd w:val="0"/>
              <w:snapToGrid w:val="0"/>
              <w:spacing w:line="240" w:lineRule="auto"/>
              <w:ind w:firstLine="420"/>
              <w:rPr>
                <w:rFonts w:hAnsi="宋体" w:cs="宋体"/>
                <w:color w:val="auto"/>
                <w:sz w:val="21"/>
                <w:szCs w:val="21"/>
              </w:rPr>
            </w:pPr>
          </w:p>
        </w:tc>
        <w:tc>
          <w:tcPr>
            <w:tcW w:w="816" w:type="dxa"/>
            <w:vAlign w:val="center"/>
          </w:tcPr>
          <w:p>
            <w:pPr>
              <w:shd w:val="clear"/>
              <w:adjustRightInd w:val="0"/>
              <w:snapToGrid w:val="0"/>
              <w:spacing w:line="240" w:lineRule="auto"/>
              <w:ind w:firstLine="420"/>
              <w:rPr>
                <w:rFonts w:hAnsi="宋体" w:cs="宋体"/>
                <w:color w:val="auto"/>
                <w:sz w:val="21"/>
                <w:szCs w:val="21"/>
              </w:rPr>
            </w:pPr>
          </w:p>
        </w:tc>
        <w:tc>
          <w:tcPr>
            <w:tcW w:w="886" w:type="dxa"/>
            <w:vAlign w:val="center"/>
          </w:tcPr>
          <w:p>
            <w:pPr>
              <w:shd w:val="clear"/>
              <w:adjustRightInd w:val="0"/>
              <w:snapToGrid w:val="0"/>
              <w:spacing w:line="240" w:lineRule="auto"/>
              <w:ind w:firstLine="420"/>
              <w:rPr>
                <w:rFonts w:hAnsi="宋体" w:cs="宋体"/>
                <w:color w:val="auto"/>
                <w:sz w:val="21"/>
                <w:szCs w:val="21"/>
              </w:rPr>
            </w:pPr>
          </w:p>
        </w:tc>
        <w:tc>
          <w:tcPr>
            <w:tcW w:w="1004"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761" w:type="dxa"/>
            <w:vAlign w:val="center"/>
          </w:tcPr>
          <w:p>
            <w:pPr>
              <w:shd w:val="clear"/>
              <w:adjustRightInd w:val="0"/>
              <w:snapToGrid w:val="0"/>
              <w:spacing w:line="240" w:lineRule="auto"/>
              <w:ind w:firstLine="420"/>
              <w:rPr>
                <w:rFonts w:hAnsi="宋体" w:cs="宋体"/>
                <w:color w:val="auto"/>
                <w:sz w:val="21"/>
                <w:szCs w:val="21"/>
              </w:rPr>
            </w:pPr>
          </w:p>
        </w:tc>
        <w:tc>
          <w:tcPr>
            <w:tcW w:w="1006" w:type="dxa"/>
          </w:tcPr>
          <w:p>
            <w:pPr>
              <w:shd w:val="clear"/>
              <w:adjustRightInd w:val="0"/>
              <w:snapToGrid w:val="0"/>
              <w:spacing w:line="240" w:lineRule="auto"/>
              <w:ind w:firstLine="420"/>
              <w:rPr>
                <w:rFonts w:hAnsi="宋体" w:cs="宋体"/>
                <w:color w:val="auto"/>
                <w:sz w:val="21"/>
                <w:szCs w:val="21"/>
              </w:rPr>
            </w:pPr>
          </w:p>
        </w:tc>
        <w:tc>
          <w:tcPr>
            <w:tcW w:w="1006" w:type="dxa"/>
            <w:vAlign w:val="center"/>
          </w:tcPr>
          <w:p>
            <w:pPr>
              <w:shd w:val="clear"/>
              <w:adjustRightInd w:val="0"/>
              <w:snapToGrid w:val="0"/>
              <w:spacing w:line="240" w:lineRule="auto"/>
              <w:ind w:firstLine="420"/>
              <w:rPr>
                <w:rFonts w:hAnsi="宋体" w:cs="宋体"/>
                <w:color w:val="auto"/>
                <w:sz w:val="21"/>
                <w:szCs w:val="21"/>
              </w:rPr>
            </w:pPr>
          </w:p>
        </w:tc>
        <w:tc>
          <w:tcPr>
            <w:tcW w:w="534" w:type="dxa"/>
            <w:vAlign w:val="center"/>
          </w:tcPr>
          <w:p>
            <w:pPr>
              <w:shd w:val="clear"/>
              <w:adjustRightInd w:val="0"/>
              <w:snapToGrid w:val="0"/>
              <w:spacing w:line="240" w:lineRule="auto"/>
              <w:ind w:firstLine="420"/>
              <w:rPr>
                <w:rFonts w:hAnsi="宋体" w:cs="宋体"/>
                <w:color w:val="auto"/>
                <w:sz w:val="21"/>
                <w:szCs w:val="21"/>
              </w:rPr>
            </w:pPr>
          </w:p>
        </w:tc>
        <w:tc>
          <w:tcPr>
            <w:tcW w:w="941" w:type="dxa"/>
            <w:vAlign w:val="center"/>
          </w:tcPr>
          <w:p>
            <w:pPr>
              <w:shd w:val="clear"/>
              <w:adjustRightInd w:val="0"/>
              <w:snapToGrid w:val="0"/>
              <w:spacing w:line="240" w:lineRule="auto"/>
              <w:ind w:firstLine="420"/>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20" w:type="dxa"/>
            <w:vAlign w:val="center"/>
          </w:tcPr>
          <w:p>
            <w:pPr>
              <w:shd w:val="clear"/>
              <w:adjustRightInd w:val="0"/>
              <w:snapToGrid w:val="0"/>
              <w:spacing w:line="240" w:lineRule="auto"/>
              <w:ind w:firstLine="420"/>
              <w:rPr>
                <w:rFonts w:hAnsi="宋体" w:cs="宋体"/>
                <w:color w:val="auto"/>
                <w:sz w:val="21"/>
                <w:szCs w:val="21"/>
              </w:rPr>
            </w:pPr>
          </w:p>
        </w:tc>
        <w:tc>
          <w:tcPr>
            <w:tcW w:w="816" w:type="dxa"/>
            <w:vAlign w:val="center"/>
          </w:tcPr>
          <w:p>
            <w:pPr>
              <w:shd w:val="clear"/>
              <w:adjustRightInd w:val="0"/>
              <w:snapToGrid w:val="0"/>
              <w:spacing w:line="240" w:lineRule="auto"/>
              <w:ind w:firstLine="420"/>
              <w:rPr>
                <w:rFonts w:hAnsi="宋体" w:cs="宋体"/>
                <w:color w:val="auto"/>
                <w:sz w:val="21"/>
                <w:szCs w:val="21"/>
              </w:rPr>
            </w:pPr>
          </w:p>
        </w:tc>
        <w:tc>
          <w:tcPr>
            <w:tcW w:w="886" w:type="dxa"/>
            <w:vAlign w:val="center"/>
          </w:tcPr>
          <w:p>
            <w:pPr>
              <w:shd w:val="clear"/>
              <w:adjustRightInd w:val="0"/>
              <w:snapToGrid w:val="0"/>
              <w:spacing w:line="240" w:lineRule="auto"/>
              <w:ind w:firstLine="420"/>
              <w:rPr>
                <w:rFonts w:hAnsi="宋体" w:cs="宋体"/>
                <w:color w:val="auto"/>
                <w:sz w:val="21"/>
                <w:szCs w:val="21"/>
              </w:rPr>
            </w:pPr>
          </w:p>
        </w:tc>
        <w:tc>
          <w:tcPr>
            <w:tcW w:w="1004"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761" w:type="dxa"/>
            <w:vAlign w:val="center"/>
          </w:tcPr>
          <w:p>
            <w:pPr>
              <w:shd w:val="clear"/>
              <w:adjustRightInd w:val="0"/>
              <w:snapToGrid w:val="0"/>
              <w:spacing w:line="240" w:lineRule="auto"/>
              <w:ind w:firstLine="420"/>
              <w:rPr>
                <w:rFonts w:hAnsi="宋体" w:cs="宋体"/>
                <w:color w:val="auto"/>
                <w:sz w:val="21"/>
                <w:szCs w:val="21"/>
              </w:rPr>
            </w:pPr>
          </w:p>
        </w:tc>
        <w:tc>
          <w:tcPr>
            <w:tcW w:w="1006" w:type="dxa"/>
          </w:tcPr>
          <w:p>
            <w:pPr>
              <w:shd w:val="clear"/>
              <w:adjustRightInd w:val="0"/>
              <w:snapToGrid w:val="0"/>
              <w:spacing w:line="240" w:lineRule="auto"/>
              <w:ind w:firstLine="420"/>
              <w:rPr>
                <w:rFonts w:hAnsi="宋体" w:cs="宋体"/>
                <w:color w:val="auto"/>
                <w:sz w:val="21"/>
                <w:szCs w:val="21"/>
              </w:rPr>
            </w:pPr>
          </w:p>
        </w:tc>
        <w:tc>
          <w:tcPr>
            <w:tcW w:w="1006" w:type="dxa"/>
            <w:vAlign w:val="center"/>
          </w:tcPr>
          <w:p>
            <w:pPr>
              <w:shd w:val="clear"/>
              <w:adjustRightInd w:val="0"/>
              <w:snapToGrid w:val="0"/>
              <w:spacing w:line="240" w:lineRule="auto"/>
              <w:ind w:firstLine="420"/>
              <w:rPr>
                <w:rFonts w:hAnsi="宋体" w:cs="宋体"/>
                <w:color w:val="auto"/>
                <w:sz w:val="21"/>
                <w:szCs w:val="21"/>
              </w:rPr>
            </w:pPr>
          </w:p>
        </w:tc>
        <w:tc>
          <w:tcPr>
            <w:tcW w:w="534" w:type="dxa"/>
            <w:vAlign w:val="center"/>
          </w:tcPr>
          <w:p>
            <w:pPr>
              <w:shd w:val="clear"/>
              <w:adjustRightInd w:val="0"/>
              <w:snapToGrid w:val="0"/>
              <w:spacing w:line="240" w:lineRule="auto"/>
              <w:ind w:firstLine="420"/>
              <w:rPr>
                <w:rFonts w:hAnsi="宋体" w:cs="宋体"/>
                <w:color w:val="auto"/>
                <w:sz w:val="21"/>
                <w:szCs w:val="21"/>
              </w:rPr>
            </w:pPr>
          </w:p>
        </w:tc>
        <w:tc>
          <w:tcPr>
            <w:tcW w:w="941" w:type="dxa"/>
            <w:vAlign w:val="center"/>
          </w:tcPr>
          <w:p>
            <w:pPr>
              <w:shd w:val="clear"/>
              <w:adjustRightInd w:val="0"/>
              <w:snapToGrid w:val="0"/>
              <w:spacing w:line="240" w:lineRule="auto"/>
              <w:ind w:firstLine="420"/>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20" w:type="dxa"/>
            <w:vAlign w:val="center"/>
          </w:tcPr>
          <w:p>
            <w:pPr>
              <w:shd w:val="clear"/>
              <w:adjustRightInd w:val="0"/>
              <w:snapToGrid w:val="0"/>
              <w:spacing w:line="240" w:lineRule="auto"/>
              <w:ind w:firstLine="420"/>
              <w:rPr>
                <w:rFonts w:hAnsi="宋体" w:cs="宋体"/>
                <w:color w:val="auto"/>
                <w:sz w:val="21"/>
                <w:szCs w:val="21"/>
              </w:rPr>
            </w:pPr>
          </w:p>
        </w:tc>
        <w:tc>
          <w:tcPr>
            <w:tcW w:w="816" w:type="dxa"/>
            <w:vAlign w:val="center"/>
          </w:tcPr>
          <w:p>
            <w:pPr>
              <w:shd w:val="clear"/>
              <w:adjustRightInd w:val="0"/>
              <w:snapToGrid w:val="0"/>
              <w:spacing w:line="240" w:lineRule="auto"/>
              <w:ind w:firstLine="420"/>
              <w:rPr>
                <w:rFonts w:hAnsi="宋体" w:cs="宋体"/>
                <w:color w:val="auto"/>
                <w:sz w:val="21"/>
                <w:szCs w:val="21"/>
              </w:rPr>
            </w:pPr>
          </w:p>
        </w:tc>
        <w:tc>
          <w:tcPr>
            <w:tcW w:w="886" w:type="dxa"/>
            <w:vAlign w:val="center"/>
          </w:tcPr>
          <w:p>
            <w:pPr>
              <w:shd w:val="clear"/>
              <w:adjustRightInd w:val="0"/>
              <w:snapToGrid w:val="0"/>
              <w:spacing w:line="240" w:lineRule="auto"/>
              <w:ind w:firstLine="420"/>
              <w:rPr>
                <w:rFonts w:hAnsi="宋体" w:cs="宋体"/>
                <w:color w:val="auto"/>
                <w:sz w:val="21"/>
                <w:szCs w:val="21"/>
              </w:rPr>
            </w:pPr>
          </w:p>
        </w:tc>
        <w:tc>
          <w:tcPr>
            <w:tcW w:w="1004"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761" w:type="dxa"/>
            <w:vAlign w:val="center"/>
          </w:tcPr>
          <w:p>
            <w:pPr>
              <w:shd w:val="clear"/>
              <w:adjustRightInd w:val="0"/>
              <w:snapToGrid w:val="0"/>
              <w:spacing w:line="240" w:lineRule="auto"/>
              <w:ind w:firstLine="420"/>
              <w:rPr>
                <w:rFonts w:hAnsi="宋体" w:cs="宋体"/>
                <w:color w:val="auto"/>
                <w:sz w:val="21"/>
                <w:szCs w:val="21"/>
              </w:rPr>
            </w:pPr>
          </w:p>
        </w:tc>
        <w:tc>
          <w:tcPr>
            <w:tcW w:w="1006" w:type="dxa"/>
          </w:tcPr>
          <w:p>
            <w:pPr>
              <w:shd w:val="clear"/>
              <w:adjustRightInd w:val="0"/>
              <w:snapToGrid w:val="0"/>
              <w:spacing w:line="240" w:lineRule="auto"/>
              <w:ind w:firstLine="420"/>
              <w:rPr>
                <w:rFonts w:hAnsi="宋体" w:cs="宋体"/>
                <w:color w:val="auto"/>
                <w:sz w:val="21"/>
                <w:szCs w:val="21"/>
              </w:rPr>
            </w:pPr>
          </w:p>
        </w:tc>
        <w:tc>
          <w:tcPr>
            <w:tcW w:w="1006" w:type="dxa"/>
            <w:vAlign w:val="center"/>
          </w:tcPr>
          <w:p>
            <w:pPr>
              <w:shd w:val="clear"/>
              <w:adjustRightInd w:val="0"/>
              <w:snapToGrid w:val="0"/>
              <w:spacing w:line="240" w:lineRule="auto"/>
              <w:ind w:firstLine="420"/>
              <w:rPr>
                <w:rFonts w:hAnsi="宋体" w:cs="宋体"/>
                <w:color w:val="auto"/>
                <w:sz w:val="21"/>
                <w:szCs w:val="21"/>
              </w:rPr>
            </w:pPr>
          </w:p>
        </w:tc>
        <w:tc>
          <w:tcPr>
            <w:tcW w:w="534" w:type="dxa"/>
            <w:vAlign w:val="center"/>
          </w:tcPr>
          <w:p>
            <w:pPr>
              <w:shd w:val="clear"/>
              <w:adjustRightInd w:val="0"/>
              <w:snapToGrid w:val="0"/>
              <w:spacing w:line="240" w:lineRule="auto"/>
              <w:ind w:firstLine="420"/>
              <w:rPr>
                <w:rFonts w:hAnsi="宋体" w:cs="宋体"/>
                <w:color w:val="auto"/>
                <w:sz w:val="21"/>
                <w:szCs w:val="21"/>
              </w:rPr>
            </w:pPr>
          </w:p>
        </w:tc>
        <w:tc>
          <w:tcPr>
            <w:tcW w:w="941" w:type="dxa"/>
            <w:vAlign w:val="center"/>
          </w:tcPr>
          <w:p>
            <w:pPr>
              <w:shd w:val="clear"/>
              <w:adjustRightInd w:val="0"/>
              <w:snapToGrid w:val="0"/>
              <w:spacing w:line="240" w:lineRule="auto"/>
              <w:ind w:firstLine="420"/>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20" w:type="dxa"/>
            <w:vAlign w:val="center"/>
          </w:tcPr>
          <w:p>
            <w:pPr>
              <w:shd w:val="clear"/>
              <w:adjustRightInd w:val="0"/>
              <w:snapToGrid w:val="0"/>
              <w:spacing w:line="240" w:lineRule="auto"/>
              <w:ind w:firstLine="420"/>
              <w:rPr>
                <w:rFonts w:hAnsi="宋体" w:cs="宋体"/>
                <w:color w:val="auto"/>
                <w:sz w:val="21"/>
                <w:szCs w:val="21"/>
              </w:rPr>
            </w:pPr>
          </w:p>
        </w:tc>
        <w:tc>
          <w:tcPr>
            <w:tcW w:w="816" w:type="dxa"/>
            <w:vAlign w:val="center"/>
          </w:tcPr>
          <w:p>
            <w:pPr>
              <w:shd w:val="clear"/>
              <w:adjustRightInd w:val="0"/>
              <w:snapToGrid w:val="0"/>
              <w:spacing w:line="240" w:lineRule="auto"/>
              <w:ind w:firstLine="420"/>
              <w:rPr>
                <w:rFonts w:hAnsi="宋体" w:cs="宋体"/>
                <w:color w:val="auto"/>
                <w:sz w:val="21"/>
                <w:szCs w:val="21"/>
              </w:rPr>
            </w:pPr>
          </w:p>
        </w:tc>
        <w:tc>
          <w:tcPr>
            <w:tcW w:w="886" w:type="dxa"/>
            <w:vAlign w:val="center"/>
          </w:tcPr>
          <w:p>
            <w:pPr>
              <w:shd w:val="clear"/>
              <w:adjustRightInd w:val="0"/>
              <w:snapToGrid w:val="0"/>
              <w:spacing w:line="240" w:lineRule="auto"/>
              <w:ind w:firstLine="420"/>
              <w:rPr>
                <w:rFonts w:hAnsi="宋体" w:cs="宋体"/>
                <w:color w:val="auto"/>
                <w:sz w:val="21"/>
                <w:szCs w:val="21"/>
              </w:rPr>
            </w:pPr>
          </w:p>
        </w:tc>
        <w:tc>
          <w:tcPr>
            <w:tcW w:w="1004"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761" w:type="dxa"/>
            <w:vAlign w:val="center"/>
          </w:tcPr>
          <w:p>
            <w:pPr>
              <w:shd w:val="clear"/>
              <w:adjustRightInd w:val="0"/>
              <w:snapToGrid w:val="0"/>
              <w:spacing w:line="240" w:lineRule="auto"/>
              <w:ind w:firstLine="420"/>
              <w:rPr>
                <w:rFonts w:hAnsi="宋体" w:cs="宋体"/>
                <w:color w:val="auto"/>
                <w:sz w:val="21"/>
                <w:szCs w:val="21"/>
              </w:rPr>
            </w:pPr>
          </w:p>
        </w:tc>
        <w:tc>
          <w:tcPr>
            <w:tcW w:w="1006" w:type="dxa"/>
          </w:tcPr>
          <w:p>
            <w:pPr>
              <w:shd w:val="clear"/>
              <w:adjustRightInd w:val="0"/>
              <w:snapToGrid w:val="0"/>
              <w:spacing w:line="240" w:lineRule="auto"/>
              <w:ind w:firstLine="420"/>
              <w:rPr>
                <w:rFonts w:hAnsi="宋体" w:cs="宋体"/>
                <w:color w:val="auto"/>
                <w:sz w:val="21"/>
                <w:szCs w:val="21"/>
              </w:rPr>
            </w:pPr>
          </w:p>
        </w:tc>
        <w:tc>
          <w:tcPr>
            <w:tcW w:w="1006" w:type="dxa"/>
            <w:vAlign w:val="center"/>
          </w:tcPr>
          <w:p>
            <w:pPr>
              <w:shd w:val="clear"/>
              <w:adjustRightInd w:val="0"/>
              <w:snapToGrid w:val="0"/>
              <w:spacing w:line="240" w:lineRule="auto"/>
              <w:ind w:firstLine="420"/>
              <w:rPr>
                <w:rFonts w:hAnsi="宋体" w:cs="宋体"/>
                <w:color w:val="auto"/>
                <w:sz w:val="21"/>
                <w:szCs w:val="21"/>
              </w:rPr>
            </w:pPr>
          </w:p>
        </w:tc>
        <w:tc>
          <w:tcPr>
            <w:tcW w:w="534" w:type="dxa"/>
            <w:vAlign w:val="center"/>
          </w:tcPr>
          <w:p>
            <w:pPr>
              <w:shd w:val="clear"/>
              <w:adjustRightInd w:val="0"/>
              <w:snapToGrid w:val="0"/>
              <w:spacing w:line="240" w:lineRule="auto"/>
              <w:ind w:firstLine="420"/>
              <w:rPr>
                <w:rFonts w:hAnsi="宋体" w:cs="宋体"/>
                <w:color w:val="auto"/>
                <w:sz w:val="21"/>
                <w:szCs w:val="21"/>
              </w:rPr>
            </w:pPr>
          </w:p>
        </w:tc>
        <w:tc>
          <w:tcPr>
            <w:tcW w:w="941" w:type="dxa"/>
            <w:vAlign w:val="center"/>
          </w:tcPr>
          <w:p>
            <w:pPr>
              <w:shd w:val="clear"/>
              <w:adjustRightInd w:val="0"/>
              <w:snapToGrid w:val="0"/>
              <w:spacing w:line="240" w:lineRule="auto"/>
              <w:ind w:firstLine="420"/>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20" w:type="dxa"/>
            <w:vAlign w:val="center"/>
          </w:tcPr>
          <w:p>
            <w:pPr>
              <w:shd w:val="clear"/>
              <w:adjustRightInd w:val="0"/>
              <w:snapToGrid w:val="0"/>
              <w:spacing w:line="240" w:lineRule="auto"/>
              <w:ind w:firstLine="420"/>
              <w:rPr>
                <w:rFonts w:hAnsi="宋体" w:cs="宋体"/>
                <w:color w:val="auto"/>
                <w:sz w:val="21"/>
                <w:szCs w:val="21"/>
              </w:rPr>
            </w:pPr>
          </w:p>
        </w:tc>
        <w:tc>
          <w:tcPr>
            <w:tcW w:w="816" w:type="dxa"/>
            <w:vAlign w:val="center"/>
          </w:tcPr>
          <w:p>
            <w:pPr>
              <w:shd w:val="clear"/>
              <w:adjustRightInd w:val="0"/>
              <w:snapToGrid w:val="0"/>
              <w:spacing w:line="240" w:lineRule="auto"/>
              <w:ind w:firstLine="420"/>
              <w:rPr>
                <w:rFonts w:hAnsi="宋体" w:cs="宋体"/>
                <w:color w:val="auto"/>
                <w:sz w:val="21"/>
                <w:szCs w:val="21"/>
              </w:rPr>
            </w:pPr>
          </w:p>
        </w:tc>
        <w:tc>
          <w:tcPr>
            <w:tcW w:w="886" w:type="dxa"/>
            <w:vAlign w:val="center"/>
          </w:tcPr>
          <w:p>
            <w:pPr>
              <w:shd w:val="clear"/>
              <w:adjustRightInd w:val="0"/>
              <w:snapToGrid w:val="0"/>
              <w:spacing w:line="240" w:lineRule="auto"/>
              <w:ind w:firstLine="420"/>
              <w:rPr>
                <w:rFonts w:hAnsi="宋体" w:cs="宋体"/>
                <w:color w:val="auto"/>
                <w:sz w:val="21"/>
                <w:szCs w:val="21"/>
              </w:rPr>
            </w:pPr>
          </w:p>
        </w:tc>
        <w:tc>
          <w:tcPr>
            <w:tcW w:w="1004"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761" w:type="dxa"/>
            <w:vAlign w:val="center"/>
          </w:tcPr>
          <w:p>
            <w:pPr>
              <w:shd w:val="clear"/>
              <w:adjustRightInd w:val="0"/>
              <w:snapToGrid w:val="0"/>
              <w:spacing w:line="240" w:lineRule="auto"/>
              <w:ind w:firstLine="420"/>
              <w:rPr>
                <w:rFonts w:hAnsi="宋体" w:cs="宋体"/>
                <w:color w:val="auto"/>
                <w:sz w:val="21"/>
                <w:szCs w:val="21"/>
              </w:rPr>
            </w:pPr>
          </w:p>
        </w:tc>
        <w:tc>
          <w:tcPr>
            <w:tcW w:w="1006" w:type="dxa"/>
          </w:tcPr>
          <w:p>
            <w:pPr>
              <w:shd w:val="clear"/>
              <w:adjustRightInd w:val="0"/>
              <w:snapToGrid w:val="0"/>
              <w:spacing w:line="240" w:lineRule="auto"/>
              <w:ind w:firstLine="420"/>
              <w:rPr>
                <w:rFonts w:hAnsi="宋体" w:cs="宋体"/>
                <w:color w:val="auto"/>
                <w:sz w:val="21"/>
                <w:szCs w:val="21"/>
              </w:rPr>
            </w:pPr>
          </w:p>
        </w:tc>
        <w:tc>
          <w:tcPr>
            <w:tcW w:w="1006" w:type="dxa"/>
            <w:vAlign w:val="center"/>
          </w:tcPr>
          <w:p>
            <w:pPr>
              <w:shd w:val="clear"/>
              <w:adjustRightInd w:val="0"/>
              <w:snapToGrid w:val="0"/>
              <w:spacing w:line="240" w:lineRule="auto"/>
              <w:ind w:firstLine="420"/>
              <w:rPr>
                <w:rFonts w:hAnsi="宋体" w:cs="宋体"/>
                <w:color w:val="auto"/>
                <w:sz w:val="21"/>
                <w:szCs w:val="21"/>
              </w:rPr>
            </w:pPr>
          </w:p>
        </w:tc>
        <w:tc>
          <w:tcPr>
            <w:tcW w:w="534" w:type="dxa"/>
            <w:vAlign w:val="center"/>
          </w:tcPr>
          <w:p>
            <w:pPr>
              <w:shd w:val="clear"/>
              <w:adjustRightInd w:val="0"/>
              <w:snapToGrid w:val="0"/>
              <w:spacing w:line="240" w:lineRule="auto"/>
              <w:ind w:firstLine="420"/>
              <w:rPr>
                <w:rFonts w:hAnsi="宋体" w:cs="宋体"/>
                <w:color w:val="auto"/>
                <w:sz w:val="21"/>
                <w:szCs w:val="21"/>
              </w:rPr>
            </w:pPr>
          </w:p>
        </w:tc>
        <w:tc>
          <w:tcPr>
            <w:tcW w:w="941" w:type="dxa"/>
            <w:vAlign w:val="center"/>
          </w:tcPr>
          <w:p>
            <w:pPr>
              <w:shd w:val="clear"/>
              <w:adjustRightInd w:val="0"/>
              <w:snapToGrid w:val="0"/>
              <w:spacing w:line="240" w:lineRule="auto"/>
              <w:ind w:firstLine="420"/>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20" w:type="dxa"/>
            <w:vAlign w:val="center"/>
          </w:tcPr>
          <w:p>
            <w:pPr>
              <w:shd w:val="clear"/>
              <w:adjustRightInd w:val="0"/>
              <w:snapToGrid w:val="0"/>
              <w:spacing w:line="240" w:lineRule="auto"/>
              <w:ind w:firstLine="420"/>
              <w:rPr>
                <w:rFonts w:hAnsi="宋体" w:cs="宋体"/>
                <w:color w:val="auto"/>
                <w:sz w:val="21"/>
                <w:szCs w:val="21"/>
              </w:rPr>
            </w:pPr>
          </w:p>
        </w:tc>
        <w:tc>
          <w:tcPr>
            <w:tcW w:w="816" w:type="dxa"/>
            <w:vAlign w:val="center"/>
          </w:tcPr>
          <w:p>
            <w:pPr>
              <w:shd w:val="clear"/>
              <w:adjustRightInd w:val="0"/>
              <w:snapToGrid w:val="0"/>
              <w:spacing w:line="240" w:lineRule="auto"/>
              <w:ind w:firstLine="420"/>
              <w:rPr>
                <w:rFonts w:hAnsi="宋体" w:cs="宋体"/>
                <w:color w:val="auto"/>
                <w:sz w:val="21"/>
                <w:szCs w:val="21"/>
              </w:rPr>
            </w:pPr>
          </w:p>
        </w:tc>
        <w:tc>
          <w:tcPr>
            <w:tcW w:w="886" w:type="dxa"/>
            <w:vAlign w:val="center"/>
          </w:tcPr>
          <w:p>
            <w:pPr>
              <w:shd w:val="clear"/>
              <w:adjustRightInd w:val="0"/>
              <w:snapToGrid w:val="0"/>
              <w:spacing w:line="240" w:lineRule="auto"/>
              <w:ind w:firstLine="420"/>
              <w:rPr>
                <w:rFonts w:hAnsi="宋体" w:cs="宋体"/>
                <w:color w:val="auto"/>
                <w:sz w:val="21"/>
                <w:szCs w:val="21"/>
              </w:rPr>
            </w:pPr>
          </w:p>
        </w:tc>
        <w:tc>
          <w:tcPr>
            <w:tcW w:w="1004"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761" w:type="dxa"/>
            <w:vAlign w:val="center"/>
          </w:tcPr>
          <w:p>
            <w:pPr>
              <w:shd w:val="clear"/>
              <w:adjustRightInd w:val="0"/>
              <w:snapToGrid w:val="0"/>
              <w:spacing w:line="240" w:lineRule="auto"/>
              <w:ind w:firstLine="420"/>
              <w:rPr>
                <w:rFonts w:hAnsi="宋体" w:cs="宋体"/>
                <w:color w:val="auto"/>
                <w:sz w:val="21"/>
                <w:szCs w:val="21"/>
              </w:rPr>
            </w:pPr>
          </w:p>
        </w:tc>
        <w:tc>
          <w:tcPr>
            <w:tcW w:w="1006" w:type="dxa"/>
          </w:tcPr>
          <w:p>
            <w:pPr>
              <w:shd w:val="clear"/>
              <w:adjustRightInd w:val="0"/>
              <w:snapToGrid w:val="0"/>
              <w:spacing w:line="240" w:lineRule="auto"/>
              <w:ind w:firstLine="420"/>
              <w:rPr>
                <w:rFonts w:hAnsi="宋体" w:cs="宋体"/>
                <w:color w:val="auto"/>
                <w:sz w:val="21"/>
                <w:szCs w:val="21"/>
              </w:rPr>
            </w:pPr>
          </w:p>
        </w:tc>
        <w:tc>
          <w:tcPr>
            <w:tcW w:w="1006" w:type="dxa"/>
            <w:vAlign w:val="center"/>
          </w:tcPr>
          <w:p>
            <w:pPr>
              <w:shd w:val="clear"/>
              <w:adjustRightInd w:val="0"/>
              <w:snapToGrid w:val="0"/>
              <w:spacing w:line="240" w:lineRule="auto"/>
              <w:ind w:firstLine="420"/>
              <w:rPr>
                <w:rFonts w:hAnsi="宋体" w:cs="宋体"/>
                <w:color w:val="auto"/>
                <w:sz w:val="21"/>
                <w:szCs w:val="21"/>
              </w:rPr>
            </w:pPr>
          </w:p>
        </w:tc>
        <w:tc>
          <w:tcPr>
            <w:tcW w:w="534" w:type="dxa"/>
            <w:vAlign w:val="center"/>
          </w:tcPr>
          <w:p>
            <w:pPr>
              <w:shd w:val="clear"/>
              <w:adjustRightInd w:val="0"/>
              <w:snapToGrid w:val="0"/>
              <w:spacing w:line="240" w:lineRule="auto"/>
              <w:ind w:firstLine="420"/>
              <w:rPr>
                <w:rFonts w:hAnsi="宋体" w:cs="宋体"/>
                <w:color w:val="auto"/>
                <w:sz w:val="21"/>
                <w:szCs w:val="21"/>
              </w:rPr>
            </w:pPr>
          </w:p>
        </w:tc>
        <w:tc>
          <w:tcPr>
            <w:tcW w:w="941" w:type="dxa"/>
            <w:vAlign w:val="center"/>
          </w:tcPr>
          <w:p>
            <w:pPr>
              <w:shd w:val="clear"/>
              <w:adjustRightInd w:val="0"/>
              <w:snapToGrid w:val="0"/>
              <w:spacing w:line="240" w:lineRule="auto"/>
              <w:ind w:firstLine="420"/>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20" w:type="dxa"/>
            <w:vAlign w:val="center"/>
          </w:tcPr>
          <w:p>
            <w:pPr>
              <w:shd w:val="clear"/>
              <w:adjustRightInd w:val="0"/>
              <w:snapToGrid w:val="0"/>
              <w:spacing w:line="240" w:lineRule="auto"/>
              <w:ind w:firstLine="420"/>
              <w:rPr>
                <w:rFonts w:hAnsi="宋体" w:cs="宋体"/>
                <w:color w:val="auto"/>
                <w:sz w:val="21"/>
                <w:szCs w:val="21"/>
              </w:rPr>
            </w:pPr>
          </w:p>
        </w:tc>
        <w:tc>
          <w:tcPr>
            <w:tcW w:w="816" w:type="dxa"/>
            <w:vAlign w:val="center"/>
          </w:tcPr>
          <w:p>
            <w:pPr>
              <w:shd w:val="clear"/>
              <w:adjustRightInd w:val="0"/>
              <w:snapToGrid w:val="0"/>
              <w:spacing w:line="240" w:lineRule="auto"/>
              <w:ind w:firstLine="420"/>
              <w:rPr>
                <w:rFonts w:hAnsi="宋体" w:cs="宋体"/>
                <w:color w:val="auto"/>
                <w:sz w:val="21"/>
                <w:szCs w:val="21"/>
              </w:rPr>
            </w:pPr>
          </w:p>
        </w:tc>
        <w:tc>
          <w:tcPr>
            <w:tcW w:w="886" w:type="dxa"/>
            <w:vAlign w:val="center"/>
          </w:tcPr>
          <w:p>
            <w:pPr>
              <w:shd w:val="clear"/>
              <w:adjustRightInd w:val="0"/>
              <w:snapToGrid w:val="0"/>
              <w:spacing w:line="240" w:lineRule="auto"/>
              <w:ind w:firstLine="420"/>
              <w:rPr>
                <w:rFonts w:hAnsi="宋体" w:cs="宋体"/>
                <w:color w:val="auto"/>
                <w:sz w:val="21"/>
                <w:szCs w:val="21"/>
              </w:rPr>
            </w:pPr>
          </w:p>
        </w:tc>
        <w:tc>
          <w:tcPr>
            <w:tcW w:w="1004"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761" w:type="dxa"/>
            <w:vAlign w:val="center"/>
          </w:tcPr>
          <w:p>
            <w:pPr>
              <w:shd w:val="clear"/>
              <w:adjustRightInd w:val="0"/>
              <w:snapToGrid w:val="0"/>
              <w:spacing w:line="240" w:lineRule="auto"/>
              <w:ind w:firstLine="420"/>
              <w:rPr>
                <w:rFonts w:hAnsi="宋体" w:cs="宋体"/>
                <w:color w:val="auto"/>
                <w:sz w:val="21"/>
                <w:szCs w:val="21"/>
              </w:rPr>
            </w:pPr>
          </w:p>
        </w:tc>
        <w:tc>
          <w:tcPr>
            <w:tcW w:w="1006" w:type="dxa"/>
          </w:tcPr>
          <w:p>
            <w:pPr>
              <w:shd w:val="clear"/>
              <w:adjustRightInd w:val="0"/>
              <w:snapToGrid w:val="0"/>
              <w:spacing w:line="240" w:lineRule="auto"/>
              <w:ind w:firstLine="420"/>
              <w:rPr>
                <w:rFonts w:hAnsi="宋体" w:cs="宋体"/>
                <w:color w:val="auto"/>
                <w:sz w:val="21"/>
                <w:szCs w:val="21"/>
              </w:rPr>
            </w:pPr>
          </w:p>
        </w:tc>
        <w:tc>
          <w:tcPr>
            <w:tcW w:w="1006" w:type="dxa"/>
            <w:vAlign w:val="center"/>
          </w:tcPr>
          <w:p>
            <w:pPr>
              <w:shd w:val="clear"/>
              <w:adjustRightInd w:val="0"/>
              <w:snapToGrid w:val="0"/>
              <w:spacing w:line="240" w:lineRule="auto"/>
              <w:ind w:firstLine="420"/>
              <w:rPr>
                <w:rFonts w:hAnsi="宋体" w:cs="宋体"/>
                <w:color w:val="auto"/>
                <w:sz w:val="21"/>
                <w:szCs w:val="21"/>
              </w:rPr>
            </w:pPr>
          </w:p>
        </w:tc>
        <w:tc>
          <w:tcPr>
            <w:tcW w:w="534" w:type="dxa"/>
            <w:vAlign w:val="center"/>
          </w:tcPr>
          <w:p>
            <w:pPr>
              <w:shd w:val="clear"/>
              <w:adjustRightInd w:val="0"/>
              <w:snapToGrid w:val="0"/>
              <w:spacing w:line="240" w:lineRule="auto"/>
              <w:ind w:firstLine="420"/>
              <w:rPr>
                <w:rFonts w:hAnsi="宋体" w:cs="宋体"/>
                <w:color w:val="auto"/>
                <w:sz w:val="21"/>
                <w:szCs w:val="21"/>
              </w:rPr>
            </w:pPr>
          </w:p>
        </w:tc>
        <w:tc>
          <w:tcPr>
            <w:tcW w:w="941" w:type="dxa"/>
            <w:vAlign w:val="center"/>
          </w:tcPr>
          <w:p>
            <w:pPr>
              <w:shd w:val="clear"/>
              <w:adjustRightInd w:val="0"/>
              <w:snapToGrid w:val="0"/>
              <w:spacing w:line="240" w:lineRule="auto"/>
              <w:ind w:firstLine="420"/>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20" w:type="dxa"/>
            <w:vAlign w:val="center"/>
          </w:tcPr>
          <w:p>
            <w:pPr>
              <w:shd w:val="clear"/>
              <w:adjustRightInd w:val="0"/>
              <w:snapToGrid w:val="0"/>
              <w:spacing w:line="240" w:lineRule="auto"/>
              <w:ind w:firstLine="420"/>
              <w:rPr>
                <w:rFonts w:hAnsi="宋体" w:cs="宋体"/>
                <w:color w:val="auto"/>
                <w:sz w:val="21"/>
                <w:szCs w:val="21"/>
              </w:rPr>
            </w:pPr>
          </w:p>
        </w:tc>
        <w:tc>
          <w:tcPr>
            <w:tcW w:w="816" w:type="dxa"/>
            <w:vAlign w:val="center"/>
          </w:tcPr>
          <w:p>
            <w:pPr>
              <w:shd w:val="clear"/>
              <w:adjustRightInd w:val="0"/>
              <w:snapToGrid w:val="0"/>
              <w:spacing w:line="240" w:lineRule="auto"/>
              <w:ind w:firstLine="420"/>
              <w:rPr>
                <w:rFonts w:hAnsi="宋体" w:cs="宋体"/>
                <w:color w:val="auto"/>
                <w:sz w:val="21"/>
                <w:szCs w:val="21"/>
              </w:rPr>
            </w:pPr>
          </w:p>
        </w:tc>
        <w:tc>
          <w:tcPr>
            <w:tcW w:w="886" w:type="dxa"/>
            <w:vAlign w:val="center"/>
          </w:tcPr>
          <w:p>
            <w:pPr>
              <w:shd w:val="clear"/>
              <w:adjustRightInd w:val="0"/>
              <w:snapToGrid w:val="0"/>
              <w:spacing w:line="240" w:lineRule="auto"/>
              <w:ind w:firstLine="420"/>
              <w:rPr>
                <w:rFonts w:hAnsi="宋体" w:cs="宋体"/>
                <w:color w:val="auto"/>
                <w:sz w:val="21"/>
                <w:szCs w:val="21"/>
              </w:rPr>
            </w:pPr>
          </w:p>
        </w:tc>
        <w:tc>
          <w:tcPr>
            <w:tcW w:w="1004"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761" w:type="dxa"/>
            <w:vAlign w:val="center"/>
          </w:tcPr>
          <w:p>
            <w:pPr>
              <w:shd w:val="clear"/>
              <w:adjustRightInd w:val="0"/>
              <w:snapToGrid w:val="0"/>
              <w:spacing w:line="240" w:lineRule="auto"/>
              <w:ind w:firstLine="420"/>
              <w:rPr>
                <w:rFonts w:hAnsi="宋体" w:cs="宋体"/>
                <w:color w:val="auto"/>
                <w:sz w:val="21"/>
                <w:szCs w:val="21"/>
              </w:rPr>
            </w:pPr>
          </w:p>
        </w:tc>
        <w:tc>
          <w:tcPr>
            <w:tcW w:w="1006" w:type="dxa"/>
          </w:tcPr>
          <w:p>
            <w:pPr>
              <w:shd w:val="clear"/>
              <w:adjustRightInd w:val="0"/>
              <w:snapToGrid w:val="0"/>
              <w:spacing w:line="240" w:lineRule="auto"/>
              <w:ind w:firstLine="420"/>
              <w:rPr>
                <w:rFonts w:hAnsi="宋体" w:cs="宋体"/>
                <w:color w:val="auto"/>
                <w:sz w:val="21"/>
                <w:szCs w:val="21"/>
              </w:rPr>
            </w:pPr>
          </w:p>
        </w:tc>
        <w:tc>
          <w:tcPr>
            <w:tcW w:w="1006" w:type="dxa"/>
            <w:vAlign w:val="center"/>
          </w:tcPr>
          <w:p>
            <w:pPr>
              <w:shd w:val="clear"/>
              <w:adjustRightInd w:val="0"/>
              <w:snapToGrid w:val="0"/>
              <w:spacing w:line="240" w:lineRule="auto"/>
              <w:ind w:firstLine="420"/>
              <w:rPr>
                <w:rFonts w:hAnsi="宋体" w:cs="宋体"/>
                <w:color w:val="auto"/>
                <w:sz w:val="21"/>
                <w:szCs w:val="21"/>
              </w:rPr>
            </w:pPr>
          </w:p>
        </w:tc>
        <w:tc>
          <w:tcPr>
            <w:tcW w:w="534" w:type="dxa"/>
            <w:vAlign w:val="center"/>
          </w:tcPr>
          <w:p>
            <w:pPr>
              <w:shd w:val="clear"/>
              <w:adjustRightInd w:val="0"/>
              <w:snapToGrid w:val="0"/>
              <w:spacing w:line="240" w:lineRule="auto"/>
              <w:ind w:firstLine="420"/>
              <w:rPr>
                <w:rFonts w:hAnsi="宋体" w:cs="宋体"/>
                <w:color w:val="auto"/>
                <w:sz w:val="21"/>
                <w:szCs w:val="21"/>
              </w:rPr>
            </w:pPr>
          </w:p>
        </w:tc>
        <w:tc>
          <w:tcPr>
            <w:tcW w:w="941" w:type="dxa"/>
            <w:vAlign w:val="center"/>
          </w:tcPr>
          <w:p>
            <w:pPr>
              <w:shd w:val="clear"/>
              <w:adjustRightInd w:val="0"/>
              <w:snapToGrid w:val="0"/>
              <w:spacing w:line="240" w:lineRule="auto"/>
              <w:ind w:firstLine="420"/>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20" w:type="dxa"/>
            <w:vAlign w:val="center"/>
          </w:tcPr>
          <w:p>
            <w:pPr>
              <w:shd w:val="clear"/>
              <w:adjustRightInd w:val="0"/>
              <w:snapToGrid w:val="0"/>
              <w:spacing w:line="240" w:lineRule="auto"/>
              <w:ind w:firstLine="420"/>
              <w:rPr>
                <w:rFonts w:hAnsi="宋体" w:cs="宋体"/>
                <w:color w:val="auto"/>
                <w:sz w:val="21"/>
                <w:szCs w:val="21"/>
              </w:rPr>
            </w:pPr>
          </w:p>
        </w:tc>
        <w:tc>
          <w:tcPr>
            <w:tcW w:w="816" w:type="dxa"/>
            <w:vAlign w:val="center"/>
          </w:tcPr>
          <w:p>
            <w:pPr>
              <w:shd w:val="clear"/>
              <w:adjustRightInd w:val="0"/>
              <w:snapToGrid w:val="0"/>
              <w:spacing w:line="240" w:lineRule="auto"/>
              <w:ind w:firstLine="420"/>
              <w:rPr>
                <w:rFonts w:hAnsi="宋体" w:cs="宋体"/>
                <w:color w:val="auto"/>
                <w:sz w:val="21"/>
                <w:szCs w:val="21"/>
              </w:rPr>
            </w:pPr>
          </w:p>
        </w:tc>
        <w:tc>
          <w:tcPr>
            <w:tcW w:w="886" w:type="dxa"/>
            <w:vAlign w:val="center"/>
          </w:tcPr>
          <w:p>
            <w:pPr>
              <w:shd w:val="clear"/>
              <w:adjustRightInd w:val="0"/>
              <w:snapToGrid w:val="0"/>
              <w:spacing w:line="240" w:lineRule="auto"/>
              <w:ind w:firstLine="420"/>
              <w:rPr>
                <w:rFonts w:hAnsi="宋体" w:cs="宋体"/>
                <w:color w:val="auto"/>
                <w:sz w:val="21"/>
                <w:szCs w:val="21"/>
              </w:rPr>
            </w:pPr>
          </w:p>
        </w:tc>
        <w:tc>
          <w:tcPr>
            <w:tcW w:w="1004"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761" w:type="dxa"/>
            <w:vAlign w:val="center"/>
          </w:tcPr>
          <w:p>
            <w:pPr>
              <w:shd w:val="clear"/>
              <w:adjustRightInd w:val="0"/>
              <w:snapToGrid w:val="0"/>
              <w:spacing w:line="240" w:lineRule="auto"/>
              <w:ind w:firstLine="420"/>
              <w:rPr>
                <w:rFonts w:hAnsi="宋体" w:cs="宋体"/>
                <w:color w:val="auto"/>
                <w:sz w:val="21"/>
                <w:szCs w:val="21"/>
              </w:rPr>
            </w:pPr>
          </w:p>
        </w:tc>
        <w:tc>
          <w:tcPr>
            <w:tcW w:w="1006" w:type="dxa"/>
          </w:tcPr>
          <w:p>
            <w:pPr>
              <w:shd w:val="clear"/>
              <w:adjustRightInd w:val="0"/>
              <w:snapToGrid w:val="0"/>
              <w:spacing w:line="240" w:lineRule="auto"/>
              <w:ind w:firstLine="420"/>
              <w:rPr>
                <w:rFonts w:hAnsi="宋体" w:cs="宋体"/>
                <w:color w:val="auto"/>
                <w:sz w:val="21"/>
                <w:szCs w:val="21"/>
              </w:rPr>
            </w:pPr>
          </w:p>
        </w:tc>
        <w:tc>
          <w:tcPr>
            <w:tcW w:w="1006" w:type="dxa"/>
            <w:vAlign w:val="center"/>
          </w:tcPr>
          <w:p>
            <w:pPr>
              <w:shd w:val="clear"/>
              <w:adjustRightInd w:val="0"/>
              <w:snapToGrid w:val="0"/>
              <w:spacing w:line="240" w:lineRule="auto"/>
              <w:ind w:firstLine="420"/>
              <w:rPr>
                <w:rFonts w:hAnsi="宋体" w:cs="宋体"/>
                <w:color w:val="auto"/>
                <w:sz w:val="21"/>
                <w:szCs w:val="21"/>
              </w:rPr>
            </w:pPr>
          </w:p>
        </w:tc>
        <w:tc>
          <w:tcPr>
            <w:tcW w:w="534" w:type="dxa"/>
            <w:vAlign w:val="center"/>
          </w:tcPr>
          <w:p>
            <w:pPr>
              <w:shd w:val="clear"/>
              <w:adjustRightInd w:val="0"/>
              <w:snapToGrid w:val="0"/>
              <w:spacing w:line="240" w:lineRule="auto"/>
              <w:ind w:firstLine="420"/>
              <w:rPr>
                <w:rFonts w:hAnsi="宋体" w:cs="宋体"/>
                <w:color w:val="auto"/>
                <w:sz w:val="21"/>
                <w:szCs w:val="21"/>
              </w:rPr>
            </w:pPr>
          </w:p>
        </w:tc>
        <w:tc>
          <w:tcPr>
            <w:tcW w:w="941" w:type="dxa"/>
            <w:vAlign w:val="center"/>
          </w:tcPr>
          <w:p>
            <w:pPr>
              <w:shd w:val="clear"/>
              <w:adjustRightInd w:val="0"/>
              <w:snapToGrid w:val="0"/>
              <w:spacing w:line="240" w:lineRule="auto"/>
              <w:ind w:firstLine="420"/>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20" w:type="dxa"/>
            <w:vAlign w:val="center"/>
          </w:tcPr>
          <w:p>
            <w:pPr>
              <w:shd w:val="clear"/>
              <w:adjustRightInd w:val="0"/>
              <w:snapToGrid w:val="0"/>
              <w:spacing w:line="240" w:lineRule="auto"/>
              <w:ind w:firstLine="420"/>
              <w:rPr>
                <w:rFonts w:hAnsi="宋体" w:cs="宋体"/>
                <w:color w:val="auto"/>
                <w:sz w:val="21"/>
                <w:szCs w:val="21"/>
              </w:rPr>
            </w:pPr>
          </w:p>
        </w:tc>
        <w:tc>
          <w:tcPr>
            <w:tcW w:w="816" w:type="dxa"/>
            <w:vAlign w:val="center"/>
          </w:tcPr>
          <w:p>
            <w:pPr>
              <w:shd w:val="clear"/>
              <w:adjustRightInd w:val="0"/>
              <w:snapToGrid w:val="0"/>
              <w:spacing w:line="240" w:lineRule="auto"/>
              <w:ind w:firstLine="420"/>
              <w:rPr>
                <w:rFonts w:hAnsi="宋体" w:cs="宋体"/>
                <w:color w:val="auto"/>
                <w:sz w:val="21"/>
                <w:szCs w:val="21"/>
              </w:rPr>
            </w:pPr>
          </w:p>
        </w:tc>
        <w:tc>
          <w:tcPr>
            <w:tcW w:w="886" w:type="dxa"/>
            <w:vAlign w:val="center"/>
          </w:tcPr>
          <w:p>
            <w:pPr>
              <w:shd w:val="clear"/>
              <w:adjustRightInd w:val="0"/>
              <w:snapToGrid w:val="0"/>
              <w:spacing w:line="240" w:lineRule="auto"/>
              <w:ind w:firstLine="420"/>
              <w:rPr>
                <w:rFonts w:hAnsi="宋体" w:cs="宋体"/>
                <w:color w:val="auto"/>
                <w:sz w:val="21"/>
                <w:szCs w:val="21"/>
              </w:rPr>
            </w:pPr>
          </w:p>
        </w:tc>
        <w:tc>
          <w:tcPr>
            <w:tcW w:w="1004"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761" w:type="dxa"/>
            <w:vAlign w:val="center"/>
          </w:tcPr>
          <w:p>
            <w:pPr>
              <w:shd w:val="clear"/>
              <w:adjustRightInd w:val="0"/>
              <w:snapToGrid w:val="0"/>
              <w:spacing w:line="240" w:lineRule="auto"/>
              <w:ind w:firstLine="420"/>
              <w:rPr>
                <w:rFonts w:hAnsi="宋体" w:cs="宋体"/>
                <w:color w:val="auto"/>
                <w:sz w:val="21"/>
                <w:szCs w:val="21"/>
              </w:rPr>
            </w:pPr>
          </w:p>
        </w:tc>
        <w:tc>
          <w:tcPr>
            <w:tcW w:w="1006" w:type="dxa"/>
          </w:tcPr>
          <w:p>
            <w:pPr>
              <w:shd w:val="clear"/>
              <w:adjustRightInd w:val="0"/>
              <w:snapToGrid w:val="0"/>
              <w:spacing w:line="240" w:lineRule="auto"/>
              <w:ind w:firstLine="420"/>
              <w:rPr>
                <w:rFonts w:hAnsi="宋体" w:cs="宋体"/>
                <w:color w:val="auto"/>
                <w:sz w:val="21"/>
                <w:szCs w:val="21"/>
              </w:rPr>
            </w:pPr>
          </w:p>
        </w:tc>
        <w:tc>
          <w:tcPr>
            <w:tcW w:w="1006" w:type="dxa"/>
            <w:vAlign w:val="center"/>
          </w:tcPr>
          <w:p>
            <w:pPr>
              <w:shd w:val="clear"/>
              <w:adjustRightInd w:val="0"/>
              <w:snapToGrid w:val="0"/>
              <w:spacing w:line="240" w:lineRule="auto"/>
              <w:ind w:firstLine="420"/>
              <w:rPr>
                <w:rFonts w:hAnsi="宋体" w:cs="宋体"/>
                <w:color w:val="auto"/>
                <w:sz w:val="21"/>
                <w:szCs w:val="21"/>
              </w:rPr>
            </w:pPr>
          </w:p>
        </w:tc>
        <w:tc>
          <w:tcPr>
            <w:tcW w:w="534" w:type="dxa"/>
            <w:vAlign w:val="center"/>
          </w:tcPr>
          <w:p>
            <w:pPr>
              <w:shd w:val="clear"/>
              <w:adjustRightInd w:val="0"/>
              <w:snapToGrid w:val="0"/>
              <w:spacing w:line="240" w:lineRule="auto"/>
              <w:ind w:firstLine="420"/>
              <w:rPr>
                <w:rFonts w:hAnsi="宋体" w:cs="宋体"/>
                <w:color w:val="auto"/>
                <w:sz w:val="21"/>
                <w:szCs w:val="21"/>
              </w:rPr>
            </w:pPr>
          </w:p>
        </w:tc>
        <w:tc>
          <w:tcPr>
            <w:tcW w:w="941" w:type="dxa"/>
            <w:vAlign w:val="center"/>
          </w:tcPr>
          <w:p>
            <w:pPr>
              <w:shd w:val="clear"/>
              <w:adjustRightInd w:val="0"/>
              <w:snapToGrid w:val="0"/>
              <w:spacing w:line="240" w:lineRule="auto"/>
              <w:ind w:firstLine="420"/>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20" w:type="dxa"/>
            <w:vAlign w:val="center"/>
          </w:tcPr>
          <w:p>
            <w:pPr>
              <w:shd w:val="clear"/>
              <w:adjustRightInd w:val="0"/>
              <w:snapToGrid w:val="0"/>
              <w:spacing w:line="240" w:lineRule="auto"/>
              <w:ind w:firstLine="420"/>
              <w:rPr>
                <w:rFonts w:hAnsi="宋体" w:cs="宋体"/>
                <w:color w:val="auto"/>
                <w:sz w:val="21"/>
                <w:szCs w:val="21"/>
              </w:rPr>
            </w:pPr>
          </w:p>
        </w:tc>
        <w:tc>
          <w:tcPr>
            <w:tcW w:w="816" w:type="dxa"/>
            <w:vAlign w:val="center"/>
          </w:tcPr>
          <w:p>
            <w:pPr>
              <w:shd w:val="clear"/>
              <w:adjustRightInd w:val="0"/>
              <w:snapToGrid w:val="0"/>
              <w:spacing w:line="240" w:lineRule="auto"/>
              <w:ind w:firstLine="420"/>
              <w:rPr>
                <w:rFonts w:hAnsi="宋体" w:cs="宋体"/>
                <w:color w:val="auto"/>
                <w:sz w:val="21"/>
                <w:szCs w:val="21"/>
              </w:rPr>
            </w:pPr>
          </w:p>
        </w:tc>
        <w:tc>
          <w:tcPr>
            <w:tcW w:w="886" w:type="dxa"/>
            <w:vAlign w:val="center"/>
          </w:tcPr>
          <w:p>
            <w:pPr>
              <w:shd w:val="clear"/>
              <w:adjustRightInd w:val="0"/>
              <w:snapToGrid w:val="0"/>
              <w:spacing w:line="240" w:lineRule="auto"/>
              <w:ind w:firstLine="420"/>
              <w:rPr>
                <w:rFonts w:hAnsi="宋体" w:cs="宋体"/>
                <w:color w:val="auto"/>
                <w:sz w:val="21"/>
                <w:szCs w:val="21"/>
              </w:rPr>
            </w:pPr>
          </w:p>
        </w:tc>
        <w:tc>
          <w:tcPr>
            <w:tcW w:w="1004"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948" w:type="dxa"/>
            <w:vAlign w:val="center"/>
          </w:tcPr>
          <w:p>
            <w:pPr>
              <w:shd w:val="clear"/>
              <w:adjustRightInd w:val="0"/>
              <w:snapToGrid w:val="0"/>
              <w:spacing w:line="240" w:lineRule="auto"/>
              <w:ind w:firstLine="420"/>
              <w:rPr>
                <w:rFonts w:hAnsi="宋体" w:cs="宋体"/>
                <w:color w:val="auto"/>
                <w:sz w:val="21"/>
                <w:szCs w:val="21"/>
              </w:rPr>
            </w:pPr>
          </w:p>
        </w:tc>
        <w:tc>
          <w:tcPr>
            <w:tcW w:w="761" w:type="dxa"/>
            <w:vAlign w:val="center"/>
          </w:tcPr>
          <w:p>
            <w:pPr>
              <w:shd w:val="clear"/>
              <w:adjustRightInd w:val="0"/>
              <w:snapToGrid w:val="0"/>
              <w:spacing w:line="240" w:lineRule="auto"/>
              <w:ind w:firstLine="420"/>
              <w:rPr>
                <w:rFonts w:hAnsi="宋体" w:cs="宋体"/>
                <w:color w:val="auto"/>
                <w:sz w:val="21"/>
                <w:szCs w:val="21"/>
              </w:rPr>
            </w:pPr>
          </w:p>
        </w:tc>
        <w:tc>
          <w:tcPr>
            <w:tcW w:w="1006" w:type="dxa"/>
          </w:tcPr>
          <w:p>
            <w:pPr>
              <w:shd w:val="clear"/>
              <w:adjustRightInd w:val="0"/>
              <w:snapToGrid w:val="0"/>
              <w:spacing w:line="240" w:lineRule="auto"/>
              <w:ind w:firstLine="420"/>
              <w:rPr>
                <w:rFonts w:hAnsi="宋体" w:cs="宋体"/>
                <w:color w:val="auto"/>
                <w:sz w:val="21"/>
                <w:szCs w:val="21"/>
              </w:rPr>
            </w:pPr>
          </w:p>
        </w:tc>
        <w:tc>
          <w:tcPr>
            <w:tcW w:w="1006" w:type="dxa"/>
            <w:vAlign w:val="center"/>
          </w:tcPr>
          <w:p>
            <w:pPr>
              <w:shd w:val="clear"/>
              <w:adjustRightInd w:val="0"/>
              <w:snapToGrid w:val="0"/>
              <w:spacing w:line="240" w:lineRule="auto"/>
              <w:ind w:firstLine="420"/>
              <w:rPr>
                <w:rFonts w:hAnsi="宋体" w:cs="宋体"/>
                <w:color w:val="auto"/>
                <w:sz w:val="21"/>
                <w:szCs w:val="21"/>
              </w:rPr>
            </w:pPr>
          </w:p>
        </w:tc>
        <w:tc>
          <w:tcPr>
            <w:tcW w:w="534" w:type="dxa"/>
            <w:vAlign w:val="center"/>
          </w:tcPr>
          <w:p>
            <w:pPr>
              <w:shd w:val="clear"/>
              <w:adjustRightInd w:val="0"/>
              <w:snapToGrid w:val="0"/>
              <w:spacing w:line="240" w:lineRule="auto"/>
              <w:ind w:firstLine="420"/>
              <w:rPr>
                <w:rFonts w:hAnsi="宋体" w:cs="宋体"/>
                <w:color w:val="auto"/>
                <w:sz w:val="21"/>
                <w:szCs w:val="21"/>
              </w:rPr>
            </w:pPr>
          </w:p>
        </w:tc>
        <w:tc>
          <w:tcPr>
            <w:tcW w:w="941" w:type="dxa"/>
            <w:vAlign w:val="center"/>
          </w:tcPr>
          <w:p>
            <w:pPr>
              <w:shd w:val="clear"/>
              <w:adjustRightInd w:val="0"/>
              <w:snapToGrid w:val="0"/>
              <w:spacing w:line="240" w:lineRule="auto"/>
              <w:ind w:firstLine="420"/>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222" w:type="dxa"/>
            <w:gridSpan w:val="3"/>
            <w:vAlign w:val="center"/>
          </w:tcPr>
          <w:p>
            <w:pPr>
              <w:shd w:val="clear"/>
              <w:adjustRightInd w:val="0"/>
              <w:snapToGrid w:val="0"/>
              <w:spacing w:line="240" w:lineRule="auto"/>
              <w:ind w:firstLine="420"/>
              <w:rPr>
                <w:rFonts w:hAnsi="宋体" w:cs="宋体"/>
                <w:color w:val="auto"/>
                <w:sz w:val="21"/>
                <w:szCs w:val="21"/>
              </w:rPr>
            </w:pPr>
            <w:r>
              <w:rPr>
                <w:rFonts w:hint="eastAsia" w:hAnsi="宋体" w:cs="宋体"/>
                <w:color w:val="auto"/>
                <w:sz w:val="21"/>
                <w:szCs w:val="21"/>
              </w:rPr>
              <w:t>最高投标限价：</w:t>
            </w:r>
          </w:p>
        </w:tc>
        <w:tc>
          <w:tcPr>
            <w:tcW w:w="7148" w:type="dxa"/>
            <w:gridSpan w:val="8"/>
            <w:vAlign w:val="center"/>
          </w:tcPr>
          <w:p>
            <w:pPr>
              <w:shd w:val="clear"/>
              <w:adjustRightInd w:val="0"/>
              <w:snapToGrid w:val="0"/>
              <w:spacing w:line="240" w:lineRule="auto"/>
              <w:ind w:firstLine="420"/>
              <w:rPr>
                <w:rFonts w:hAnsi="宋体" w:cs="宋体"/>
                <w:color w:val="auto"/>
                <w:sz w:val="21"/>
                <w:szCs w:val="21"/>
              </w:rPr>
            </w:pPr>
          </w:p>
        </w:tc>
      </w:tr>
    </w:tbl>
    <w:p>
      <w:pPr>
        <w:shd w:val="clear"/>
        <w:ind w:firstLine="480"/>
        <w:rPr>
          <w:rFonts w:hAnsi="宋体"/>
          <w:color w:val="auto"/>
        </w:rPr>
      </w:pPr>
    </w:p>
    <w:p>
      <w:pPr>
        <w:shd w:val="clear"/>
        <w:ind w:firstLine="480"/>
        <w:rPr>
          <w:rFonts w:hAnsi="宋体"/>
          <w:color w:val="auto"/>
        </w:rPr>
      </w:pPr>
      <w:r>
        <w:rPr>
          <w:rFonts w:hint="eastAsia" w:hAnsi="宋体"/>
          <w:color w:val="auto"/>
        </w:rPr>
        <w:t>招标人代表：</w:t>
      </w:r>
      <w:r>
        <w:rPr>
          <w:rFonts w:hint="eastAsia" w:hAnsi="宋体"/>
          <w:color w:val="auto"/>
          <w:u w:val="single"/>
        </w:rPr>
        <w:t xml:space="preserve">          </w:t>
      </w:r>
      <w:r>
        <w:rPr>
          <w:rFonts w:hint="eastAsia" w:hAnsi="宋体"/>
          <w:color w:val="auto"/>
        </w:rPr>
        <w:t xml:space="preserve">         记录人：</w:t>
      </w:r>
      <w:r>
        <w:rPr>
          <w:rFonts w:hint="eastAsia" w:hAnsi="宋体"/>
          <w:color w:val="auto"/>
          <w:u w:val="single"/>
        </w:rPr>
        <w:t xml:space="preserve">          </w:t>
      </w:r>
      <w:r>
        <w:rPr>
          <w:rFonts w:hint="eastAsia" w:hAnsi="宋体"/>
          <w:color w:val="auto"/>
        </w:rPr>
        <w:t xml:space="preserve">         监标人：</w:t>
      </w:r>
      <w:r>
        <w:rPr>
          <w:rFonts w:hint="eastAsia" w:hAnsi="宋体"/>
          <w:color w:val="auto"/>
          <w:u w:val="single"/>
        </w:rPr>
        <w:t xml:space="preserve">          </w:t>
      </w:r>
    </w:p>
    <w:p>
      <w:pPr>
        <w:shd w:val="clear"/>
        <w:ind w:firstLine="480"/>
        <w:jc w:val="right"/>
        <w:rPr>
          <w:rFonts w:hAnsi="宋体"/>
          <w:color w:val="auto"/>
        </w:rPr>
      </w:pP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p>
      <w:pPr>
        <w:pStyle w:val="7"/>
        <w:shd w:val="clear"/>
        <w:rPr>
          <w:color w:val="auto"/>
        </w:rPr>
      </w:pPr>
      <w:bookmarkStart w:id="104" w:name="_Toc534882200"/>
      <w:bookmarkStart w:id="105" w:name="_Toc19316"/>
      <w:bookmarkStart w:id="106" w:name="_Toc17155"/>
      <w:bookmarkStart w:id="107" w:name="_Toc14184"/>
      <w:r>
        <w:rPr>
          <w:color w:val="auto"/>
        </w:rPr>
        <w:br w:type="page"/>
      </w:r>
      <w:bookmarkStart w:id="108" w:name="_Toc35513482"/>
      <w:r>
        <w:rPr>
          <w:rFonts w:hint="eastAsia"/>
          <w:color w:val="auto"/>
        </w:rPr>
        <w:t>附件二：问题澄清通知</w:t>
      </w:r>
      <w:bookmarkEnd w:id="104"/>
      <w:bookmarkEnd w:id="105"/>
      <w:bookmarkEnd w:id="106"/>
      <w:bookmarkEnd w:id="107"/>
      <w:bookmarkEnd w:id="108"/>
    </w:p>
    <w:p>
      <w:pPr>
        <w:shd w:val="clear"/>
        <w:ind w:firstLine="643"/>
        <w:jc w:val="center"/>
        <w:rPr>
          <w:rFonts w:hAnsi="宋体"/>
          <w:b/>
          <w:color w:val="auto"/>
          <w:sz w:val="32"/>
          <w:szCs w:val="32"/>
        </w:rPr>
      </w:pPr>
      <w:r>
        <w:rPr>
          <w:rFonts w:hint="eastAsia" w:hAnsi="宋体"/>
          <w:b/>
          <w:color w:val="auto"/>
          <w:sz w:val="32"/>
          <w:szCs w:val="32"/>
        </w:rPr>
        <w:t>问题澄清通知</w:t>
      </w:r>
    </w:p>
    <w:p>
      <w:pPr>
        <w:shd w:val="clear"/>
        <w:ind w:firstLine="480"/>
        <w:jc w:val="center"/>
        <w:rPr>
          <w:rFonts w:hAnsi="宋体"/>
          <w:color w:val="auto"/>
        </w:rPr>
      </w:pPr>
      <w:r>
        <w:rPr>
          <w:rFonts w:hint="eastAsia" w:hAnsi="宋体"/>
          <w:color w:val="auto"/>
        </w:rPr>
        <w:t>（编号：</w:t>
      </w:r>
      <w:r>
        <w:rPr>
          <w:rFonts w:hint="eastAsia" w:hAnsi="宋体"/>
          <w:color w:val="auto"/>
          <w:u w:val="single"/>
        </w:rPr>
        <w:t xml:space="preserve">              </w:t>
      </w:r>
      <w:r>
        <w:rPr>
          <w:rFonts w:hint="eastAsia" w:hAnsi="宋体"/>
          <w:color w:val="auto"/>
        </w:rPr>
        <w:t>）</w:t>
      </w:r>
    </w:p>
    <w:p>
      <w:pPr>
        <w:shd w:val="clear"/>
        <w:ind w:firstLine="480"/>
        <w:rPr>
          <w:rFonts w:hAnsi="宋体"/>
          <w:color w:val="auto"/>
        </w:rPr>
      </w:pPr>
    </w:p>
    <w:p>
      <w:pPr>
        <w:shd w:val="clear"/>
        <w:ind w:firstLine="480"/>
        <w:rPr>
          <w:rFonts w:hAnsi="宋体"/>
          <w:color w:val="auto"/>
        </w:rPr>
      </w:pPr>
      <w:r>
        <w:rPr>
          <w:rFonts w:hint="eastAsia" w:hAnsi="宋体"/>
          <w:color w:val="auto"/>
          <w:u w:val="single"/>
        </w:rPr>
        <w:t xml:space="preserve">                   </w:t>
      </w:r>
      <w:r>
        <w:rPr>
          <w:rFonts w:hint="eastAsia" w:hAnsi="宋体"/>
          <w:color w:val="auto"/>
        </w:rPr>
        <w:t>（投标人名称）：</w:t>
      </w:r>
    </w:p>
    <w:p>
      <w:pPr>
        <w:shd w:val="clear"/>
        <w:ind w:firstLine="480"/>
        <w:rPr>
          <w:rFonts w:hAnsi="宋体"/>
          <w:color w:val="auto"/>
        </w:rPr>
      </w:pPr>
    </w:p>
    <w:p>
      <w:pPr>
        <w:shd w:val="clear"/>
        <w:ind w:firstLine="480"/>
        <w:rPr>
          <w:rFonts w:hAnsi="宋体"/>
          <w:color w:val="auto"/>
        </w:rPr>
      </w:pPr>
      <w:r>
        <w:rPr>
          <w:rFonts w:hint="eastAsia" w:hAnsi="宋体"/>
          <w:color w:val="auto"/>
        </w:rPr>
        <w:t>评标委员会对你方的投标文件进行了仔细的审查，现需你方对下列问题以书面形式予以澄清、说明或补正：</w:t>
      </w:r>
    </w:p>
    <w:p>
      <w:pPr>
        <w:shd w:val="clear"/>
        <w:ind w:firstLine="480"/>
        <w:rPr>
          <w:rFonts w:hAnsi="宋体"/>
          <w:color w:val="auto"/>
        </w:rPr>
      </w:pPr>
      <w:r>
        <w:rPr>
          <w:rFonts w:hAnsi="宋体"/>
          <w:color w:val="auto"/>
        </w:rPr>
        <w:t>1.</w:t>
      </w:r>
    </w:p>
    <w:p>
      <w:pPr>
        <w:shd w:val="clear"/>
        <w:ind w:firstLine="480"/>
        <w:rPr>
          <w:rFonts w:hAnsi="宋体"/>
          <w:color w:val="auto"/>
        </w:rPr>
      </w:pPr>
      <w:r>
        <w:rPr>
          <w:rFonts w:hAnsi="宋体"/>
          <w:color w:val="auto"/>
        </w:rPr>
        <w:t>2.</w:t>
      </w:r>
    </w:p>
    <w:p>
      <w:pPr>
        <w:shd w:val="clear"/>
        <w:ind w:firstLine="480"/>
        <w:rPr>
          <w:rFonts w:hAnsi="宋体"/>
          <w:color w:val="auto"/>
        </w:rPr>
      </w:pPr>
      <w:r>
        <w:rPr>
          <w:rFonts w:hAnsi="宋体"/>
          <w:color w:val="auto"/>
        </w:rPr>
        <w:t>......</w:t>
      </w:r>
    </w:p>
    <w:p>
      <w:pPr>
        <w:shd w:val="clear"/>
        <w:ind w:firstLine="480"/>
        <w:rPr>
          <w:rFonts w:hAnsi="宋体"/>
          <w:color w:val="auto"/>
        </w:rPr>
      </w:pPr>
    </w:p>
    <w:p>
      <w:pPr>
        <w:shd w:val="clear"/>
        <w:ind w:firstLine="480"/>
        <w:rPr>
          <w:rFonts w:hAnsi="宋体"/>
          <w:color w:val="auto"/>
        </w:rPr>
      </w:pPr>
      <w:r>
        <w:rPr>
          <w:rFonts w:hint="eastAsia" w:hAnsi="宋体"/>
          <w:color w:val="auto"/>
        </w:rPr>
        <w:t>请将上述问题的澄清、说明或补正于</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r>
        <w:rPr>
          <w:rFonts w:hint="eastAsia" w:hAnsi="宋体"/>
          <w:color w:val="auto"/>
          <w:u w:val="single"/>
        </w:rPr>
        <w:t xml:space="preserve">       </w:t>
      </w:r>
      <w:r>
        <w:rPr>
          <w:rFonts w:hint="eastAsia" w:hAnsi="宋体"/>
          <w:color w:val="auto"/>
        </w:rPr>
        <w:t>时前递交至</w:t>
      </w:r>
    </w:p>
    <w:p>
      <w:pPr>
        <w:shd w:val="clear"/>
        <w:ind w:firstLine="480"/>
        <w:rPr>
          <w:rFonts w:hAnsi="宋体"/>
          <w:color w:val="auto"/>
        </w:rPr>
      </w:pPr>
      <w:r>
        <w:rPr>
          <w:rFonts w:hint="eastAsia" w:hAnsi="宋体"/>
          <w:color w:val="auto"/>
          <w:u w:val="single"/>
        </w:rPr>
        <w:t xml:space="preserve">                       </w:t>
      </w:r>
      <w:r>
        <w:rPr>
          <w:rFonts w:hint="eastAsia" w:hAnsi="宋体"/>
          <w:color w:val="auto"/>
        </w:rPr>
        <w:t>（详细地址）或传真至</w:t>
      </w:r>
      <w:r>
        <w:rPr>
          <w:rFonts w:hint="eastAsia" w:hAnsi="宋体"/>
          <w:color w:val="auto"/>
          <w:u w:val="single"/>
        </w:rPr>
        <w:t xml:space="preserve">                </w:t>
      </w:r>
      <w:r>
        <w:rPr>
          <w:rFonts w:hint="eastAsia" w:hAnsi="宋体"/>
          <w:color w:val="auto"/>
        </w:rPr>
        <w:t>（传真号码）或通过下载招标文件的电子招标交易平台上传。采用传真方式的，应在</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r>
        <w:rPr>
          <w:rFonts w:hint="eastAsia" w:hAnsi="宋体"/>
          <w:color w:val="auto"/>
          <w:u w:val="single"/>
        </w:rPr>
        <w:t xml:space="preserve">    </w:t>
      </w:r>
      <w:r>
        <w:rPr>
          <w:rFonts w:hint="eastAsia" w:hAnsi="宋体"/>
          <w:color w:val="auto"/>
        </w:rPr>
        <w:t>时前将原件递交至</w:t>
      </w:r>
      <w:r>
        <w:rPr>
          <w:rFonts w:hint="eastAsia" w:hAnsi="宋体"/>
          <w:color w:val="auto"/>
          <w:u w:val="single"/>
        </w:rPr>
        <w:t xml:space="preserve">                      </w:t>
      </w:r>
      <w:r>
        <w:rPr>
          <w:rFonts w:hint="eastAsia" w:hAnsi="宋体"/>
          <w:color w:val="auto"/>
        </w:rPr>
        <w:t>（详细地址）。</w:t>
      </w:r>
    </w:p>
    <w:p>
      <w:pPr>
        <w:shd w:val="clear"/>
        <w:ind w:firstLine="480"/>
        <w:rPr>
          <w:rFonts w:hAnsi="宋体"/>
          <w:color w:val="auto"/>
        </w:rPr>
      </w:pPr>
    </w:p>
    <w:p>
      <w:pPr>
        <w:shd w:val="clear"/>
        <w:ind w:firstLine="480"/>
        <w:rPr>
          <w:rFonts w:hAnsi="宋体"/>
          <w:color w:val="auto"/>
        </w:rPr>
      </w:pPr>
    </w:p>
    <w:p>
      <w:pPr>
        <w:shd w:val="clear"/>
        <w:ind w:firstLine="480"/>
        <w:rPr>
          <w:rFonts w:hAnsi="宋体"/>
          <w:color w:val="auto"/>
        </w:rPr>
      </w:pPr>
    </w:p>
    <w:p>
      <w:pPr>
        <w:shd w:val="clear"/>
        <w:ind w:firstLine="480"/>
        <w:rPr>
          <w:rFonts w:hAnsi="宋体"/>
          <w:color w:val="auto"/>
        </w:rPr>
      </w:pPr>
    </w:p>
    <w:p>
      <w:pPr>
        <w:shd w:val="clear"/>
        <w:ind w:firstLine="1680" w:firstLineChars="700"/>
        <w:rPr>
          <w:rFonts w:hAnsi="宋体"/>
          <w:color w:val="auto"/>
        </w:rPr>
      </w:pPr>
      <w:r>
        <w:rPr>
          <w:rFonts w:hint="eastAsia" w:hAnsi="宋体"/>
          <w:color w:val="auto"/>
        </w:rPr>
        <w:t>评标委员会授权的招标人或招标代理机构：</w:t>
      </w:r>
      <w:r>
        <w:rPr>
          <w:rFonts w:hint="eastAsia" w:hAnsi="宋体"/>
          <w:color w:val="auto"/>
          <w:u w:val="single"/>
        </w:rPr>
        <w:t xml:space="preserve">           </w:t>
      </w:r>
      <w:r>
        <w:rPr>
          <w:rFonts w:hint="eastAsia" w:hAnsi="宋体"/>
          <w:color w:val="auto"/>
        </w:rPr>
        <w:t>（签字或盖章）</w:t>
      </w:r>
    </w:p>
    <w:p>
      <w:pPr>
        <w:shd w:val="clear"/>
        <w:ind w:firstLine="5400" w:firstLineChars="2250"/>
        <w:rPr>
          <w:rFonts w:hAnsi="宋体"/>
          <w:color w:val="auto"/>
        </w:rPr>
      </w:pP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p>
      <w:pPr>
        <w:shd w:val="clear"/>
        <w:spacing w:line="320" w:lineRule="exact"/>
        <w:ind w:left="499" w:firstLine="420"/>
        <w:rPr>
          <w:rFonts w:hAnsi="宋体"/>
          <w:color w:val="auto"/>
          <w:sz w:val="21"/>
          <w:szCs w:val="21"/>
        </w:rPr>
      </w:pPr>
      <w:r>
        <w:rPr>
          <w:rFonts w:hint="eastAsia" w:hAnsi="宋体"/>
          <w:color w:val="auto"/>
          <w:sz w:val="21"/>
          <w:szCs w:val="21"/>
        </w:rPr>
        <w:t>（注：或按广州交易集团有限公司（广州公共资源交易中心）格式）</w:t>
      </w:r>
    </w:p>
    <w:p>
      <w:pPr>
        <w:shd w:val="clear"/>
        <w:spacing w:line="320" w:lineRule="exact"/>
        <w:ind w:left="499" w:firstLine="562"/>
        <w:rPr>
          <w:rFonts w:hAnsi="宋体"/>
          <w:b/>
          <w:color w:val="auto"/>
          <w:sz w:val="28"/>
        </w:rPr>
      </w:pPr>
    </w:p>
    <w:p>
      <w:pPr>
        <w:pStyle w:val="7"/>
        <w:shd w:val="clear"/>
        <w:rPr>
          <w:color w:val="auto"/>
        </w:rPr>
      </w:pPr>
      <w:bookmarkStart w:id="109" w:name="_Toc534882201"/>
      <w:bookmarkStart w:id="110" w:name="_Toc14969"/>
      <w:bookmarkStart w:id="111" w:name="_Toc15674"/>
      <w:bookmarkStart w:id="112" w:name="_Toc31127"/>
      <w:r>
        <w:rPr>
          <w:color w:val="auto"/>
        </w:rPr>
        <w:br w:type="page"/>
      </w:r>
      <w:bookmarkStart w:id="113" w:name="_Toc35513483"/>
      <w:r>
        <w:rPr>
          <w:rFonts w:hint="eastAsia"/>
          <w:color w:val="auto"/>
        </w:rPr>
        <w:t>附件三：问题的澄清</w:t>
      </w:r>
      <w:bookmarkEnd w:id="109"/>
      <w:bookmarkEnd w:id="110"/>
      <w:bookmarkEnd w:id="111"/>
      <w:bookmarkEnd w:id="112"/>
      <w:bookmarkEnd w:id="113"/>
    </w:p>
    <w:p>
      <w:pPr>
        <w:shd w:val="clear"/>
        <w:ind w:firstLine="643"/>
        <w:jc w:val="center"/>
        <w:rPr>
          <w:rFonts w:hAnsi="宋体"/>
          <w:b/>
          <w:color w:val="auto"/>
          <w:sz w:val="32"/>
          <w:szCs w:val="32"/>
        </w:rPr>
      </w:pPr>
      <w:r>
        <w:rPr>
          <w:rFonts w:hint="eastAsia" w:hAnsi="宋体"/>
          <w:b/>
          <w:color w:val="auto"/>
          <w:sz w:val="32"/>
          <w:szCs w:val="32"/>
        </w:rPr>
        <w:t>问题的澄清</w:t>
      </w:r>
    </w:p>
    <w:p>
      <w:pPr>
        <w:shd w:val="clear"/>
        <w:ind w:firstLine="480"/>
        <w:jc w:val="center"/>
        <w:rPr>
          <w:rFonts w:hAnsi="宋体"/>
          <w:color w:val="auto"/>
        </w:rPr>
      </w:pPr>
      <w:r>
        <w:rPr>
          <w:rFonts w:hint="eastAsia" w:hAnsi="宋体"/>
          <w:color w:val="auto"/>
        </w:rPr>
        <w:t>（编号：</w:t>
      </w:r>
      <w:r>
        <w:rPr>
          <w:rFonts w:hint="eastAsia" w:hAnsi="宋体"/>
          <w:color w:val="auto"/>
          <w:u w:val="single"/>
        </w:rPr>
        <w:t xml:space="preserve">              </w:t>
      </w:r>
      <w:r>
        <w:rPr>
          <w:rFonts w:hint="eastAsia" w:hAnsi="宋体"/>
          <w:color w:val="auto"/>
        </w:rPr>
        <w:t>）</w:t>
      </w:r>
    </w:p>
    <w:p>
      <w:pPr>
        <w:shd w:val="clear"/>
        <w:ind w:firstLine="480"/>
        <w:rPr>
          <w:rFonts w:hAnsi="宋体"/>
          <w:color w:val="auto"/>
        </w:rPr>
      </w:pPr>
    </w:p>
    <w:p>
      <w:pPr>
        <w:shd w:val="clear"/>
        <w:ind w:firstLine="480"/>
        <w:rPr>
          <w:rFonts w:hAnsi="宋体"/>
          <w:color w:val="auto"/>
        </w:rPr>
      </w:pPr>
      <w:r>
        <w:rPr>
          <w:rFonts w:hint="eastAsia" w:hAnsi="宋体"/>
          <w:color w:val="auto"/>
        </w:rPr>
        <w:t>评标委员会：</w:t>
      </w:r>
    </w:p>
    <w:p>
      <w:pPr>
        <w:shd w:val="clear"/>
        <w:ind w:firstLine="480"/>
        <w:rPr>
          <w:rFonts w:hAnsi="宋体"/>
          <w:color w:val="auto"/>
        </w:rPr>
      </w:pPr>
    </w:p>
    <w:p>
      <w:pPr>
        <w:shd w:val="clear"/>
        <w:ind w:firstLine="480"/>
        <w:rPr>
          <w:rFonts w:hAnsi="宋体"/>
          <w:color w:val="auto"/>
        </w:rPr>
      </w:pPr>
      <w:r>
        <w:rPr>
          <w:rFonts w:hint="eastAsia" w:hAnsi="宋体"/>
          <w:color w:val="auto"/>
        </w:rPr>
        <w:t>问题澄清通知（编号：</w:t>
      </w:r>
      <w:r>
        <w:rPr>
          <w:rFonts w:hint="eastAsia" w:hAnsi="宋体"/>
          <w:color w:val="auto"/>
          <w:u w:val="single"/>
        </w:rPr>
        <w:t xml:space="preserve">             </w:t>
      </w:r>
      <w:r>
        <w:rPr>
          <w:rFonts w:hint="eastAsia" w:hAnsi="宋体"/>
          <w:color w:val="auto"/>
        </w:rPr>
        <w:t>）已收悉，现澄清、说明或补正如下：</w:t>
      </w:r>
    </w:p>
    <w:p>
      <w:pPr>
        <w:shd w:val="clear"/>
        <w:ind w:firstLine="960" w:firstLineChars="400"/>
        <w:rPr>
          <w:rFonts w:hAnsi="宋体"/>
          <w:color w:val="auto"/>
        </w:rPr>
      </w:pPr>
      <w:r>
        <w:rPr>
          <w:rFonts w:hAnsi="宋体"/>
          <w:color w:val="auto"/>
        </w:rPr>
        <w:t>1.</w:t>
      </w:r>
    </w:p>
    <w:p>
      <w:pPr>
        <w:shd w:val="clear"/>
        <w:ind w:firstLine="960" w:firstLineChars="400"/>
        <w:rPr>
          <w:rFonts w:hAnsi="宋体"/>
          <w:color w:val="auto"/>
        </w:rPr>
      </w:pPr>
      <w:r>
        <w:rPr>
          <w:rFonts w:hAnsi="宋体"/>
          <w:color w:val="auto"/>
        </w:rPr>
        <w:t>2.</w:t>
      </w:r>
    </w:p>
    <w:p>
      <w:pPr>
        <w:shd w:val="clear"/>
        <w:ind w:firstLine="960" w:firstLineChars="400"/>
        <w:rPr>
          <w:rFonts w:hAnsi="宋体"/>
          <w:color w:val="auto"/>
        </w:rPr>
      </w:pPr>
      <w:r>
        <w:rPr>
          <w:rFonts w:hAnsi="宋体"/>
          <w:color w:val="auto"/>
        </w:rPr>
        <w:t>.....</w:t>
      </w:r>
    </w:p>
    <w:p>
      <w:pPr>
        <w:shd w:val="clear"/>
        <w:ind w:firstLine="480"/>
        <w:rPr>
          <w:rFonts w:hAnsi="宋体"/>
          <w:color w:val="auto"/>
        </w:rPr>
      </w:pPr>
    </w:p>
    <w:p>
      <w:pPr>
        <w:shd w:val="clear"/>
        <w:ind w:firstLine="480"/>
        <w:rPr>
          <w:rFonts w:hAnsi="宋体"/>
          <w:color w:val="auto"/>
        </w:rPr>
      </w:pPr>
      <w:r>
        <w:rPr>
          <w:rFonts w:hint="eastAsia" w:hAnsi="宋体"/>
          <w:color w:val="auto"/>
        </w:rPr>
        <w:t>上述问题澄清、说明或补正，不改变我方投标文件的实质性内容，构成我方投标文件的组成部分。</w:t>
      </w:r>
    </w:p>
    <w:p>
      <w:pPr>
        <w:shd w:val="clear"/>
        <w:ind w:firstLine="480"/>
        <w:rPr>
          <w:rFonts w:hAnsi="宋体"/>
          <w:color w:val="auto"/>
        </w:rPr>
      </w:pPr>
    </w:p>
    <w:p>
      <w:pPr>
        <w:shd w:val="clear"/>
        <w:ind w:firstLine="480"/>
        <w:rPr>
          <w:rFonts w:hAnsi="宋体"/>
          <w:color w:val="auto"/>
        </w:rPr>
      </w:pPr>
    </w:p>
    <w:p>
      <w:pPr>
        <w:shd w:val="clear"/>
        <w:ind w:firstLine="480"/>
        <w:rPr>
          <w:rFonts w:hAnsi="宋体"/>
          <w:color w:val="auto"/>
        </w:rPr>
      </w:pPr>
    </w:p>
    <w:p>
      <w:pPr>
        <w:shd w:val="clear"/>
        <w:ind w:firstLine="480"/>
        <w:rPr>
          <w:rFonts w:hAnsi="宋体"/>
          <w:color w:val="auto"/>
        </w:rPr>
      </w:pPr>
    </w:p>
    <w:p>
      <w:pPr>
        <w:shd w:val="clear"/>
        <w:ind w:left="3" w:firstLine="3120" w:firstLineChars="1300"/>
        <w:rPr>
          <w:rFonts w:hAnsi="宋体"/>
          <w:color w:val="auto"/>
        </w:rPr>
      </w:pPr>
      <w:r>
        <w:rPr>
          <w:rFonts w:hint="eastAsia" w:hAnsi="宋体"/>
          <w:color w:val="auto"/>
        </w:rPr>
        <w:t>投标人：</w:t>
      </w:r>
      <w:r>
        <w:rPr>
          <w:rFonts w:hint="eastAsia" w:hAnsi="宋体"/>
          <w:color w:val="auto"/>
          <w:u w:val="single"/>
        </w:rPr>
        <w:t xml:space="preserve">                               </w:t>
      </w:r>
      <w:r>
        <w:rPr>
          <w:rFonts w:hint="eastAsia" w:hAnsi="宋体"/>
          <w:color w:val="auto"/>
        </w:rPr>
        <w:t>（盖单位章）</w:t>
      </w:r>
    </w:p>
    <w:p>
      <w:pPr>
        <w:shd w:val="clear"/>
        <w:ind w:left="3" w:firstLine="3120" w:firstLineChars="1300"/>
        <w:rPr>
          <w:rFonts w:hAnsi="宋体"/>
          <w:color w:val="auto"/>
        </w:rPr>
      </w:pPr>
      <w:r>
        <w:rPr>
          <w:rFonts w:hint="eastAsia" w:hAnsi="宋体"/>
          <w:color w:val="auto"/>
        </w:rPr>
        <w:t>法定代表人或其委托代理人：</w:t>
      </w:r>
      <w:r>
        <w:rPr>
          <w:rFonts w:hint="eastAsia" w:hAnsi="宋体"/>
          <w:color w:val="auto"/>
          <w:u w:val="single"/>
        </w:rPr>
        <w:t xml:space="preserve">         </w:t>
      </w:r>
      <w:r>
        <w:rPr>
          <w:rFonts w:hint="eastAsia" w:hAnsi="宋体"/>
          <w:color w:val="auto"/>
        </w:rPr>
        <w:t>（签字）</w:t>
      </w:r>
    </w:p>
    <w:p>
      <w:pPr>
        <w:shd w:val="clear"/>
        <w:ind w:firstLine="5400" w:firstLineChars="2250"/>
        <w:rPr>
          <w:rFonts w:hAnsi="宋体"/>
          <w:color w:val="auto"/>
        </w:rPr>
      </w:pP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p>
      <w:pPr>
        <w:shd w:val="clear"/>
        <w:ind w:firstLine="0" w:firstLineChars="0"/>
        <w:jc w:val="left"/>
        <w:rPr>
          <w:rFonts w:hAnsi="宋体"/>
          <w:color w:val="auto"/>
          <w:sz w:val="21"/>
          <w:szCs w:val="21"/>
        </w:rPr>
      </w:pPr>
      <w:r>
        <w:rPr>
          <w:rFonts w:hint="eastAsia" w:hAnsi="宋体"/>
          <w:color w:val="auto"/>
          <w:sz w:val="21"/>
          <w:szCs w:val="21"/>
        </w:rPr>
        <w:t>（注：按广州交易集团有限公司（广州公共资源交易中心）格式）</w:t>
      </w:r>
    </w:p>
    <w:p>
      <w:pPr>
        <w:pStyle w:val="7"/>
        <w:shd w:val="clear"/>
        <w:rPr>
          <w:color w:val="auto"/>
        </w:rPr>
      </w:pPr>
      <w:r>
        <w:rPr>
          <w:color w:val="auto"/>
        </w:rPr>
        <w:br w:type="page"/>
      </w:r>
      <w:bookmarkStart w:id="114" w:name="_Toc35513484"/>
      <w:r>
        <w:rPr>
          <w:color w:val="auto"/>
        </w:rPr>
        <w:t>附件四：中标通知书</w:t>
      </w:r>
      <w:bookmarkEnd w:id="114"/>
    </w:p>
    <w:p>
      <w:pPr>
        <w:shd w:val="clear"/>
        <w:spacing w:line="320" w:lineRule="exact"/>
        <w:ind w:left="499" w:firstLine="560"/>
        <w:rPr>
          <w:rFonts w:hAnsi="宋体"/>
          <w:color w:val="auto"/>
          <w:sz w:val="28"/>
        </w:rPr>
      </w:pPr>
    </w:p>
    <w:p>
      <w:pPr>
        <w:shd w:val="clear"/>
        <w:spacing w:line="320" w:lineRule="exact"/>
        <w:ind w:left="499" w:firstLine="560"/>
        <w:rPr>
          <w:rFonts w:hAnsi="宋体"/>
          <w:color w:val="auto"/>
          <w:sz w:val="28"/>
        </w:rPr>
      </w:pPr>
    </w:p>
    <w:p>
      <w:pPr>
        <w:shd w:val="clear"/>
        <w:spacing w:line="320" w:lineRule="exact"/>
        <w:ind w:firstLineChars="0"/>
        <w:rPr>
          <w:rFonts w:hAnsi="宋体"/>
          <w:color w:val="auto"/>
          <w:sz w:val="28"/>
        </w:rPr>
      </w:pPr>
      <w:r>
        <w:rPr>
          <w:rFonts w:hint="eastAsia" w:hAnsi="宋体"/>
          <w:color w:val="auto"/>
          <w:sz w:val="28"/>
        </w:rPr>
        <w:t>（按广州交易集团有限公司（广州公共资源交易中心）中标通知书格式）</w:t>
      </w:r>
    </w:p>
    <w:p>
      <w:pPr>
        <w:shd w:val="clear"/>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bookmarkStart w:id="115" w:name="page39"/>
      <w:bookmarkEnd w:id="115"/>
    </w:p>
    <w:p>
      <w:pPr>
        <w:shd w:val="clear"/>
        <w:spacing w:line="200" w:lineRule="exact"/>
        <w:ind w:firstLine="480"/>
        <w:rPr>
          <w:rFonts w:hAnsi="宋体"/>
          <w:color w:val="auto"/>
        </w:rPr>
      </w:pPr>
    </w:p>
    <w:p>
      <w:pPr>
        <w:shd w:val="clear"/>
        <w:spacing w:line="201" w:lineRule="exact"/>
        <w:ind w:firstLine="480"/>
        <w:rPr>
          <w:rFonts w:hAnsi="宋体"/>
          <w:color w:val="auto"/>
        </w:rPr>
      </w:pPr>
    </w:p>
    <w:p>
      <w:pPr>
        <w:shd w:val="clear"/>
        <w:spacing w:line="502" w:lineRule="exact"/>
        <w:ind w:firstLine="1290" w:firstLineChars="292"/>
        <w:outlineLvl w:val="0"/>
        <w:rPr>
          <w:rFonts w:hAnsi="宋体"/>
          <w:b/>
          <w:color w:val="auto"/>
          <w:sz w:val="44"/>
        </w:rPr>
      </w:pPr>
      <w:bookmarkStart w:id="116" w:name="page40"/>
      <w:bookmarkEnd w:id="116"/>
      <w:bookmarkStart w:id="117" w:name="page41"/>
      <w:bookmarkEnd w:id="117"/>
      <w:r>
        <w:rPr>
          <w:rFonts w:hAnsi="宋体"/>
          <w:b/>
          <w:color w:val="auto"/>
          <w:sz w:val="44"/>
        </w:rPr>
        <w:br w:type="page"/>
      </w:r>
      <w:r>
        <w:rPr>
          <w:rFonts w:hint="eastAsia" w:hAnsi="宋体"/>
          <w:b/>
          <w:color w:val="auto"/>
          <w:sz w:val="44"/>
        </w:rPr>
        <w:t xml:space="preserve"> </w:t>
      </w:r>
      <w:bookmarkStart w:id="118" w:name="_Toc35513485"/>
      <w:r>
        <w:rPr>
          <w:rFonts w:hAnsi="宋体"/>
          <w:b/>
          <w:color w:val="auto"/>
          <w:sz w:val="44"/>
        </w:rPr>
        <w:t>第三章评标办法（综合评估法）</w:t>
      </w:r>
      <w:bookmarkEnd w:id="118"/>
    </w:p>
    <w:p>
      <w:pPr>
        <w:pStyle w:val="7"/>
        <w:shd w:val="clear"/>
        <w:jc w:val="center"/>
        <w:rPr>
          <w:rFonts w:ascii="Times New Roman" w:hAnsi="Times New Roman"/>
          <w:b/>
          <w:bCs/>
          <w:color w:val="auto"/>
          <w:sz w:val="36"/>
          <w:szCs w:val="44"/>
        </w:rPr>
      </w:pPr>
      <w:bookmarkStart w:id="119" w:name="_Toc511140226"/>
      <w:r>
        <w:rPr>
          <w:rFonts w:hint="eastAsia" w:ascii="Times New Roman" w:hAnsi="Times New Roman"/>
          <w:b/>
          <w:bCs/>
          <w:color w:val="auto"/>
          <w:sz w:val="36"/>
          <w:szCs w:val="44"/>
        </w:rPr>
        <w:t>评标办法前附表</w:t>
      </w:r>
      <w:bookmarkEnd w:id="119"/>
    </w:p>
    <w:tbl>
      <w:tblPr>
        <w:tblStyle w:val="32"/>
        <w:tblW w:w="91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5"/>
        <w:gridCol w:w="141"/>
        <w:gridCol w:w="993"/>
        <w:gridCol w:w="1583"/>
        <w:gridCol w:w="4873"/>
        <w:gridCol w:w="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89" w:type="dxa"/>
            <w:gridSpan w:val="3"/>
            <w:tcBorders>
              <w:top w:val="single" w:color="auto" w:sz="4" w:space="0"/>
              <w:bottom w:val="single" w:color="auto" w:sz="4" w:space="0"/>
              <w:right w:val="single" w:color="auto" w:sz="4" w:space="0"/>
            </w:tcBorders>
            <w:noWrap/>
            <w:vAlign w:val="center"/>
          </w:tcPr>
          <w:p>
            <w:pPr>
              <w:shd w:val="clear"/>
              <w:spacing w:line="300" w:lineRule="exact"/>
              <w:ind w:firstLine="422"/>
              <w:jc w:val="center"/>
              <w:rPr>
                <w:rFonts w:hAnsi="宋体"/>
                <w:b/>
                <w:color w:val="auto"/>
                <w:sz w:val="21"/>
                <w:szCs w:val="21"/>
              </w:rPr>
            </w:pPr>
            <w:bookmarkStart w:id="120" w:name="_Hlk122978448"/>
            <w:r>
              <w:rPr>
                <w:rFonts w:hint="eastAsia" w:hAnsi="宋体"/>
                <w:b/>
                <w:color w:val="auto"/>
                <w:sz w:val="21"/>
                <w:szCs w:val="21"/>
              </w:rPr>
              <w:t>条款号</w:t>
            </w: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b/>
                <w:color w:val="auto"/>
                <w:sz w:val="21"/>
                <w:szCs w:val="21"/>
              </w:rPr>
            </w:pPr>
            <w:r>
              <w:rPr>
                <w:rFonts w:hint="eastAsia" w:hAnsi="宋体"/>
                <w:b/>
                <w:color w:val="auto"/>
                <w:sz w:val="21"/>
                <w:szCs w:val="21"/>
              </w:rPr>
              <w:t>评审因素</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422"/>
              <w:jc w:val="center"/>
              <w:rPr>
                <w:rFonts w:hAnsi="宋体"/>
                <w:b/>
                <w:color w:val="auto"/>
                <w:sz w:val="21"/>
                <w:szCs w:val="21"/>
              </w:rPr>
            </w:pPr>
            <w:r>
              <w:rPr>
                <w:rFonts w:hint="eastAsia" w:hAnsi="宋体"/>
                <w:b/>
                <w:color w:val="auto"/>
                <w:sz w:val="21"/>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1696" w:type="dxa"/>
            <w:gridSpan w:val="2"/>
            <w:tcBorders>
              <w:top w:val="single" w:color="auto" w:sz="4" w:space="0"/>
              <w:bottom w:val="single" w:color="auto" w:sz="4" w:space="0"/>
              <w:right w:val="single" w:color="auto" w:sz="4" w:space="0"/>
            </w:tcBorders>
            <w:noWrap/>
            <w:vAlign w:val="center"/>
          </w:tcPr>
          <w:p>
            <w:pPr>
              <w:shd w:val="clear"/>
              <w:spacing w:line="300" w:lineRule="exact"/>
              <w:ind w:firstLine="420"/>
              <w:jc w:val="center"/>
              <w:rPr>
                <w:rFonts w:hAnsi="宋体"/>
                <w:color w:val="auto"/>
                <w:sz w:val="21"/>
                <w:szCs w:val="21"/>
              </w:rPr>
            </w:pPr>
            <w:r>
              <w:rPr>
                <w:rFonts w:hAnsi="宋体"/>
                <w:color w:val="auto"/>
                <w:sz w:val="21"/>
                <w:szCs w:val="21"/>
              </w:rPr>
              <w:t>1</w:t>
            </w:r>
          </w:p>
        </w:tc>
        <w:tc>
          <w:tcPr>
            <w:tcW w:w="99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评标方法</w:t>
            </w: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中标候选人排序方法</w:t>
            </w:r>
          </w:p>
        </w:tc>
        <w:tc>
          <w:tcPr>
            <w:tcW w:w="4913" w:type="dxa"/>
            <w:gridSpan w:val="2"/>
            <w:tcBorders>
              <w:top w:val="single" w:color="auto" w:sz="4" w:space="0"/>
              <w:left w:val="single" w:color="auto" w:sz="4" w:space="0"/>
              <w:bottom w:val="single" w:color="auto" w:sz="4" w:space="0"/>
            </w:tcBorders>
            <w:noWrap/>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如果仍存在相同情况，由评标委员会采用记名投票方式（不得弃权），以得票多的优先。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restart"/>
            <w:tcBorders>
              <w:top w:val="single" w:color="auto" w:sz="4" w:space="0"/>
              <w:bottom w:val="single" w:color="auto" w:sz="4" w:space="0"/>
              <w:right w:val="single" w:color="auto" w:sz="4" w:space="0"/>
            </w:tcBorders>
            <w:noWrap/>
            <w:vAlign w:val="center"/>
          </w:tcPr>
          <w:p>
            <w:pPr>
              <w:shd w:val="clear"/>
              <w:spacing w:line="300" w:lineRule="exact"/>
              <w:ind w:firstLine="420"/>
              <w:jc w:val="center"/>
              <w:rPr>
                <w:rFonts w:hAnsi="宋体"/>
                <w:color w:val="auto"/>
                <w:sz w:val="21"/>
                <w:szCs w:val="21"/>
              </w:rPr>
            </w:pPr>
            <w:r>
              <w:rPr>
                <w:rFonts w:hAnsi="宋体"/>
                <w:color w:val="auto"/>
                <w:sz w:val="21"/>
                <w:szCs w:val="21"/>
              </w:rPr>
              <w:t>2.1.1</w:t>
            </w:r>
          </w:p>
        </w:tc>
        <w:tc>
          <w:tcPr>
            <w:tcW w:w="993" w:type="dxa"/>
            <w:vMerge w:val="restart"/>
            <w:tcBorders>
              <w:top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形式评审标准</w:t>
            </w: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投标人名称</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top w:val="nil"/>
              <w:bottom w:val="single" w:color="auto" w:sz="4" w:space="0"/>
              <w:right w:val="single" w:color="auto" w:sz="4" w:space="0"/>
            </w:tcBorders>
            <w:noWrap/>
            <w:vAlign w:val="center"/>
          </w:tcPr>
          <w:p>
            <w:pPr>
              <w:shd w:val="clear"/>
              <w:spacing w:line="300" w:lineRule="exact"/>
              <w:ind w:firstLine="420"/>
              <w:rPr>
                <w:rFonts w:hAnsi="宋体"/>
                <w:color w:val="auto"/>
                <w:sz w:val="21"/>
                <w:szCs w:val="21"/>
              </w:rPr>
            </w:pPr>
          </w:p>
        </w:tc>
        <w:tc>
          <w:tcPr>
            <w:tcW w:w="993" w:type="dxa"/>
            <w:vMerge w:val="continue"/>
            <w:tcBorders>
              <w:right w:val="single" w:color="auto" w:sz="4" w:space="0"/>
            </w:tcBorders>
            <w:noWrap/>
            <w:vAlign w:val="center"/>
          </w:tcPr>
          <w:p>
            <w:pPr>
              <w:shd w:val="clear"/>
              <w:spacing w:line="300" w:lineRule="exact"/>
              <w:ind w:firstLine="0" w:firstLineChars="0"/>
              <w:rPr>
                <w:rFonts w:hAnsi="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投标函及投标函附录签字盖章</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有法定代表人</w:t>
            </w:r>
            <w:bookmarkStart w:id="121" w:name="_Toc144974551"/>
            <w:bookmarkStart w:id="122" w:name="_Toc369531574"/>
            <w:bookmarkStart w:id="123" w:name="_Toc247514008"/>
            <w:bookmarkStart w:id="124" w:name="_Toc6546"/>
            <w:bookmarkStart w:id="125" w:name="_Toc361508643"/>
            <w:bookmarkStart w:id="126" w:name="_Toc300835005"/>
            <w:bookmarkStart w:id="127" w:name="_Toc152042361"/>
            <w:bookmarkStart w:id="128" w:name="_Toc152045584"/>
            <w:bookmarkStart w:id="129" w:name="_Toc384308269"/>
            <w:bookmarkStart w:id="130" w:name="_Toc247527609"/>
            <w:bookmarkStart w:id="131" w:name="_Toc352691530"/>
            <w:r>
              <w:rPr>
                <w:rFonts w:hint="eastAsia" w:hAnsi="宋体" w:cs="宋体"/>
                <w:color w:val="auto"/>
                <w:sz w:val="21"/>
                <w:szCs w:val="21"/>
              </w:rPr>
              <w:t>或其委托</w:t>
            </w:r>
            <w:bookmarkEnd w:id="121"/>
            <w:bookmarkEnd w:id="122"/>
            <w:bookmarkEnd w:id="123"/>
            <w:bookmarkEnd w:id="124"/>
            <w:bookmarkEnd w:id="125"/>
            <w:bookmarkEnd w:id="126"/>
            <w:bookmarkEnd w:id="127"/>
            <w:bookmarkEnd w:id="128"/>
            <w:bookmarkEnd w:id="129"/>
            <w:bookmarkEnd w:id="130"/>
            <w:bookmarkEnd w:id="131"/>
            <w:r>
              <w:rPr>
                <w:rFonts w:hint="eastAsia" w:hAnsi="宋体" w:cs="宋体"/>
                <w:color w:val="auto"/>
                <w:sz w:val="21"/>
                <w:szCs w:val="21"/>
              </w:rPr>
              <w:t>代理人签字或加盖单位章。由法定代表人签字的，应附法定代表人身份证明，由代理人签字的，应附授权委托书，法定代表人身份证明或授权委托书应符合第六章“投标文件格式”的规定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top w:val="nil"/>
              <w:bottom w:val="single" w:color="auto" w:sz="4" w:space="0"/>
              <w:right w:val="single" w:color="auto" w:sz="4" w:space="0"/>
            </w:tcBorders>
            <w:noWrap/>
            <w:vAlign w:val="center"/>
          </w:tcPr>
          <w:p>
            <w:pPr>
              <w:shd w:val="clear"/>
              <w:spacing w:line="300" w:lineRule="exact"/>
              <w:ind w:firstLine="420"/>
              <w:rPr>
                <w:rFonts w:hAnsi="宋体"/>
                <w:color w:val="auto"/>
                <w:sz w:val="21"/>
                <w:szCs w:val="21"/>
              </w:rPr>
            </w:pPr>
          </w:p>
        </w:tc>
        <w:tc>
          <w:tcPr>
            <w:tcW w:w="993" w:type="dxa"/>
            <w:vMerge w:val="continue"/>
            <w:tcBorders>
              <w:right w:val="single" w:color="auto" w:sz="4" w:space="0"/>
            </w:tcBorders>
            <w:noWrap/>
            <w:vAlign w:val="center"/>
          </w:tcPr>
          <w:p>
            <w:pPr>
              <w:shd w:val="clear"/>
              <w:spacing w:line="300" w:lineRule="exact"/>
              <w:ind w:firstLine="0" w:firstLineChars="0"/>
              <w:rPr>
                <w:rFonts w:hAnsi="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投标文件格式</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符合第六章“投标文件格式”的规定（评审格式为</w:t>
            </w:r>
            <w:r>
              <w:rPr>
                <w:rStyle w:val="37"/>
                <w:rFonts w:hint="eastAsia"/>
                <w:color w:val="auto"/>
              </w:rPr>
              <w:t>格式一、格式四</w:t>
            </w:r>
            <w:r>
              <w:rPr>
                <w:rFonts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4" w:hRule="atLeast"/>
          <w:jc w:val="center"/>
        </w:trPr>
        <w:tc>
          <w:tcPr>
            <w:tcW w:w="1696" w:type="dxa"/>
            <w:gridSpan w:val="2"/>
            <w:vMerge w:val="continue"/>
            <w:tcBorders>
              <w:top w:val="nil"/>
              <w:bottom w:val="single" w:color="auto" w:sz="4" w:space="0"/>
              <w:right w:val="single" w:color="auto" w:sz="4" w:space="0"/>
            </w:tcBorders>
            <w:noWrap/>
            <w:vAlign w:val="center"/>
          </w:tcPr>
          <w:p>
            <w:pPr>
              <w:shd w:val="clear"/>
              <w:spacing w:line="300" w:lineRule="exact"/>
              <w:ind w:firstLine="420"/>
              <w:rPr>
                <w:rFonts w:hAnsi="宋体"/>
                <w:color w:val="auto"/>
                <w:sz w:val="21"/>
                <w:szCs w:val="21"/>
              </w:rPr>
            </w:pPr>
          </w:p>
        </w:tc>
        <w:tc>
          <w:tcPr>
            <w:tcW w:w="993" w:type="dxa"/>
            <w:vMerge w:val="continue"/>
            <w:tcBorders>
              <w:right w:val="single" w:color="auto" w:sz="4" w:space="0"/>
            </w:tcBorders>
            <w:noWrap/>
            <w:vAlign w:val="center"/>
          </w:tcPr>
          <w:p>
            <w:pPr>
              <w:shd w:val="clear"/>
              <w:spacing w:line="300" w:lineRule="exact"/>
              <w:ind w:firstLine="0" w:firstLineChars="0"/>
              <w:rPr>
                <w:rFonts w:hAnsi="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联合体投标人</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本项目不允许联合体投标。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top w:val="nil"/>
              <w:bottom w:val="single" w:color="auto" w:sz="4" w:space="0"/>
              <w:right w:val="single" w:color="auto" w:sz="4" w:space="0"/>
            </w:tcBorders>
            <w:noWrap/>
            <w:vAlign w:val="center"/>
          </w:tcPr>
          <w:p>
            <w:pPr>
              <w:shd w:val="clear"/>
              <w:spacing w:line="300" w:lineRule="exact"/>
              <w:ind w:firstLine="420"/>
              <w:rPr>
                <w:rFonts w:hAnsi="宋体"/>
                <w:color w:val="auto"/>
                <w:sz w:val="21"/>
                <w:szCs w:val="21"/>
              </w:rPr>
            </w:pPr>
          </w:p>
        </w:tc>
        <w:tc>
          <w:tcPr>
            <w:tcW w:w="993" w:type="dxa"/>
            <w:vMerge w:val="continue"/>
            <w:tcBorders>
              <w:right w:val="single" w:color="auto" w:sz="4" w:space="0"/>
            </w:tcBorders>
            <w:noWrap/>
            <w:vAlign w:val="center"/>
          </w:tcPr>
          <w:p>
            <w:pPr>
              <w:shd w:val="clear"/>
              <w:spacing w:line="300" w:lineRule="exact"/>
              <w:ind w:firstLine="0" w:firstLineChars="0"/>
              <w:rPr>
                <w:rFonts w:hAnsi="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投标人机器码</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本项目不同投标人</w:t>
            </w:r>
            <w:r>
              <w:rPr>
                <w:rFonts w:hint="eastAsia" w:hAnsi="宋体" w:cs="宋体"/>
                <w:color w:val="auto"/>
                <w:sz w:val="21"/>
                <w:szCs w:val="21"/>
                <w:u w:val="single"/>
              </w:rPr>
              <w:t>加密打包投标文件电脑机器特征码</w:t>
            </w:r>
            <w:r>
              <w:rPr>
                <w:rFonts w:hint="eastAsia" w:hAnsi="宋体" w:cs="宋体"/>
                <w:color w:val="auto"/>
                <w:sz w:val="21"/>
                <w:szCs w:val="21"/>
              </w:rPr>
              <w:t>相同，视为不合格。</w:t>
            </w:r>
            <w:r>
              <w:rPr>
                <w:rFonts w:hAnsi="宋体" w:cs="宋体"/>
                <w:color w:val="auto"/>
                <w:sz w:val="21"/>
                <w:szCs w:val="21"/>
              </w:rPr>
              <w:t>(以</w:t>
            </w:r>
            <w:r>
              <w:rPr>
                <w:rFonts w:hint="eastAsia" w:hAnsi="宋体" w:cs="宋体"/>
                <w:color w:val="auto"/>
                <w:sz w:val="21"/>
                <w:szCs w:val="21"/>
              </w:rPr>
              <w:t>广州交易集团有限公司（广州公共资源交易中心）</w:t>
            </w:r>
            <w:r>
              <w:rPr>
                <w:rFonts w:hAnsi="宋体" w:cs="宋体"/>
                <w:color w:val="auto"/>
                <w:sz w:val="21"/>
                <w:szCs w:val="21"/>
              </w:rPr>
              <w:t>评标系统的检索信息为准)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3" w:hRule="atLeast"/>
          <w:jc w:val="center"/>
        </w:trPr>
        <w:tc>
          <w:tcPr>
            <w:tcW w:w="1696" w:type="dxa"/>
            <w:gridSpan w:val="2"/>
            <w:vMerge w:val="continue"/>
            <w:tcBorders>
              <w:top w:val="nil"/>
              <w:bottom w:val="single" w:color="auto" w:sz="4" w:space="0"/>
              <w:right w:val="single" w:color="auto" w:sz="4" w:space="0"/>
            </w:tcBorders>
            <w:noWrap/>
          </w:tcPr>
          <w:p>
            <w:pPr>
              <w:shd w:val="clear"/>
              <w:spacing w:line="300" w:lineRule="exact"/>
              <w:ind w:firstLine="420"/>
              <w:rPr>
                <w:rFonts w:hAnsi="宋体"/>
                <w:color w:val="auto"/>
                <w:sz w:val="21"/>
                <w:szCs w:val="21"/>
              </w:rPr>
            </w:pPr>
          </w:p>
        </w:tc>
        <w:tc>
          <w:tcPr>
            <w:tcW w:w="993" w:type="dxa"/>
            <w:vMerge w:val="continue"/>
            <w:tcBorders>
              <w:left w:val="single" w:color="auto" w:sz="4" w:space="0"/>
              <w:right w:val="single" w:color="auto" w:sz="4" w:space="0"/>
            </w:tcBorders>
            <w:noWrap/>
          </w:tcPr>
          <w:p>
            <w:pPr>
              <w:shd w:val="clear"/>
              <w:spacing w:line="300" w:lineRule="exact"/>
              <w:ind w:firstLine="0" w:firstLineChars="0"/>
              <w:rPr>
                <w:rFonts w:hAnsi="宋体"/>
                <w:color w:val="auto"/>
                <w:sz w:val="21"/>
                <w:szCs w:val="21"/>
              </w:rPr>
            </w:pPr>
          </w:p>
        </w:tc>
        <w:tc>
          <w:tcPr>
            <w:tcW w:w="1583" w:type="dxa"/>
            <w:tcBorders>
              <w:top w:val="single" w:color="auto" w:sz="4" w:space="0"/>
              <w:left w:val="single" w:color="auto" w:sz="4" w:space="0"/>
              <w:right w:val="single" w:color="auto" w:sz="4" w:space="0"/>
            </w:tcBorders>
            <w:noWrap/>
          </w:tcPr>
          <w:p>
            <w:pPr>
              <w:shd w:val="clear"/>
              <w:spacing w:line="300" w:lineRule="exact"/>
              <w:ind w:firstLine="0" w:firstLineChars="0"/>
              <w:rPr>
                <w:rFonts w:hAnsi="宋体"/>
                <w:color w:val="auto"/>
                <w:sz w:val="21"/>
                <w:szCs w:val="21"/>
              </w:rPr>
            </w:pPr>
            <w:r>
              <w:rPr>
                <w:rFonts w:hint="eastAsia" w:hAnsi="宋体" w:cs="宋体"/>
                <w:color w:val="auto"/>
                <w:sz w:val="21"/>
                <w:szCs w:val="21"/>
              </w:rPr>
              <w:t>备选投标方案</w:t>
            </w:r>
          </w:p>
        </w:tc>
        <w:tc>
          <w:tcPr>
            <w:tcW w:w="4913" w:type="dxa"/>
            <w:gridSpan w:val="2"/>
            <w:tcBorders>
              <w:left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restart"/>
            <w:tcBorders>
              <w:top w:val="single" w:color="auto" w:sz="4" w:space="0"/>
              <w:right w:val="single" w:color="auto" w:sz="4" w:space="0"/>
            </w:tcBorders>
            <w:noWrap/>
            <w:vAlign w:val="center"/>
          </w:tcPr>
          <w:p>
            <w:pPr>
              <w:shd w:val="clear"/>
              <w:spacing w:line="300" w:lineRule="exact"/>
              <w:ind w:firstLine="420"/>
              <w:jc w:val="center"/>
              <w:rPr>
                <w:rFonts w:hAnsi="宋体"/>
                <w:color w:val="auto"/>
                <w:sz w:val="21"/>
                <w:szCs w:val="21"/>
              </w:rPr>
            </w:pPr>
            <w:r>
              <w:rPr>
                <w:rFonts w:hAnsi="宋体"/>
                <w:color w:val="auto"/>
                <w:sz w:val="21"/>
                <w:szCs w:val="21"/>
              </w:rPr>
              <w:t>2.1.2</w:t>
            </w:r>
          </w:p>
        </w:tc>
        <w:tc>
          <w:tcPr>
            <w:tcW w:w="993" w:type="dxa"/>
            <w:vMerge w:val="restart"/>
            <w:tcBorders>
              <w:top w:val="single" w:color="auto" w:sz="4" w:space="0"/>
              <w:left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资格评审标准</w:t>
            </w: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营业执照和组织机构代码证</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符合第二章“投标人须知”第3.5.1</w:t>
            </w:r>
            <w:r>
              <w:rPr>
                <w:rFonts w:hAnsi="宋体" w:cs="宋体"/>
                <w:color w:val="auto"/>
                <w:sz w:val="21"/>
                <w:szCs w:val="21"/>
              </w:rPr>
              <w:t>项规定</w:t>
            </w:r>
            <w:r>
              <w:rPr>
                <w:rFonts w:hint="eastAsia" w:hAnsi="宋体" w:cs="宋体"/>
                <w:color w:val="auto"/>
                <w:sz w:val="21"/>
                <w:szCs w:val="21"/>
              </w:rPr>
              <w:t>，具备有效的营业执照和组织机构代码证。香港企业提供在香港进行商业登记的证明文书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pPr>
              <w:shd w:val="clear"/>
              <w:spacing w:line="300" w:lineRule="exact"/>
              <w:ind w:firstLine="420"/>
              <w:rPr>
                <w:rFonts w:hAnsi="宋体"/>
                <w:color w:val="auto"/>
                <w:sz w:val="21"/>
                <w:szCs w:val="21"/>
              </w:rPr>
            </w:pPr>
          </w:p>
        </w:tc>
        <w:tc>
          <w:tcPr>
            <w:tcW w:w="993" w:type="dxa"/>
            <w:vMerge w:val="continue"/>
            <w:tcBorders>
              <w:left w:val="single" w:color="auto" w:sz="4" w:space="0"/>
              <w:right w:val="single" w:color="auto" w:sz="4" w:space="0"/>
            </w:tcBorders>
            <w:noWrap/>
            <w:vAlign w:val="center"/>
          </w:tcPr>
          <w:p>
            <w:pPr>
              <w:shd w:val="clear"/>
              <w:spacing w:line="300" w:lineRule="exact"/>
              <w:ind w:firstLine="420"/>
              <w:rPr>
                <w:rFonts w:hAnsi="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资质要求</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符合第二章“投标人须知”第</w:t>
            </w:r>
            <w:r>
              <w:rPr>
                <w:rFonts w:hAnsi="宋体" w:cs="宋体"/>
                <w:color w:val="auto"/>
                <w:sz w:val="21"/>
                <w:szCs w:val="21"/>
              </w:rPr>
              <w:t>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pPr>
              <w:shd w:val="clear"/>
              <w:spacing w:line="300" w:lineRule="exact"/>
              <w:ind w:firstLine="420"/>
              <w:rPr>
                <w:rFonts w:hAnsi="宋体"/>
                <w:color w:val="auto"/>
                <w:sz w:val="21"/>
                <w:szCs w:val="21"/>
              </w:rPr>
            </w:pPr>
          </w:p>
        </w:tc>
        <w:tc>
          <w:tcPr>
            <w:tcW w:w="993" w:type="dxa"/>
            <w:vMerge w:val="continue"/>
            <w:tcBorders>
              <w:left w:val="single" w:color="auto" w:sz="4" w:space="0"/>
              <w:right w:val="single" w:color="auto" w:sz="4" w:space="0"/>
            </w:tcBorders>
            <w:noWrap/>
            <w:vAlign w:val="center"/>
          </w:tcPr>
          <w:p>
            <w:pPr>
              <w:shd w:val="clear"/>
              <w:spacing w:line="300" w:lineRule="exact"/>
              <w:ind w:firstLine="420"/>
              <w:rPr>
                <w:rFonts w:hAnsi="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财务要求</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4" w:hRule="atLeast"/>
          <w:jc w:val="center"/>
        </w:trPr>
        <w:tc>
          <w:tcPr>
            <w:tcW w:w="1696" w:type="dxa"/>
            <w:gridSpan w:val="2"/>
            <w:vMerge w:val="continue"/>
            <w:tcBorders>
              <w:right w:val="single" w:color="auto" w:sz="4" w:space="0"/>
            </w:tcBorders>
            <w:noWrap/>
            <w:vAlign w:val="center"/>
          </w:tcPr>
          <w:p>
            <w:pPr>
              <w:shd w:val="clear"/>
              <w:spacing w:line="300" w:lineRule="exact"/>
              <w:ind w:firstLine="420"/>
              <w:rPr>
                <w:rFonts w:hAnsi="宋体"/>
                <w:color w:val="auto"/>
                <w:sz w:val="21"/>
                <w:szCs w:val="21"/>
              </w:rPr>
            </w:pPr>
          </w:p>
        </w:tc>
        <w:tc>
          <w:tcPr>
            <w:tcW w:w="993" w:type="dxa"/>
            <w:vMerge w:val="continue"/>
            <w:tcBorders>
              <w:left w:val="single" w:color="auto" w:sz="4" w:space="0"/>
              <w:right w:val="single" w:color="auto" w:sz="4" w:space="0"/>
            </w:tcBorders>
            <w:noWrap/>
            <w:vAlign w:val="center"/>
          </w:tcPr>
          <w:p>
            <w:pPr>
              <w:shd w:val="clear"/>
              <w:spacing w:line="300" w:lineRule="exact"/>
              <w:ind w:firstLine="420"/>
              <w:rPr>
                <w:rFonts w:hAnsi="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业绩要求</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1696" w:type="dxa"/>
            <w:gridSpan w:val="2"/>
            <w:vMerge w:val="continue"/>
            <w:tcBorders>
              <w:right w:val="single" w:color="auto" w:sz="4" w:space="0"/>
            </w:tcBorders>
            <w:noWrap/>
            <w:vAlign w:val="center"/>
          </w:tcPr>
          <w:p>
            <w:pPr>
              <w:shd w:val="clear"/>
              <w:spacing w:line="300" w:lineRule="exact"/>
              <w:ind w:firstLine="420"/>
              <w:rPr>
                <w:rFonts w:hAnsi="宋体"/>
                <w:color w:val="auto"/>
                <w:sz w:val="21"/>
                <w:szCs w:val="21"/>
              </w:rPr>
            </w:pPr>
          </w:p>
        </w:tc>
        <w:tc>
          <w:tcPr>
            <w:tcW w:w="993" w:type="dxa"/>
            <w:vMerge w:val="continue"/>
            <w:tcBorders>
              <w:left w:val="single" w:color="auto" w:sz="4" w:space="0"/>
              <w:right w:val="single" w:color="auto" w:sz="4" w:space="0"/>
            </w:tcBorders>
            <w:noWrap/>
            <w:vAlign w:val="center"/>
          </w:tcPr>
          <w:p>
            <w:pPr>
              <w:shd w:val="clear"/>
              <w:spacing w:line="300" w:lineRule="exact"/>
              <w:ind w:firstLine="420"/>
              <w:rPr>
                <w:rFonts w:hAnsi="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信誉要求</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1696" w:type="dxa"/>
            <w:gridSpan w:val="2"/>
            <w:vMerge w:val="continue"/>
            <w:tcBorders>
              <w:right w:val="single" w:color="auto" w:sz="4" w:space="0"/>
            </w:tcBorders>
            <w:noWrap/>
            <w:vAlign w:val="center"/>
          </w:tcPr>
          <w:p>
            <w:pPr>
              <w:shd w:val="clear"/>
              <w:spacing w:line="300" w:lineRule="exact"/>
              <w:ind w:firstLine="420"/>
              <w:rPr>
                <w:rFonts w:hAnsi="宋体"/>
                <w:color w:val="auto"/>
                <w:sz w:val="21"/>
                <w:szCs w:val="21"/>
              </w:rPr>
            </w:pPr>
          </w:p>
        </w:tc>
        <w:tc>
          <w:tcPr>
            <w:tcW w:w="993" w:type="dxa"/>
            <w:vMerge w:val="continue"/>
            <w:tcBorders>
              <w:left w:val="single" w:color="auto" w:sz="4" w:space="0"/>
              <w:right w:val="single" w:color="auto" w:sz="4" w:space="0"/>
            </w:tcBorders>
            <w:noWrap/>
            <w:vAlign w:val="center"/>
          </w:tcPr>
          <w:p>
            <w:pPr>
              <w:shd w:val="clear"/>
              <w:spacing w:line="300" w:lineRule="exact"/>
              <w:ind w:firstLine="420"/>
              <w:rPr>
                <w:rFonts w:hAnsi="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监理工程师</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符合第二章“投标人须知”第</w:t>
            </w:r>
            <w:r>
              <w:rPr>
                <w:rFonts w:hAnsi="宋体" w:cs="宋体"/>
                <w:color w:val="auto"/>
                <w:sz w:val="21"/>
                <w:szCs w:val="21"/>
              </w:rPr>
              <w:t>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1696" w:type="dxa"/>
            <w:gridSpan w:val="2"/>
            <w:vMerge w:val="continue"/>
            <w:tcBorders>
              <w:right w:val="single" w:color="auto" w:sz="4" w:space="0"/>
            </w:tcBorders>
            <w:noWrap/>
            <w:vAlign w:val="center"/>
          </w:tcPr>
          <w:p>
            <w:pPr>
              <w:shd w:val="clear"/>
              <w:spacing w:line="300" w:lineRule="exact"/>
              <w:ind w:firstLine="420"/>
              <w:rPr>
                <w:rFonts w:hAnsi="宋体"/>
                <w:color w:val="auto"/>
                <w:sz w:val="21"/>
                <w:szCs w:val="21"/>
              </w:rPr>
            </w:pPr>
          </w:p>
        </w:tc>
        <w:tc>
          <w:tcPr>
            <w:tcW w:w="993" w:type="dxa"/>
            <w:vMerge w:val="continue"/>
            <w:tcBorders>
              <w:left w:val="single" w:color="auto" w:sz="4" w:space="0"/>
              <w:right w:val="single" w:color="auto" w:sz="4" w:space="0"/>
            </w:tcBorders>
            <w:noWrap/>
            <w:vAlign w:val="center"/>
          </w:tcPr>
          <w:p>
            <w:pPr>
              <w:shd w:val="clear"/>
              <w:spacing w:line="300" w:lineRule="exact"/>
              <w:ind w:firstLine="420"/>
              <w:rPr>
                <w:rFonts w:hAnsi="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项目管理负责人</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符合第二章“投标人须知”第</w:t>
            </w:r>
            <w:r>
              <w:rPr>
                <w:rFonts w:hAnsi="宋体" w:cs="宋体"/>
                <w:color w:val="auto"/>
                <w:sz w:val="21"/>
                <w:szCs w:val="21"/>
              </w:rPr>
              <w:t>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1696" w:type="dxa"/>
            <w:gridSpan w:val="2"/>
            <w:vMerge w:val="continue"/>
            <w:tcBorders>
              <w:right w:val="single" w:color="auto" w:sz="4" w:space="0"/>
            </w:tcBorders>
            <w:noWrap/>
            <w:vAlign w:val="center"/>
          </w:tcPr>
          <w:p>
            <w:pPr>
              <w:shd w:val="clear"/>
              <w:spacing w:line="300" w:lineRule="exact"/>
              <w:ind w:firstLine="420"/>
              <w:rPr>
                <w:rFonts w:hAnsi="宋体"/>
                <w:color w:val="auto"/>
                <w:sz w:val="21"/>
                <w:szCs w:val="21"/>
              </w:rPr>
            </w:pPr>
          </w:p>
        </w:tc>
        <w:tc>
          <w:tcPr>
            <w:tcW w:w="993" w:type="dxa"/>
            <w:vMerge w:val="continue"/>
            <w:tcBorders>
              <w:left w:val="single" w:color="auto" w:sz="4" w:space="0"/>
              <w:right w:val="single" w:color="auto" w:sz="4" w:space="0"/>
            </w:tcBorders>
            <w:noWrap/>
            <w:vAlign w:val="center"/>
          </w:tcPr>
          <w:p>
            <w:pPr>
              <w:shd w:val="clear"/>
              <w:spacing w:line="300" w:lineRule="exact"/>
              <w:ind w:firstLine="420"/>
              <w:rPr>
                <w:rFonts w:hAnsi="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试验检测仪器设备</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9" w:hRule="atLeast"/>
          <w:jc w:val="center"/>
        </w:trPr>
        <w:tc>
          <w:tcPr>
            <w:tcW w:w="1696" w:type="dxa"/>
            <w:gridSpan w:val="2"/>
            <w:vMerge w:val="continue"/>
            <w:tcBorders>
              <w:right w:val="single" w:color="auto" w:sz="4" w:space="0"/>
            </w:tcBorders>
            <w:noWrap/>
            <w:vAlign w:val="center"/>
          </w:tcPr>
          <w:p>
            <w:pPr>
              <w:shd w:val="clear"/>
              <w:spacing w:line="300" w:lineRule="exact"/>
              <w:ind w:firstLine="420"/>
              <w:rPr>
                <w:rFonts w:hAnsi="宋体"/>
                <w:color w:val="auto"/>
                <w:sz w:val="21"/>
                <w:szCs w:val="21"/>
              </w:rPr>
            </w:pPr>
          </w:p>
        </w:tc>
        <w:tc>
          <w:tcPr>
            <w:tcW w:w="993" w:type="dxa"/>
            <w:vMerge w:val="continue"/>
            <w:tcBorders>
              <w:left w:val="single" w:color="auto" w:sz="4" w:space="0"/>
              <w:right w:val="single" w:color="auto" w:sz="4" w:space="0"/>
            </w:tcBorders>
            <w:noWrap/>
            <w:vAlign w:val="center"/>
          </w:tcPr>
          <w:p>
            <w:pPr>
              <w:shd w:val="clear"/>
              <w:spacing w:line="300" w:lineRule="exact"/>
              <w:ind w:firstLine="420"/>
              <w:rPr>
                <w:rFonts w:hAnsi="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其他要求</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符合第二章“投标人须知”第</w:t>
            </w:r>
            <w:r>
              <w:rPr>
                <w:rFonts w:hAnsi="宋体" w:cs="宋体"/>
                <w:color w:val="auto"/>
                <w:sz w:val="21"/>
                <w:szCs w:val="21"/>
              </w:rPr>
              <w:t>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pPr>
              <w:shd w:val="clear"/>
              <w:spacing w:line="300" w:lineRule="exact"/>
              <w:ind w:firstLine="420"/>
              <w:rPr>
                <w:rFonts w:hAnsi="宋体"/>
                <w:color w:val="auto"/>
                <w:sz w:val="21"/>
                <w:szCs w:val="21"/>
              </w:rPr>
            </w:pPr>
          </w:p>
        </w:tc>
        <w:tc>
          <w:tcPr>
            <w:tcW w:w="993" w:type="dxa"/>
            <w:vMerge w:val="continue"/>
            <w:tcBorders>
              <w:left w:val="single" w:color="auto" w:sz="4" w:space="0"/>
              <w:right w:val="single" w:color="auto" w:sz="4" w:space="0"/>
            </w:tcBorders>
            <w:noWrap/>
            <w:vAlign w:val="center"/>
          </w:tcPr>
          <w:p>
            <w:pPr>
              <w:shd w:val="clear"/>
              <w:spacing w:line="300" w:lineRule="exact"/>
              <w:ind w:firstLine="420"/>
              <w:rPr>
                <w:rFonts w:hAnsi="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联合体投标人</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olor w:val="auto"/>
                <w:sz w:val="21"/>
                <w:szCs w:val="21"/>
              </w:rPr>
              <w:t>本项目不允许联合体投标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pPr>
              <w:shd w:val="clear"/>
              <w:spacing w:line="300" w:lineRule="exact"/>
              <w:ind w:firstLine="420"/>
              <w:rPr>
                <w:rFonts w:hAnsi="宋体"/>
                <w:color w:val="auto"/>
                <w:sz w:val="21"/>
                <w:szCs w:val="21"/>
              </w:rPr>
            </w:pPr>
          </w:p>
        </w:tc>
        <w:tc>
          <w:tcPr>
            <w:tcW w:w="993" w:type="dxa"/>
            <w:vMerge w:val="continue"/>
            <w:tcBorders>
              <w:left w:val="single" w:color="auto" w:sz="4" w:space="0"/>
              <w:right w:val="single" w:color="auto" w:sz="4" w:space="0"/>
            </w:tcBorders>
            <w:noWrap/>
            <w:vAlign w:val="center"/>
          </w:tcPr>
          <w:p>
            <w:pPr>
              <w:shd w:val="clear"/>
              <w:spacing w:line="300" w:lineRule="exact"/>
              <w:ind w:firstLine="420"/>
              <w:rPr>
                <w:rFonts w:hAnsi="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不存在禁止投标的情形</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olor w:val="auto"/>
                <w:sz w:val="21"/>
                <w:szCs w:val="21"/>
                <w:u w:val="single"/>
              </w:rPr>
            </w:pPr>
            <w:r>
              <w:rPr>
                <w:rFonts w:hint="eastAsia" w:hAnsi="宋体" w:cs="宋体"/>
                <w:color w:val="auto"/>
                <w:sz w:val="21"/>
                <w:szCs w:val="21"/>
              </w:rPr>
              <w:t>不存在第二章“投标人须知”第</w:t>
            </w:r>
            <w:r>
              <w:rPr>
                <w:rFonts w:hAnsi="宋体" w:cs="宋体"/>
                <w:color w:val="auto"/>
                <w:sz w:val="21"/>
                <w:szCs w:val="21"/>
              </w:rPr>
              <w:t>1.4.3项规定的任何一种情形（以《投标人声明》</w:t>
            </w:r>
            <w:r>
              <w:rPr>
                <w:rFonts w:hint="eastAsia" w:hAnsi="宋体" w:cs="宋体"/>
                <w:color w:val="auto"/>
                <w:sz w:val="21"/>
                <w:szCs w:val="21"/>
              </w:rPr>
              <w:t>进行评审</w:t>
            </w:r>
            <w:r>
              <w:rPr>
                <w:rFonts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bottom w:val="single" w:color="auto" w:sz="4" w:space="0"/>
              <w:right w:val="single" w:color="auto" w:sz="4" w:space="0"/>
            </w:tcBorders>
            <w:noWrap/>
            <w:vAlign w:val="center"/>
          </w:tcPr>
          <w:p>
            <w:pPr>
              <w:shd w:val="clear"/>
              <w:spacing w:line="300" w:lineRule="exact"/>
              <w:ind w:firstLine="420"/>
              <w:rPr>
                <w:rFonts w:hAnsi="宋体"/>
                <w:color w:val="auto"/>
                <w:sz w:val="21"/>
                <w:szCs w:val="21"/>
              </w:rPr>
            </w:pPr>
          </w:p>
        </w:tc>
        <w:tc>
          <w:tcPr>
            <w:tcW w:w="993" w:type="dxa"/>
            <w:vMerge w:val="continue"/>
            <w:tcBorders>
              <w:left w:val="single" w:color="auto" w:sz="4" w:space="0"/>
              <w:bottom w:val="single" w:color="auto" w:sz="4" w:space="0"/>
              <w:right w:val="single" w:color="auto" w:sz="4" w:space="0"/>
            </w:tcBorders>
            <w:noWrap/>
            <w:vAlign w:val="center"/>
          </w:tcPr>
          <w:p>
            <w:pPr>
              <w:shd w:val="clear"/>
              <w:spacing w:line="300" w:lineRule="exact"/>
              <w:ind w:firstLine="420"/>
              <w:rPr>
                <w:rFonts w:hAnsi="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未被列入拖欠农民工工资失信联合惩戒对象名单</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投标人无需提供资料，按交易系统比对的结果进行评审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5" w:hRule="atLeast"/>
          <w:jc w:val="center"/>
        </w:trPr>
        <w:tc>
          <w:tcPr>
            <w:tcW w:w="1696" w:type="dxa"/>
            <w:gridSpan w:val="2"/>
            <w:vMerge w:val="restart"/>
            <w:tcBorders>
              <w:top w:val="single" w:color="auto" w:sz="4" w:space="0"/>
              <w:right w:val="single" w:color="auto" w:sz="4" w:space="0"/>
            </w:tcBorders>
            <w:noWrap/>
            <w:vAlign w:val="center"/>
          </w:tcPr>
          <w:p>
            <w:pPr>
              <w:shd w:val="clear"/>
              <w:spacing w:line="300" w:lineRule="exact"/>
              <w:ind w:firstLine="420"/>
              <w:rPr>
                <w:rFonts w:hAnsi="宋体"/>
                <w:color w:val="auto"/>
                <w:sz w:val="21"/>
                <w:szCs w:val="21"/>
              </w:rPr>
            </w:pPr>
            <w:r>
              <w:rPr>
                <w:rFonts w:hAnsi="宋体"/>
                <w:color w:val="auto"/>
                <w:sz w:val="21"/>
                <w:szCs w:val="21"/>
              </w:rPr>
              <w:t>2.1.3</w:t>
            </w:r>
          </w:p>
        </w:tc>
        <w:tc>
          <w:tcPr>
            <w:tcW w:w="993" w:type="dxa"/>
            <w:vMerge w:val="restart"/>
            <w:tcBorders>
              <w:top w:val="single" w:color="auto" w:sz="4" w:space="0"/>
              <w:left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响应性评审标准</w:t>
            </w:r>
          </w:p>
        </w:tc>
        <w:tc>
          <w:tcPr>
            <w:tcW w:w="1583" w:type="dxa"/>
            <w:tcBorders>
              <w:top w:val="single" w:color="auto" w:sz="4" w:space="0"/>
              <w:left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投标报价</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符合第二章“投标人须知”第</w:t>
            </w:r>
            <w:r>
              <w:rPr>
                <w:rFonts w:hAnsi="宋体" w:cs="宋体"/>
                <w:color w:val="auto"/>
                <w:sz w:val="21"/>
                <w:szCs w:val="21"/>
              </w:rPr>
              <w:t>3.2款规定进行投标报价的；对同一招标项目没有出现两个或以上的投标报价，且修正无依据；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4" w:hRule="atLeast"/>
          <w:jc w:val="center"/>
        </w:trPr>
        <w:tc>
          <w:tcPr>
            <w:tcW w:w="1696" w:type="dxa"/>
            <w:gridSpan w:val="2"/>
            <w:vMerge w:val="continue"/>
            <w:tcBorders>
              <w:right w:val="single" w:color="auto" w:sz="4" w:space="0"/>
            </w:tcBorders>
            <w:noWrap/>
            <w:vAlign w:val="center"/>
          </w:tcPr>
          <w:p>
            <w:pPr>
              <w:shd w:val="clear"/>
              <w:spacing w:line="300" w:lineRule="exact"/>
              <w:ind w:firstLine="420"/>
              <w:jc w:val="center"/>
              <w:rPr>
                <w:rFonts w:hAnsi="宋体"/>
                <w:color w:val="auto"/>
                <w:sz w:val="21"/>
                <w:szCs w:val="21"/>
              </w:rPr>
            </w:pPr>
          </w:p>
        </w:tc>
        <w:tc>
          <w:tcPr>
            <w:tcW w:w="993" w:type="dxa"/>
            <w:vMerge w:val="continue"/>
            <w:tcBorders>
              <w:left w:val="single" w:color="auto" w:sz="4" w:space="0"/>
              <w:right w:val="single" w:color="auto" w:sz="4" w:space="0"/>
            </w:tcBorders>
            <w:noWrap/>
            <w:vAlign w:val="center"/>
          </w:tcPr>
          <w:p>
            <w:pPr>
              <w:shd w:val="clear"/>
              <w:spacing w:line="300" w:lineRule="exact"/>
              <w:ind w:firstLine="420"/>
              <w:jc w:val="center"/>
              <w:rPr>
                <w:rFonts w:hAnsi="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投标内容</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符合第二章“投标人须知”第</w:t>
            </w:r>
            <w:r>
              <w:rPr>
                <w:rFonts w:hAnsi="宋体" w:cs="宋体"/>
                <w:color w:val="auto"/>
                <w:sz w:val="21"/>
                <w:szCs w:val="21"/>
              </w:rPr>
              <w:t>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pPr>
              <w:shd w:val="clear"/>
              <w:spacing w:line="300" w:lineRule="exact"/>
              <w:ind w:firstLine="420"/>
              <w:jc w:val="center"/>
              <w:rPr>
                <w:rFonts w:hAnsi="宋体"/>
                <w:color w:val="auto"/>
                <w:sz w:val="21"/>
                <w:szCs w:val="21"/>
              </w:rPr>
            </w:pPr>
          </w:p>
        </w:tc>
        <w:tc>
          <w:tcPr>
            <w:tcW w:w="993" w:type="dxa"/>
            <w:vMerge w:val="continue"/>
            <w:tcBorders>
              <w:left w:val="single" w:color="auto" w:sz="4" w:space="0"/>
              <w:right w:val="single" w:color="auto" w:sz="4" w:space="0"/>
            </w:tcBorders>
            <w:noWrap/>
            <w:vAlign w:val="center"/>
          </w:tcPr>
          <w:p>
            <w:pPr>
              <w:shd w:val="clear"/>
              <w:spacing w:line="300" w:lineRule="exact"/>
              <w:ind w:firstLine="420"/>
              <w:jc w:val="center"/>
              <w:rPr>
                <w:rFonts w:hAnsi="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监理服务期限</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符合第二章“投标人须知”第</w:t>
            </w:r>
            <w:r>
              <w:rPr>
                <w:rFonts w:hAnsi="宋体" w:cs="宋体"/>
                <w:color w:val="auto"/>
                <w:sz w:val="21"/>
                <w:szCs w:val="21"/>
              </w:rPr>
              <w:t>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3" w:hRule="atLeast"/>
          <w:jc w:val="center"/>
        </w:trPr>
        <w:tc>
          <w:tcPr>
            <w:tcW w:w="1696" w:type="dxa"/>
            <w:gridSpan w:val="2"/>
            <w:vMerge w:val="continue"/>
            <w:tcBorders>
              <w:right w:val="single" w:color="auto" w:sz="4" w:space="0"/>
            </w:tcBorders>
            <w:noWrap/>
            <w:vAlign w:val="center"/>
          </w:tcPr>
          <w:p>
            <w:pPr>
              <w:shd w:val="clear"/>
              <w:spacing w:line="300" w:lineRule="exact"/>
              <w:ind w:firstLine="420"/>
              <w:jc w:val="center"/>
              <w:rPr>
                <w:rFonts w:hAnsi="宋体"/>
                <w:color w:val="auto"/>
                <w:sz w:val="21"/>
                <w:szCs w:val="21"/>
              </w:rPr>
            </w:pPr>
          </w:p>
        </w:tc>
        <w:tc>
          <w:tcPr>
            <w:tcW w:w="993" w:type="dxa"/>
            <w:vMerge w:val="continue"/>
            <w:tcBorders>
              <w:left w:val="single" w:color="auto" w:sz="4" w:space="0"/>
              <w:right w:val="single" w:color="auto" w:sz="4" w:space="0"/>
            </w:tcBorders>
            <w:noWrap/>
            <w:vAlign w:val="center"/>
          </w:tcPr>
          <w:p>
            <w:pPr>
              <w:shd w:val="clear"/>
              <w:spacing w:line="300" w:lineRule="exact"/>
              <w:ind w:firstLine="420"/>
              <w:jc w:val="center"/>
              <w:rPr>
                <w:rFonts w:hAnsi="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olor w:val="auto"/>
                <w:sz w:val="21"/>
                <w:szCs w:val="21"/>
              </w:rPr>
            </w:pPr>
            <w:r>
              <w:rPr>
                <w:rFonts w:hint="eastAsia" w:hAnsi="宋体"/>
                <w:color w:val="auto"/>
                <w:sz w:val="21"/>
                <w:szCs w:val="21"/>
              </w:rPr>
              <w:t>质量标准</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符合第二章“投标人须知”第</w:t>
            </w:r>
            <w:r>
              <w:rPr>
                <w:rFonts w:hAnsi="宋体" w:cs="宋体"/>
                <w:color w:val="auto"/>
                <w:sz w:val="21"/>
                <w:szCs w:val="21"/>
              </w:rPr>
              <w:t>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1696" w:type="dxa"/>
            <w:gridSpan w:val="2"/>
            <w:vMerge w:val="continue"/>
            <w:tcBorders>
              <w:right w:val="single" w:color="auto" w:sz="4" w:space="0"/>
            </w:tcBorders>
            <w:noWrap/>
            <w:vAlign w:val="center"/>
          </w:tcPr>
          <w:p>
            <w:pPr>
              <w:shd w:val="clear"/>
              <w:spacing w:line="300" w:lineRule="exact"/>
              <w:ind w:firstLine="420"/>
              <w:rPr>
                <w:rFonts w:hAnsi="宋体"/>
                <w:color w:val="auto"/>
                <w:sz w:val="21"/>
                <w:szCs w:val="21"/>
              </w:rPr>
            </w:pPr>
          </w:p>
        </w:tc>
        <w:tc>
          <w:tcPr>
            <w:tcW w:w="993" w:type="dxa"/>
            <w:vMerge w:val="continue"/>
            <w:tcBorders>
              <w:left w:val="single" w:color="auto" w:sz="4" w:space="0"/>
              <w:right w:val="single" w:color="auto" w:sz="4" w:space="0"/>
            </w:tcBorders>
            <w:noWrap/>
            <w:vAlign w:val="center"/>
          </w:tcPr>
          <w:p>
            <w:pPr>
              <w:shd w:val="clear"/>
              <w:spacing w:line="300" w:lineRule="exact"/>
              <w:ind w:firstLine="420"/>
              <w:rPr>
                <w:rFonts w:hAnsi="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noWrap/>
          </w:tcPr>
          <w:p>
            <w:pPr>
              <w:shd w:val="clear"/>
              <w:spacing w:line="300" w:lineRule="exact"/>
              <w:ind w:firstLine="0" w:firstLineChars="0"/>
              <w:rPr>
                <w:rFonts w:hAnsi="宋体"/>
                <w:color w:val="auto"/>
                <w:sz w:val="21"/>
                <w:szCs w:val="21"/>
              </w:rPr>
            </w:pPr>
            <w:r>
              <w:rPr>
                <w:rFonts w:hint="eastAsia" w:hAnsi="宋体"/>
                <w:color w:val="auto"/>
                <w:sz w:val="21"/>
                <w:szCs w:val="21"/>
              </w:rPr>
              <w:t>投标有效期</w:t>
            </w:r>
          </w:p>
        </w:tc>
        <w:tc>
          <w:tcPr>
            <w:tcW w:w="4913" w:type="dxa"/>
            <w:gridSpan w:val="2"/>
            <w:tcBorders>
              <w:top w:val="single" w:color="auto" w:sz="4" w:space="0"/>
              <w:left w:val="single" w:color="auto" w:sz="4" w:space="0"/>
              <w:bottom w:val="single" w:color="auto" w:sz="4" w:space="0"/>
            </w:tcBorders>
            <w:noWrap/>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符合第二章“投标人须知”第</w:t>
            </w:r>
            <w:r>
              <w:rPr>
                <w:rFonts w:hAnsi="宋体" w:cs="宋体"/>
                <w:color w:val="auto"/>
                <w:sz w:val="21"/>
                <w:szCs w:val="21"/>
              </w:rPr>
              <w:t>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1696" w:type="dxa"/>
            <w:gridSpan w:val="2"/>
            <w:vMerge w:val="continue"/>
            <w:tcBorders>
              <w:bottom w:val="single" w:color="auto" w:sz="4" w:space="0"/>
              <w:right w:val="single" w:color="auto" w:sz="4" w:space="0"/>
            </w:tcBorders>
            <w:noWrap/>
            <w:vAlign w:val="center"/>
          </w:tcPr>
          <w:p>
            <w:pPr>
              <w:shd w:val="clear"/>
              <w:spacing w:line="300" w:lineRule="exact"/>
              <w:ind w:firstLine="420"/>
              <w:rPr>
                <w:rFonts w:hAnsi="宋体"/>
                <w:color w:val="auto"/>
                <w:sz w:val="21"/>
                <w:szCs w:val="21"/>
              </w:rPr>
            </w:pPr>
          </w:p>
        </w:tc>
        <w:tc>
          <w:tcPr>
            <w:tcW w:w="993" w:type="dxa"/>
            <w:vMerge w:val="continue"/>
            <w:tcBorders>
              <w:left w:val="single" w:color="auto" w:sz="4" w:space="0"/>
              <w:bottom w:val="single" w:color="auto" w:sz="4" w:space="0"/>
              <w:right w:val="single" w:color="auto" w:sz="4" w:space="0"/>
            </w:tcBorders>
            <w:noWrap/>
            <w:vAlign w:val="center"/>
          </w:tcPr>
          <w:p>
            <w:pPr>
              <w:shd w:val="clear"/>
              <w:spacing w:line="300" w:lineRule="exact"/>
              <w:ind w:firstLine="420"/>
              <w:rPr>
                <w:rFonts w:hAnsi="宋体"/>
                <w:color w:val="auto"/>
                <w:sz w:val="21"/>
                <w:szCs w:val="21"/>
              </w:rPr>
            </w:pPr>
          </w:p>
        </w:tc>
        <w:tc>
          <w:tcPr>
            <w:tcW w:w="1583" w:type="dxa"/>
            <w:tcBorders>
              <w:top w:val="single" w:color="auto" w:sz="4" w:space="0"/>
              <w:left w:val="single" w:color="auto" w:sz="4" w:space="0"/>
              <w:right w:val="single" w:color="auto" w:sz="4" w:space="0"/>
            </w:tcBorders>
            <w:noWrap/>
          </w:tcPr>
          <w:p>
            <w:pPr>
              <w:shd w:val="clear"/>
              <w:spacing w:line="300" w:lineRule="exact"/>
              <w:ind w:firstLine="0" w:firstLineChars="0"/>
              <w:rPr>
                <w:rFonts w:hAnsi="宋体"/>
                <w:color w:val="auto"/>
                <w:sz w:val="21"/>
                <w:szCs w:val="21"/>
              </w:rPr>
            </w:pPr>
            <w:r>
              <w:rPr>
                <w:rFonts w:hint="eastAsia" w:hAnsi="宋体"/>
                <w:color w:val="auto"/>
                <w:sz w:val="21"/>
                <w:szCs w:val="21"/>
              </w:rPr>
              <w:t>串通投标情形</w:t>
            </w:r>
          </w:p>
        </w:tc>
        <w:tc>
          <w:tcPr>
            <w:tcW w:w="4913" w:type="dxa"/>
            <w:gridSpan w:val="2"/>
            <w:tcBorders>
              <w:top w:val="single" w:color="auto" w:sz="4" w:space="0"/>
              <w:left w:val="single" w:color="auto" w:sz="4" w:space="0"/>
            </w:tcBorders>
            <w:noWrap/>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投标人之间不存在《广东省实施&lt;中华人民共和国招标投标法&gt;》第十六条所禁止的情形的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2689" w:type="dxa"/>
            <w:gridSpan w:val="3"/>
            <w:tcBorders>
              <w:top w:val="single" w:color="auto" w:sz="4" w:space="0"/>
              <w:bottom w:val="single" w:color="auto" w:sz="4" w:space="0"/>
              <w:right w:val="single" w:color="auto" w:sz="4" w:space="0"/>
            </w:tcBorders>
            <w:noWrap/>
            <w:vAlign w:val="center"/>
          </w:tcPr>
          <w:p>
            <w:pPr>
              <w:shd w:val="clear"/>
              <w:spacing w:line="300" w:lineRule="exact"/>
              <w:ind w:firstLine="422"/>
              <w:jc w:val="center"/>
              <w:rPr>
                <w:rFonts w:hAnsi="宋体"/>
                <w:b/>
                <w:color w:val="auto"/>
                <w:sz w:val="21"/>
                <w:szCs w:val="21"/>
              </w:rPr>
            </w:pPr>
            <w:bookmarkStart w:id="132" w:name="_Hlk123837703"/>
            <w:r>
              <w:rPr>
                <w:rFonts w:hint="eastAsia" w:hAnsi="宋体"/>
                <w:b/>
                <w:color w:val="auto"/>
                <w:sz w:val="21"/>
                <w:szCs w:val="21"/>
              </w:rPr>
              <w:t>条款号</w:t>
            </w: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b/>
                <w:color w:val="auto"/>
                <w:sz w:val="21"/>
                <w:szCs w:val="21"/>
              </w:rPr>
            </w:pPr>
            <w:r>
              <w:rPr>
                <w:rFonts w:hint="eastAsia" w:hAnsi="宋体"/>
                <w:b/>
                <w:color w:val="auto"/>
                <w:sz w:val="21"/>
                <w:szCs w:val="21"/>
              </w:rPr>
              <w:t>评审因素</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422"/>
              <w:jc w:val="center"/>
              <w:rPr>
                <w:rFonts w:hAnsi="宋体" w:cs="宋体"/>
                <w:b/>
                <w:color w:val="auto"/>
                <w:sz w:val="21"/>
                <w:szCs w:val="21"/>
              </w:rPr>
            </w:pPr>
            <w:r>
              <w:rPr>
                <w:rFonts w:hint="eastAsia" w:hAnsi="宋体" w:cs="宋体"/>
                <w:b/>
                <w:color w:val="auto"/>
                <w:sz w:val="21"/>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5" w:hRule="atLeast"/>
          <w:jc w:val="center"/>
        </w:trPr>
        <w:tc>
          <w:tcPr>
            <w:tcW w:w="2689" w:type="dxa"/>
            <w:gridSpan w:val="3"/>
            <w:tcBorders>
              <w:top w:val="single" w:color="auto" w:sz="4" w:space="0"/>
              <w:bottom w:val="single" w:color="auto" w:sz="4" w:space="0"/>
              <w:right w:val="single" w:color="auto" w:sz="4" w:space="0"/>
            </w:tcBorders>
            <w:noWrap/>
            <w:vAlign w:val="center"/>
          </w:tcPr>
          <w:p>
            <w:pPr>
              <w:shd w:val="clear"/>
              <w:spacing w:line="300" w:lineRule="exact"/>
              <w:ind w:firstLine="199" w:firstLineChars="95"/>
              <w:jc w:val="center"/>
              <w:rPr>
                <w:rFonts w:hAnsi="宋体" w:cs="宋体"/>
                <w:color w:val="auto"/>
                <w:sz w:val="21"/>
                <w:szCs w:val="21"/>
              </w:rPr>
            </w:pPr>
            <w:r>
              <w:rPr>
                <w:rFonts w:hAnsi="宋体" w:cs="宋体"/>
                <w:color w:val="auto"/>
                <w:sz w:val="21"/>
                <w:szCs w:val="21"/>
              </w:rPr>
              <w:t>2.2.1</w:t>
            </w: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分值构成</w:t>
            </w:r>
            <w:r>
              <w:rPr>
                <w:rFonts w:hAnsi="宋体" w:cs="宋体"/>
                <w:color w:val="auto"/>
                <w:sz w:val="21"/>
                <w:szCs w:val="21"/>
              </w:rPr>
              <w:t>(总分100分)</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bCs/>
                <w:color w:val="auto"/>
                <w:sz w:val="21"/>
                <w:szCs w:val="21"/>
              </w:rPr>
            </w:pPr>
            <w:r>
              <w:rPr>
                <w:rFonts w:hint="eastAsia" w:hAnsi="宋体"/>
                <w:bCs/>
                <w:color w:val="auto"/>
                <w:sz w:val="21"/>
                <w:szCs w:val="21"/>
              </w:rPr>
              <w:t>1.综合得分（权重95%），包括：</w:t>
            </w:r>
          </w:p>
          <w:p>
            <w:pPr>
              <w:shd w:val="clear"/>
              <w:spacing w:line="300" w:lineRule="exact"/>
              <w:ind w:firstLine="0" w:firstLineChars="0"/>
              <w:rPr>
                <w:rFonts w:hAnsi="宋体"/>
                <w:bCs/>
                <w:color w:val="auto"/>
                <w:sz w:val="21"/>
                <w:szCs w:val="21"/>
              </w:rPr>
            </w:pPr>
            <w:r>
              <w:rPr>
                <w:rFonts w:hint="eastAsia" w:hAnsi="宋体"/>
                <w:bCs/>
                <w:color w:val="auto"/>
                <w:sz w:val="21"/>
                <w:szCs w:val="21"/>
              </w:rPr>
              <w:t>（1）资信业绩部分：</w:t>
            </w:r>
            <w:r>
              <w:rPr>
                <w:rFonts w:hint="eastAsia" w:hAnsi="宋体"/>
                <w:bCs/>
                <w:color w:val="auto"/>
                <w:sz w:val="21"/>
                <w:szCs w:val="21"/>
                <w:u w:val="single"/>
              </w:rPr>
              <w:t>5</w:t>
            </w:r>
            <w:r>
              <w:rPr>
                <w:rFonts w:hAnsi="宋体"/>
                <w:bCs/>
                <w:color w:val="auto"/>
                <w:sz w:val="21"/>
                <w:szCs w:val="21"/>
                <w:u w:val="single"/>
              </w:rPr>
              <w:t>0</w:t>
            </w:r>
            <w:r>
              <w:rPr>
                <w:rFonts w:hint="eastAsia" w:hAnsi="宋体"/>
                <w:bCs/>
                <w:color w:val="auto"/>
                <w:sz w:val="21"/>
                <w:szCs w:val="21"/>
              </w:rPr>
              <w:t>分</w:t>
            </w:r>
          </w:p>
          <w:p>
            <w:pPr>
              <w:shd w:val="clear"/>
              <w:spacing w:line="300" w:lineRule="exact"/>
              <w:ind w:firstLine="0" w:firstLineChars="0"/>
              <w:rPr>
                <w:rFonts w:hAnsi="宋体"/>
                <w:bCs/>
                <w:color w:val="auto"/>
                <w:sz w:val="21"/>
                <w:szCs w:val="21"/>
              </w:rPr>
            </w:pPr>
            <w:r>
              <w:rPr>
                <w:rFonts w:hint="eastAsia" w:hAnsi="宋体"/>
                <w:bCs/>
                <w:color w:val="auto"/>
                <w:sz w:val="21"/>
                <w:szCs w:val="21"/>
              </w:rPr>
              <w:t>（2）技术大纲部分：</w:t>
            </w:r>
            <w:r>
              <w:rPr>
                <w:rFonts w:hint="eastAsia" w:hAnsi="宋体"/>
                <w:bCs/>
                <w:color w:val="auto"/>
                <w:sz w:val="21"/>
                <w:szCs w:val="21"/>
                <w:u w:val="single"/>
              </w:rPr>
              <w:t>30</w:t>
            </w:r>
            <w:r>
              <w:rPr>
                <w:rFonts w:hint="eastAsia" w:hAnsi="宋体"/>
                <w:bCs/>
                <w:color w:val="auto"/>
                <w:sz w:val="21"/>
                <w:szCs w:val="21"/>
              </w:rPr>
              <w:t>分</w:t>
            </w:r>
          </w:p>
          <w:p>
            <w:pPr>
              <w:shd w:val="clear"/>
              <w:spacing w:line="300" w:lineRule="exact"/>
              <w:ind w:firstLine="0" w:firstLineChars="0"/>
              <w:rPr>
                <w:rFonts w:hAnsi="宋体"/>
                <w:bCs/>
                <w:color w:val="auto"/>
                <w:sz w:val="21"/>
                <w:szCs w:val="21"/>
              </w:rPr>
            </w:pPr>
            <w:r>
              <w:rPr>
                <w:rFonts w:hint="eastAsia" w:hAnsi="宋体"/>
                <w:bCs/>
                <w:color w:val="auto"/>
                <w:sz w:val="21"/>
                <w:szCs w:val="21"/>
              </w:rPr>
              <w:t>（3）投标报价：</w:t>
            </w:r>
            <w:r>
              <w:rPr>
                <w:rFonts w:hint="eastAsia" w:hAnsi="宋体"/>
                <w:bCs/>
                <w:color w:val="auto"/>
                <w:sz w:val="21"/>
                <w:szCs w:val="21"/>
                <w:u w:val="single"/>
              </w:rPr>
              <w:t>20</w:t>
            </w:r>
            <w:r>
              <w:rPr>
                <w:rFonts w:hint="eastAsia" w:hAnsi="宋体"/>
                <w:bCs/>
                <w:color w:val="auto"/>
                <w:sz w:val="21"/>
                <w:szCs w:val="21"/>
              </w:rPr>
              <w:t>分</w:t>
            </w:r>
          </w:p>
          <w:p>
            <w:pPr>
              <w:shd w:val="clear"/>
              <w:spacing w:line="300" w:lineRule="exact"/>
              <w:ind w:firstLine="0" w:firstLineChars="0"/>
              <w:rPr>
                <w:rFonts w:hAnsi="宋体"/>
                <w:bCs/>
                <w:color w:val="auto"/>
                <w:sz w:val="21"/>
                <w:szCs w:val="21"/>
                <w:u w:val="single"/>
              </w:rPr>
            </w:pPr>
            <w:r>
              <w:rPr>
                <w:rFonts w:hint="eastAsia" w:hAnsi="宋体"/>
                <w:bCs/>
                <w:color w:val="auto"/>
                <w:sz w:val="21"/>
                <w:szCs w:val="21"/>
                <w:u w:val="single"/>
              </w:rPr>
              <w:t>2.其他评分因素：诚信综合评价排名得分（权重5%）</w:t>
            </w:r>
          </w:p>
          <w:p>
            <w:pPr>
              <w:shd w:val="clear"/>
              <w:spacing w:line="300" w:lineRule="exact"/>
              <w:ind w:firstLine="0" w:firstLineChars="0"/>
              <w:rPr>
                <w:rFonts w:hAnsi="宋体" w:cs="宋体"/>
                <w:color w:val="auto"/>
                <w:sz w:val="21"/>
                <w:szCs w:val="21"/>
              </w:rPr>
            </w:pPr>
            <w:r>
              <w:rPr>
                <w:rFonts w:hint="eastAsia" w:hAnsi="宋体"/>
                <w:bCs/>
                <w:color w:val="auto"/>
                <w:sz w:val="21"/>
                <w:szCs w:val="21"/>
              </w:rPr>
              <w:t>投标人总得分=综合得分×综合得分权重（95%）+诚信综合评价排名得分×诚信综合</w:t>
            </w:r>
            <w:r>
              <w:rPr>
                <w:rFonts w:hint="eastAsia" w:hAnsi="宋体"/>
                <w:bCs/>
                <w:color w:val="auto"/>
                <w:sz w:val="21"/>
                <w:szCs w:val="21"/>
                <w:u w:val="single"/>
              </w:rPr>
              <w:t>评价排名得</w:t>
            </w:r>
            <w:r>
              <w:rPr>
                <w:rFonts w:hint="eastAsia" w:hAnsi="宋体"/>
                <w:bCs/>
                <w:color w:val="auto"/>
                <w:sz w:val="21"/>
                <w:szCs w:val="21"/>
              </w:rPr>
              <w:t>分权重（5%）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2689" w:type="dxa"/>
            <w:gridSpan w:val="3"/>
            <w:tcBorders>
              <w:top w:val="single" w:color="auto" w:sz="4" w:space="0"/>
              <w:bottom w:val="single" w:color="auto" w:sz="4" w:space="0"/>
              <w:right w:val="single" w:color="auto" w:sz="4" w:space="0"/>
            </w:tcBorders>
            <w:noWrap/>
            <w:vAlign w:val="center"/>
          </w:tcPr>
          <w:p>
            <w:pPr>
              <w:shd w:val="clear"/>
              <w:spacing w:line="300" w:lineRule="exact"/>
              <w:ind w:firstLine="0" w:firstLineChars="0"/>
              <w:jc w:val="center"/>
              <w:rPr>
                <w:rFonts w:hAnsi="宋体" w:cs="宋体"/>
                <w:color w:val="auto"/>
                <w:sz w:val="21"/>
                <w:szCs w:val="21"/>
              </w:rPr>
            </w:pPr>
            <w:r>
              <w:rPr>
                <w:rFonts w:hAnsi="宋体" w:cs="宋体"/>
                <w:color w:val="auto"/>
                <w:sz w:val="21"/>
                <w:szCs w:val="21"/>
              </w:rPr>
              <w:t>2.2.2</w:t>
            </w: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评标基准价计算方法</w:t>
            </w:r>
          </w:p>
        </w:tc>
        <w:tc>
          <w:tcPr>
            <w:tcW w:w="4913" w:type="dxa"/>
            <w:gridSpan w:val="2"/>
            <w:tcBorders>
              <w:top w:val="single" w:color="auto" w:sz="4" w:space="0"/>
              <w:left w:val="single" w:color="auto" w:sz="4" w:space="0"/>
              <w:bottom w:val="single" w:color="auto" w:sz="4" w:space="0"/>
            </w:tcBorders>
            <w:noWrap/>
            <w:vAlign w:val="center"/>
          </w:tcPr>
          <w:p>
            <w:pPr>
              <w:shd w:val="clear"/>
              <w:adjustRightInd w:val="0"/>
              <w:snapToGrid w:val="0"/>
              <w:spacing w:line="300" w:lineRule="exact"/>
              <w:ind w:firstLine="0" w:firstLineChars="0"/>
              <w:jc w:val="left"/>
              <w:rPr>
                <w:rFonts w:hAnsi="宋体"/>
                <w:b/>
                <w:color w:val="auto"/>
                <w:sz w:val="21"/>
                <w:szCs w:val="21"/>
              </w:rPr>
            </w:pPr>
            <w:r>
              <w:rPr>
                <w:rFonts w:hint="eastAsia" w:hAnsi="宋体"/>
                <w:b/>
                <w:color w:val="auto"/>
                <w:sz w:val="21"/>
                <w:szCs w:val="21"/>
              </w:rPr>
              <w:t>参与评标基准价计算范围为[最高投标限价×8</w:t>
            </w:r>
            <w:r>
              <w:rPr>
                <w:rFonts w:hAnsi="宋体"/>
                <w:b/>
                <w:color w:val="auto"/>
                <w:sz w:val="21"/>
                <w:szCs w:val="21"/>
              </w:rPr>
              <w:t>0</w:t>
            </w:r>
            <w:r>
              <w:rPr>
                <w:rFonts w:hint="eastAsia" w:hAnsi="宋体"/>
                <w:b/>
                <w:color w:val="auto"/>
                <w:sz w:val="21"/>
                <w:szCs w:val="21"/>
              </w:rPr>
              <w:t>%，最高投标限价]，超过此范围的报价不参与评标基准价的计算</w:t>
            </w:r>
          </w:p>
          <w:p>
            <w:pPr>
              <w:shd w:val="clear"/>
              <w:adjustRightInd w:val="0"/>
              <w:snapToGrid w:val="0"/>
              <w:spacing w:line="300" w:lineRule="exact"/>
              <w:ind w:firstLine="0" w:firstLineChars="0"/>
              <w:jc w:val="left"/>
              <w:rPr>
                <w:rFonts w:hAnsi="宋体"/>
                <w:color w:val="auto"/>
                <w:sz w:val="21"/>
                <w:szCs w:val="21"/>
              </w:rPr>
            </w:pPr>
            <w:r>
              <w:rPr>
                <w:rFonts w:hint="eastAsia" w:hAnsi="宋体"/>
                <w:color w:val="auto"/>
                <w:sz w:val="21"/>
                <w:szCs w:val="21"/>
              </w:rPr>
              <w:t>1.当投标报价在参与评标基准价计算范围内且通过</w:t>
            </w:r>
            <w:r>
              <w:rPr>
                <w:rFonts w:hint="eastAsia" w:hAnsi="宋体"/>
                <w:color w:val="auto"/>
                <w:sz w:val="21"/>
                <w:szCs w:val="21"/>
                <w:lang w:val="en-US" w:eastAsia="zh-CN"/>
              </w:rPr>
              <w:t>初步</w:t>
            </w:r>
            <w:r>
              <w:rPr>
                <w:rFonts w:hint="eastAsia" w:hAnsi="宋体"/>
                <w:color w:val="auto"/>
                <w:sz w:val="21"/>
                <w:szCs w:val="21"/>
              </w:rPr>
              <w:t>评审的有效投标人大于5名时，所有入围的有效投标价中去掉一个最高价和一个最低价，取余下有效投标价的算术平均值作为评标基准价。</w:t>
            </w:r>
          </w:p>
          <w:p>
            <w:pPr>
              <w:shd w:val="clear"/>
              <w:adjustRightInd w:val="0"/>
              <w:snapToGrid w:val="0"/>
              <w:spacing w:line="300" w:lineRule="exact"/>
              <w:ind w:firstLine="0" w:firstLineChars="0"/>
              <w:jc w:val="left"/>
              <w:rPr>
                <w:rFonts w:hAnsi="宋体"/>
                <w:color w:val="auto"/>
                <w:sz w:val="21"/>
                <w:szCs w:val="21"/>
              </w:rPr>
            </w:pPr>
            <w:r>
              <w:rPr>
                <w:rFonts w:hint="eastAsia" w:hAnsi="宋体"/>
                <w:color w:val="auto"/>
                <w:sz w:val="21"/>
                <w:szCs w:val="21"/>
              </w:rPr>
              <w:t>2.当投标报价在参与评标基准价计算范围内且通过</w:t>
            </w:r>
            <w:r>
              <w:rPr>
                <w:rFonts w:hint="eastAsia" w:hAnsi="宋体"/>
                <w:color w:val="auto"/>
                <w:sz w:val="21"/>
                <w:szCs w:val="21"/>
                <w:lang w:val="en-US" w:eastAsia="zh-CN"/>
              </w:rPr>
              <w:t>初步</w:t>
            </w:r>
            <w:r>
              <w:rPr>
                <w:rFonts w:hint="eastAsia" w:hAnsi="宋体"/>
                <w:color w:val="auto"/>
                <w:sz w:val="21"/>
                <w:szCs w:val="21"/>
              </w:rPr>
              <w:t>评审的有效投标人小于或等于5名时，取所有入围的有效投标价的算术平均值作为评标基准价。</w:t>
            </w:r>
          </w:p>
          <w:p>
            <w:pPr>
              <w:shd w:val="clear"/>
              <w:adjustRightInd w:val="0"/>
              <w:snapToGrid w:val="0"/>
              <w:spacing w:line="300" w:lineRule="exact"/>
              <w:ind w:firstLine="0" w:firstLineChars="0"/>
              <w:jc w:val="left"/>
              <w:rPr>
                <w:color w:val="auto"/>
                <w:sz w:val="21"/>
                <w:szCs w:val="21"/>
              </w:rPr>
            </w:pPr>
            <w:r>
              <w:rPr>
                <w:rFonts w:hint="eastAsia" w:hAnsi="宋体"/>
                <w:color w:val="auto"/>
                <w:sz w:val="21"/>
                <w:szCs w:val="21"/>
              </w:rPr>
              <w:t>3.若没有投标报价在参与评标基准价计算范围内且通过</w:t>
            </w:r>
            <w:r>
              <w:rPr>
                <w:rFonts w:hint="eastAsia" w:hAnsi="宋体"/>
                <w:color w:val="auto"/>
                <w:sz w:val="21"/>
                <w:szCs w:val="21"/>
                <w:lang w:val="en-US" w:eastAsia="zh-CN"/>
              </w:rPr>
              <w:t>初步</w:t>
            </w:r>
            <w:r>
              <w:rPr>
                <w:rFonts w:hint="eastAsia" w:hAnsi="宋体"/>
                <w:color w:val="auto"/>
                <w:sz w:val="21"/>
                <w:szCs w:val="21"/>
              </w:rPr>
              <w:t>评审的有效投标人时，所有投标人的报价得分为0分。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2" w:hRule="atLeast"/>
          <w:jc w:val="center"/>
        </w:trPr>
        <w:tc>
          <w:tcPr>
            <w:tcW w:w="2689" w:type="dxa"/>
            <w:gridSpan w:val="3"/>
            <w:tcBorders>
              <w:top w:val="single" w:color="auto" w:sz="4" w:space="0"/>
              <w:bottom w:val="single" w:color="auto" w:sz="4" w:space="0"/>
              <w:right w:val="single" w:color="auto" w:sz="4" w:space="0"/>
            </w:tcBorders>
            <w:noWrap/>
            <w:vAlign w:val="center"/>
          </w:tcPr>
          <w:p>
            <w:pPr>
              <w:shd w:val="clear"/>
              <w:spacing w:line="300" w:lineRule="exact"/>
              <w:ind w:firstLine="420"/>
              <w:jc w:val="center"/>
              <w:rPr>
                <w:rFonts w:hAnsi="宋体" w:cs="宋体"/>
                <w:color w:val="auto"/>
                <w:sz w:val="21"/>
                <w:szCs w:val="21"/>
              </w:rPr>
            </w:pPr>
            <w:r>
              <w:rPr>
                <w:rFonts w:hAnsi="宋体" w:cs="宋体"/>
                <w:color w:val="auto"/>
                <w:sz w:val="21"/>
                <w:szCs w:val="21"/>
              </w:rPr>
              <w:t>2.2.3</w:t>
            </w: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投标报价的偏差率计算公式</w:t>
            </w:r>
          </w:p>
        </w:tc>
        <w:tc>
          <w:tcPr>
            <w:tcW w:w="4913" w:type="dxa"/>
            <w:gridSpan w:val="2"/>
            <w:tcBorders>
              <w:top w:val="single" w:color="auto" w:sz="4" w:space="0"/>
              <w:left w:val="single" w:color="auto" w:sz="4" w:space="0"/>
              <w:bottom w:val="single" w:color="auto" w:sz="4" w:space="0"/>
            </w:tcBorders>
            <w:noWrap/>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投标报价的偏差率</w:t>
            </w:r>
            <w:r>
              <w:rPr>
                <w:rFonts w:hAnsi="宋体" w:cs="宋体"/>
                <w:color w:val="auto"/>
                <w:sz w:val="21"/>
                <w:szCs w:val="21"/>
              </w:rPr>
              <w:t>=（有效投标报价-评标基准价）/评标基准价×100%（偏差率出现小数点时，保留小数点后2位，第三位小数四舍五入。报价偏差率不足1%的，按直线内插法计算。）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89" w:type="dxa"/>
            <w:gridSpan w:val="3"/>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422"/>
              <w:jc w:val="center"/>
              <w:rPr>
                <w:rFonts w:hAnsi="宋体" w:cs="宋体"/>
                <w:b/>
                <w:color w:val="auto"/>
                <w:sz w:val="21"/>
                <w:szCs w:val="21"/>
              </w:rPr>
            </w:pPr>
            <w:r>
              <w:rPr>
                <w:rFonts w:hint="eastAsia" w:hAnsi="宋体" w:cs="宋体"/>
                <w:b/>
                <w:color w:val="auto"/>
                <w:sz w:val="21"/>
                <w:szCs w:val="21"/>
              </w:rPr>
              <w:t>条款号</w:t>
            </w:r>
          </w:p>
        </w:tc>
        <w:tc>
          <w:tcPr>
            <w:tcW w:w="1583" w:type="dxa"/>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jc w:val="center"/>
              <w:rPr>
                <w:rFonts w:hAnsi="宋体" w:cs="宋体"/>
                <w:b/>
                <w:color w:val="auto"/>
                <w:sz w:val="21"/>
                <w:szCs w:val="21"/>
              </w:rPr>
            </w:pPr>
            <w:r>
              <w:rPr>
                <w:rFonts w:hint="eastAsia" w:hAnsi="宋体" w:cs="宋体"/>
                <w:b/>
                <w:color w:val="auto"/>
                <w:sz w:val="21"/>
                <w:szCs w:val="21"/>
              </w:rPr>
              <w:t>评分因素</w:t>
            </w:r>
          </w:p>
        </w:tc>
        <w:tc>
          <w:tcPr>
            <w:tcW w:w="4913" w:type="dxa"/>
            <w:gridSpan w:val="2"/>
            <w:tcBorders>
              <w:top w:val="single" w:color="auto" w:sz="4" w:space="0"/>
              <w:left w:val="single" w:color="auto" w:sz="4" w:space="0"/>
              <w:bottom w:val="single" w:color="auto" w:sz="4" w:space="0"/>
              <w:right w:val="single" w:color="auto" w:sz="4" w:space="0"/>
            </w:tcBorders>
            <w:noWrap/>
            <w:vAlign w:val="center"/>
          </w:tcPr>
          <w:p>
            <w:pPr>
              <w:shd w:val="clear"/>
              <w:spacing w:line="300" w:lineRule="exact"/>
              <w:ind w:firstLine="0" w:firstLineChars="0"/>
              <w:jc w:val="center"/>
              <w:rPr>
                <w:rFonts w:hAnsi="宋体" w:cs="宋体"/>
                <w:b/>
                <w:color w:val="auto"/>
                <w:sz w:val="21"/>
                <w:szCs w:val="21"/>
              </w:rPr>
            </w:pPr>
            <w:r>
              <w:rPr>
                <w:rFonts w:hint="eastAsia" w:hAnsi="宋体" w:cs="宋体"/>
                <w:b/>
                <w:color w:val="auto"/>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2593" w:hRule="atLeast"/>
          <w:jc w:val="center"/>
        </w:trPr>
        <w:tc>
          <w:tcPr>
            <w:tcW w:w="1555" w:type="dxa"/>
            <w:vMerge w:val="restart"/>
            <w:tcBorders>
              <w:top w:val="single" w:color="auto" w:sz="4" w:space="0"/>
              <w:left w:val="single" w:color="auto" w:sz="4" w:space="0"/>
              <w:right w:val="single" w:color="auto" w:sz="4" w:space="0"/>
            </w:tcBorders>
            <w:vAlign w:val="center"/>
          </w:tcPr>
          <w:p>
            <w:pPr>
              <w:shd w:val="clear"/>
              <w:spacing w:line="300" w:lineRule="exact"/>
              <w:ind w:firstLine="0" w:firstLineChars="0"/>
              <w:jc w:val="center"/>
              <w:rPr>
                <w:rFonts w:hAnsi="宋体" w:cs="宋体"/>
                <w:color w:val="auto"/>
                <w:sz w:val="21"/>
                <w:szCs w:val="21"/>
              </w:rPr>
            </w:pPr>
            <w:r>
              <w:rPr>
                <w:rFonts w:hAnsi="宋体" w:cs="宋体"/>
                <w:color w:val="auto"/>
                <w:sz w:val="21"/>
                <w:szCs w:val="21"/>
              </w:rPr>
              <w:t>2.2.4（1）</w:t>
            </w:r>
          </w:p>
        </w:tc>
        <w:tc>
          <w:tcPr>
            <w:tcW w:w="1134" w:type="dxa"/>
            <w:gridSpan w:val="2"/>
            <w:vMerge w:val="restart"/>
            <w:tcBorders>
              <w:top w:val="single" w:color="auto" w:sz="4" w:space="0"/>
              <w:left w:val="single" w:color="auto" w:sz="4" w:space="0"/>
              <w:right w:val="single" w:color="auto" w:sz="4" w:space="0"/>
            </w:tcBorders>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资信业绩评分标准（5</w:t>
            </w:r>
            <w:r>
              <w:rPr>
                <w:rFonts w:hAnsi="宋体" w:cs="宋体"/>
                <w:color w:val="auto"/>
                <w:sz w:val="21"/>
                <w:szCs w:val="21"/>
              </w:rPr>
              <w:t>0分）</w:t>
            </w:r>
          </w:p>
        </w:tc>
        <w:tc>
          <w:tcPr>
            <w:tcW w:w="1583" w:type="dxa"/>
            <w:tcBorders>
              <w:top w:val="single" w:color="auto" w:sz="4" w:space="0"/>
              <w:left w:val="single" w:color="auto" w:sz="4" w:space="0"/>
              <w:right w:val="single" w:color="auto" w:sz="4" w:space="0"/>
            </w:tcBorders>
            <w:vAlign w:val="center"/>
          </w:tcPr>
          <w:p>
            <w:pPr>
              <w:shd w:val="clear"/>
              <w:spacing w:line="312" w:lineRule="auto"/>
              <w:ind w:firstLine="0" w:firstLineChars="0"/>
              <w:rPr>
                <w:rFonts w:hAnsi="宋体" w:cs="宋体"/>
                <w:color w:val="auto"/>
                <w:sz w:val="21"/>
                <w:szCs w:val="21"/>
              </w:rPr>
            </w:pPr>
            <w:r>
              <w:rPr>
                <w:rFonts w:hint="eastAsia" w:hAnsi="宋体" w:cs="宋体"/>
                <w:color w:val="auto"/>
                <w:sz w:val="21"/>
                <w:szCs w:val="21"/>
              </w:rPr>
              <w:t>企业信誉</w:t>
            </w:r>
          </w:p>
          <w:p>
            <w:pPr>
              <w:shd w:val="clear"/>
              <w:spacing w:line="312" w:lineRule="auto"/>
              <w:ind w:firstLine="0" w:firstLineChars="0"/>
              <w:rPr>
                <w:rFonts w:hAnsi="宋体" w:cs="宋体"/>
                <w:color w:val="auto"/>
                <w:sz w:val="21"/>
                <w:szCs w:val="21"/>
              </w:rPr>
            </w:pPr>
            <w:r>
              <w:rPr>
                <w:rFonts w:hint="eastAsia" w:hAnsi="宋体" w:cs="宋体"/>
                <w:color w:val="auto"/>
                <w:sz w:val="21"/>
                <w:szCs w:val="21"/>
              </w:rPr>
              <w:t>（15分）</w:t>
            </w:r>
          </w:p>
        </w:tc>
        <w:tc>
          <w:tcPr>
            <w:tcW w:w="4873" w:type="dxa"/>
            <w:tcBorders>
              <w:top w:val="single" w:color="auto" w:sz="4" w:space="0"/>
              <w:left w:val="single" w:color="auto" w:sz="4" w:space="0"/>
              <w:right w:val="single" w:color="auto" w:sz="4" w:space="0"/>
            </w:tcBorders>
            <w:vAlign w:val="center"/>
          </w:tcPr>
          <w:p>
            <w:pPr>
              <w:shd w:val="clear"/>
              <w:spacing w:line="312" w:lineRule="auto"/>
              <w:ind w:firstLine="0" w:firstLineChars="0"/>
              <w:jc w:val="left"/>
              <w:rPr>
                <w:rFonts w:hAnsi="宋体"/>
                <w:color w:val="auto"/>
                <w:sz w:val="21"/>
                <w:szCs w:val="21"/>
              </w:rPr>
            </w:pPr>
            <w:r>
              <w:rPr>
                <w:rFonts w:hint="eastAsia" w:hAnsi="宋体" w:cs="宋体"/>
                <w:color w:val="auto"/>
                <w:sz w:val="21"/>
                <w:szCs w:val="21"/>
              </w:rPr>
              <w:t>（1）</w:t>
            </w:r>
            <w:r>
              <w:rPr>
                <w:rFonts w:hint="eastAsia" w:hAnsi="宋体"/>
                <w:color w:val="auto"/>
                <w:sz w:val="21"/>
                <w:szCs w:val="21"/>
              </w:rPr>
              <w:t>获得环境管理体系认证、职业健康安全管理体系认证、质量管理体系认证、信息安全管理体系认证、知识产权管理体系认证。证书须在有效期内，全部满足的得5分，满足其中四项的得3分，满足其中三项的得1分，其它不得分。本项最高得5分。</w:t>
            </w:r>
          </w:p>
          <w:p>
            <w:pPr>
              <w:shd w:val="clear"/>
              <w:spacing w:line="312" w:lineRule="auto"/>
              <w:ind w:firstLine="0" w:firstLineChars="0"/>
              <w:jc w:val="left"/>
              <w:rPr>
                <w:rFonts w:hAnsi="宋体" w:cs="宋体"/>
                <w:color w:val="auto"/>
                <w:sz w:val="21"/>
                <w:szCs w:val="21"/>
              </w:rPr>
            </w:pPr>
            <w:r>
              <w:rPr>
                <w:rFonts w:hint="eastAsia"/>
                <w:color w:val="auto"/>
                <w:kern w:val="2"/>
                <w:sz w:val="21"/>
                <w:szCs w:val="21"/>
              </w:rPr>
              <w:t>（2）2019年1月1日至今，投标人被税务部门评为纳税信用A级纳税人次数为三次或以上的，得</w:t>
            </w:r>
            <w:r>
              <w:rPr>
                <w:color w:val="auto"/>
                <w:kern w:val="2"/>
                <w:sz w:val="21"/>
                <w:szCs w:val="21"/>
              </w:rPr>
              <w:t>3</w:t>
            </w:r>
            <w:r>
              <w:rPr>
                <w:rFonts w:hint="eastAsia"/>
                <w:color w:val="auto"/>
                <w:kern w:val="2"/>
                <w:sz w:val="21"/>
                <w:szCs w:val="21"/>
              </w:rPr>
              <w:t>分；次数为二次的，得</w:t>
            </w:r>
            <w:r>
              <w:rPr>
                <w:color w:val="auto"/>
                <w:kern w:val="2"/>
                <w:sz w:val="21"/>
                <w:szCs w:val="21"/>
              </w:rPr>
              <w:t>2</w:t>
            </w:r>
            <w:r>
              <w:rPr>
                <w:rFonts w:hint="eastAsia"/>
                <w:color w:val="auto"/>
                <w:kern w:val="2"/>
                <w:sz w:val="21"/>
                <w:szCs w:val="21"/>
              </w:rPr>
              <w:t>分；次数为一次的，得</w:t>
            </w:r>
            <w:r>
              <w:rPr>
                <w:color w:val="auto"/>
                <w:kern w:val="2"/>
                <w:sz w:val="21"/>
                <w:szCs w:val="21"/>
              </w:rPr>
              <w:t>1</w:t>
            </w:r>
            <w:r>
              <w:rPr>
                <w:rFonts w:hint="eastAsia"/>
                <w:color w:val="auto"/>
                <w:kern w:val="2"/>
                <w:sz w:val="21"/>
                <w:szCs w:val="21"/>
              </w:rPr>
              <w:t>分；没有的不得分。本项最高得</w:t>
            </w:r>
            <w:r>
              <w:rPr>
                <w:color w:val="auto"/>
                <w:sz w:val="21"/>
                <w:szCs w:val="21"/>
              </w:rPr>
              <w:t>3</w:t>
            </w:r>
            <w:r>
              <w:rPr>
                <w:rFonts w:hint="eastAsia"/>
                <w:color w:val="auto"/>
                <w:kern w:val="2"/>
                <w:sz w:val="21"/>
                <w:szCs w:val="21"/>
              </w:rPr>
              <w:t>分。</w:t>
            </w:r>
          </w:p>
          <w:p>
            <w:pPr>
              <w:pStyle w:val="29"/>
              <w:shd w:val="clear" w:color="auto"/>
              <w:spacing w:line="312" w:lineRule="auto"/>
              <w:ind w:firstLine="0" w:firstLineChars="0"/>
              <w:jc w:val="both"/>
              <w:rPr>
                <w:color w:val="auto"/>
                <w:sz w:val="21"/>
                <w:szCs w:val="21"/>
              </w:rPr>
            </w:pPr>
            <w:r>
              <w:rPr>
                <w:rFonts w:hint="eastAsia"/>
                <w:color w:val="auto"/>
                <w:sz w:val="21"/>
                <w:szCs w:val="21"/>
              </w:rPr>
              <w:t>（3）投标人获得过省级或以上科学技术类奖项的，得</w:t>
            </w:r>
            <w:r>
              <w:rPr>
                <w:color w:val="auto"/>
                <w:sz w:val="21"/>
                <w:szCs w:val="21"/>
              </w:rPr>
              <w:t>4</w:t>
            </w:r>
            <w:r>
              <w:rPr>
                <w:rFonts w:hint="eastAsia"/>
                <w:color w:val="auto"/>
                <w:sz w:val="21"/>
                <w:szCs w:val="21"/>
              </w:rPr>
              <w:t>分；获得过市级（含副省级）科学技术类奖项的，得</w:t>
            </w:r>
            <w:r>
              <w:rPr>
                <w:color w:val="auto"/>
                <w:sz w:val="21"/>
                <w:szCs w:val="21"/>
              </w:rPr>
              <w:t>2</w:t>
            </w:r>
            <w:r>
              <w:rPr>
                <w:rFonts w:hint="eastAsia"/>
                <w:color w:val="auto"/>
                <w:sz w:val="21"/>
                <w:szCs w:val="21"/>
              </w:rPr>
              <w:t>分。本项按投标人提供的最高等级奖项计分，不累计加分，最多得</w:t>
            </w:r>
            <w:r>
              <w:rPr>
                <w:color w:val="auto"/>
                <w:sz w:val="21"/>
                <w:szCs w:val="21"/>
              </w:rPr>
              <w:t>4</w:t>
            </w:r>
            <w:r>
              <w:rPr>
                <w:rFonts w:hint="eastAsia"/>
                <w:color w:val="auto"/>
                <w:sz w:val="21"/>
                <w:szCs w:val="21"/>
              </w:rPr>
              <w:t>分。</w:t>
            </w:r>
          </w:p>
          <w:p>
            <w:pPr>
              <w:pStyle w:val="29"/>
              <w:shd w:val="clear" w:color="auto"/>
              <w:spacing w:line="312" w:lineRule="auto"/>
              <w:ind w:firstLine="0" w:firstLineChars="0"/>
              <w:jc w:val="both"/>
              <w:rPr>
                <w:color w:val="auto"/>
                <w:sz w:val="21"/>
                <w:szCs w:val="21"/>
              </w:rPr>
            </w:pPr>
            <w:r>
              <w:rPr>
                <w:rFonts w:hint="eastAsia"/>
                <w:color w:val="auto"/>
                <w:sz w:val="21"/>
                <w:szCs w:val="21"/>
              </w:rPr>
              <w:t>（4）投标人获得</w:t>
            </w:r>
            <w:r>
              <w:rPr>
                <w:rFonts w:hint="eastAsia"/>
                <w:color w:val="auto"/>
                <w:sz w:val="21"/>
                <w:szCs w:val="21"/>
                <w:lang w:val="en-US" w:eastAsia="zh-CN"/>
              </w:rPr>
              <w:t>过</w:t>
            </w:r>
            <w:r>
              <w:rPr>
                <w:rFonts w:hint="eastAsia"/>
                <w:color w:val="auto"/>
                <w:sz w:val="21"/>
                <w:szCs w:val="21"/>
              </w:rPr>
              <w:t>高新技术企业的得3分，最多得3分，证书须在有效期内。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776" w:hRule="atLeast"/>
          <w:jc w:val="center"/>
        </w:trPr>
        <w:tc>
          <w:tcPr>
            <w:tcW w:w="1555" w:type="dxa"/>
            <w:vMerge w:val="continue"/>
            <w:tcBorders>
              <w:left w:val="single" w:color="auto" w:sz="4" w:space="0"/>
              <w:right w:val="single" w:color="auto" w:sz="4" w:space="0"/>
            </w:tcBorders>
            <w:vAlign w:val="center"/>
          </w:tcPr>
          <w:p>
            <w:pPr>
              <w:shd w:val="clear"/>
              <w:spacing w:line="300" w:lineRule="exact"/>
              <w:ind w:firstLine="420"/>
              <w:jc w:val="left"/>
              <w:rPr>
                <w:rFonts w:hAnsi="宋体" w:cs="宋体"/>
                <w:color w:val="auto"/>
                <w:sz w:val="21"/>
                <w:szCs w:val="21"/>
              </w:rPr>
            </w:pPr>
          </w:p>
        </w:tc>
        <w:tc>
          <w:tcPr>
            <w:tcW w:w="1134" w:type="dxa"/>
            <w:gridSpan w:val="2"/>
            <w:vMerge w:val="continue"/>
            <w:tcBorders>
              <w:left w:val="single" w:color="auto" w:sz="4" w:space="0"/>
              <w:right w:val="single" w:color="auto" w:sz="4" w:space="0"/>
            </w:tcBorders>
            <w:vAlign w:val="center"/>
          </w:tcPr>
          <w:p>
            <w:pPr>
              <w:shd w:val="clear"/>
              <w:spacing w:line="300" w:lineRule="exact"/>
              <w:ind w:firstLine="420"/>
              <w:jc w:val="left"/>
              <w:rPr>
                <w:rFonts w:hAnsi="宋体" w:cs="宋体"/>
                <w:color w:val="auto"/>
                <w:sz w:val="21"/>
                <w:szCs w:val="21"/>
              </w:rPr>
            </w:pPr>
          </w:p>
        </w:tc>
        <w:tc>
          <w:tcPr>
            <w:tcW w:w="1583" w:type="dxa"/>
            <w:tcBorders>
              <w:top w:val="single" w:color="auto" w:sz="4" w:space="0"/>
              <w:left w:val="single" w:color="auto" w:sz="4" w:space="0"/>
              <w:right w:val="single" w:color="auto" w:sz="4" w:space="0"/>
            </w:tcBorders>
            <w:vAlign w:val="center"/>
          </w:tcPr>
          <w:p>
            <w:pPr>
              <w:shd w:val="clear"/>
              <w:snapToGrid w:val="0"/>
              <w:spacing w:line="312" w:lineRule="auto"/>
              <w:ind w:firstLine="0" w:firstLineChars="0"/>
              <w:rPr>
                <w:rFonts w:hAnsi="宋体" w:cs="宋体"/>
                <w:color w:val="auto"/>
                <w:sz w:val="21"/>
                <w:szCs w:val="21"/>
              </w:rPr>
            </w:pPr>
            <w:r>
              <w:rPr>
                <w:rFonts w:hint="eastAsia" w:hAnsi="宋体" w:cs="宋体"/>
                <w:color w:val="auto"/>
                <w:sz w:val="21"/>
                <w:szCs w:val="21"/>
              </w:rPr>
              <w:t>企业业绩及获奖（</w:t>
            </w:r>
            <w:r>
              <w:rPr>
                <w:rFonts w:hAnsi="宋体" w:cs="宋体"/>
                <w:color w:val="auto"/>
                <w:sz w:val="21"/>
                <w:szCs w:val="21"/>
              </w:rPr>
              <w:t>15</w:t>
            </w:r>
            <w:r>
              <w:rPr>
                <w:rFonts w:hint="eastAsia" w:hAnsi="宋体" w:cs="宋体"/>
                <w:color w:val="auto"/>
                <w:sz w:val="21"/>
                <w:szCs w:val="21"/>
              </w:rPr>
              <w:t>分）</w:t>
            </w:r>
          </w:p>
        </w:tc>
        <w:tc>
          <w:tcPr>
            <w:tcW w:w="4873" w:type="dxa"/>
            <w:tcBorders>
              <w:top w:val="single" w:color="auto" w:sz="4" w:space="0"/>
              <w:left w:val="single" w:color="auto" w:sz="4" w:space="0"/>
              <w:right w:val="single" w:color="auto" w:sz="4" w:space="0"/>
            </w:tcBorders>
            <w:vAlign w:val="center"/>
          </w:tcPr>
          <w:p>
            <w:pPr>
              <w:shd w:val="clear"/>
              <w:snapToGrid w:val="0"/>
              <w:spacing w:line="312" w:lineRule="auto"/>
              <w:ind w:firstLine="0" w:firstLineChars="0"/>
              <w:jc w:val="left"/>
              <w:rPr>
                <w:rFonts w:hAnsi="宋体"/>
                <w:color w:val="auto"/>
                <w:sz w:val="21"/>
                <w:szCs w:val="21"/>
              </w:rPr>
            </w:pPr>
            <w:r>
              <w:rPr>
                <w:rFonts w:hint="eastAsia" w:hAnsi="宋体"/>
                <w:color w:val="auto"/>
                <w:sz w:val="21"/>
                <w:szCs w:val="21"/>
              </w:rPr>
              <w:t>（1）2019年1月1日至今，投标人承接过投资额</w:t>
            </w:r>
            <w:r>
              <w:rPr>
                <w:rFonts w:hAnsi="宋体"/>
                <w:color w:val="auto"/>
                <w:sz w:val="21"/>
                <w:szCs w:val="21"/>
              </w:rPr>
              <w:t>5000</w:t>
            </w:r>
            <w:r>
              <w:rPr>
                <w:rFonts w:hint="eastAsia" w:hAnsi="宋体"/>
                <w:color w:val="auto"/>
                <w:sz w:val="21"/>
                <w:szCs w:val="21"/>
              </w:rPr>
              <w:t>万元及以上的房屋建筑工程全过程工程咨询（必须包含项目管理和工程监理）服务项目业绩，每提供一个得</w:t>
            </w:r>
            <w:r>
              <w:rPr>
                <w:rFonts w:hAnsi="宋体"/>
                <w:color w:val="auto"/>
                <w:sz w:val="21"/>
                <w:szCs w:val="21"/>
              </w:rPr>
              <w:t>2</w:t>
            </w:r>
            <w:r>
              <w:rPr>
                <w:rFonts w:hint="eastAsia" w:hAnsi="宋体"/>
                <w:color w:val="auto"/>
                <w:sz w:val="21"/>
                <w:szCs w:val="21"/>
              </w:rPr>
              <w:t>分，最多得</w:t>
            </w:r>
            <w:r>
              <w:rPr>
                <w:rFonts w:hAnsi="宋体"/>
                <w:color w:val="auto"/>
                <w:sz w:val="21"/>
                <w:szCs w:val="21"/>
              </w:rPr>
              <w:t>10</w:t>
            </w:r>
            <w:r>
              <w:rPr>
                <w:rFonts w:hint="eastAsia" w:hAnsi="宋体"/>
                <w:color w:val="auto"/>
                <w:sz w:val="21"/>
                <w:szCs w:val="21"/>
              </w:rPr>
              <w:t>分；</w:t>
            </w:r>
          </w:p>
          <w:p>
            <w:pPr>
              <w:shd w:val="clear"/>
              <w:snapToGrid w:val="0"/>
              <w:spacing w:line="312" w:lineRule="auto"/>
              <w:ind w:firstLine="0" w:firstLineChars="0"/>
              <w:rPr>
                <w:rFonts w:hAnsi="宋体"/>
                <w:color w:val="auto"/>
                <w:sz w:val="21"/>
                <w:szCs w:val="21"/>
              </w:rPr>
            </w:pPr>
            <w:r>
              <w:rPr>
                <w:rFonts w:hint="eastAsia" w:hAnsi="宋体"/>
                <w:color w:val="auto"/>
                <w:sz w:val="21"/>
                <w:szCs w:val="21"/>
              </w:rPr>
              <w:t>（2）2019年1月1日至今承接的房屋建筑工程获得国家级</w:t>
            </w:r>
            <w:r>
              <w:rPr>
                <w:rFonts w:hint="eastAsia"/>
                <w:color w:val="auto"/>
                <w:sz w:val="21"/>
                <w:szCs w:val="21"/>
              </w:rPr>
              <w:t>工程质量</w:t>
            </w:r>
            <w:r>
              <w:rPr>
                <w:rFonts w:hint="eastAsia" w:hAnsi="宋体"/>
                <w:color w:val="auto"/>
                <w:sz w:val="21"/>
                <w:szCs w:val="21"/>
              </w:rPr>
              <w:t>奖项每项2分；获得省级工程质量奖项每项得1分；获得市级（含副省级）</w:t>
            </w:r>
            <w:r>
              <w:rPr>
                <w:rFonts w:hint="eastAsia"/>
                <w:color w:val="auto"/>
                <w:sz w:val="21"/>
                <w:szCs w:val="21"/>
              </w:rPr>
              <w:t>工程质量</w:t>
            </w:r>
            <w:r>
              <w:rPr>
                <w:rFonts w:hint="eastAsia" w:hAnsi="宋体"/>
                <w:color w:val="auto"/>
                <w:sz w:val="21"/>
                <w:szCs w:val="21"/>
              </w:rPr>
              <w:t>奖项每项得0.5分。本项最多得5分。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699" w:hRule="atLeast"/>
          <w:jc w:val="center"/>
        </w:trPr>
        <w:tc>
          <w:tcPr>
            <w:tcW w:w="1555" w:type="dxa"/>
            <w:vMerge w:val="continue"/>
            <w:tcBorders>
              <w:left w:val="single" w:color="auto" w:sz="4" w:space="0"/>
              <w:right w:val="single" w:color="auto" w:sz="4" w:space="0"/>
            </w:tcBorders>
            <w:vAlign w:val="center"/>
          </w:tcPr>
          <w:p>
            <w:pPr>
              <w:shd w:val="clear"/>
              <w:spacing w:line="300" w:lineRule="exact"/>
              <w:ind w:firstLine="420"/>
              <w:jc w:val="left"/>
              <w:rPr>
                <w:rFonts w:hAnsi="宋体" w:cs="宋体"/>
                <w:color w:val="auto"/>
                <w:sz w:val="21"/>
                <w:szCs w:val="21"/>
              </w:rPr>
            </w:pPr>
          </w:p>
        </w:tc>
        <w:tc>
          <w:tcPr>
            <w:tcW w:w="1134" w:type="dxa"/>
            <w:gridSpan w:val="2"/>
            <w:vMerge w:val="continue"/>
            <w:tcBorders>
              <w:left w:val="single" w:color="auto" w:sz="4" w:space="0"/>
              <w:right w:val="single" w:color="auto" w:sz="4" w:space="0"/>
            </w:tcBorders>
            <w:vAlign w:val="center"/>
          </w:tcPr>
          <w:p>
            <w:pPr>
              <w:shd w:val="clear"/>
              <w:spacing w:line="300" w:lineRule="exact"/>
              <w:ind w:firstLine="420"/>
              <w:jc w:val="left"/>
              <w:rPr>
                <w:rFonts w:hAnsi="宋体" w:cs="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vAlign w:val="center"/>
          </w:tcPr>
          <w:p>
            <w:pPr>
              <w:shd w:val="clear"/>
              <w:snapToGrid w:val="0"/>
              <w:spacing w:line="312" w:lineRule="auto"/>
              <w:ind w:firstLine="0" w:firstLineChars="0"/>
              <w:rPr>
                <w:rFonts w:hAnsi="宋体" w:cs="宋体"/>
                <w:color w:val="auto"/>
                <w:sz w:val="21"/>
                <w:szCs w:val="21"/>
              </w:rPr>
            </w:pPr>
            <w:r>
              <w:rPr>
                <w:rFonts w:hint="eastAsia" w:hAnsi="宋体" w:cs="宋体"/>
                <w:color w:val="auto"/>
                <w:sz w:val="21"/>
                <w:szCs w:val="21"/>
              </w:rPr>
              <w:t>总监理工程师资历（</w:t>
            </w:r>
            <w:r>
              <w:rPr>
                <w:rFonts w:hAnsi="宋体" w:cs="宋体"/>
                <w:color w:val="auto"/>
                <w:sz w:val="21"/>
                <w:szCs w:val="21"/>
              </w:rPr>
              <w:t>8</w:t>
            </w:r>
            <w:r>
              <w:rPr>
                <w:rFonts w:hint="eastAsia" w:hAnsi="宋体" w:cs="宋体"/>
                <w:color w:val="auto"/>
                <w:sz w:val="21"/>
                <w:szCs w:val="21"/>
              </w:rPr>
              <w:t>分）</w:t>
            </w:r>
          </w:p>
        </w:tc>
        <w:tc>
          <w:tcPr>
            <w:tcW w:w="4873" w:type="dxa"/>
            <w:tcBorders>
              <w:top w:val="single" w:color="auto" w:sz="4" w:space="0"/>
              <w:left w:val="single" w:color="auto" w:sz="4" w:space="0"/>
              <w:bottom w:val="single" w:color="auto" w:sz="4" w:space="0"/>
              <w:right w:val="single" w:color="auto" w:sz="4" w:space="0"/>
            </w:tcBorders>
            <w:vAlign w:val="center"/>
          </w:tcPr>
          <w:p>
            <w:pPr>
              <w:shd w:val="clear"/>
              <w:snapToGrid w:val="0"/>
              <w:spacing w:line="312" w:lineRule="auto"/>
              <w:ind w:firstLine="0" w:firstLineChars="0"/>
              <w:jc w:val="left"/>
              <w:rPr>
                <w:rFonts w:hAnsi="宋体"/>
                <w:color w:val="auto"/>
                <w:sz w:val="21"/>
                <w:szCs w:val="21"/>
              </w:rPr>
            </w:pPr>
            <w:r>
              <w:rPr>
                <w:rFonts w:hint="eastAsia" w:hAnsi="宋体"/>
                <w:color w:val="auto"/>
                <w:sz w:val="21"/>
                <w:szCs w:val="21"/>
              </w:rPr>
              <w:t>（1）具有10年（不含）以上工作经验的得</w:t>
            </w:r>
            <w:r>
              <w:rPr>
                <w:rFonts w:hAnsi="宋体"/>
                <w:color w:val="auto"/>
                <w:sz w:val="21"/>
                <w:szCs w:val="21"/>
              </w:rPr>
              <w:t>4</w:t>
            </w:r>
            <w:r>
              <w:rPr>
                <w:rFonts w:hint="eastAsia" w:hAnsi="宋体"/>
                <w:color w:val="auto"/>
                <w:sz w:val="21"/>
                <w:szCs w:val="21"/>
              </w:rPr>
              <w:t>分；具有10年（含）以下工作经验的得</w:t>
            </w:r>
            <w:r>
              <w:rPr>
                <w:rFonts w:hAnsi="宋体"/>
                <w:color w:val="auto"/>
                <w:sz w:val="21"/>
                <w:szCs w:val="21"/>
              </w:rPr>
              <w:t>2</w:t>
            </w:r>
            <w:r>
              <w:rPr>
                <w:rFonts w:hint="eastAsia" w:hAnsi="宋体"/>
                <w:color w:val="auto"/>
                <w:sz w:val="21"/>
                <w:szCs w:val="21"/>
              </w:rPr>
              <w:t>分。</w:t>
            </w:r>
          </w:p>
          <w:p>
            <w:pPr>
              <w:shd w:val="clear"/>
              <w:snapToGrid w:val="0"/>
              <w:spacing w:line="312" w:lineRule="auto"/>
              <w:ind w:firstLine="0" w:firstLineChars="0"/>
              <w:jc w:val="left"/>
              <w:rPr>
                <w:rFonts w:hAnsi="宋体"/>
                <w:color w:val="auto"/>
                <w:sz w:val="21"/>
                <w:szCs w:val="21"/>
              </w:rPr>
            </w:pPr>
            <w:r>
              <w:rPr>
                <w:rFonts w:hint="eastAsia" w:hAnsi="宋体"/>
                <w:color w:val="auto"/>
                <w:sz w:val="21"/>
                <w:szCs w:val="21"/>
              </w:rPr>
              <w:t>注：工作经验以大学本科或以上毕业证时间开始计取。</w:t>
            </w:r>
          </w:p>
          <w:p>
            <w:pPr>
              <w:shd w:val="clear"/>
              <w:snapToGrid w:val="0"/>
              <w:spacing w:line="312" w:lineRule="auto"/>
              <w:ind w:firstLine="0" w:firstLineChars="0"/>
              <w:jc w:val="left"/>
              <w:rPr>
                <w:rFonts w:hAnsi="宋体"/>
                <w:color w:val="auto"/>
                <w:sz w:val="21"/>
                <w:szCs w:val="21"/>
              </w:rPr>
            </w:pPr>
            <w:r>
              <w:rPr>
                <w:rFonts w:hint="eastAsia" w:hAnsi="宋体"/>
                <w:color w:val="auto"/>
                <w:sz w:val="21"/>
                <w:szCs w:val="21"/>
              </w:rPr>
              <w:t>（2）具备一级注册建造师（建筑工程专业）或一级注册建筑师或一级注册造价工程师（或注册造价工程师）的得4分。</w:t>
            </w:r>
          </w:p>
          <w:p>
            <w:pPr>
              <w:shd w:val="clear"/>
              <w:snapToGrid w:val="0"/>
              <w:spacing w:line="312" w:lineRule="auto"/>
              <w:ind w:firstLine="0" w:firstLineChars="0"/>
              <w:jc w:val="left"/>
              <w:rPr>
                <w:rFonts w:hAnsi="宋体"/>
                <w:color w:val="auto"/>
                <w:sz w:val="21"/>
                <w:szCs w:val="21"/>
              </w:rPr>
            </w:pPr>
            <w:r>
              <w:rPr>
                <w:rFonts w:hint="eastAsia" w:hAnsi="宋体"/>
                <w:color w:val="auto"/>
                <w:sz w:val="21"/>
                <w:szCs w:val="21"/>
              </w:rPr>
              <w:t>本项最多得8分。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1074" w:hRule="atLeast"/>
          <w:jc w:val="center"/>
        </w:trPr>
        <w:tc>
          <w:tcPr>
            <w:tcW w:w="1555" w:type="dxa"/>
            <w:vMerge w:val="continue"/>
            <w:tcBorders>
              <w:left w:val="single" w:color="auto" w:sz="4" w:space="0"/>
              <w:bottom w:val="single" w:color="auto" w:sz="4" w:space="0"/>
              <w:right w:val="single" w:color="auto" w:sz="4" w:space="0"/>
            </w:tcBorders>
            <w:vAlign w:val="center"/>
          </w:tcPr>
          <w:p>
            <w:pPr>
              <w:shd w:val="clear"/>
              <w:spacing w:line="300" w:lineRule="exact"/>
              <w:ind w:firstLine="420"/>
              <w:jc w:val="left"/>
              <w:rPr>
                <w:rFonts w:hAnsi="宋体" w:cs="宋体"/>
                <w:color w:val="auto"/>
                <w:sz w:val="21"/>
                <w:szCs w:val="21"/>
              </w:rPr>
            </w:pPr>
          </w:p>
        </w:tc>
        <w:tc>
          <w:tcPr>
            <w:tcW w:w="1134" w:type="dxa"/>
            <w:gridSpan w:val="2"/>
            <w:vMerge w:val="continue"/>
            <w:tcBorders>
              <w:left w:val="single" w:color="auto" w:sz="4" w:space="0"/>
              <w:bottom w:val="single" w:color="auto" w:sz="4" w:space="0"/>
              <w:right w:val="single" w:color="auto" w:sz="4" w:space="0"/>
            </w:tcBorders>
            <w:vAlign w:val="center"/>
          </w:tcPr>
          <w:p>
            <w:pPr>
              <w:shd w:val="clear"/>
              <w:spacing w:line="300" w:lineRule="exact"/>
              <w:ind w:firstLine="420"/>
              <w:jc w:val="left"/>
              <w:rPr>
                <w:rFonts w:hAnsi="宋体" w:cs="宋体"/>
                <w:color w:val="auto"/>
                <w:sz w:val="21"/>
                <w:szCs w:val="21"/>
              </w:rPr>
            </w:pPr>
          </w:p>
        </w:tc>
        <w:tc>
          <w:tcPr>
            <w:tcW w:w="1583" w:type="dxa"/>
            <w:tcBorders>
              <w:top w:val="single" w:color="auto" w:sz="4" w:space="0"/>
              <w:left w:val="single" w:color="auto" w:sz="4" w:space="0"/>
              <w:bottom w:val="single" w:color="auto" w:sz="4" w:space="0"/>
              <w:right w:val="single" w:color="auto" w:sz="4" w:space="0"/>
            </w:tcBorders>
            <w:vAlign w:val="center"/>
          </w:tcPr>
          <w:p>
            <w:pPr>
              <w:shd w:val="clear"/>
              <w:snapToGrid w:val="0"/>
              <w:spacing w:line="312" w:lineRule="auto"/>
              <w:ind w:firstLine="0" w:firstLineChars="0"/>
              <w:rPr>
                <w:rFonts w:hAnsi="宋体" w:cs="宋体"/>
                <w:color w:val="auto"/>
                <w:sz w:val="21"/>
                <w:szCs w:val="21"/>
              </w:rPr>
            </w:pPr>
            <w:r>
              <w:rPr>
                <w:rFonts w:hint="eastAsia" w:hAnsi="宋体" w:cs="宋体"/>
                <w:color w:val="auto"/>
                <w:sz w:val="21"/>
                <w:szCs w:val="21"/>
              </w:rPr>
              <w:t>其他主要人员资历（</w:t>
            </w:r>
            <w:r>
              <w:rPr>
                <w:rFonts w:hAnsi="宋体" w:cs="宋体"/>
                <w:color w:val="auto"/>
                <w:sz w:val="21"/>
                <w:szCs w:val="21"/>
              </w:rPr>
              <w:t>12</w:t>
            </w:r>
            <w:r>
              <w:rPr>
                <w:rFonts w:hint="eastAsia" w:hAnsi="宋体" w:cs="宋体"/>
                <w:color w:val="auto"/>
                <w:sz w:val="21"/>
                <w:szCs w:val="21"/>
              </w:rPr>
              <w:t>分）</w:t>
            </w:r>
          </w:p>
        </w:tc>
        <w:tc>
          <w:tcPr>
            <w:tcW w:w="4873" w:type="dxa"/>
            <w:tcBorders>
              <w:top w:val="single" w:color="auto" w:sz="4" w:space="0"/>
              <w:left w:val="single" w:color="auto" w:sz="4" w:space="0"/>
              <w:bottom w:val="single" w:color="auto" w:sz="4" w:space="0"/>
              <w:right w:val="single" w:color="auto" w:sz="4" w:space="0"/>
            </w:tcBorders>
            <w:vAlign w:val="center"/>
          </w:tcPr>
          <w:p>
            <w:pPr>
              <w:shd w:val="clear"/>
              <w:snapToGrid w:val="0"/>
              <w:spacing w:line="312" w:lineRule="auto"/>
              <w:ind w:firstLine="0" w:firstLineChars="0"/>
              <w:jc w:val="left"/>
              <w:rPr>
                <w:rFonts w:hAnsi="宋体" w:cs="宋体"/>
                <w:color w:val="auto"/>
                <w:sz w:val="21"/>
                <w:szCs w:val="21"/>
              </w:rPr>
            </w:pPr>
            <w:r>
              <w:rPr>
                <w:rFonts w:hint="eastAsia" w:hAnsi="宋体" w:cs="宋体"/>
                <w:color w:val="auto"/>
                <w:sz w:val="21"/>
                <w:szCs w:val="21"/>
              </w:rPr>
              <w:t>其他主要人员（除项目管理负责人、总监理工程师外）均满足第五章《项目管理人员组成配备要求表》、《项目监理组成配备要求表》的要求，不满足本项得0分，其中：</w:t>
            </w:r>
          </w:p>
          <w:p>
            <w:pPr>
              <w:shd w:val="clear"/>
              <w:snapToGrid w:val="0"/>
              <w:spacing w:line="312" w:lineRule="auto"/>
              <w:ind w:firstLine="0" w:firstLineChars="0"/>
              <w:jc w:val="left"/>
              <w:rPr>
                <w:rFonts w:hAnsi="宋体" w:cs="宋体"/>
                <w:color w:val="auto"/>
                <w:sz w:val="21"/>
                <w:szCs w:val="21"/>
              </w:rPr>
            </w:pPr>
            <w:r>
              <w:rPr>
                <w:rFonts w:hint="eastAsia"/>
                <w:color w:val="auto"/>
                <w:sz w:val="21"/>
                <w:szCs w:val="21"/>
              </w:rPr>
              <w:t>（1）项目管理人员：</w:t>
            </w:r>
            <w:r>
              <w:rPr>
                <w:rFonts w:hint="eastAsia" w:hAnsi="宋体"/>
                <w:color w:val="auto"/>
                <w:sz w:val="21"/>
                <w:szCs w:val="21"/>
              </w:rPr>
              <w:t>高级专业技术职称人员大于或等于1人、注册造价工程师土建和安装专业均大于或等于1人、注册监理工程师大于或等于1人、一级注册建造师大于或等于1人、一级注册建筑师大于或等于1人，全部满足上述条件的得</w:t>
            </w:r>
            <w:r>
              <w:rPr>
                <w:rFonts w:hAnsi="宋体"/>
                <w:color w:val="auto"/>
                <w:sz w:val="21"/>
                <w:szCs w:val="21"/>
              </w:rPr>
              <w:t>10</w:t>
            </w:r>
            <w:r>
              <w:rPr>
                <w:rFonts w:hint="eastAsia" w:hAnsi="宋体"/>
                <w:color w:val="auto"/>
                <w:sz w:val="21"/>
                <w:szCs w:val="21"/>
              </w:rPr>
              <w:t>分，其中1人不满足扣</w:t>
            </w:r>
            <w:r>
              <w:rPr>
                <w:rFonts w:hAnsi="宋体"/>
                <w:color w:val="auto"/>
                <w:sz w:val="21"/>
                <w:szCs w:val="21"/>
              </w:rPr>
              <w:t>4</w:t>
            </w:r>
            <w:r>
              <w:rPr>
                <w:rFonts w:hint="eastAsia" w:hAnsi="宋体"/>
                <w:color w:val="auto"/>
                <w:sz w:val="21"/>
                <w:szCs w:val="21"/>
              </w:rPr>
              <w:t>分，最多扣至0分（同一人具有多个证书的，不重复计分）。</w:t>
            </w:r>
          </w:p>
          <w:p>
            <w:pPr>
              <w:shd w:val="clear"/>
              <w:snapToGrid w:val="0"/>
              <w:spacing w:line="312" w:lineRule="auto"/>
              <w:ind w:firstLine="0" w:firstLineChars="0"/>
              <w:jc w:val="left"/>
              <w:rPr>
                <w:rFonts w:hAnsi="宋体" w:cs="宋体"/>
                <w:color w:val="auto"/>
                <w:sz w:val="21"/>
                <w:szCs w:val="21"/>
              </w:rPr>
            </w:pPr>
            <w:r>
              <w:rPr>
                <w:rFonts w:hint="eastAsia" w:hAnsi="宋体" w:cs="宋体"/>
                <w:color w:val="auto"/>
                <w:sz w:val="21"/>
                <w:szCs w:val="21"/>
              </w:rPr>
              <w:t>（2）工程监理人员：拟派的专职安全工程师持有注册安全工程师执业资格证书的，得</w:t>
            </w:r>
            <w:r>
              <w:rPr>
                <w:rFonts w:hAnsi="宋体" w:cs="宋体"/>
                <w:color w:val="auto"/>
                <w:sz w:val="21"/>
                <w:szCs w:val="21"/>
              </w:rPr>
              <w:t>2</w:t>
            </w:r>
            <w:r>
              <w:rPr>
                <w:rFonts w:hint="eastAsia" w:hAnsi="宋体" w:cs="宋体"/>
                <w:color w:val="auto"/>
                <w:sz w:val="21"/>
                <w:szCs w:val="21"/>
              </w:rPr>
              <w:t>分；其他不得分。</w:t>
            </w:r>
          </w:p>
          <w:p>
            <w:pPr>
              <w:shd w:val="clear"/>
              <w:snapToGrid w:val="0"/>
              <w:spacing w:line="312" w:lineRule="auto"/>
              <w:ind w:firstLine="0" w:firstLineChars="0"/>
              <w:jc w:val="left"/>
              <w:rPr>
                <w:rFonts w:hAnsi="宋体" w:cs="宋体"/>
                <w:color w:val="auto"/>
                <w:sz w:val="21"/>
                <w:szCs w:val="21"/>
              </w:rPr>
            </w:pPr>
            <w:r>
              <w:rPr>
                <w:rFonts w:hint="eastAsia" w:hAnsi="宋体" w:cs="宋体"/>
                <w:color w:val="auto"/>
                <w:sz w:val="21"/>
                <w:szCs w:val="21"/>
              </w:rPr>
              <w:t>注：需提供执业资格证书扫描件。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2392" w:hRule="atLeast"/>
          <w:jc w:val="center"/>
        </w:trPr>
        <w:tc>
          <w:tcPr>
            <w:tcW w:w="1555" w:type="dxa"/>
            <w:vMerge w:val="restart"/>
            <w:tcBorders>
              <w:top w:val="single" w:color="auto" w:sz="4" w:space="0"/>
              <w:left w:val="single" w:color="auto" w:sz="4" w:space="0"/>
              <w:bottom w:val="single" w:color="auto" w:sz="4" w:space="0"/>
              <w:right w:val="single" w:color="auto" w:sz="4" w:space="0"/>
            </w:tcBorders>
            <w:vAlign w:val="center"/>
          </w:tcPr>
          <w:p>
            <w:pPr>
              <w:shd w:val="clear"/>
              <w:spacing w:line="300" w:lineRule="exact"/>
              <w:ind w:firstLine="0" w:firstLineChars="0"/>
              <w:jc w:val="center"/>
              <w:rPr>
                <w:rFonts w:hAnsi="宋体" w:cs="宋体"/>
                <w:color w:val="auto"/>
                <w:sz w:val="21"/>
                <w:szCs w:val="21"/>
              </w:rPr>
            </w:pPr>
            <w:r>
              <w:rPr>
                <w:rFonts w:hAnsi="宋体" w:cs="宋体"/>
                <w:color w:val="auto"/>
                <w:sz w:val="21"/>
                <w:szCs w:val="21"/>
              </w:rPr>
              <w:t>2.2.4（2）</w:t>
            </w:r>
          </w:p>
        </w:tc>
        <w:tc>
          <w:tcPr>
            <w:tcW w:w="1134" w:type="dxa"/>
            <w:gridSpan w:val="2"/>
            <w:vMerge w:val="restart"/>
            <w:tcBorders>
              <w:top w:val="single" w:color="auto" w:sz="4" w:space="0"/>
              <w:left w:val="single" w:color="auto" w:sz="4" w:space="0"/>
              <w:bottom w:val="single" w:color="auto" w:sz="4" w:space="0"/>
              <w:right w:val="single" w:color="auto" w:sz="4" w:space="0"/>
            </w:tcBorders>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技术大纲评分标准（3</w:t>
            </w:r>
            <w:r>
              <w:rPr>
                <w:rFonts w:hAnsi="宋体" w:cs="宋体"/>
                <w:color w:val="auto"/>
                <w:sz w:val="21"/>
                <w:szCs w:val="21"/>
              </w:rPr>
              <w:t>0</w:t>
            </w:r>
            <w:r>
              <w:rPr>
                <w:rFonts w:hint="eastAsia" w:hAnsi="宋体" w:cs="宋体"/>
                <w:color w:val="auto"/>
                <w:sz w:val="21"/>
                <w:szCs w:val="21"/>
              </w:rPr>
              <w:t>分）</w:t>
            </w:r>
          </w:p>
        </w:tc>
        <w:tc>
          <w:tcPr>
            <w:tcW w:w="1583" w:type="dxa"/>
            <w:tcBorders>
              <w:top w:val="single" w:color="auto" w:sz="4" w:space="0"/>
              <w:left w:val="single" w:color="auto" w:sz="4" w:space="0"/>
              <w:right w:val="single" w:color="auto" w:sz="4" w:space="0"/>
            </w:tcBorders>
            <w:vAlign w:val="center"/>
          </w:tcPr>
          <w:p>
            <w:pPr>
              <w:shd w:val="clear"/>
              <w:spacing w:line="360" w:lineRule="exact"/>
              <w:ind w:firstLine="0" w:firstLineChars="0"/>
              <w:rPr>
                <w:rFonts w:hAnsi="宋体" w:cs="宋体"/>
                <w:color w:val="auto"/>
                <w:sz w:val="21"/>
                <w:szCs w:val="21"/>
              </w:rPr>
            </w:pPr>
            <w:r>
              <w:rPr>
                <w:rFonts w:hint="eastAsia" w:hAnsi="宋体"/>
                <w:color w:val="auto"/>
                <w:sz w:val="21"/>
                <w:szCs w:val="21"/>
              </w:rPr>
              <w:t>项目管理服务大纲（1</w:t>
            </w:r>
            <w:r>
              <w:rPr>
                <w:rFonts w:hAnsi="宋体"/>
                <w:color w:val="auto"/>
                <w:sz w:val="21"/>
                <w:szCs w:val="21"/>
              </w:rPr>
              <w:t>5</w:t>
            </w:r>
            <w:r>
              <w:rPr>
                <w:rFonts w:hint="eastAsia" w:hAnsi="宋体"/>
                <w:color w:val="auto"/>
                <w:sz w:val="21"/>
                <w:szCs w:val="21"/>
              </w:rPr>
              <w:t>分）</w:t>
            </w:r>
          </w:p>
        </w:tc>
        <w:tc>
          <w:tcPr>
            <w:tcW w:w="4873" w:type="dxa"/>
            <w:tcBorders>
              <w:top w:val="single" w:color="auto" w:sz="4" w:space="0"/>
              <w:left w:val="single" w:color="auto" w:sz="4" w:space="0"/>
              <w:right w:val="single" w:color="auto" w:sz="4" w:space="0"/>
            </w:tcBorders>
            <w:vAlign w:val="center"/>
          </w:tcPr>
          <w:p>
            <w:pPr>
              <w:shd w:val="clear"/>
              <w:spacing w:line="276" w:lineRule="auto"/>
              <w:ind w:firstLine="0" w:firstLineChars="0"/>
              <w:jc w:val="left"/>
              <w:rPr>
                <w:rFonts w:hAnsi="宋体"/>
                <w:color w:val="auto"/>
                <w:sz w:val="21"/>
                <w:szCs w:val="21"/>
              </w:rPr>
            </w:pPr>
            <w:r>
              <w:rPr>
                <w:rFonts w:hint="eastAsia" w:hAnsi="宋体"/>
                <w:color w:val="auto"/>
                <w:sz w:val="21"/>
                <w:szCs w:val="21"/>
              </w:rPr>
              <w:t>投标人应编制完善的项目管理服务大纲，包括以下内容：</w:t>
            </w:r>
          </w:p>
          <w:p>
            <w:pPr>
              <w:shd w:val="clear"/>
              <w:spacing w:line="276" w:lineRule="auto"/>
              <w:ind w:firstLine="0" w:firstLineChars="0"/>
              <w:jc w:val="left"/>
              <w:rPr>
                <w:rFonts w:hAnsi="宋体"/>
                <w:color w:val="auto"/>
                <w:sz w:val="21"/>
                <w:szCs w:val="21"/>
              </w:rPr>
            </w:pPr>
            <w:r>
              <w:rPr>
                <w:rFonts w:hint="eastAsia" w:hAnsi="宋体"/>
                <w:color w:val="auto"/>
                <w:sz w:val="21"/>
                <w:szCs w:val="21"/>
              </w:rPr>
              <w:t>（1）项目管理方案总体框架、思路；</w:t>
            </w:r>
          </w:p>
          <w:p>
            <w:pPr>
              <w:shd w:val="clear"/>
              <w:spacing w:line="276" w:lineRule="auto"/>
              <w:ind w:firstLine="0" w:firstLineChars="0"/>
              <w:jc w:val="left"/>
              <w:rPr>
                <w:rFonts w:hAnsi="宋体"/>
                <w:color w:val="auto"/>
                <w:sz w:val="21"/>
                <w:szCs w:val="21"/>
              </w:rPr>
            </w:pPr>
            <w:r>
              <w:rPr>
                <w:rFonts w:hint="eastAsia" w:hAnsi="宋体"/>
                <w:color w:val="auto"/>
                <w:sz w:val="21"/>
                <w:szCs w:val="21"/>
              </w:rPr>
              <w:t>（2）项目管理的工作程序和工作制度；</w:t>
            </w:r>
          </w:p>
          <w:p>
            <w:pPr>
              <w:shd w:val="clear"/>
              <w:spacing w:line="276" w:lineRule="auto"/>
              <w:ind w:right="130" w:rightChars="54" w:firstLine="0" w:firstLineChars="0"/>
              <w:jc w:val="left"/>
              <w:rPr>
                <w:rFonts w:hAnsi="宋体"/>
                <w:color w:val="auto"/>
                <w:sz w:val="21"/>
                <w:szCs w:val="21"/>
              </w:rPr>
            </w:pPr>
            <w:r>
              <w:rPr>
                <w:rFonts w:hint="eastAsia" w:hAnsi="宋体"/>
                <w:color w:val="auto"/>
                <w:sz w:val="21"/>
                <w:szCs w:val="21"/>
              </w:rPr>
              <w:t>（3）项目管理重点难点分析、合理化建议及应对不定性因素的措施；</w:t>
            </w:r>
          </w:p>
          <w:p>
            <w:pPr>
              <w:shd w:val="clear"/>
              <w:spacing w:line="276" w:lineRule="auto"/>
              <w:ind w:firstLine="0" w:firstLineChars="0"/>
              <w:jc w:val="left"/>
              <w:rPr>
                <w:rFonts w:hAnsi="宋体"/>
                <w:color w:val="auto"/>
                <w:sz w:val="21"/>
                <w:szCs w:val="21"/>
              </w:rPr>
            </w:pPr>
            <w:r>
              <w:rPr>
                <w:rFonts w:hint="eastAsia" w:hAnsi="宋体"/>
                <w:color w:val="auto"/>
                <w:sz w:val="21"/>
                <w:szCs w:val="21"/>
              </w:rPr>
              <w:t>（4）项目过程中与有关部门的协调能力；</w:t>
            </w:r>
          </w:p>
          <w:p>
            <w:pPr>
              <w:shd w:val="clear"/>
              <w:spacing w:line="276" w:lineRule="auto"/>
              <w:ind w:firstLine="0" w:firstLineChars="0"/>
              <w:jc w:val="left"/>
              <w:rPr>
                <w:rFonts w:hAnsi="宋体"/>
                <w:color w:val="auto"/>
                <w:sz w:val="21"/>
                <w:szCs w:val="21"/>
              </w:rPr>
            </w:pPr>
            <w:r>
              <w:rPr>
                <w:rFonts w:hint="eastAsia" w:hAnsi="宋体"/>
                <w:color w:val="auto"/>
                <w:sz w:val="21"/>
                <w:szCs w:val="21"/>
              </w:rPr>
              <w:t>（5）项目建设总体计划安排；</w:t>
            </w:r>
          </w:p>
          <w:p>
            <w:pPr>
              <w:shd w:val="clear"/>
              <w:spacing w:line="276" w:lineRule="auto"/>
              <w:ind w:firstLine="0" w:firstLineChars="0"/>
              <w:jc w:val="left"/>
              <w:rPr>
                <w:rFonts w:hAnsi="宋体"/>
                <w:color w:val="auto"/>
                <w:sz w:val="21"/>
                <w:szCs w:val="21"/>
              </w:rPr>
            </w:pPr>
            <w:r>
              <w:rPr>
                <w:rFonts w:hint="eastAsia" w:hAnsi="宋体"/>
                <w:color w:val="auto"/>
                <w:sz w:val="21"/>
                <w:szCs w:val="21"/>
              </w:rPr>
              <w:t>（6）项目质量管理方案和措施；</w:t>
            </w:r>
          </w:p>
          <w:p>
            <w:pPr>
              <w:shd w:val="clear"/>
              <w:spacing w:line="276" w:lineRule="auto"/>
              <w:ind w:firstLine="0" w:firstLineChars="0"/>
              <w:jc w:val="left"/>
              <w:rPr>
                <w:rFonts w:hAnsi="宋体"/>
                <w:color w:val="auto"/>
                <w:sz w:val="21"/>
                <w:szCs w:val="21"/>
              </w:rPr>
            </w:pPr>
            <w:r>
              <w:rPr>
                <w:rFonts w:hint="eastAsia" w:hAnsi="宋体"/>
                <w:color w:val="auto"/>
                <w:sz w:val="21"/>
                <w:szCs w:val="21"/>
              </w:rPr>
              <w:t>（7）项目进度管理方案和措施；</w:t>
            </w:r>
          </w:p>
          <w:p>
            <w:pPr>
              <w:shd w:val="clear"/>
              <w:spacing w:line="276" w:lineRule="auto"/>
              <w:ind w:firstLine="0" w:firstLineChars="0"/>
              <w:jc w:val="left"/>
              <w:rPr>
                <w:rFonts w:hAnsi="宋体"/>
                <w:color w:val="auto"/>
                <w:sz w:val="21"/>
                <w:szCs w:val="21"/>
              </w:rPr>
            </w:pPr>
            <w:r>
              <w:rPr>
                <w:rFonts w:hint="eastAsia" w:hAnsi="宋体"/>
                <w:color w:val="auto"/>
                <w:sz w:val="21"/>
                <w:szCs w:val="21"/>
              </w:rPr>
              <w:t>（8）项目投资管理方案和措施；</w:t>
            </w:r>
          </w:p>
          <w:p>
            <w:pPr>
              <w:shd w:val="clear"/>
              <w:spacing w:line="276" w:lineRule="auto"/>
              <w:ind w:firstLine="0" w:firstLineChars="0"/>
              <w:jc w:val="left"/>
              <w:rPr>
                <w:rFonts w:hAnsi="宋体"/>
                <w:color w:val="auto"/>
                <w:sz w:val="21"/>
                <w:szCs w:val="21"/>
              </w:rPr>
            </w:pPr>
            <w:r>
              <w:rPr>
                <w:rFonts w:hint="eastAsia" w:hAnsi="宋体"/>
                <w:color w:val="auto"/>
                <w:sz w:val="21"/>
                <w:szCs w:val="21"/>
              </w:rPr>
              <w:t>（9）项目合同、档案及信息管理方案和措施；</w:t>
            </w:r>
          </w:p>
          <w:p>
            <w:pPr>
              <w:shd w:val="clear"/>
              <w:spacing w:line="276" w:lineRule="auto"/>
              <w:ind w:firstLine="0" w:firstLineChars="0"/>
              <w:jc w:val="left"/>
              <w:rPr>
                <w:rFonts w:hAnsi="宋体"/>
                <w:color w:val="auto"/>
                <w:sz w:val="21"/>
                <w:szCs w:val="21"/>
              </w:rPr>
            </w:pPr>
            <w:r>
              <w:rPr>
                <w:rFonts w:hint="eastAsia" w:hAnsi="宋体"/>
                <w:color w:val="auto"/>
                <w:sz w:val="21"/>
                <w:szCs w:val="21"/>
              </w:rPr>
              <w:t>（10）项目安全文明施工管理方案和措施。</w:t>
            </w:r>
          </w:p>
          <w:p>
            <w:pPr>
              <w:shd w:val="clear"/>
              <w:spacing w:line="360" w:lineRule="exact"/>
              <w:ind w:firstLine="0" w:firstLineChars="0"/>
              <w:rPr>
                <w:rFonts w:hAnsi="宋体" w:cs="宋体"/>
                <w:color w:val="auto"/>
                <w:sz w:val="21"/>
                <w:szCs w:val="21"/>
              </w:rPr>
            </w:pPr>
            <w:r>
              <w:rPr>
                <w:rFonts w:hint="eastAsia" w:hAnsi="宋体"/>
                <w:color w:val="auto"/>
                <w:sz w:val="21"/>
                <w:szCs w:val="21"/>
              </w:rPr>
              <w:t>具有以上经评标委员会认可的管理措施的每项【优的得1</w:t>
            </w:r>
            <w:r>
              <w:rPr>
                <w:rFonts w:hAnsi="宋体"/>
                <w:color w:val="auto"/>
                <w:sz w:val="21"/>
                <w:szCs w:val="21"/>
              </w:rPr>
              <w:t>.5</w:t>
            </w:r>
            <w:r>
              <w:rPr>
                <w:rFonts w:hint="eastAsia" w:hAnsi="宋体"/>
                <w:color w:val="auto"/>
                <w:sz w:val="21"/>
                <w:szCs w:val="21"/>
              </w:rPr>
              <w:t>分，良得1分，一般得0.5分，没有不得分】，最多得1</w:t>
            </w:r>
            <w:r>
              <w:rPr>
                <w:rFonts w:hAnsi="宋体"/>
                <w:color w:val="auto"/>
                <w:sz w:val="21"/>
                <w:szCs w:val="21"/>
              </w:rPr>
              <w:t>5</w:t>
            </w:r>
            <w:r>
              <w:rPr>
                <w:rFonts w:hint="eastAsia" w:hAnsi="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3760"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shd w:val="clear"/>
              <w:spacing w:line="300" w:lineRule="exact"/>
              <w:ind w:firstLine="420"/>
              <w:jc w:val="left"/>
              <w:rPr>
                <w:rFonts w:hAnsi="宋体" w:cs="宋体"/>
                <w:color w:val="auto"/>
                <w:sz w:val="21"/>
                <w:szCs w:val="21"/>
              </w:rPr>
            </w:pP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pPr>
              <w:shd w:val="clear"/>
              <w:spacing w:line="300" w:lineRule="exact"/>
              <w:ind w:firstLine="420"/>
              <w:jc w:val="left"/>
              <w:rPr>
                <w:rFonts w:hAnsi="宋体" w:cs="宋体"/>
                <w:color w:val="auto"/>
                <w:sz w:val="21"/>
                <w:szCs w:val="21"/>
              </w:rPr>
            </w:pPr>
          </w:p>
        </w:tc>
        <w:tc>
          <w:tcPr>
            <w:tcW w:w="1583" w:type="dxa"/>
            <w:tcBorders>
              <w:left w:val="single" w:color="auto" w:sz="4" w:space="0"/>
              <w:right w:val="single" w:color="auto" w:sz="4" w:space="0"/>
            </w:tcBorders>
            <w:tcMar>
              <w:top w:w="0" w:type="dxa"/>
              <w:left w:w="57" w:type="dxa"/>
              <w:bottom w:w="0" w:type="dxa"/>
              <w:right w:w="57" w:type="dxa"/>
            </w:tcMar>
            <w:vAlign w:val="center"/>
          </w:tcPr>
          <w:p>
            <w:pPr>
              <w:shd w:val="clear"/>
              <w:spacing w:line="360" w:lineRule="exact"/>
              <w:ind w:firstLine="0" w:firstLineChars="0"/>
              <w:rPr>
                <w:rFonts w:hAnsi="宋体" w:cs="宋体"/>
                <w:color w:val="auto"/>
                <w:sz w:val="21"/>
                <w:szCs w:val="21"/>
              </w:rPr>
            </w:pPr>
            <w:r>
              <w:rPr>
                <w:rFonts w:hint="eastAsia" w:hAnsi="宋体"/>
                <w:color w:val="auto"/>
                <w:sz w:val="21"/>
                <w:szCs w:val="21"/>
              </w:rPr>
              <w:t>工程监理服务大纲（1</w:t>
            </w:r>
            <w:r>
              <w:rPr>
                <w:rFonts w:hAnsi="宋体"/>
                <w:color w:val="auto"/>
                <w:sz w:val="21"/>
                <w:szCs w:val="21"/>
              </w:rPr>
              <w:t>5</w:t>
            </w:r>
            <w:r>
              <w:rPr>
                <w:rFonts w:hint="eastAsia" w:hAnsi="宋体"/>
                <w:color w:val="auto"/>
                <w:sz w:val="21"/>
                <w:szCs w:val="21"/>
              </w:rPr>
              <w:t>分）</w:t>
            </w:r>
          </w:p>
        </w:tc>
        <w:tc>
          <w:tcPr>
            <w:tcW w:w="4873" w:type="dxa"/>
            <w:tcBorders>
              <w:top w:val="single" w:color="auto" w:sz="4" w:space="0"/>
              <w:left w:val="single" w:color="auto" w:sz="4" w:space="0"/>
              <w:right w:val="single" w:color="auto" w:sz="4" w:space="0"/>
            </w:tcBorders>
            <w:tcMar>
              <w:top w:w="0" w:type="dxa"/>
              <w:left w:w="57" w:type="dxa"/>
              <w:bottom w:w="0" w:type="dxa"/>
              <w:right w:w="57" w:type="dxa"/>
            </w:tcMar>
            <w:vAlign w:val="center"/>
          </w:tcPr>
          <w:p>
            <w:pPr>
              <w:shd w:val="clear"/>
              <w:spacing w:line="276" w:lineRule="auto"/>
              <w:ind w:firstLine="0" w:firstLineChars="0"/>
              <w:jc w:val="left"/>
              <w:rPr>
                <w:rFonts w:hAnsi="宋体"/>
                <w:color w:val="auto"/>
                <w:sz w:val="21"/>
                <w:szCs w:val="21"/>
              </w:rPr>
            </w:pPr>
            <w:r>
              <w:rPr>
                <w:rFonts w:hint="eastAsia" w:hAnsi="宋体"/>
                <w:color w:val="auto"/>
                <w:sz w:val="21"/>
                <w:szCs w:val="21"/>
              </w:rPr>
              <w:t>投标人应编制完善的监理大纲，包括以下内容：</w:t>
            </w:r>
          </w:p>
          <w:p>
            <w:pPr>
              <w:shd w:val="clear"/>
              <w:spacing w:line="276" w:lineRule="auto"/>
              <w:ind w:firstLine="0" w:firstLineChars="0"/>
              <w:jc w:val="left"/>
              <w:rPr>
                <w:rFonts w:hAnsi="宋体"/>
                <w:color w:val="auto"/>
                <w:sz w:val="21"/>
                <w:szCs w:val="21"/>
              </w:rPr>
            </w:pPr>
            <w:r>
              <w:rPr>
                <w:rFonts w:hint="eastAsia" w:hAnsi="宋体"/>
                <w:color w:val="auto"/>
                <w:sz w:val="21"/>
                <w:szCs w:val="21"/>
              </w:rPr>
              <w:t>（1）监理工作程序、方法和制度；</w:t>
            </w:r>
          </w:p>
          <w:p>
            <w:pPr>
              <w:shd w:val="clear"/>
              <w:spacing w:line="276" w:lineRule="auto"/>
              <w:ind w:firstLine="0" w:firstLineChars="0"/>
              <w:jc w:val="left"/>
              <w:rPr>
                <w:rFonts w:hAnsi="宋体"/>
                <w:color w:val="auto"/>
                <w:sz w:val="21"/>
                <w:szCs w:val="21"/>
              </w:rPr>
            </w:pPr>
            <w:r>
              <w:rPr>
                <w:rFonts w:hint="eastAsia" w:hAnsi="宋体"/>
                <w:color w:val="auto"/>
                <w:sz w:val="21"/>
                <w:szCs w:val="21"/>
              </w:rPr>
              <w:t>（2）质量控制监理措施；</w:t>
            </w:r>
          </w:p>
          <w:p>
            <w:pPr>
              <w:shd w:val="clear"/>
              <w:spacing w:line="276" w:lineRule="auto"/>
              <w:ind w:firstLine="0" w:firstLineChars="0"/>
              <w:jc w:val="left"/>
              <w:rPr>
                <w:rFonts w:hAnsi="宋体"/>
                <w:color w:val="auto"/>
                <w:sz w:val="21"/>
                <w:szCs w:val="21"/>
              </w:rPr>
            </w:pPr>
            <w:r>
              <w:rPr>
                <w:rFonts w:hint="eastAsia" w:hAnsi="宋体"/>
                <w:color w:val="auto"/>
                <w:sz w:val="21"/>
                <w:szCs w:val="21"/>
              </w:rPr>
              <w:t>（3）进度控制监理措施；</w:t>
            </w:r>
          </w:p>
          <w:p>
            <w:pPr>
              <w:shd w:val="clear"/>
              <w:spacing w:line="276" w:lineRule="auto"/>
              <w:ind w:firstLine="0" w:firstLineChars="0"/>
              <w:jc w:val="left"/>
              <w:rPr>
                <w:rFonts w:hAnsi="宋体"/>
                <w:color w:val="auto"/>
                <w:sz w:val="21"/>
                <w:szCs w:val="21"/>
              </w:rPr>
            </w:pPr>
            <w:r>
              <w:rPr>
                <w:rFonts w:hint="eastAsia" w:hAnsi="宋体"/>
                <w:color w:val="auto"/>
                <w:sz w:val="21"/>
                <w:szCs w:val="21"/>
              </w:rPr>
              <w:t>（4）投资控制监理措施；</w:t>
            </w:r>
          </w:p>
          <w:p>
            <w:pPr>
              <w:shd w:val="clear"/>
              <w:spacing w:line="276" w:lineRule="auto"/>
              <w:ind w:firstLine="0" w:firstLineChars="0"/>
              <w:jc w:val="left"/>
              <w:rPr>
                <w:color w:val="auto"/>
                <w:sz w:val="21"/>
                <w:szCs w:val="21"/>
              </w:rPr>
            </w:pPr>
            <w:r>
              <w:rPr>
                <w:rFonts w:hint="eastAsia" w:hAnsi="宋体"/>
                <w:color w:val="auto"/>
                <w:sz w:val="21"/>
                <w:szCs w:val="21"/>
              </w:rPr>
              <w:t>（5）安全、环保控制监理措施；</w:t>
            </w:r>
          </w:p>
          <w:p>
            <w:pPr>
              <w:shd w:val="clear"/>
              <w:spacing w:line="276" w:lineRule="auto"/>
              <w:ind w:firstLine="0" w:firstLineChars="0"/>
              <w:jc w:val="left"/>
              <w:rPr>
                <w:rFonts w:hAnsi="宋体"/>
                <w:color w:val="auto"/>
                <w:sz w:val="21"/>
                <w:szCs w:val="21"/>
              </w:rPr>
            </w:pPr>
            <w:r>
              <w:rPr>
                <w:rFonts w:hint="eastAsia" w:hAnsi="宋体"/>
                <w:color w:val="auto"/>
                <w:sz w:val="21"/>
                <w:szCs w:val="21"/>
              </w:rPr>
              <w:t>（</w:t>
            </w:r>
            <w:r>
              <w:rPr>
                <w:rFonts w:hAnsi="宋体"/>
                <w:color w:val="auto"/>
                <w:sz w:val="21"/>
                <w:szCs w:val="21"/>
              </w:rPr>
              <w:t>6</w:t>
            </w:r>
            <w:r>
              <w:rPr>
                <w:rFonts w:hint="eastAsia" w:hAnsi="宋体"/>
                <w:color w:val="auto"/>
                <w:sz w:val="21"/>
                <w:szCs w:val="21"/>
              </w:rPr>
              <w:t xml:space="preserve">）合同、信息管理方案； </w:t>
            </w:r>
          </w:p>
          <w:p>
            <w:pPr>
              <w:shd w:val="clear"/>
              <w:spacing w:line="276" w:lineRule="auto"/>
              <w:ind w:firstLine="0" w:firstLineChars="0"/>
              <w:jc w:val="left"/>
              <w:rPr>
                <w:rFonts w:hAnsi="宋体"/>
                <w:color w:val="auto"/>
                <w:sz w:val="21"/>
                <w:szCs w:val="21"/>
              </w:rPr>
            </w:pPr>
            <w:r>
              <w:rPr>
                <w:rFonts w:hint="eastAsia" w:hAnsi="宋体"/>
                <w:color w:val="auto"/>
                <w:sz w:val="21"/>
                <w:szCs w:val="21"/>
              </w:rPr>
              <w:t>（</w:t>
            </w:r>
            <w:r>
              <w:rPr>
                <w:rFonts w:hAnsi="宋体"/>
                <w:color w:val="auto"/>
                <w:sz w:val="21"/>
                <w:szCs w:val="21"/>
              </w:rPr>
              <w:t>7</w:t>
            </w:r>
            <w:r>
              <w:rPr>
                <w:rFonts w:hint="eastAsia" w:hAnsi="宋体"/>
                <w:color w:val="auto"/>
                <w:sz w:val="21"/>
                <w:szCs w:val="21"/>
              </w:rPr>
              <w:t>）监理组织协调内容及措施；</w:t>
            </w:r>
          </w:p>
          <w:p>
            <w:pPr>
              <w:shd w:val="clear"/>
              <w:spacing w:line="276" w:lineRule="auto"/>
              <w:ind w:firstLine="0" w:firstLineChars="0"/>
              <w:jc w:val="left"/>
              <w:rPr>
                <w:rFonts w:hAnsi="宋体"/>
                <w:color w:val="auto"/>
                <w:sz w:val="21"/>
                <w:szCs w:val="21"/>
              </w:rPr>
            </w:pPr>
            <w:r>
              <w:rPr>
                <w:rFonts w:hint="eastAsia" w:hAnsi="宋体"/>
                <w:color w:val="auto"/>
                <w:sz w:val="21"/>
                <w:szCs w:val="21"/>
              </w:rPr>
              <w:t>（</w:t>
            </w:r>
            <w:r>
              <w:rPr>
                <w:rFonts w:hAnsi="宋体"/>
                <w:color w:val="auto"/>
                <w:sz w:val="21"/>
                <w:szCs w:val="21"/>
              </w:rPr>
              <w:t>8</w:t>
            </w:r>
            <w:r>
              <w:rPr>
                <w:rFonts w:hint="eastAsia" w:hAnsi="宋体"/>
                <w:color w:val="auto"/>
                <w:sz w:val="21"/>
                <w:szCs w:val="21"/>
              </w:rPr>
              <w:t>）监理工作重点、难点分析；</w:t>
            </w:r>
          </w:p>
          <w:p>
            <w:pPr>
              <w:shd w:val="clear"/>
              <w:spacing w:line="276" w:lineRule="auto"/>
              <w:ind w:firstLine="0" w:firstLineChars="0"/>
              <w:jc w:val="left"/>
              <w:rPr>
                <w:rFonts w:hAnsi="宋体"/>
                <w:color w:val="auto"/>
                <w:sz w:val="21"/>
                <w:szCs w:val="21"/>
              </w:rPr>
            </w:pPr>
            <w:r>
              <w:rPr>
                <w:rFonts w:hint="eastAsia" w:hAnsi="宋体"/>
                <w:color w:val="auto"/>
                <w:sz w:val="21"/>
                <w:szCs w:val="21"/>
              </w:rPr>
              <w:t>（</w:t>
            </w:r>
            <w:r>
              <w:rPr>
                <w:rFonts w:hAnsi="宋体"/>
                <w:color w:val="auto"/>
                <w:sz w:val="21"/>
                <w:szCs w:val="21"/>
              </w:rPr>
              <w:t>9</w:t>
            </w:r>
            <w:r>
              <w:rPr>
                <w:rFonts w:hint="eastAsia" w:hAnsi="宋体"/>
                <w:color w:val="auto"/>
                <w:sz w:val="21"/>
                <w:szCs w:val="21"/>
              </w:rPr>
              <w:t>）会议制度；</w:t>
            </w:r>
          </w:p>
          <w:p>
            <w:pPr>
              <w:shd w:val="clear"/>
              <w:spacing w:line="276" w:lineRule="auto"/>
              <w:ind w:firstLine="0" w:firstLineChars="0"/>
              <w:jc w:val="left"/>
              <w:rPr>
                <w:rFonts w:hAnsi="宋体"/>
                <w:color w:val="auto"/>
                <w:sz w:val="21"/>
                <w:szCs w:val="21"/>
              </w:rPr>
            </w:pPr>
            <w:r>
              <w:rPr>
                <w:rFonts w:hint="eastAsia" w:hAnsi="宋体"/>
                <w:color w:val="auto"/>
                <w:sz w:val="21"/>
                <w:szCs w:val="21"/>
              </w:rPr>
              <w:t>（1</w:t>
            </w:r>
            <w:r>
              <w:rPr>
                <w:rFonts w:hAnsi="宋体"/>
                <w:color w:val="auto"/>
                <w:sz w:val="21"/>
                <w:szCs w:val="21"/>
              </w:rPr>
              <w:t>0</w:t>
            </w:r>
            <w:r>
              <w:rPr>
                <w:rFonts w:hint="eastAsia" w:hAnsi="宋体"/>
                <w:color w:val="auto"/>
                <w:sz w:val="21"/>
                <w:szCs w:val="21"/>
              </w:rPr>
              <w:t>）合理化建议。</w:t>
            </w:r>
          </w:p>
          <w:p>
            <w:pPr>
              <w:shd w:val="clear"/>
              <w:spacing w:line="360" w:lineRule="exact"/>
              <w:ind w:firstLine="0" w:firstLineChars="0"/>
              <w:rPr>
                <w:rFonts w:hAnsi="宋体" w:cs="宋体"/>
                <w:color w:val="auto"/>
                <w:sz w:val="21"/>
                <w:szCs w:val="21"/>
              </w:rPr>
            </w:pPr>
            <w:r>
              <w:rPr>
                <w:rFonts w:hint="eastAsia" w:hAnsi="宋体"/>
                <w:color w:val="auto"/>
                <w:sz w:val="21"/>
                <w:szCs w:val="21"/>
              </w:rPr>
              <w:t>具有以上经评标委员会认可的监理措施的每项【优的得1</w:t>
            </w:r>
            <w:r>
              <w:rPr>
                <w:rFonts w:hAnsi="宋体"/>
                <w:color w:val="auto"/>
                <w:sz w:val="21"/>
                <w:szCs w:val="21"/>
              </w:rPr>
              <w:t>.5</w:t>
            </w:r>
            <w:r>
              <w:rPr>
                <w:rFonts w:hint="eastAsia" w:hAnsi="宋体"/>
                <w:color w:val="auto"/>
                <w:sz w:val="21"/>
                <w:szCs w:val="21"/>
              </w:rPr>
              <w:t>分，良得1分，一般得0.5分，没有不得分】，最多得1</w:t>
            </w:r>
            <w:r>
              <w:rPr>
                <w:rFonts w:hAnsi="宋体"/>
                <w:color w:val="auto"/>
                <w:sz w:val="21"/>
                <w:szCs w:val="21"/>
              </w:rPr>
              <w:t>5</w:t>
            </w:r>
            <w:r>
              <w:rPr>
                <w:rFonts w:hint="eastAsia" w:hAnsi="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jc w:val="center"/>
        </w:trPr>
        <w:tc>
          <w:tcPr>
            <w:tcW w:w="1555"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ind w:firstLine="199" w:firstLineChars="95"/>
              <w:rPr>
                <w:rFonts w:hAnsi="宋体" w:cs="宋体"/>
                <w:color w:val="auto"/>
                <w:sz w:val="21"/>
                <w:szCs w:val="21"/>
              </w:rPr>
            </w:pPr>
            <w:r>
              <w:rPr>
                <w:rFonts w:hAnsi="宋体" w:cs="宋体"/>
                <w:color w:val="auto"/>
                <w:sz w:val="21"/>
                <w:szCs w:val="21"/>
              </w:rPr>
              <w:t>2.2.4(3)</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投标报价评分标准（20分）</w:t>
            </w:r>
          </w:p>
        </w:tc>
        <w:tc>
          <w:tcPr>
            <w:tcW w:w="6456" w:type="dxa"/>
            <w:gridSpan w:val="2"/>
            <w:tcBorders>
              <w:top w:val="single" w:color="auto" w:sz="4" w:space="0"/>
              <w:left w:val="single" w:color="auto" w:sz="4" w:space="0"/>
              <w:bottom w:val="single" w:color="auto" w:sz="4" w:space="0"/>
              <w:right w:val="single" w:color="auto" w:sz="4" w:space="0"/>
            </w:tcBorders>
            <w:vAlign w:val="center"/>
          </w:tcPr>
          <w:p>
            <w:pPr>
              <w:shd w:val="clear"/>
              <w:spacing w:line="300" w:lineRule="exact"/>
              <w:ind w:firstLine="0" w:firstLineChars="0"/>
              <w:jc w:val="left"/>
              <w:rPr>
                <w:rFonts w:hAnsi="宋体" w:cs="宋体"/>
                <w:color w:val="auto"/>
                <w:sz w:val="21"/>
                <w:szCs w:val="21"/>
              </w:rPr>
            </w:pPr>
            <w:r>
              <w:rPr>
                <w:rFonts w:hint="eastAsia" w:hAnsi="宋体" w:cs="宋体"/>
                <w:color w:val="auto"/>
                <w:sz w:val="21"/>
                <w:szCs w:val="21"/>
              </w:rPr>
              <w:t>以评标基准价作为计算各有效投标价得分的基础，当有效投标报价等于评标参考价时得20</w:t>
            </w:r>
            <w:r>
              <w:rPr>
                <w:rFonts w:hAnsi="宋体" w:cs="宋体"/>
                <w:color w:val="auto"/>
                <w:sz w:val="21"/>
                <w:szCs w:val="21"/>
              </w:rPr>
              <w:t>分，投标报价每高于评标参考价1%，扣</w:t>
            </w:r>
            <w:r>
              <w:rPr>
                <w:rFonts w:hint="eastAsia" w:hAnsi="宋体" w:cs="宋体"/>
                <w:color w:val="auto"/>
                <w:sz w:val="21"/>
                <w:szCs w:val="21"/>
                <w:u w:val="single"/>
              </w:rPr>
              <w:t>1.0</w:t>
            </w:r>
            <w:r>
              <w:rPr>
                <w:rFonts w:hint="eastAsia" w:hAnsi="宋体" w:cs="宋体"/>
                <w:color w:val="auto"/>
                <w:sz w:val="21"/>
                <w:szCs w:val="21"/>
              </w:rPr>
              <w:t>分，每低于评标参考价</w:t>
            </w:r>
            <w:r>
              <w:rPr>
                <w:rFonts w:hAnsi="宋体" w:cs="宋体"/>
                <w:color w:val="auto"/>
                <w:sz w:val="21"/>
                <w:szCs w:val="21"/>
              </w:rPr>
              <w:t>1%，扣</w:t>
            </w:r>
            <w:r>
              <w:rPr>
                <w:rFonts w:hAnsi="宋体" w:cs="宋体"/>
                <w:color w:val="auto"/>
                <w:sz w:val="21"/>
                <w:szCs w:val="21"/>
                <w:u w:val="single"/>
              </w:rPr>
              <w:t>0.</w:t>
            </w:r>
            <w:r>
              <w:rPr>
                <w:rFonts w:hint="eastAsia" w:hAnsi="宋体" w:cs="宋体"/>
                <w:color w:val="auto"/>
                <w:sz w:val="21"/>
                <w:szCs w:val="21"/>
                <w:u w:val="single"/>
              </w:rPr>
              <w:t>5</w:t>
            </w:r>
            <w:r>
              <w:rPr>
                <w:rFonts w:hint="eastAsia" w:hAnsi="宋体" w:cs="宋体"/>
                <w:color w:val="auto"/>
                <w:sz w:val="21"/>
                <w:szCs w:val="21"/>
              </w:rPr>
              <w:t>分，最多扣20分（评分如出现小数点，则保留小数点后两位，第三位四舍五入）。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128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shd w:val="clear"/>
              <w:spacing w:line="300" w:lineRule="exact"/>
              <w:ind w:firstLine="199" w:firstLineChars="95"/>
              <w:rPr>
                <w:rFonts w:hAnsi="宋体" w:cs="宋体"/>
                <w:color w:val="auto"/>
                <w:sz w:val="21"/>
                <w:szCs w:val="21"/>
              </w:rPr>
            </w:pPr>
            <w:r>
              <w:rPr>
                <w:rFonts w:hAnsi="宋体" w:cs="宋体"/>
                <w:color w:val="auto"/>
                <w:sz w:val="21"/>
                <w:szCs w:val="21"/>
              </w:rPr>
              <w:t>2.2.4(4)</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hd w:val="clear"/>
              <w:spacing w:line="300" w:lineRule="exact"/>
              <w:ind w:firstLine="0" w:firstLineChars="0"/>
              <w:rPr>
                <w:rFonts w:hAnsi="宋体" w:cs="宋体"/>
                <w:color w:val="auto"/>
                <w:sz w:val="21"/>
                <w:szCs w:val="21"/>
              </w:rPr>
            </w:pPr>
            <w:r>
              <w:rPr>
                <w:rFonts w:hint="eastAsia" w:hAnsi="宋体" w:cs="宋体"/>
                <w:color w:val="auto"/>
                <w:sz w:val="21"/>
                <w:szCs w:val="21"/>
              </w:rPr>
              <w:t>其他因素评分标准</w:t>
            </w:r>
          </w:p>
        </w:tc>
        <w:tc>
          <w:tcPr>
            <w:tcW w:w="6456" w:type="dxa"/>
            <w:gridSpan w:val="2"/>
            <w:tcBorders>
              <w:top w:val="single" w:color="auto" w:sz="4" w:space="0"/>
              <w:left w:val="single" w:color="auto" w:sz="4" w:space="0"/>
              <w:bottom w:val="single" w:color="auto" w:sz="4" w:space="0"/>
              <w:right w:val="single" w:color="auto" w:sz="4" w:space="0"/>
            </w:tcBorders>
            <w:vAlign w:val="center"/>
          </w:tcPr>
          <w:p>
            <w:pPr>
              <w:shd w:val="clear"/>
              <w:spacing w:line="300" w:lineRule="exact"/>
              <w:ind w:firstLine="0" w:firstLineChars="0"/>
              <w:rPr>
                <w:rFonts w:hAnsi="宋体"/>
                <w:bCs/>
                <w:color w:val="auto"/>
                <w:sz w:val="21"/>
                <w:szCs w:val="21"/>
                <w:u w:val="single"/>
              </w:rPr>
            </w:pPr>
            <w:r>
              <w:rPr>
                <w:rFonts w:hint="eastAsia" w:hAnsi="宋体"/>
                <w:bCs/>
                <w:color w:val="auto"/>
                <w:sz w:val="21"/>
                <w:szCs w:val="21"/>
                <w:u w:val="single"/>
              </w:rPr>
              <w:t>其他评分因素：诚信综合评价排名得分</w:t>
            </w:r>
          </w:p>
          <w:p>
            <w:pPr>
              <w:shd w:val="clear"/>
              <w:spacing w:line="300" w:lineRule="exact"/>
              <w:ind w:firstLine="0" w:firstLineChars="0"/>
              <w:jc w:val="left"/>
              <w:rPr>
                <w:rFonts w:hAnsi="宋体" w:cs="宋体"/>
                <w:color w:val="auto"/>
                <w:sz w:val="21"/>
                <w:szCs w:val="21"/>
              </w:rPr>
            </w:pPr>
            <w:r>
              <w:rPr>
                <w:rFonts w:hint="eastAsia" w:hAnsi="宋体"/>
                <w:bCs/>
                <w:color w:val="auto"/>
                <w:sz w:val="21"/>
                <w:szCs w:val="21"/>
              </w:rPr>
              <w:t>注：诚信综合评价排名得分以监理-房建排名为准。企业的诚信综合评价排名得分以投标截止当日广州市工程招标行业协会</w:t>
            </w:r>
            <w:r>
              <w:rPr>
                <w:rFonts w:hAnsi="宋体"/>
                <w:bCs/>
                <w:color w:val="auto"/>
                <w:sz w:val="21"/>
                <w:szCs w:val="21"/>
              </w:rPr>
              <w:t>网站</w:t>
            </w:r>
            <w:r>
              <w:rPr>
                <w:rFonts w:hint="eastAsia" w:hAnsi="宋体"/>
                <w:bCs/>
                <w:color w:val="auto"/>
                <w:sz w:val="21"/>
                <w:szCs w:val="21"/>
              </w:rPr>
              <w:t>企业诚信评价专栏</w:t>
            </w:r>
            <w:r>
              <w:rPr>
                <w:rFonts w:hAnsi="宋体"/>
                <w:bCs/>
                <w:color w:val="auto"/>
                <w:sz w:val="21"/>
                <w:szCs w:val="21"/>
              </w:rPr>
              <w:t>上</w:t>
            </w:r>
            <w:r>
              <w:rPr>
                <w:rFonts w:hint="eastAsia" w:hAnsi="宋体"/>
                <w:bCs/>
                <w:color w:val="auto"/>
                <w:sz w:val="21"/>
                <w:szCs w:val="21"/>
              </w:rPr>
              <w:t>公布的企业60日诚信分得分为准。</w:t>
            </w:r>
          </w:p>
        </w:tc>
      </w:tr>
      <w:bookmarkEnd w:id="120"/>
      <w:bookmarkEnd w:id="132"/>
    </w:tbl>
    <w:p>
      <w:pPr>
        <w:shd w:val="clear"/>
        <w:ind w:firstLine="480"/>
        <w:rPr>
          <w:color w:val="auto"/>
        </w:rPr>
      </w:pPr>
    </w:p>
    <w:p>
      <w:pPr>
        <w:shd w:val="clear"/>
        <w:spacing w:line="440" w:lineRule="exact"/>
        <w:ind w:firstLine="480"/>
        <w:rPr>
          <w:color w:val="auto"/>
        </w:rPr>
      </w:pPr>
      <w:r>
        <w:rPr>
          <w:rFonts w:hint="eastAsia"/>
          <w:color w:val="auto"/>
        </w:rPr>
        <w:t>说明：</w:t>
      </w:r>
    </w:p>
    <w:p>
      <w:pPr>
        <w:pStyle w:val="13"/>
        <w:shd w:val="clear"/>
        <w:spacing w:line="440" w:lineRule="exact"/>
        <w:ind w:firstLine="480"/>
        <w:rPr>
          <w:color w:val="auto"/>
        </w:rPr>
      </w:pPr>
      <w:r>
        <w:rPr>
          <w:rFonts w:hint="eastAsia"/>
          <w:color w:val="auto"/>
        </w:rPr>
        <w:t>（1）管理体系认证证书需提供证书原件扫描件，认证证书需在有效期内，不提供或不符合要求不得分。</w:t>
      </w:r>
    </w:p>
    <w:p>
      <w:pPr>
        <w:pStyle w:val="13"/>
        <w:shd w:val="clear"/>
        <w:spacing w:line="440" w:lineRule="exact"/>
        <w:ind w:firstLine="480"/>
        <w:rPr>
          <w:color w:val="auto"/>
        </w:rPr>
      </w:pPr>
      <w:r>
        <w:rPr>
          <w:rFonts w:hint="eastAsia"/>
          <w:color w:val="auto"/>
        </w:rPr>
        <w:t>（2）纳税信用等级：A 级纳税人称号情况以省级或以上税务局官网查询的相关截图为准，纳税人等级只计算投标人自身（不计算投标人的分公司和子公司）。投标人须提供在上述官网的查询结果网页截图（不符合条件或无提交上述截图的不计分）。时间以省级或以上国家税务局官网公布的获奖年度（评价年度）为准。</w:t>
      </w:r>
    </w:p>
    <w:p>
      <w:pPr>
        <w:pStyle w:val="13"/>
        <w:shd w:val="clear"/>
        <w:spacing w:line="440" w:lineRule="exact"/>
        <w:ind w:firstLine="480"/>
        <w:rPr>
          <w:color w:val="auto"/>
        </w:rPr>
      </w:pPr>
      <w:r>
        <w:rPr>
          <w:rFonts w:hint="eastAsia"/>
          <w:color w:val="auto"/>
        </w:rPr>
        <w:t>（3）科学技术类奖项包括自然科学奖、技术发明奖、科学技术进步奖等。投标人须提供由市级或以上人民政府颁发的证书原件扫描件。时间以证书颁发日期为准。</w:t>
      </w:r>
    </w:p>
    <w:p>
      <w:pPr>
        <w:pStyle w:val="13"/>
        <w:shd w:val="clear"/>
        <w:spacing w:line="440" w:lineRule="exact"/>
        <w:ind w:firstLine="480"/>
        <w:rPr>
          <w:color w:val="auto"/>
        </w:rPr>
      </w:pPr>
      <w:r>
        <w:rPr>
          <w:rFonts w:hint="eastAsia"/>
          <w:color w:val="auto"/>
        </w:rPr>
        <w:t>（4）高新技术企业：投标人需提供在有效期内的高新技术企业证书原件扫描件。</w:t>
      </w:r>
    </w:p>
    <w:p>
      <w:pPr>
        <w:pStyle w:val="13"/>
        <w:shd w:val="clear"/>
        <w:spacing w:line="440" w:lineRule="exact"/>
        <w:ind w:firstLine="480"/>
        <w:rPr>
          <w:color w:val="auto"/>
        </w:rPr>
      </w:pPr>
      <w:r>
        <w:rPr>
          <w:rFonts w:hint="eastAsia"/>
          <w:color w:val="auto"/>
        </w:rPr>
        <w:t>（5）企业业绩、获奖：业绩指招标公告投标人资格要求第3.1点所述资质方能承接的房屋建筑工程全过程工程咨询业绩。</w:t>
      </w:r>
      <w:r>
        <w:rPr>
          <w:rFonts w:hint="eastAsia" w:hAnsi="宋体" w:cs="宋体"/>
          <w:bCs/>
          <w:color w:val="auto"/>
          <w:szCs w:val="21"/>
        </w:rPr>
        <w:t>业绩</w:t>
      </w:r>
      <w:r>
        <w:rPr>
          <w:rFonts w:hint="eastAsia" w:hAnsi="宋体"/>
          <w:color w:val="auto"/>
          <w:szCs w:val="21"/>
        </w:rPr>
        <w:t>须</w:t>
      </w:r>
      <w:r>
        <w:rPr>
          <w:rFonts w:hint="eastAsia" w:hAnsi="宋体" w:cs="宋体"/>
          <w:color w:val="auto"/>
          <w:szCs w:val="21"/>
        </w:rPr>
        <w:t>同时提供①中标通知书（或成交通知书或免招标证明</w:t>
      </w:r>
      <w:r>
        <w:rPr>
          <w:rFonts w:hint="eastAsia" w:hAnsi="宋体"/>
          <w:color w:val="auto"/>
          <w:szCs w:val="21"/>
          <w:shd w:val="clear" w:color="auto" w:fill="FFFFFF"/>
        </w:rPr>
        <w:t>或相关委托文件</w:t>
      </w:r>
      <w:r>
        <w:rPr>
          <w:rFonts w:hint="eastAsia" w:hAnsi="宋体" w:cs="宋体"/>
          <w:color w:val="auto"/>
          <w:szCs w:val="21"/>
        </w:rPr>
        <w:t>）②</w:t>
      </w:r>
      <w:r>
        <w:rPr>
          <w:rFonts w:hint="eastAsia" w:hAnsi="宋体"/>
          <w:color w:val="auto"/>
          <w:szCs w:val="21"/>
          <w:shd w:val="clear" w:color="auto" w:fill="FFFFFF"/>
        </w:rPr>
        <w:t>合同关键页</w:t>
      </w:r>
      <w:r>
        <w:rPr>
          <w:rFonts w:hint="eastAsia" w:hAnsi="宋体" w:cs="宋体"/>
          <w:color w:val="auto"/>
          <w:szCs w:val="21"/>
        </w:rPr>
        <w:t>，业绩时间以合同签订时间为准。</w:t>
      </w:r>
      <w:r>
        <w:rPr>
          <w:rFonts w:hint="eastAsia"/>
          <w:color w:val="auto"/>
          <w:szCs w:val="21"/>
        </w:rPr>
        <w:t>涉及总投资金额的，所提供的资料须能反映相应总投资金额，否则还须提供</w:t>
      </w:r>
      <w:r>
        <w:rPr>
          <w:rFonts w:hint="eastAsia" w:hAnsi="宋体"/>
          <w:color w:val="auto"/>
          <w:szCs w:val="21"/>
          <w:shd w:val="clear" w:color="auto" w:fill="FFFFFF"/>
        </w:rPr>
        <w:t>其他</w:t>
      </w:r>
      <w:r>
        <w:rPr>
          <w:rFonts w:hint="eastAsia"/>
          <w:color w:val="auto"/>
          <w:szCs w:val="21"/>
        </w:rPr>
        <w:t>能反映相关指标的证明文件，未提供相关证明文件的不予认定。</w:t>
      </w:r>
      <w:r>
        <w:rPr>
          <w:rFonts w:hint="eastAsia"/>
          <w:color w:val="auto"/>
        </w:rPr>
        <w:t>如投标人提供的业绩如为联合体业绩，则投标人承担的服务内容必须包含项目管理及工程监理。</w:t>
      </w:r>
    </w:p>
    <w:p>
      <w:pPr>
        <w:pStyle w:val="13"/>
        <w:shd w:val="clear"/>
        <w:spacing w:line="440" w:lineRule="exact"/>
        <w:ind w:firstLine="480"/>
        <w:rPr>
          <w:color w:val="auto"/>
        </w:rPr>
      </w:pPr>
      <w:r>
        <w:rPr>
          <w:rFonts w:hint="eastAsia"/>
          <w:color w:val="auto"/>
        </w:rPr>
        <w:t>获奖：国家级质量奖指鲁班奖、中国土木工程詹天佑奖、国家优质工程金质奖、国家优质工程银质奖、国家优质工程奖；省级或市级（含副省级）质量奖项指省级或市级（含副省级）主管部门或行业协会颁发的工程质量奖，其中行业协会须在民政部门备案。对同一工程项目按最高奖项计取，不重复计取，需提供获奖证书扫描件，时间以获奖证书注明的时间为准。</w:t>
      </w:r>
    </w:p>
    <w:p>
      <w:pPr>
        <w:shd w:val="clear"/>
        <w:snapToGrid w:val="0"/>
        <w:spacing w:line="324" w:lineRule="auto"/>
        <w:ind w:firstLine="480"/>
        <w:rPr>
          <w:rFonts w:hAnsi="宋体"/>
          <w:color w:val="auto"/>
          <w:szCs w:val="21"/>
        </w:rPr>
      </w:pPr>
      <w:r>
        <w:rPr>
          <w:rFonts w:hint="eastAsia"/>
          <w:color w:val="auto"/>
        </w:rPr>
        <w:t>（6）</w:t>
      </w:r>
      <w:r>
        <w:rPr>
          <w:rFonts w:hint="eastAsia" w:hAnsi="宋体"/>
          <w:color w:val="auto"/>
          <w:szCs w:val="21"/>
        </w:rPr>
        <w:t>拟派人员团队：</w:t>
      </w:r>
    </w:p>
    <w:p>
      <w:pPr>
        <w:shd w:val="clear"/>
        <w:snapToGrid w:val="0"/>
        <w:spacing w:line="324" w:lineRule="auto"/>
        <w:ind w:firstLine="480"/>
        <w:rPr>
          <w:rFonts w:hAnsi="宋体"/>
          <w:color w:val="auto"/>
          <w:szCs w:val="21"/>
        </w:rPr>
      </w:pPr>
      <w:r>
        <w:rPr>
          <w:rFonts w:hint="eastAsia" w:hAnsi="宋体"/>
          <w:color w:val="auto"/>
          <w:szCs w:val="21"/>
        </w:rPr>
        <w:t>1）人员仅指注册在本公司人员，不含子公司人员，如投标申请人为集团公司，则不含其集团下属的子公司人员。各人员不能兼任，不重复计算得分。</w:t>
      </w:r>
    </w:p>
    <w:p>
      <w:pPr>
        <w:shd w:val="clear"/>
        <w:snapToGrid w:val="0"/>
        <w:spacing w:line="324" w:lineRule="auto"/>
        <w:ind w:firstLine="480"/>
        <w:rPr>
          <w:rFonts w:hAnsi="宋体" w:cs="宋体"/>
          <w:color w:val="auto"/>
          <w:szCs w:val="21"/>
        </w:rPr>
      </w:pPr>
      <w:r>
        <w:rPr>
          <w:rFonts w:hint="eastAsia" w:hAnsi="宋体" w:cs="宋体"/>
          <w:color w:val="auto"/>
          <w:szCs w:val="21"/>
        </w:rPr>
        <w:t>2）所有人员应提供相关证书及在本单位离投标截止时间前最近一个月的社保缴纳证明材料（即2023年10月）证明材料的扫描件作为评审依据。若为退休人员，提供有效的劳动合同和退休证明，退休人员年龄不超过65周岁。以上人员一人一岗，不得兼任。</w:t>
      </w:r>
    </w:p>
    <w:p>
      <w:pPr>
        <w:shd w:val="clear"/>
        <w:ind w:firstLine="480"/>
        <w:rPr>
          <w:rFonts w:hAnsi="宋体"/>
          <w:color w:val="auto"/>
          <w:szCs w:val="21"/>
        </w:rPr>
      </w:pPr>
      <w:r>
        <w:rPr>
          <w:rFonts w:hAnsi="宋体"/>
          <w:color w:val="auto"/>
          <w:szCs w:val="21"/>
        </w:rPr>
        <w:t>3</w:t>
      </w:r>
      <w:r>
        <w:rPr>
          <w:rFonts w:hint="eastAsia" w:hAnsi="宋体"/>
          <w:color w:val="auto"/>
          <w:szCs w:val="21"/>
        </w:rPr>
        <w:t>）以上所附证书证明文件均须提供原件扫描件，投标人提供的网页截图（含网页打印件）或原件扫描件或复印件必须加盖投标人公章且内容必须清晰可辨，如因网页截图或原件扫描件内容模糊导致评标时无法判断的，后果由投标人自负。上述资料不提供或提供不完整或提供不符合要求的不得分。</w:t>
      </w:r>
    </w:p>
    <w:p>
      <w:pPr>
        <w:pStyle w:val="13"/>
        <w:shd w:val="clear"/>
        <w:spacing w:line="440" w:lineRule="exact"/>
        <w:ind w:firstLine="480"/>
        <w:rPr>
          <w:color w:val="auto"/>
        </w:rPr>
      </w:pPr>
      <w:r>
        <w:rPr>
          <w:rFonts w:hint="eastAsia"/>
          <w:color w:val="auto"/>
        </w:rPr>
        <w:t>（7）未提供相关证明材料的不得分。</w:t>
      </w:r>
    </w:p>
    <w:p>
      <w:pPr>
        <w:shd w:val="clear"/>
        <w:spacing w:line="440" w:lineRule="exact"/>
        <w:ind w:firstLine="480"/>
        <w:rPr>
          <w:color w:val="auto"/>
        </w:rPr>
      </w:pPr>
      <w:r>
        <w:rPr>
          <w:rFonts w:hint="eastAsia"/>
          <w:color w:val="auto"/>
        </w:rPr>
        <w:t>（8）投标人的资信业绩得分、监理大纲得分为各评委评分的算术平均分（分数出现小数点时，保留小数点后二位，第三位小数四舍五入）。</w:t>
      </w:r>
    </w:p>
    <w:p>
      <w:pPr>
        <w:pStyle w:val="6"/>
        <w:shd w:val="clear"/>
        <w:ind w:firstLine="0" w:firstLineChars="0"/>
        <w:jc w:val="left"/>
        <w:rPr>
          <w:color w:val="auto"/>
        </w:rPr>
      </w:pPr>
      <w:r>
        <w:rPr>
          <w:rFonts w:hint="eastAsia"/>
          <w:color w:val="auto"/>
          <w:szCs w:val="32"/>
        </w:rPr>
        <w:br w:type="page"/>
      </w:r>
    </w:p>
    <w:p>
      <w:pPr>
        <w:shd w:val="clear"/>
        <w:spacing w:line="200" w:lineRule="exact"/>
        <w:ind w:firstLine="0" w:firstLineChars="0"/>
        <w:rPr>
          <w:rFonts w:hAnsi="宋体"/>
          <w:color w:val="auto"/>
        </w:rPr>
      </w:pPr>
    </w:p>
    <w:p>
      <w:pPr>
        <w:pStyle w:val="7"/>
        <w:shd w:val="clear"/>
        <w:rPr>
          <w:color w:val="auto"/>
        </w:rPr>
      </w:pPr>
      <w:bookmarkStart w:id="133" w:name="_Toc35513488"/>
      <w:r>
        <w:rPr>
          <w:rFonts w:hint="eastAsia"/>
          <w:color w:val="auto"/>
        </w:rPr>
        <w:t>1.</w:t>
      </w:r>
      <w:r>
        <w:rPr>
          <w:color w:val="auto"/>
        </w:rPr>
        <w:t>评标方法</w:t>
      </w:r>
      <w:bookmarkEnd w:id="133"/>
    </w:p>
    <w:p>
      <w:pPr>
        <w:shd w:val="clear"/>
        <w:ind w:firstLine="480"/>
        <w:rPr>
          <w:color w:val="auto"/>
        </w:rPr>
      </w:pPr>
      <w:r>
        <w:rPr>
          <w:color w:val="auto"/>
        </w:rPr>
        <w:t>本次评标采用综合评估法。评标委员会对满足招标文件实质性要求的投标文件，按照本章第2.2款规定的评分标准进行打分，并按得分由高到低顺序推荐中标候选人，排序的前一～三名分别为第一中标候选人、第二中标候选人和第三中标候选人。总分相等时，以投标总报价低的优先；投标总报价也相等的，以企业诚信综合评价得分高的优先；如果企业诚信综合评价得分也相等，由评标委员会采用记名投票方式，以得票多的优先。</w:t>
      </w:r>
    </w:p>
    <w:p>
      <w:pPr>
        <w:shd w:val="clear"/>
        <w:ind w:firstLine="480"/>
        <w:rPr>
          <w:rFonts w:hAnsi="宋体"/>
          <w:color w:val="auto"/>
          <w:szCs w:val="24"/>
        </w:rPr>
      </w:pPr>
    </w:p>
    <w:p>
      <w:pPr>
        <w:pStyle w:val="7"/>
        <w:shd w:val="clear"/>
        <w:rPr>
          <w:color w:val="auto"/>
        </w:rPr>
      </w:pPr>
      <w:bookmarkStart w:id="134" w:name="_Toc35513489"/>
      <w:r>
        <w:rPr>
          <w:rFonts w:hint="eastAsia"/>
          <w:color w:val="auto"/>
        </w:rPr>
        <w:t>2.</w:t>
      </w:r>
      <w:r>
        <w:rPr>
          <w:color w:val="auto"/>
        </w:rPr>
        <w:t>评审标准</w:t>
      </w:r>
      <w:bookmarkEnd w:id="134"/>
    </w:p>
    <w:p>
      <w:pPr>
        <w:pStyle w:val="8"/>
        <w:shd w:val="clear"/>
        <w:ind w:firstLine="482"/>
        <w:rPr>
          <w:color w:val="auto"/>
        </w:rPr>
      </w:pPr>
      <w:bookmarkStart w:id="135" w:name="_Toc35513490"/>
      <w:r>
        <w:rPr>
          <w:color w:val="auto"/>
        </w:rPr>
        <w:t>2.1 初步评审标准</w:t>
      </w:r>
      <w:bookmarkEnd w:id="135"/>
    </w:p>
    <w:p>
      <w:pPr>
        <w:shd w:val="clear"/>
        <w:ind w:firstLine="480"/>
        <w:rPr>
          <w:color w:val="auto"/>
        </w:rPr>
      </w:pPr>
      <w:r>
        <w:rPr>
          <w:color w:val="auto"/>
        </w:rPr>
        <w:t>2.1.1 形式评审标准：见评标办法前附表。</w:t>
      </w:r>
    </w:p>
    <w:p>
      <w:pPr>
        <w:shd w:val="clear"/>
        <w:ind w:firstLine="480"/>
        <w:rPr>
          <w:color w:val="auto"/>
        </w:rPr>
      </w:pPr>
      <w:r>
        <w:rPr>
          <w:color w:val="auto"/>
        </w:rPr>
        <w:t>2.1.2 资格评审标准：见评标办法前附表。</w:t>
      </w:r>
    </w:p>
    <w:p>
      <w:pPr>
        <w:shd w:val="clear"/>
        <w:ind w:firstLine="480"/>
        <w:rPr>
          <w:color w:val="auto"/>
        </w:rPr>
      </w:pPr>
      <w:r>
        <w:rPr>
          <w:color w:val="auto"/>
        </w:rPr>
        <w:t>2.1.3 响应性评审标准：见评标办法前附表。</w:t>
      </w:r>
    </w:p>
    <w:p>
      <w:pPr>
        <w:pStyle w:val="8"/>
        <w:shd w:val="clear"/>
        <w:ind w:firstLine="482"/>
        <w:rPr>
          <w:color w:val="auto"/>
        </w:rPr>
      </w:pPr>
      <w:bookmarkStart w:id="136" w:name="_Toc35513491"/>
      <w:r>
        <w:rPr>
          <w:color w:val="auto"/>
        </w:rPr>
        <w:t>2.2 分值构成与评分标准</w:t>
      </w:r>
      <w:bookmarkEnd w:id="136"/>
    </w:p>
    <w:p>
      <w:pPr>
        <w:shd w:val="clear"/>
        <w:ind w:firstLine="480"/>
        <w:rPr>
          <w:color w:val="auto"/>
        </w:rPr>
      </w:pPr>
      <w:r>
        <w:rPr>
          <w:color w:val="auto"/>
        </w:rPr>
        <w:t>2.2.1 分值构成</w:t>
      </w:r>
    </w:p>
    <w:p>
      <w:pPr>
        <w:shd w:val="clear"/>
        <w:ind w:firstLine="480"/>
        <w:rPr>
          <w:color w:val="auto"/>
        </w:rPr>
      </w:pPr>
      <w:r>
        <w:rPr>
          <w:color w:val="auto"/>
        </w:rPr>
        <w:t>（1）资信业绩部分：见评标办法前附表；</w:t>
      </w:r>
    </w:p>
    <w:p>
      <w:pPr>
        <w:shd w:val="clear"/>
        <w:ind w:firstLine="480"/>
        <w:rPr>
          <w:color w:val="auto"/>
        </w:rPr>
      </w:pPr>
      <w:r>
        <w:rPr>
          <w:rFonts w:hint="eastAsia"/>
          <w:color w:val="auto"/>
        </w:rPr>
        <w:t>（2）服务</w:t>
      </w:r>
      <w:r>
        <w:rPr>
          <w:color w:val="auto"/>
        </w:rPr>
        <w:t>方案部分：见评标办法前附表；</w:t>
      </w:r>
    </w:p>
    <w:p>
      <w:pPr>
        <w:shd w:val="clear"/>
        <w:ind w:firstLine="480"/>
        <w:rPr>
          <w:color w:val="auto"/>
        </w:rPr>
      </w:pPr>
      <w:r>
        <w:rPr>
          <w:color w:val="auto"/>
        </w:rPr>
        <w:t>（</w:t>
      </w:r>
      <w:r>
        <w:rPr>
          <w:rFonts w:hint="eastAsia"/>
          <w:color w:val="auto"/>
        </w:rPr>
        <w:t>3</w:t>
      </w:r>
      <w:r>
        <w:rPr>
          <w:color w:val="auto"/>
        </w:rPr>
        <w:t>）投标报价：见评标办法前附表；</w:t>
      </w:r>
    </w:p>
    <w:p>
      <w:pPr>
        <w:shd w:val="clear"/>
        <w:ind w:firstLine="480"/>
        <w:rPr>
          <w:color w:val="auto"/>
        </w:rPr>
      </w:pPr>
      <w:r>
        <w:rPr>
          <w:color w:val="auto"/>
        </w:rPr>
        <w:t>（</w:t>
      </w:r>
      <w:r>
        <w:rPr>
          <w:rFonts w:hint="eastAsia"/>
          <w:color w:val="auto"/>
        </w:rPr>
        <w:t>4</w:t>
      </w:r>
      <w:r>
        <w:rPr>
          <w:color w:val="auto"/>
        </w:rPr>
        <w:t>）其他评分因素：见评标办法前附表。</w:t>
      </w:r>
    </w:p>
    <w:p>
      <w:pPr>
        <w:shd w:val="clear"/>
        <w:ind w:firstLine="480"/>
        <w:rPr>
          <w:color w:val="auto"/>
        </w:rPr>
      </w:pPr>
      <w:r>
        <w:rPr>
          <w:color w:val="auto"/>
        </w:rPr>
        <w:t>2.2.2 评标基准价计算</w:t>
      </w:r>
    </w:p>
    <w:p>
      <w:pPr>
        <w:shd w:val="clear"/>
        <w:ind w:firstLine="480"/>
        <w:rPr>
          <w:color w:val="auto"/>
        </w:rPr>
      </w:pPr>
      <w:r>
        <w:rPr>
          <w:color w:val="auto"/>
        </w:rPr>
        <w:t>评标基准价计算方法：见评标办法前附表。</w:t>
      </w:r>
    </w:p>
    <w:p>
      <w:pPr>
        <w:shd w:val="clear"/>
        <w:ind w:firstLine="480"/>
        <w:rPr>
          <w:color w:val="auto"/>
        </w:rPr>
      </w:pPr>
      <w:r>
        <w:rPr>
          <w:color w:val="auto"/>
        </w:rPr>
        <w:t>2.2.3 投标报价的偏差率计算</w:t>
      </w:r>
    </w:p>
    <w:p>
      <w:pPr>
        <w:shd w:val="clear"/>
        <w:ind w:firstLine="480"/>
        <w:rPr>
          <w:color w:val="auto"/>
        </w:rPr>
      </w:pPr>
      <w:r>
        <w:rPr>
          <w:color w:val="auto"/>
        </w:rPr>
        <w:t>投标报价的偏差率计算公式：见评标办法前附表。</w:t>
      </w:r>
    </w:p>
    <w:p>
      <w:pPr>
        <w:shd w:val="clear"/>
        <w:ind w:firstLine="480"/>
        <w:rPr>
          <w:color w:val="auto"/>
        </w:rPr>
      </w:pPr>
      <w:r>
        <w:rPr>
          <w:color w:val="auto"/>
        </w:rPr>
        <w:t>2.2</w:t>
      </w:r>
      <w:bookmarkStart w:id="137" w:name="page45"/>
      <w:bookmarkEnd w:id="137"/>
      <w:r>
        <w:rPr>
          <w:color w:val="auto"/>
        </w:rPr>
        <w:t>.4 评分标准</w:t>
      </w:r>
    </w:p>
    <w:p>
      <w:pPr>
        <w:shd w:val="clear"/>
        <w:ind w:firstLine="480"/>
        <w:rPr>
          <w:color w:val="auto"/>
        </w:rPr>
      </w:pPr>
      <w:r>
        <w:rPr>
          <w:color w:val="auto"/>
        </w:rPr>
        <w:t>（1）资信业绩评分标准：见评标办法前附表；</w:t>
      </w:r>
    </w:p>
    <w:p>
      <w:pPr>
        <w:shd w:val="clear"/>
        <w:ind w:firstLine="480"/>
        <w:rPr>
          <w:color w:val="auto"/>
        </w:rPr>
      </w:pPr>
      <w:r>
        <w:rPr>
          <w:rFonts w:hint="eastAsia"/>
          <w:color w:val="auto"/>
        </w:rPr>
        <w:t>（2）服务方案评分标准</w:t>
      </w:r>
      <w:r>
        <w:rPr>
          <w:color w:val="auto"/>
        </w:rPr>
        <w:t>：见评标办法前附表；</w:t>
      </w:r>
    </w:p>
    <w:p>
      <w:pPr>
        <w:shd w:val="clear"/>
        <w:ind w:firstLine="480"/>
        <w:rPr>
          <w:color w:val="auto"/>
        </w:rPr>
      </w:pPr>
      <w:r>
        <w:rPr>
          <w:color w:val="auto"/>
        </w:rPr>
        <w:t>（</w:t>
      </w:r>
      <w:r>
        <w:rPr>
          <w:rFonts w:hint="eastAsia"/>
          <w:color w:val="auto"/>
        </w:rPr>
        <w:t>3</w:t>
      </w:r>
      <w:r>
        <w:rPr>
          <w:color w:val="auto"/>
        </w:rPr>
        <w:t>）投标报价评分标准：见评标办法前附表；</w:t>
      </w:r>
    </w:p>
    <w:p>
      <w:pPr>
        <w:shd w:val="clear"/>
        <w:ind w:firstLine="480"/>
        <w:rPr>
          <w:color w:val="auto"/>
        </w:rPr>
      </w:pPr>
      <w:r>
        <w:rPr>
          <w:color w:val="auto"/>
        </w:rPr>
        <w:t>（</w:t>
      </w:r>
      <w:r>
        <w:rPr>
          <w:rFonts w:hint="eastAsia"/>
          <w:color w:val="auto"/>
        </w:rPr>
        <w:t>4</w:t>
      </w:r>
      <w:r>
        <w:rPr>
          <w:color w:val="auto"/>
        </w:rPr>
        <w:t>）其他因素评分标准：见评标办法前附表。</w:t>
      </w:r>
    </w:p>
    <w:p>
      <w:pPr>
        <w:shd w:val="clear"/>
        <w:ind w:firstLine="480"/>
        <w:rPr>
          <w:rFonts w:hAnsi="宋体"/>
          <w:color w:val="auto"/>
          <w:szCs w:val="24"/>
        </w:rPr>
      </w:pPr>
    </w:p>
    <w:p>
      <w:pPr>
        <w:pStyle w:val="7"/>
        <w:shd w:val="clear"/>
        <w:rPr>
          <w:color w:val="auto"/>
        </w:rPr>
      </w:pPr>
      <w:bookmarkStart w:id="138" w:name="_Toc35513492"/>
      <w:r>
        <w:rPr>
          <w:rFonts w:hint="eastAsia"/>
          <w:color w:val="auto"/>
        </w:rPr>
        <w:t>3.</w:t>
      </w:r>
      <w:r>
        <w:rPr>
          <w:color w:val="auto"/>
        </w:rPr>
        <w:t>评标程序</w:t>
      </w:r>
      <w:bookmarkEnd w:id="138"/>
    </w:p>
    <w:p>
      <w:pPr>
        <w:pStyle w:val="8"/>
        <w:shd w:val="clear"/>
        <w:ind w:firstLine="482"/>
        <w:rPr>
          <w:color w:val="auto"/>
        </w:rPr>
      </w:pPr>
      <w:bookmarkStart w:id="139" w:name="_Toc35513493"/>
      <w:r>
        <w:rPr>
          <w:color w:val="auto"/>
        </w:rPr>
        <w:t>3.1 初步评审</w:t>
      </w:r>
      <w:bookmarkEnd w:id="139"/>
    </w:p>
    <w:p>
      <w:pPr>
        <w:shd w:val="clear"/>
        <w:ind w:firstLine="480"/>
        <w:rPr>
          <w:color w:val="auto"/>
        </w:rPr>
      </w:pPr>
      <w:r>
        <w:rPr>
          <w:color w:val="auto"/>
        </w:rPr>
        <w:t>3.1.1 评标委员会可以要求投标人提交第二章</w:t>
      </w:r>
      <w:r>
        <w:rPr>
          <w:rFonts w:hint="eastAsia"/>
          <w:color w:val="auto"/>
        </w:rPr>
        <w:t>“</w:t>
      </w:r>
      <w:r>
        <w:rPr>
          <w:color w:val="auto"/>
        </w:rPr>
        <w:t>投标人须知</w:t>
      </w:r>
      <w:r>
        <w:rPr>
          <w:rFonts w:hint="eastAsia"/>
          <w:color w:val="auto"/>
        </w:rPr>
        <w:t>”</w:t>
      </w:r>
      <w:r>
        <w:rPr>
          <w:color w:val="auto"/>
        </w:rPr>
        <w:t>规定的有关证明和证件的原件，以便核验。评标委员会依据本章第 2.1 款规定的标准对投标文件进行初步评审。有一项不符合评审标准的，评标委员会应当否决其投标。</w:t>
      </w:r>
    </w:p>
    <w:p>
      <w:pPr>
        <w:shd w:val="clear"/>
        <w:ind w:firstLine="480"/>
        <w:rPr>
          <w:color w:val="auto"/>
        </w:rPr>
      </w:pPr>
      <w:r>
        <w:rPr>
          <w:color w:val="auto"/>
        </w:rPr>
        <w:t>3.1.2 投标人有以下情形之一的，评标委员会应当否决其投标：</w:t>
      </w:r>
    </w:p>
    <w:p>
      <w:pPr>
        <w:shd w:val="clear"/>
        <w:ind w:firstLine="480"/>
        <w:rPr>
          <w:color w:val="auto"/>
        </w:rPr>
      </w:pPr>
      <w:r>
        <w:rPr>
          <w:color w:val="auto"/>
        </w:rPr>
        <w:t>（1）投标文件没有对招标文件的实质性要求和条件作出响应，或者对招标文件的偏差超出招标文件规定的偏差范围或最高项数；</w:t>
      </w:r>
    </w:p>
    <w:p>
      <w:pPr>
        <w:shd w:val="clear"/>
        <w:ind w:firstLine="480"/>
        <w:rPr>
          <w:color w:val="auto"/>
        </w:rPr>
      </w:pPr>
      <w:r>
        <w:rPr>
          <w:color w:val="auto"/>
        </w:rPr>
        <w:t>（2）有串通投标、弄虚作假、行贿等违法行为。</w:t>
      </w:r>
    </w:p>
    <w:p>
      <w:pPr>
        <w:shd w:val="clear"/>
        <w:ind w:firstLine="480"/>
        <w:rPr>
          <w:color w:val="auto"/>
        </w:rPr>
      </w:pPr>
      <w:r>
        <w:rPr>
          <w:color w:val="auto"/>
        </w:rPr>
        <w:t>3.1.3 投标报价有算术错误及其他错误的，评标委员会按以下原则要求投标人对投标报价进行修正，并要求投标人书面澄清确认。投标人拒不澄清确认的，评标委员会应当否决其投标：</w:t>
      </w:r>
    </w:p>
    <w:p>
      <w:pPr>
        <w:shd w:val="clear"/>
        <w:ind w:firstLine="480"/>
        <w:rPr>
          <w:color w:val="auto"/>
        </w:rPr>
      </w:pPr>
      <w:r>
        <w:rPr>
          <w:color w:val="auto"/>
        </w:rPr>
        <w:t>（1）投标文件中的大写金额与小写金额不一致的，以大写金额为准；</w:t>
      </w:r>
    </w:p>
    <w:p>
      <w:pPr>
        <w:shd w:val="clear"/>
        <w:ind w:firstLine="480"/>
        <w:rPr>
          <w:color w:val="auto"/>
        </w:rPr>
      </w:pPr>
      <w:r>
        <w:rPr>
          <w:color w:val="auto"/>
        </w:rPr>
        <w:t>（2）总价金额与单价金额不一致的，以单价金额为准，但单价金额小数点有明显错误的除外。</w:t>
      </w:r>
    </w:p>
    <w:p>
      <w:pPr>
        <w:pStyle w:val="8"/>
        <w:shd w:val="clear"/>
        <w:ind w:firstLine="482"/>
        <w:rPr>
          <w:color w:val="auto"/>
        </w:rPr>
      </w:pPr>
      <w:bookmarkStart w:id="140" w:name="_Toc35513494"/>
      <w:r>
        <w:rPr>
          <w:color w:val="auto"/>
        </w:rPr>
        <w:t>3.2 详细评审</w:t>
      </w:r>
      <w:bookmarkEnd w:id="140"/>
    </w:p>
    <w:p>
      <w:pPr>
        <w:shd w:val="clear"/>
        <w:ind w:firstLine="480"/>
        <w:rPr>
          <w:color w:val="auto"/>
        </w:rPr>
      </w:pPr>
      <w:r>
        <w:rPr>
          <w:color w:val="auto"/>
        </w:rPr>
        <w:t>3.2.1 评标委员会按本章第 2.2 款规定的量化因素和分值进行打分，并计算出综合评估得分。</w:t>
      </w:r>
    </w:p>
    <w:p>
      <w:pPr>
        <w:shd w:val="clear"/>
        <w:ind w:firstLine="480"/>
        <w:rPr>
          <w:color w:val="auto"/>
        </w:rPr>
      </w:pPr>
      <w:r>
        <w:rPr>
          <w:color w:val="auto"/>
        </w:rPr>
        <w:t>（1）按本章第 2.2.4（1）目规定的评审因素和分值对资信业绩部分计算出得分 A；</w:t>
      </w:r>
    </w:p>
    <w:p>
      <w:pPr>
        <w:shd w:val="clear"/>
        <w:ind w:firstLine="480"/>
        <w:rPr>
          <w:color w:val="auto"/>
        </w:rPr>
      </w:pPr>
      <w:r>
        <w:rPr>
          <w:color w:val="auto"/>
        </w:rPr>
        <w:t>（2）按本章第 2.2.4（2）目规定的评审因素和分值对</w:t>
      </w:r>
      <w:r>
        <w:rPr>
          <w:rFonts w:hint="eastAsia"/>
          <w:color w:val="auto"/>
        </w:rPr>
        <w:t>技术</w:t>
      </w:r>
      <w:r>
        <w:rPr>
          <w:color w:val="auto"/>
        </w:rPr>
        <w:t>方案部分计算出得分 B；</w:t>
      </w:r>
    </w:p>
    <w:p>
      <w:pPr>
        <w:shd w:val="clear"/>
        <w:ind w:firstLine="480"/>
        <w:rPr>
          <w:color w:val="auto"/>
        </w:rPr>
      </w:pPr>
      <w:r>
        <w:rPr>
          <w:color w:val="auto"/>
        </w:rPr>
        <w:t>（3）按本章第 2.2.4（3）目规定的评审因素和分值对投标报价计算出得分 C；</w:t>
      </w:r>
    </w:p>
    <w:p>
      <w:pPr>
        <w:shd w:val="clear"/>
        <w:ind w:firstLine="480"/>
        <w:rPr>
          <w:color w:val="auto"/>
        </w:rPr>
      </w:pPr>
      <w:r>
        <w:rPr>
          <w:color w:val="auto"/>
        </w:rPr>
        <w:t>（</w:t>
      </w:r>
      <w:r>
        <w:rPr>
          <w:rFonts w:hint="eastAsia"/>
          <w:color w:val="auto"/>
        </w:rPr>
        <w:t>4</w:t>
      </w:r>
      <w:r>
        <w:rPr>
          <w:color w:val="auto"/>
        </w:rPr>
        <w:t>）按本章第 2.2.4（</w:t>
      </w:r>
      <w:r>
        <w:rPr>
          <w:rFonts w:hint="eastAsia"/>
          <w:color w:val="auto"/>
        </w:rPr>
        <w:t>4</w:t>
      </w:r>
      <w:r>
        <w:rPr>
          <w:color w:val="auto"/>
        </w:rPr>
        <w:t>）目规定的评审因素和分值对</w:t>
      </w:r>
      <w:r>
        <w:rPr>
          <w:rFonts w:hint="eastAsia"/>
          <w:color w:val="auto"/>
        </w:rPr>
        <w:t>其他因素评分</w:t>
      </w:r>
      <w:r>
        <w:rPr>
          <w:color w:val="auto"/>
        </w:rPr>
        <w:t>计算出得分</w:t>
      </w:r>
      <w:r>
        <w:rPr>
          <w:rFonts w:hint="eastAsia"/>
          <w:color w:val="auto"/>
        </w:rPr>
        <w:t>D</w:t>
      </w:r>
      <w:r>
        <w:rPr>
          <w:color w:val="auto"/>
        </w:rPr>
        <w:t>；</w:t>
      </w:r>
    </w:p>
    <w:p>
      <w:pPr>
        <w:shd w:val="clear"/>
        <w:ind w:firstLine="480"/>
        <w:rPr>
          <w:color w:val="auto"/>
        </w:rPr>
      </w:pPr>
      <w:r>
        <w:rPr>
          <w:color w:val="auto"/>
        </w:rPr>
        <w:t>3.2.2 评分分值计算保留小数点后两位，小数点后第三位</w:t>
      </w:r>
      <w:r>
        <w:rPr>
          <w:rFonts w:hint="eastAsia"/>
          <w:color w:val="auto"/>
        </w:rPr>
        <w:t>“</w:t>
      </w:r>
      <w:r>
        <w:rPr>
          <w:color w:val="auto"/>
        </w:rPr>
        <w:t>四舍五入</w:t>
      </w:r>
      <w:r>
        <w:rPr>
          <w:rFonts w:hint="eastAsia"/>
          <w:color w:val="auto"/>
        </w:rPr>
        <w:t>”</w:t>
      </w:r>
      <w:r>
        <w:rPr>
          <w:color w:val="auto"/>
        </w:rPr>
        <w:t>。</w:t>
      </w:r>
    </w:p>
    <w:p>
      <w:pPr>
        <w:shd w:val="clear"/>
        <w:ind w:firstLine="480"/>
        <w:rPr>
          <w:color w:val="auto"/>
        </w:rPr>
      </w:pPr>
      <w:r>
        <w:rPr>
          <w:color w:val="auto"/>
        </w:rPr>
        <w:t>3.2.3 投标人得分=</w:t>
      </w:r>
      <w:r>
        <w:rPr>
          <w:rFonts w:hint="eastAsia"/>
          <w:color w:val="auto"/>
          <w:lang w:eastAsia="zh-CN"/>
        </w:rPr>
        <w:t>（</w:t>
      </w:r>
      <w:r>
        <w:rPr>
          <w:color w:val="auto"/>
        </w:rPr>
        <w:t>A+B+C</w:t>
      </w:r>
      <w:r>
        <w:rPr>
          <w:rFonts w:hint="eastAsia"/>
          <w:color w:val="auto"/>
          <w:lang w:eastAsia="zh-CN"/>
        </w:rPr>
        <w:t>）</w:t>
      </w:r>
      <w:r>
        <w:rPr>
          <w:rFonts w:hint="eastAsia"/>
          <w:color w:val="auto"/>
          <w:lang w:val="en-US" w:eastAsia="zh-CN"/>
        </w:rPr>
        <w:t>*95%</w:t>
      </w:r>
      <w:r>
        <w:rPr>
          <w:rFonts w:hint="eastAsia"/>
          <w:color w:val="auto"/>
        </w:rPr>
        <w:t>+D</w:t>
      </w:r>
      <w:r>
        <w:rPr>
          <w:rFonts w:hint="eastAsia"/>
          <w:color w:val="auto"/>
          <w:lang w:val="en-US" w:eastAsia="zh-CN"/>
        </w:rPr>
        <w:t>*5%</w:t>
      </w:r>
      <w:r>
        <w:rPr>
          <w:color w:val="auto"/>
        </w:rPr>
        <w:t>。</w:t>
      </w:r>
    </w:p>
    <w:p>
      <w:pPr>
        <w:shd w:val="clear"/>
        <w:ind w:firstLine="480"/>
        <w:rPr>
          <w:color w:val="auto"/>
        </w:rPr>
      </w:pPr>
      <w:r>
        <w:rPr>
          <w:color w:val="auto"/>
        </w:rPr>
        <w:t>3.2.4 评标委员会发现投标人的报价明显低于其他投标报价，使得其投标报价可能低于其个别成本的，应当要求该投标人作出书面说明并提供相应的证明材料。投标人不能合理</w:t>
      </w:r>
      <w:bookmarkStart w:id="141" w:name="page46"/>
      <w:bookmarkEnd w:id="141"/>
      <w:r>
        <w:rPr>
          <w:color w:val="auto"/>
        </w:rPr>
        <w:t>说明或者不能提供相应证明材料的，评标委员会应当认定该投标人以低于成本报价竞标，并否决其投标。</w:t>
      </w:r>
    </w:p>
    <w:p>
      <w:pPr>
        <w:pStyle w:val="8"/>
        <w:shd w:val="clear"/>
        <w:ind w:firstLine="482"/>
        <w:rPr>
          <w:color w:val="auto"/>
        </w:rPr>
      </w:pPr>
      <w:bookmarkStart w:id="142" w:name="_Toc35513495"/>
      <w:r>
        <w:rPr>
          <w:color w:val="auto"/>
        </w:rPr>
        <w:t>3.3 投标文件的澄清</w:t>
      </w:r>
      <w:bookmarkEnd w:id="142"/>
    </w:p>
    <w:p>
      <w:pPr>
        <w:shd w:val="clear"/>
        <w:ind w:firstLine="480"/>
        <w:rPr>
          <w:color w:val="auto"/>
        </w:rPr>
      </w:pPr>
      <w:r>
        <w:rPr>
          <w:color w:val="auto"/>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hd w:val="clear"/>
        <w:ind w:firstLine="480"/>
        <w:rPr>
          <w:color w:val="auto"/>
        </w:rPr>
      </w:pPr>
      <w:r>
        <w:rPr>
          <w:color w:val="auto"/>
        </w:rPr>
        <w:t>3.3.2 澄清、说明或补正不得超出投标文件的范围且不得改变投标文件的实质性内容，并构成投标文件的组成部分。</w:t>
      </w:r>
    </w:p>
    <w:p>
      <w:pPr>
        <w:shd w:val="clear"/>
        <w:ind w:firstLine="480"/>
        <w:rPr>
          <w:color w:val="auto"/>
        </w:rPr>
      </w:pPr>
      <w:r>
        <w:rPr>
          <w:color w:val="auto"/>
        </w:rPr>
        <w:t>3.3.3 评标委员会对投标人提交的澄清、说明或补正有疑问的，可以要求投标人进一步澄清、说明或补正，直至满足评标委员会的要求。</w:t>
      </w:r>
    </w:p>
    <w:p>
      <w:pPr>
        <w:pStyle w:val="8"/>
        <w:shd w:val="clear"/>
        <w:ind w:firstLine="482"/>
        <w:rPr>
          <w:color w:val="auto"/>
        </w:rPr>
      </w:pPr>
      <w:bookmarkStart w:id="143" w:name="_Toc35513496"/>
      <w:r>
        <w:rPr>
          <w:color w:val="auto"/>
        </w:rPr>
        <w:t>3.4 评标结果</w:t>
      </w:r>
      <w:bookmarkEnd w:id="143"/>
    </w:p>
    <w:p>
      <w:pPr>
        <w:shd w:val="clear"/>
        <w:ind w:firstLine="480"/>
        <w:rPr>
          <w:color w:val="auto"/>
        </w:rPr>
      </w:pPr>
      <w:r>
        <w:rPr>
          <w:color w:val="auto"/>
        </w:rPr>
        <w:t>3.4.1 除第</w:t>
      </w:r>
      <w:bookmarkStart w:id="144" w:name="page47"/>
      <w:bookmarkEnd w:id="144"/>
      <w:bookmarkStart w:id="145" w:name="_Toc14709207"/>
      <w:bookmarkStart w:id="146" w:name="_Toc26329"/>
      <w:bookmarkStart w:id="147" w:name="_Toc20737"/>
      <w:bookmarkStart w:id="148" w:name="_Toc24899"/>
      <w:bookmarkStart w:id="149" w:name="_Toc3515"/>
      <w:r>
        <w:rPr>
          <w:color w:val="auto"/>
        </w:rPr>
        <w:t>二章</w:t>
      </w:r>
      <w:r>
        <w:rPr>
          <w:rFonts w:hint="eastAsia"/>
          <w:color w:val="auto"/>
        </w:rPr>
        <w:t>“</w:t>
      </w:r>
      <w:r>
        <w:rPr>
          <w:color w:val="auto"/>
        </w:rPr>
        <w:t>投标人须知</w:t>
      </w:r>
      <w:r>
        <w:rPr>
          <w:rFonts w:hint="eastAsia"/>
          <w:color w:val="auto"/>
        </w:rPr>
        <w:t>”</w:t>
      </w:r>
      <w:r>
        <w:rPr>
          <w:color w:val="auto"/>
        </w:rPr>
        <w:t>前附表</w:t>
      </w:r>
      <w:bookmarkEnd w:id="145"/>
      <w:r>
        <w:rPr>
          <w:color w:val="auto"/>
        </w:rPr>
        <w:t>授</w:t>
      </w:r>
      <w:bookmarkStart w:id="150" w:name="_Toc14709208"/>
      <w:r>
        <w:rPr>
          <w:color w:val="auto"/>
        </w:rPr>
        <w:t>权直接确定</w:t>
      </w:r>
      <w:bookmarkEnd w:id="146"/>
      <w:bookmarkEnd w:id="147"/>
      <w:bookmarkEnd w:id="148"/>
      <w:bookmarkEnd w:id="149"/>
      <w:bookmarkEnd w:id="150"/>
      <w:r>
        <w:rPr>
          <w:color w:val="auto"/>
        </w:rPr>
        <w:t>中</w:t>
      </w:r>
      <w:bookmarkStart w:id="151" w:name="page69"/>
      <w:bookmarkEnd w:id="151"/>
      <w:r>
        <w:rPr>
          <w:color w:val="auto"/>
        </w:rPr>
        <w:t>标人外，评标委员</w:t>
      </w:r>
      <w:bookmarkStart w:id="152" w:name="_Toc30067"/>
      <w:bookmarkStart w:id="153" w:name="_Toc11273"/>
      <w:bookmarkStart w:id="154" w:name="_Toc3428"/>
      <w:bookmarkStart w:id="155" w:name="_Toc14709209"/>
      <w:bookmarkStart w:id="156" w:name="_Toc31200"/>
      <w:r>
        <w:rPr>
          <w:color w:val="auto"/>
        </w:rPr>
        <w:t>会按照</w:t>
      </w:r>
      <w:bookmarkEnd w:id="152"/>
      <w:bookmarkEnd w:id="153"/>
      <w:bookmarkEnd w:id="154"/>
      <w:bookmarkEnd w:id="155"/>
      <w:bookmarkEnd w:id="156"/>
      <w:bookmarkStart w:id="157" w:name="page70"/>
      <w:bookmarkEnd w:id="157"/>
      <w:r>
        <w:rPr>
          <w:color w:val="auto"/>
        </w:rPr>
        <w:t>得分</w:t>
      </w:r>
      <w:bookmarkStart w:id="158" w:name="_Toc31259"/>
      <w:bookmarkStart w:id="159" w:name="_Toc14709210"/>
      <w:bookmarkStart w:id="160" w:name="_Toc23936"/>
      <w:bookmarkStart w:id="161" w:name="_Toc9422"/>
      <w:bookmarkStart w:id="162" w:name="_Toc22785"/>
      <w:r>
        <w:rPr>
          <w:color w:val="auto"/>
        </w:rPr>
        <w:t>由高到低的顺序推荐</w:t>
      </w:r>
      <w:bookmarkEnd w:id="158"/>
      <w:bookmarkEnd w:id="159"/>
      <w:bookmarkEnd w:id="160"/>
      <w:bookmarkEnd w:id="161"/>
      <w:bookmarkEnd w:id="162"/>
      <w:r>
        <w:rPr>
          <w:color w:val="auto"/>
        </w:rPr>
        <w:t>中</w:t>
      </w:r>
      <w:bookmarkStart w:id="163" w:name="page71"/>
      <w:bookmarkEnd w:id="163"/>
      <w:r>
        <w:rPr>
          <w:color w:val="auto"/>
        </w:rPr>
        <w:t>标候</w:t>
      </w:r>
      <w:bookmarkStart w:id="164" w:name="page72"/>
      <w:bookmarkEnd w:id="164"/>
      <w:bookmarkStart w:id="165" w:name="page74"/>
      <w:bookmarkEnd w:id="165"/>
      <w:bookmarkStart w:id="166" w:name="page73"/>
      <w:bookmarkEnd w:id="166"/>
      <w:r>
        <w:rPr>
          <w:color w:val="auto"/>
        </w:rPr>
        <w:t>选人，并标明排序。</w:t>
      </w:r>
    </w:p>
    <w:p>
      <w:pPr>
        <w:shd w:val="clear"/>
        <w:ind w:firstLine="480"/>
        <w:rPr>
          <w:color w:val="auto"/>
        </w:rPr>
      </w:pPr>
      <w:r>
        <w:rPr>
          <w:color w:val="auto"/>
        </w:rPr>
        <w:t>3.4.2 评标委员会完成评标后，应当向招标人交书面评标报告和中标候选人名单。</w:t>
      </w:r>
    </w:p>
    <w:p>
      <w:pPr>
        <w:shd w:val="clear"/>
        <w:ind w:firstLine="600"/>
        <w:rPr>
          <w:rFonts w:hAnsi="宋体"/>
          <w:color w:val="auto"/>
          <w:sz w:val="30"/>
          <w:szCs w:val="30"/>
        </w:rPr>
      </w:pPr>
    </w:p>
    <w:p>
      <w:pPr>
        <w:shd w:val="clear"/>
        <w:ind w:firstLine="600"/>
        <w:rPr>
          <w:rFonts w:hAnsi="宋体"/>
          <w:color w:val="auto"/>
          <w:sz w:val="30"/>
          <w:szCs w:val="30"/>
        </w:rPr>
      </w:pPr>
    </w:p>
    <w:p>
      <w:pPr>
        <w:shd w:val="clear"/>
        <w:ind w:firstLine="480"/>
        <w:rPr>
          <w:rFonts w:hAnsi="宋体"/>
          <w:color w:val="auto"/>
        </w:rPr>
      </w:pPr>
    </w:p>
    <w:p>
      <w:pPr>
        <w:shd w:val="clear"/>
        <w:ind w:firstLine="480"/>
        <w:rPr>
          <w:rFonts w:hAnsi="宋体"/>
          <w:color w:val="auto"/>
        </w:rPr>
      </w:pPr>
    </w:p>
    <w:p>
      <w:pPr>
        <w:shd w:val="clear"/>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502" w:lineRule="exact"/>
        <w:ind w:firstLine="883"/>
        <w:jc w:val="center"/>
        <w:outlineLvl w:val="0"/>
        <w:rPr>
          <w:rFonts w:hAnsi="宋体"/>
          <w:b/>
          <w:color w:val="auto"/>
          <w:sz w:val="44"/>
        </w:rPr>
      </w:pPr>
      <w:r>
        <w:rPr>
          <w:rFonts w:hAnsi="宋体"/>
          <w:b/>
          <w:color w:val="auto"/>
          <w:sz w:val="44"/>
        </w:rPr>
        <w:br w:type="page"/>
      </w:r>
      <w:bookmarkStart w:id="167" w:name="_Toc35513497"/>
      <w:r>
        <w:rPr>
          <w:rFonts w:hAnsi="宋体"/>
          <w:b/>
          <w:color w:val="auto"/>
          <w:sz w:val="44"/>
        </w:rPr>
        <w:t>第四章</w:t>
      </w:r>
      <w:bookmarkStart w:id="168" w:name="_Toc25584"/>
      <w:r>
        <w:rPr>
          <w:rFonts w:hint="eastAsia" w:hAnsi="宋体"/>
          <w:b/>
          <w:color w:val="auto"/>
          <w:sz w:val="44"/>
        </w:rPr>
        <w:t xml:space="preserve"> </w:t>
      </w:r>
      <w:r>
        <w:rPr>
          <w:rFonts w:hAnsi="宋体"/>
          <w:b/>
          <w:color w:val="auto"/>
          <w:sz w:val="44"/>
        </w:rPr>
        <w:t>合</w:t>
      </w:r>
      <w:bookmarkEnd w:id="168"/>
      <w:bookmarkStart w:id="169" w:name="_Toc31019"/>
      <w:r>
        <w:rPr>
          <w:rFonts w:hAnsi="宋体"/>
          <w:b/>
          <w:color w:val="auto"/>
          <w:sz w:val="44"/>
        </w:rPr>
        <w:t>同条款及格式</w:t>
      </w:r>
      <w:bookmarkEnd w:id="167"/>
    </w:p>
    <w:p>
      <w:pPr>
        <w:shd w:val="clear"/>
        <w:spacing w:line="502" w:lineRule="exact"/>
        <w:ind w:firstLine="883"/>
        <w:jc w:val="center"/>
        <w:rPr>
          <w:rFonts w:hAnsi="宋体"/>
          <w:b/>
          <w:color w:val="auto"/>
          <w:sz w:val="44"/>
        </w:rPr>
      </w:pPr>
    </w:p>
    <w:p>
      <w:pPr>
        <w:shd w:val="clear"/>
        <w:spacing w:line="502" w:lineRule="exact"/>
        <w:ind w:firstLine="883"/>
        <w:jc w:val="center"/>
        <w:rPr>
          <w:rFonts w:hAnsi="宋体"/>
          <w:b/>
          <w:color w:val="auto"/>
          <w:sz w:val="44"/>
        </w:rPr>
      </w:pPr>
      <w:r>
        <w:rPr>
          <w:rFonts w:hint="eastAsia" w:hAnsi="宋体"/>
          <w:b/>
          <w:color w:val="auto"/>
          <w:sz w:val="44"/>
        </w:rPr>
        <w:t>（另册）</w:t>
      </w: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364" w:lineRule="exact"/>
        <w:ind w:firstLine="480"/>
        <w:rPr>
          <w:rFonts w:hAnsi="宋体"/>
          <w:color w:val="auto"/>
        </w:rPr>
      </w:pPr>
    </w:p>
    <w:p>
      <w:pPr>
        <w:pStyle w:val="6"/>
        <w:shd w:val="clear"/>
        <w:ind w:firstLine="860"/>
        <w:jc w:val="center"/>
        <w:rPr>
          <w:rFonts w:hAnsi="宋体"/>
          <w:color w:val="auto"/>
        </w:rPr>
      </w:pPr>
      <w:r>
        <w:rPr>
          <w:rFonts w:hAnsi="宋体"/>
          <w:b w:val="0"/>
          <w:color w:val="auto"/>
          <w:sz w:val="43"/>
        </w:rPr>
        <w:br w:type="page"/>
      </w:r>
      <w:bookmarkStart w:id="170" w:name="_Toc35513498"/>
      <w:r>
        <w:rPr>
          <w:color w:val="auto"/>
        </w:rPr>
        <w:t>第二卷</w:t>
      </w:r>
      <w:bookmarkEnd w:id="170"/>
    </w:p>
    <w:p>
      <w:pPr>
        <w:shd w:val="clear"/>
        <w:spacing w:line="389" w:lineRule="exact"/>
        <w:ind w:firstLine="480"/>
        <w:rPr>
          <w:rFonts w:hAnsi="宋体"/>
          <w:color w:val="auto"/>
        </w:rPr>
      </w:pPr>
    </w:p>
    <w:p>
      <w:pPr>
        <w:shd w:val="clear"/>
        <w:spacing w:line="491" w:lineRule="exact"/>
        <w:ind w:firstLine="863"/>
        <w:jc w:val="center"/>
        <w:outlineLvl w:val="0"/>
        <w:rPr>
          <w:rFonts w:hAnsi="宋体"/>
          <w:b/>
          <w:color w:val="auto"/>
          <w:sz w:val="43"/>
        </w:rPr>
      </w:pPr>
      <w:bookmarkStart w:id="171" w:name="_Toc35513499"/>
      <w:r>
        <w:rPr>
          <w:rFonts w:hAnsi="宋体"/>
          <w:b/>
          <w:color w:val="auto"/>
          <w:sz w:val="43"/>
        </w:rPr>
        <w:t>第五章</w:t>
      </w:r>
      <w:r>
        <w:rPr>
          <w:rFonts w:hint="eastAsia" w:hAnsi="宋体"/>
          <w:b/>
          <w:color w:val="auto"/>
          <w:sz w:val="43"/>
        </w:rPr>
        <w:t xml:space="preserve"> </w:t>
      </w:r>
      <w:r>
        <w:rPr>
          <w:rFonts w:hAnsi="宋体"/>
          <w:b/>
          <w:color w:val="auto"/>
          <w:sz w:val="43"/>
        </w:rPr>
        <w:t>委托人要求</w:t>
      </w:r>
      <w:bookmarkEnd w:id="171"/>
    </w:p>
    <w:bookmarkEnd w:id="169"/>
    <w:p>
      <w:pPr>
        <w:shd w:val="clear"/>
        <w:spacing w:line="200" w:lineRule="exact"/>
        <w:ind w:firstLine="480"/>
        <w:rPr>
          <w:rFonts w:hAnsi="宋体"/>
          <w:color w:val="auto"/>
        </w:rPr>
      </w:pPr>
      <w:bookmarkStart w:id="172" w:name="_Toc35513535"/>
    </w:p>
    <w:p>
      <w:pPr>
        <w:shd w:val="clear"/>
        <w:ind w:firstLine="420"/>
        <w:jc w:val="center"/>
        <w:rPr>
          <w:rFonts w:hAnsi="宋体"/>
          <w:strike/>
          <w:color w:val="auto"/>
          <w:sz w:val="21"/>
          <w:szCs w:val="21"/>
          <w:u w:val="single"/>
        </w:rPr>
      </w:pPr>
    </w:p>
    <w:p>
      <w:pPr>
        <w:pStyle w:val="7"/>
        <w:shd w:val="clear"/>
        <w:rPr>
          <w:rFonts w:hAnsi="宋体"/>
          <w:color w:val="auto"/>
          <w:sz w:val="21"/>
          <w:szCs w:val="21"/>
        </w:rPr>
      </w:pPr>
      <w:r>
        <w:rPr>
          <w:rFonts w:hint="eastAsia" w:hAnsi="宋体"/>
          <w:color w:val="auto"/>
          <w:sz w:val="21"/>
          <w:szCs w:val="21"/>
        </w:rPr>
        <w:t>一、项目概况</w:t>
      </w:r>
    </w:p>
    <w:p>
      <w:pPr>
        <w:shd w:val="clear"/>
        <w:ind w:firstLine="420"/>
        <w:rPr>
          <w:rFonts w:hAnsi="宋体"/>
          <w:snapToGrid w:val="0"/>
          <w:color w:val="auto"/>
          <w:sz w:val="21"/>
          <w:szCs w:val="21"/>
        </w:rPr>
      </w:pPr>
      <w:r>
        <w:rPr>
          <w:rFonts w:hint="eastAsia" w:hAnsi="宋体"/>
          <w:snapToGrid w:val="0"/>
          <w:color w:val="auto"/>
          <w:sz w:val="21"/>
          <w:szCs w:val="21"/>
        </w:rPr>
        <w:t>详见招标公告。</w:t>
      </w:r>
    </w:p>
    <w:p>
      <w:pPr>
        <w:pStyle w:val="7"/>
        <w:shd w:val="clear"/>
        <w:rPr>
          <w:rFonts w:hAnsi="宋体"/>
          <w:color w:val="auto"/>
          <w:sz w:val="21"/>
          <w:szCs w:val="21"/>
        </w:rPr>
      </w:pPr>
      <w:r>
        <w:rPr>
          <w:rFonts w:hint="eastAsia" w:hAnsi="宋体"/>
          <w:color w:val="auto"/>
          <w:sz w:val="21"/>
          <w:szCs w:val="21"/>
        </w:rPr>
        <w:t>二、工程项目管理及工程监理主要工作内容</w:t>
      </w:r>
    </w:p>
    <w:p>
      <w:pPr>
        <w:shd w:val="clear"/>
        <w:ind w:firstLine="420"/>
        <w:rPr>
          <w:rFonts w:hAnsi="宋体"/>
          <w:color w:val="auto"/>
          <w:sz w:val="21"/>
          <w:szCs w:val="21"/>
        </w:rPr>
      </w:pPr>
      <w:r>
        <w:rPr>
          <w:rFonts w:hint="eastAsia" w:hAnsi="宋体"/>
          <w:color w:val="auto"/>
          <w:sz w:val="21"/>
          <w:szCs w:val="21"/>
        </w:rPr>
        <w:t>本项目的项目管理及监理主要工作内容包括但不限于以下：</w:t>
      </w:r>
    </w:p>
    <w:p>
      <w:pPr>
        <w:shd w:val="clear"/>
        <w:ind w:firstLine="422"/>
        <w:rPr>
          <w:rFonts w:hAnsi="宋体"/>
          <w:b/>
          <w:color w:val="auto"/>
          <w:sz w:val="21"/>
          <w:szCs w:val="21"/>
        </w:rPr>
      </w:pPr>
      <w:r>
        <w:rPr>
          <w:rFonts w:hint="eastAsia" w:hAnsi="宋体"/>
          <w:b/>
          <w:color w:val="auto"/>
          <w:sz w:val="21"/>
          <w:szCs w:val="21"/>
        </w:rPr>
        <w:t>（一）项目管理服务</w:t>
      </w:r>
    </w:p>
    <w:p>
      <w:pPr>
        <w:shd w:val="clear"/>
        <w:ind w:firstLine="420"/>
        <w:rPr>
          <w:rFonts w:hAnsi="宋体"/>
          <w:color w:val="auto"/>
          <w:sz w:val="21"/>
          <w:szCs w:val="21"/>
        </w:rPr>
      </w:pPr>
      <w:r>
        <w:rPr>
          <w:rFonts w:hint="eastAsia" w:hAnsi="宋体"/>
          <w:color w:val="auto"/>
          <w:sz w:val="21"/>
          <w:szCs w:val="21"/>
        </w:rPr>
        <w:t>1、对项目管理服务单位人员组织机构的要求</w:t>
      </w:r>
    </w:p>
    <w:p>
      <w:pPr>
        <w:shd w:val="clear"/>
        <w:ind w:firstLine="420"/>
        <w:rPr>
          <w:rFonts w:hAnsi="宋体"/>
          <w:color w:val="auto"/>
          <w:sz w:val="21"/>
          <w:szCs w:val="21"/>
        </w:rPr>
      </w:pPr>
      <w:r>
        <w:rPr>
          <w:rFonts w:hint="eastAsia" w:hAnsi="宋体"/>
          <w:color w:val="auto"/>
          <w:sz w:val="21"/>
          <w:szCs w:val="21"/>
        </w:rPr>
        <w:t>1.1 对项目管理服务单位机构的要求</w:t>
      </w:r>
    </w:p>
    <w:p>
      <w:pPr>
        <w:shd w:val="clear"/>
        <w:ind w:firstLine="420"/>
        <w:rPr>
          <w:rFonts w:hAnsi="宋体"/>
          <w:color w:val="auto"/>
          <w:sz w:val="21"/>
          <w:szCs w:val="21"/>
        </w:rPr>
      </w:pPr>
      <w:r>
        <w:rPr>
          <w:rFonts w:hint="eastAsia" w:hAnsi="宋体"/>
          <w:color w:val="auto"/>
          <w:sz w:val="21"/>
          <w:szCs w:val="21"/>
        </w:rPr>
        <w:t>1.1.1 专业配套能力</w:t>
      </w:r>
    </w:p>
    <w:p>
      <w:pPr>
        <w:shd w:val="clear"/>
        <w:ind w:firstLine="420"/>
        <w:rPr>
          <w:rFonts w:hAnsi="宋体"/>
          <w:color w:val="auto"/>
          <w:sz w:val="21"/>
          <w:szCs w:val="21"/>
        </w:rPr>
      </w:pPr>
      <w:r>
        <w:rPr>
          <w:rFonts w:hint="eastAsia" w:hAnsi="宋体"/>
          <w:color w:val="auto"/>
          <w:sz w:val="21"/>
          <w:szCs w:val="21"/>
        </w:rPr>
        <w:t>项目管理服务单位应该配备齐全、稳定、高水平的专业技术与管理力量，并得到业主的认可。</w:t>
      </w:r>
    </w:p>
    <w:p>
      <w:pPr>
        <w:shd w:val="clear"/>
        <w:ind w:firstLine="420"/>
        <w:rPr>
          <w:rFonts w:hAnsi="宋体"/>
          <w:color w:val="auto"/>
          <w:sz w:val="21"/>
          <w:szCs w:val="21"/>
        </w:rPr>
      </w:pPr>
      <w:r>
        <w:rPr>
          <w:rFonts w:hint="eastAsia" w:hAnsi="宋体"/>
          <w:color w:val="auto"/>
          <w:sz w:val="21"/>
          <w:szCs w:val="21"/>
        </w:rPr>
        <w:t>1.1.2 管理水平</w:t>
      </w:r>
    </w:p>
    <w:p>
      <w:pPr>
        <w:shd w:val="clear"/>
        <w:ind w:firstLine="420"/>
        <w:rPr>
          <w:rFonts w:hAnsi="宋体"/>
          <w:color w:val="auto"/>
          <w:sz w:val="21"/>
          <w:szCs w:val="21"/>
        </w:rPr>
      </w:pPr>
      <w:r>
        <w:rPr>
          <w:rFonts w:hint="eastAsia" w:hAnsi="宋体"/>
          <w:color w:val="auto"/>
          <w:sz w:val="21"/>
          <w:szCs w:val="21"/>
        </w:rPr>
        <w:t>项目管理服务单位应在工程管理工作开展过程中，全面执行质量保证程序。在与业主及各相关单位开展工作前，编制有针对性的工作接口文件，使项目管理服务单位所有的管理工作，均处于受控状态。</w:t>
      </w:r>
    </w:p>
    <w:p>
      <w:pPr>
        <w:shd w:val="clear"/>
        <w:ind w:firstLine="420"/>
        <w:rPr>
          <w:rFonts w:hAnsi="宋体"/>
          <w:color w:val="auto"/>
          <w:sz w:val="21"/>
          <w:szCs w:val="21"/>
        </w:rPr>
      </w:pPr>
      <w:r>
        <w:rPr>
          <w:rFonts w:hint="eastAsia" w:hAnsi="宋体"/>
          <w:color w:val="auto"/>
          <w:sz w:val="21"/>
          <w:szCs w:val="21"/>
        </w:rPr>
        <w:t>1.2 对项目管理服务单位工作人员的要求</w:t>
      </w:r>
    </w:p>
    <w:p>
      <w:pPr>
        <w:shd w:val="clear"/>
        <w:ind w:firstLine="420"/>
        <w:rPr>
          <w:rFonts w:hAnsi="宋体"/>
          <w:color w:val="auto"/>
          <w:sz w:val="21"/>
          <w:szCs w:val="21"/>
        </w:rPr>
      </w:pPr>
      <w:r>
        <w:rPr>
          <w:rFonts w:hint="eastAsia" w:hAnsi="宋体"/>
          <w:color w:val="auto"/>
          <w:sz w:val="21"/>
          <w:szCs w:val="21"/>
        </w:rPr>
        <w:t>1.2.1具有与建设管理相对应的学历和多学科专业知识。</w:t>
      </w:r>
    </w:p>
    <w:p>
      <w:pPr>
        <w:shd w:val="clear"/>
        <w:ind w:firstLine="420"/>
        <w:rPr>
          <w:rFonts w:hAnsi="宋体"/>
          <w:color w:val="auto"/>
          <w:sz w:val="21"/>
          <w:szCs w:val="21"/>
        </w:rPr>
      </w:pPr>
      <w:r>
        <w:rPr>
          <w:rFonts w:hint="eastAsia" w:hAnsi="宋体"/>
          <w:color w:val="auto"/>
          <w:sz w:val="21"/>
          <w:szCs w:val="21"/>
        </w:rPr>
        <w:t>1.2.2具有丰富的工程建设实践经验。</w:t>
      </w:r>
    </w:p>
    <w:p>
      <w:pPr>
        <w:shd w:val="clear"/>
        <w:ind w:firstLine="420"/>
        <w:rPr>
          <w:rFonts w:hAnsi="宋体"/>
          <w:color w:val="auto"/>
          <w:sz w:val="21"/>
          <w:szCs w:val="21"/>
        </w:rPr>
      </w:pPr>
      <w:r>
        <w:rPr>
          <w:rFonts w:hint="eastAsia" w:hAnsi="宋体"/>
          <w:color w:val="auto"/>
          <w:sz w:val="21"/>
          <w:szCs w:val="21"/>
        </w:rPr>
        <w:t>1.2.3具有良好的职业道德。</w:t>
      </w:r>
    </w:p>
    <w:p>
      <w:pPr>
        <w:shd w:val="clear"/>
        <w:ind w:firstLine="420"/>
        <w:rPr>
          <w:rFonts w:hAnsi="宋体"/>
          <w:color w:val="auto"/>
          <w:sz w:val="21"/>
          <w:szCs w:val="21"/>
        </w:rPr>
      </w:pPr>
      <w:r>
        <w:rPr>
          <w:rFonts w:hint="eastAsia" w:hAnsi="宋体"/>
          <w:color w:val="auto"/>
          <w:sz w:val="21"/>
          <w:szCs w:val="21"/>
        </w:rPr>
        <w:t>1.3 对项目管理部的要求</w:t>
      </w:r>
    </w:p>
    <w:p>
      <w:pPr>
        <w:shd w:val="clear"/>
        <w:ind w:firstLine="420"/>
        <w:rPr>
          <w:rFonts w:hAnsi="宋体"/>
          <w:color w:val="auto"/>
          <w:sz w:val="21"/>
          <w:szCs w:val="21"/>
        </w:rPr>
      </w:pPr>
      <w:r>
        <w:rPr>
          <w:rFonts w:hint="eastAsia" w:hAnsi="宋体"/>
          <w:color w:val="auto"/>
          <w:sz w:val="21"/>
          <w:szCs w:val="21"/>
        </w:rPr>
        <w:t>1.3.1 项目管理经理负责制：项目管理服务单位委派的项目管理经理是项目管理全部工作的负责人，是项目管理服务单位工作的责任主体，是实现综合目标的主要责任者，项目管理服务单位的组织机构应形成以项目管理经理为首的高效决策指挥体系；</w:t>
      </w:r>
    </w:p>
    <w:p>
      <w:pPr>
        <w:shd w:val="clear"/>
        <w:ind w:firstLine="420"/>
        <w:rPr>
          <w:rFonts w:hAnsi="宋体"/>
          <w:color w:val="auto"/>
          <w:sz w:val="21"/>
          <w:szCs w:val="21"/>
        </w:rPr>
      </w:pPr>
      <w:r>
        <w:rPr>
          <w:rFonts w:hint="eastAsia" w:hAnsi="宋体"/>
          <w:color w:val="auto"/>
          <w:sz w:val="21"/>
          <w:szCs w:val="21"/>
        </w:rPr>
        <w:t>1.3.2 实事求是：项目管理服务单位在工作开展中应尊重事实，任何指令、判断应以法律和事实为依据；</w:t>
      </w:r>
    </w:p>
    <w:p>
      <w:pPr>
        <w:shd w:val="clear"/>
        <w:ind w:firstLine="420"/>
        <w:rPr>
          <w:rFonts w:hAnsi="宋体"/>
          <w:color w:val="auto"/>
          <w:sz w:val="21"/>
          <w:szCs w:val="21"/>
        </w:rPr>
      </w:pPr>
      <w:r>
        <w:rPr>
          <w:rFonts w:hint="eastAsia" w:hAnsi="宋体"/>
          <w:color w:val="auto"/>
          <w:sz w:val="21"/>
          <w:szCs w:val="21"/>
        </w:rPr>
        <w:t>1.3.3 预防为主：由于本工程的复杂性、重要性，要求项目管理服务单位开展工作时把重点放在“预控”上，在制定工作计划、实施项目管理过程中，对工程投资、进度、质量、安全、环保控制中可能发生的问题要有预见性和超前的考虑，加强事前控制力度；</w:t>
      </w:r>
    </w:p>
    <w:p>
      <w:pPr>
        <w:shd w:val="clear"/>
        <w:ind w:firstLine="420"/>
        <w:rPr>
          <w:rFonts w:hAnsi="宋体"/>
          <w:color w:val="auto"/>
          <w:sz w:val="21"/>
          <w:szCs w:val="21"/>
        </w:rPr>
      </w:pPr>
      <w:r>
        <w:rPr>
          <w:rFonts w:hint="eastAsia" w:hAnsi="宋体"/>
          <w:color w:val="auto"/>
          <w:sz w:val="21"/>
          <w:szCs w:val="21"/>
        </w:rPr>
        <w:t>1.3.4 诚信服务：依照既定的程序和制度，认真履行，谨慎、勤奋工作，为业主提供诚信的服务，维护业主利益。</w:t>
      </w:r>
    </w:p>
    <w:p>
      <w:pPr>
        <w:shd w:val="clear"/>
        <w:ind w:firstLine="420"/>
        <w:rPr>
          <w:rFonts w:hAnsi="宋体"/>
          <w:color w:val="auto"/>
          <w:sz w:val="21"/>
          <w:szCs w:val="21"/>
        </w:rPr>
      </w:pPr>
      <w:r>
        <w:rPr>
          <w:rFonts w:hint="eastAsia" w:hAnsi="宋体"/>
          <w:color w:val="auto"/>
          <w:sz w:val="21"/>
          <w:szCs w:val="21"/>
        </w:rPr>
        <w:t>为形成本工程高素质的管理队伍，项目管理部配备的人员应具有合理的专业结构、合理的技术职务和职称结构，并具有充足的高效率的管理人员。</w:t>
      </w:r>
    </w:p>
    <w:p>
      <w:pPr>
        <w:shd w:val="clear"/>
        <w:ind w:firstLine="420"/>
        <w:rPr>
          <w:rFonts w:hAnsi="宋体"/>
          <w:color w:val="auto"/>
          <w:sz w:val="21"/>
          <w:szCs w:val="21"/>
        </w:rPr>
      </w:pPr>
      <w:r>
        <w:rPr>
          <w:rFonts w:hint="eastAsia" w:hAnsi="宋体"/>
          <w:color w:val="auto"/>
          <w:sz w:val="21"/>
          <w:szCs w:val="21"/>
        </w:rPr>
        <w:t>1.3.5 针对本工程建设实施的项目管理部应按照本合同的有关规定和要求，制定严格的现场作息与办公制度，根据工程实施进度，原则上保证足够的工程现场办公作息时间，并在特殊情况和要求下可作灵活调整。</w:t>
      </w:r>
    </w:p>
    <w:p>
      <w:pPr>
        <w:shd w:val="clear"/>
        <w:ind w:firstLine="420"/>
        <w:rPr>
          <w:rFonts w:hAnsi="宋体"/>
          <w:color w:val="auto"/>
          <w:sz w:val="21"/>
          <w:szCs w:val="21"/>
        </w:rPr>
      </w:pPr>
      <w:r>
        <w:rPr>
          <w:rFonts w:hint="eastAsia" w:hAnsi="宋体"/>
          <w:color w:val="auto"/>
          <w:sz w:val="21"/>
          <w:szCs w:val="21"/>
        </w:rPr>
        <w:t>2、对项目管理服务单位管理工作大纲的要求</w:t>
      </w:r>
    </w:p>
    <w:p>
      <w:pPr>
        <w:shd w:val="clear"/>
        <w:ind w:firstLine="420"/>
        <w:rPr>
          <w:rFonts w:hAnsi="宋体"/>
          <w:color w:val="auto"/>
          <w:sz w:val="21"/>
          <w:szCs w:val="21"/>
        </w:rPr>
      </w:pPr>
      <w:r>
        <w:rPr>
          <w:rFonts w:hint="eastAsia" w:hAnsi="宋体"/>
          <w:color w:val="auto"/>
          <w:sz w:val="21"/>
          <w:szCs w:val="21"/>
        </w:rPr>
        <w:t>2.1 对项目管理服务单位工作大纲的要求</w:t>
      </w:r>
    </w:p>
    <w:p>
      <w:pPr>
        <w:shd w:val="clear"/>
        <w:ind w:firstLine="420"/>
        <w:rPr>
          <w:rFonts w:hAnsi="宋体"/>
          <w:color w:val="auto"/>
          <w:sz w:val="21"/>
          <w:szCs w:val="21"/>
        </w:rPr>
      </w:pPr>
      <w:r>
        <w:rPr>
          <w:rFonts w:hint="eastAsia" w:hAnsi="宋体"/>
          <w:color w:val="auto"/>
          <w:sz w:val="21"/>
          <w:szCs w:val="21"/>
        </w:rPr>
        <w:t>其基本内容应当包括：工程说明、目标规划、职责关系、项目结构分解、组织结构、项目管理服务单位工作义务、目标控制、管理协调工作程序等。</w:t>
      </w:r>
    </w:p>
    <w:p>
      <w:pPr>
        <w:shd w:val="clear"/>
        <w:ind w:firstLine="420"/>
        <w:rPr>
          <w:rFonts w:hAnsi="宋体"/>
          <w:color w:val="auto"/>
          <w:sz w:val="21"/>
          <w:szCs w:val="21"/>
        </w:rPr>
      </w:pPr>
      <w:r>
        <w:rPr>
          <w:rFonts w:hint="eastAsia" w:hAnsi="宋体"/>
          <w:color w:val="auto"/>
          <w:sz w:val="21"/>
          <w:szCs w:val="21"/>
        </w:rPr>
        <w:t>工作大纲应具有针对性，对本工程的特殊情况和普遍情况进行剖析，充分领会业主的建设意图，结合本单位的管理体系，真正起到指导项目管理服务单位工作的作用。</w:t>
      </w:r>
    </w:p>
    <w:p>
      <w:pPr>
        <w:shd w:val="clear"/>
        <w:ind w:firstLine="420"/>
        <w:rPr>
          <w:rFonts w:hAnsi="宋体"/>
          <w:color w:val="auto"/>
          <w:sz w:val="21"/>
          <w:szCs w:val="21"/>
        </w:rPr>
      </w:pPr>
      <w:r>
        <w:rPr>
          <w:rFonts w:hint="eastAsia" w:hAnsi="宋体"/>
          <w:color w:val="auto"/>
          <w:sz w:val="21"/>
          <w:szCs w:val="21"/>
        </w:rPr>
        <w:t>工作大纲是针对本工程来编写的，而工程的动态性较强，决定了工作大纲具有可变性。所以，要随着工程项目展开进行不断地补充、修改和完善，目的是使工程项目的实施能够在有效控制之下。</w:t>
      </w:r>
    </w:p>
    <w:p>
      <w:pPr>
        <w:shd w:val="clear"/>
        <w:ind w:firstLine="420"/>
        <w:rPr>
          <w:rFonts w:hAnsi="宋体"/>
          <w:color w:val="auto"/>
          <w:sz w:val="21"/>
          <w:szCs w:val="21"/>
        </w:rPr>
      </w:pPr>
      <w:r>
        <w:rPr>
          <w:rFonts w:hint="eastAsia" w:hAnsi="宋体"/>
          <w:color w:val="auto"/>
          <w:sz w:val="21"/>
          <w:szCs w:val="21"/>
        </w:rPr>
        <w:t>工作大纲在编写完成后，需要得到业主的确认或备案。业主将据此监督、检查与考核项目管理服务单位的工作。</w:t>
      </w:r>
    </w:p>
    <w:p>
      <w:pPr>
        <w:shd w:val="clear"/>
        <w:ind w:firstLine="420"/>
        <w:rPr>
          <w:rFonts w:hAnsi="宋体"/>
          <w:color w:val="auto"/>
          <w:sz w:val="21"/>
          <w:szCs w:val="21"/>
        </w:rPr>
      </w:pPr>
      <w:r>
        <w:rPr>
          <w:rFonts w:hint="eastAsia" w:hAnsi="宋体"/>
          <w:color w:val="auto"/>
          <w:sz w:val="21"/>
          <w:szCs w:val="21"/>
        </w:rPr>
        <w:t>2.2 工作大纲的内容</w:t>
      </w:r>
    </w:p>
    <w:p>
      <w:pPr>
        <w:shd w:val="clear"/>
        <w:ind w:firstLine="420"/>
        <w:rPr>
          <w:rFonts w:hAnsi="宋体"/>
          <w:color w:val="auto"/>
          <w:sz w:val="21"/>
          <w:szCs w:val="21"/>
        </w:rPr>
      </w:pPr>
      <w:r>
        <w:rPr>
          <w:rFonts w:hint="eastAsia" w:hAnsi="宋体"/>
          <w:color w:val="auto"/>
          <w:sz w:val="21"/>
          <w:szCs w:val="21"/>
        </w:rPr>
        <w:t>项目管理服务单位提交的工作大纲内容应精简，具有可操作性，主要包括以下内容：</w:t>
      </w:r>
    </w:p>
    <w:p>
      <w:pPr>
        <w:shd w:val="clear"/>
        <w:ind w:firstLine="420"/>
        <w:rPr>
          <w:rFonts w:hAnsi="宋体"/>
          <w:color w:val="auto"/>
          <w:sz w:val="21"/>
          <w:szCs w:val="21"/>
        </w:rPr>
      </w:pPr>
      <w:r>
        <w:rPr>
          <w:rFonts w:hint="eastAsia" w:hAnsi="宋体"/>
          <w:color w:val="auto"/>
          <w:sz w:val="21"/>
          <w:szCs w:val="21"/>
        </w:rPr>
        <w:t>2.2.1 工程项目概况；</w:t>
      </w:r>
    </w:p>
    <w:p>
      <w:pPr>
        <w:shd w:val="clear"/>
        <w:ind w:firstLine="420"/>
        <w:rPr>
          <w:rFonts w:hAnsi="宋体"/>
          <w:color w:val="auto"/>
          <w:sz w:val="21"/>
          <w:szCs w:val="21"/>
        </w:rPr>
      </w:pPr>
      <w:r>
        <w:rPr>
          <w:rFonts w:hint="eastAsia" w:hAnsi="宋体"/>
          <w:color w:val="auto"/>
          <w:sz w:val="21"/>
          <w:szCs w:val="21"/>
        </w:rPr>
        <w:t>2.2.2 项目管理服务单位的工作内容根据本合同的有关委托服务范围与职责来开展；</w:t>
      </w:r>
    </w:p>
    <w:p>
      <w:pPr>
        <w:shd w:val="clear"/>
        <w:ind w:firstLine="420"/>
        <w:rPr>
          <w:rFonts w:hAnsi="宋体"/>
          <w:color w:val="auto"/>
          <w:sz w:val="21"/>
          <w:szCs w:val="21"/>
        </w:rPr>
      </w:pPr>
      <w:r>
        <w:rPr>
          <w:rFonts w:hint="eastAsia" w:hAnsi="宋体"/>
          <w:color w:val="auto"/>
          <w:sz w:val="21"/>
          <w:szCs w:val="21"/>
        </w:rPr>
        <w:t>2.2.3 投资控制，包括投资目标的分解、投资控制的流程与措施等；</w:t>
      </w:r>
    </w:p>
    <w:p>
      <w:pPr>
        <w:shd w:val="clear"/>
        <w:ind w:firstLine="420"/>
        <w:rPr>
          <w:rFonts w:hAnsi="宋体"/>
          <w:color w:val="auto"/>
          <w:sz w:val="21"/>
          <w:szCs w:val="21"/>
        </w:rPr>
      </w:pPr>
      <w:r>
        <w:rPr>
          <w:rFonts w:hint="eastAsia" w:hAnsi="宋体"/>
          <w:color w:val="auto"/>
          <w:sz w:val="21"/>
          <w:szCs w:val="21"/>
        </w:rPr>
        <w:t>2.2.4 进度控制，包括项目总进度计划、进度计划目标的分解、进度控制的工作流程与措施、关键进度节点的推进与考核等；</w:t>
      </w:r>
    </w:p>
    <w:p>
      <w:pPr>
        <w:shd w:val="clear"/>
        <w:ind w:firstLine="420"/>
        <w:rPr>
          <w:rFonts w:hAnsi="宋体"/>
          <w:color w:val="auto"/>
          <w:sz w:val="21"/>
          <w:szCs w:val="21"/>
        </w:rPr>
      </w:pPr>
      <w:r>
        <w:rPr>
          <w:rFonts w:hint="eastAsia" w:hAnsi="宋体"/>
          <w:color w:val="auto"/>
          <w:sz w:val="21"/>
          <w:szCs w:val="21"/>
        </w:rPr>
        <w:t>2.2.5 质量控制，包括质量控制目标的描述，质量控制的工作流程与措施等；</w:t>
      </w:r>
    </w:p>
    <w:p>
      <w:pPr>
        <w:shd w:val="clear"/>
        <w:ind w:firstLine="420"/>
        <w:rPr>
          <w:rFonts w:hAnsi="宋体"/>
          <w:color w:val="auto"/>
          <w:sz w:val="21"/>
          <w:szCs w:val="21"/>
        </w:rPr>
      </w:pPr>
      <w:r>
        <w:rPr>
          <w:rFonts w:hint="eastAsia" w:hAnsi="宋体"/>
          <w:color w:val="auto"/>
          <w:sz w:val="21"/>
          <w:szCs w:val="21"/>
        </w:rPr>
        <w:t>2.2.6 合同管理，包括合同结构、合同清单、合同管理的工作流程与措施、合同执行情况的动态分析、合同争议与索赔程序，有关合同管理的表格等；</w:t>
      </w:r>
    </w:p>
    <w:p>
      <w:pPr>
        <w:shd w:val="clear"/>
        <w:ind w:firstLine="420"/>
        <w:rPr>
          <w:rFonts w:hAnsi="宋体"/>
          <w:color w:val="auto"/>
          <w:sz w:val="21"/>
          <w:szCs w:val="21"/>
        </w:rPr>
      </w:pPr>
      <w:r>
        <w:rPr>
          <w:rFonts w:hint="eastAsia" w:hAnsi="宋体"/>
          <w:color w:val="auto"/>
          <w:sz w:val="21"/>
          <w:szCs w:val="21"/>
        </w:rPr>
        <w:t>2.2.7 信息管理，包括工程建设的信息流程及相应的制度、信息分类、信息管理的工作流程与措施等；</w:t>
      </w:r>
    </w:p>
    <w:p>
      <w:pPr>
        <w:shd w:val="clear"/>
        <w:ind w:firstLine="420"/>
        <w:rPr>
          <w:rFonts w:hAnsi="宋体"/>
          <w:color w:val="auto"/>
          <w:sz w:val="21"/>
          <w:szCs w:val="21"/>
        </w:rPr>
      </w:pPr>
      <w:r>
        <w:rPr>
          <w:rFonts w:hint="eastAsia" w:hAnsi="宋体"/>
          <w:color w:val="auto"/>
          <w:sz w:val="21"/>
          <w:szCs w:val="21"/>
        </w:rPr>
        <w:t>2.2.8 工程建设安全管理与文明施工管理；</w:t>
      </w:r>
    </w:p>
    <w:p>
      <w:pPr>
        <w:shd w:val="clear"/>
        <w:ind w:firstLine="420"/>
        <w:rPr>
          <w:rFonts w:hAnsi="宋体"/>
          <w:color w:val="auto"/>
          <w:sz w:val="21"/>
          <w:szCs w:val="21"/>
        </w:rPr>
      </w:pPr>
      <w:r>
        <w:rPr>
          <w:rFonts w:hint="eastAsia" w:hAnsi="宋体"/>
          <w:color w:val="auto"/>
          <w:sz w:val="21"/>
          <w:szCs w:val="21"/>
        </w:rPr>
        <w:t>2.2.9 工程建设环境保护管理；</w:t>
      </w:r>
    </w:p>
    <w:p>
      <w:pPr>
        <w:shd w:val="clear"/>
        <w:ind w:firstLine="420"/>
        <w:rPr>
          <w:rFonts w:hAnsi="宋体"/>
          <w:color w:val="auto"/>
          <w:sz w:val="21"/>
          <w:szCs w:val="21"/>
        </w:rPr>
      </w:pPr>
      <w:r>
        <w:rPr>
          <w:rFonts w:hint="eastAsia" w:hAnsi="宋体"/>
          <w:color w:val="auto"/>
          <w:sz w:val="21"/>
          <w:szCs w:val="21"/>
        </w:rPr>
        <w:t>2.2.10 工程风险管理；</w:t>
      </w:r>
    </w:p>
    <w:p>
      <w:pPr>
        <w:shd w:val="clear"/>
        <w:ind w:firstLine="420"/>
        <w:rPr>
          <w:rFonts w:hAnsi="宋体"/>
          <w:color w:val="auto"/>
          <w:sz w:val="21"/>
          <w:szCs w:val="21"/>
        </w:rPr>
      </w:pPr>
      <w:r>
        <w:rPr>
          <w:rFonts w:hint="eastAsia" w:hAnsi="宋体"/>
          <w:color w:val="auto"/>
          <w:sz w:val="21"/>
          <w:szCs w:val="21"/>
        </w:rPr>
        <w:t>2.2.11 组织协调，包括与本工程有关的内外单位情况分析、协调程序等；</w:t>
      </w:r>
    </w:p>
    <w:p>
      <w:pPr>
        <w:shd w:val="clear"/>
        <w:ind w:firstLine="420"/>
        <w:rPr>
          <w:rFonts w:hAnsi="宋体"/>
          <w:color w:val="auto"/>
          <w:sz w:val="21"/>
          <w:szCs w:val="21"/>
        </w:rPr>
      </w:pPr>
      <w:r>
        <w:rPr>
          <w:rFonts w:hint="eastAsia" w:hAnsi="宋体"/>
          <w:color w:val="auto"/>
          <w:sz w:val="21"/>
          <w:szCs w:val="21"/>
        </w:rPr>
        <w:t>2.2.12 项目管理服务单位的工作机构、职责分工等；</w:t>
      </w:r>
    </w:p>
    <w:p>
      <w:pPr>
        <w:shd w:val="clear"/>
        <w:ind w:firstLine="420"/>
        <w:rPr>
          <w:rFonts w:hAnsi="宋体"/>
          <w:color w:val="auto"/>
          <w:sz w:val="21"/>
          <w:szCs w:val="21"/>
        </w:rPr>
      </w:pPr>
      <w:r>
        <w:rPr>
          <w:rFonts w:hint="eastAsia" w:hAnsi="宋体"/>
          <w:color w:val="auto"/>
          <w:sz w:val="21"/>
          <w:szCs w:val="21"/>
        </w:rPr>
        <w:t>2.2.13 项目管理服务单位工作内外制度，比如变更处理制度、施工现场紧急情况处理制度、工程款支付签证制度、日常作息办公制度、上报业主的周报月报制度等。</w:t>
      </w:r>
    </w:p>
    <w:p>
      <w:pPr>
        <w:shd w:val="clear"/>
        <w:ind w:firstLine="420"/>
        <w:rPr>
          <w:rFonts w:hAnsi="宋体"/>
          <w:color w:val="auto"/>
          <w:sz w:val="21"/>
          <w:szCs w:val="21"/>
        </w:rPr>
      </w:pPr>
      <w:r>
        <w:rPr>
          <w:rFonts w:hint="eastAsia" w:hAnsi="宋体"/>
          <w:color w:val="auto"/>
          <w:sz w:val="21"/>
          <w:szCs w:val="21"/>
        </w:rPr>
        <w:t>3、对项目管理服务单位勘察设计、咨询管理的要求</w:t>
      </w:r>
    </w:p>
    <w:p>
      <w:pPr>
        <w:shd w:val="clear"/>
        <w:ind w:firstLine="420"/>
        <w:rPr>
          <w:rFonts w:hAnsi="宋体"/>
          <w:color w:val="auto"/>
          <w:sz w:val="21"/>
          <w:szCs w:val="21"/>
        </w:rPr>
      </w:pPr>
      <w:r>
        <w:rPr>
          <w:rFonts w:hint="eastAsia" w:hAnsi="宋体"/>
          <w:color w:val="auto"/>
          <w:sz w:val="21"/>
          <w:szCs w:val="21"/>
        </w:rPr>
        <w:t>加强勘察设计管理是提高工程质量、降低工程投资、加快工程进度的关键和手段。项目管理服务单位的职责是加强勘察设计管理，重点检查落实：</w:t>
      </w:r>
    </w:p>
    <w:p>
      <w:pPr>
        <w:shd w:val="clear"/>
        <w:ind w:firstLine="420"/>
        <w:rPr>
          <w:rFonts w:hAnsi="宋体"/>
          <w:color w:val="auto"/>
          <w:sz w:val="21"/>
          <w:szCs w:val="21"/>
        </w:rPr>
      </w:pPr>
      <w:r>
        <w:rPr>
          <w:rFonts w:hint="eastAsia" w:hAnsi="宋体"/>
          <w:color w:val="auto"/>
          <w:sz w:val="21"/>
          <w:szCs w:val="21"/>
        </w:rPr>
        <w:t>3.1 方案阶段</w:t>
      </w:r>
    </w:p>
    <w:p>
      <w:pPr>
        <w:shd w:val="clear"/>
        <w:ind w:firstLine="420"/>
        <w:rPr>
          <w:rFonts w:hAnsi="宋体"/>
          <w:color w:val="auto"/>
          <w:sz w:val="21"/>
          <w:szCs w:val="21"/>
        </w:rPr>
      </w:pPr>
      <w:r>
        <w:rPr>
          <w:rFonts w:hint="eastAsia" w:hAnsi="宋体"/>
          <w:color w:val="auto"/>
          <w:sz w:val="21"/>
          <w:szCs w:val="21"/>
        </w:rPr>
        <w:t>3.1.1 在减少迁改的前提下确定平面线位；</w:t>
      </w:r>
    </w:p>
    <w:p>
      <w:pPr>
        <w:shd w:val="clear"/>
        <w:ind w:firstLine="420"/>
        <w:rPr>
          <w:rFonts w:hAnsi="宋体"/>
          <w:color w:val="auto"/>
          <w:sz w:val="21"/>
          <w:szCs w:val="21"/>
        </w:rPr>
      </w:pPr>
      <w:r>
        <w:rPr>
          <w:rFonts w:hint="eastAsia" w:hAnsi="宋体"/>
          <w:color w:val="auto"/>
          <w:sz w:val="21"/>
          <w:szCs w:val="21"/>
        </w:rPr>
        <w:t>3.1.2 比选各种软土路基的处理方法；</w:t>
      </w:r>
    </w:p>
    <w:p>
      <w:pPr>
        <w:shd w:val="clear"/>
        <w:ind w:firstLine="420"/>
        <w:rPr>
          <w:rFonts w:hAnsi="宋体"/>
          <w:color w:val="auto"/>
          <w:sz w:val="21"/>
          <w:szCs w:val="21"/>
        </w:rPr>
      </w:pPr>
      <w:r>
        <w:rPr>
          <w:rFonts w:hint="eastAsia" w:hAnsi="宋体"/>
          <w:color w:val="auto"/>
          <w:sz w:val="21"/>
          <w:szCs w:val="21"/>
        </w:rPr>
        <w:t>3.1.3 积极主动征求国规、水利、交通等相关部门的意见；</w:t>
      </w:r>
    </w:p>
    <w:p>
      <w:pPr>
        <w:shd w:val="clear"/>
        <w:ind w:firstLine="420"/>
        <w:rPr>
          <w:rFonts w:hAnsi="宋体"/>
          <w:color w:val="auto"/>
          <w:sz w:val="21"/>
          <w:szCs w:val="21"/>
        </w:rPr>
      </w:pPr>
      <w:r>
        <w:rPr>
          <w:rFonts w:hint="eastAsia" w:hAnsi="宋体"/>
          <w:color w:val="auto"/>
          <w:sz w:val="21"/>
          <w:szCs w:val="21"/>
        </w:rPr>
        <w:t>3.2初步设计阶段</w:t>
      </w:r>
    </w:p>
    <w:p>
      <w:pPr>
        <w:shd w:val="clear"/>
        <w:ind w:firstLine="420"/>
        <w:rPr>
          <w:rFonts w:hAnsi="宋体"/>
          <w:color w:val="auto"/>
          <w:sz w:val="21"/>
          <w:szCs w:val="21"/>
        </w:rPr>
      </w:pPr>
      <w:r>
        <w:rPr>
          <w:rFonts w:hint="eastAsia" w:hAnsi="宋体"/>
          <w:color w:val="auto"/>
          <w:sz w:val="21"/>
          <w:szCs w:val="21"/>
        </w:rPr>
        <w:t>3.2.1 对勘察资料进行核查，确保基础资料的质量、深度和广度满足初步设计需要；</w:t>
      </w:r>
    </w:p>
    <w:p>
      <w:pPr>
        <w:shd w:val="clear"/>
        <w:ind w:firstLine="420"/>
        <w:rPr>
          <w:rFonts w:hAnsi="宋体"/>
          <w:color w:val="auto"/>
          <w:sz w:val="21"/>
          <w:szCs w:val="21"/>
        </w:rPr>
      </w:pPr>
      <w:r>
        <w:rPr>
          <w:rFonts w:hint="eastAsia" w:hAnsi="宋体"/>
          <w:color w:val="auto"/>
          <w:sz w:val="21"/>
          <w:szCs w:val="21"/>
        </w:rPr>
        <w:t>3.2.2 核查设计原则是否体现方案设计批文、建设单位及其上级主管部门的要求和批示；是否符合本项目的特点和要求；</w:t>
      </w:r>
    </w:p>
    <w:p>
      <w:pPr>
        <w:shd w:val="clear"/>
        <w:ind w:firstLine="420"/>
        <w:rPr>
          <w:rFonts w:hAnsi="宋体"/>
          <w:color w:val="auto"/>
          <w:sz w:val="21"/>
          <w:szCs w:val="21"/>
        </w:rPr>
      </w:pPr>
      <w:r>
        <w:rPr>
          <w:rFonts w:hint="eastAsia" w:hAnsi="宋体"/>
          <w:color w:val="auto"/>
          <w:sz w:val="21"/>
          <w:szCs w:val="21"/>
        </w:rPr>
        <w:t>3.2.3 协助建设单位跟踪设计；</w:t>
      </w:r>
    </w:p>
    <w:p>
      <w:pPr>
        <w:shd w:val="clear"/>
        <w:ind w:firstLine="420"/>
        <w:rPr>
          <w:rFonts w:hAnsi="宋体"/>
          <w:color w:val="auto"/>
          <w:sz w:val="21"/>
          <w:szCs w:val="21"/>
        </w:rPr>
      </w:pPr>
      <w:r>
        <w:rPr>
          <w:rFonts w:hint="eastAsia" w:hAnsi="宋体"/>
          <w:color w:val="auto"/>
          <w:sz w:val="21"/>
          <w:szCs w:val="21"/>
        </w:rPr>
        <w:t>3.2.4 为配合招标，协助建设单位要求设计深度达到业主招标要求。</w:t>
      </w:r>
    </w:p>
    <w:p>
      <w:pPr>
        <w:shd w:val="clear"/>
        <w:ind w:firstLine="420"/>
        <w:rPr>
          <w:rFonts w:hAnsi="宋体"/>
          <w:color w:val="auto"/>
          <w:sz w:val="21"/>
          <w:szCs w:val="21"/>
        </w:rPr>
      </w:pPr>
      <w:r>
        <w:rPr>
          <w:rFonts w:hint="eastAsia" w:hAnsi="宋体"/>
          <w:color w:val="auto"/>
          <w:sz w:val="21"/>
          <w:szCs w:val="21"/>
        </w:rPr>
        <w:t>3.3施工图阶段</w:t>
      </w:r>
    </w:p>
    <w:p>
      <w:pPr>
        <w:shd w:val="clear"/>
        <w:ind w:firstLine="420"/>
        <w:rPr>
          <w:rFonts w:hAnsi="宋体"/>
          <w:color w:val="auto"/>
          <w:sz w:val="21"/>
          <w:szCs w:val="21"/>
        </w:rPr>
      </w:pPr>
      <w:r>
        <w:rPr>
          <w:rFonts w:hint="eastAsia" w:hAnsi="宋体"/>
          <w:color w:val="auto"/>
          <w:sz w:val="21"/>
          <w:szCs w:val="21"/>
        </w:rPr>
        <w:t>3.3.1 对定测、详勘资料进行审查，确保基础资料的质量、深度和广度满足施工图设计需要；</w:t>
      </w:r>
    </w:p>
    <w:p>
      <w:pPr>
        <w:shd w:val="clear"/>
        <w:ind w:firstLine="420"/>
        <w:rPr>
          <w:rFonts w:hAnsi="宋体"/>
          <w:color w:val="auto"/>
          <w:sz w:val="21"/>
          <w:szCs w:val="21"/>
        </w:rPr>
      </w:pPr>
      <w:r>
        <w:rPr>
          <w:rFonts w:hint="eastAsia" w:hAnsi="宋体"/>
          <w:color w:val="auto"/>
          <w:sz w:val="21"/>
          <w:szCs w:val="21"/>
        </w:rPr>
        <w:t>3.3.2 协助业主跟踪设计，对设计单位分批提交的施工图纸设计文件进行全面核查，对设计文件的说明部分、图纸部分作为重点核查内容。</w:t>
      </w:r>
    </w:p>
    <w:p>
      <w:pPr>
        <w:shd w:val="clear"/>
        <w:ind w:firstLine="420"/>
        <w:rPr>
          <w:rFonts w:hAnsi="宋体"/>
          <w:color w:val="auto"/>
          <w:sz w:val="21"/>
          <w:szCs w:val="21"/>
        </w:rPr>
      </w:pPr>
      <w:r>
        <w:rPr>
          <w:rFonts w:hint="eastAsia" w:hAnsi="宋体"/>
          <w:color w:val="auto"/>
          <w:sz w:val="21"/>
          <w:szCs w:val="21"/>
        </w:rPr>
        <w:t>3.4 施工配合阶段</w:t>
      </w:r>
    </w:p>
    <w:p>
      <w:pPr>
        <w:shd w:val="clear"/>
        <w:ind w:firstLine="420"/>
        <w:rPr>
          <w:rFonts w:hAnsi="宋体"/>
          <w:color w:val="auto"/>
          <w:sz w:val="21"/>
          <w:szCs w:val="21"/>
        </w:rPr>
      </w:pPr>
      <w:r>
        <w:rPr>
          <w:rFonts w:hint="eastAsia" w:hAnsi="宋体"/>
          <w:color w:val="auto"/>
          <w:sz w:val="21"/>
          <w:szCs w:val="21"/>
        </w:rPr>
        <w:t>3.4.1 检查派驻配合施工人员到位情况；</w:t>
      </w:r>
    </w:p>
    <w:p>
      <w:pPr>
        <w:shd w:val="clear"/>
        <w:ind w:firstLine="420"/>
        <w:rPr>
          <w:rFonts w:hAnsi="宋体"/>
          <w:color w:val="auto"/>
          <w:sz w:val="21"/>
          <w:szCs w:val="21"/>
        </w:rPr>
      </w:pPr>
      <w:r>
        <w:rPr>
          <w:rFonts w:hint="eastAsia" w:hAnsi="宋体"/>
          <w:color w:val="auto"/>
          <w:sz w:val="21"/>
          <w:szCs w:val="21"/>
        </w:rPr>
        <w:t>3.4.2 对设计变更的必要性、可行性与合理性作出评价；</w:t>
      </w:r>
    </w:p>
    <w:p>
      <w:pPr>
        <w:shd w:val="clear"/>
        <w:ind w:firstLine="420"/>
        <w:rPr>
          <w:rFonts w:hAnsi="宋体"/>
          <w:color w:val="auto"/>
          <w:sz w:val="21"/>
          <w:szCs w:val="21"/>
        </w:rPr>
      </w:pPr>
      <w:r>
        <w:rPr>
          <w:rFonts w:hint="eastAsia" w:hAnsi="宋体"/>
          <w:color w:val="auto"/>
          <w:sz w:val="21"/>
          <w:szCs w:val="21"/>
        </w:rPr>
        <w:t>3.4.3 及时办理设计变更手续。</w:t>
      </w:r>
    </w:p>
    <w:p>
      <w:pPr>
        <w:shd w:val="clear"/>
        <w:ind w:firstLine="420"/>
        <w:rPr>
          <w:rFonts w:hAnsi="宋体"/>
          <w:color w:val="auto"/>
          <w:sz w:val="21"/>
          <w:szCs w:val="21"/>
        </w:rPr>
      </w:pPr>
      <w:r>
        <w:rPr>
          <w:rFonts w:hint="eastAsia" w:hAnsi="宋体"/>
          <w:color w:val="auto"/>
          <w:sz w:val="21"/>
          <w:szCs w:val="21"/>
        </w:rPr>
        <w:t>要根据本工程的具体情况，明确设计进度计划，以便各方能够更有效的进行设计和施工的管理。</w:t>
      </w:r>
    </w:p>
    <w:p>
      <w:pPr>
        <w:shd w:val="clear"/>
        <w:ind w:firstLine="420"/>
        <w:rPr>
          <w:rFonts w:hAnsi="宋体"/>
          <w:color w:val="auto"/>
          <w:sz w:val="21"/>
          <w:szCs w:val="21"/>
        </w:rPr>
      </w:pPr>
      <w:r>
        <w:rPr>
          <w:rFonts w:hint="eastAsia" w:hAnsi="宋体"/>
          <w:color w:val="auto"/>
          <w:sz w:val="21"/>
          <w:szCs w:val="21"/>
        </w:rPr>
        <w:t>4、对项目管理服务单位投资控制的要求</w:t>
      </w:r>
    </w:p>
    <w:p>
      <w:pPr>
        <w:shd w:val="clear"/>
        <w:ind w:firstLine="420"/>
        <w:rPr>
          <w:rFonts w:hAnsi="宋体"/>
          <w:color w:val="auto"/>
          <w:sz w:val="21"/>
          <w:szCs w:val="21"/>
        </w:rPr>
      </w:pPr>
      <w:r>
        <w:rPr>
          <w:rFonts w:hint="eastAsia" w:hAnsi="宋体"/>
          <w:color w:val="auto"/>
          <w:sz w:val="21"/>
          <w:szCs w:val="21"/>
        </w:rPr>
        <w:t>4.1 建立完善的投资控制保证体系，确保将工程成本控制在业主要求的目标成本内。</w:t>
      </w:r>
    </w:p>
    <w:p>
      <w:pPr>
        <w:shd w:val="clear"/>
        <w:ind w:firstLine="420"/>
        <w:rPr>
          <w:rFonts w:hAnsi="宋体"/>
          <w:color w:val="auto"/>
          <w:sz w:val="21"/>
          <w:szCs w:val="21"/>
        </w:rPr>
      </w:pPr>
      <w:r>
        <w:rPr>
          <w:rFonts w:hint="eastAsia" w:hAnsi="宋体"/>
          <w:color w:val="auto"/>
          <w:sz w:val="21"/>
          <w:szCs w:val="21"/>
        </w:rPr>
        <w:t>4.2 应以设计阶段为重点进行工程的投资控制。</w:t>
      </w:r>
    </w:p>
    <w:p>
      <w:pPr>
        <w:shd w:val="clear"/>
        <w:ind w:firstLine="420"/>
        <w:rPr>
          <w:rFonts w:hAnsi="宋体"/>
          <w:color w:val="auto"/>
          <w:sz w:val="21"/>
          <w:szCs w:val="21"/>
        </w:rPr>
      </w:pPr>
      <w:r>
        <w:rPr>
          <w:rFonts w:hint="eastAsia" w:hAnsi="宋体"/>
          <w:color w:val="auto"/>
          <w:sz w:val="21"/>
          <w:szCs w:val="21"/>
        </w:rPr>
        <w:t>4.3管线迁移等前期工作是影响本工程投资的另一重要环节。要求项目管理服务单位加强事前、事中管理及事后审查。优化设计及施工组织方案，减少不必要的征地拆迁，特别是减少不必要的管线迁移，切实把前期费用控制在目标成本内。</w:t>
      </w:r>
    </w:p>
    <w:p>
      <w:pPr>
        <w:shd w:val="clear"/>
        <w:ind w:firstLine="420"/>
        <w:rPr>
          <w:rFonts w:hAnsi="宋体"/>
          <w:color w:val="auto"/>
          <w:sz w:val="21"/>
          <w:szCs w:val="21"/>
        </w:rPr>
      </w:pPr>
      <w:r>
        <w:rPr>
          <w:rFonts w:hint="eastAsia" w:hAnsi="宋体"/>
          <w:color w:val="auto"/>
          <w:sz w:val="21"/>
          <w:szCs w:val="21"/>
        </w:rPr>
        <w:t>4.4 要从组织、技术、经济、合同与信息管理等多方面采取措施进行主动的、全面的投资控制，要注重技术与经济的有机结合，要形成投资控制的运行机制；制订严格的工程价款结算审批程序，做好用款计划，合理使用资金，提高资金管理的水平和质量。把投资控制观念渗透到工程建设的各个环节与各个方面中。</w:t>
      </w:r>
    </w:p>
    <w:p>
      <w:pPr>
        <w:shd w:val="clear"/>
        <w:ind w:firstLine="420"/>
        <w:rPr>
          <w:rFonts w:hAnsi="宋体"/>
          <w:color w:val="auto"/>
          <w:sz w:val="21"/>
          <w:szCs w:val="21"/>
        </w:rPr>
      </w:pPr>
      <w:r>
        <w:rPr>
          <w:rFonts w:hint="eastAsia" w:hAnsi="宋体"/>
          <w:color w:val="auto"/>
          <w:sz w:val="21"/>
          <w:szCs w:val="21"/>
        </w:rPr>
        <w:t>5、对项目管理服务单位质量控制的要求</w:t>
      </w:r>
    </w:p>
    <w:p>
      <w:pPr>
        <w:shd w:val="clear"/>
        <w:ind w:firstLine="420"/>
        <w:rPr>
          <w:rFonts w:hAnsi="宋体"/>
          <w:color w:val="auto"/>
          <w:sz w:val="21"/>
          <w:szCs w:val="21"/>
        </w:rPr>
      </w:pPr>
      <w:r>
        <w:rPr>
          <w:rFonts w:hint="eastAsia" w:hAnsi="宋体"/>
          <w:color w:val="auto"/>
          <w:sz w:val="21"/>
          <w:szCs w:val="21"/>
        </w:rPr>
        <w:t>质量是工程的根本所在，项目管理服务单位对本工程的工程质量，承担全部管理责任。要求项目管理服务单位采取有力措施，实现本工程的质量目标。</w:t>
      </w:r>
    </w:p>
    <w:p>
      <w:pPr>
        <w:shd w:val="clear"/>
        <w:ind w:firstLine="420"/>
        <w:rPr>
          <w:rFonts w:hAnsi="宋体"/>
          <w:color w:val="auto"/>
          <w:sz w:val="21"/>
          <w:szCs w:val="21"/>
        </w:rPr>
      </w:pPr>
      <w:r>
        <w:rPr>
          <w:rFonts w:hint="eastAsia" w:hAnsi="宋体"/>
          <w:color w:val="auto"/>
          <w:sz w:val="21"/>
          <w:szCs w:val="21"/>
        </w:rPr>
        <w:t>5.1 制订完善的质量保证体系，对可能的质量隐患进行事前预测和防范。</w:t>
      </w:r>
    </w:p>
    <w:p>
      <w:pPr>
        <w:shd w:val="clear"/>
        <w:ind w:firstLine="420"/>
        <w:rPr>
          <w:rFonts w:hAnsi="宋体"/>
          <w:color w:val="auto"/>
          <w:sz w:val="21"/>
          <w:szCs w:val="21"/>
        </w:rPr>
      </w:pPr>
      <w:r>
        <w:rPr>
          <w:rFonts w:hint="eastAsia" w:hAnsi="宋体"/>
          <w:color w:val="auto"/>
          <w:sz w:val="21"/>
          <w:szCs w:val="21"/>
        </w:rPr>
        <w:t>5.2 采用经过审查批准的设计文件。</w:t>
      </w:r>
    </w:p>
    <w:p>
      <w:pPr>
        <w:shd w:val="clear"/>
        <w:ind w:firstLine="420"/>
        <w:rPr>
          <w:rFonts w:hAnsi="宋体"/>
          <w:color w:val="auto"/>
          <w:sz w:val="21"/>
          <w:szCs w:val="21"/>
        </w:rPr>
      </w:pPr>
      <w:r>
        <w:rPr>
          <w:rFonts w:hint="eastAsia" w:hAnsi="宋体"/>
          <w:color w:val="auto"/>
          <w:sz w:val="21"/>
          <w:szCs w:val="21"/>
        </w:rPr>
        <w:t>5.3 应向第三方提供真实、准确、齐全的有关资料。</w:t>
      </w:r>
    </w:p>
    <w:p>
      <w:pPr>
        <w:shd w:val="clear"/>
        <w:ind w:firstLine="420"/>
        <w:rPr>
          <w:rFonts w:hAnsi="宋体"/>
          <w:color w:val="auto"/>
          <w:sz w:val="21"/>
          <w:szCs w:val="21"/>
        </w:rPr>
      </w:pPr>
      <w:r>
        <w:rPr>
          <w:rFonts w:hint="eastAsia" w:hAnsi="宋体"/>
          <w:color w:val="auto"/>
          <w:sz w:val="21"/>
          <w:szCs w:val="21"/>
        </w:rPr>
        <w:t>5.4 不得明示或暗示第三方违反工程建设标准，不得使用不合格的材料、构配件和设备，降低建设工程质量。</w:t>
      </w:r>
    </w:p>
    <w:p>
      <w:pPr>
        <w:shd w:val="clear"/>
        <w:ind w:firstLine="420"/>
        <w:rPr>
          <w:rFonts w:hAnsi="宋体"/>
          <w:color w:val="auto"/>
          <w:sz w:val="21"/>
          <w:szCs w:val="21"/>
        </w:rPr>
      </w:pPr>
      <w:r>
        <w:rPr>
          <w:rFonts w:hint="eastAsia" w:hAnsi="宋体"/>
          <w:color w:val="auto"/>
          <w:sz w:val="21"/>
          <w:szCs w:val="21"/>
        </w:rPr>
        <w:t>5.5 在领取建设工程施工许可证前，应当按照国家有关规定办理工程质量监督手续。</w:t>
      </w:r>
    </w:p>
    <w:p>
      <w:pPr>
        <w:shd w:val="clear"/>
        <w:ind w:firstLine="420"/>
        <w:rPr>
          <w:rFonts w:hAnsi="宋体"/>
          <w:color w:val="auto"/>
          <w:sz w:val="21"/>
          <w:szCs w:val="21"/>
        </w:rPr>
      </w:pPr>
      <w:r>
        <w:rPr>
          <w:rFonts w:hint="eastAsia" w:hAnsi="宋体"/>
          <w:color w:val="auto"/>
          <w:sz w:val="21"/>
          <w:szCs w:val="21"/>
        </w:rPr>
        <w:t>5.6 收到建设工程竣工报告后，应当组织设计、施工、工程监理等有关单位进行竣工验收。</w:t>
      </w:r>
    </w:p>
    <w:p>
      <w:pPr>
        <w:shd w:val="clear"/>
        <w:ind w:firstLine="420"/>
        <w:rPr>
          <w:rFonts w:hAnsi="宋体"/>
          <w:color w:val="auto"/>
          <w:sz w:val="21"/>
          <w:szCs w:val="21"/>
        </w:rPr>
      </w:pPr>
      <w:r>
        <w:rPr>
          <w:rFonts w:hint="eastAsia" w:hAnsi="宋体"/>
          <w:color w:val="auto"/>
          <w:sz w:val="21"/>
          <w:szCs w:val="21"/>
        </w:rPr>
        <w:t>6、对项目管理服务单位进度控制的要求</w:t>
      </w:r>
    </w:p>
    <w:p>
      <w:pPr>
        <w:shd w:val="clear"/>
        <w:ind w:firstLine="420"/>
        <w:rPr>
          <w:rFonts w:hAnsi="宋体"/>
          <w:color w:val="auto"/>
          <w:sz w:val="21"/>
          <w:szCs w:val="21"/>
        </w:rPr>
      </w:pPr>
      <w:r>
        <w:rPr>
          <w:rFonts w:hint="eastAsia" w:hAnsi="宋体"/>
          <w:color w:val="auto"/>
          <w:sz w:val="21"/>
          <w:szCs w:val="21"/>
        </w:rPr>
        <w:t>制订科学、合理、可行的工程总体进度控制目标，项目管理服务单位要建立完善的进度保证体系，实现本工程的进度目标。在综合考虑投资、安全、质量、进度、环保五大目标对立统一的基础上，明确本工程进度控制目标，包括工程进度总目标，单位、分部、分项工程的分目标。要建立起包括业主、项目管理服务单位、承包单位在内的以进度计划体系为基础构成的工程进度总控制实施系统，在实施过程中要经常检查实际进度是否按计划要求进行，对出现的偏差要及时分析原因，采取综合性的措施，包括组织措施、技术措施、合同措施以及经济手段进行有效控制，从而保证进度控制总目标的实现。</w:t>
      </w:r>
    </w:p>
    <w:p>
      <w:pPr>
        <w:shd w:val="clear"/>
        <w:ind w:firstLine="420"/>
        <w:rPr>
          <w:rFonts w:hAnsi="宋体"/>
          <w:color w:val="auto"/>
          <w:sz w:val="21"/>
          <w:szCs w:val="21"/>
        </w:rPr>
      </w:pPr>
      <w:r>
        <w:rPr>
          <w:rFonts w:hint="eastAsia" w:hAnsi="宋体"/>
          <w:color w:val="auto"/>
          <w:sz w:val="21"/>
          <w:szCs w:val="21"/>
        </w:rPr>
        <w:t>7、对项目管理服务单位安全生产的要求</w:t>
      </w:r>
    </w:p>
    <w:p>
      <w:pPr>
        <w:shd w:val="clear"/>
        <w:ind w:firstLine="420"/>
        <w:rPr>
          <w:rFonts w:hAnsi="宋体"/>
          <w:color w:val="auto"/>
          <w:sz w:val="21"/>
          <w:szCs w:val="21"/>
        </w:rPr>
      </w:pPr>
      <w:r>
        <w:rPr>
          <w:rFonts w:hint="eastAsia" w:hAnsi="宋体"/>
          <w:color w:val="auto"/>
          <w:sz w:val="21"/>
          <w:szCs w:val="21"/>
        </w:rPr>
        <w:t>7.1 重大安全事故根据建设部《工程建设重大事故报告和调查程序规定》(建设部第3号令)来认定。</w:t>
      </w:r>
    </w:p>
    <w:p>
      <w:pPr>
        <w:shd w:val="clear"/>
        <w:ind w:firstLine="420"/>
        <w:rPr>
          <w:rFonts w:hAnsi="宋体"/>
          <w:color w:val="auto"/>
          <w:sz w:val="21"/>
          <w:szCs w:val="21"/>
        </w:rPr>
      </w:pPr>
      <w:r>
        <w:rPr>
          <w:rFonts w:hint="eastAsia" w:hAnsi="宋体"/>
          <w:color w:val="auto"/>
          <w:sz w:val="21"/>
          <w:szCs w:val="21"/>
        </w:rPr>
        <w:t>7.2 项目管理服务单位在管理过程中，应严格执行各级政府对安全工作的相关规定，对安全生产责任制、施工现场管理、沟槽及基坑开挖、现场防火防爆、脚手架安全、起重设备及机械设备的安全、现场电气管理、房屋拆除安全管理、高空作业等采取有效管理手段，杜绝事故的发生。</w:t>
      </w:r>
    </w:p>
    <w:p>
      <w:pPr>
        <w:shd w:val="clear"/>
        <w:ind w:firstLine="420"/>
        <w:rPr>
          <w:rFonts w:hAnsi="宋体"/>
          <w:color w:val="auto"/>
          <w:sz w:val="21"/>
          <w:szCs w:val="21"/>
        </w:rPr>
      </w:pPr>
      <w:r>
        <w:rPr>
          <w:rFonts w:hint="eastAsia" w:hAnsi="宋体"/>
          <w:color w:val="auto"/>
          <w:sz w:val="21"/>
          <w:szCs w:val="21"/>
        </w:rPr>
        <w:t>7.3 项目管理服务单位应实施的安全防范行为：</w:t>
      </w:r>
    </w:p>
    <w:p>
      <w:pPr>
        <w:shd w:val="clear"/>
        <w:ind w:firstLine="420"/>
        <w:rPr>
          <w:rFonts w:hAnsi="宋体"/>
          <w:color w:val="auto"/>
          <w:sz w:val="21"/>
          <w:szCs w:val="21"/>
        </w:rPr>
      </w:pPr>
      <w:r>
        <w:rPr>
          <w:rFonts w:hint="eastAsia" w:hAnsi="宋体"/>
          <w:color w:val="auto"/>
          <w:sz w:val="21"/>
          <w:szCs w:val="21"/>
        </w:rPr>
        <w:t>7.3.1 贯彻执行“安全第一、预防为主”的方针，遵守安全生产的法律、法规以及各类安全生产的规章和标准；</w:t>
      </w:r>
    </w:p>
    <w:p>
      <w:pPr>
        <w:shd w:val="clear"/>
        <w:ind w:firstLine="420"/>
        <w:rPr>
          <w:rFonts w:hAnsi="宋体"/>
          <w:color w:val="auto"/>
          <w:sz w:val="21"/>
          <w:szCs w:val="21"/>
        </w:rPr>
      </w:pPr>
      <w:r>
        <w:rPr>
          <w:rFonts w:hint="eastAsia" w:hAnsi="宋体"/>
          <w:color w:val="auto"/>
          <w:sz w:val="21"/>
          <w:szCs w:val="21"/>
        </w:rPr>
        <w:t>7.3.2 督促施工单位事先编制严密的安全控制计划，分析项目在各个阶段中，会带来哪些不安全因素与隐患，相应的有哪些可靠的安全防范措施；</w:t>
      </w:r>
    </w:p>
    <w:p>
      <w:pPr>
        <w:shd w:val="clear"/>
        <w:ind w:firstLine="420"/>
        <w:rPr>
          <w:rFonts w:hAnsi="宋体"/>
          <w:color w:val="auto"/>
          <w:sz w:val="21"/>
          <w:szCs w:val="21"/>
        </w:rPr>
      </w:pPr>
      <w:r>
        <w:rPr>
          <w:rFonts w:hint="eastAsia" w:hAnsi="宋体"/>
          <w:color w:val="auto"/>
          <w:sz w:val="21"/>
          <w:szCs w:val="21"/>
        </w:rPr>
        <w:t>7.3.3 配合质量安全监督部门建立整个项目的安全生产责任制和管理网络，制定安全管理的程序；</w:t>
      </w:r>
    </w:p>
    <w:p>
      <w:pPr>
        <w:shd w:val="clear"/>
        <w:ind w:firstLine="420"/>
        <w:rPr>
          <w:rFonts w:hAnsi="宋体"/>
          <w:color w:val="auto"/>
          <w:sz w:val="21"/>
          <w:szCs w:val="21"/>
        </w:rPr>
      </w:pPr>
      <w:r>
        <w:rPr>
          <w:rFonts w:hint="eastAsia" w:hAnsi="宋体"/>
          <w:color w:val="auto"/>
          <w:sz w:val="21"/>
          <w:szCs w:val="21"/>
        </w:rPr>
        <w:t>7.3.4 督促施工单位落实安全生产的组织保证体系，建立安全生产责任制，签订安全生产协议书；</w:t>
      </w:r>
    </w:p>
    <w:p>
      <w:pPr>
        <w:shd w:val="clear"/>
        <w:ind w:firstLine="420"/>
        <w:rPr>
          <w:rFonts w:hAnsi="宋体"/>
          <w:color w:val="auto"/>
          <w:sz w:val="21"/>
          <w:szCs w:val="21"/>
        </w:rPr>
      </w:pPr>
      <w:r>
        <w:rPr>
          <w:rFonts w:hint="eastAsia" w:hAnsi="宋体"/>
          <w:color w:val="auto"/>
          <w:sz w:val="21"/>
          <w:szCs w:val="21"/>
        </w:rPr>
        <w:t>7.3.5 配合质量安全监督部门检查工程承包商主要施工机械、设备等的技术性能及安全条件；</w:t>
      </w:r>
    </w:p>
    <w:p>
      <w:pPr>
        <w:shd w:val="clear"/>
        <w:ind w:firstLine="420"/>
        <w:rPr>
          <w:rFonts w:hAnsi="宋体"/>
          <w:color w:val="auto"/>
          <w:sz w:val="21"/>
          <w:szCs w:val="21"/>
        </w:rPr>
      </w:pPr>
      <w:r>
        <w:rPr>
          <w:rFonts w:hint="eastAsia" w:hAnsi="宋体"/>
          <w:color w:val="auto"/>
          <w:sz w:val="21"/>
          <w:szCs w:val="21"/>
        </w:rPr>
        <w:t>7.3.6 督促施工单位进行安全生产教育，对所有操作人员进行安全技术交底；</w:t>
      </w:r>
    </w:p>
    <w:p>
      <w:pPr>
        <w:shd w:val="clear"/>
        <w:ind w:firstLine="420"/>
        <w:rPr>
          <w:rFonts w:hAnsi="宋体"/>
          <w:color w:val="auto"/>
          <w:sz w:val="21"/>
          <w:szCs w:val="21"/>
        </w:rPr>
      </w:pPr>
      <w:r>
        <w:rPr>
          <w:rFonts w:hint="eastAsia" w:hAnsi="宋体"/>
          <w:color w:val="auto"/>
          <w:sz w:val="21"/>
          <w:szCs w:val="21"/>
        </w:rPr>
        <w:t>7.3.7 审查施工方案及安全防护措施；检查安全技术措施和劳动保护措施的落实情况；</w:t>
      </w:r>
    </w:p>
    <w:p>
      <w:pPr>
        <w:shd w:val="clear"/>
        <w:ind w:firstLine="420"/>
        <w:rPr>
          <w:rFonts w:hAnsi="宋体"/>
          <w:color w:val="auto"/>
          <w:sz w:val="21"/>
          <w:szCs w:val="21"/>
        </w:rPr>
      </w:pPr>
      <w:r>
        <w:rPr>
          <w:rFonts w:hint="eastAsia" w:hAnsi="宋体"/>
          <w:color w:val="auto"/>
          <w:sz w:val="21"/>
          <w:szCs w:val="21"/>
        </w:rPr>
        <w:t>7.3.8 监督检查施工现场的消防工作、冬季防寒、夏季防暑、文明施工、卫生防疫等工作；</w:t>
      </w:r>
    </w:p>
    <w:p>
      <w:pPr>
        <w:shd w:val="clear"/>
        <w:ind w:firstLine="420"/>
        <w:rPr>
          <w:rFonts w:hAnsi="宋体"/>
          <w:color w:val="auto"/>
          <w:sz w:val="21"/>
          <w:szCs w:val="21"/>
        </w:rPr>
      </w:pPr>
      <w:r>
        <w:rPr>
          <w:rFonts w:hint="eastAsia" w:hAnsi="宋体"/>
          <w:color w:val="auto"/>
          <w:sz w:val="21"/>
          <w:szCs w:val="21"/>
        </w:rPr>
        <w:t>7.3.9 定期、不定期组织安全综合检查，检查安全隐患，提出处理意见并限期整改；发现违章冒险作业、发现安全隐患的要立即停工整改；</w:t>
      </w:r>
    </w:p>
    <w:p>
      <w:pPr>
        <w:shd w:val="clear"/>
        <w:ind w:firstLine="420"/>
        <w:rPr>
          <w:rFonts w:hAnsi="宋体"/>
          <w:color w:val="auto"/>
          <w:sz w:val="21"/>
          <w:szCs w:val="21"/>
        </w:rPr>
      </w:pPr>
      <w:r>
        <w:rPr>
          <w:rFonts w:hint="eastAsia" w:hAnsi="宋体"/>
          <w:color w:val="auto"/>
          <w:sz w:val="21"/>
          <w:szCs w:val="21"/>
        </w:rPr>
        <w:t>7.4 项目管理服务单位应负责本工程的治安、综合治理、卫生防疫等安全工作。</w:t>
      </w:r>
    </w:p>
    <w:p>
      <w:pPr>
        <w:shd w:val="clear"/>
        <w:ind w:firstLine="420"/>
        <w:rPr>
          <w:rFonts w:hAnsi="宋体"/>
          <w:color w:val="auto"/>
          <w:sz w:val="21"/>
          <w:szCs w:val="21"/>
        </w:rPr>
      </w:pPr>
      <w:r>
        <w:rPr>
          <w:rFonts w:hint="eastAsia" w:hAnsi="宋体"/>
          <w:color w:val="auto"/>
          <w:sz w:val="21"/>
          <w:szCs w:val="21"/>
        </w:rPr>
        <w:t>7.5 项目管理服务单位有义务定期将工程安全生产的动态向业主上报。</w:t>
      </w:r>
    </w:p>
    <w:p>
      <w:pPr>
        <w:shd w:val="clear"/>
        <w:ind w:firstLine="420"/>
        <w:rPr>
          <w:rFonts w:hAnsi="宋体"/>
          <w:color w:val="auto"/>
          <w:sz w:val="21"/>
          <w:szCs w:val="21"/>
        </w:rPr>
      </w:pPr>
      <w:r>
        <w:rPr>
          <w:rFonts w:hint="eastAsia" w:hAnsi="宋体"/>
          <w:color w:val="auto"/>
          <w:sz w:val="21"/>
          <w:szCs w:val="21"/>
        </w:rPr>
        <w:t>8、对项目管理服务单位加强环境保护工作的要求</w:t>
      </w:r>
    </w:p>
    <w:p>
      <w:pPr>
        <w:shd w:val="clear"/>
        <w:ind w:firstLine="420"/>
        <w:rPr>
          <w:rFonts w:hAnsi="宋体"/>
          <w:color w:val="auto"/>
          <w:sz w:val="21"/>
          <w:szCs w:val="21"/>
        </w:rPr>
      </w:pPr>
      <w:r>
        <w:rPr>
          <w:rFonts w:hint="eastAsia" w:hAnsi="宋体"/>
          <w:color w:val="auto"/>
          <w:sz w:val="21"/>
          <w:szCs w:val="21"/>
        </w:rPr>
        <w:t>项目管理服务单位负责对本工程建设期间的环境保护管理。要求项目管理服务单位采取有力措施，应使本工程建设期间杜绝重大环境污染事故的发生。如因项目管理服务单位采取的措施不力造成环境污染事故的，项目管理服务单位应承担相应的责任。</w:t>
      </w:r>
    </w:p>
    <w:p>
      <w:pPr>
        <w:shd w:val="clear"/>
        <w:ind w:firstLine="420"/>
        <w:rPr>
          <w:rFonts w:hAnsi="宋体"/>
          <w:color w:val="auto"/>
          <w:sz w:val="21"/>
          <w:szCs w:val="21"/>
        </w:rPr>
      </w:pPr>
      <w:r>
        <w:rPr>
          <w:rFonts w:hint="eastAsia" w:hAnsi="宋体"/>
          <w:color w:val="auto"/>
          <w:sz w:val="21"/>
          <w:szCs w:val="21"/>
        </w:rPr>
        <w:t>8.1 项目管理服务单位应建立健全环境管理体系和组织机构，应按环境保护相关的法律法规及其他要求，实现持续改进和污染预防的环境承诺。</w:t>
      </w:r>
    </w:p>
    <w:p>
      <w:pPr>
        <w:shd w:val="clear"/>
        <w:ind w:firstLine="420"/>
        <w:rPr>
          <w:rFonts w:hAnsi="宋体"/>
          <w:color w:val="auto"/>
          <w:sz w:val="21"/>
          <w:szCs w:val="21"/>
        </w:rPr>
      </w:pPr>
      <w:r>
        <w:rPr>
          <w:rFonts w:hint="eastAsia" w:hAnsi="宋体"/>
          <w:color w:val="auto"/>
          <w:sz w:val="21"/>
          <w:szCs w:val="21"/>
        </w:rPr>
        <w:t>8.2 项目管理服务单位应督促监理单位及施工单位根据工程特点建立健全相应的环境管理体系和环境管理组织机构，明确目标、职责，制定切实可行的环境保护措施、环境管理方案、应急预案。</w:t>
      </w:r>
    </w:p>
    <w:p>
      <w:pPr>
        <w:shd w:val="clear"/>
        <w:ind w:firstLine="420"/>
        <w:rPr>
          <w:rFonts w:hAnsi="宋体"/>
          <w:color w:val="auto"/>
          <w:sz w:val="21"/>
          <w:szCs w:val="21"/>
        </w:rPr>
      </w:pPr>
      <w:r>
        <w:rPr>
          <w:rFonts w:hint="eastAsia" w:hAnsi="宋体"/>
          <w:color w:val="auto"/>
          <w:sz w:val="21"/>
          <w:szCs w:val="21"/>
        </w:rPr>
        <w:t>9、对项目管理服务单位合同管理的要求</w:t>
      </w:r>
    </w:p>
    <w:p>
      <w:pPr>
        <w:shd w:val="clear"/>
        <w:ind w:firstLine="420"/>
        <w:rPr>
          <w:rFonts w:hAnsi="宋体"/>
          <w:color w:val="auto"/>
          <w:sz w:val="21"/>
          <w:szCs w:val="21"/>
        </w:rPr>
      </w:pPr>
      <w:r>
        <w:rPr>
          <w:rFonts w:hint="eastAsia" w:hAnsi="宋体"/>
          <w:color w:val="auto"/>
          <w:sz w:val="21"/>
          <w:szCs w:val="21"/>
        </w:rPr>
        <w:t>本工程建设实施的各方都是独立承担民事责任的主体，各方之间的关系均为经济关系和合同关系。在整个工程的建设管理过程中，项目管理服务单位的基本任务是对工程的五大目标(投资、进度、安全、质量和环保)进行控制，而控制的依据是合同，合同管理涉及到签约各方的权利、责任和利益。因此，要始终把合同管理放在项目管理的核心地位。</w:t>
      </w:r>
    </w:p>
    <w:p>
      <w:pPr>
        <w:shd w:val="clear"/>
        <w:ind w:firstLine="420"/>
        <w:rPr>
          <w:rFonts w:hAnsi="宋体"/>
          <w:color w:val="auto"/>
          <w:sz w:val="21"/>
          <w:szCs w:val="21"/>
        </w:rPr>
      </w:pPr>
      <w:r>
        <w:rPr>
          <w:rFonts w:hint="eastAsia" w:hAnsi="宋体"/>
          <w:color w:val="auto"/>
          <w:sz w:val="21"/>
          <w:szCs w:val="21"/>
        </w:rPr>
        <w:t>9.1 要把合同管理与投资控制有机地结合起来。</w:t>
      </w:r>
    </w:p>
    <w:p>
      <w:pPr>
        <w:shd w:val="clear"/>
        <w:ind w:firstLine="420"/>
        <w:rPr>
          <w:rFonts w:hAnsi="宋体"/>
          <w:color w:val="auto"/>
          <w:sz w:val="21"/>
          <w:szCs w:val="21"/>
        </w:rPr>
      </w:pPr>
      <w:r>
        <w:rPr>
          <w:rFonts w:hint="eastAsia" w:hAnsi="宋体"/>
          <w:color w:val="auto"/>
          <w:sz w:val="21"/>
          <w:szCs w:val="21"/>
        </w:rPr>
        <w:t>提高合同的履约率是合同管理的核心，也是投资控制的前提。首先，要求每一个合同中，凡是涉及到投资、质量、进度、安全、环保的内容，都需要作出明确、具体的规定，尽可能的定量化，避免歧义和争议。其次，在合同中要对合同目标出现偏差后的情况制定明确、具体的规定和措施。</w:t>
      </w:r>
    </w:p>
    <w:p>
      <w:pPr>
        <w:shd w:val="clear"/>
        <w:ind w:firstLine="420"/>
        <w:rPr>
          <w:rFonts w:hAnsi="宋体"/>
          <w:color w:val="auto"/>
          <w:sz w:val="21"/>
          <w:szCs w:val="21"/>
        </w:rPr>
      </w:pPr>
      <w:r>
        <w:rPr>
          <w:rFonts w:hint="eastAsia" w:hAnsi="宋体"/>
          <w:color w:val="auto"/>
          <w:sz w:val="21"/>
          <w:szCs w:val="21"/>
        </w:rPr>
        <w:t>9.2 要把合同管理与招标工作有机结合起来。</w:t>
      </w:r>
    </w:p>
    <w:p>
      <w:pPr>
        <w:shd w:val="clear"/>
        <w:ind w:firstLine="420"/>
        <w:rPr>
          <w:rFonts w:hAnsi="宋体"/>
          <w:color w:val="auto"/>
          <w:sz w:val="21"/>
          <w:szCs w:val="21"/>
        </w:rPr>
      </w:pPr>
      <w:r>
        <w:rPr>
          <w:rFonts w:hint="eastAsia" w:hAnsi="宋体"/>
          <w:color w:val="auto"/>
          <w:sz w:val="21"/>
          <w:szCs w:val="21"/>
        </w:rPr>
        <w:t>合同管理并不是在合同签订之后才开始的，招投标过程中形成的文件都是合同文件的组成部分。因此，应在招投标阶段就要求具有强烈的合同意识，保证合同条件的完整性、准确性、严格性、合理性与可行性。</w:t>
      </w:r>
    </w:p>
    <w:p>
      <w:pPr>
        <w:shd w:val="clear"/>
        <w:ind w:firstLine="420"/>
        <w:rPr>
          <w:rFonts w:hAnsi="宋体"/>
          <w:color w:val="auto"/>
          <w:sz w:val="21"/>
          <w:szCs w:val="21"/>
        </w:rPr>
      </w:pPr>
      <w:r>
        <w:rPr>
          <w:rFonts w:hint="eastAsia" w:hAnsi="宋体"/>
          <w:color w:val="auto"/>
          <w:sz w:val="21"/>
          <w:szCs w:val="21"/>
        </w:rPr>
        <w:t>9.3 要把合同管理制度化、法制化和信息化结合起来。</w:t>
      </w:r>
    </w:p>
    <w:p>
      <w:pPr>
        <w:shd w:val="clear"/>
        <w:ind w:firstLine="420"/>
        <w:rPr>
          <w:rFonts w:hAnsi="宋体"/>
          <w:color w:val="auto"/>
          <w:sz w:val="21"/>
          <w:szCs w:val="21"/>
        </w:rPr>
      </w:pPr>
      <w:r>
        <w:rPr>
          <w:rFonts w:hint="eastAsia" w:hAnsi="宋体"/>
          <w:color w:val="auto"/>
          <w:sz w:val="21"/>
          <w:szCs w:val="21"/>
        </w:rPr>
        <w:t>市政工程建设需涉及到诸多不同部门不同类型的合同。因此，要求改变应用行政手段和方法来组织和管理工程建设的传统模式，而需要更多地运用经济手段、法律手段和现代化工具来加强合同的管理，提高合同管理的效率和水平。</w:t>
      </w:r>
    </w:p>
    <w:p>
      <w:pPr>
        <w:shd w:val="clear"/>
        <w:ind w:firstLine="420"/>
        <w:rPr>
          <w:rFonts w:hAnsi="宋体"/>
          <w:color w:val="auto"/>
          <w:sz w:val="21"/>
          <w:szCs w:val="21"/>
        </w:rPr>
      </w:pPr>
      <w:r>
        <w:rPr>
          <w:rFonts w:hint="eastAsia" w:hAnsi="宋体"/>
          <w:color w:val="auto"/>
          <w:sz w:val="21"/>
          <w:szCs w:val="21"/>
        </w:rPr>
        <w:t>9.4 项目管理服务单位要及时地与各方签订合同，要建立各类合同台帐，做好对合同核对工作，定时向业主报送有关合同签订情况报表。</w:t>
      </w:r>
    </w:p>
    <w:p>
      <w:pPr>
        <w:shd w:val="clear"/>
        <w:ind w:firstLine="420"/>
        <w:rPr>
          <w:rFonts w:hAnsi="宋体"/>
          <w:color w:val="auto"/>
          <w:sz w:val="21"/>
          <w:szCs w:val="21"/>
        </w:rPr>
      </w:pPr>
      <w:r>
        <w:rPr>
          <w:rFonts w:hint="eastAsia" w:hAnsi="宋体"/>
          <w:color w:val="auto"/>
          <w:sz w:val="21"/>
          <w:szCs w:val="21"/>
        </w:rPr>
        <w:t>11、对项目管理服务单位工程索赔管理的要求</w:t>
      </w:r>
    </w:p>
    <w:p>
      <w:pPr>
        <w:shd w:val="clear"/>
        <w:ind w:firstLine="420"/>
        <w:rPr>
          <w:rFonts w:hAnsi="宋体"/>
          <w:color w:val="auto"/>
          <w:sz w:val="21"/>
          <w:szCs w:val="21"/>
        </w:rPr>
      </w:pPr>
      <w:r>
        <w:rPr>
          <w:rFonts w:hint="eastAsia" w:hAnsi="宋体"/>
          <w:color w:val="auto"/>
          <w:sz w:val="21"/>
          <w:szCs w:val="21"/>
        </w:rPr>
        <w:t>11.1 索赔是工程承包合同履行中，当事人一方因对方不履行或不完全履行既定的义务，或者由于对方的行为使权利人受到损失时，要求对方补偿损失的权利。</w:t>
      </w:r>
    </w:p>
    <w:p>
      <w:pPr>
        <w:shd w:val="clear"/>
        <w:ind w:firstLine="420"/>
        <w:rPr>
          <w:rFonts w:hAnsi="宋体"/>
          <w:color w:val="auto"/>
          <w:sz w:val="21"/>
          <w:szCs w:val="21"/>
        </w:rPr>
      </w:pPr>
      <w:r>
        <w:rPr>
          <w:rFonts w:hint="eastAsia" w:hAnsi="宋体"/>
          <w:color w:val="auto"/>
          <w:sz w:val="21"/>
          <w:szCs w:val="21"/>
        </w:rPr>
        <w:t>11.2 项目管理服务单位尽可能避免索赔事件的发生，应避免被承包商索赔，若承包商提出的索赔要求经核实属项目管理服务单位失职，业主将追究项目管理服务单位的责任，并要求承担相应的经济责任，有关赔偿金、违约金、补偿金等将在项目管理服务单位服务报酬中扣除(金额最多不超过服务报酬)。</w:t>
      </w:r>
    </w:p>
    <w:p>
      <w:pPr>
        <w:shd w:val="clear"/>
        <w:ind w:firstLine="420"/>
        <w:rPr>
          <w:rFonts w:hAnsi="宋体"/>
          <w:color w:val="auto"/>
          <w:sz w:val="21"/>
          <w:szCs w:val="21"/>
        </w:rPr>
      </w:pPr>
      <w:r>
        <w:rPr>
          <w:rFonts w:hint="eastAsia" w:hAnsi="宋体"/>
          <w:color w:val="auto"/>
          <w:sz w:val="21"/>
          <w:szCs w:val="21"/>
        </w:rPr>
        <w:t>11.3 项目管理服务单位应对可能发生的索赔进行预测，及时向业主报告，尽量采取一切措施，进行补救，及时启动反索赔程序，避免索赔事件的发生。</w:t>
      </w:r>
    </w:p>
    <w:p>
      <w:pPr>
        <w:shd w:val="clear"/>
        <w:ind w:firstLine="420"/>
        <w:rPr>
          <w:rFonts w:hAnsi="宋体"/>
          <w:color w:val="auto"/>
          <w:sz w:val="21"/>
          <w:szCs w:val="21"/>
        </w:rPr>
      </w:pPr>
      <w:r>
        <w:rPr>
          <w:rFonts w:hint="eastAsia" w:hAnsi="宋体"/>
          <w:color w:val="auto"/>
          <w:sz w:val="21"/>
          <w:szCs w:val="21"/>
        </w:rPr>
        <w:t>11.4 项目管理服务单位必须注意工程资料的积累，积累一切可能涉及索赔论证的资料，留下书面资料，建立严密的工作档案和日记，以事实和数据来处理索赔事件。</w:t>
      </w:r>
    </w:p>
    <w:p>
      <w:pPr>
        <w:shd w:val="clear"/>
        <w:ind w:firstLine="420"/>
        <w:rPr>
          <w:rFonts w:hAnsi="宋体"/>
          <w:color w:val="auto"/>
          <w:sz w:val="21"/>
          <w:szCs w:val="21"/>
        </w:rPr>
      </w:pPr>
      <w:r>
        <w:rPr>
          <w:rFonts w:hint="eastAsia" w:hAnsi="宋体"/>
          <w:color w:val="auto"/>
          <w:sz w:val="21"/>
          <w:szCs w:val="21"/>
        </w:rPr>
        <w:t>11.5 及时、合理地处理索赔，不使矛盾扩大化和复杂化。</w:t>
      </w:r>
    </w:p>
    <w:p>
      <w:pPr>
        <w:shd w:val="clear"/>
        <w:ind w:firstLine="420"/>
        <w:rPr>
          <w:rFonts w:hAnsi="宋体"/>
          <w:color w:val="auto"/>
          <w:sz w:val="21"/>
          <w:szCs w:val="21"/>
        </w:rPr>
      </w:pPr>
      <w:r>
        <w:rPr>
          <w:rFonts w:hint="eastAsia" w:hAnsi="宋体"/>
          <w:color w:val="auto"/>
          <w:sz w:val="21"/>
          <w:szCs w:val="21"/>
        </w:rPr>
        <w:t>11.6 加强主动管理、事先管理，尽最大可能减少工程索赔。</w:t>
      </w:r>
    </w:p>
    <w:p>
      <w:pPr>
        <w:shd w:val="clear"/>
        <w:ind w:firstLine="420"/>
        <w:rPr>
          <w:rFonts w:hAnsi="宋体"/>
          <w:color w:val="auto"/>
          <w:sz w:val="21"/>
          <w:szCs w:val="21"/>
        </w:rPr>
      </w:pPr>
      <w:r>
        <w:rPr>
          <w:rFonts w:hint="eastAsia" w:hAnsi="宋体"/>
          <w:color w:val="auto"/>
          <w:sz w:val="21"/>
          <w:szCs w:val="21"/>
        </w:rPr>
        <w:t>12、对项目管理服务单位设备采购管理的要求（若有的话）</w:t>
      </w:r>
    </w:p>
    <w:p>
      <w:pPr>
        <w:shd w:val="clear"/>
        <w:ind w:firstLine="420"/>
        <w:rPr>
          <w:rFonts w:hAnsi="宋体"/>
          <w:color w:val="auto"/>
          <w:sz w:val="21"/>
          <w:szCs w:val="21"/>
        </w:rPr>
      </w:pPr>
      <w:r>
        <w:rPr>
          <w:rFonts w:hint="eastAsia" w:hAnsi="宋体"/>
          <w:color w:val="auto"/>
          <w:sz w:val="21"/>
          <w:szCs w:val="21"/>
        </w:rPr>
        <w:t>设备采购工作的质量和效率关系到工程建设的质量、进度和投资。项目管理服务单位要认真总结研究以往工程建设管理过程中的有益经验，探索新思路、新举措，采取科学、严密的招标办法和措施，达到以经济合理的资金成本，高效、及时地采购到工程所需要的高标准、高质量的设备物资。</w:t>
      </w:r>
    </w:p>
    <w:p>
      <w:pPr>
        <w:shd w:val="clear"/>
        <w:ind w:firstLine="420"/>
        <w:rPr>
          <w:rFonts w:hAnsi="宋体"/>
          <w:color w:val="auto"/>
          <w:sz w:val="21"/>
          <w:szCs w:val="21"/>
        </w:rPr>
      </w:pPr>
      <w:r>
        <w:rPr>
          <w:rFonts w:hint="eastAsia" w:hAnsi="宋体"/>
          <w:color w:val="auto"/>
          <w:sz w:val="21"/>
          <w:szCs w:val="21"/>
        </w:rPr>
        <w:t>设备采购的计划要与工程建设进度、设备性质、安装、调试、试运行的周期相适应，并努力遵循以下几条原则：同类设备合并原则；基础设备材料优先原则；非标准设备优先原则；不同类型设备尽可能分包处理原则；</w:t>
      </w:r>
    </w:p>
    <w:p>
      <w:pPr>
        <w:shd w:val="clear"/>
        <w:ind w:firstLine="420"/>
        <w:rPr>
          <w:rFonts w:hAnsi="宋体"/>
          <w:color w:val="auto"/>
          <w:sz w:val="21"/>
          <w:szCs w:val="21"/>
        </w:rPr>
      </w:pPr>
      <w:r>
        <w:rPr>
          <w:rFonts w:hint="eastAsia" w:hAnsi="宋体"/>
          <w:color w:val="auto"/>
          <w:sz w:val="21"/>
          <w:szCs w:val="21"/>
        </w:rPr>
        <w:t>设备采购招标过程中要坚持有效竞争的原则，要做好广泛的市场调查研究工作，严格审查投标者资格，使投标竞争者在合格的信誉好的供应商之间进行。要坚持竞争性与可靠性相结合的原则，合理、统一地制订技术指标和标准。</w:t>
      </w:r>
    </w:p>
    <w:p>
      <w:pPr>
        <w:shd w:val="clear"/>
        <w:ind w:firstLine="420"/>
        <w:rPr>
          <w:rFonts w:hAnsi="宋体"/>
          <w:color w:val="auto"/>
          <w:sz w:val="21"/>
          <w:szCs w:val="21"/>
        </w:rPr>
      </w:pPr>
      <w:r>
        <w:rPr>
          <w:rFonts w:hAnsi="宋体"/>
          <w:color w:val="auto"/>
          <w:sz w:val="21"/>
          <w:szCs w:val="21"/>
        </w:rPr>
        <w:t xml:space="preserve"> </w:t>
      </w:r>
    </w:p>
    <w:p>
      <w:pPr>
        <w:shd w:val="clear"/>
        <w:ind w:firstLine="422"/>
        <w:rPr>
          <w:rFonts w:hAnsi="宋体"/>
          <w:b/>
          <w:color w:val="auto"/>
          <w:sz w:val="21"/>
          <w:szCs w:val="21"/>
        </w:rPr>
      </w:pPr>
      <w:r>
        <w:rPr>
          <w:rFonts w:hint="eastAsia" w:hAnsi="宋体"/>
          <w:b/>
          <w:color w:val="auto"/>
          <w:sz w:val="21"/>
          <w:szCs w:val="21"/>
        </w:rPr>
        <w:t>（二）工程监理</w:t>
      </w:r>
    </w:p>
    <w:p>
      <w:pPr>
        <w:shd w:val="clear"/>
        <w:ind w:firstLine="420"/>
        <w:rPr>
          <w:rFonts w:hAnsi="宋体"/>
          <w:color w:val="auto"/>
          <w:sz w:val="21"/>
          <w:szCs w:val="21"/>
        </w:rPr>
      </w:pPr>
      <w:r>
        <w:rPr>
          <w:rFonts w:hint="eastAsia" w:hAnsi="宋体"/>
          <w:color w:val="auto"/>
          <w:sz w:val="21"/>
          <w:szCs w:val="21"/>
        </w:rPr>
        <w:t>对建设工程质量、</w:t>
      </w:r>
      <w:r>
        <w:rPr>
          <w:rFonts w:hint="eastAsia" w:hAnsi="宋体"/>
          <w:color w:val="auto"/>
          <w:sz w:val="21"/>
          <w:szCs w:val="21"/>
        </w:rPr>
        <w:t>造价</w:t>
      </w:r>
      <w:r>
        <w:rPr>
          <w:rFonts w:hint="eastAsia" w:hAnsi="宋体"/>
          <w:color w:val="auto"/>
          <w:sz w:val="21"/>
          <w:szCs w:val="21"/>
        </w:rPr>
        <w:t>、进度进行控制，对合同、信息进行管理，对工程建设相关方的关系进行协调。并履行建设工程安全生产管理法定职责的服务活动，严格按照《建设工程监理规范》GB/T50319-2019执行工程监理任务具体内容包括单不限于：</w:t>
      </w:r>
    </w:p>
    <w:p>
      <w:pPr>
        <w:shd w:val="clear"/>
        <w:ind w:firstLine="420"/>
        <w:rPr>
          <w:rFonts w:hAnsi="宋体"/>
          <w:color w:val="auto"/>
          <w:sz w:val="21"/>
          <w:szCs w:val="21"/>
        </w:rPr>
      </w:pPr>
      <w:r>
        <w:rPr>
          <w:rFonts w:hint="eastAsia" w:hAnsi="宋体"/>
          <w:color w:val="auto"/>
          <w:sz w:val="21"/>
          <w:szCs w:val="21"/>
        </w:rPr>
        <w:t>1、</w:t>
      </w:r>
      <w:r>
        <w:rPr>
          <w:rFonts w:hint="eastAsia" w:hAnsi="宋体"/>
          <w:color w:val="auto"/>
          <w:sz w:val="21"/>
          <w:szCs w:val="21"/>
        </w:rPr>
        <w:tab/>
      </w:r>
      <w:r>
        <w:rPr>
          <w:rFonts w:hint="eastAsia" w:hAnsi="宋体"/>
          <w:color w:val="auto"/>
          <w:sz w:val="21"/>
          <w:szCs w:val="21"/>
        </w:rPr>
        <w:t>收到工程设计文件后编制监理规划，并在第一次工地会议7天前报委托人 。根据有关规定和监理工作需要，编制监理实施细则；</w:t>
      </w:r>
    </w:p>
    <w:p>
      <w:pPr>
        <w:shd w:val="clear"/>
        <w:ind w:firstLine="420"/>
        <w:rPr>
          <w:rFonts w:hAnsi="宋体"/>
          <w:color w:val="auto"/>
          <w:sz w:val="21"/>
          <w:szCs w:val="21"/>
        </w:rPr>
      </w:pPr>
      <w:r>
        <w:rPr>
          <w:rFonts w:hint="eastAsia" w:hAnsi="宋体"/>
          <w:color w:val="auto"/>
          <w:sz w:val="21"/>
          <w:szCs w:val="21"/>
        </w:rPr>
        <w:t>2、</w:t>
      </w:r>
      <w:r>
        <w:rPr>
          <w:rFonts w:hint="eastAsia" w:hAnsi="宋体"/>
          <w:color w:val="auto"/>
          <w:sz w:val="21"/>
          <w:szCs w:val="21"/>
        </w:rPr>
        <w:tab/>
      </w:r>
      <w:r>
        <w:rPr>
          <w:rFonts w:hint="eastAsia" w:hAnsi="宋体"/>
          <w:color w:val="auto"/>
          <w:sz w:val="21"/>
          <w:szCs w:val="21"/>
        </w:rPr>
        <w:t>熟悉工程设计文件，并参加图纸会审和设计交底会议；</w:t>
      </w:r>
    </w:p>
    <w:p>
      <w:pPr>
        <w:shd w:val="clear"/>
        <w:ind w:firstLine="420"/>
        <w:rPr>
          <w:rFonts w:hAnsi="宋体"/>
          <w:color w:val="auto"/>
          <w:sz w:val="21"/>
          <w:szCs w:val="21"/>
        </w:rPr>
      </w:pPr>
      <w:r>
        <w:rPr>
          <w:rFonts w:hint="eastAsia" w:hAnsi="宋体"/>
          <w:color w:val="auto"/>
          <w:sz w:val="21"/>
          <w:szCs w:val="21"/>
        </w:rPr>
        <w:t>3、</w:t>
      </w:r>
      <w:r>
        <w:rPr>
          <w:rFonts w:hint="eastAsia" w:hAnsi="宋体"/>
          <w:color w:val="auto"/>
          <w:sz w:val="21"/>
          <w:szCs w:val="21"/>
        </w:rPr>
        <w:tab/>
      </w:r>
      <w:r>
        <w:rPr>
          <w:rFonts w:hint="eastAsia" w:hAnsi="宋体"/>
          <w:color w:val="auto"/>
          <w:sz w:val="21"/>
          <w:szCs w:val="21"/>
        </w:rPr>
        <w:t>参加第一次工地会议；主持监理例会并根据工程需要主持或参加专题会议；</w:t>
      </w:r>
    </w:p>
    <w:p>
      <w:pPr>
        <w:shd w:val="clear"/>
        <w:ind w:firstLine="420"/>
        <w:rPr>
          <w:rFonts w:hAnsi="宋体"/>
          <w:color w:val="auto"/>
          <w:sz w:val="21"/>
          <w:szCs w:val="21"/>
        </w:rPr>
      </w:pPr>
      <w:r>
        <w:rPr>
          <w:rFonts w:hint="eastAsia" w:hAnsi="宋体"/>
          <w:color w:val="auto"/>
          <w:sz w:val="21"/>
          <w:szCs w:val="21"/>
        </w:rPr>
        <w:t>4、</w:t>
      </w:r>
      <w:r>
        <w:rPr>
          <w:rFonts w:hint="eastAsia" w:hAnsi="宋体"/>
          <w:color w:val="auto"/>
          <w:sz w:val="21"/>
          <w:szCs w:val="21"/>
        </w:rPr>
        <w:tab/>
      </w:r>
      <w:r>
        <w:rPr>
          <w:rFonts w:hint="eastAsia" w:hAnsi="宋体"/>
          <w:color w:val="auto"/>
          <w:sz w:val="21"/>
          <w:szCs w:val="21"/>
        </w:rPr>
        <w:t>审查施工单位提交的施工组织设计，重点审查其中的质量安全技术措施、施工扬尘污染防治措施、危险性较大分部分项专项工程施工方案、用工实名管理等专项施工方案是否符合《建设工程质量管理条例》、《建设工程安全生产管理条例》及广东省相关工程建设强制性标准；</w:t>
      </w:r>
    </w:p>
    <w:p>
      <w:pPr>
        <w:shd w:val="clear"/>
        <w:ind w:firstLine="420"/>
        <w:rPr>
          <w:rFonts w:hAnsi="宋体"/>
          <w:color w:val="auto"/>
          <w:sz w:val="21"/>
          <w:szCs w:val="21"/>
        </w:rPr>
      </w:pPr>
      <w:r>
        <w:rPr>
          <w:rFonts w:hint="eastAsia" w:hAnsi="宋体"/>
          <w:color w:val="auto"/>
          <w:sz w:val="21"/>
          <w:szCs w:val="21"/>
        </w:rPr>
        <w:t>5、</w:t>
      </w:r>
      <w:r>
        <w:rPr>
          <w:rFonts w:hint="eastAsia" w:hAnsi="宋体"/>
          <w:color w:val="auto"/>
          <w:sz w:val="21"/>
          <w:szCs w:val="21"/>
        </w:rPr>
        <w:tab/>
      </w:r>
      <w:r>
        <w:rPr>
          <w:rFonts w:hint="eastAsia" w:hAnsi="宋体"/>
          <w:color w:val="auto"/>
          <w:sz w:val="21"/>
          <w:szCs w:val="21"/>
        </w:rPr>
        <w:t>按国家、省、市住房城乡建设主管部门发布的有关用工实名制、工人工资支付分账管理办法及规定等文件要求，施工单位需将从业人员基本信息、作业工人考勤与工资支付信息和施工进度情况等信息登记建档、建立动态管理台账，并将以上信息报送行政监管部门接受监督管理，委托人需对这些情况进行监督管理。对施工单位未按规定落实实名管理工作的，发出监理通知单，要求其限期整改。对施工企业逾期未整改的，向建设单位和负责该工程监管工作的住房城乡建设主管部门报告。</w:t>
      </w:r>
    </w:p>
    <w:p>
      <w:pPr>
        <w:shd w:val="clear"/>
        <w:ind w:firstLine="420"/>
        <w:rPr>
          <w:rFonts w:hAnsi="宋体"/>
          <w:color w:val="auto"/>
          <w:sz w:val="21"/>
          <w:szCs w:val="21"/>
        </w:rPr>
      </w:pPr>
      <w:r>
        <w:rPr>
          <w:rFonts w:hint="eastAsia" w:hAnsi="宋体"/>
          <w:color w:val="auto"/>
          <w:sz w:val="21"/>
          <w:szCs w:val="21"/>
        </w:rPr>
        <w:t>6、检查施工单位工程质量、安全生产管理制度及组织机构和人员资格；</w:t>
      </w:r>
    </w:p>
    <w:p>
      <w:pPr>
        <w:shd w:val="clear"/>
        <w:ind w:firstLine="420"/>
        <w:rPr>
          <w:rFonts w:hAnsi="宋体"/>
          <w:color w:val="auto"/>
          <w:sz w:val="21"/>
          <w:szCs w:val="21"/>
        </w:rPr>
      </w:pPr>
      <w:r>
        <w:rPr>
          <w:rFonts w:hint="eastAsia" w:hAnsi="宋体"/>
          <w:color w:val="auto"/>
          <w:sz w:val="21"/>
          <w:szCs w:val="21"/>
        </w:rPr>
        <w:t>7、检查施工单位专职安全生产管理人员的配备情况；</w:t>
      </w:r>
    </w:p>
    <w:p>
      <w:pPr>
        <w:shd w:val="clear"/>
        <w:ind w:firstLine="420"/>
        <w:rPr>
          <w:rFonts w:hAnsi="宋体"/>
          <w:color w:val="auto"/>
          <w:sz w:val="21"/>
          <w:szCs w:val="21"/>
        </w:rPr>
      </w:pPr>
      <w:r>
        <w:rPr>
          <w:rFonts w:hint="eastAsia" w:hAnsi="宋体"/>
          <w:color w:val="auto"/>
          <w:sz w:val="21"/>
          <w:szCs w:val="21"/>
        </w:rPr>
        <w:t>8、</w:t>
      </w:r>
      <w:r>
        <w:rPr>
          <w:rFonts w:hint="eastAsia" w:hAnsi="宋体"/>
          <w:color w:val="auto"/>
          <w:sz w:val="21"/>
          <w:szCs w:val="21"/>
        </w:rPr>
        <w:tab/>
      </w:r>
      <w:r>
        <w:rPr>
          <w:rFonts w:hint="eastAsia" w:hAnsi="宋体"/>
          <w:color w:val="auto"/>
          <w:sz w:val="21"/>
          <w:szCs w:val="21"/>
        </w:rPr>
        <w:t>审查施工单位提交的施工进度计划，核查施工单位对施工进度计划的调整；</w:t>
      </w:r>
    </w:p>
    <w:p>
      <w:pPr>
        <w:shd w:val="clear"/>
        <w:ind w:firstLine="420"/>
        <w:rPr>
          <w:rFonts w:hAnsi="宋体"/>
          <w:color w:val="auto"/>
          <w:sz w:val="21"/>
          <w:szCs w:val="21"/>
        </w:rPr>
      </w:pPr>
      <w:r>
        <w:rPr>
          <w:rFonts w:hint="eastAsia" w:hAnsi="宋体"/>
          <w:color w:val="auto"/>
          <w:sz w:val="21"/>
          <w:szCs w:val="21"/>
        </w:rPr>
        <w:t>9、</w:t>
      </w:r>
      <w:r>
        <w:rPr>
          <w:rFonts w:hint="eastAsia" w:hAnsi="宋体"/>
          <w:color w:val="auto"/>
          <w:sz w:val="21"/>
          <w:szCs w:val="21"/>
        </w:rPr>
        <w:tab/>
      </w:r>
      <w:r>
        <w:rPr>
          <w:rFonts w:hint="eastAsia" w:hAnsi="宋体"/>
          <w:color w:val="auto"/>
          <w:sz w:val="21"/>
          <w:szCs w:val="21"/>
        </w:rPr>
        <w:t>检查施工单位的试验室；</w:t>
      </w:r>
    </w:p>
    <w:p>
      <w:pPr>
        <w:shd w:val="clear"/>
        <w:ind w:firstLine="420"/>
        <w:rPr>
          <w:rFonts w:hAnsi="宋体"/>
          <w:color w:val="auto"/>
          <w:sz w:val="21"/>
          <w:szCs w:val="21"/>
        </w:rPr>
      </w:pPr>
      <w:r>
        <w:rPr>
          <w:rFonts w:hint="eastAsia" w:hAnsi="宋体"/>
          <w:color w:val="auto"/>
          <w:sz w:val="21"/>
          <w:szCs w:val="21"/>
        </w:rPr>
        <w:t>10、审核施工分包人资质条件；</w:t>
      </w:r>
    </w:p>
    <w:p>
      <w:pPr>
        <w:shd w:val="clear"/>
        <w:ind w:firstLine="420"/>
        <w:rPr>
          <w:rFonts w:hAnsi="宋体"/>
          <w:color w:val="auto"/>
          <w:sz w:val="21"/>
          <w:szCs w:val="21"/>
        </w:rPr>
      </w:pPr>
      <w:r>
        <w:rPr>
          <w:rFonts w:hint="eastAsia" w:hAnsi="宋体"/>
          <w:color w:val="auto"/>
          <w:sz w:val="21"/>
          <w:szCs w:val="21"/>
        </w:rPr>
        <w:t>11、查验施工单位的施工测量放线成果；</w:t>
      </w:r>
    </w:p>
    <w:p>
      <w:pPr>
        <w:shd w:val="clear"/>
        <w:ind w:firstLine="420"/>
        <w:rPr>
          <w:rFonts w:hAnsi="宋体"/>
          <w:color w:val="auto"/>
          <w:sz w:val="21"/>
          <w:szCs w:val="21"/>
        </w:rPr>
      </w:pPr>
      <w:r>
        <w:rPr>
          <w:rFonts w:hint="eastAsia" w:hAnsi="宋体"/>
          <w:color w:val="auto"/>
          <w:sz w:val="21"/>
          <w:szCs w:val="21"/>
        </w:rPr>
        <w:t>12、审查工程开工条件，对条件具备的签发开工令；</w:t>
      </w:r>
    </w:p>
    <w:p>
      <w:pPr>
        <w:shd w:val="clear"/>
        <w:ind w:firstLine="420"/>
        <w:rPr>
          <w:rFonts w:hAnsi="宋体"/>
          <w:color w:val="auto"/>
          <w:sz w:val="21"/>
          <w:szCs w:val="21"/>
        </w:rPr>
      </w:pPr>
      <w:r>
        <w:rPr>
          <w:rFonts w:hint="eastAsia" w:hAnsi="宋体"/>
          <w:color w:val="auto"/>
          <w:sz w:val="21"/>
          <w:szCs w:val="21"/>
        </w:rPr>
        <w:t>13、审查施工单位报送的工程材料、构配件、设备质量证明文件的有效性和符合性，并按规定对用于工程的材料采取平行检验或见证取样方式进行抽检；</w:t>
      </w:r>
    </w:p>
    <w:p>
      <w:pPr>
        <w:pStyle w:val="2"/>
        <w:shd w:val="clear"/>
        <w:ind w:firstLine="420"/>
        <w:rPr>
          <w:color w:val="auto"/>
        </w:rPr>
      </w:pPr>
      <w:r>
        <w:rPr>
          <w:rFonts w:hint="eastAsia" w:hAnsi="宋体" w:eastAsia="宋体"/>
          <w:color w:val="auto"/>
          <w:sz w:val="21"/>
          <w:szCs w:val="21"/>
        </w:rPr>
        <w:t>14、审核施工单位特种作业申请审批表。</w:t>
      </w:r>
    </w:p>
    <w:p>
      <w:pPr>
        <w:shd w:val="clear"/>
        <w:ind w:firstLine="420"/>
        <w:rPr>
          <w:rFonts w:hAnsi="宋体"/>
          <w:color w:val="auto"/>
          <w:sz w:val="21"/>
          <w:szCs w:val="21"/>
        </w:rPr>
      </w:pPr>
      <w:r>
        <w:rPr>
          <w:rFonts w:hint="eastAsia" w:hAnsi="宋体"/>
          <w:color w:val="auto"/>
          <w:sz w:val="21"/>
          <w:szCs w:val="21"/>
        </w:rPr>
        <w:t>15、审核施工单位提交的工程款支付申请，签发或出具工程款支付证书，并报委托人审核、批准；</w:t>
      </w:r>
    </w:p>
    <w:p>
      <w:pPr>
        <w:shd w:val="clear"/>
        <w:ind w:firstLine="420"/>
        <w:rPr>
          <w:rFonts w:hAnsi="宋体"/>
          <w:color w:val="auto"/>
          <w:sz w:val="21"/>
          <w:szCs w:val="21"/>
        </w:rPr>
      </w:pPr>
      <w:r>
        <w:rPr>
          <w:rFonts w:hint="eastAsia" w:hAnsi="宋体"/>
          <w:color w:val="auto"/>
          <w:sz w:val="21"/>
          <w:szCs w:val="21"/>
        </w:rPr>
        <w:t>16、在巡视、旁站和检验过程中，发现工程质量、施工安全存在事故隐患的，要求施工单位整改并报委托人 ；</w:t>
      </w:r>
    </w:p>
    <w:p>
      <w:pPr>
        <w:shd w:val="clear"/>
        <w:ind w:firstLine="420"/>
        <w:rPr>
          <w:rFonts w:hAnsi="宋体"/>
          <w:color w:val="auto"/>
          <w:sz w:val="21"/>
          <w:szCs w:val="21"/>
        </w:rPr>
      </w:pPr>
      <w:r>
        <w:rPr>
          <w:rFonts w:hint="eastAsia" w:hAnsi="宋体"/>
          <w:color w:val="auto"/>
          <w:sz w:val="21"/>
          <w:szCs w:val="21"/>
        </w:rPr>
        <w:t>17、经委托人同意，签发工程暂停令和复工令；</w:t>
      </w:r>
    </w:p>
    <w:p>
      <w:pPr>
        <w:shd w:val="clear"/>
        <w:ind w:firstLine="420"/>
        <w:rPr>
          <w:rFonts w:hAnsi="宋体"/>
          <w:color w:val="auto"/>
          <w:sz w:val="21"/>
          <w:szCs w:val="21"/>
        </w:rPr>
      </w:pPr>
      <w:r>
        <w:rPr>
          <w:rFonts w:hint="eastAsia" w:hAnsi="宋体"/>
          <w:color w:val="auto"/>
          <w:sz w:val="21"/>
          <w:szCs w:val="21"/>
        </w:rPr>
        <w:t>18、审查施工单位提交的采用新材料、新工艺、新技术、新设备的论证材料及相关验收标准；</w:t>
      </w:r>
    </w:p>
    <w:p>
      <w:pPr>
        <w:shd w:val="clear"/>
        <w:ind w:firstLine="420"/>
        <w:rPr>
          <w:rFonts w:hAnsi="宋体"/>
          <w:color w:val="auto"/>
          <w:sz w:val="21"/>
          <w:szCs w:val="21"/>
        </w:rPr>
      </w:pPr>
      <w:r>
        <w:rPr>
          <w:rFonts w:hint="eastAsia" w:hAnsi="宋体"/>
          <w:color w:val="auto"/>
          <w:sz w:val="21"/>
          <w:szCs w:val="21"/>
        </w:rPr>
        <w:t>19、验收隐蔽工程、分部分项工程；</w:t>
      </w:r>
    </w:p>
    <w:p>
      <w:pPr>
        <w:shd w:val="clear"/>
        <w:ind w:firstLine="420"/>
        <w:rPr>
          <w:rFonts w:hAnsi="宋体"/>
          <w:color w:val="auto"/>
          <w:sz w:val="21"/>
          <w:szCs w:val="21"/>
        </w:rPr>
      </w:pPr>
      <w:r>
        <w:rPr>
          <w:rFonts w:hint="eastAsia" w:hAnsi="宋体"/>
          <w:color w:val="auto"/>
          <w:sz w:val="21"/>
          <w:szCs w:val="21"/>
        </w:rPr>
        <w:t>20、审查施工单位提交的工程变更申请，协调处理施工进度调整、费用索赔、合同争议等事项；</w:t>
      </w:r>
    </w:p>
    <w:p>
      <w:pPr>
        <w:shd w:val="clear"/>
        <w:ind w:firstLine="420"/>
        <w:rPr>
          <w:rFonts w:hAnsi="宋体"/>
          <w:color w:val="auto"/>
          <w:sz w:val="21"/>
          <w:szCs w:val="21"/>
        </w:rPr>
      </w:pPr>
      <w:r>
        <w:rPr>
          <w:rFonts w:hint="eastAsia" w:hAnsi="宋体"/>
          <w:color w:val="auto"/>
          <w:sz w:val="21"/>
          <w:szCs w:val="21"/>
        </w:rPr>
        <w:t>21、审查施工单位提交的竣工验收申请，编写工程质量评估报告；</w:t>
      </w:r>
    </w:p>
    <w:p>
      <w:pPr>
        <w:shd w:val="clear"/>
        <w:ind w:firstLine="420"/>
        <w:rPr>
          <w:rFonts w:hAnsi="宋体"/>
          <w:color w:val="auto"/>
          <w:sz w:val="21"/>
          <w:szCs w:val="21"/>
        </w:rPr>
      </w:pPr>
      <w:r>
        <w:rPr>
          <w:rFonts w:hint="eastAsia" w:hAnsi="宋体"/>
          <w:color w:val="auto"/>
          <w:sz w:val="21"/>
          <w:szCs w:val="21"/>
        </w:rPr>
        <w:t>22、参加工程竣工验收，签署竣工验收意见；</w:t>
      </w:r>
    </w:p>
    <w:p>
      <w:pPr>
        <w:shd w:val="clear"/>
        <w:ind w:firstLine="420"/>
        <w:rPr>
          <w:rFonts w:hAnsi="宋体"/>
          <w:color w:val="auto"/>
          <w:sz w:val="21"/>
          <w:szCs w:val="21"/>
        </w:rPr>
      </w:pPr>
      <w:r>
        <w:rPr>
          <w:rFonts w:hint="eastAsia" w:hAnsi="宋体"/>
          <w:color w:val="auto"/>
          <w:sz w:val="21"/>
          <w:szCs w:val="21"/>
        </w:rPr>
        <w:t>23、审查施工单位提交的竣工结算申请并报委托人 ；</w:t>
      </w:r>
    </w:p>
    <w:p>
      <w:pPr>
        <w:shd w:val="clear"/>
        <w:ind w:firstLine="420"/>
        <w:rPr>
          <w:rFonts w:hAnsi="宋体"/>
          <w:color w:val="auto"/>
          <w:sz w:val="21"/>
          <w:szCs w:val="21"/>
        </w:rPr>
      </w:pPr>
      <w:r>
        <w:rPr>
          <w:rFonts w:hint="eastAsia" w:hAnsi="宋体"/>
          <w:color w:val="auto"/>
          <w:sz w:val="21"/>
          <w:szCs w:val="21"/>
        </w:rPr>
        <w:t>24、编制、整理工程监理归档文件并报委托人。</w:t>
      </w:r>
    </w:p>
    <w:p>
      <w:pPr>
        <w:pStyle w:val="21"/>
        <w:shd w:val="clear"/>
        <w:ind w:firstLine="360"/>
        <w:rPr>
          <w:color w:val="auto"/>
        </w:rPr>
      </w:pPr>
    </w:p>
    <w:p>
      <w:pPr>
        <w:pStyle w:val="7"/>
        <w:shd w:val="clear"/>
        <w:rPr>
          <w:rFonts w:hAnsi="宋体"/>
          <w:color w:val="auto"/>
          <w:sz w:val="21"/>
          <w:szCs w:val="21"/>
        </w:rPr>
      </w:pPr>
      <w:r>
        <w:rPr>
          <w:rFonts w:hint="eastAsia" w:hAnsi="宋体"/>
          <w:color w:val="auto"/>
          <w:sz w:val="21"/>
          <w:szCs w:val="21"/>
        </w:rPr>
        <w:t>三、工作质量要求</w:t>
      </w:r>
    </w:p>
    <w:p>
      <w:pPr>
        <w:shd w:val="clear"/>
        <w:ind w:firstLine="422"/>
        <w:rPr>
          <w:rFonts w:hAnsi="宋体"/>
          <w:b/>
          <w:color w:val="auto"/>
          <w:sz w:val="21"/>
          <w:szCs w:val="21"/>
        </w:rPr>
      </w:pPr>
      <w:r>
        <w:rPr>
          <w:rFonts w:hint="eastAsia" w:hAnsi="宋体"/>
          <w:b/>
          <w:color w:val="auto"/>
          <w:sz w:val="21"/>
          <w:szCs w:val="21"/>
        </w:rPr>
        <w:t>（一）工作目标要求和原则</w:t>
      </w:r>
    </w:p>
    <w:p>
      <w:pPr>
        <w:shd w:val="clear"/>
        <w:ind w:firstLine="420"/>
        <w:rPr>
          <w:rFonts w:hAnsi="宋体"/>
          <w:color w:val="auto"/>
          <w:sz w:val="21"/>
          <w:szCs w:val="21"/>
        </w:rPr>
      </w:pPr>
      <w:r>
        <w:rPr>
          <w:rFonts w:hint="eastAsia" w:hAnsi="宋体"/>
          <w:color w:val="auto"/>
          <w:sz w:val="21"/>
          <w:szCs w:val="21"/>
        </w:rPr>
        <w:t>1、受托人在履行其义务时，应本着严格管理、热情服务、秉公执行、一丝不苟的原则，按照现行国家、广东省等相关规范规定要求，运用合同和现代信息化的技能谨慎而勤奋地工作，并确保投资、质量、进度等工程建设目标实现。</w:t>
      </w:r>
    </w:p>
    <w:p>
      <w:pPr>
        <w:shd w:val="clear"/>
        <w:ind w:firstLine="420"/>
        <w:rPr>
          <w:rFonts w:hAnsi="宋体"/>
          <w:color w:val="auto"/>
          <w:sz w:val="21"/>
          <w:szCs w:val="21"/>
        </w:rPr>
      </w:pPr>
      <w:r>
        <w:rPr>
          <w:rFonts w:hint="eastAsia" w:hAnsi="宋体"/>
          <w:color w:val="auto"/>
          <w:sz w:val="21"/>
          <w:szCs w:val="21"/>
        </w:rPr>
        <w:t>2、受托人必须实现质量控制目标，质量标准按照国家最新颁布《建筑工程施工质量验收统一标准》（GB 50300-2013）及相应配套的各专业验收规范，一次验收合格，□确保达到省级建设工程优质奖。</w:t>
      </w:r>
    </w:p>
    <w:p>
      <w:pPr>
        <w:shd w:val="clear"/>
        <w:ind w:firstLine="420"/>
        <w:rPr>
          <w:rFonts w:hAnsi="宋体"/>
          <w:color w:val="auto"/>
          <w:sz w:val="21"/>
          <w:szCs w:val="21"/>
        </w:rPr>
      </w:pPr>
      <w:r>
        <w:rPr>
          <w:rFonts w:hint="eastAsia" w:hAnsi="宋体"/>
          <w:color w:val="auto"/>
          <w:sz w:val="21"/>
          <w:szCs w:val="21"/>
        </w:rPr>
        <w:t>3、受托人必须实现进度控制目标，工程建设进度必须符合委托人的相关进度要求。</w:t>
      </w:r>
    </w:p>
    <w:p>
      <w:pPr>
        <w:shd w:val="clear"/>
        <w:ind w:firstLine="420"/>
        <w:rPr>
          <w:rFonts w:hAnsi="宋体"/>
          <w:color w:val="auto"/>
          <w:sz w:val="21"/>
          <w:szCs w:val="21"/>
        </w:rPr>
      </w:pPr>
      <w:r>
        <w:rPr>
          <w:rFonts w:hint="eastAsia" w:hAnsi="宋体"/>
          <w:color w:val="auto"/>
          <w:sz w:val="21"/>
          <w:szCs w:val="21"/>
        </w:rPr>
        <w:t>4、受托人在履行其义务时，应遵守国家法律和行政法规，不得损害委托人利益和任何第三者的利益，不得泄漏涉及工程的任何机密。</w:t>
      </w:r>
    </w:p>
    <w:p>
      <w:pPr>
        <w:shd w:val="clear"/>
        <w:ind w:firstLine="420"/>
        <w:rPr>
          <w:rFonts w:hAnsi="宋体"/>
          <w:color w:val="auto"/>
          <w:sz w:val="21"/>
          <w:szCs w:val="21"/>
        </w:rPr>
      </w:pPr>
      <w:r>
        <w:rPr>
          <w:rFonts w:hint="eastAsia" w:hAnsi="宋体"/>
          <w:color w:val="auto"/>
          <w:sz w:val="21"/>
          <w:szCs w:val="21"/>
        </w:rPr>
        <w:t>5、受托人应当严格履行项目策划与管理和监理义务，对涉及施工安全的危险作业进行技术方案审查，并督促落实。</w:t>
      </w:r>
    </w:p>
    <w:p>
      <w:pPr>
        <w:shd w:val="clear"/>
        <w:ind w:firstLine="420"/>
        <w:rPr>
          <w:rFonts w:hAnsi="宋体"/>
          <w:color w:val="auto"/>
          <w:sz w:val="21"/>
          <w:szCs w:val="21"/>
        </w:rPr>
      </w:pPr>
      <w:r>
        <w:rPr>
          <w:rFonts w:hint="eastAsia" w:hAnsi="宋体"/>
          <w:color w:val="auto"/>
          <w:sz w:val="21"/>
          <w:szCs w:val="21"/>
        </w:rPr>
        <w:t>6、发现工程建设中存在质量或者施工安全隐患以及违法行为的，应当采取措施制止；不能有效制止的，应当报告主管部门、工程质量监督或者施工安全监督机构处理。</w:t>
      </w:r>
    </w:p>
    <w:p>
      <w:pPr>
        <w:shd w:val="clear"/>
        <w:ind w:firstLine="422"/>
        <w:rPr>
          <w:rFonts w:hAnsi="宋体"/>
          <w:b/>
          <w:color w:val="auto"/>
          <w:sz w:val="21"/>
          <w:szCs w:val="21"/>
        </w:rPr>
      </w:pPr>
      <w:r>
        <w:rPr>
          <w:rFonts w:hint="eastAsia" w:hAnsi="宋体"/>
          <w:b/>
          <w:color w:val="auto"/>
          <w:sz w:val="21"/>
          <w:szCs w:val="21"/>
        </w:rPr>
        <w:t>（二）施工准备阶段和施工阶段等工作质量要求（含项目管理、工程监理质量要求）</w:t>
      </w:r>
    </w:p>
    <w:p>
      <w:pPr>
        <w:shd w:val="clear"/>
        <w:ind w:firstLine="420"/>
        <w:rPr>
          <w:rFonts w:hAnsi="宋体"/>
          <w:color w:val="auto"/>
          <w:sz w:val="21"/>
          <w:szCs w:val="21"/>
        </w:rPr>
      </w:pPr>
      <w:r>
        <w:rPr>
          <w:rFonts w:hint="eastAsia" w:hAnsi="宋体"/>
          <w:color w:val="auto"/>
          <w:sz w:val="21"/>
          <w:szCs w:val="21"/>
        </w:rPr>
        <w:t>1、配备的受托人的数量满足合同及招标文件的要求且能及时到位；受托人委派的工程师的专业满足合同及招标文件的要求且各专业人员要求稳定；配备固定的项目管理负责人、工程监理负责人（总监理工程师）及项目团队人员具有高度责任心、良好的组织协调能力和专业的业务水平；应至少指派9名或以上有丰富项目经验的监理人员，常驻现场管理要求驻场人员有监理员或者专业监理工程师或者注册监理师资格，能独立处理施工现场可能发生的突发状况</w:t>
      </w:r>
      <w:r>
        <w:rPr>
          <w:rFonts w:hint="eastAsia" w:ascii="仿宋" w:hAnsi="仿宋" w:eastAsia="仿宋" w:cs="Calibri"/>
          <w:color w:val="auto"/>
          <w:kern w:val="2"/>
          <w:szCs w:val="24"/>
        </w:rPr>
        <w:t>；</w:t>
      </w:r>
      <w:r>
        <w:rPr>
          <w:rFonts w:hint="eastAsia" w:hAnsi="宋体"/>
          <w:color w:val="auto"/>
          <w:sz w:val="21"/>
          <w:szCs w:val="21"/>
        </w:rPr>
        <w:t>合同及招标文件要求的或投标文件拟定的检验设备有按要求进入施工现场；</w:t>
      </w:r>
    </w:p>
    <w:p>
      <w:pPr>
        <w:shd w:val="clear"/>
        <w:ind w:firstLine="420"/>
        <w:rPr>
          <w:rFonts w:hAnsi="宋体"/>
          <w:color w:val="auto"/>
          <w:sz w:val="21"/>
          <w:szCs w:val="21"/>
        </w:rPr>
      </w:pPr>
      <w:r>
        <w:rPr>
          <w:rFonts w:hint="eastAsia" w:hAnsi="宋体"/>
          <w:color w:val="auto"/>
          <w:sz w:val="21"/>
          <w:szCs w:val="21"/>
        </w:rPr>
        <w:t>2、认真主动地完成施工准备阶段的项目管理和工程监理工作内容；此阶段的工作内容包括受委托人委托协助委托人签订与工程有关的合同等一系列的工作；</w:t>
      </w:r>
    </w:p>
    <w:p>
      <w:pPr>
        <w:shd w:val="clear"/>
        <w:ind w:firstLine="420"/>
        <w:rPr>
          <w:rFonts w:hAnsi="宋体"/>
          <w:color w:val="auto"/>
          <w:sz w:val="21"/>
          <w:szCs w:val="21"/>
        </w:rPr>
      </w:pPr>
      <w:r>
        <w:rPr>
          <w:rFonts w:hint="eastAsia" w:hAnsi="宋体"/>
          <w:color w:val="auto"/>
          <w:sz w:val="21"/>
          <w:szCs w:val="21"/>
        </w:rPr>
        <w:t xml:space="preserve">3、项目管理及工程监理质量符合招标文件、合同的要求，受托人能够严格地依照有关法律、法规、技术标准以及设计文件、建设工程承包合同，对工程施工质量实施管理及监理并对施工质量和安全承担项目管理及监理责任； </w:t>
      </w:r>
    </w:p>
    <w:p>
      <w:pPr>
        <w:shd w:val="clear"/>
        <w:ind w:firstLine="420"/>
        <w:rPr>
          <w:rFonts w:hAnsi="宋体"/>
          <w:color w:val="auto"/>
          <w:sz w:val="21"/>
          <w:szCs w:val="21"/>
        </w:rPr>
      </w:pPr>
      <w:r>
        <w:rPr>
          <w:rFonts w:hint="eastAsia" w:hAnsi="宋体"/>
          <w:color w:val="auto"/>
          <w:sz w:val="21"/>
          <w:szCs w:val="21"/>
        </w:rPr>
        <w:t>4、能够认真准确地完成招标文件及合同规定的工程计量、工程支付的工作内容；</w:t>
      </w:r>
    </w:p>
    <w:p>
      <w:pPr>
        <w:shd w:val="clear"/>
        <w:ind w:firstLine="420"/>
        <w:rPr>
          <w:rFonts w:hAnsi="宋体"/>
          <w:color w:val="auto"/>
          <w:sz w:val="21"/>
          <w:szCs w:val="21"/>
        </w:rPr>
      </w:pPr>
      <w:r>
        <w:rPr>
          <w:rFonts w:hint="eastAsia" w:hAnsi="宋体"/>
          <w:color w:val="auto"/>
          <w:sz w:val="21"/>
          <w:szCs w:val="21"/>
        </w:rPr>
        <w:t xml:space="preserve">5、及时公正地按照招标文件、委托人的相关管理制度、监理规范的要求执行工程变更、工程延期、费用索赔、分包、转让、争端仲裁和确认受托人违约等有关合同管理的工作内容；     </w:t>
      </w:r>
    </w:p>
    <w:p>
      <w:pPr>
        <w:shd w:val="clear"/>
        <w:ind w:firstLine="420"/>
        <w:rPr>
          <w:rFonts w:hAnsi="宋体"/>
          <w:color w:val="auto"/>
          <w:sz w:val="21"/>
          <w:szCs w:val="21"/>
        </w:rPr>
      </w:pPr>
      <w:r>
        <w:rPr>
          <w:rFonts w:hint="eastAsia" w:hAnsi="宋体"/>
          <w:color w:val="auto"/>
          <w:sz w:val="21"/>
          <w:szCs w:val="21"/>
        </w:rPr>
        <w:t>6、认真及时地按照招标文件、委托人的相关管理制度、监理规范的要求做好相关记录、监理记录、监理月报和各种档案资料（包括行政档案、财务支付档案和技术档案）的管理工作；</w:t>
      </w:r>
    </w:p>
    <w:p>
      <w:pPr>
        <w:shd w:val="clear"/>
        <w:ind w:firstLine="420"/>
        <w:rPr>
          <w:rFonts w:hAnsi="宋体"/>
          <w:color w:val="auto"/>
          <w:sz w:val="21"/>
          <w:szCs w:val="21"/>
        </w:rPr>
      </w:pPr>
      <w:r>
        <w:rPr>
          <w:rFonts w:hint="eastAsia" w:hAnsi="宋体"/>
          <w:color w:val="auto"/>
          <w:sz w:val="21"/>
          <w:szCs w:val="21"/>
        </w:rPr>
        <w:t>7、认真主动地控制项目的各阶段工期使其未超过施工组织设计编制的计划工期；</w:t>
      </w:r>
    </w:p>
    <w:p>
      <w:pPr>
        <w:shd w:val="clear"/>
        <w:ind w:firstLine="420"/>
        <w:rPr>
          <w:rFonts w:hAnsi="宋体"/>
          <w:color w:val="auto"/>
          <w:sz w:val="21"/>
          <w:szCs w:val="21"/>
        </w:rPr>
      </w:pPr>
      <w:r>
        <w:rPr>
          <w:rFonts w:hint="eastAsia" w:hAnsi="宋体"/>
          <w:color w:val="auto"/>
          <w:sz w:val="21"/>
          <w:szCs w:val="21"/>
        </w:rPr>
        <w:t>8、认真主动地配合建设单位及其它相关部门的工作；在没有得到相应许可的情况下，不对外公开涉及任何机密的资料；无串通施工、咨询等单位弄虚作假的现象。</w:t>
      </w:r>
    </w:p>
    <w:p>
      <w:pPr>
        <w:shd w:val="clear"/>
        <w:ind w:firstLine="420"/>
        <w:rPr>
          <w:rFonts w:hAnsi="宋体"/>
          <w:color w:val="auto"/>
          <w:sz w:val="21"/>
          <w:szCs w:val="21"/>
        </w:rPr>
      </w:pPr>
      <w:r>
        <w:rPr>
          <w:rFonts w:hint="eastAsia" w:hAnsi="宋体"/>
          <w:color w:val="auto"/>
          <w:sz w:val="21"/>
          <w:szCs w:val="21"/>
        </w:rPr>
        <w:t>9、国家、省、市关于工程监理的其他工作要求。</w:t>
      </w:r>
    </w:p>
    <w:p>
      <w:pPr>
        <w:shd w:val="clear"/>
        <w:tabs>
          <w:tab w:val="left" w:pos="9100"/>
        </w:tabs>
        <w:autoSpaceDE w:val="0"/>
        <w:autoSpaceDN w:val="0"/>
        <w:adjustRightInd w:val="0"/>
        <w:ind w:firstLine="420"/>
        <w:jc w:val="left"/>
        <w:rPr>
          <w:rFonts w:hAnsi="宋体" w:cs="宋体"/>
          <w:color w:val="auto"/>
          <w:sz w:val="21"/>
          <w:szCs w:val="21"/>
        </w:rPr>
      </w:pPr>
      <w:r>
        <w:rPr>
          <w:rFonts w:hint="eastAsia" w:hAnsi="宋体" w:cs="宋体"/>
          <w:color w:val="auto"/>
          <w:sz w:val="21"/>
          <w:szCs w:val="21"/>
        </w:rPr>
        <w:t>10、投资控制目标：项目建设实行限额设计和施工。概算金额应低于可研报告目标成本金额。在不降低勘察设计任务书、初步设计文件、材料设备技术需求书中的主要设计指标（建筑高度、建筑面积等）的前提下，确保施工图预算不超概算中的建安工程费总额。</w:t>
      </w:r>
    </w:p>
    <w:p>
      <w:pPr>
        <w:shd w:val="clear"/>
        <w:tabs>
          <w:tab w:val="left" w:pos="9100"/>
        </w:tabs>
        <w:autoSpaceDE w:val="0"/>
        <w:autoSpaceDN w:val="0"/>
        <w:adjustRightInd w:val="0"/>
        <w:ind w:firstLine="420"/>
        <w:jc w:val="left"/>
        <w:rPr>
          <w:rFonts w:hAnsi="宋体" w:cs="宋体"/>
          <w:color w:val="auto"/>
          <w:sz w:val="21"/>
          <w:szCs w:val="21"/>
        </w:rPr>
      </w:pPr>
      <w:r>
        <w:rPr>
          <w:rFonts w:hint="eastAsia" w:hAnsi="宋体" w:cs="宋体"/>
          <w:color w:val="auto"/>
          <w:sz w:val="21"/>
          <w:szCs w:val="21"/>
        </w:rPr>
        <w:t>11、受托人应熟悉并严格按照国家、省、市有关</w:t>
      </w:r>
      <w:r>
        <w:rPr>
          <w:rFonts w:hint="eastAsia" w:hAnsi="宋体"/>
          <w:color w:val="auto"/>
          <w:sz w:val="21"/>
          <w:szCs w:val="21"/>
          <w:lang w:val="zh-CN"/>
        </w:rPr>
        <w:t>财政、基建、</w:t>
      </w:r>
      <w:r>
        <w:rPr>
          <w:rFonts w:hint="eastAsia" w:hAnsi="宋体" w:cs="宋体"/>
          <w:color w:val="auto"/>
          <w:sz w:val="21"/>
          <w:szCs w:val="21"/>
        </w:rPr>
        <w:t>工程造价方面的法律、法规，以及委托人工程管理业务制度要求，依据相关合同约定，本着有依有据、合法合规的原则，科学、客观、公正地开展工作，要合理体现业主控制项目投资的要求。</w:t>
      </w:r>
    </w:p>
    <w:p>
      <w:pPr>
        <w:shd w:val="clear"/>
        <w:tabs>
          <w:tab w:val="left" w:pos="9100"/>
        </w:tabs>
        <w:autoSpaceDE w:val="0"/>
        <w:autoSpaceDN w:val="0"/>
        <w:adjustRightInd w:val="0"/>
        <w:ind w:firstLine="420"/>
        <w:jc w:val="left"/>
        <w:rPr>
          <w:rFonts w:hAnsi="宋体" w:cs="宋体"/>
          <w:color w:val="auto"/>
          <w:sz w:val="21"/>
          <w:szCs w:val="21"/>
        </w:rPr>
      </w:pPr>
      <w:r>
        <w:rPr>
          <w:rFonts w:hint="eastAsia" w:hAnsi="宋体" w:cs="宋体"/>
          <w:color w:val="auto"/>
          <w:sz w:val="21"/>
          <w:szCs w:val="21"/>
        </w:rPr>
        <w:t>12、受托人应建立健全内部控制制度、质量保证体系和档案管理制度，保证工程成果文件的质量，对其完整性、真实性、准确性、有效性负责，并负有保密责任。</w:t>
      </w:r>
    </w:p>
    <w:p>
      <w:pPr>
        <w:shd w:val="clear"/>
        <w:tabs>
          <w:tab w:val="left" w:pos="9100"/>
        </w:tabs>
        <w:autoSpaceDE w:val="0"/>
        <w:autoSpaceDN w:val="0"/>
        <w:adjustRightInd w:val="0"/>
        <w:ind w:firstLine="420"/>
        <w:jc w:val="left"/>
        <w:rPr>
          <w:rFonts w:hAnsi="宋体" w:cs="宋体"/>
          <w:color w:val="auto"/>
          <w:sz w:val="21"/>
          <w:szCs w:val="21"/>
        </w:rPr>
      </w:pPr>
      <w:r>
        <w:rPr>
          <w:rFonts w:hint="eastAsia" w:hAnsi="宋体" w:cs="宋体"/>
          <w:color w:val="auto"/>
          <w:sz w:val="21"/>
          <w:szCs w:val="21"/>
        </w:rPr>
        <w:t>（</w:t>
      </w:r>
      <w:r>
        <w:rPr>
          <w:rFonts w:hAnsi="宋体" w:cs="宋体"/>
          <w:color w:val="auto"/>
          <w:sz w:val="21"/>
          <w:szCs w:val="21"/>
        </w:rPr>
        <w:t>1</w:t>
      </w:r>
      <w:r>
        <w:rPr>
          <w:rFonts w:hint="eastAsia" w:hAnsi="宋体" w:cs="宋体"/>
          <w:color w:val="auto"/>
          <w:sz w:val="21"/>
          <w:szCs w:val="21"/>
        </w:rPr>
        <w:t xml:space="preserve">）编制人应甄别或质疑委托人提供的书面资料的有效性、合规性，并应对自身所收集的工程计价基础资料和编制依据的全面性、真实性和适用性负责，全面进行工程的计量与计价，按工程服务合同的要求，编制工程成果文件，并整理好工作过程文件。 </w:t>
      </w:r>
    </w:p>
    <w:p>
      <w:pPr>
        <w:shd w:val="clear"/>
        <w:tabs>
          <w:tab w:val="left" w:pos="9100"/>
        </w:tabs>
        <w:autoSpaceDE w:val="0"/>
        <w:autoSpaceDN w:val="0"/>
        <w:adjustRightInd w:val="0"/>
        <w:ind w:firstLine="420"/>
        <w:jc w:val="left"/>
        <w:rPr>
          <w:rFonts w:hAnsi="宋体" w:cs="宋体"/>
          <w:color w:val="auto"/>
          <w:sz w:val="21"/>
          <w:szCs w:val="21"/>
        </w:rPr>
      </w:pPr>
      <w:r>
        <w:rPr>
          <w:rFonts w:hint="eastAsia" w:hAnsi="宋体" w:cs="宋体"/>
          <w:color w:val="auto"/>
          <w:sz w:val="21"/>
          <w:szCs w:val="21"/>
        </w:rPr>
        <w:t>（</w:t>
      </w:r>
      <w:r>
        <w:rPr>
          <w:rFonts w:hAnsi="宋体" w:cs="宋体"/>
          <w:color w:val="auto"/>
          <w:sz w:val="21"/>
          <w:szCs w:val="21"/>
        </w:rPr>
        <w:t>2</w:t>
      </w:r>
      <w:r>
        <w:rPr>
          <w:rFonts w:hint="eastAsia" w:hAnsi="宋体" w:cs="宋体"/>
          <w:color w:val="auto"/>
          <w:sz w:val="21"/>
          <w:szCs w:val="21"/>
        </w:rPr>
        <w:t>）审核人应进一步审核委托人提供的书面资料的有效性、合规性，编制人使用工程计价基础资料和编制依据的全面性、真实性和有效性，并应对相关工作做一定比例的复核，对错误的部分提出书面的修改和补充意见，修正、完善工程文件，并整理好自身的工作过程文件和相关文件。</w:t>
      </w:r>
    </w:p>
    <w:p>
      <w:pPr>
        <w:shd w:val="clear"/>
        <w:tabs>
          <w:tab w:val="left" w:pos="9100"/>
        </w:tabs>
        <w:autoSpaceDE w:val="0"/>
        <w:autoSpaceDN w:val="0"/>
        <w:adjustRightInd w:val="0"/>
        <w:ind w:firstLine="420"/>
        <w:jc w:val="left"/>
        <w:rPr>
          <w:rFonts w:hAnsi="宋体" w:cs="宋体"/>
          <w:color w:val="auto"/>
          <w:sz w:val="21"/>
          <w:szCs w:val="21"/>
        </w:rPr>
      </w:pPr>
      <w:r>
        <w:rPr>
          <w:rFonts w:hint="eastAsia" w:hAnsi="宋体" w:cs="宋体"/>
          <w:color w:val="auto"/>
          <w:sz w:val="21"/>
          <w:szCs w:val="21"/>
        </w:rPr>
        <w:t>（5）审定人应再次审核委托人提供的书面资料的有效性、合规性，编制人使用工程计价基础资料和编制依据的全面性、真实性和有效性，并应依据工程经济指标进行工程</w:t>
      </w:r>
      <w:r>
        <w:rPr>
          <w:rFonts w:hint="eastAsia" w:hAnsi="宋体" w:cs="宋体"/>
          <w:color w:val="auto"/>
          <w:sz w:val="21"/>
          <w:szCs w:val="21"/>
        </w:rPr>
        <w:t>造价</w:t>
      </w:r>
      <w:r>
        <w:rPr>
          <w:rFonts w:hint="eastAsia" w:hAnsi="宋体" w:cs="宋体"/>
          <w:color w:val="auto"/>
          <w:sz w:val="21"/>
          <w:szCs w:val="21"/>
        </w:rPr>
        <w:t>的合理性分析，对工程质量进行整体控制。</w:t>
      </w:r>
    </w:p>
    <w:p>
      <w:pPr>
        <w:shd w:val="clear"/>
        <w:tabs>
          <w:tab w:val="left" w:pos="9100"/>
        </w:tabs>
        <w:autoSpaceDE w:val="0"/>
        <w:autoSpaceDN w:val="0"/>
        <w:adjustRightInd w:val="0"/>
        <w:ind w:firstLine="420"/>
        <w:jc w:val="left"/>
        <w:rPr>
          <w:rFonts w:hAnsi="宋体" w:cs="宋体"/>
          <w:color w:val="auto"/>
          <w:sz w:val="21"/>
          <w:szCs w:val="21"/>
        </w:rPr>
      </w:pPr>
      <w:r>
        <w:rPr>
          <w:rFonts w:hint="eastAsia" w:hAnsi="宋体" w:cs="宋体"/>
          <w:color w:val="auto"/>
          <w:sz w:val="21"/>
          <w:szCs w:val="21"/>
        </w:rPr>
        <w:t>（6）受托人应建立工程项目档案，保证项目资料的完整，不得损坏、遗失项目资料。加强项目档案管理，及时做好已完项目的资料移交和归档工作。</w:t>
      </w:r>
    </w:p>
    <w:p>
      <w:pPr>
        <w:shd w:val="clear"/>
        <w:tabs>
          <w:tab w:val="left" w:pos="9100"/>
        </w:tabs>
        <w:autoSpaceDE w:val="0"/>
        <w:autoSpaceDN w:val="0"/>
        <w:adjustRightInd w:val="0"/>
        <w:ind w:firstLine="420"/>
        <w:jc w:val="left"/>
        <w:rPr>
          <w:rFonts w:hAnsi="宋体" w:cs="宋体"/>
          <w:color w:val="auto"/>
          <w:sz w:val="21"/>
          <w:szCs w:val="21"/>
        </w:rPr>
      </w:pPr>
      <w:r>
        <w:rPr>
          <w:rFonts w:hint="eastAsia" w:hAnsi="宋体" w:cs="宋体"/>
          <w:color w:val="auto"/>
          <w:sz w:val="21"/>
          <w:szCs w:val="21"/>
        </w:rPr>
        <w:t>（7）加强信息系统管理，及时建立电子信息台账；保证在委托人信息系统中录入或审核的工程造价相关信息及时、完整。</w:t>
      </w:r>
    </w:p>
    <w:p>
      <w:pPr>
        <w:shd w:val="clear"/>
        <w:tabs>
          <w:tab w:val="left" w:pos="9100"/>
        </w:tabs>
        <w:autoSpaceDE w:val="0"/>
        <w:autoSpaceDN w:val="0"/>
        <w:adjustRightInd w:val="0"/>
        <w:ind w:firstLine="420"/>
        <w:jc w:val="left"/>
        <w:rPr>
          <w:rFonts w:hAnsi="宋体" w:cs="宋体"/>
          <w:color w:val="auto"/>
          <w:sz w:val="21"/>
          <w:szCs w:val="21"/>
        </w:rPr>
      </w:pPr>
      <w:r>
        <w:rPr>
          <w:rFonts w:hint="eastAsia" w:hAnsi="宋体" w:cs="宋体"/>
          <w:color w:val="auto"/>
          <w:sz w:val="21"/>
          <w:szCs w:val="21"/>
        </w:rPr>
        <w:t>13、受托人应确保本工程施工图预算文件、工程量清单、工程招标控制价的编制工作质量，必须做到“开项齐全、数量准确、造价合理”，并满足工程投资控制和相关合同的要求。</w:t>
      </w:r>
    </w:p>
    <w:p>
      <w:pPr>
        <w:shd w:val="clear"/>
        <w:tabs>
          <w:tab w:val="left" w:pos="9100"/>
        </w:tabs>
        <w:autoSpaceDE w:val="0"/>
        <w:autoSpaceDN w:val="0"/>
        <w:adjustRightInd w:val="0"/>
        <w:ind w:firstLine="420"/>
        <w:jc w:val="left"/>
        <w:rPr>
          <w:rFonts w:hAnsi="宋体"/>
          <w:bCs/>
          <w:snapToGrid w:val="0"/>
          <w:color w:val="auto"/>
          <w:sz w:val="21"/>
          <w:szCs w:val="21"/>
        </w:rPr>
      </w:pPr>
      <w:r>
        <w:rPr>
          <w:rFonts w:hint="eastAsia" w:hAnsi="宋体" w:cs="宋体"/>
          <w:color w:val="auto"/>
          <w:sz w:val="21"/>
          <w:szCs w:val="21"/>
        </w:rPr>
        <w:t>14、受托人</w:t>
      </w:r>
      <w:r>
        <w:rPr>
          <w:rFonts w:hint="eastAsia" w:hAnsi="宋体"/>
          <w:bCs/>
          <w:snapToGrid w:val="0"/>
          <w:color w:val="auto"/>
          <w:sz w:val="21"/>
          <w:szCs w:val="21"/>
        </w:rPr>
        <w:t>提供的</w:t>
      </w:r>
      <w:r>
        <w:rPr>
          <w:rFonts w:hint="eastAsia" w:hAnsi="宋体" w:cs="宋体"/>
          <w:color w:val="auto"/>
          <w:sz w:val="21"/>
          <w:szCs w:val="21"/>
        </w:rPr>
        <w:t>造价审核成果</w:t>
      </w:r>
      <w:r>
        <w:rPr>
          <w:rFonts w:hint="eastAsia" w:hAnsi="宋体"/>
          <w:bCs/>
          <w:snapToGrid w:val="0"/>
          <w:color w:val="auto"/>
          <w:sz w:val="21"/>
          <w:szCs w:val="21"/>
        </w:rPr>
        <w:t>文件应包括并不限于：编制说明、根据委托人要求编制的造价文件及其软件版（含计价及图形算量成果文件）、工程量计算书、经济指标分析表、</w:t>
      </w:r>
      <w:r>
        <w:rPr>
          <w:rFonts w:hint="eastAsia" w:hAnsi="宋体" w:cs="宋体"/>
          <w:color w:val="auto"/>
          <w:sz w:val="21"/>
          <w:szCs w:val="21"/>
        </w:rPr>
        <w:t>主要设备材料价格表、</w:t>
      </w:r>
      <w:r>
        <w:rPr>
          <w:rFonts w:hint="eastAsia" w:hAnsi="宋体"/>
          <w:bCs/>
          <w:snapToGrid w:val="0"/>
          <w:color w:val="auto"/>
          <w:sz w:val="21"/>
          <w:szCs w:val="21"/>
        </w:rPr>
        <w:t>主要材料设备定价依据文件（含询价文件等，询价单位不得少于2家）、审核意见落实情况说明和修改对比表。根据业主要求提供图形算量成果文件。</w:t>
      </w:r>
    </w:p>
    <w:p>
      <w:pPr>
        <w:pStyle w:val="21"/>
        <w:shd w:val="clear"/>
        <w:ind w:firstLine="420"/>
        <w:rPr>
          <w:color w:val="auto"/>
        </w:rPr>
      </w:pPr>
      <w:r>
        <w:rPr>
          <w:rFonts w:hint="eastAsia"/>
          <w:bCs/>
          <w:snapToGrid w:val="0"/>
          <w:color w:val="auto"/>
          <w:kern w:val="2"/>
          <w:sz w:val="21"/>
          <w:szCs w:val="21"/>
        </w:rPr>
        <w:t>15、受托人承担审核施工图预算、招标控制价、工程量清单、结算工作时，受委托人造成的造价误差率控制在</w:t>
      </w:r>
      <w:r>
        <w:rPr>
          <w:bCs/>
          <w:snapToGrid w:val="0"/>
          <w:color w:val="auto"/>
          <w:kern w:val="2"/>
          <w:sz w:val="21"/>
          <w:szCs w:val="21"/>
        </w:rPr>
        <w:t>3%</w:t>
      </w:r>
      <w:r>
        <w:rPr>
          <w:rFonts w:hint="eastAsia"/>
          <w:bCs/>
          <w:snapToGrid w:val="0"/>
          <w:color w:val="auto"/>
          <w:kern w:val="2"/>
          <w:sz w:val="21"/>
          <w:szCs w:val="21"/>
        </w:rPr>
        <w:t>以内；进度款审核、设计变更预算编制或审核的工程量及造价误差率控制在</w:t>
      </w:r>
      <w:r>
        <w:rPr>
          <w:bCs/>
          <w:snapToGrid w:val="0"/>
          <w:color w:val="auto"/>
          <w:kern w:val="2"/>
          <w:sz w:val="21"/>
          <w:szCs w:val="21"/>
        </w:rPr>
        <w:t>5%</w:t>
      </w:r>
      <w:r>
        <w:rPr>
          <w:rFonts w:hint="eastAsia"/>
          <w:bCs/>
          <w:snapToGrid w:val="0"/>
          <w:color w:val="auto"/>
          <w:kern w:val="2"/>
          <w:sz w:val="21"/>
          <w:szCs w:val="21"/>
        </w:rPr>
        <w:t>以内；概算编制或审核的工程量及造价误差率控制在7</w:t>
      </w:r>
      <w:r>
        <w:rPr>
          <w:bCs/>
          <w:snapToGrid w:val="0"/>
          <w:color w:val="auto"/>
          <w:kern w:val="2"/>
          <w:sz w:val="21"/>
          <w:szCs w:val="21"/>
        </w:rPr>
        <w:t>%</w:t>
      </w:r>
      <w:r>
        <w:rPr>
          <w:rFonts w:hint="eastAsia"/>
          <w:bCs/>
          <w:snapToGrid w:val="0"/>
          <w:color w:val="auto"/>
          <w:kern w:val="2"/>
          <w:sz w:val="21"/>
          <w:szCs w:val="21"/>
        </w:rPr>
        <w:t>以内。</w:t>
      </w:r>
    </w:p>
    <w:p>
      <w:pPr>
        <w:shd w:val="clear"/>
        <w:ind w:firstLine="422"/>
        <w:rPr>
          <w:rFonts w:hAnsi="宋体"/>
          <w:b/>
          <w:color w:val="auto"/>
          <w:sz w:val="21"/>
          <w:szCs w:val="21"/>
        </w:rPr>
      </w:pPr>
      <w:r>
        <w:rPr>
          <w:rFonts w:hint="eastAsia" w:hAnsi="宋体"/>
          <w:b/>
          <w:color w:val="auto"/>
          <w:sz w:val="21"/>
          <w:szCs w:val="21"/>
        </w:rPr>
        <w:t>（三）竣工验收、移交及后续服务等工作质量要求</w:t>
      </w:r>
    </w:p>
    <w:p>
      <w:pPr>
        <w:shd w:val="clear"/>
        <w:ind w:firstLine="420"/>
        <w:rPr>
          <w:rFonts w:hAnsi="宋体"/>
          <w:color w:val="auto"/>
          <w:sz w:val="21"/>
          <w:szCs w:val="21"/>
        </w:rPr>
      </w:pPr>
      <w:r>
        <w:rPr>
          <w:rFonts w:hint="eastAsia" w:hAnsi="宋体"/>
          <w:color w:val="auto"/>
          <w:sz w:val="21"/>
          <w:szCs w:val="21"/>
        </w:rPr>
        <w:t>1、认真主动地督促施工、设计等单位完成相关工程竣工验收准备；</w:t>
      </w:r>
    </w:p>
    <w:p>
      <w:pPr>
        <w:shd w:val="clear"/>
        <w:ind w:firstLine="420"/>
        <w:rPr>
          <w:rFonts w:hAnsi="宋体"/>
          <w:color w:val="auto"/>
          <w:sz w:val="21"/>
          <w:szCs w:val="21"/>
        </w:rPr>
      </w:pPr>
      <w:r>
        <w:rPr>
          <w:rFonts w:hint="eastAsia" w:hAnsi="宋体"/>
          <w:color w:val="auto"/>
          <w:sz w:val="21"/>
          <w:szCs w:val="21"/>
        </w:rPr>
        <w:t>2、认真主动地组织、完成招标文件及合同规定的有关竣工验收工作；</w:t>
      </w:r>
    </w:p>
    <w:p>
      <w:pPr>
        <w:shd w:val="clear"/>
        <w:ind w:firstLine="420"/>
        <w:rPr>
          <w:rFonts w:hAnsi="宋体"/>
          <w:color w:val="auto"/>
          <w:sz w:val="21"/>
          <w:szCs w:val="21"/>
        </w:rPr>
      </w:pPr>
      <w:r>
        <w:rPr>
          <w:rFonts w:hint="eastAsia" w:hAnsi="宋体"/>
          <w:color w:val="auto"/>
          <w:sz w:val="21"/>
          <w:szCs w:val="21"/>
        </w:rPr>
        <w:t xml:space="preserve">3、认真主动地督促施工单位完成相关工程移交准备工作； </w:t>
      </w:r>
    </w:p>
    <w:p>
      <w:pPr>
        <w:shd w:val="clear"/>
        <w:ind w:firstLine="420"/>
        <w:rPr>
          <w:rFonts w:hAnsi="宋体"/>
          <w:color w:val="auto"/>
          <w:sz w:val="21"/>
          <w:szCs w:val="21"/>
        </w:rPr>
      </w:pPr>
      <w:r>
        <w:rPr>
          <w:rFonts w:hint="eastAsia" w:hAnsi="宋体"/>
          <w:color w:val="auto"/>
          <w:sz w:val="21"/>
          <w:szCs w:val="21"/>
        </w:rPr>
        <w:t>4、认真主动地组织、完成工程的移交和质量整改工作；</w:t>
      </w:r>
    </w:p>
    <w:p>
      <w:pPr>
        <w:shd w:val="clear"/>
        <w:ind w:firstLine="420"/>
        <w:rPr>
          <w:rFonts w:hAnsi="宋体"/>
          <w:color w:val="auto"/>
          <w:sz w:val="21"/>
          <w:szCs w:val="21"/>
        </w:rPr>
      </w:pPr>
      <w:r>
        <w:rPr>
          <w:rFonts w:hint="eastAsia" w:hAnsi="宋体"/>
          <w:color w:val="auto"/>
          <w:sz w:val="21"/>
          <w:szCs w:val="21"/>
        </w:rPr>
        <w:t>5、认真主动地组织、完成招标文件及合同规定的有关工程保修工作；</w:t>
      </w:r>
    </w:p>
    <w:p>
      <w:pPr>
        <w:shd w:val="clear"/>
        <w:ind w:firstLine="420"/>
        <w:rPr>
          <w:rFonts w:hAnsi="宋体"/>
          <w:color w:val="auto"/>
          <w:sz w:val="21"/>
          <w:szCs w:val="21"/>
        </w:rPr>
      </w:pPr>
      <w:r>
        <w:rPr>
          <w:rFonts w:hint="eastAsia" w:hAnsi="宋体"/>
          <w:color w:val="auto"/>
          <w:sz w:val="21"/>
          <w:szCs w:val="21"/>
        </w:rPr>
        <w:t>6、认真主动地组织、完成招标文件及合同规定的有关工程结算和资料归档工作。</w:t>
      </w:r>
    </w:p>
    <w:p>
      <w:pPr>
        <w:shd w:val="clear"/>
        <w:ind w:firstLine="422"/>
        <w:rPr>
          <w:rFonts w:hAnsi="宋体"/>
          <w:b/>
          <w:color w:val="auto"/>
          <w:sz w:val="21"/>
          <w:szCs w:val="21"/>
        </w:rPr>
      </w:pPr>
      <w:r>
        <w:rPr>
          <w:rFonts w:hint="eastAsia" w:hAnsi="宋体"/>
          <w:b/>
          <w:color w:val="auto"/>
          <w:sz w:val="21"/>
          <w:szCs w:val="21"/>
        </w:rPr>
        <w:t>（四）</w:t>
      </w:r>
      <w:r>
        <w:rPr>
          <w:rFonts w:hAnsi="宋体"/>
          <w:b/>
          <w:color w:val="auto"/>
          <w:sz w:val="21"/>
          <w:szCs w:val="21"/>
        </w:rPr>
        <w:t xml:space="preserve"> </w:t>
      </w:r>
      <w:r>
        <w:rPr>
          <w:rFonts w:hint="eastAsia" w:hAnsi="宋体"/>
          <w:b/>
          <w:color w:val="auto"/>
          <w:sz w:val="21"/>
          <w:szCs w:val="21"/>
        </w:rPr>
        <w:t>项目组织机构和设施要求</w:t>
      </w:r>
    </w:p>
    <w:p>
      <w:pPr>
        <w:shd w:val="clear"/>
        <w:ind w:firstLine="420"/>
        <w:rPr>
          <w:rFonts w:hAnsi="宋体"/>
          <w:color w:val="auto"/>
          <w:sz w:val="21"/>
          <w:szCs w:val="21"/>
        </w:rPr>
      </w:pPr>
      <w:r>
        <w:rPr>
          <w:rFonts w:hint="eastAsia" w:hAnsi="宋体"/>
          <w:color w:val="auto"/>
          <w:sz w:val="21"/>
          <w:szCs w:val="21"/>
        </w:rPr>
        <w:t>投标单位应组建满足工作需要的项目组织机构，配备必要的办公用具和检测设备，包括：</w:t>
      </w:r>
    </w:p>
    <w:p>
      <w:pPr>
        <w:shd w:val="clear"/>
        <w:ind w:firstLine="420"/>
        <w:rPr>
          <w:rFonts w:hAnsi="宋体"/>
          <w:color w:val="auto"/>
          <w:sz w:val="21"/>
          <w:szCs w:val="21"/>
        </w:rPr>
      </w:pPr>
      <w:r>
        <w:rPr>
          <w:rFonts w:hint="eastAsia" w:hAnsi="宋体"/>
          <w:color w:val="auto"/>
          <w:sz w:val="21"/>
          <w:szCs w:val="21"/>
        </w:rPr>
        <w:t>1、项目管理及监理单位配置的项目组织机构人员必须满足本项目实际工作要求；</w:t>
      </w:r>
    </w:p>
    <w:p>
      <w:pPr>
        <w:shd w:val="clear"/>
        <w:ind w:firstLine="420"/>
        <w:rPr>
          <w:rFonts w:hAnsi="宋体"/>
          <w:color w:val="auto"/>
          <w:sz w:val="21"/>
          <w:szCs w:val="21"/>
        </w:rPr>
      </w:pPr>
      <w:r>
        <w:rPr>
          <w:rFonts w:hint="eastAsia" w:hAnsi="宋体"/>
          <w:color w:val="auto"/>
          <w:sz w:val="21"/>
          <w:szCs w:val="21"/>
        </w:rPr>
        <w:t>2、项目组织机构的主要人员应具有相应的资格条件，在本合同履行过程中，项目主要负责人及重要岗位人员应保持相对稳定，以保证工作正常进行；</w:t>
      </w:r>
    </w:p>
    <w:p>
      <w:pPr>
        <w:shd w:val="clear"/>
        <w:ind w:firstLine="420"/>
        <w:rPr>
          <w:rFonts w:hAnsi="宋体"/>
          <w:color w:val="auto"/>
          <w:sz w:val="21"/>
          <w:szCs w:val="21"/>
        </w:rPr>
      </w:pPr>
      <w:r>
        <w:rPr>
          <w:rFonts w:hint="eastAsia" w:hAnsi="宋体"/>
          <w:color w:val="auto"/>
          <w:sz w:val="21"/>
          <w:szCs w:val="21"/>
        </w:rPr>
        <w:t>3、办公用具包括但不限于电脑、打印机、复印机、传真机、电话、数码照相机、数码摄像机、投影仪、办公桌椅、项目管理单位人员自用交通设施，检测设备包括但不限于经纬仪、回弹仪、游标尺等；上述用具和设备的数量需满足工作的需要。</w:t>
      </w:r>
    </w:p>
    <w:p>
      <w:pPr>
        <w:shd w:val="clear"/>
        <w:ind w:firstLine="422"/>
        <w:rPr>
          <w:rFonts w:hAnsi="宋体"/>
          <w:b/>
          <w:color w:val="auto"/>
          <w:sz w:val="21"/>
          <w:szCs w:val="21"/>
        </w:rPr>
      </w:pPr>
      <w:r>
        <w:rPr>
          <w:rFonts w:hint="eastAsia" w:hAnsi="宋体"/>
          <w:b/>
          <w:color w:val="auto"/>
          <w:sz w:val="21"/>
          <w:szCs w:val="21"/>
        </w:rPr>
        <w:t>（五）廉政守则要求</w:t>
      </w:r>
    </w:p>
    <w:p>
      <w:pPr>
        <w:shd w:val="clear"/>
        <w:ind w:firstLine="420"/>
        <w:rPr>
          <w:rFonts w:hAnsi="宋体"/>
          <w:color w:val="auto"/>
          <w:sz w:val="21"/>
          <w:szCs w:val="21"/>
        </w:rPr>
      </w:pPr>
      <w:r>
        <w:rPr>
          <w:rFonts w:hint="eastAsia" w:hAnsi="宋体"/>
          <w:color w:val="auto"/>
          <w:sz w:val="21"/>
          <w:szCs w:val="21"/>
        </w:rPr>
        <w:t>项目管理单位及其项目组织机构应遵循以下廉政守则：</w:t>
      </w:r>
    </w:p>
    <w:p>
      <w:pPr>
        <w:shd w:val="clear"/>
        <w:ind w:firstLine="420"/>
        <w:rPr>
          <w:rFonts w:hAnsi="宋体"/>
          <w:color w:val="auto"/>
          <w:sz w:val="21"/>
          <w:szCs w:val="21"/>
        </w:rPr>
      </w:pPr>
      <w:r>
        <w:rPr>
          <w:rFonts w:hint="eastAsia" w:hAnsi="宋体"/>
          <w:color w:val="auto"/>
          <w:sz w:val="21"/>
          <w:szCs w:val="21"/>
        </w:rPr>
        <w:t>1、不准故意为难受托人，向受托人卡要财物；</w:t>
      </w:r>
    </w:p>
    <w:p>
      <w:pPr>
        <w:shd w:val="clear"/>
        <w:ind w:firstLine="420"/>
        <w:rPr>
          <w:rFonts w:hAnsi="宋体"/>
          <w:color w:val="auto"/>
          <w:sz w:val="21"/>
          <w:szCs w:val="21"/>
        </w:rPr>
      </w:pPr>
      <w:r>
        <w:rPr>
          <w:rFonts w:hint="eastAsia" w:hAnsi="宋体"/>
          <w:color w:val="auto"/>
          <w:sz w:val="21"/>
          <w:szCs w:val="21"/>
        </w:rPr>
        <w:t>2、不准参加受托人的宴请；</w:t>
      </w:r>
    </w:p>
    <w:p>
      <w:pPr>
        <w:shd w:val="clear"/>
        <w:ind w:firstLine="420"/>
        <w:rPr>
          <w:rFonts w:hAnsi="宋体"/>
          <w:color w:val="auto"/>
          <w:sz w:val="21"/>
          <w:szCs w:val="21"/>
        </w:rPr>
      </w:pPr>
      <w:r>
        <w:rPr>
          <w:rFonts w:hint="eastAsia" w:hAnsi="宋体"/>
          <w:color w:val="auto"/>
          <w:sz w:val="21"/>
          <w:szCs w:val="21"/>
        </w:rPr>
        <w:t>3、不准向受托人借车；</w:t>
      </w:r>
    </w:p>
    <w:p>
      <w:pPr>
        <w:shd w:val="clear"/>
        <w:ind w:firstLine="420"/>
        <w:rPr>
          <w:rFonts w:hAnsi="宋体"/>
          <w:color w:val="auto"/>
          <w:sz w:val="21"/>
          <w:szCs w:val="21"/>
        </w:rPr>
      </w:pPr>
      <w:r>
        <w:rPr>
          <w:rFonts w:hint="eastAsia" w:hAnsi="宋体"/>
          <w:color w:val="auto"/>
          <w:sz w:val="21"/>
          <w:szCs w:val="21"/>
        </w:rPr>
        <w:t>4、不得收受受托人或供应商提供或给予的任何利益、花红、有价证券、折扣、贿赂、贷款、宴请、旅游；</w:t>
      </w:r>
    </w:p>
    <w:p>
      <w:pPr>
        <w:shd w:val="clear"/>
        <w:ind w:firstLine="420"/>
        <w:rPr>
          <w:rFonts w:hAnsi="宋体"/>
          <w:color w:val="auto"/>
          <w:sz w:val="21"/>
          <w:szCs w:val="21"/>
        </w:rPr>
      </w:pPr>
      <w:r>
        <w:rPr>
          <w:rFonts w:hint="eastAsia" w:hAnsi="宋体"/>
          <w:color w:val="auto"/>
          <w:sz w:val="21"/>
          <w:szCs w:val="21"/>
        </w:rPr>
        <w:t>5、不准在受托人单位报销费用；</w:t>
      </w:r>
    </w:p>
    <w:p>
      <w:pPr>
        <w:shd w:val="clear"/>
        <w:ind w:firstLine="420"/>
        <w:rPr>
          <w:rFonts w:hAnsi="宋体"/>
          <w:color w:val="auto"/>
          <w:sz w:val="21"/>
          <w:szCs w:val="21"/>
        </w:rPr>
      </w:pPr>
      <w:r>
        <w:rPr>
          <w:rFonts w:hint="eastAsia" w:hAnsi="宋体"/>
          <w:color w:val="auto"/>
          <w:sz w:val="21"/>
          <w:szCs w:val="21"/>
        </w:rPr>
        <w:t>6、不准向受托人推荐分包队伍或设备材料供应商；</w:t>
      </w:r>
    </w:p>
    <w:p>
      <w:pPr>
        <w:shd w:val="clear"/>
        <w:ind w:firstLine="420"/>
        <w:rPr>
          <w:rFonts w:hAnsi="宋体"/>
          <w:color w:val="auto"/>
          <w:sz w:val="21"/>
          <w:szCs w:val="21"/>
        </w:rPr>
      </w:pPr>
      <w:r>
        <w:rPr>
          <w:rFonts w:hint="eastAsia" w:hAnsi="宋体"/>
          <w:color w:val="auto"/>
          <w:sz w:val="21"/>
          <w:szCs w:val="21"/>
        </w:rPr>
        <w:t>7、不准利用工作便利向委托人建议在招标文件中设置倾向某企业或某品牌的各种业绩、资质、认证及技术参数等；</w:t>
      </w:r>
    </w:p>
    <w:p>
      <w:pPr>
        <w:shd w:val="clear"/>
        <w:ind w:firstLine="420"/>
        <w:rPr>
          <w:rFonts w:hAnsi="宋体"/>
          <w:color w:val="auto"/>
          <w:sz w:val="21"/>
          <w:szCs w:val="21"/>
        </w:rPr>
      </w:pPr>
      <w:r>
        <w:rPr>
          <w:rFonts w:hint="eastAsia" w:hAnsi="宋体"/>
          <w:color w:val="auto"/>
          <w:sz w:val="21"/>
          <w:szCs w:val="21"/>
        </w:rPr>
        <w:t>8、不准从事与本建设项目有关的第二职业、商务活动并领取报酬；</w:t>
      </w:r>
    </w:p>
    <w:p>
      <w:pPr>
        <w:shd w:val="clear"/>
        <w:ind w:firstLine="420"/>
        <w:rPr>
          <w:rFonts w:hAnsi="宋体"/>
          <w:color w:val="auto"/>
          <w:sz w:val="21"/>
          <w:szCs w:val="21"/>
        </w:rPr>
      </w:pPr>
      <w:r>
        <w:rPr>
          <w:rFonts w:hint="eastAsia" w:hAnsi="宋体"/>
          <w:color w:val="auto"/>
          <w:sz w:val="21"/>
          <w:szCs w:val="21"/>
        </w:rPr>
        <w:t>9、不准违反合同为受托人办理工程变更、现场签证和支付工程款；</w:t>
      </w:r>
    </w:p>
    <w:p>
      <w:pPr>
        <w:shd w:val="clear"/>
        <w:ind w:firstLine="420"/>
        <w:rPr>
          <w:rFonts w:hAnsi="宋体"/>
          <w:color w:val="auto"/>
          <w:sz w:val="21"/>
          <w:szCs w:val="21"/>
        </w:rPr>
      </w:pPr>
      <w:r>
        <w:rPr>
          <w:rFonts w:hint="eastAsia" w:hAnsi="宋体"/>
          <w:color w:val="auto"/>
          <w:sz w:val="21"/>
          <w:szCs w:val="21"/>
        </w:rPr>
        <w:t>10、不准利用工作便利为亲属或特定关系人谋取不正当利益。</w:t>
      </w:r>
    </w:p>
    <w:p>
      <w:pPr>
        <w:shd w:val="clear"/>
        <w:ind w:firstLine="422"/>
        <w:rPr>
          <w:rFonts w:hAnsi="宋体"/>
          <w:b/>
          <w:color w:val="auto"/>
          <w:sz w:val="21"/>
          <w:szCs w:val="21"/>
        </w:rPr>
      </w:pPr>
      <w:r>
        <w:rPr>
          <w:rFonts w:hint="eastAsia" w:hAnsi="宋体"/>
          <w:b/>
          <w:color w:val="auto"/>
          <w:sz w:val="21"/>
          <w:szCs w:val="21"/>
        </w:rPr>
        <w:t>（六）履行职责要求</w:t>
      </w:r>
    </w:p>
    <w:p>
      <w:pPr>
        <w:shd w:val="clear"/>
        <w:ind w:firstLine="420"/>
        <w:rPr>
          <w:rFonts w:hAnsi="宋体"/>
          <w:color w:val="auto"/>
          <w:sz w:val="21"/>
          <w:szCs w:val="21"/>
        </w:rPr>
      </w:pPr>
      <w:r>
        <w:rPr>
          <w:rFonts w:hint="eastAsia" w:hAnsi="宋体"/>
          <w:color w:val="auto"/>
          <w:sz w:val="21"/>
          <w:szCs w:val="21"/>
        </w:rPr>
        <w:t>投标单位应遵循职业道德准则和行为规范，严格按照法律法规、工程建设有关标准及本合同履行职责，依法承担项目管理工作、工程监理工作相应的法律责任。包括：</w:t>
      </w:r>
    </w:p>
    <w:p>
      <w:pPr>
        <w:shd w:val="clear"/>
        <w:ind w:firstLine="420"/>
        <w:rPr>
          <w:rFonts w:hAnsi="宋体"/>
          <w:color w:val="auto"/>
          <w:sz w:val="21"/>
          <w:szCs w:val="21"/>
        </w:rPr>
      </w:pPr>
      <w:r>
        <w:rPr>
          <w:rFonts w:hint="eastAsia" w:hAnsi="宋体"/>
          <w:color w:val="auto"/>
          <w:sz w:val="21"/>
          <w:szCs w:val="21"/>
        </w:rPr>
        <w:t>1、在相关服务范围内，委托人和受托人提出的意见和要求，应及时提出处置意见。当委托人与其他受托人之间发生合同争议时，应协助委托人、受托人协商解决；</w:t>
      </w:r>
    </w:p>
    <w:p>
      <w:pPr>
        <w:shd w:val="clear"/>
        <w:ind w:firstLine="420"/>
        <w:rPr>
          <w:rFonts w:hAnsi="宋体"/>
          <w:color w:val="auto"/>
          <w:sz w:val="21"/>
          <w:szCs w:val="21"/>
        </w:rPr>
      </w:pPr>
      <w:r>
        <w:rPr>
          <w:rFonts w:hint="eastAsia" w:hAnsi="宋体"/>
          <w:color w:val="auto"/>
          <w:sz w:val="21"/>
          <w:szCs w:val="21"/>
        </w:rPr>
        <w:t>2、当委托人与其他受托人之间的合同争议提交仲裁机构仲裁或人民法院审理时，项目管理单位应为委托人提供必要的证明资料；</w:t>
      </w:r>
    </w:p>
    <w:p>
      <w:pPr>
        <w:shd w:val="clear"/>
        <w:ind w:firstLine="420"/>
        <w:rPr>
          <w:rFonts w:hAnsi="宋体"/>
          <w:color w:val="auto"/>
          <w:sz w:val="21"/>
          <w:szCs w:val="21"/>
        </w:rPr>
      </w:pPr>
      <w:r>
        <w:rPr>
          <w:rFonts w:hint="eastAsia" w:hAnsi="宋体"/>
          <w:color w:val="auto"/>
          <w:sz w:val="21"/>
          <w:szCs w:val="21"/>
        </w:rPr>
        <w:t>3、应在授权范围内，处理委托人与其他受托人所签订合同的变更事宜。如果变更超过授权范围，应以书面形式报委托人批准。在紧急情况下，为了保护财产和人身安全，项目管理单位所发出的指令未能事先报委托人批准时，应在发出指令后的24小时内以书面形式报委托人；</w:t>
      </w:r>
    </w:p>
    <w:p>
      <w:pPr>
        <w:shd w:val="clear"/>
        <w:ind w:firstLine="420"/>
        <w:rPr>
          <w:rFonts w:hAnsi="宋体"/>
          <w:color w:val="auto"/>
          <w:sz w:val="21"/>
          <w:szCs w:val="21"/>
        </w:rPr>
      </w:pPr>
      <w:r>
        <w:rPr>
          <w:rFonts w:hint="eastAsia" w:hAnsi="宋体"/>
          <w:color w:val="auto"/>
          <w:sz w:val="21"/>
          <w:szCs w:val="21"/>
        </w:rPr>
        <w:t>4、投标单位发现其他受托人的人员不能胜任本职工作的，有权要求其他受托人予以调换，并以书面形式报委托人。</w:t>
      </w:r>
    </w:p>
    <w:p>
      <w:pPr>
        <w:shd w:val="clear"/>
        <w:ind w:firstLine="422"/>
        <w:rPr>
          <w:rFonts w:hAnsi="宋体"/>
          <w:b/>
          <w:color w:val="auto"/>
          <w:sz w:val="21"/>
          <w:szCs w:val="21"/>
        </w:rPr>
      </w:pPr>
      <w:r>
        <w:rPr>
          <w:rFonts w:hint="eastAsia" w:hAnsi="宋体"/>
          <w:b/>
          <w:color w:val="auto"/>
          <w:sz w:val="21"/>
          <w:szCs w:val="21"/>
        </w:rPr>
        <w:t>（七）服务时间和服务期限</w:t>
      </w:r>
    </w:p>
    <w:p>
      <w:pPr>
        <w:shd w:val="clear"/>
        <w:ind w:firstLine="420"/>
        <w:rPr>
          <w:rFonts w:hAnsi="宋体"/>
          <w:color w:val="auto"/>
          <w:sz w:val="21"/>
          <w:szCs w:val="21"/>
        </w:rPr>
      </w:pPr>
      <w:r>
        <w:rPr>
          <w:rFonts w:hint="eastAsia" w:hAnsi="宋体"/>
          <w:color w:val="auto"/>
          <w:sz w:val="21"/>
          <w:szCs w:val="21"/>
        </w:rPr>
        <w:t>1、项目管理及监理服务期：自签订合同之日起至工程竣工验收及结算审计完成；</w:t>
      </w:r>
    </w:p>
    <w:p>
      <w:pPr>
        <w:shd w:val="clear"/>
        <w:ind w:firstLine="420"/>
        <w:rPr>
          <w:rFonts w:hAnsi="宋体"/>
          <w:color w:val="auto"/>
          <w:sz w:val="21"/>
          <w:szCs w:val="21"/>
        </w:rPr>
      </w:pPr>
      <w:r>
        <w:rPr>
          <w:rFonts w:hint="eastAsia" w:hAnsi="宋体"/>
          <w:color w:val="auto"/>
          <w:sz w:val="21"/>
          <w:szCs w:val="21"/>
        </w:rPr>
        <w:t>2、保修阶段监理服务期：按国家有关规定执行。</w:t>
      </w:r>
    </w:p>
    <w:p>
      <w:pPr>
        <w:shd w:val="clear"/>
        <w:ind w:firstLine="420"/>
        <w:rPr>
          <w:rFonts w:hAnsi="宋体"/>
          <w:color w:val="auto"/>
          <w:sz w:val="21"/>
          <w:szCs w:val="21"/>
        </w:rPr>
      </w:pPr>
      <w:r>
        <w:rPr>
          <w:rFonts w:hint="eastAsia" w:hAnsi="宋体"/>
          <w:color w:val="auto"/>
          <w:sz w:val="21"/>
          <w:szCs w:val="21"/>
        </w:rPr>
        <w:t>3、人员到位期限：各类工程师应按投标文件中所列明的时间到位。</w:t>
      </w:r>
    </w:p>
    <w:p>
      <w:pPr>
        <w:shd w:val="clear"/>
        <w:ind w:firstLine="420"/>
        <w:rPr>
          <w:rFonts w:hAnsi="宋体"/>
          <w:color w:val="auto"/>
          <w:sz w:val="21"/>
          <w:szCs w:val="21"/>
        </w:rPr>
      </w:pPr>
      <w:r>
        <w:rPr>
          <w:rFonts w:hint="eastAsia" w:hAnsi="宋体"/>
          <w:color w:val="auto"/>
          <w:sz w:val="21"/>
          <w:szCs w:val="21"/>
        </w:rPr>
        <w:t>4、进场期限：受托人应按委托人通知的期限内组织项目管理、监理等人员和设备进场。</w:t>
      </w:r>
    </w:p>
    <w:p>
      <w:pPr>
        <w:shd w:val="clear"/>
        <w:spacing w:line="240" w:lineRule="auto"/>
        <w:ind w:firstLine="0" w:firstLineChars="0"/>
        <w:jc w:val="left"/>
        <w:rPr>
          <w:rFonts w:hAnsi="宋体"/>
          <w:b/>
          <w:bCs/>
          <w:color w:val="auto"/>
          <w:sz w:val="21"/>
          <w:szCs w:val="21"/>
        </w:rPr>
      </w:pPr>
      <w:r>
        <w:rPr>
          <w:rFonts w:hAnsi="宋体"/>
          <w:color w:val="auto"/>
          <w:sz w:val="21"/>
          <w:szCs w:val="21"/>
        </w:rPr>
        <w:br w:type="page"/>
      </w:r>
    </w:p>
    <w:p>
      <w:pPr>
        <w:pStyle w:val="7"/>
        <w:shd w:val="clear"/>
        <w:rPr>
          <w:rFonts w:hAnsi="宋体"/>
          <w:color w:val="auto"/>
          <w:sz w:val="21"/>
          <w:szCs w:val="21"/>
        </w:rPr>
      </w:pPr>
      <w:r>
        <w:rPr>
          <w:rFonts w:hint="eastAsia" w:hAnsi="宋体"/>
          <w:color w:val="auto"/>
          <w:sz w:val="21"/>
          <w:szCs w:val="21"/>
        </w:rPr>
        <w:t>四、项目管理及监理服务人员需求</w:t>
      </w:r>
    </w:p>
    <w:p>
      <w:pPr>
        <w:shd w:val="clear"/>
        <w:ind w:firstLine="422"/>
        <w:jc w:val="center"/>
        <w:rPr>
          <w:color w:val="auto"/>
          <w:sz w:val="21"/>
          <w:szCs w:val="21"/>
        </w:rPr>
      </w:pPr>
      <w:r>
        <w:rPr>
          <w:rFonts w:hint="eastAsia" w:hAnsi="宋体" w:cs="宋体"/>
          <w:b/>
          <w:color w:val="auto"/>
          <w:sz w:val="21"/>
          <w:szCs w:val="21"/>
        </w:rPr>
        <w:t>项目管理人员组成配备要求表</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465"/>
        <w:gridCol w:w="4210"/>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43" w:type="pct"/>
            <w:vAlign w:val="center"/>
          </w:tcPr>
          <w:p>
            <w:pPr>
              <w:shd w:val="clear"/>
              <w:ind w:firstLine="0" w:firstLineChars="0"/>
              <w:jc w:val="center"/>
              <w:rPr>
                <w:b/>
                <w:color w:val="auto"/>
                <w:sz w:val="21"/>
                <w:szCs w:val="21"/>
              </w:rPr>
            </w:pPr>
            <w:r>
              <w:rPr>
                <w:rFonts w:hint="eastAsia"/>
                <w:b/>
                <w:bCs/>
                <w:color w:val="auto"/>
                <w:sz w:val="21"/>
                <w:szCs w:val="21"/>
              </w:rPr>
              <w:t>类别</w:t>
            </w:r>
          </w:p>
        </w:tc>
        <w:tc>
          <w:tcPr>
            <w:tcW w:w="243" w:type="pct"/>
            <w:vAlign w:val="center"/>
          </w:tcPr>
          <w:p>
            <w:pPr>
              <w:shd w:val="clear"/>
              <w:ind w:firstLine="0" w:firstLineChars="0"/>
              <w:jc w:val="center"/>
              <w:rPr>
                <w:b/>
                <w:color w:val="auto"/>
                <w:sz w:val="21"/>
                <w:szCs w:val="21"/>
              </w:rPr>
            </w:pPr>
            <w:r>
              <w:rPr>
                <w:rFonts w:hint="eastAsia"/>
                <w:b/>
                <w:bCs/>
                <w:color w:val="auto"/>
                <w:sz w:val="21"/>
                <w:szCs w:val="21"/>
              </w:rPr>
              <w:t>人数</w:t>
            </w:r>
          </w:p>
        </w:tc>
        <w:tc>
          <w:tcPr>
            <w:tcW w:w="2198" w:type="pct"/>
          </w:tcPr>
          <w:p>
            <w:pPr>
              <w:shd w:val="clear"/>
              <w:ind w:firstLine="0" w:firstLineChars="0"/>
              <w:jc w:val="center"/>
              <w:rPr>
                <w:b/>
                <w:bCs/>
                <w:color w:val="auto"/>
                <w:sz w:val="21"/>
                <w:szCs w:val="21"/>
              </w:rPr>
            </w:pPr>
            <w:r>
              <w:rPr>
                <w:rFonts w:hint="eastAsia"/>
                <w:b/>
                <w:bCs/>
                <w:color w:val="auto"/>
                <w:sz w:val="21"/>
                <w:szCs w:val="21"/>
              </w:rPr>
              <w:t>基本要求</w:t>
            </w:r>
          </w:p>
        </w:tc>
        <w:tc>
          <w:tcPr>
            <w:tcW w:w="1516" w:type="pct"/>
          </w:tcPr>
          <w:p>
            <w:pPr>
              <w:shd w:val="clear"/>
              <w:ind w:firstLine="0" w:firstLineChars="0"/>
              <w:jc w:val="center"/>
              <w:rPr>
                <w:b/>
                <w:bCs/>
                <w:color w:val="auto"/>
                <w:sz w:val="21"/>
                <w:szCs w:val="21"/>
              </w:rPr>
            </w:pPr>
            <w:r>
              <w:rPr>
                <w:rFonts w:hint="eastAsia"/>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3" w:type="pct"/>
            <w:vAlign w:val="center"/>
          </w:tcPr>
          <w:p>
            <w:pPr>
              <w:shd w:val="clear"/>
              <w:ind w:firstLine="0" w:firstLineChars="0"/>
              <w:jc w:val="center"/>
              <w:rPr>
                <w:bCs/>
                <w:color w:val="auto"/>
                <w:sz w:val="21"/>
                <w:szCs w:val="21"/>
              </w:rPr>
            </w:pPr>
            <w:r>
              <w:rPr>
                <w:rFonts w:hint="eastAsia"/>
                <w:bCs/>
                <w:color w:val="auto"/>
                <w:sz w:val="21"/>
                <w:szCs w:val="21"/>
              </w:rPr>
              <w:t>项目管理负责人</w:t>
            </w:r>
          </w:p>
        </w:tc>
        <w:tc>
          <w:tcPr>
            <w:tcW w:w="243" w:type="pct"/>
            <w:vAlign w:val="center"/>
          </w:tcPr>
          <w:p>
            <w:pPr>
              <w:shd w:val="clear"/>
              <w:ind w:firstLine="0" w:firstLineChars="0"/>
              <w:jc w:val="center"/>
              <w:rPr>
                <w:color w:val="auto"/>
                <w:sz w:val="21"/>
                <w:szCs w:val="21"/>
              </w:rPr>
            </w:pPr>
            <w:r>
              <w:rPr>
                <w:rFonts w:hint="eastAsia"/>
                <w:color w:val="auto"/>
                <w:sz w:val="21"/>
                <w:szCs w:val="21"/>
              </w:rPr>
              <w:t>1</w:t>
            </w:r>
          </w:p>
        </w:tc>
        <w:tc>
          <w:tcPr>
            <w:tcW w:w="2198" w:type="pct"/>
          </w:tcPr>
          <w:p>
            <w:pPr>
              <w:shd w:val="clear"/>
              <w:ind w:firstLine="0" w:firstLineChars="0"/>
              <w:jc w:val="center"/>
              <w:rPr>
                <w:color w:val="auto"/>
                <w:sz w:val="21"/>
                <w:szCs w:val="21"/>
              </w:rPr>
            </w:pPr>
            <w:r>
              <w:rPr>
                <w:rFonts w:hint="eastAsia"/>
                <w:color w:val="auto"/>
                <w:sz w:val="21"/>
                <w:szCs w:val="21"/>
              </w:rPr>
              <w:t>按招标公告。</w:t>
            </w:r>
          </w:p>
        </w:tc>
        <w:tc>
          <w:tcPr>
            <w:tcW w:w="1516" w:type="pct"/>
          </w:tcPr>
          <w:p>
            <w:pPr>
              <w:shd w:val="clear"/>
              <w:ind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3" w:type="pct"/>
            <w:vAlign w:val="center"/>
          </w:tcPr>
          <w:p>
            <w:pPr>
              <w:shd w:val="clear"/>
              <w:ind w:firstLine="0" w:firstLineChars="0"/>
              <w:jc w:val="center"/>
              <w:rPr>
                <w:b/>
                <w:bCs/>
                <w:color w:val="auto"/>
                <w:sz w:val="21"/>
                <w:szCs w:val="21"/>
              </w:rPr>
            </w:pPr>
            <w:r>
              <w:rPr>
                <w:rFonts w:hint="eastAsia"/>
                <w:color w:val="auto"/>
                <w:sz w:val="21"/>
                <w:szCs w:val="21"/>
              </w:rPr>
              <w:t>工程管理人员</w:t>
            </w:r>
          </w:p>
        </w:tc>
        <w:tc>
          <w:tcPr>
            <w:tcW w:w="243" w:type="pct"/>
            <w:vAlign w:val="center"/>
          </w:tcPr>
          <w:p>
            <w:pPr>
              <w:shd w:val="clear"/>
              <w:ind w:firstLine="0" w:firstLineChars="0"/>
              <w:jc w:val="center"/>
              <w:rPr>
                <w:color w:val="auto"/>
                <w:sz w:val="21"/>
                <w:szCs w:val="21"/>
              </w:rPr>
            </w:pPr>
            <w:r>
              <w:rPr>
                <w:color w:val="auto"/>
                <w:sz w:val="21"/>
                <w:szCs w:val="21"/>
              </w:rPr>
              <w:t>1</w:t>
            </w:r>
          </w:p>
        </w:tc>
        <w:tc>
          <w:tcPr>
            <w:tcW w:w="2198" w:type="pct"/>
            <w:vAlign w:val="center"/>
          </w:tcPr>
          <w:p>
            <w:pPr>
              <w:shd w:val="clear"/>
              <w:ind w:firstLine="0" w:firstLineChars="0"/>
              <w:rPr>
                <w:color w:val="auto"/>
                <w:sz w:val="21"/>
                <w:szCs w:val="21"/>
              </w:rPr>
            </w:pPr>
            <w:r>
              <w:rPr>
                <w:rFonts w:hint="eastAsia"/>
                <w:color w:val="auto"/>
                <w:sz w:val="21"/>
                <w:szCs w:val="21"/>
              </w:rPr>
              <w:t>具有工程类或造价类或经济类中级（或以上）职称的</w:t>
            </w:r>
          </w:p>
        </w:tc>
        <w:tc>
          <w:tcPr>
            <w:tcW w:w="1516" w:type="pct"/>
          </w:tcPr>
          <w:p>
            <w:pPr>
              <w:shd w:val="clear"/>
              <w:ind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3" w:type="pct"/>
            <w:vAlign w:val="center"/>
          </w:tcPr>
          <w:p>
            <w:pPr>
              <w:shd w:val="clear"/>
              <w:ind w:firstLine="0" w:firstLineChars="0"/>
              <w:jc w:val="center"/>
              <w:rPr>
                <w:color w:val="auto"/>
                <w:sz w:val="21"/>
                <w:szCs w:val="21"/>
              </w:rPr>
            </w:pPr>
            <w:r>
              <w:rPr>
                <w:rFonts w:hint="eastAsia"/>
                <w:color w:val="auto"/>
                <w:sz w:val="21"/>
                <w:szCs w:val="21"/>
              </w:rPr>
              <w:t>造价管理人员</w:t>
            </w:r>
          </w:p>
        </w:tc>
        <w:tc>
          <w:tcPr>
            <w:tcW w:w="243" w:type="pct"/>
            <w:vAlign w:val="center"/>
          </w:tcPr>
          <w:p>
            <w:pPr>
              <w:shd w:val="clear"/>
              <w:ind w:firstLine="0" w:firstLineChars="0"/>
              <w:jc w:val="center"/>
              <w:rPr>
                <w:color w:val="auto"/>
                <w:sz w:val="21"/>
                <w:szCs w:val="21"/>
              </w:rPr>
            </w:pPr>
            <w:r>
              <w:rPr>
                <w:rFonts w:hint="eastAsia"/>
                <w:color w:val="auto"/>
                <w:sz w:val="21"/>
                <w:szCs w:val="21"/>
              </w:rPr>
              <w:t>1</w:t>
            </w:r>
          </w:p>
        </w:tc>
        <w:tc>
          <w:tcPr>
            <w:tcW w:w="2198" w:type="pct"/>
            <w:vAlign w:val="center"/>
          </w:tcPr>
          <w:p>
            <w:pPr>
              <w:shd w:val="clear"/>
              <w:spacing w:line="240" w:lineRule="auto"/>
              <w:ind w:firstLine="0" w:firstLineChars="0"/>
              <w:jc w:val="left"/>
              <w:rPr>
                <w:rFonts w:hAnsi="宋体"/>
                <w:color w:val="auto"/>
                <w:sz w:val="21"/>
                <w:szCs w:val="21"/>
              </w:rPr>
            </w:pPr>
            <w:r>
              <w:rPr>
                <w:rFonts w:hint="eastAsia"/>
                <w:color w:val="auto"/>
                <w:sz w:val="21"/>
                <w:szCs w:val="21"/>
              </w:rPr>
              <w:t>具有工程类或造价类或经济类中级（或以上）职称的</w:t>
            </w:r>
          </w:p>
        </w:tc>
        <w:tc>
          <w:tcPr>
            <w:tcW w:w="1516" w:type="pct"/>
          </w:tcPr>
          <w:p>
            <w:pPr>
              <w:shd w:val="clear"/>
              <w:spacing w:line="240" w:lineRule="auto"/>
              <w:ind w:firstLine="0" w:firstLineChars="0"/>
              <w:jc w:val="left"/>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3" w:type="pct"/>
            <w:vAlign w:val="center"/>
          </w:tcPr>
          <w:p>
            <w:pPr>
              <w:shd w:val="clear"/>
              <w:ind w:firstLine="0" w:firstLineChars="0"/>
              <w:jc w:val="center"/>
              <w:rPr>
                <w:color w:val="auto"/>
                <w:sz w:val="21"/>
                <w:szCs w:val="21"/>
              </w:rPr>
            </w:pPr>
            <w:r>
              <w:rPr>
                <w:rFonts w:hint="eastAsia"/>
                <w:color w:val="auto"/>
                <w:sz w:val="21"/>
                <w:szCs w:val="21"/>
              </w:rPr>
              <w:t>设计管理人员</w:t>
            </w:r>
          </w:p>
        </w:tc>
        <w:tc>
          <w:tcPr>
            <w:tcW w:w="243" w:type="pct"/>
            <w:vAlign w:val="center"/>
          </w:tcPr>
          <w:p>
            <w:pPr>
              <w:shd w:val="clear"/>
              <w:ind w:firstLine="0" w:firstLineChars="0"/>
              <w:jc w:val="center"/>
              <w:rPr>
                <w:color w:val="auto"/>
                <w:sz w:val="21"/>
                <w:szCs w:val="21"/>
              </w:rPr>
            </w:pPr>
            <w:r>
              <w:rPr>
                <w:color w:val="auto"/>
                <w:sz w:val="21"/>
                <w:szCs w:val="21"/>
              </w:rPr>
              <w:t>1</w:t>
            </w:r>
          </w:p>
        </w:tc>
        <w:tc>
          <w:tcPr>
            <w:tcW w:w="2198" w:type="pct"/>
            <w:vAlign w:val="center"/>
          </w:tcPr>
          <w:p>
            <w:pPr>
              <w:shd w:val="clear"/>
              <w:spacing w:line="240" w:lineRule="auto"/>
              <w:ind w:firstLine="0" w:firstLineChars="0"/>
              <w:jc w:val="left"/>
              <w:rPr>
                <w:rFonts w:hAnsi="宋体"/>
                <w:color w:val="auto"/>
                <w:sz w:val="21"/>
                <w:szCs w:val="21"/>
              </w:rPr>
            </w:pPr>
            <w:r>
              <w:rPr>
                <w:rFonts w:hint="eastAsia"/>
                <w:color w:val="auto"/>
                <w:sz w:val="21"/>
                <w:szCs w:val="21"/>
              </w:rPr>
              <w:t>具有工程类或造价类或经济类中级（或以上）职称的</w:t>
            </w:r>
          </w:p>
        </w:tc>
        <w:tc>
          <w:tcPr>
            <w:tcW w:w="1516" w:type="pct"/>
          </w:tcPr>
          <w:p>
            <w:pPr>
              <w:shd w:val="clear"/>
              <w:spacing w:line="240" w:lineRule="auto"/>
              <w:ind w:firstLine="0" w:firstLineChars="0"/>
              <w:jc w:val="left"/>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3" w:type="pct"/>
            <w:vAlign w:val="center"/>
          </w:tcPr>
          <w:p>
            <w:pPr>
              <w:shd w:val="clear"/>
              <w:ind w:firstLine="0" w:firstLineChars="0"/>
              <w:jc w:val="center"/>
              <w:rPr>
                <w:color w:val="auto"/>
                <w:sz w:val="21"/>
                <w:szCs w:val="21"/>
              </w:rPr>
            </w:pPr>
            <w:r>
              <w:rPr>
                <w:rFonts w:hint="eastAsia"/>
                <w:color w:val="auto"/>
                <w:sz w:val="21"/>
                <w:szCs w:val="21"/>
              </w:rPr>
              <w:t>报建管理人员</w:t>
            </w:r>
          </w:p>
        </w:tc>
        <w:tc>
          <w:tcPr>
            <w:tcW w:w="243" w:type="pct"/>
            <w:vAlign w:val="center"/>
          </w:tcPr>
          <w:p>
            <w:pPr>
              <w:shd w:val="clear"/>
              <w:ind w:firstLine="0" w:firstLineChars="0"/>
              <w:jc w:val="center"/>
              <w:rPr>
                <w:color w:val="auto"/>
                <w:sz w:val="21"/>
                <w:szCs w:val="21"/>
              </w:rPr>
            </w:pPr>
            <w:r>
              <w:rPr>
                <w:rFonts w:hint="eastAsia"/>
                <w:color w:val="auto"/>
                <w:sz w:val="21"/>
                <w:szCs w:val="21"/>
              </w:rPr>
              <w:t>1</w:t>
            </w:r>
          </w:p>
        </w:tc>
        <w:tc>
          <w:tcPr>
            <w:tcW w:w="2198" w:type="pct"/>
            <w:vAlign w:val="center"/>
          </w:tcPr>
          <w:p>
            <w:pPr>
              <w:shd w:val="clear"/>
              <w:spacing w:line="240" w:lineRule="auto"/>
              <w:ind w:firstLine="0" w:firstLineChars="0"/>
              <w:jc w:val="left"/>
              <w:rPr>
                <w:rFonts w:hAnsi="宋体"/>
                <w:color w:val="auto"/>
                <w:sz w:val="21"/>
                <w:szCs w:val="21"/>
              </w:rPr>
            </w:pPr>
            <w:r>
              <w:rPr>
                <w:rFonts w:hint="eastAsia"/>
                <w:color w:val="auto"/>
                <w:sz w:val="21"/>
                <w:szCs w:val="21"/>
              </w:rPr>
              <w:t>具有工程类或造价类或经济类中级（或以上）职称的</w:t>
            </w:r>
          </w:p>
        </w:tc>
        <w:tc>
          <w:tcPr>
            <w:tcW w:w="1516" w:type="pct"/>
          </w:tcPr>
          <w:p>
            <w:pPr>
              <w:shd w:val="clear"/>
              <w:spacing w:line="240" w:lineRule="auto"/>
              <w:ind w:firstLine="0" w:firstLineChars="0"/>
              <w:jc w:val="left"/>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3" w:type="pct"/>
            <w:vAlign w:val="center"/>
          </w:tcPr>
          <w:p>
            <w:pPr>
              <w:shd w:val="clear"/>
              <w:ind w:firstLine="0" w:firstLineChars="0"/>
              <w:jc w:val="center"/>
              <w:rPr>
                <w:color w:val="auto"/>
                <w:sz w:val="21"/>
                <w:szCs w:val="21"/>
              </w:rPr>
            </w:pPr>
            <w:r>
              <w:rPr>
                <w:rFonts w:hint="eastAsia"/>
                <w:color w:val="auto"/>
                <w:sz w:val="21"/>
                <w:szCs w:val="21"/>
              </w:rPr>
              <w:t>合同管理人员</w:t>
            </w:r>
          </w:p>
        </w:tc>
        <w:tc>
          <w:tcPr>
            <w:tcW w:w="243" w:type="pct"/>
            <w:vAlign w:val="center"/>
          </w:tcPr>
          <w:p>
            <w:pPr>
              <w:shd w:val="clear"/>
              <w:ind w:firstLine="0" w:firstLineChars="0"/>
              <w:jc w:val="center"/>
              <w:rPr>
                <w:color w:val="auto"/>
                <w:sz w:val="21"/>
                <w:szCs w:val="21"/>
              </w:rPr>
            </w:pPr>
            <w:r>
              <w:rPr>
                <w:color w:val="auto"/>
                <w:sz w:val="21"/>
                <w:szCs w:val="21"/>
              </w:rPr>
              <w:t>1</w:t>
            </w:r>
          </w:p>
        </w:tc>
        <w:tc>
          <w:tcPr>
            <w:tcW w:w="2198" w:type="pct"/>
            <w:vAlign w:val="center"/>
          </w:tcPr>
          <w:p>
            <w:pPr>
              <w:shd w:val="clear"/>
              <w:spacing w:line="240" w:lineRule="auto"/>
              <w:ind w:firstLine="0" w:firstLineChars="0"/>
              <w:jc w:val="left"/>
              <w:rPr>
                <w:rFonts w:hAnsi="宋体"/>
                <w:color w:val="auto"/>
                <w:sz w:val="21"/>
                <w:szCs w:val="21"/>
              </w:rPr>
            </w:pPr>
            <w:r>
              <w:rPr>
                <w:rFonts w:hint="eastAsia"/>
                <w:color w:val="auto"/>
                <w:sz w:val="21"/>
                <w:szCs w:val="21"/>
              </w:rPr>
              <w:t>具有工程类或造价类或经济类中级（或以上）职称的</w:t>
            </w:r>
          </w:p>
        </w:tc>
        <w:tc>
          <w:tcPr>
            <w:tcW w:w="1516" w:type="pct"/>
          </w:tcPr>
          <w:p>
            <w:pPr>
              <w:shd w:val="clear"/>
              <w:spacing w:line="240" w:lineRule="auto"/>
              <w:ind w:firstLine="0" w:firstLineChars="0"/>
              <w:jc w:val="left"/>
              <w:rPr>
                <w:rFonts w:hAnsi="宋体"/>
                <w:color w:val="auto"/>
                <w:sz w:val="21"/>
                <w:szCs w:val="21"/>
              </w:rPr>
            </w:pPr>
          </w:p>
        </w:tc>
      </w:tr>
    </w:tbl>
    <w:p>
      <w:pPr>
        <w:pStyle w:val="2"/>
        <w:shd w:val="clear"/>
        <w:ind w:firstLine="0" w:firstLineChars="0"/>
        <w:rPr>
          <w:rFonts w:hAnsi="宋体" w:cs="宋体"/>
          <w:color w:val="auto"/>
        </w:rPr>
      </w:pPr>
      <w:r>
        <w:rPr>
          <w:rFonts w:hint="eastAsia" w:hAnsi="宋体"/>
          <w:color w:val="auto"/>
        </w:rPr>
        <w:t xml:space="preserve"> </w:t>
      </w:r>
    </w:p>
    <w:p>
      <w:pPr>
        <w:shd w:val="clear"/>
        <w:ind w:firstLine="480"/>
        <w:rPr>
          <w:color w:val="auto"/>
        </w:rPr>
      </w:pPr>
    </w:p>
    <w:p>
      <w:pPr>
        <w:shd w:val="clear"/>
        <w:ind w:firstLine="482"/>
        <w:jc w:val="center"/>
        <w:rPr>
          <w:color w:val="auto"/>
        </w:rPr>
      </w:pPr>
      <w:r>
        <w:rPr>
          <w:rFonts w:hint="eastAsia" w:hAnsi="宋体" w:cs="宋体"/>
          <w:b/>
          <w:color w:val="auto"/>
          <w:szCs w:val="24"/>
        </w:rPr>
        <w:t>项目监理人员组成配备要求表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1455"/>
        <w:gridCol w:w="676"/>
        <w:gridCol w:w="4005"/>
        <w:gridCol w:w="2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blHeader/>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0" w:firstLineChars="0"/>
              <w:jc w:val="center"/>
              <w:rPr>
                <w:color w:val="auto"/>
                <w:sz w:val="21"/>
                <w:szCs w:val="21"/>
              </w:rPr>
            </w:pPr>
            <w:bookmarkStart w:id="173" w:name="_Hlk122979324"/>
            <w:r>
              <w:rPr>
                <w:rFonts w:hint="eastAsia"/>
                <w:color w:val="auto"/>
                <w:sz w:val="21"/>
                <w:szCs w:val="21"/>
              </w:rPr>
              <w:t>类别</w:t>
            </w:r>
          </w:p>
        </w:tc>
        <w:tc>
          <w:tcPr>
            <w:tcW w:w="676" w:type="dxa"/>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0" w:firstLineChars="0"/>
              <w:jc w:val="center"/>
              <w:rPr>
                <w:color w:val="auto"/>
                <w:sz w:val="21"/>
                <w:szCs w:val="21"/>
              </w:rPr>
            </w:pPr>
            <w:r>
              <w:rPr>
                <w:rFonts w:hint="eastAsia"/>
                <w:color w:val="auto"/>
                <w:sz w:val="21"/>
                <w:szCs w:val="21"/>
              </w:rPr>
              <w:t>人数</w:t>
            </w:r>
          </w:p>
        </w:tc>
        <w:tc>
          <w:tcPr>
            <w:tcW w:w="4005" w:type="dxa"/>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0" w:firstLineChars="0"/>
              <w:jc w:val="center"/>
              <w:rPr>
                <w:color w:val="auto"/>
                <w:sz w:val="21"/>
                <w:szCs w:val="21"/>
              </w:rPr>
            </w:pPr>
            <w:r>
              <w:rPr>
                <w:rFonts w:hint="eastAsia"/>
                <w:color w:val="auto"/>
                <w:sz w:val="21"/>
                <w:szCs w:val="21"/>
              </w:rPr>
              <w:t>基本要求</w:t>
            </w:r>
          </w:p>
        </w:tc>
        <w:tc>
          <w:tcPr>
            <w:tcW w:w="2855" w:type="dxa"/>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0" w:firstLineChars="0"/>
              <w:jc w:val="center"/>
              <w:rPr>
                <w:color w:val="auto"/>
                <w:sz w:val="21"/>
                <w:szCs w:val="21"/>
              </w:rPr>
            </w:pPr>
            <w:r>
              <w:rPr>
                <w:rFonts w:hint="eastAsia"/>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0" w:firstLineChars="0"/>
              <w:jc w:val="center"/>
              <w:rPr>
                <w:color w:val="auto"/>
                <w:sz w:val="21"/>
                <w:szCs w:val="21"/>
              </w:rPr>
            </w:pPr>
            <w:r>
              <w:rPr>
                <w:rFonts w:hint="eastAsia"/>
                <w:color w:val="auto"/>
                <w:sz w:val="21"/>
                <w:szCs w:val="21"/>
              </w:rPr>
              <w:t>项目总监理工程师</w:t>
            </w:r>
          </w:p>
        </w:tc>
        <w:tc>
          <w:tcPr>
            <w:tcW w:w="676" w:type="dxa"/>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0" w:firstLineChars="0"/>
              <w:jc w:val="center"/>
              <w:rPr>
                <w:color w:val="auto"/>
                <w:sz w:val="21"/>
                <w:szCs w:val="21"/>
              </w:rPr>
            </w:pPr>
            <w:r>
              <w:rPr>
                <w:rFonts w:hint="eastAsia"/>
                <w:color w:val="auto"/>
                <w:sz w:val="21"/>
                <w:szCs w:val="21"/>
              </w:rPr>
              <w:t>1</w:t>
            </w:r>
          </w:p>
        </w:tc>
        <w:tc>
          <w:tcPr>
            <w:tcW w:w="4005" w:type="dxa"/>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0" w:firstLineChars="0"/>
              <w:jc w:val="center"/>
              <w:rPr>
                <w:color w:val="auto"/>
                <w:sz w:val="21"/>
                <w:szCs w:val="21"/>
              </w:rPr>
            </w:pPr>
            <w:r>
              <w:rPr>
                <w:rFonts w:hint="eastAsia"/>
                <w:color w:val="auto"/>
                <w:sz w:val="21"/>
                <w:szCs w:val="21"/>
              </w:rPr>
              <w:t>按招标公告</w:t>
            </w:r>
          </w:p>
        </w:tc>
        <w:tc>
          <w:tcPr>
            <w:tcW w:w="2855" w:type="dxa"/>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380" w:type="dxa"/>
            <w:vMerge w:val="restart"/>
            <w:tcBorders>
              <w:top w:val="single" w:color="auto" w:sz="4" w:space="0"/>
              <w:left w:val="single" w:color="auto" w:sz="4" w:space="0"/>
              <w:right w:val="single" w:color="auto" w:sz="4" w:space="0"/>
            </w:tcBorders>
            <w:vAlign w:val="center"/>
          </w:tcPr>
          <w:p>
            <w:pPr>
              <w:shd w:val="clear"/>
              <w:spacing w:line="240" w:lineRule="auto"/>
              <w:ind w:firstLine="0" w:firstLineChars="0"/>
              <w:jc w:val="center"/>
              <w:rPr>
                <w:color w:val="auto"/>
                <w:sz w:val="21"/>
                <w:szCs w:val="21"/>
              </w:rPr>
            </w:pPr>
            <w:r>
              <w:rPr>
                <w:rFonts w:hint="eastAsia"/>
                <w:color w:val="auto"/>
                <w:sz w:val="21"/>
                <w:szCs w:val="21"/>
              </w:rPr>
              <w:t>专业监理人员</w:t>
            </w:r>
          </w:p>
        </w:tc>
        <w:tc>
          <w:tcPr>
            <w:tcW w:w="1455" w:type="dxa"/>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0" w:firstLineChars="0"/>
              <w:jc w:val="center"/>
              <w:rPr>
                <w:color w:val="auto"/>
                <w:sz w:val="21"/>
                <w:szCs w:val="21"/>
              </w:rPr>
            </w:pPr>
            <w:r>
              <w:rPr>
                <w:rFonts w:hint="eastAsia"/>
                <w:color w:val="auto"/>
                <w:sz w:val="21"/>
                <w:szCs w:val="21"/>
              </w:rPr>
              <w:t>房建监理工程师</w:t>
            </w:r>
          </w:p>
        </w:tc>
        <w:tc>
          <w:tcPr>
            <w:tcW w:w="676" w:type="dxa"/>
            <w:tcBorders>
              <w:top w:val="single" w:color="auto" w:sz="4" w:space="0"/>
              <w:left w:val="single" w:color="auto" w:sz="4" w:space="0"/>
              <w:bottom w:val="single" w:color="auto" w:sz="4" w:space="0"/>
              <w:right w:val="single" w:color="auto" w:sz="4" w:space="0"/>
            </w:tcBorders>
            <w:vAlign w:val="center"/>
          </w:tcPr>
          <w:p>
            <w:pPr>
              <w:pStyle w:val="68"/>
              <w:shd w:val="clear"/>
              <w:jc w:val="center"/>
              <w:rPr>
                <w:rFonts w:hAnsi="Times New Roman"/>
                <w:color w:val="auto"/>
                <w:kern w:val="0"/>
              </w:rPr>
            </w:pPr>
            <w:r>
              <w:rPr>
                <w:rFonts w:hint="eastAsia" w:hAnsi="Times New Roman"/>
                <w:color w:val="auto"/>
                <w:kern w:val="0"/>
              </w:rPr>
              <w:t>1</w:t>
            </w:r>
          </w:p>
        </w:tc>
        <w:tc>
          <w:tcPr>
            <w:tcW w:w="4005" w:type="dxa"/>
            <w:tcBorders>
              <w:top w:val="single" w:color="auto" w:sz="4" w:space="0"/>
              <w:left w:val="single" w:color="auto" w:sz="4" w:space="0"/>
              <w:bottom w:val="single" w:color="auto" w:sz="4" w:space="0"/>
              <w:right w:val="single" w:color="auto" w:sz="4" w:space="0"/>
            </w:tcBorders>
            <w:vAlign w:val="center"/>
          </w:tcPr>
          <w:p>
            <w:pPr>
              <w:shd w:val="clear"/>
              <w:topLinePunct/>
              <w:spacing w:line="240" w:lineRule="auto"/>
              <w:ind w:firstLine="0" w:firstLineChars="0"/>
              <w:rPr>
                <w:color w:val="auto"/>
                <w:sz w:val="21"/>
                <w:szCs w:val="21"/>
              </w:rPr>
            </w:pPr>
            <w:r>
              <w:rPr>
                <w:rFonts w:hint="eastAsia"/>
                <w:color w:val="auto"/>
                <w:sz w:val="21"/>
                <w:szCs w:val="21"/>
              </w:rPr>
              <w:t>（1）专业为土建相关专业。</w:t>
            </w:r>
          </w:p>
          <w:p>
            <w:pPr>
              <w:shd w:val="clear"/>
              <w:topLinePunct/>
              <w:spacing w:line="240" w:lineRule="auto"/>
              <w:ind w:firstLine="0" w:firstLineChars="0"/>
              <w:rPr>
                <w:color w:val="auto"/>
                <w:sz w:val="21"/>
                <w:szCs w:val="21"/>
              </w:rPr>
            </w:pPr>
            <w:r>
              <w:rPr>
                <w:rFonts w:hint="eastAsia"/>
                <w:color w:val="auto"/>
                <w:sz w:val="21"/>
                <w:szCs w:val="21"/>
              </w:rPr>
              <w:t>（2）具备中级或以上技术职称。</w:t>
            </w:r>
          </w:p>
        </w:tc>
        <w:tc>
          <w:tcPr>
            <w:tcW w:w="2855" w:type="dxa"/>
            <w:tcBorders>
              <w:top w:val="single" w:color="auto" w:sz="4" w:space="0"/>
              <w:left w:val="single" w:color="auto" w:sz="4" w:space="0"/>
              <w:bottom w:val="single" w:color="auto" w:sz="4" w:space="0"/>
              <w:right w:val="single" w:color="auto" w:sz="4" w:space="0"/>
            </w:tcBorders>
            <w:vAlign w:val="center"/>
          </w:tcPr>
          <w:p>
            <w:pPr>
              <w:pStyle w:val="68"/>
              <w:shd w:val="clear"/>
              <w:rPr>
                <w:rFonts w:hAnsi="Times New Roman"/>
                <w:color w:val="auto"/>
                <w:kern w:val="0"/>
              </w:rPr>
            </w:pPr>
            <w:r>
              <w:rPr>
                <w:rFonts w:hint="eastAsia" w:hAnsi="Times New Roman"/>
                <w:color w:val="auto"/>
                <w:kern w:val="0"/>
              </w:rPr>
              <w:t>专业以毕业证，或职称证，或注册监理工程师注册执业证书，或专业监理工程师证书为准。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380" w:type="dxa"/>
            <w:vMerge w:val="continue"/>
            <w:tcBorders>
              <w:top w:val="single" w:color="auto" w:sz="4" w:space="0"/>
              <w:left w:val="single" w:color="auto" w:sz="4" w:space="0"/>
              <w:right w:val="single" w:color="auto" w:sz="4" w:space="0"/>
            </w:tcBorders>
            <w:vAlign w:val="center"/>
          </w:tcPr>
          <w:p>
            <w:pPr>
              <w:shd w:val="clear"/>
              <w:spacing w:line="240" w:lineRule="auto"/>
              <w:ind w:firstLine="0" w:firstLineChars="0"/>
              <w:jc w:val="center"/>
              <w:rPr>
                <w:color w:val="auto"/>
                <w:sz w:val="21"/>
                <w:szCs w:val="21"/>
              </w:rPr>
            </w:pPr>
          </w:p>
        </w:tc>
        <w:tc>
          <w:tcPr>
            <w:tcW w:w="1455" w:type="dxa"/>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0" w:firstLineChars="0"/>
              <w:jc w:val="center"/>
              <w:rPr>
                <w:color w:val="auto"/>
                <w:sz w:val="21"/>
                <w:szCs w:val="21"/>
              </w:rPr>
            </w:pPr>
            <w:r>
              <w:rPr>
                <w:rFonts w:hint="eastAsia"/>
                <w:color w:val="auto"/>
                <w:sz w:val="21"/>
                <w:szCs w:val="21"/>
              </w:rPr>
              <w:t>专职安全工程师</w:t>
            </w:r>
          </w:p>
        </w:tc>
        <w:tc>
          <w:tcPr>
            <w:tcW w:w="676" w:type="dxa"/>
            <w:tcBorders>
              <w:top w:val="single" w:color="auto" w:sz="4" w:space="0"/>
              <w:left w:val="single" w:color="auto" w:sz="4" w:space="0"/>
              <w:bottom w:val="single" w:color="auto" w:sz="4" w:space="0"/>
              <w:right w:val="single" w:color="auto" w:sz="4" w:space="0"/>
            </w:tcBorders>
            <w:vAlign w:val="center"/>
          </w:tcPr>
          <w:p>
            <w:pPr>
              <w:pStyle w:val="68"/>
              <w:shd w:val="clear"/>
              <w:jc w:val="center"/>
              <w:rPr>
                <w:rFonts w:hAnsi="Times New Roman"/>
                <w:color w:val="auto"/>
                <w:kern w:val="0"/>
              </w:rPr>
            </w:pPr>
            <w:r>
              <w:rPr>
                <w:rFonts w:hint="eastAsia" w:hAnsi="Times New Roman"/>
                <w:color w:val="auto"/>
                <w:kern w:val="0"/>
              </w:rPr>
              <w:t>1</w:t>
            </w:r>
          </w:p>
        </w:tc>
        <w:tc>
          <w:tcPr>
            <w:tcW w:w="4005" w:type="dxa"/>
            <w:tcBorders>
              <w:top w:val="single" w:color="auto" w:sz="4" w:space="0"/>
              <w:left w:val="single" w:color="auto" w:sz="4" w:space="0"/>
              <w:bottom w:val="single" w:color="auto" w:sz="4" w:space="0"/>
              <w:right w:val="single" w:color="auto" w:sz="4" w:space="0"/>
            </w:tcBorders>
            <w:vAlign w:val="center"/>
          </w:tcPr>
          <w:p>
            <w:pPr>
              <w:widowControl w:val="0"/>
              <w:shd w:val="clear"/>
              <w:topLinePunct/>
              <w:spacing w:line="240" w:lineRule="auto"/>
              <w:ind w:firstLine="0" w:firstLineChars="0"/>
              <w:rPr>
                <w:color w:val="auto"/>
                <w:sz w:val="21"/>
                <w:szCs w:val="21"/>
              </w:rPr>
            </w:pPr>
            <w:r>
              <w:rPr>
                <w:rFonts w:hint="eastAsia"/>
                <w:color w:val="auto"/>
                <w:sz w:val="21"/>
                <w:szCs w:val="21"/>
              </w:rPr>
              <w:t>（1）具备中级或以上技术职称。</w:t>
            </w:r>
          </w:p>
          <w:p>
            <w:pPr>
              <w:shd w:val="clear"/>
              <w:topLinePunct/>
              <w:spacing w:line="240" w:lineRule="auto"/>
              <w:ind w:firstLine="0" w:firstLineChars="0"/>
              <w:rPr>
                <w:color w:val="auto"/>
                <w:sz w:val="21"/>
                <w:szCs w:val="21"/>
              </w:rPr>
            </w:pPr>
            <w:r>
              <w:rPr>
                <w:rFonts w:hint="eastAsia"/>
                <w:color w:val="auto"/>
                <w:sz w:val="21"/>
                <w:szCs w:val="21"/>
              </w:rPr>
              <w:t>（2）具有安全监理员培训证书（或岗位证或上岗证），或注册安全工程师执业资格证。</w:t>
            </w:r>
          </w:p>
        </w:tc>
        <w:tc>
          <w:tcPr>
            <w:tcW w:w="2855" w:type="dxa"/>
            <w:tcBorders>
              <w:top w:val="single" w:color="auto" w:sz="4" w:space="0"/>
              <w:left w:val="single" w:color="auto" w:sz="4" w:space="0"/>
              <w:bottom w:val="single" w:color="auto" w:sz="4" w:space="0"/>
              <w:right w:val="single" w:color="auto" w:sz="4" w:space="0"/>
            </w:tcBorders>
            <w:vAlign w:val="center"/>
          </w:tcPr>
          <w:p>
            <w:pPr>
              <w:pStyle w:val="68"/>
              <w:shd w:val="clear"/>
              <w:rPr>
                <w:rFonts w:hAnsi="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380" w:type="dxa"/>
            <w:vMerge w:val="continue"/>
            <w:tcBorders>
              <w:top w:val="single" w:color="auto" w:sz="4" w:space="0"/>
              <w:left w:val="single" w:color="auto" w:sz="4" w:space="0"/>
              <w:right w:val="single" w:color="auto" w:sz="4" w:space="0"/>
            </w:tcBorders>
            <w:vAlign w:val="center"/>
          </w:tcPr>
          <w:p>
            <w:pPr>
              <w:shd w:val="clear"/>
              <w:snapToGrid w:val="0"/>
              <w:spacing w:line="240" w:lineRule="auto"/>
              <w:ind w:firstLine="420"/>
              <w:jc w:val="center"/>
              <w:rPr>
                <w:rFonts w:hAnsi="宋体" w:cs="宋体"/>
                <w:color w:val="auto"/>
                <w:sz w:val="21"/>
                <w:szCs w:val="21"/>
              </w:rPr>
            </w:pPr>
          </w:p>
        </w:tc>
        <w:tc>
          <w:tcPr>
            <w:tcW w:w="1455" w:type="dxa"/>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0" w:firstLineChars="0"/>
              <w:jc w:val="center"/>
              <w:rPr>
                <w:color w:val="auto"/>
                <w:sz w:val="21"/>
                <w:szCs w:val="21"/>
              </w:rPr>
            </w:pPr>
            <w:r>
              <w:rPr>
                <w:rFonts w:hint="eastAsia"/>
                <w:color w:val="auto"/>
                <w:sz w:val="21"/>
                <w:szCs w:val="21"/>
              </w:rPr>
              <w:t>机电设备监理工程师</w:t>
            </w:r>
          </w:p>
        </w:tc>
        <w:tc>
          <w:tcPr>
            <w:tcW w:w="676" w:type="dxa"/>
            <w:tcBorders>
              <w:top w:val="single" w:color="auto" w:sz="4" w:space="0"/>
              <w:left w:val="single" w:color="auto" w:sz="4" w:space="0"/>
              <w:bottom w:val="single" w:color="auto" w:sz="4" w:space="0"/>
              <w:right w:val="single" w:color="auto" w:sz="4" w:space="0"/>
            </w:tcBorders>
            <w:vAlign w:val="center"/>
          </w:tcPr>
          <w:p>
            <w:pPr>
              <w:pStyle w:val="68"/>
              <w:shd w:val="clear"/>
              <w:jc w:val="center"/>
              <w:rPr>
                <w:rFonts w:hAnsi="Times New Roman"/>
                <w:color w:val="auto"/>
                <w:kern w:val="0"/>
              </w:rPr>
            </w:pPr>
            <w:r>
              <w:rPr>
                <w:rFonts w:hint="eastAsia" w:hAnsi="Times New Roman"/>
                <w:color w:val="auto"/>
                <w:kern w:val="0"/>
              </w:rPr>
              <w:t>1</w:t>
            </w:r>
          </w:p>
        </w:tc>
        <w:tc>
          <w:tcPr>
            <w:tcW w:w="4005" w:type="dxa"/>
            <w:tcBorders>
              <w:top w:val="single" w:color="auto" w:sz="4" w:space="0"/>
              <w:left w:val="single" w:color="auto" w:sz="4" w:space="0"/>
              <w:bottom w:val="single" w:color="auto" w:sz="4" w:space="0"/>
              <w:right w:val="single" w:color="auto" w:sz="4" w:space="0"/>
            </w:tcBorders>
            <w:vAlign w:val="center"/>
          </w:tcPr>
          <w:p>
            <w:pPr>
              <w:shd w:val="clear"/>
              <w:topLinePunct/>
              <w:spacing w:line="240" w:lineRule="auto"/>
              <w:ind w:firstLine="0" w:firstLineChars="0"/>
              <w:rPr>
                <w:color w:val="auto"/>
                <w:sz w:val="21"/>
                <w:szCs w:val="21"/>
              </w:rPr>
            </w:pPr>
            <w:r>
              <w:rPr>
                <w:rFonts w:hint="eastAsia"/>
                <w:color w:val="auto"/>
                <w:sz w:val="21"/>
                <w:szCs w:val="21"/>
              </w:rPr>
              <w:t>（1）专业为机电(或电气或暖通或空调）相关专业。</w:t>
            </w:r>
          </w:p>
          <w:p>
            <w:pPr>
              <w:shd w:val="clear"/>
              <w:topLinePunct/>
              <w:spacing w:line="240" w:lineRule="auto"/>
              <w:ind w:firstLine="0" w:firstLineChars="0"/>
              <w:rPr>
                <w:color w:val="auto"/>
                <w:sz w:val="21"/>
                <w:szCs w:val="21"/>
              </w:rPr>
            </w:pPr>
            <w:r>
              <w:rPr>
                <w:rFonts w:hint="eastAsia"/>
                <w:color w:val="auto"/>
                <w:sz w:val="21"/>
                <w:szCs w:val="21"/>
              </w:rPr>
              <w:t>（2）具备中级或以上技术职称。</w:t>
            </w:r>
          </w:p>
        </w:tc>
        <w:tc>
          <w:tcPr>
            <w:tcW w:w="2855" w:type="dxa"/>
            <w:tcBorders>
              <w:top w:val="single" w:color="auto" w:sz="4" w:space="0"/>
              <w:left w:val="single" w:color="auto" w:sz="4" w:space="0"/>
              <w:bottom w:val="single" w:color="auto" w:sz="4" w:space="0"/>
              <w:right w:val="single" w:color="auto" w:sz="4" w:space="0"/>
            </w:tcBorders>
            <w:vAlign w:val="center"/>
          </w:tcPr>
          <w:p>
            <w:pPr>
              <w:pStyle w:val="68"/>
              <w:shd w:val="clear"/>
              <w:rPr>
                <w:rFonts w:hAnsi="Times New Roman"/>
                <w:color w:val="auto"/>
                <w:kern w:val="0"/>
              </w:rPr>
            </w:pPr>
            <w:r>
              <w:rPr>
                <w:rFonts w:hint="eastAsia" w:hAnsi="Times New Roman"/>
                <w:color w:val="auto"/>
                <w:kern w:val="0"/>
              </w:rPr>
              <w:t>专业以毕业证，或职称证，或注册监理工程师注册执业证书，或专业监理工程师证书为准。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380" w:type="dxa"/>
            <w:vMerge w:val="continue"/>
            <w:tcBorders>
              <w:left w:val="single" w:color="auto" w:sz="4" w:space="0"/>
              <w:right w:val="single" w:color="auto" w:sz="4" w:space="0"/>
            </w:tcBorders>
            <w:vAlign w:val="center"/>
          </w:tcPr>
          <w:p>
            <w:pPr>
              <w:shd w:val="clear"/>
              <w:snapToGrid w:val="0"/>
              <w:spacing w:line="240" w:lineRule="auto"/>
              <w:ind w:firstLine="420"/>
              <w:jc w:val="center"/>
              <w:rPr>
                <w:rFonts w:hAnsi="宋体" w:cs="宋体"/>
                <w:color w:val="auto"/>
                <w:sz w:val="21"/>
                <w:szCs w:val="21"/>
              </w:rPr>
            </w:pPr>
          </w:p>
        </w:tc>
        <w:tc>
          <w:tcPr>
            <w:tcW w:w="1455" w:type="dxa"/>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0" w:firstLineChars="0"/>
              <w:jc w:val="center"/>
              <w:rPr>
                <w:color w:val="auto"/>
                <w:sz w:val="21"/>
                <w:szCs w:val="21"/>
              </w:rPr>
            </w:pPr>
            <w:r>
              <w:rPr>
                <w:rFonts w:hint="eastAsia"/>
                <w:color w:val="auto"/>
                <w:sz w:val="21"/>
                <w:szCs w:val="21"/>
              </w:rPr>
              <w:t>造价工程师</w:t>
            </w:r>
          </w:p>
        </w:tc>
        <w:tc>
          <w:tcPr>
            <w:tcW w:w="676" w:type="dxa"/>
            <w:tcBorders>
              <w:top w:val="single" w:color="auto" w:sz="4" w:space="0"/>
              <w:left w:val="single" w:color="auto" w:sz="4" w:space="0"/>
              <w:bottom w:val="single" w:color="auto" w:sz="4" w:space="0"/>
              <w:right w:val="single" w:color="auto" w:sz="4" w:space="0"/>
            </w:tcBorders>
            <w:vAlign w:val="center"/>
          </w:tcPr>
          <w:p>
            <w:pPr>
              <w:pStyle w:val="68"/>
              <w:shd w:val="clear"/>
              <w:jc w:val="center"/>
              <w:rPr>
                <w:rFonts w:hAnsi="Times New Roman"/>
                <w:color w:val="auto"/>
                <w:kern w:val="0"/>
              </w:rPr>
            </w:pPr>
            <w:r>
              <w:rPr>
                <w:rFonts w:hAnsi="Times New Roman"/>
                <w:color w:val="auto"/>
                <w:kern w:val="0"/>
              </w:rPr>
              <w:t>1</w:t>
            </w:r>
          </w:p>
        </w:tc>
        <w:tc>
          <w:tcPr>
            <w:tcW w:w="4005" w:type="dxa"/>
            <w:tcBorders>
              <w:top w:val="single" w:color="auto" w:sz="4" w:space="0"/>
              <w:left w:val="single" w:color="auto" w:sz="4" w:space="0"/>
              <w:bottom w:val="single" w:color="auto" w:sz="4" w:space="0"/>
              <w:right w:val="single" w:color="auto" w:sz="4" w:space="0"/>
            </w:tcBorders>
            <w:vAlign w:val="center"/>
          </w:tcPr>
          <w:p>
            <w:pPr>
              <w:pStyle w:val="68"/>
              <w:shd w:val="clear"/>
              <w:rPr>
                <w:rFonts w:hAnsi="Times New Roman"/>
                <w:color w:val="auto"/>
                <w:kern w:val="0"/>
              </w:rPr>
            </w:pPr>
            <w:r>
              <w:rPr>
                <w:rFonts w:hint="eastAsia" w:hAnsi="Times New Roman"/>
                <w:color w:val="auto"/>
                <w:kern w:val="0"/>
              </w:rPr>
              <w:t>具备一级注册造价工程师执业资格。</w:t>
            </w:r>
          </w:p>
        </w:tc>
        <w:tc>
          <w:tcPr>
            <w:tcW w:w="2855" w:type="dxa"/>
            <w:tcBorders>
              <w:top w:val="single" w:color="auto" w:sz="4" w:space="0"/>
              <w:left w:val="single" w:color="auto" w:sz="4" w:space="0"/>
              <w:bottom w:val="single" w:color="auto" w:sz="4" w:space="0"/>
              <w:right w:val="single" w:color="auto" w:sz="4" w:space="0"/>
            </w:tcBorders>
            <w:vAlign w:val="center"/>
          </w:tcPr>
          <w:p>
            <w:pPr>
              <w:pStyle w:val="68"/>
              <w:shd w:val="clear"/>
              <w:rPr>
                <w:rFonts w:hAnsi="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0" w:firstLineChars="0"/>
              <w:jc w:val="center"/>
              <w:rPr>
                <w:color w:val="auto"/>
                <w:sz w:val="21"/>
                <w:szCs w:val="21"/>
              </w:rPr>
            </w:pPr>
            <w:r>
              <w:rPr>
                <w:rFonts w:hint="eastAsia"/>
                <w:color w:val="auto"/>
                <w:sz w:val="21"/>
                <w:szCs w:val="21"/>
              </w:rPr>
              <w:t>监理员</w:t>
            </w:r>
          </w:p>
        </w:tc>
        <w:tc>
          <w:tcPr>
            <w:tcW w:w="676" w:type="dxa"/>
            <w:tcBorders>
              <w:top w:val="single" w:color="auto" w:sz="4" w:space="0"/>
              <w:left w:val="single" w:color="auto" w:sz="4" w:space="0"/>
              <w:bottom w:val="single" w:color="auto" w:sz="4" w:space="0"/>
              <w:right w:val="single" w:color="auto" w:sz="4" w:space="0"/>
            </w:tcBorders>
            <w:vAlign w:val="center"/>
          </w:tcPr>
          <w:p>
            <w:pPr>
              <w:pStyle w:val="68"/>
              <w:shd w:val="clear"/>
              <w:jc w:val="center"/>
              <w:rPr>
                <w:rFonts w:hAnsi="Times New Roman"/>
                <w:color w:val="auto"/>
                <w:kern w:val="0"/>
              </w:rPr>
            </w:pPr>
            <w:r>
              <w:rPr>
                <w:rFonts w:hint="eastAsia" w:hAnsi="Times New Roman"/>
                <w:color w:val="auto"/>
                <w:kern w:val="0"/>
              </w:rPr>
              <w:t>2</w:t>
            </w:r>
          </w:p>
        </w:tc>
        <w:tc>
          <w:tcPr>
            <w:tcW w:w="4005" w:type="dxa"/>
            <w:tcBorders>
              <w:top w:val="single" w:color="auto" w:sz="4" w:space="0"/>
              <w:left w:val="single" w:color="auto" w:sz="4" w:space="0"/>
              <w:bottom w:val="single" w:color="auto" w:sz="4" w:space="0"/>
              <w:right w:val="single" w:color="auto" w:sz="4" w:space="0"/>
            </w:tcBorders>
            <w:vAlign w:val="center"/>
          </w:tcPr>
          <w:p>
            <w:pPr>
              <w:pStyle w:val="68"/>
              <w:shd w:val="clear"/>
              <w:jc w:val="both"/>
              <w:rPr>
                <w:rFonts w:hAnsi="Times New Roman"/>
                <w:color w:val="auto"/>
                <w:kern w:val="0"/>
              </w:rPr>
            </w:pPr>
            <w:r>
              <w:rPr>
                <w:rFonts w:hint="eastAsia" w:hAnsi="Times New Roman"/>
                <w:color w:val="auto"/>
                <w:kern w:val="0"/>
              </w:rPr>
              <w:t>取得监理员或安全监理员培训证或上岗证或岗位证。</w:t>
            </w:r>
          </w:p>
        </w:tc>
        <w:tc>
          <w:tcPr>
            <w:tcW w:w="2855" w:type="dxa"/>
            <w:tcBorders>
              <w:top w:val="single" w:color="auto" w:sz="4" w:space="0"/>
              <w:left w:val="single" w:color="auto" w:sz="4" w:space="0"/>
              <w:bottom w:val="single" w:color="auto" w:sz="4" w:space="0"/>
              <w:right w:val="single" w:color="auto" w:sz="4" w:space="0"/>
            </w:tcBorders>
            <w:vAlign w:val="center"/>
          </w:tcPr>
          <w:p>
            <w:pPr>
              <w:pStyle w:val="68"/>
              <w:shd w:val="clear"/>
              <w:jc w:val="both"/>
              <w:rPr>
                <w:rFonts w:hAnsi="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0" w:firstLineChars="0"/>
              <w:jc w:val="center"/>
              <w:rPr>
                <w:color w:val="auto"/>
                <w:sz w:val="21"/>
                <w:szCs w:val="21"/>
              </w:rPr>
            </w:pPr>
            <w:r>
              <w:rPr>
                <w:rFonts w:hint="eastAsia"/>
                <w:color w:val="auto"/>
                <w:sz w:val="21"/>
                <w:szCs w:val="21"/>
              </w:rPr>
              <w:t>资料员</w:t>
            </w:r>
          </w:p>
        </w:tc>
        <w:tc>
          <w:tcPr>
            <w:tcW w:w="676" w:type="dxa"/>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0" w:firstLineChars="0"/>
              <w:jc w:val="center"/>
              <w:rPr>
                <w:color w:val="auto"/>
                <w:sz w:val="21"/>
                <w:szCs w:val="21"/>
              </w:rPr>
            </w:pPr>
            <w:r>
              <w:rPr>
                <w:rFonts w:hint="eastAsia"/>
                <w:color w:val="auto"/>
                <w:sz w:val="21"/>
                <w:szCs w:val="21"/>
              </w:rPr>
              <w:t>1</w:t>
            </w:r>
          </w:p>
        </w:tc>
        <w:tc>
          <w:tcPr>
            <w:tcW w:w="4005" w:type="dxa"/>
            <w:tcBorders>
              <w:top w:val="single" w:color="auto" w:sz="4" w:space="0"/>
              <w:left w:val="single" w:color="auto" w:sz="4" w:space="0"/>
              <w:bottom w:val="single" w:color="auto" w:sz="4" w:space="0"/>
              <w:right w:val="single" w:color="auto" w:sz="4" w:space="0"/>
            </w:tcBorders>
            <w:vAlign w:val="center"/>
          </w:tcPr>
          <w:p>
            <w:pPr>
              <w:shd w:val="clear"/>
              <w:topLinePunct/>
              <w:spacing w:line="240" w:lineRule="auto"/>
              <w:ind w:firstLine="0" w:firstLineChars="0"/>
              <w:rPr>
                <w:color w:val="auto"/>
                <w:sz w:val="21"/>
                <w:szCs w:val="21"/>
              </w:rPr>
            </w:pPr>
            <w:r>
              <w:rPr>
                <w:rFonts w:hint="eastAsia"/>
                <w:color w:val="auto"/>
                <w:sz w:val="21"/>
                <w:szCs w:val="21"/>
              </w:rPr>
              <w:t>取得资料员培训证或上岗证或岗位证。</w:t>
            </w:r>
          </w:p>
        </w:tc>
        <w:tc>
          <w:tcPr>
            <w:tcW w:w="2855" w:type="dxa"/>
            <w:tcBorders>
              <w:top w:val="single" w:color="auto" w:sz="4" w:space="0"/>
              <w:left w:val="single" w:color="auto" w:sz="4" w:space="0"/>
              <w:bottom w:val="single" w:color="auto" w:sz="4" w:space="0"/>
              <w:right w:val="single" w:color="auto" w:sz="4" w:space="0"/>
            </w:tcBorders>
            <w:vAlign w:val="center"/>
          </w:tcPr>
          <w:p>
            <w:pPr>
              <w:pStyle w:val="68"/>
              <w:shd w:val="clear"/>
              <w:jc w:val="both"/>
              <w:rPr>
                <w:rFonts w:hAnsi="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0" w:firstLineChars="0"/>
              <w:jc w:val="center"/>
              <w:rPr>
                <w:color w:val="auto"/>
                <w:sz w:val="21"/>
                <w:szCs w:val="21"/>
              </w:rPr>
            </w:pPr>
            <w:r>
              <w:rPr>
                <w:rFonts w:hint="eastAsia"/>
                <w:color w:val="auto"/>
                <w:sz w:val="21"/>
                <w:szCs w:val="21"/>
              </w:rPr>
              <w:t>合计</w:t>
            </w:r>
          </w:p>
        </w:tc>
        <w:tc>
          <w:tcPr>
            <w:tcW w:w="676" w:type="dxa"/>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0" w:firstLineChars="0"/>
              <w:jc w:val="center"/>
              <w:rPr>
                <w:color w:val="auto"/>
                <w:sz w:val="21"/>
                <w:szCs w:val="21"/>
              </w:rPr>
            </w:pPr>
            <w:r>
              <w:rPr>
                <w:rFonts w:hint="eastAsia"/>
                <w:color w:val="auto"/>
                <w:sz w:val="21"/>
                <w:szCs w:val="21"/>
              </w:rPr>
              <w:t>8</w:t>
            </w:r>
          </w:p>
        </w:tc>
        <w:tc>
          <w:tcPr>
            <w:tcW w:w="4005" w:type="dxa"/>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0" w:firstLineChars="0"/>
              <w:rPr>
                <w:color w:val="auto"/>
                <w:sz w:val="21"/>
                <w:szCs w:val="21"/>
              </w:rPr>
            </w:pPr>
          </w:p>
        </w:tc>
        <w:tc>
          <w:tcPr>
            <w:tcW w:w="2855" w:type="dxa"/>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0" w:firstLineChars="0"/>
              <w:rPr>
                <w:color w:val="auto"/>
                <w:sz w:val="21"/>
                <w:szCs w:val="21"/>
              </w:rPr>
            </w:pPr>
          </w:p>
        </w:tc>
      </w:tr>
      <w:bookmarkEnd w:id="173"/>
    </w:tbl>
    <w:p>
      <w:pPr>
        <w:pStyle w:val="7"/>
        <w:shd w:val="clear"/>
        <w:rPr>
          <w:rFonts w:hAnsi="宋体"/>
          <w:color w:val="auto"/>
          <w:sz w:val="21"/>
          <w:szCs w:val="21"/>
        </w:rPr>
      </w:pPr>
      <w:r>
        <w:rPr>
          <w:rFonts w:hint="eastAsia" w:hAnsi="宋体"/>
          <w:color w:val="auto"/>
          <w:sz w:val="21"/>
          <w:szCs w:val="21"/>
        </w:rPr>
        <w:t>五、工作模式</w:t>
      </w:r>
    </w:p>
    <w:p>
      <w:pPr>
        <w:shd w:val="clear"/>
        <w:ind w:left="480" w:leftChars="200" w:firstLine="105" w:firstLineChars="50"/>
        <w:rPr>
          <w:rFonts w:hAnsi="宋体"/>
          <w:color w:val="auto"/>
          <w:sz w:val="21"/>
          <w:szCs w:val="21"/>
        </w:rPr>
      </w:pPr>
      <w:r>
        <w:rPr>
          <w:rFonts w:hint="eastAsia" w:hAnsi="宋体"/>
          <w:color w:val="auto"/>
          <w:sz w:val="21"/>
          <w:szCs w:val="21"/>
        </w:rPr>
        <w:t>1、本项目拟采用项目管理+工程监理服务管理模式。</w:t>
      </w:r>
    </w:p>
    <w:p>
      <w:pPr>
        <w:shd w:val="clear"/>
        <w:ind w:firstLine="525" w:firstLineChars="250"/>
        <w:rPr>
          <w:rFonts w:hAnsi="宋体"/>
          <w:color w:val="auto"/>
          <w:sz w:val="21"/>
          <w:szCs w:val="21"/>
        </w:rPr>
      </w:pPr>
      <w:r>
        <w:rPr>
          <w:rFonts w:hint="eastAsia" w:hAnsi="宋体"/>
          <w:color w:val="auto"/>
          <w:sz w:val="21"/>
          <w:szCs w:val="21"/>
        </w:rPr>
        <w:t>2、中标人派出的项目管理及工程监理团队对项目管理、工程监理负责。</w:t>
      </w:r>
    </w:p>
    <w:p>
      <w:pPr>
        <w:shd w:val="clear"/>
        <w:ind w:firstLine="525" w:firstLineChars="250"/>
        <w:rPr>
          <w:rFonts w:hAnsi="宋体"/>
          <w:color w:val="auto"/>
          <w:sz w:val="21"/>
          <w:szCs w:val="21"/>
        </w:rPr>
      </w:pPr>
      <w:r>
        <w:rPr>
          <w:rFonts w:hint="eastAsia" w:hAnsi="宋体"/>
          <w:color w:val="auto"/>
          <w:sz w:val="21"/>
          <w:szCs w:val="21"/>
        </w:rPr>
        <w:t>3、中标单位派出的监理工程师团队承担本项目的监理工作和国家、省、市等法律法规规定的监理责任。</w:t>
      </w:r>
    </w:p>
    <w:p>
      <w:pPr>
        <w:shd w:val="clear"/>
        <w:ind w:firstLine="420"/>
        <w:rPr>
          <w:rFonts w:hAnsi="宋体"/>
          <w:color w:val="auto"/>
          <w:sz w:val="21"/>
          <w:szCs w:val="21"/>
        </w:rPr>
      </w:pPr>
      <w:r>
        <w:rPr>
          <w:rFonts w:hint="eastAsia" w:hAnsi="宋体"/>
          <w:color w:val="auto"/>
          <w:sz w:val="21"/>
          <w:szCs w:val="21"/>
        </w:rPr>
        <w:t>4、委托人派驻的项目组与项目管理机构共同组成项目管理组，委托人派驻的项目组有权代表委托人对项目管理及工程监理单位的工作进行检查、监督，参与重大事项的决策，委托人派驻的项目组负责委托人与项目管理及工程监理单位之间的沟通与协调工作，协助中标单位按照委托人有关政府工程建设制度履行程序，协助中标单位向委托人上级领导汇报等工作。</w:t>
      </w:r>
    </w:p>
    <w:p>
      <w:pPr>
        <w:pStyle w:val="6"/>
        <w:shd w:val="clear"/>
        <w:ind w:firstLine="883"/>
        <w:jc w:val="center"/>
        <w:rPr>
          <w:color w:val="auto"/>
        </w:rPr>
      </w:pPr>
      <w:r>
        <w:rPr>
          <w:color w:val="auto"/>
        </w:rPr>
        <w:br w:type="page"/>
      </w:r>
      <w:r>
        <w:rPr>
          <w:color w:val="auto"/>
        </w:rPr>
        <w:t>第三卷</w:t>
      </w:r>
      <w:bookmarkEnd w:id="172"/>
    </w:p>
    <w:p>
      <w:pPr>
        <w:shd w:val="clear"/>
        <w:spacing w:line="491" w:lineRule="exact"/>
        <w:ind w:firstLine="863"/>
        <w:jc w:val="center"/>
        <w:rPr>
          <w:rFonts w:hAnsi="宋体"/>
          <w:b/>
          <w:color w:val="auto"/>
          <w:sz w:val="43"/>
        </w:rPr>
      </w:pPr>
    </w:p>
    <w:p>
      <w:pPr>
        <w:shd w:val="clear"/>
        <w:spacing w:line="9" w:lineRule="exact"/>
        <w:ind w:firstLine="480"/>
        <w:rPr>
          <w:rFonts w:hAnsi="宋体"/>
          <w:color w:val="auto"/>
        </w:rPr>
      </w:pPr>
    </w:p>
    <w:p>
      <w:pPr>
        <w:shd w:val="clear"/>
        <w:spacing w:line="491" w:lineRule="exact"/>
        <w:ind w:firstLine="863"/>
        <w:jc w:val="center"/>
        <w:outlineLvl w:val="0"/>
        <w:rPr>
          <w:rFonts w:hAnsi="宋体"/>
          <w:b/>
          <w:color w:val="auto"/>
          <w:sz w:val="43"/>
        </w:rPr>
      </w:pPr>
      <w:bookmarkStart w:id="174" w:name="_Toc35513536"/>
      <w:r>
        <w:rPr>
          <w:rFonts w:hAnsi="宋体"/>
          <w:b/>
          <w:color w:val="auto"/>
          <w:sz w:val="43"/>
        </w:rPr>
        <w:t>第六章</w:t>
      </w:r>
      <w:r>
        <w:rPr>
          <w:rFonts w:hint="eastAsia" w:hAnsi="宋体"/>
          <w:b/>
          <w:color w:val="auto"/>
          <w:sz w:val="43"/>
        </w:rPr>
        <w:t xml:space="preserve"> </w:t>
      </w:r>
      <w:r>
        <w:rPr>
          <w:rFonts w:hAnsi="宋体"/>
          <w:b/>
          <w:color w:val="auto"/>
          <w:sz w:val="43"/>
        </w:rPr>
        <w:t>投标文件格式</w:t>
      </w:r>
      <w:bookmarkEnd w:id="174"/>
    </w:p>
    <w:p>
      <w:pPr>
        <w:pStyle w:val="7"/>
        <w:shd w:val="clear"/>
        <w:jc w:val="center"/>
        <w:rPr>
          <w:color w:val="auto"/>
        </w:rPr>
      </w:pPr>
      <w:r>
        <w:rPr>
          <w:rFonts w:hAnsi="宋体"/>
          <w:b w:val="0"/>
          <w:color w:val="auto"/>
          <w:sz w:val="43"/>
        </w:rPr>
        <w:br w:type="page"/>
      </w:r>
      <w:bookmarkStart w:id="175" w:name="_Toc35513537"/>
      <w:r>
        <w:rPr>
          <w:color w:val="auto"/>
        </w:rPr>
        <w:t>一、投标函及投标函附录</w:t>
      </w:r>
      <w:bookmarkEnd w:id="175"/>
    </w:p>
    <w:p>
      <w:pPr>
        <w:pStyle w:val="7"/>
        <w:shd w:val="clear"/>
        <w:jc w:val="center"/>
        <w:rPr>
          <w:color w:val="auto"/>
        </w:rPr>
      </w:pPr>
      <w:bookmarkStart w:id="176" w:name="_Toc35513538"/>
      <w:r>
        <w:rPr>
          <w:color w:val="auto"/>
        </w:rPr>
        <w:t>（一）投标函</w:t>
      </w:r>
      <w:bookmarkEnd w:id="176"/>
    </w:p>
    <w:p>
      <w:pPr>
        <w:shd w:val="clear"/>
        <w:spacing w:line="300" w:lineRule="exact"/>
        <w:ind w:left="500" w:firstLine="560"/>
        <w:jc w:val="center"/>
        <w:rPr>
          <w:rFonts w:hAnsi="宋体"/>
          <w:color w:val="auto"/>
          <w:sz w:val="28"/>
        </w:rPr>
      </w:pPr>
    </w:p>
    <w:p>
      <w:pPr>
        <w:shd w:val="clear"/>
        <w:spacing w:line="300" w:lineRule="exact"/>
        <w:ind w:firstLine="0" w:firstLineChars="0"/>
        <w:rPr>
          <w:rFonts w:hAnsi="宋体"/>
          <w:color w:val="auto"/>
          <w:sz w:val="21"/>
          <w:szCs w:val="21"/>
        </w:rPr>
      </w:pPr>
      <w:r>
        <w:rPr>
          <w:rFonts w:hAnsi="宋体"/>
          <w:color w:val="auto"/>
          <w:sz w:val="21"/>
          <w:szCs w:val="21"/>
          <w:u w:val="single"/>
        </w:rPr>
        <w:t xml:space="preserve">                    </w:t>
      </w:r>
      <w:r>
        <w:rPr>
          <w:rFonts w:hAnsi="宋体"/>
          <w:color w:val="auto"/>
          <w:sz w:val="21"/>
          <w:szCs w:val="21"/>
        </w:rPr>
        <w:t>（招标人名称）：</w:t>
      </w:r>
    </w:p>
    <w:p>
      <w:pPr>
        <w:shd w:val="clear"/>
        <w:spacing w:line="300" w:lineRule="exact"/>
        <w:ind w:firstLine="420"/>
        <w:rPr>
          <w:rFonts w:hAnsi="宋体"/>
          <w:color w:val="auto"/>
          <w:sz w:val="21"/>
          <w:szCs w:val="21"/>
        </w:rPr>
      </w:pPr>
    </w:p>
    <w:p>
      <w:pPr>
        <w:shd w:val="clear"/>
        <w:adjustRightInd w:val="0"/>
        <w:snapToGrid w:val="0"/>
        <w:ind w:firstLine="420"/>
        <w:rPr>
          <w:rFonts w:hAnsi="宋体"/>
          <w:color w:val="auto"/>
          <w:sz w:val="21"/>
          <w:szCs w:val="21"/>
        </w:rPr>
      </w:pPr>
      <w:r>
        <w:rPr>
          <w:rFonts w:hAnsi="宋体"/>
          <w:color w:val="auto"/>
          <w:sz w:val="21"/>
          <w:szCs w:val="21"/>
        </w:rPr>
        <w:t>1．我方已仔细研究了</w:t>
      </w:r>
      <w:r>
        <w:rPr>
          <w:rFonts w:hAnsi="宋体"/>
          <w:color w:val="auto"/>
          <w:sz w:val="21"/>
          <w:szCs w:val="21"/>
          <w:u w:val="single"/>
        </w:rPr>
        <w:t xml:space="preserve">                </w:t>
      </w:r>
      <w:r>
        <w:rPr>
          <w:rFonts w:hAnsi="宋体"/>
          <w:color w:val="auto"/>
          <w:sz w:val="21"/>
          <w:szCs w:val="21"/>
        </w:rPr>
        <w:t>（项目名称）招标项目招标文件的全部内容，愿意以人民币（大写）</w:t>
      </w:r>
      <w:r>
        <w:rPr>
          <w:rFonts w:hAnsi="宋体"/>
          <w:color w:val="auto"/>
          <w:sz w:val="21"/>
          <w:szCs w:val="21"/>
          <w:u w:val="single"/>
        </w:rPr>
        <w:t xml:space="preserve">     </w:t>
      </w:r>
      <w:r>
        <w:rPr>
          <w:rFonts w:hAnsi="宋体"/>
          <w:color w:val="auto"/>
          <w:sz w:val="21"/>
          <w:szCs w:val="21"/>
        </w:rPr>
        <w:t>（</w:t>
      </w:r>
      <w:r>
        <w:rPr>
          <w:rFonts w:hint="eastAsia" w:hAnsi="宋体" w:cs="宋体"/>
          <w:color w:val="auto"/>
          <w:sz w:val="21"/>
          <w:szCs w:val="21"/>
        </w:rPr>
        <w:t>¥</w:t>
      </w:r>
      <w:r>
        <w:rPr>
          <w:rFonts w:hAnsi="宋体"/>
          <w:color w:val="auto"/>
          <w:sz w:val="21"/>
          <w:szCs w:val="21"/>
          <w:u w:val="single"/>
        </w:rPr>
        <w:t xml:space="preserve">  </w:t>
      </w:r>
      <w:r>
        <w:rPr>
          <w:rFonts w:hint="eastAsia" w:hAnsi="宋体"/>
          <w:color w:val="auto"/>
          <w:sz w:val="21"/>
          <w:szCs w:val="21"/>
          <w:u w:val="single"/>
        </w:rPr>
        <w:t xml:space="preserve"> </w:t>
      </w:r>
      <w:r>
        <w:rPr>
          <w:rFonts w:hAnsi="宋体"/>
          <w:color w:val="auto"/>
          <w:sz w:val="21"/>
          <w:szCs w:val="21"/>
          <w:u w:val="single"/>
        </w:rPr>
        <w:t xml:space="preserve">  </w:t>
      </w:r>
      <w:r>
        <w:rPr>
          <w:rFonts w:hAnsi="宋体"/>
          <w:color w:val="auto"/>
          <w:sz w:val="21"/>
          <w:szCs w:val="21"/>
        </w:rPr>
        <w:t>）的投标总报价，</w:t>
      </w:r>
      <w:r>
        <w:rPr>
          <w:rFonts w:hint="eastAsia" w:hAnsi="宋体" w:cs="宋体"/>
          <w:color w:val="auto"/>
          <w:sz w:val="21"/>
          <w:szCs w:val="21"/>
          <w:u w:val="single"/>
          <w:shd w:val="clear" w:color="auto" w:fill="FFFFFF"/>
        </w:rPr>
        <w:t>其中</w:t>
      </w:r>
      <w:r>
        <w:rPr>
          <w:rFonts w:hint="eastAsia" w:hAnsi="宋体" w:cs="宋体"/>
          <w:color w:val="auto"/>
          <w:sz w:val="21"/>
          <w:szCs w:val="21"/>
          <w:lang w:val="zh-TW"/>
        </w:rPr>
        <w:t>项目管理服务费</w:t>
      </w:r>
      <w:r>
        <w:rPr>
          <w:rFonts w:hAnsi="宋体"/>
          <w:color w:val="auto"/>
          <w:sz w:val="21"/>
          <w:szCs w:val="21"/>
        </w:rPr>
        <w:t>人民币（大写</w:t>
      </w:r>
      <w:r>
        <w:rPr>
          <w:rFonts w:hint="eastAsia" w:hAnsi="宋体"/>
          <w:color w:val="auto"/>
          <w:sz w:val="21"/>
          <w:szCs w:val="21"/>
        </w:rPr>
        <w:t xml:space="preserve">    </w:t>
      </w:r>
      <w:r>
        <w:rPr>
          <w:rFonts w:hAnsi="宋体"/>
          <w:color w:val="auto"/>
          <w:sz w:val="21"/>
          <w:szCs w:val="21"/>
        </w:rPr>
        <w:t>）</w:t>
      </w:r>
      <w:r>
        <w:rPr>
          <w:rFonts w:hint="eastAsia" w:hAnsi="宋体"/>
          <w:color w:val="auto"/>
          <w:sz w:val="21"/>
          <w:szCs w:val="21"/>
        </w:rPr>
        <w:t xml:space="preserve"> </w:t>
      </w:r>
      <w:r>
        <w:rPr>
          <w:rFonts w:hAnsi="宋体"/>
          <w:color w:val="auto"/>
          <w:sz w:val="21"/>
          <w:szCs w:val="21"/>
          <w:u w:val="single"/>
        </w:rPr>
        <w:t xml:space="preserve">            </w:t>
      </w:r>
      <w:r>
        <w:rPr>
          <w:rFonts w:hAnsi="宋体"/>
          <w:color w:val="auto"/>
          <w:sz w:val="21"/>
          <w:szCs w:val="21"/>
        </w:rPr>
        <w:t>（</w:t>
      </w:r>
      <w:r>
        <w:rPr>
          <w:rFonts w:hint="eastAsia" w:hAnsi="宋体" w:cs="宋体"/>
          <w:color w:val="auto"/>
          <w:sz w:val="21"/>
          <w:szCs w:val="21"/>
        </w:rPr>
        <w:t>¥</w:t>
      </w:r>
      <w:r>
        <w:rPr>
          <w:rFonts w:hAnsi="宋体"/>
          <w:color w:val="auto"/>
          <w:sz w:val="21"/>
          <w:szCs w:val="21"/>
          <w:u w:val="single"/>
        </w:rPr>
        <w:t xml:space="preserve">           </w:t>
      </w:r>
      <w:r>
        <w:rPr>
          <w:rFonts w:hAnsi="宋体"/>
          <w:color w:val="auto"/>
          <w:sz w:val="21"/>
          <w:szCs w:val="21"/>
        </w:rPr>
        <w:t>）</w:t>
      </w:r>
      <w:r>
        <w:rPr>
          <w:rFonts w:hint="eastAsia" w:hAnsi="宋体" w:cs="宋体"/>
          <w:color w:val="auto"/>
          <w:sz w:val="21"/>
          <w:szCs w:val="21"/>
        </w:rPr>
        <w:t>，监理服务费</w:t>
      </w:r>
      <w:r>
        <w:rPr>
          <w:rFonts w:hAnsi="宋体"/>
          <w:color w:val="auto"/>
          <w:sz w:val="21"/>
          <w:szCs w:val="21"/>
        </w:rPr>
        <w:t>人民币（大写</w:t>
      </w:r>
      <w:r>
        <w:rPr>
          <w:rFonts w:hint="eastAsia" w:hAnsi="宋体"/>
          <w:color w:val="auto"/>
          <w:sz w:val="21"/>
          <w:szCs w:val="21"/>
        </w:rPr>
        <w:t xml:space="preserve">    </w:t>
      </w:r>
      <w:r>
        <w:rPr>
          <w:rFonts w:hAnsi="宋体"/>
          <w:color w:val="auto"/>
          <w:sz w:val="21"/>
          <w:szCs w:val="21"/>
        </w:rPr>
        <w:t>）（</w:t>
      </w:r>
      <w:r>
        <w:rPr>
          <w:rFonts w:hint="eastAsia" w:hAnsi="宋体" w:cs="宋体"/>
          <w:color w:val="auto"/>
          <w:sz w:val="21"/>
          <w:szCs w:val="21"/>
        </w:rPr>
        <w:t>¥</w:t>
      </w:r>
      <w:r>
        <w:rPr>
          <w:rFonts w:hAnsi="宋体"/>
          <w:color w:val="auto"/>
          <w:sz w:val="21"/>
          <w:szCs w:val="21"/>
          <w:u w:val="single"/>
        </w:rPr>
        <w:t xml:space="preserve">            </w:t>
      </w:r>
      <w:r>
        <w:rPr>
          <w:rFonts w:hAnsi="宋体"/>
          <w:color w:val="auto"/>
          <w:sz w:val="21"/>
          <w:szCs w:val="21"/>
        </w:rPr>
        <w:t>）</w:t>
      </w:r>
      <w:r>
        <w:rPr>
          <w:rFonts w:hint="eastAsia" w:hAnsi="宋体"/>
          <w:color w:val="auto"/>
          <w:sz w:val="21"/>
          <w:szCs w:val="21"/>
        </w:rPr>
        <w:t>，</w:t>
      </w:r>
      <w:r>
        <w:rPr>
          <w:rFonts w:hAnsi="宋体"/>
          <w:color w:val="auto"/>
          <w:sz w:val="21"/>
          <w:szCs w:val="21"/>
        </w:rPr>
        <w:t>）</w:t>
      </w:r>
      <w:r>
        <w:rPr>
          <w:rFonts w:hint="eastAsia" w:hAnsi="宋体"/>
          <w:color w:val="auto"/>
          <w:sz w:val="21"/>
          <w:szCs w:val="21"/>
        </w:rPr>
        <w:t>。</w:t>
      </w:r>
      <w:r>
        <w:rPr>
          <w:rFonts w:hAnsi="宋体"/>
          <w:color w:val="auto"/>
          <w:sz w:val="21"/>
          <w:szCs w:val="21"/>
        </w:rPr>
        <w:t>服务期限：</w:t>
      </w:r>
      <w:r>
        <w:rPr>
          <w:rFonts w:hint="eastAsia" w:hAnsi="宋体"/>
          <w:color w:val="auto"/>
          <w:sz w:val="21"/>
          <w:szCs w:val="21"/>
          <w:u w:val="single"/>
        </w:rPr>
        <w:t xml:space="preserve"> 按招标文件要求 </w:t>
      </w:r>
      <w:r>
        <w:rPr>
          <w:rFonts w:hint="eastAsia" w:hAnsi="宋体"/>
          <w:color w:val="auto"/>
          <w:sz w:val="21"/>
          <w:szCs w:val="21"/>
        </w:rPr>
        <w:t>，</w:t>
      </w:r>
      <w:r>
        <w:rPr>
          <w:rFonts w:hAnsi="宋体"/>
          <w:color w:val="auto"/>
          <w:sz w:val="21"/>
          <w:szCs w:val="21"/>
        </w:rPr>
        <w:t>按合同约定完成</w:t>
      </w:r>
      <w:r>
        <w:rPr>
          <w:rFonts w:hint="eastAsia" w:hAnsi="宋体"/>
          <w:color w:val="auto"/>
          <w:sz w:val="21"/>
          <w:szCs w:val="21"/>
        </w:rPr>
        <w:t>项目管理及监理服务</w:t>
      </w:r>
      <w:r>
        <w:rPr>
          <w:rFonts w:hAnsi="宋体"/>
          <w:color w:val="auto"/>
          <w:sz w:val="21"/>
          <w:szCs w:val="21"/>
        </w:rPr>
        <w:t>工作。</w:t>
      </w:r>
    </w:p>
    <w:p>
      <w:pPr>
        <w:shd w:val="clear"/>
        <w:spacing w:line="300" w:lineRule="exact"/>
        <w:ind w:firstLine="420"/>
        <w:rPr>
          <w:rFonts w:hAnsi="宋体"/>
          <w:color w:val="auto"/>
          <w:sz w:val="21"/>
          <w:szCs w:val="21"/>
        </w:rPr>
      </w:pPr>
      <w:r>
        <w:rPr>
          <w:rFonts w:hAnsi="宋体"/>
          <w:color w:val="auto"/>
          <w:sz w:val="21"/>
          <w:szCs w:val="21"/>
        </w:rPr>
        <w:t>2. 我方的投标文件包括下列内容：</w:t>
      </w:r>
    </w:p>
    <w:p>
      <w:pPr>
        <w:shd w:val="clear"/>
        <w:spacing w:line="300" w:lineRule="exact"/>
        <w:ind w:firstLine="779" w:firstLineChars="371"/>
        <w:rPr>
          <w:rFonts w:hAnsi="宋体"/>
          <w:color w:val="auto"/>
          <w:sz w:val="21"/>
          <w:szCs w:val="21"/>
        </w:rPr>
      </w:pPr>
      <w:r>
        <w:rPr>
          <w:rFonts w:hAnsi="宋体"/>
          <w:color w:val="auto"/>
          <w:sz w:val="21"/>
          <w:szCs w:val="21"/>
        </w:rPr>
        <w:t>（1）投标函及投标函附录；</w:t>
      </w:r>
    </w:p>
    <w:p>
      <w:pPr>
        <w:shd w:val="clear"/>
        <w:spacing w:line="300" w:lineRule="exact"/>
        <w:ind w:firstLine="779" w:firstLineChars="371"/>
        <w:rPr>
          <w:rFonts w:hAnsi="宋体"/>
          <w:color w:val="auto"/>
          <w:sz w:val="21"/>
          <w:szCs w:val="21"/>
        </w:rPr>
      </w:pPr>
      <w:r>
        <w:rPr>
          <w:rFonts w:hAnsi="宋体"/>
          <w:color w:val="auto"/>
          <w:sz w:val="21"/>
          <w:szCs w:val="21"/>
        </w:rPr>
        <w:t>（2）法定代表人身份证明或授权委托书（如有）；</w:t>
      </w:r>
    </w:p>
    <w:p>
      <w:pPr>
        <w:shd w:val="clear"/>
        <w:spacing w:line="300" w:lineRule="exact"/>
        <w:ind w:firstLine="779" w:firstLineChars="371"/>
        <w:rPr>
          <w:rFonts w:hAnsi="宋体"/>
          <w:strike/>
          <w:color w:val="auto"/>
          <w:sz w:val="21"/>
          <w:szCs w:val="21"/>
        </w:rPr>
      </w:pPr>
      <w:r>
        <w:rPr>
          <w:rFonts w:hAnsi="宋体"/>
          <w:strike/>
          <w:color w:val="auto"/>
          <w:sz w:val="21"/>
          <w:szCs w:val="21"/>
        </w:rPr>
        <w:t>（3）联合体协议（</w:t>
      </w:r>
      <w:r>
        <w:rPr>
          <w:rFonts w:hint="eastAsia" w:hAnsi="宋体"/>
          <w:strike/>
          <w:color w:val="auto"/>
          <w:sz w:val="21"/>
          <w:szCs w:val="21"/>
        </w:rPr>
        <w:t>如有</w:t>
      </w:r>
      <w:r>
        <w:rPr>
          <w:rFonts w:hAnsi="宋体"/>
          <w:strike/>
          <w:color w:val="auto"/>
          <w:sz w:val="21"/>
          <w:szCs w:val="21"/>
        </w:rPr>
        <w:t>）</w:t>
      </w:r>
      <w:r>
        <w:rPr>
          <w:rFonts w:hint="eastAsia" w:hAnsi="宋体"/>
          <w:strike/>
          <w:color w:val="auto"/>
          <w:sz w:val="21"/>
          <w:szCs w:val="21"/>
        </w:rPr>
        <w:t>；</w:t>
      </w:r>
    </w:p>
    <w:p>
      <w:pPr>
        <w:shd w:val="clear"/>
        <w:spacing w:line="300" w:lineRule="exact"/>
        <w:ind w:firstLine="779" w:firstLineChars="371"/>
        <w:rPr>
          <w:rFonts w:hAnsi="宋体"/>
          <w:strike/>
          <w:color w:val="auto"/>
          <w:sz w:val="21"/>
          <w:szCs w:val="21"/>
        </w:rPr>
      </w:pPr>
      <w:r>
        <w:rPr>
          <w:rFonts w:hint="eastAsia" w:hAnsi="宋体"/>
          <w:strike/>
          <w:color w:val="auto"/>
          <w:sz w:val="21"/>
          <w:szCs w:val="21"/>
        </w:rPr>
        <w:t>（</w:t>
      </w:r>
      <w:r>
        <w:rPr>
          <w:rFonts w:hAnsi="宋体"/>
          <w:strike/>
          <w:color w:val="auto"/>
          <w:sz w:val="21"/>
          <w:szCs w:val="21"/>
        </w:rPr>
        <w:t>4）投标保证金；</w:t>
      </w:r>
    </w:p>
    <w:p>
      <w:pPr>
        <w:shd w:val="clear"/>
        <w:spacing w:line="300" w:lineRule="exact"/>
        <w:ind w:firstLine="779" w:firstLineChars="371"/>
        <w:rPr>
          <w:rFonts w:hAnsi="宋体"/>
          <w:color w:val="auto"/>
          <w:sz w:val="21"/>
          <w:szCs w:val="21"/>
        </w:rPr>
      </w:pPr>
      <w:r>
        <w:rPr>
          <w:rFonts w:hAnsi="宋体"/>
          <w:color w:val="auto"/>
          <w:sz w:val="21"/>
          <w:szCs w:val="21"/>
        </w:rPr>
        <w:t>（5）</w:t>
      </w:r>
      <w:r>
        <w:rPr>
          <w:rFonts w:hint="eastAsia" w:hAnsi="宋体"/>
          <w:color w:val="auto"/>
          <w:sz w:val="21"/>
          <w:szCs w:val="21"/>
        </w:rPr>
        <w:t>投标报价表</w:t>
      </w:r>
      <w:r>
        <w:rPr>
          <w:rFonts w:hAnsi="宋体"/>
          <w:color w:val="auto"/>
          <w:sz w:val="21"/>
          <w:szCs w:val="21"/>
        </w:rPr>
        <w:t xml:space="preserve">； </w:t>
      </w:r>
    </w:p>
    <w:p>
      <w:pPr>
        <w:shd w:val="clear"/>
        <w:spacing w:line="300" w:lineRule="exact"/>
        <w:ind w:firstLine="779" w:firstLineChars="371"/>
        <w:rPr>
          <w:rFonts w:hAnsi="宋体"/>
          <w:color w:val="auto"/>
          <w:sz w:val="21"/>
          <w:szCs w:val="21"/>
        </w:rPr>
      </w:pPr>
      <w:r>
        <w:rPr>
          <w:rFonts w:hAnsi="宋体"/>
          <w:color w:val="auto"/>
          <w:sz w:val="21"/>
          <w:szCs w:val="21"/>
        </w:rPr>
        <w:t>（6）资格审查资料</w:t>
      </w:r>
      <w:r>
        <w:rPr>
          <w:rFonts w:hint="eastAsia" w:hAnsi="宋体"/>
          <w:color w:val="auto"/>
          <w:sz w:val="21"/>
          <w:szCs w:val="21"/>
        </w:rPr>
        <w:t>；</w:t>
      </w:r>
    </w:p>
    <w:p>
      <w:pPr>
        <w:shd w:val="clear"/>
        <w:spacing w:line="300" w:lineRule="exact"/>
        <w:ind w:firstLine="779" w:firstLineChars="371"/>
        <w:rPr>
          <w:rFonts w:hAnsi="宋体"/>
          <w:color w:val="auto"/>
          <w:sz w:val="21"/>
          <w:szCs w:val="21"/>
        </w:rPr>
      </w:pPr>
      <w:r>
        <w:rPr>
          <w:rFonts w:hAnsi="宋体"/>
          <w:color w:val="auto"/>
          <w:sz w:val="21"/>
          <w:szCs w:val="21"/>
        </w:rPr>
        <w:t>（7）其他资料。</w:t>
      </w:r>
    </w:p>
    <w:p>
      <w:pPr>
        <w:shd w:val="clear"/>
        <w:spacing w:line="300" w:lineRule="exact"/>
        <w:ind w:left="780" w:firstLine="420"/>
        <w:rPr>
          <w:rFonts w:hAnsi="宋体"/>
          <w:color w:val="auto"/>
          <w:sz w:val="21"/>
          <w:szCs w:val="21"/>
        </w:rPr>
      </w:pPr>
      <w:r>
        <w:rPr>
          <w:rFonts w:hAnsi="宋体"/>
          <w:color w:val="auto"/>
          <w:sz w:val="21"/>
          <w:szCs w:val="21"/>
        </w:rPr>
        <w:t>投标文件的上述组成部分如存在内容不一致的，以投标函为准。</w:t>
      </w:r>
    </w:p>
    <w:p>
      <w:pPr>
        <w:shd w:val="clear"/>
        <w:spacing w:line="300" w:lineRule="exact"/>
        <w:ind w:firstLine="420"/>
        <w:rPr>
          <w:rFonts w:hAnsi="宋体"/>
          <w:color w:val="auto"/>
          <w:sz w:val="21"/>
          <w:szCs w:val="21"/>
        </w:rPr>
      </w:pPr>
      <w:r>
        <w:rPr>
          <w:rFonts w:hAnsi="宋体"/>
          <w:color w:val="auto"/>
          <w:sz w:val="21"/>
          <w:szCs w:val="21"/>
        </w:rPr>
        <w:t>3．我方承诺在招标文件规定的投标有效期内不撤销投标文件。</w:t>
      </w:r>
    </w:p>
    <w:p>
      <w:pPr>
        <w:shd w:val="clear"/>
        <w:spacing w:line="300" w:lineRule="exact"/>
        <w:ind w:firstLine="420"/>
        <w:rPr>
          <w:rFonts w:hAnsi="宋体"/>
          <w:color w:val="auto"/>
          <w:sz w:val="21"/>
          <w:szCs w:val="21"/>
        </w:rPr>
      </w:pPr>
      <w:r>
        <w:rPr>
          <w:rFonts w:hAnsi="宋体"/>
          <w:color w:val="auto"/>
          <w:sz w:val="21"/>
          <w:szCs w:val="21"/>
        </w:rPr>
        <w:t>4．如我方中标，我方承诺：</w:t>
      </w:r>
    </w:p>
    <w:p>
      <w:pPr>
        <w:shd w:val="clear"/>
        <w:spacing w:line="300" w:lineRule="exact"/>
        <w:ind w:firstLine="779" w:firstLineChars="371"/>
        <w:rPr>
          <w:rFonts w:hAnsi="宋体"/>
          <w:color w:val="auto"/>
          <w:sz w:val="21"/>
          <w:szCs w:val="21"/>
        </w:rPr>
      </w:pPr>
      <w:r>
        <w:rPr>
          <w:rFonts w:hAnsi="宋体"/>
          <w:color w:val="auto"/>
          <w:sz w:val="21"/>
          <w:szCs w:val="21"/>
        </w:rPr>
        <w:t>（1）在收到中标通知书后，在中标通知书规定的期限内与你方签订合同；</w:t>
      </w:r>
    </w:p>
    <w:p>
      <w:pPr>
        <w:shd w:val="clear"/>
        <w:spacing w:line="300" w:lineRule="exact"/>
        <w:ind w:firstLine="779" w:firstLineChars="371"/>
        <w:rPr>
          <w:rFonts w:hAnsi="宋体"/>
          <w:color w:val="auto"/>
          <w:sz w:val="21"/>
          <w:szCs w:val="21"/>
        </w:rPr>
      </w:pPr>
      <w:r>
        <w:rPr>
          <w:rFonts w:hAnsi="宋体"/>
          <w:color w:val="auto"/>
          <w:sz w:val="21"/>
          <w:szCs w:val="21"/>
        </w:rPr>
        <w:t>（2）在签订合同时不向你方提出附加条件；</w:t>
      </w:r>
    </w:p>
    <w:p>
      <w:pPr>
        <w:shd w:val="clear"/>
        <w:spacing w:line="300" w:lineRule="exact"/>
        <w:ind w:firstLine="779" w:firstLineChars="371"/>
        <w:rPr>
          <w:rFonts w:hAnsi="宋体"/>
          <w:color w:val="auto"/>
          <w:sz w:val="21"/>
          <w:szCs w:val="21"/>
        </w:rPr>
      </w:pPr>
      <w:r>
        <w:rPr>
          <w:rFonts w:hAnsi="宋体"/>
          <w:color w:val="auto"/>
          <w:sz w:val="21"/>
          <w:szCs w:val="21"/>
        </w:rPr>
        <w:t>（3）按照招标文件要求提交履约保证金；</w:t>
      </w:r>
    </w:p>
    <w:p>
      <w:pPr>
        <w:shd w:val="clear"/>
        <w:spacing w:line="300" w:lineRule="exact"/>
        <w:ind w:firstLine="779" w:firstLineChars="371"/>
        <w:rPr>
          <w:rFonts w:hAnsi="宋体"/>
          <w:color w:val="auto"/>
          <w:sz w:val="21"/>
          <w:szCs w:val="21"/>
        </w:rPr>
      </w:pPr>
      <w:r>
        <w:rPr>
          <w:rFonts w:hAnsi="宋体"/>
          <w:color w:val="auto"/>
          <w:sz w:val="21"/>
          <w:szCs w:val="21"/>
        </w:rPr>
        <w:t>（</w:t>
      </w:r>
      <w:r>
        <w:rPr>
          <w:rFonts w:hint="eastAsia" w:hAnsi="宋体"/>
          <w:color w:val="auto"/>
          <w:sz w:val="21"/>
          <w:szCs w:val="21"/>
        </w:rPr>
        <w:t>3</w:t>
      </w:r>
      <w:r>
        <w:rPr>
          <w:rFonts w:hAnsi="宋体"/>
          <w:color w:val="auto"/>
          <w:sz w:val="21"/>
          <w:szCs w:val="21"/>
        </w:rPr>
        <w:t>）在合同约定的期限内完成合同规定的全部义务。</w:t>
      </w:r>
    </w:p>
    <w:p>
      <w:pPr>
        <w:shd w:val="clear"/>
        <w:spacing w:line="300" w:lineRule="exact"/>
        <w:ind w:firstLine="420"/>
        <w:rPr>
          <w:rFonts w:hAnsi="宋体"/>
          <w:color w:val="auto"/>
          <w:sz w:val="21"/>
          <w:szCs w:val="21"/>
        </w:rPr>
      </w:pPr>
      <w:r>
        <w:rPr>
          <w:rFonts w:hAnsi="宋体"/>
          <w:color w:val="auto"/>
          <w:sz w:val="21"/>
          <w:szCs w:val="21"/>
        </w:rPr>
        <w:t>5．我方在此声明，所递交的投标文件及有关资料内容完整、真实和准确，且不存在第二章</w:t>
      </w:r>
      <w:r>
        <w:rPr>
          <w:rFonts w:hint="eastAsia" w:hAnsi="宋体"/>
          <w:color w:val="auto"/>
          <w:sz w:val="21"/>
          <w:szCs w:val="21"/>
        </w:rPr>
        <w:t>“</w:t>
      </w:r>
      <w:r>
        <w:rPr>
          <w:rFonts w:hAnsi="宋体"/>
          <w:color w:val="auto"/>
          <w:sz w:val="21"/>
          <w:szCs w:val="21"/>
        </w:rPr>
        <w:t>投标人须知</w:t>
      </w:r>
      <w:r>
        <w:rPr>
          <w:rFonts w:hint="eastAsia" w:hAnsi="宋体"/>
          <w:color w:val="auto"/>
          <w:sz w:val="21"/>
          <w:szCs w:val="21"/>
        </w:rPr>
        <w:t>”</w:t>
      </w:r>
      <w:r>
        <w:rPr>
          <w:rFonts w:hAnsi="宋体"/>
          <w:color w:val="auto"/>
          <w:sz w:val="21"/>
          <w:szCs w:val="21"/>
        </w:rPr>
        <w:t>第 1.4.3 项规定的任何一种情形。</w:t>
      </w:r>
    </w:p>
    <w:p>
      <w:pPr>
        <w:shd w:val="clear"/>
        <w:spacing w:line="300" w:lineRule="exact"/>
        <w:ind w:firstLine="420"/>
        <w:rPr>
          <w:rFonts w:hAnsi="宋体"/>
          <w:color w:val="auto"/>
          <w:sz w:val="21"/>
          <w:szCs w:val="21"/>
          <w:u w:val="single"/>
        </w:rPr>
      </w:pPr>
      <w:r>
        <w:rPr>
          <w:rFonts w:hint="eastAsia" w:hAnsi="宋体"/>
          <w:color w:val="auto"/>
          <w:sz w:val="21"/>
          <w:szCs w:val="21"/>
        </w:rPr>
        <w:t>6.</w:t>
      </w:r>
      <w:r>
        <w:rPr>
          <w:rFonts w:hint="eastAsia" w:hAnsi="宋体"/>
          <w:color w:val="auto"/>
          <w:sz w:val="21"/>
          <w:szCs w:val="21"/>
          <w:u w:val="single"/>
        </w:rPr>
        <w:t xml:space="preserve">        （其他说明）。</w:t>
      </w:r>
    </w:p>
    <w:p>
      <w:pPr>
        <w:shd w:val="clear"/>
        <w:spacing w:line="300" w:lineRule="exact"/>
        <w:ind w:firstLine="3399" w:firstLineChars="1619"/>
        <w:rPr>
          <w:rFonts w:hAnsi="宋体"/>
          <w:color w:val="auto"/>
          <w:sz w:val="21"/>
          <w:szCs w:val="21"/>
        </w:rPr>
      </w:pPr>
    </w:p>
    <w:p>
      <w:pPr>
        <w:shd w:val="clear"/>
        <w:spacing w:line="300" w:lineRule="exact"/>
        <w:ind w:firstLine="3399" w:firstLineChars="1619"/>
        <w:rPr>
          <w:rFonts w:hAnsi="宋体"/>
          <w:color w:val="auto"/>
          <w:sz w:val="21"/>
          <w:szCs w:val="21"/>
        </w:rPr>
      </w:pPr>
      <w:r>
        <w:rPr>
          <w:rFonts w:hAnsi="宋体"/>
          <w:color w:val="auto"/>
          <w:sz w:val="21"/>
          <w:szCs w:val="21"/>
        </w:rPr>
        <w:t>投标人：</w:t>
      </w:r>
      <w:r>
        <w:rPr>
          <w:rFonts w:hAnsi="宋体"/>
          <w:color w:val="auto"/>
          <w:sz w:val="21"/>
          <w:szCs w:val="21"/>
          <w:u w:val="single"/>
        </w:rPr>
        <w:tab/>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u w:val="single"/>
        </w:rPr>
        <w:t xml:space="preserve">    </w:t>
      </w:r>
      <w:r>
        <w:rPr>
          <w:rFonts w:hAnsi="宋体"/>
          <w:color w:val="auto"/>
          <w:sz w:val="21"/>
          <w:szCs w:val="21"/>
        </w:rPr>
        <w:t>（盖单位章）</w:t>
      </w:r>
    </w:p>
    <w:p>
      <w:pPr>
        <w:shd w:val="clear"/>
        <w:spacing w:line="300" w:lineRule="exact"/>
        <w:ind w:firstLine="3399" w:firstLineChars="1619"/>
        <w:rPr>
          <w:rFonts w:hAnsi="宋体"/>
          <w:color w:val="auto"/>
          <w:sz w:val="21"/>
          <w:szCs w:val="21"/>
        </w:rPr>
      </w:pPr>
      <w:r>
        <w:rPr>
          <w:rFonts w:hAnsi="宋体"/>
          <w:color w:val="auto"/>
          <w:sz w:val="21"/>
          <w:szCs w:val="21"/>
        </w:rPr>
        <w:t>法定代表人或其委托代理人：</w:t>
      </w:r>
      <w:r>
        <w:rPr>
          <w:rFonts w:hint="eastAsia" w:hAnsi="宋体"/>
          <w:color w:val="auto"/>
          <w:sz w:val="21"/>
          <w:szCs w:val="21"/>
          <w:u w:val="single"/>
        </w:rPr>
        <w:t xml:space="preserve">         </w:t>
      </w:r>
      <w:r>
        <w:rPr>
          <w:rFonts w:hAnsi="宋体"/>
          <w:color w:val="auto"/>
          <w:sz w:val="21"/>
          <w:szCs w:val="21"/>
        </w:rPr>
        <w:t>（签字</w:t>
      </w:r>
      <w:r>
        <w:rPr>
          <w:rFonts w:hint="eastAsia" w:hAnsi="宋体"/>
          <w:color w:val="auto"/>
          <w:sz w:val="21"/>
          <w:szCs w:val="21"/>
        </w:rPr>
        <w:t>或盖章</w:t>
      </w:r>
      <w:r>
        <w:rPr>
          <w:rFonts w:hAnsi="宋体"/>
          <w:color w:val="auto"/>
          <w:sz w:val="21"/>
          <w:szCs w:val="21"/>
        </w:rPr>
        <w:t>）</w:t>
      </w:r>
    </w:p>
    <w:p>
      <w:pPr>
        <w:shd w:val="clear"/>
        <w:spacing w:line="300" w:lineRule="exact"/>
        <w:ind w:firstLine="3399" w:firstLineChars="1619"/>
        <w:rPr>
          <w:rFonts w:hAnsi="宋体"/>
          <w:color w:val="auto"/>
          <w:sz w:val="21"/>
          <w:szCs w:val="21"/>
        </w:rPr>
      </w:pPr>
      <w:r>
        <w:rPr>
          <w:rFonts w:hAnsi="宋体"/>
          <w:color w:val="auto"/>
          <w:sz w:val="21"/>
          <w:szCs w:val="21"/>
        </w:rPr>
        <w:t>地</w:t>
      </w:r>
      <w:r>
        <w:rPr>
          <w:rFonts w:hint="eastAsia" w:hAnsi="宋体"/>
          <w:color w:val="auto"/>
          <w:sz w:val="21"/>
          <w:szCs w:val="21"/>
        </w:rPr>
        <w:t xml:space="preserve">  </w:t>
      </w:r>
      <w:r>
        <w:rPr>
          <w:rFonts w:hAnsi="宋体"/>
          <w:color w:val="auto"/>
          <w:sz w:val="21"/>
          <w:szCs w:val="21"/>
        </w:rPr>
        <w:t>址：</w:t>
      </w:r>
      <w:r>
        <w:rPr>
          <w:rFonts w:hAnsi="宋体"/>
          <w:color w:val="auto"/>
          <w:sz w:val="21"/>
          <w:szCs w:val="21"/>
          <w:u w:val="single"/>
        </w:rPr>
        <w:tab/>
      </w:r>
      <w:r>
        <w:rPr>
          <w:rFonts w:hAnsi="宋体"/>
          <w:color w:val="auto"/>
          <w:sz w:val="21"/>
          <w:szCs w:val="21"/>
          <w:u w:val="single"/>
        </w:rPr>
        <w:tab/>
      </w:r>
      <w:r>
        <w:rPr>
          <w:rFonts w:hAnsi="宋体"/>
          <w:color w:val="auto"/>
          <w:sz w:val="21"/>
          <w:szCs w:val="21"/>
          <w:u w:val="single"/>
        </w:rPr>
        <w:t xml:space="preserve">                                        </w:t>
      </w:r>
    </w:p>
    <w:p>
      <w:pPr>
        <w:shd w:val="clear"/>
        <w:spacing w:line="300" w:lineRule="exact"/>
        <w:ind w:firstLine="3399" w:firstLineChars="1619"/>
        <w:rPr>
          <w:rFonts w:hAnsi="宋体"/>
          <w:color w:val="auto"/>
          <w:sz w:val="21"/>
          <w:szCs w:val="21"/>
        </w:rPr>
      </w:pPr>
      <w:r>
        <w:rPr>
          <w:rFonts w:hAnsi="宋体"/>
          <w:color w:val="auto"/>
          <w:sz w:val="21"/>
          <w:szCs w:val="21"/>
        </w:rPr>
        <w:t>网</w:t>
      </w:r>
      <w:r>
        <w:rPr>
          <w:rFonts w:hint="eastAsia" w:hAnsi="宋体"/>
          <w:color w:val="auto"/>
          <w:sz w:val="21"/>
          <w:szCs w:val="21"/>
        </w:rPr>
        <w:t xml:space="preserve">  </w:t>
      </w:r>
      <w:r>
        <w:rPr>
          <w:rFonts w:hAnsi="宋体"/>
          <w:color w:val="auto"/>
          <w:sz w:val="21"/>
          <w:szCs w:val="21"/>
        </w:rPr>
        <w:t>址：</w:t>
      </w:r>
      <w:r>
        <w:rPr>
          <w:rFonts w:hAnsi="宋体"/>
          <w:color w:val="auto"/>
          <w:sz w:val="21"/>
          <w:szCs w:val="21"/>
          <w:u w:val="single"/>
        </w:rPr>
        <w:tab/>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u w:val="single"/>
        </w:rPr>
        <w:t xml:space="preserve">    </w:t>
      </w:r>
    </w:p>
    <w:p>
      <w:pPr>
        <w:shd w:val="clear"/>
        <w:spacing w:line="300" w:lineRule="exact"/>
        <w:ind w:firstLine="3399" w:firstLineChars="1619"/>
        <w:rPr>
          <w:rFonts w:hAnsi="宋体"/>
          <w:color w:val="auto"/>
          <w:sz w:val="21"/>
          <w:szCs w:val="21"/>
        </w:rPr>
      </w:pPr>
      <w:r>
        <w:rPr>
          <w:rFonts w:hAnsi="宋体"/>
          <w:color w:val="auto"/>
          <w:sz w:val="21"/>
          <w:szCs w:val="21"/>
        </w:rPr>
        <w:t>电</w:t>
      </w:r>
      <w:r>
        <w:rPr>
          <w:rFonts w:hint="eastAsia" w:hAnsi="宋体"/>
          <w:color w:val="auto"/>
          <w:sz w:val="21"/>
          <w:szCs w:val="21"/>
        </w:rPr>
        <w:t xml:space="preserve">  </w:t>
      </w:r>
      <w:r>
        <w:rPr>
          <w:rFonts w:hAnsi="宋体"/>
          <w:color w:val="auto"/>
          <w:sz w:val="21"/>
          <w:szCs w:val="21"/>
        </w:rPr>
        <w:t>话：</w:t>
      </w:r>
      <w:r>
        <w:rPr>
          <w:rFonts w:hAnsi="宋体"/>
          <w:color w:val="auto"/>
          <w:sz w:val="21"/>
          <w:szCs w:val="21"/>
          <w:u w:val="single"/>
        </w:rPr>
        <w:tab/>
      </w:r>
      <w:r>
        <w:rPr>
          <w:rFonts w:hAnsi="宋体"/>
          <w:color w:val="auto"/>
          <w:sz w:val="21"/>
          <w:szCs w:val="21"/>
          <w:u w:val="single"/>
        </w:rPr>
        <w:tab/>
      </w:r>
      <w:r>
        <w:rPr>
          <w:rFonts w:hAnsi="宋体"/>
          <w:color w:val="auto"/>
          <w:sz w:val="21"/>
          <w:szCs w:val="21"/>
          <w:u w:val="single"/>
        </w:rPr>
        <w:t xml:space="preserve">                                        </w:t>
      </w:r>
    </w:p>
    <w:p>
      <w:pPr>
        <w:shd w:val="clear"/>
        <w:spacing w:line="300" w:lineRule="exact"/>
        <w:ind w:firstLine="3399" w:firstLineChars="1619"/>
        <w:rPr>
          <w:rFonts w:hAnsi="宋体"/>
          <w:color w:val="auto"/>
          <w:sz w:val="21"/>
          <w:szCs w:val="21"/>
        </w:rPr>
      </w:pPr>
      <w:r>
        <w:rPr>
          <w:rFonts w:hAnsi="宋体"/>
          <w:color w:val="auto"/>
          <w:sz w:val="21"/>
          <w:szCs w:val="21"/>
        </w:rPr>
        <w:t>传</w:t>
      </w:r>
      <w:r>
        <w:rPr>
          <w:rFonts w:hint="eastAsia" w:hAnsi="宋体"/>
          <w:color w:val="auto"/>
          <w:sz w:val="21"/>
          <w:szCs w:val="21"/>
        </w:rPr>
        <w:t xml:space="preserve">  </w:t>
      </w:r>
      <w:r>
        <w:rPr>
          <w:rFonts w:hAnsi="宋体"/>
          <w:color w:val="auto"/>
          <w:sz w:val="21"/>
          <w:szCs w:val="21"/>
        </w:rPr>
        <w:t>真：</w:t>
      </w:r>
      <w:r>
        <w:rPr>
          <w:rFonts w:hAnsi="宋体"/>
          <w:color w:val="auto"/>
          <w:sz w:val="21"/>
          <w:szCs w:val="21"/>
          <w:u w:val="single"/>
        </w:rPr>
        <w:tab/>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u w:val="single"/>
        </w:rPr>
        <w:t xml:space="preserve"> </w:t>
      </w:r>
    </w:p>
    <w:p>
      <w:pPr>
        <w:shd w:val="clear"/>
        <w:spacing w:line="300" w:lineRule="exact"/>
        <w:ind w:firstLine="3399" w:firstLineChars="1619"/>
        <w:rPr>
          <w:rFonts w:hAnsi="宋体"/>
          <w:color w:val="auto"/>
          <w:szCs w:val="24"/>
        </w:rPr>
      </w:pPr>
      <w:r>
        <w:rPr>
          <w:rFonts w:hAnsi="宋体"/>
          <w:color w:val="auto"/>
          <w:sz w:val="21"/>
          <w:szCs w:val="21"/>
        </w:rPr>
        <w:t>邮政编码：</w:t>
      </w:r>
      <w:r>
        <w:rPr>
          <w:rFonts w:hAnsi="宋体"/>
          <w:color w:val="auto"/>
          <w:sz w:val="21"/>
          <w:szCs w:val="21"/>
          <w:u w:val="single"/>
        </w:rPr>
        <w:tab/>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u w:val="single"/>
        </w:rPr>
        <w:t xml:space="preserve">   </w:t>
      </w:r>
    </w:p>
    <w:p>
      <w:pPr>
        <w:shd w:val="clear"/>
        <w:spacing w:line="0" w:lineRule="atLeast"/>
        <w:ind w:firstLine="412"/>
        <w:jc w:val="center"/>
        <w:rPr>
          <w:rFonts w:hAnsi="宋体"/>
          <w:color w:val="auto"/>
          <w:sz w:val="18"/>
        </w:rPr>
      </w:pPr>
      <w:r>
        <w:rPr>
          <w:rFonts w:hint="eastAsia" w:hAnsi="宋体" w:cs="宋体"/>
          <w:color w:val="auto"/>
          <w:spacing w:val="-2"/>
          <w:sz w:val="21"/>
        </w:rPr>
        <w:t xml:space="preserve">                                                    </w:t>
      </w:r>
      <w:r>
        <w:rPr>
          <w:rFonts w:hAnsi="宋体" w:cs="宋体"/>
          <w:color w:val="auto"/>
          <w:spacing w:val="-2"/>
          <w:sz w:val="21"/>
        </w:rPr>
        <w:t>年</w:t>
      </w:r>
      <w:r>
        <w:rPr>
          <w:rFonts w:hint="eastAsia" w:hAnsi="宋体" w:cs="宋体"/>
          <w:color w:val="auto"/>
          <w:spacing w:val="-2"/>
          <w:sz w:val="21"/>
        </w:rPr>
        <w:t xml:space="preserve">  </w:t>
      </w:r>
      <w:r>
        <w:rPr>
          <w:rFonts w:cs="Calibri"/>
          <w:color w:val="auto"/>
        </w:rPr>
        <w:tab/>
      </w:r>
      <w:r>
        <w:rPr>
          <w:rFonts w:hAnsi="宋体" w:cs="宋体"/>
          <w:color w:val="auto"/>
          <w:spacing w:val="-2"/>
          <w:sz w:val="21"/>
        </w:rPr>
        <w:t>月</w:t>
      </w:r>
      <w:r>
        <w:rPr>
          <w:rFonts w:hint="eastAsia" w:hAnsi="宋体" w:cs="宋体"/>
          <w:color w:val="auto"/>
          <w:spacing w:val="-2"/>
          <w:sz w:val="21"/>
        </w:rPr>
        <w:t xml:space="preserve">   </w:t>
      </w:r>
      <w:r>
        <w:rPr>
          <w:rFonts w:cs="Calibri"/>
          <w:color w:val="auto"/>
        </w:rPr>
        <w:tab/>
      </w:r>
      <w:r>
        <w:rPr>
          <w:rFonts w:hAnsi="宋体" w:cs="宋体"/>
          <w:color w:val="auto"/>
          <w:spacing w:val="-2"/>
          <w:sz w:val="21"/>
        </w:rPr>
        <w:t>日</w:t>
      </w:r>
    </w:p>
    <w:p>
      <w:pPr>
        <w:shd w:val="clear"/>
        <w:spacing w:line="2" w:lineRule="exact"/>
        <w:ind w:firstLine="360"/>
        <w:rPr>
          <w:rFonts w:hAnsi="宋体"/>
          <w:color w:val="auto"/>
        </w:rPr>
      </w:pPr>
      <w:r>
        <w:rPr>
          <w:rFonts w:hAnsi="宋体"/>
          <w:color w:val="auto"/>
          <w:sz w:val="18"/>
        </w:rPr>
        <w:br w:type="page"/>
      </w:r>
    </w:p>
    <w:p>
      <w:pPr>
        <w:pStyle w:val="8"/>
        <w:shd w:val="clear"/>
        <w:ind w:firstLine="482"/>
        <w:jc w:val="center"/>
        <w:rPr>
          <w:color w:val="auto"/>
        </w:rPr>
      </w:pPr>
      <w:bookmarkStart w:id="177" w:name="_Toc35513539"/>
      <w:r>
        <w:rPr>
          <w:color w:val="auto"/>
        </w:rPr>
        <w:t>（二）投标函附录</w:t>
      </w:r>
      <w:bookmarkEnd w:id="177"/>
    </w:p>
    <w:p>
      <w:pPr>
        <w:shd w:val="clear"/>
        <w:spacing w:line="200" w:lineRule="exact"/>
        <w:ind w:firstLine="480"/>
        <w:rPr>
          <w:rFonts w:hAnsi="宋体"/>
          <w:color w:val="auto"/>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234"/>
        <w:gridCol w:w="4111"/>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center"/>
              <w:rPr>
                <w:rFonts w:hAnsi="宋体" w:cs="宋体"/>
                <w:color w:val="auto"/>
                <w:kern w:val="2"/>
                <w:sz w:val="21"/>
                <w:szCs w:val="21"/>
              </w:rPr>
            </w:pPr>
            <w:r>
              <w:rPr>
                <w:rFonts w:hint="eastAsia" w:hAnsi="宋体" w:cs="宋体"/>
                <w:color w:val="auto"/>
                <w:kern w:val="2"/>
                <w:sz w:val="21"/>
                <w:szCs w:val="21"/>
              </w:rPr>
              <w:t>序号</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center"/>
              <w:rPr>
                <w:rFonts w:hAnsi="宋体" w:cs="宋体"/>
                <w:color w:val="auto"/>
                <w:kern w:val="2"/>
                <w:sz w:val="21"/>
                <w:szCs w:val="21"/>
              </w:rPr>
            </w:pPr>
            <w:r>
              <w:rPr>
                <w:rFonts w:hint="eastAsia" w:hAnsi="宋体" w:cs="宋体"/>
                <w:color w:val="auto"/>
                <w:kern w:val="2"/>
                <w:sz w:val="21"/>
                <w:szCs w:val="21"/>
              </w:rPr>
              <w:t>条款名称</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center"/>
              <w:rPr>
                <w:rFonts w:hAnsi="宋体" w:cs="宋体"/>
                <w:color w:val="auto"/>
                <w:kern w:val="2"/>
                <w:sz w:val="21"/>
                <w:szCs w:val="21"/>
              </w:rPr>
            </w:pPr>
            <w:r>
              <w:rPr>
                <w:rFonts w:hint="eastAsia" w:hAnsi="宋体" w:cs="宋体"/>
                <w:color w:val="auto"/>
                <w:kern w:val="2"/>
                <w:sz w:val="21"/>
                <w:szCs w:val="21"/>
              </w:rPr>
              <w:t>约定内容</w:t>
            </w:r>
          </w:p>
        </w:tc>
        <w:tc>
          <w:tcPr>
            <w:tcW w:w="1316"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center"/>
              <w:rPr>
                <w:rFonts w:hAnsi="宋体" w:cs="宋体"/>
                <w:color w:val="auto"/>
                <w:kern w:val="2"/>
                <w:sz w:val="21"/>
                <w:szCs w:val="21"/>
              </w:rPr>
            </w:pPr>
            <w:r>
              <w:rPr>
                <w:rFonts w:hint="eastAsia" w:hAnsi="宋体" w:cs="宋体"/>
                <w:color w:val="auto"/>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center"/>
              <w:rPr>
                <w:rFonts w:hAnsi="宋体" w:cs="宋体"/>
                <w:color w:val="auto"/>
                <w:kern w:val="2"/>
                <w:sz w:val="21"/>
                <w:szCs w:val="21"/>
              </w:rPr>
            </w:pPr>
            <w:r>
              <w:rPr>
                <w:rFonts w:hint="eastAsia" w:hAnsi="宋体" w:cs="宋体"/>
                <w:color w:val="auto"/>
                <w:kern w:val="2"/>
                <w:sz w:val="21"/>
                <w:szCs w:val="21"/>
              </w:rPr>
              <w:t>1</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center"/>
              <w:rPr>
                <w:rFonts w:hAnsi="宋体" w:cs="宋体"/>
                <w:color w:val="auto"/>
                <w:kern w:val="2"/>
                <w:sz w:val="21"/>
                <w:szCs w:val="21"/>
              </w:rPr>
            </w:pPr>
            <w:r>
              <w:rPr>
                <w:rFonts w:hint="eastAsia" w:hAnsi="宋体" w:cs="宋体"/>
                <w:color w:val="auto"/>
                <w:kern w:val="2"/>
                <w:sz w:val="21"/>
                <w:szCs w:val="21"/>
              </w:rPr>
              <w:t>项目负责人</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shd w:val="clear"/>
              <w:topLinePunct/>
              <w:spacing w:line="400" w:lineRule="exact"/>
              <w:ind w:firstLine="0" w:firstLineChars="0"/>
              <w:jc w:val="left"/>
              <w:rPr>
                <w:rFonts w:hAnsi="宋体" w:cs="宋体"/>
                <w:color w:val="auto"/>
                <w:kern w:val="2"/>
                <w:sz w:val="21"/>
                <w:szCs w:val="21"/>
              </w:rPr>
            </w:pPr>
            <w:r>
              <w:rPr>
                <w:rFonts w:hAnsi="宋体"/>
                <w:color w:val="auto"/>
                <w:kern w:val="2"/>
                <w:sz w:val="21"/>
                <w:szCs w:val="21"/>
              </w:rPr>
              <w:t>姓名：</w:t>
            </w:r>
            <w:r>
              <w:rPr>
                <w:rFonts w:hAnsi="宋体"/>
                <w:color w:val="auto"/>
                <w:kern w:val="2"/>
                <w:sz w:val="21"/>
                <w:szCs w:val="21"/>
                <w:u w:val="single"/>
              </w:rPr>
              <w:t xml:space="preserve">   </w:t>
            </w:r>
            <w:r>
              <w:rPr>
                <w:rFonts w:hint="eastAsia" w:hAnsi="宋体"/>
                <w:color w:val="auto"/>
                <w:kern w:val="2"/>
                <w:sz w:val="21"/>
                <w:szCs w:val="21"/>
                <w:u w:val="single"/>
              </w:rPr>
              <w:t xml:space="preserve">           </w:t>
            </w:r>
          </w:p>
        </w:tc>
        <w:tc>
          <w:tcPr>
            <w:tcW w:w="1316"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center"/>
              <w:rPr>
                <w:rFonts w:hAnsi="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center"/>
              <w:rPr>
                <w:rFonts w:hAnsi="宋体" w:cs="宋体"/>
                <w:color w:val="auto"/>
                <w:kern w:val="2"/>
                <w:sz w:val="21"/>
                <w:szCs w:val="21"/>
              </w:rPr>
            </w:pPr>
            <w:r>
              <w:rPr>
                <w:rFonts w:hint="eastAsia" w:hAnsi="宋体" w:cs="宋体"/>
                <w:color w:val="auto"/>
                <w:kern w:val="2"/>
                <w:sz w:val="21"/>
                <w:szCs w:val="21"/>
              </w:rPr>
              <w:t>2</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center"/>
              <w:rPr>
                <w:rFonts w:hAnsi="宋体" w:cs="宋体"/>
                <w:color w:val="auto"/>
                <w:kern w:val="2"/>
                <w:sz w:val="21"/>
                <w:szCs w:val="21"/>
              </w:rPr>
            </w:pPr>
            <w:r>
              <w:rPr>
                <w:rFonts w:hint="eastAsia" w:hAnsi="宋体" w:cs="宋体"/>
                <w:color w:val="auto"/>
                <w:kern w:val="2"/>
                <w:sz w:val="21"/>
                <w:szCs w:val="21"/>
              </w:rPr>
              <w:t>服务期限</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shd w:val="clear"/>
              <w:topLinePunct/>
              <w:spacing w:line="400" w:lineRule="exact"/>
              <w:ind w:firstLine="0" w:firstLineChars="0"/>
              <w:jc w:val="left"/>
              <w:rPr>
                <w:rFonts w:hAnsi="宋体" w:cs="宋体"/>
                <w:color w:val="auto"/>
                <w:kern w:val="2"/>
                <w:sz w:val="21"/>
                <w:szCs w:val="21"/>
              </w:rPr>
            </w:pPr>
            <w:r>
              <w:rPr>
                <w:rFonts w:hint="eastAsia" w:hAnsi="宋体" w:cs="宋体"/>
                <w:color w:val="auto"/>
                <w:kern w:val="2"/>
                <w:sz w:val="21"/>
                <w:szCs w:val="21"/>
                <w:u w:val="single"/>
              </w:rPr>
              <w:t>按招标文件要求</w:t>
            </w:r>
          </w:p>
        </w:tc>
        <w:tc>
          <w:tcPr>
            <w:tcW w:w="1316"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center"/>
              <w:rPr>
                <w:rFonts w:hAnsi="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center"/>
              <w:rPr>
                <w:rFonts w:hAnsi="宋体" w:cs="宋体"/>
                <w:color w:val="auto"/>
                <w:kern w:val="2"/>
                <w:sz w:val="21"/>
                <w:szCs w:val="21"/>
              </w:rPr>
            </w:pPr>
            <w:r>
              <w:rPr>
                <w:rFonts w:hint="eastAsia" w:hAnsi="宋体" w:cs="宋体"/>
                <w:color w:val="auto"/>
                <w:kern w:val="2"/>
                <w:sz w:val="21"/>
                <w:szCs w:val="21"/>
              </w:rPr>
              <w:t>3</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val="0"/>
              <w:shd w:val="clear"/>
              <w:spacing w:before="100" w:beforeAutospacing="1" w:after="100" w:afterAutospacing="1" w:line="240" w:lineRule="auto"/>
              <w:ind w:firstLine="0" w:firstLineChars="0"/>
              <w:jc w:val="center"/>
              <w:rPr>
                <w:rFonts w:hAnsi="宋体"/>
                <w:color w:val="auto"/>
                <w:kern w:val="2"/>
                <w:sz w:val="21"/>
                <w:szCs w:val="21"/>
              </w:rPr>
            </w:pPr>
            <w:r>
              <w:rPr>
                <w:rFonts w:hint="eastAsia" w:hAnsi="宋体"/>
                <w:color w:val="auto"/>
                <w:kern w:val="2"/>
                <w:sz w:val="21"/>
                <w:szCs w:val="21"/>
              </w:rPr>
              <w:t>质量标准</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left"/>
              <w:rPr>
                <w:rFonts w:hAnsi="宋体"/>
                <w:color w:val="auto"/>
                <w:kern w:val="2"/>
                <w:sz w:val="21"/>
                <w:szCs w:val="21"/>
                <w:u w:val="single"/>
              </w:rPr>
            </w:pPr>
            <w:r>
              <w:rPr>
                <w:rFonts w:hint="eastAsia" w:hAnsi="宋体" w:cs="宋体"/>
                <w:color w:val="auto"/>
                <w:kern w:val="2"/>
                <w:sz w:val="21"/>
                <w:szCs w:val="21"/>
                <w:u w:val="single"/>
              </w:rPr>
              <w:t>按招标文件要求</w:t>
            </w:r>
          </w:p>
        </w:tc>
        <w:tc>
          <w:tcPr>
            <w:tcW w:w="1316"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center"/>
              <w:rPr>
                <w:rFonts w:hAnsi="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center"/>
              <w:rPr>
                <w:rFonts w:hAnsi="宋体" w:cs="宋体"/>
                <w:color w:val="auto"/>
                <w:kern w:val="2"/>
                <w:sz w:val="21"/>
                <w:szCs w:val="21"/>
              </w:rPr>
            </w:pPr>
            <w:r>
              <w:rPr>
                <w:rFonts w:hint="eastAsia" w:hAnsi="宋体" w:cs="宋体"/>
                <w:color w:val="auto"/>
                <w:kern w:val="2"/>
                <w:sz w:val="21"/>
                <w:szCs w:val="21"/>
              </w:rPr>
              <w:t>4</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center"/>
              <w:rPr>
                <w:rFonts w:hAnsi="宋体" w:cs="宋体"/>
                <w:color w:val="auto"/>
                <w:kern w:val="2"/>
                <w:sz w:val="21"/>
                <w:szCs w:val="21"/>
              </w:rPr>
            </w:pPr>
            <w:r>
              <w:rPr>
                <w:rFonts w:hint="eastAsia" w:hAnsi="宋体"/>
                <w:color w:val="auto"/>
                <w:sz w:val="21"/>
                <w:szCs w:val="21"/>
              </w:rPr>
              <w:t>投标</w:t>
            </w:r>
            <w:r>
              <w:rPr>
                <w:rFonts w:hAnsi="宋体"/>
                <w:color w:val="auto"/>
                <w:sz w:val="21"/>
                <w:szCs w:val="21"/>
              </w:rPr>
              <w:t>报价</w:t>
            </w:r>
            <w:r>
              <w:rPr>
                <w:rFonts w:hint="eastAsia" w:hAnsi="宋体"/>
                <w:color w:val="auto"/>
                <w:sz w:val="21"/>
                <w:szCs w:val="21"/>
              </w:rPr>
              <w:t>（元）</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shd w:val="clear"/>
              <w:topLinePunct/>
              <w:spacing w:line="400" w:lineRule="exact"/>
              <w:ind w:firstLine="0" w:firstLineChars="0"/>
              <w:jc w:val="left"/>
              <w:rPr>
                <w:rFonts w:hAnsi="宋体" w:cs="宋体"/>
                <w:color w:val="auto"/>
                <w:kern w:val="2"/>
                <w:sz w:val="21"/>
                <w:szCs w:val="21"/>
                <w:u w:val="single"/>
              </w:rPr>
            </w:pPr>
            <w:r>
              <w:rPr>
                <w:rFonts w:hint="eastAsia" w:hAnsi="宋体" w:cs="宋体"/>
                <w:color w:val="auto"/>
                <w:kern w:val="2"/>
                <w:sz w:val="21"/>
                <w:szCs w:val="21"/>
                <w:u w:val="single"/>
              </w:rPr>
              <w:t xml:space="preserve">大写：        </w:t>
            </w:r>
          </w:p>
          <w:p>
            <w:pPr>
              <w:widowControl w:val="0"/>
              <w:shd w:val="clear"/>
              <w:topLinePunct/>
              <w:spacing w:line="400" w:lineRule="exact"/>
              <w:ind w:firstLine="0" w:firstLineChars="0"/>
              <w:jc w:val="left"/>
              <w:rPr>
                <w:rFonts w:hAnsi="宋体" w:cs="宋体"/>
                <w:color w:val="auto"/>
                <w:kern w:val="2"/>
                <w:sz w:val="21"/>
                <w:szCs w:val="21"/>
                <w:u w:val="single"/>
              </w:rPr>
            </w:pPr>
            <w:r>
              <w:rPr>
                <w:rFonts w:hint="eastAsia" w:hAnsi="宋体" w:cs="宋体"/>
                <w:color w:val="auto"/>
                <w:kern w:val="2"/>
                <w:sz w:val="21"/>
                <w:szCs w:val="21"/>
                <w:u w:val="single"/>
              </w:rPr>
              <w:t xml:space="preserve">小写：        </w:t>
            </w:r>
          </w:p>
          <w:p>
            <w:pPr>
              <w:widowControl w:val="0"/>
              <w:shd w:val="clear"/>
              <w:topLinePunct/>
              <w:spacing w:line="400" w:lineRule="exact"/>
              <w:ind w:firstLine="420"/>
              <w:jc w:val="left"/>
              <w:rPr>
                <w:rFonts w:hAnsi="宋体" w:cs="宋体"/>
                <w:color w:val="auto"/>
                <w:kern w:val="2"/>
                <w:sz w:val="21"/>
                <w:szCs w:val="21"/>
                <w:u w:val="single"/>
              </w:rPr>
            </w:pPr>
            <w:r>
              <w:rPr>
                <w:rFonts w:hint="eastAsia" w:hAnsi="宋体" w:cs="宋体"/>
                <w:color w:val="auto"/>
                <w:kern w:val="2"/>
                <w:sz w:val="21"/>
                <w:szCs w:val="21"/>
                <w:u w:val="single"/>
              </w:rPr>
              <w:t xml:space="preserve">其中项目管理服务费：         元 </w:t>
            </w:r>
          </w:p>
          <w:p>
            <w:pPr>
              <w:widowControl w:val="0"/>
              <w:shd w:val="clear"/>
              <w:topLinePunct/>
              <w:spacing w:line="400" w:lineRule="exact"/>
              <w:ind w:firstLine="420"/>
              <w:jc w:val="left"/>
              <w:rPr>
                <w:rFonts w:hAnsi="宋体" w:cs="宋体"/>
                <w:color w:val="auto"/>
                <w:kern w:val="2"/>
                <w:sz w:val="21"/>
                <w:szCs w:val="21"/>
                <w:u w:val="single"/>
              </w:rPr>
            </w:pPr>
            <w:r>
              <w:rPr>
                <w:rFonts w:hint="eastAsia" w:hAnsi="宋体" w:cs="宋体"/>
                <w:color w:val="auto"/>
                <w:kern w:val="2"/>
                <w:sz w:val="21"/>
                <w:szCs w:val="21"/>
                <w:u w:val="single"/>
              </w:rPr>
              <w:t xml:space="preserve">工程监理服务费：         元 </w:t>
            </w:r>
          </w:p>
          <w:p>
            <w:pPr>
              <w:widowControl w:val="0"/>
              <w:shd w:val="clear"/>
              <w:topLinePunct/>
              <w:spacing w:line="400" w:lineRule="exact"/>
              <w:ind w:firstLine="0" w:firstLineChars="0"/>
              <w:jc w:val="left"/>
              <w:rPr>
                <w:rFonts w:hint="eastAsia" w:hAnsi="宋体" w:eastAsia="宋体" w:cs="宋体"/>
                <w:color w:val="auto"/>
                <w:kern w:val="2"/>
                <w:sz w:val="21"/>
                <w:szCs w:val="21"/>
                <w:u w:val="single"/>
                <w:lang w:eastAsia="zh-CN"/>
              </w:rPr>
            </w:pPr>
            <w:r>
              <w:rPr>
                <w:rFonts w:hint="eastAsia" w:hAnsi="宋体" w:cs="宋体"/>
                <w:color w:val="auto"/>
                <w:kern w:val="2"/>
                <w:sz w:val="21"/>
                <w:szCs w:val="21"/>
                <w:u w:val="single"/>
              </w:rPr>
              <w:t>投标下浮率     %(项目管理服务费与工程监理服务费为同一下浮率</w:t>
            </w:r>
            <w:r>
              <w:rPr>
                <w:rFonts w:hint="eastAsia" w:hAnsi="宋体" w:cs="宋体"/>
                <w:color w:val="auto"/>
                <w:kern w:val="2"/>
                <w:sz w:val="21"/>
                <w:szCs w:val="21"/>
                <w:u w:val="single"/>
                <w:lang w:eastAsia="zh-CN"/>
              </w:rPr>
              <w:t>，</w:t>
            </w:r>
          </w:p>
          <w:p>
            <w:pPr>
              <w:widowControl w:val="0"/>
              <w:shd w:val="clear"/>
              <w:topLinePunct/>
              <w:spacing w:line="400" w:lineRule="exact"/>
              <w:ind w:firstLine="0" w:firstLineChars="0"/>
              <w:jc w:val="left"/>
              <w:rPr>
                <w:color w:val="auto"/>
              </w:rPr>
            </w:pPr>
            <w:r>
              <w:rPr>
                <w:rFonts w:hint="eastAsia" w:hAnsi="宋体" w:cs="宋体"/>
                <w:color w:val="auto"/>
                <w:kern w:val="2"/>
                <w:sz w:val="21"/>
                <w:szCs w:val="21"/>
                <w:u w:val="single"/>
              </w:rPr>
              <w:t>当出现投标下浮率和实际投标报价不符时，以金额大写为准）</w:t>
            </w:r>
          </w:p>
        </w:tc>
        <w:tc>
          <w:tcPr>
            <w:tcW w:w="1316"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center"/>
              <w:rPr>
                <w:rFonts w:hAnsi="宋体" w:cs="宋体"/>
                <w:color w:val="auto"/>
                <w:kern w:val="2"/>
                <w:sz w:val="21"/>
                <w:szCs w:val="21"/>
              </w:rPr>
            </w:pPr>
            <w:r>
              <w:rPr>
                <w:rFonts w:hint="eastAsia" w:hAnsi="宋体" w:cs="宋体"/>
                <w:b/>
                <w:bCs/>
                <w:color w:val="auto"/>
                <w:kern w:val="2"/>
                <w:sz w:val="21"/>
                <w:szCs w:val="21"/>
              </w:rPr>
              <w:t>投标报价不得超过最高投标限价、任何一个单项投标报价不得超过相应单项最高投标限价，否则投标无效。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center"/>
              <w:rPr>
                <w:rFonts w:hAnsi="宋体" w:cs="宋体"/>
                <w:color w:val="auto"/>
                <w:kern w:val="2"/>
                <w:sz w:val="21"/>
                <w:szCs w:val="21"/>
              </w:rPr>
            </w:pPr>
            <w:r>
              <w:rPr>
                <w:rFonts w:hint="eastAsia" w:hAnsi="宋体" w:cs="宋体"/>
                <w:color w:val="auto"/>
                <w:kern w:val="2"/>
                <w:sz w:val="21"/>
                <w:szCs w:val="21"/>
              </w:rPr>
              <w:t>5</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center"/>
              <w:rPr>
                <w:rFonts w:hAnsi="宋体" w:cs="宋体"/>
                <w:color w:val="auto"/>
                <w:kern w:val="2"/>
                <w:sz w:val="21"/>
                <w:szCs w:val="21"/>
              </w:rPr>
            </w:pPr>
            <w:r>
              <w:rPr>
                <w:rFonts w:hint="eastAsia" w:hAnsi="宋体"/>
                <w:color w:val="auto"/>
                <w:kern w:val="2"/>
                <w:sz w:val="21"/>
                <w:szCs w:val="21"/>
              </w:rPr>
              <w:t>投标有效期</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left"/>
              <w:rPr>
                <w:rFonts w:hAnsi="宋体"/>
                <w:color w:val="auto"/>
                <w:kern w:val="2"/>
                <w:sz w:val="21"/>
                <w:szCs w:val="21"/>
                <w:u w:val="single"/>
              </w:rPr>
            </w:pPr>
            <w:r>
              <w:rPr>
                <w:rFonts w:hint="eastAsia" w:hAnsi="宋体" w:cs="宋体"/>
                <w:color w:val="auto"/>
                <w:kern w:val="2"/>
                <w:sz w:val="21"/>
                <w:szCs w:val="21"/>
                <w:u w:val="single"/>
              </w:rPr>
              <w:t>按招标文件要求</w:t>
            </w:r>
          </w:p>
        </w:tc>
        <w:tc>
          <w:tcPr>
            <w:tcW w:w="1316" w:type="dxa"/>
            <w:tcBorders>
              <w:top w:val="single" w:color="auto" w:sz="4" w:space="0"/>
              <w:left w:val="single" w:color="auto" w:sz="4" w:space="0"/>
              <w:bottom w:val="single" w:color="auto" w:sz="4" w:space="0"/>
              <w:right w:val="single" w:color="auto" w:sz="4" w:space="0"/>
            </w:tcBorders>
            <w:vAlign w:val="center"/>
          </w:tcPr>
          <w:p>
            <w:pPr>
              <w:widowControl w:val="0"/>
              <w:shd w:val="clear"/>
              <w:spacing w:line="240" w:lineRule="auto"/>
              <w:ind w:firstLine="0" w:firstLineChars="0"/>
              <w:jc w:val="center"/>
              <w:rPr>
                <w:rFonts w:hAnsi="宋体" w:cs="宋体"/>
                <w:color w:val="auto"/>
                <w:kern w:val="2"/>
                <w:sz w:val="21"/>
                <w:szCs w:val="21"/>
              </w:rPr>
            </w:pPr>
          </w:p>
        </w:tc>
      </w:tr>
    </w:tbl>
    <w:p>
      <w:pPr>
        <w:widowControl w:val="0"/>
        <w:shd w:val="clear"/>
        <w:adjustRightInd w:val="0"/>
        <w:snapToGrid w:val="0"/>
        <w:ind w:firstLine="422"/>
        <w:rPr>
          <w:rFonts w:hAnsi="宋体"/>
          <w:b/>
          <w:color w:val="auto"/>
          <w:kern w:val="2"/>
          <w:sz w:val="21"/>
          <w:szCs w:val="21"/>
        </w:rPr>
      </w:pPr>
      <w:r>
        <w:rPr>
          <w:rFonts w:hint="eastAsia" w:hAnsi="宋体"/>
          <w:b/>
          <w:color w:val="auto"/>
          <w:kern w:val="2"/>
          <w:sz w:val="21"/>
          <w:szCs w:val="21"/>
        </w:rPr>
        <w:t>注：</w:t>
      </w:r>
    </w:p>
    <w:p>
      <w:pPr>
        <w:widowControl w:val="0"/>
        <w:shd w:val="clear"/>
        <w:adjustRightInd w:val="0"/>
        <w:snapToGrid w:val="0"/>
        <w:ind w:firstLine="422"/>
        <w:rPr>
          <w:rFonts w:hAnsi="宋体"/>
          <w:b/>
          <w:color w:val="auto"/>
          <w:kern w:val="2"/>
          <w:sz w:val="21"/>
          <w:szCs w:val="21"/>
        </w:rPr>
      </w:pPr>
      <w:r>
        <w:rPr>
          <w:rFonts w:hint="eastAsia" w:hAnsi="宋体"/>
          <w:b/>
          <w:color w:val="auto"/>
          <w:kern w:val="2"/>
          <w:sz w:val="21"/>
          <w:szCs w:val="21"/>
        </w:rPr>
        <w:t>1、投标报价以“元”为单位，小数点后保留两位小数，第三位小数四舍五入。</w:t>
      </w:r>
    </w:p>
    <w:p>
      <w:pPr>
        <w:widowControl w:val="0"/>
        <w:shd w:val="clear"/>
        <w:adjustRightInd w:val="0"/>
        <w:snapToGrid w:val="0"/>
        <w:ind w:firstLine="422"/>
        <w:rPr>
          <w:rFonts w:hAnsi="宋体"/>
          <w:b/>
          <w:color w:val="auto"/>
          <w:kern w:val="2"/>
          <w:sz w:val="21"/>
          <w:szCs w:val="21"/>
        </w:rPr>
      </w:pPr>
      <w:r>
        <w:rPr>
          <w:rFonts w:hint="eastAsia" w:hAnsi="宋体"/>
          <w:b/>
          <w:color w:val="auto"/>
          <w:kern w:val="2"/>
          <w:sz w:val="21"/>
          <w:szCs w:val="21"/>
        </w:rPr>
        <w:t>2、投标人</w:t>
      </w:r>
      <w:r>
        <w:rPr>
          <w:rFonts w:hint="eastAsia" w:hAnsi="宋体" w:cs="宋体"/>
          <w:b/>
          <w:color w:val="auto"/>
          <w:kern w:val="2"/>
          <w:sz w:val="21"/>
          <w:szCs w:val="21"/>
        </w:rPr>
        <w:t>不得</w:t>
      </w:r>
      <w:r>
        <w:rPr>
          <w:rFonts w:hint="eastAsia" w:hAnsi="宋体"/>
          <w:b/>
          <w:color w:val="auto"/>
          <w:kern w:val="2"/>
          <w:sz w:val="21"/>
          <w:szCs w:val="21"/>
        </w:rPr>
        <w:t>对本表格式进行修改。</w:t>
      </w:r>
    </w:p>
    <w:p>
      <w:pPr>
        <w:widowControl w:val="0"/>
        <w:shd w:val="clear"/>
        <w:spacing w:line="440" w:lineRule="exact"/>
        <w:ind w:firstLine="2520" w:firstLineChars="1200"/>
        <w:jc w:val="left"/>
        <w:rPr>
          <w:rFonts w:hAnsi="宋体" w:cs="宋体"/>
          <w:color w:val="auto"/>
          <w:kern w:val="2"/>
          <w:sz w:val="21"/>
          <w:szCs w:val="21"/>
        </w:rPr>
      </w:pPr>
    </w:p>
    <w:p>
      <w:pPr>
        <w:widowControl w:val="0"/>
        <w:shd w:val="clear"/>
        <w:spacing w:line="480" w:lineRule="auto"/>
        <w:ind w:firstLine="2520" w:firstLineChars="1200"/>
        <w:jc w:val="left"/>
        <w:rPr>
          <w:rFonts w:hAnsi="宋体" w:cs="宋体"/>
          <w:color w:val="auto"/>
          <w:kern w:val="2"/>
          <w:sz w:val="21"/>
          <w:szCs w:val="21"/>
        </w:rPr>
      </w:pPr>
      <w:r>
        <w:rPr>
          <w:rFonts w:hint="eastAsia" w:hAnsi="宋体" w:cs="宋体"/>
          <w:color w:val="auto"/>
          <w:kern w:val="2"/>
          <w:sz w:val="21"/>
          <w:szCs w:val="21"/>
        </w:rPr>
        <w:t>投 标 人：</w:t>
      </w:r>
      <w:r>
        <w:rPr>
          <w:rFonts w:hint="eastAsia" w:hAnsi="宋体" w:cs="宋体"/>
          <w:color w:val="auto"/>
          <w:kern w:val="2"/>
          <w:sz w:val="21"/>
          <w:szCs w:val="21"/>
          <w:u w:val="single"/>
        </w:rPr>
        <w:t xml:space="preserve">                            </w:t>
      </w:r>
      <w:r>
        <w:rPr>
          <w:rFonts w:hint="eastAsia" w:hAnsi="宋体" w:cs="宋体"/>
          <w:color w:val="auto"/>
          <w:kern w:val="2"/>
          <w:sz w:val="21"/>
          <w:szCs w:val="21"/>
          <w:u w:val="single"/>
        </w:rPr>
        <w:tab/>
      </w:r>
      <w:r>
        <w:rPr>
          <w:rFonts w:hint="eastAsia" w:hAnsi="宋体" w:cs="宋体"/>
          <w:color w:val="auto"/>
          <w:kern w:val="2"/>
          <w:sz w:val="21"/>
          <w:szCs w:val="21"/>
        </w:rPr>
        <w:t>（盖单位章）</w:t>
      </w:r>
    </w:p>
    <w:p>
      <w:pPr>
        <w:widowControl w:val="0"/>
        <w:shd w:val="clear"/>
        <w:spacing w:line="480" w:lineRule="auto"/>
        <w:ind w:firstLine="0" w:firstLineChars="0"/>
        <w:jc w:val="left"/>
        <w:rPr>
          <w:rFonts w:hAnsi="宋体" w:cs="宋体"/>
          <w:color w:val="auto"/>
          <w:kern w:val="2"/>
          <w:sz w:val="21"/>
          <w:szCs w:val="21"/>
        </w:rPr>
      </w:pPr>
      <w:r>
        <w:rPr>
          <w:rFonts w:hint="eastAsia" w:hAnsi="宋体" w:cs="宋体"/>
          <w:color w:val="auto"/>
          <w:kern w:val="2"/>
          <w:sz w:val="21"/>
          <w:szCs w:val="21"/>
        </w:rPr>
        <w:t xml:space="preserve">                        法定代表人或其委托代理人：</w:t>
      </w:r>
      <w:r>
        <w:rPr>
          <w:rFonts w:hint="eastAsia" w:hAnsi="宋体" w:cs="宋体"/>
          <w:color w:val="auto"/>
          <w:kern w:val="2"/>
          <w:sz w:val="21"/>
          <w:szCs w:val="21"/>
          <w:u w:val="single"/>
        </w:rPr>
        <w:t xml:space="preserve">         </w:t>
      </w:r>
      <w:r>
        <w:rPr>
          <w:rFonts w:hint="eastAsia" w:hAnsi="宋体" w:cs="宋体"/>
          <w:color w:val="auto"/>
          <w:kern w:val="2"/>
          <w:sz w:val="21"/>
          <w:szCs w:val="21"/>
          <w:u w:val="single"/>
        </w:rPr>
        <w:tab/>
      </w:r>
      <w:r>
        <w:rPr>
          <w:rFonts w:hint="eastAsia" w:hAnsi="宋体" w:cs="宋体"/>
          <w:color w:val="auto"/>
          <w:kern w:val="2"/>
          <w:sz w:val="21"/>
          <w:szCs w:val="21"/>
        </w:rPr>
        <w:t>（</w:t>
      </w:r>
      <w:r>
        <w:rPr>
          <w:rFonts w:hAnsi="宋体"/>
          <w:color w:val="auto"/>
          <w:kern w:val="2"/>
          <w:sz w:val="21"/>
          <w:szCs w:val="21"/>
        </w:rPr>
        <w:t>签字</w:t>
      </w:r>
      <w:r>
        <w:rPr>
          <w:rFonts w:hint="eastAsia" w:hAnsi="宋体"/>
          <w:color w:val="auto"/>
          <w:kern w:val="2"/>
          <w:sz w:val="21"/>
          <w:szCs w:val="21"/>
        </w:rPr>
        <w:t>或盖章</w:t>
      </w:r>
      <w:r>
        <w:rPr>
          <w:rFonts w:hint="eastAsia" w:hAnsi="宋体" w:cs="宋体"/>
          <w:color w:val="auto"/>
          <w:kern w:val="2"/>
          <w:sz w:val="21"/>
          <w:szCs w:val="21"/>
        </w:rPr>
        <w:t>）</w:t>
      </w:r>
    </w:p>
    <w:p>
      <w:pPr>
        <w:widowControl w:val="0"/>
        <w:shd w:val="clear"/>
        <w:spacing w:line="480" w:lineRule="auto"/>
        <w:ind w:right="840" w:firstLine="3769" w:firstLineChars="1795"/>
        <w:rPr>
          <w:rFonts w:hAnsi="宋体" w:cs="宋体"/>
          <w:color w:val="auto"/>
          <w:kern w:val="2"/>
          <w:sz w:val="21"/>
          <w:szCs w:val="21"/>
        </w:rPr>
      </w:pPr>
      <w:r>
        <w:rPr>
          <w:rFonts w:hint="eastAsia" w:hAnsi="宋体" w:cs="宋体"/>
          <w:color w:val="auto"/>
          <w:kern w:val="2"/>
          <w:sz w:val="21"/>
          <w:szCs w:val="21"/>
          <w:u w:val="single"/>
        </w:rPr>
        <w:t xml:space="preserve">      </w:t>
      </w:r>
      <w:r>
        <w:rPr>
          <w:rFonts w:hint="eastAsia" w:hAnsi="宋体" w:cs="宋体"/>
          <w:color w:val="auto"/>
          <w:kern w:val="2"/>
          <w:sz w:val="21"/>
          <w:szCs w:val="21"/>
        </w:rPr>
        <w:t>年</w:t>
      </w:r>
      <w:r>
        <w:rPr>
          <w:rFonts w:hint="eastAsia" w:hAnsi="宋体" w:cs="宋体"/>
          <w:color w:val="auto"/>
          <w:kern w:val="2"/>
          <w:sz w:val="21"/>
          <w:szCs w:val="21"/>
          <w:u w:val="single"/>
        </w:rPr>
        <w:t xml:space="preserve">      </w:t>
      </w:r>
      <w:r>
        <w:rPr>
          <w:rFonts w:hint="eastAsia" w:hAnsi="宋体" w:cs="宋体"/>
          <w:color w:val="auto"/>
          <w:kern w:val="2"/>
          <w:sz w:val="21"/>
          <w:szCs w:val="21"/>
        </w:rPr>
        <w:t>月</w:t>
      </w:r>
      <w:r>
        <w:rPr>
          <w:rFonts w:hint="eastAsia" w:hAnsi="宋体" w:cs="宋体"/>
          <w:color w:val="auto"/>
          <w:kern w:val="2"/>
          <w:sz w:val="21"/>
          <w:szCs w:val="21"/>
          <w:u w:val="single"/>
        </w:rPr>
        <w:t xml:space="preserve">      </w:t>
      </w:r>
      <w:r>
        <w:rPr>
          <w:rFonts w:hint="eastAsia" w:hAnsi="宋体" w:cs="宋体"/>
          <w:color w:val="auto"/>
          <w:kern w:val="2"/>
          <w:sz w:val="21"/>
          <w:szCs w:val="21"/>
        </w:rPr>
        <w:t>日</w:t>
      </w:r>
    </w:p>
    <w:p>
      <w:pPr>
        <w:shd w:val="clear"/>
        <w:spacing w:line="2" w:lineRule="exact"/>
        <w:ind w:firstLine="360"/>
        <w:rPr>
          <w:rFonts w:hAnsi="宋体"/>
          <w:color w:val="auto"/>
        </w:rPr>
      </w:pPr>
      <w:r>
        <w:rPr>
          <w:rFonts w:hAnsi="宋体"/>
          <w:color w:val="auto"/>
          <w:sz w:val="18"/>
        </w:rPr>
        <w:br w:type="page"/>
      </w:r>
    </w:p>
    <w:p>
      <w:pPr>
        <w:shd w:val="clear"/>
        <w:spacing w:line="1" w:lineRule="exact"/>
        <w:ind w:firstLine="480"/>
        <w:rPr>
          <w:rFonts w:hAnsi="宋体"/>
          <w:color w:val="auto"/>
        </w:rPr>
      </w:pPr>
    </w:p>
    <w:p>
      <w:pPr>
        <w:shd w:val="clear"/>
        <w:spacing w:line="366" w:lineRule="exact"/>
        <w:ind w:firstLine="643"/>
        <w:jc w:val="center"/>
        <w:outlineLvl w:val="1"/>
        <w:rPr>
          <w:rFonts w:hAnsi="宋体"/>
          <w:b/>
          <w:color w:val="auto"/>
          <w:sz w:val="32"/>
        </w:rPr>
      </w:pPr>
      <w:bookmarkStart w:id="178" w:name="_Toc35513540"/>
      <w:r>
        <w:rPr>
          <w:rFonts w:hAnsi="宋体"/>
          <w:b/>
          <w:color w:val="auto"/>
          <w:sz w:val="32"/>
        </w:rPr>
        <w:t>二、法定</w:t>
      </w:r>
      <w:r>
        <w:rPr>
          <w:rFonts w:hAnsi="宋体"/>
          <w:b/>
          <w:color w:val="auto"/>
          <w:sz w:val="32"/>
          <w:szCs w:val="22"/>
        </w:rPr>
        <w:t>代表人</w:t>
      </w:r>
      <w:r>
        <w:rPr>
          <w:rFonts w:hAnsi="宋体"/>
          <w:b/>
          <w:color w:val="auto"/>
          <w:sz w:val="32"/>
        </w:rPr>
        <w:t>身份证明</w:t>
      </w:r>
      <w:bookmarkEnd w:id="178"/>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440" w:lineRule="exact"/>
        <w:ind w:firstLine="331" w:firstLineChars="158"/>
        <w:rPr>
          <w:rFonts w:hAnsi="宋体"/>
          <w:color w:val="auto"/>
          <w:sz w:val="21"/>
          <w:szCs w:val="21"/>
        </w:rPr>
      </w:pPr>
      <w:r>
        <w:rPr>
          <w:rFonts w:hAnsi="宋体"/>
          <w:color w:val="auto"/>
          <w:sz w:val="21"/>
          <w:szCs w:val="21"/>
        </w:rPr>
        <w:t>投标人名称：</w:t>
      </w:r>
      <w:r>
        <w:rPr>
          <w:rFonts w:hAnsi="宋体"/>
          <w:color w:val="auto"/>
          <w:sz w:val="21"/>
          <w:szCs w:val="21"/>
          <w:u w:val="single"/>
        </w:rPr>
        <w:t xml:space="preserve">                        </w:t>
      </w:r>
    </w:p>
    <w:p>
      <w:pPr>
        <w:shd w:val="clear"/>
        <w:spacing w:line="440" w:lineRule="exact"/>
        <w:ind w:firstLine="856" w:firstLineChars="408"/>
        <w:rPr>
          <w:rFonts w:hAnsi="宋体"/>
          <w:color w:val="auto"/>
          <w:sz w:val="21"/>
          <w:szCs w:val="21"/>
        </w:rPr>
      </w:pPr>
      <w:r>
        <w:rPr>
          <w:rFonts w:hAnsi="宋体"/>
          <w:color w:val="auto"/>
          <w:sz w:val="21"/>
          <w:szCs w:val="21"/>
        </w:rPr>
        <w:t>姓名：</w:t>
      </w:r>
      <w:r>
        <w:rPr>
          <w:rFonts w:hAnsi="宋体"/>
          <w:color w:val="auto"/>
          <w:sz w:val="21"/>
          <w:szCs w:val="21"/>
          <w:u w:val="single"/>
        </w:rPr>
        <w:t xml:space="preserve">                </w:t>
      </w:r>
      <w:r>
        <w:rPr>
          <w:rFonts w:hAnsi="宋体"/>
          <w:color w:val="auto"/>
          <w:sz w:val="21"/>
          <w:szCs w:val="21"/>
        </w:rPr>
        <w:t>性别：</w:t>
      </w:r>
      <w:r>
        <w:rPr>
          <w:rFonts w:hAnsi="宋体"/>
          <w:color w:val="auto"/>
          <w:sz w:val="21"/>
          <w:szCs w:val="21"/>
          <w:u w:val="single"/>
        </w:rPr>
        <w:t xml:space="preserve">        </w:t>
      </w:r>
      <w:r>
        <w:rPr>
          <w:rFonts w:hAnsi="宋体"/>
          <w:color w:val="auto"/>
          <w:sz w:val="21"/>
          <w:szCs w:val="21"/>
        </w:rPr>
        <w:t>年龄：</w:t>
      </w:r>
      <w:r>
        <w:rPr>
          <w:rFonts w:hAnsi="宋体"/>
          <w:color w:val="auto"/>
          <w:sz w:val="21"/>
          <w:szCs w:val="21"/>
          <w:u w:val="single"/>
        </w:rPr>
        <w:t xml:space="preserve">        </w:t>
      </w:r>
      <w:r>
        <w:rPr>
          <w:rFonts w:hAnsi="宋体"/>
          <w:color w:val="auto"/>
          <w:sz w:val="21"/>
          <w:szCs w:val="21"/>
        </w:rPr>
        <w:t>职务：</w:t>
      </w:r>
      <w:r>
        <w:rPr>
          <w:rFonts w:hAnsi="宋体"/>
          <w:color w:val="auto"/>
          <w:sz w:val="21"/>
          <w:szCs w:val="21"/>
          <w:u w:val="single"/>
        </w:rPr>
        <w:t xml:space="preserve">        </w:t>
      </w:r>
    </w:p>
    <w:p>
      <w:pPr>
        <w:shd w:val="clear"/>
        <w:spacing w:line="440" w:lineRule="exact"/>
        <w:ind w:firstLine="331" w:firstLineChars="158"/>
        <w:rPr>
          <w:rFonts w:hAnsi="宋体"/>
          <w:color w:val="auto"/>
          <w:sz w:val="21"/>
          <w:szCs w:val="21"/>
        </w:rPr>
      </w:pPr>
      <w:r>
        <w:rPr>
          <w:rFonts w:hAnsi="宋体"/>
          <w:color w:val="auto"/>
          <w:sz w:val="21"/>
          <w:szCs w:val="21"/>
        </w:rPr>
        <w:t>系</w:t>
      </w:r>
      <w:r>
        <w:rPr>
          <w:rFonts w:hAnsi="宋体"/>
          <w:color w:val="auto"/>
          <w:sz w:val="21"/>
          <w:szCs w:val="21"/>
          <w:u w:val="single"/>
        </w:rPr>
        <w:t xml:space="preserve">                        </w:t>
      </w:r>
      <w:r>
        <w:rPr>
          <w:rFonts w:hAnsi="宋体"/>
          <w:color w:val="auto"/>
          <w:sz w:val="21"/>
          <w:szCs w:val="21"/>
        </w:rPr>
        <w:t>（投标人名称）的法定代表人。</w:t>
      </w:r>
    </w:p>
    <w:p>
      <w:pPr>
        <w:shd w:val="clear"/>
        <w:spacing w:line="180" w:lineRule="exact"/>
        <w:ind w:firstLine="480"/>
        <w:rPr>
          <w:rFonts w:hAnsi="宋体"/>
          <w:color w:val="auto"/>
        </w:rPr>
      </w:pPr>
    </w:p>
    <w:p>
      <w:pPr>
        <w:shd w:val="clear"/>
        <w:spacing w:line="240" w:lineRule="exact"/>
        <w:ind w:left="780" w:firstLine="420"/>
        <w:rPr>
          <w:rFonts w:hAnsi="宋体"/>
          <w:color w:val="auto"/>
          <w:sz w:val="21"/>
        </w:rPr>
      </w:pPr>
      <w:r>
        <w:rPr>
          <w:rFonts w:hAnsi="宋体"/>
          <w:color w:val="auto"/>
          <w:sz w:val="21"/>
        </w:rPr>
        <w:t>特此证明。</w:t>
      </w: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41" w:lineRule="exact"/>
        <w:ind w:firstLine="480"/>
        <w:rPr>
          <w:rFonts w:hAnsi="宋体"/>
          <w:color w:val="auto"/>
        </w:rPr>
      </w:pPr>
    </w:p>
    <w:p>
      <w:pPr>
        <w:shd w:val="clear"/>
        <w:spacing w:line="240" w:lineRule="exact"/>
        <w:ind w:left="360" w:firstLine="420"/>
        <w:rPr>
          <w:rFonts w:hAnsi="宋体"/>
          <w:color w:val="auto"/>
          <w:sz w:val="21"/>
        </w:rPr>
      </w:pPr>
      <w:r>
        <w:rPr>
          <w:rFonts w:hAnsi="宋体"/>
          <w:color w:val="auto"/>
          <w:sz w:val="21"/>
        </w:rPr>
        <w:t>附：法定代表人身份证</w:t>
      </w:r>
      <w:r>
        <w:rPr>
          <w:rFonts w:hint="eastAsia" w:hAnsi="宋体"/>
          <w:color w:val="auto"/>
          <w:sz w:val="21"/>
        </w:rPr>
        <w:t>扫描件</w:t>
      </w:r>
      <w:r>
        <w:rPr>
          <w:rFonts w:hAnsi="宋体"/>
          <w:color w:val="auto"/>
          <w:sz w:val="21"/>
        </w:rPr>
        <w:t>。</w:t>
      </w: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39" w:lineRule="exact"/>
        <w:ind w:firstLine="480"/>
        <w:rPr>
          <w:rFonts w:hAnsi="宋体"/>
          <w:color w:val="auto"/>
        </w:rPr>
      </w:pPr>
    </w:p>
    <w:p>
      <w:pPr>
        <w:shd w:val="clear"/>
        <w:spacing w:line="240" w:lineRule="exact"/>
        <w:ind w:left="360" w:firstLine="420"/>
        <w:rPr>
          <w:rFonts w:hAnsi="宋体"/>
          <w:color w:val="auto"/>
          <w:sz w:val="21"/>
        </w:rPr>
      </w:pPr>
      <w:r>
        <w:rPr>
          <w:rFonts w:hAnsi="宋体"/>
          <w:color w:val="auto"/>
          <w:sz w:val="21"/>
        </w:rPr>
        <w:t>注：本身份证明需由投标人加盖单位公章。</w:t>
      </w: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81" w:lineRule="exact"/>
        <w:ind w:firstLine="480"/>
        <w:rPr>
          <w:rFonts w:hAnsi="宋体"/>
          <w:color w:val="auto"/>
        </w:rPr>
      </w:pPr>
    </w:p>
    <w:p>
      <w:pPr>
        <w:shd w:val="clear"/>
        <w:spacing w:line="440" w:lineRule="exact"/>
        <w:ind w:firstLine="420"/>
        <w:jc w:val="right"/>
        <w:rPr>
          <w:rFonts w:hAnsi="宋体"/>
          <w:color w:val="auto"/>
          <w:sz w:val="21"/>
          <w:szCs w:val="21"/>
        </w:rPr>
      </w:pPr>
      <w:r>
        <w:rPr>
          <w:rFonts w:hAnsi="宋体"/>
          <w:color w:val="auto"/>
          <w:sz w:val="21"/>
          <w:szCs w:val="21"/>
        </w:rPr>
        <w:t xml:space="preserve"> 投标人：</w:t>
      </w:r>
      <w:r>
        <w:rPr>
          <w:rFonts w:hAnsi="宋体"/>
          <w:color w:val="auto"/>
          <w:sz w:val="21"/>
          <w:szCs w:val="21"/>
          <w:u w:val="single"/>
        </w:rPr>
        <w:t xml:space="preserve">          </w:t>
      </w:r>
      <w:r>
        <w:rPr>
          <w:rFonts w:hAnsi="宋体"/>
          <w:color w:val="auto"/>
          <w:sz w:val="21"/>
          <w:szCs w:val="21"/>
          <w:u w:val="single"/>
        </w:rPr>
        <w:tab/>
      </w:r>
      <w:bookmarkStart w:id="179" w:name="page82"/>
      <w:bookmarkEnd w:id="179"/>
      <w:r>
        <w:rPr>
          <w:rFonts w:hAnsi="宋体"/>
          <w:color w:val="auto"/>
          <w:sz w:val="21"/>
          <w:szCs w:val="21"/>
        </w:rPr>
        <w:t>（</w:t>
      </w:r>
      <w:bookmarkStart w:id="180" w:name="_Toc14709396"/>
      <w:r>
        <w:rPr>
          <w:rFonts w:hint="eastAsia" w:hAnsi="宋体"/>
          <w:color w:val="auto"/>
          <w:sz w:val="21"/>
          <w:szCs w:val="21"/>
        </w:rPr>
        <w:t>盖</w:t>
      </w:r>
      <w:r>
        <w:rPr>
          <w:rFonts w:hAnsi="宋体"/>
          <w:color w:val="auto"/>
          <w:sz w:val="21"/>
          <w:szCs w:val="21"/>
        </w:rPr>
        <w:t>单位</w:t>
      </w:r>
      <w:r>
        <w:rPr>
          <w:rFonts w:hint="eastAsia" w:hAnsi="宋体"/>
          <w:color w:val="auto"/>
          <w:sz w:val="21"/>
          <w:szCs w:val="21"/>
        </w:rPr>
        <w:t>章</w:t>
      </w:r>
      <w:r>
        <w:rPr>
          <w:rFonts w:hAnsi="宋体"/>
          <w:color w:val="auto"/>
          <w:sz w:val="21"/>
          <w:szCs w:val="21"/>
        </w:rPr>
        <w:t>）</w:t>
      </w:r>
    </w:p>
    <w:p>
      <w:pPr>
        <w:shd w:val="clear"/>
        <w:spacing w:line="440" w:lineRule="exact"/>
        <w:ind w:firstLine="420"/>
        <w:jc w:val="right"/>
        <w:rPr>
          <w:rFonts w:hAnsi="宋体"/>
          <w:color w:val="auto"/>
          <w:sz w:val="21"/>
          <w:szCs w:val="21"/>
        </w:rPr>
      </w:pPr>
    </w:p>
    <w:bookmarkEnd w:id="180"/>
    <w:p>
      <w:pPr>
        <w:shd w:val="clear"/>
        <w:spacing w:line="440" w:lineRule="exact"/>
        <w:ind w:firstLine="4620" w:firstLineChars="2200"/>
        <w:jc w:val="right"/>
        <w:rPr>
          <w:rFonts w:hAnsi="宋体"/>
          <w:color w:val="auto"/>
          <w:sz w:val="21"/>
          <w:szCs w:val="21"/>
        </w:rPr>
      </w:pPr>
      <w:r>
        <w:rPr>
          <w:rFonts w:hAnsi="宋体"/>
          <w:color w:val="auto"/>
          <w:sz w:val="21"/>
          <w:szCs w:val="21"/>
          <w:u w:val="single"/>
        </w:rPr>
        <w:t xml:space="preserve">       </w:t>
      </w:r>
      <w:r>
        <w:rPr>
          <w:rFonts w:hAnsi="宋体"/>
          <w:color w:val="auto"/>
          <w:sz w:val="21"/>
          <w:szCs w:val="21"/>
        </w:rPr>
        <w:t>年</w:t>
      </w:r>
      <w:r>
        <w:rPr>
          <w:rFonts w:hAnsi="宋体"/>
          <w:color w:val="auto"/>
          <w:sz w:val="21"/>
          <w:szCs w:val="21"/>
          <w:u w:val="single"/>
        </w:rPr>
        <w:t xml:space="preserve">      </w:t>
      </w:r>
      <w:r>
        <w:rPr>
          <w:rFonts w:hAnsi="宋体"/>
          <w:color w:val="auto"/>
          <w:sz w:val="21"/>
          <w:szCs w:val="21"/>
        </w:rPr>
        <w:t>月</w:t>
      </w:r>
      <w:r>
        <w:rPr>
          <w:rFonts w:hAnsi="宋体"/>
          <w:color w:val="auto"/>
          <w:sz w:val="21"/>
          <w:szCs w:val="21"/>
          <w:u w:val="single"/>
        </w:rPr>
        <w:t xml:space="preserve">      </w:t>
      </w:r>
      <w:r>
        <w:rPr>
          <w:rFonts w:hAnsi="宋体"/>
          <w:color w:val="auto"/>
          <w:sz w:val="21"/>
          <w:szCs w:val="21"/>
        </w:rPr>
        <w:t>日</w:t>
      </w:r>
    </w:p>
    <w:p>
      <w:pPr>
        <w:shd w:val="clear"/>
        <w:spacing w:line="200" w:lineRule="exact"/>
        <w:ind w:firstLine="420"/>
        <w:jc w:val="right"/>
        <w:rPr>
          <w:rFonts w:hAnsi="宋体"/>
          <w:color w:val="auto"/>
          <w:sz w:val="21"/>
          <w:szCs w:val="21"/>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ind w:firstLine="420"/>
        <w:rPr>
          <w:rFonts w:hAnsi="宋体"/>
          <w:color w:val="auto"/>
          <w:sz w:val="21"/>
          <w:szCs w:val="21"/>
        </w:rPr>
      </w:pPr>
      <w:r>
        <w:rPr>
          <w:rFonts w:hint="eastAsia" w:hAnsi="宋体"/>
          <w:color w:val="auto"/>
          <w:sz w:val="21"/>
          <w:szCs w:val="21"/>
        </w:rPr>
        <w:t>备注：也可使用从工商管理部门购买的格式填写。</w:t>
      </w:r>
    </w:p>
    <w:p>
      <w:pPr>
        <w:shd w:val="clear"/>
        <w:spacing w:line="1" w:lineRule="exact"/>
        <w:ind w:firstLine="0" w:firstLineChars="0"/>
        <w:rPr>
          <w:rFonts w:hAnsi="宋体"/>
          <w:color w:val="auto"/>
        </w:rPr>
      </w:pPr>
      <w:r>
        <w:rPr>
          <w:rFonts w:hAnsi="宋体"/>
          <w:color w:val="auto"/>
          <w:sz w:val="18"/>
        </w:rPr>
        <w:br w:type="page"/>
      </w:r>
    </w:p>
    <w:p>
      <w:pPr>
        <w:shd w:val="clear"/>
        <w:spacing w:line="366" w:lineRule="exact"/>
        <w:ind w:firstLine="643"/>
        <w:jc w:val="center"/>
        <w:outlineLvl w:val="1"/>
        <w:rPr>
          <w:rFonts w:hAnsi="宋体"/>
          <w:b/>
          <w:color w:val="auto"/>
          <w:sz w:val="32"/>
        </w:rPr>
      </w:pPr>
      <w:bookmarkStart w:id="181" w:name="_Toc35513541"/>
      <w:r>
        <w:rPr>
          <w:rFonts w:hAnsi="宋体"/>
          <w:b/>
          <w:color w:val="auto"/>
          <w:sz w:val="32"/>
        </w:rPr>
        <w:t>二、授权</w:t>
      </w:r>
      <w:r>
        <w:rPr>
          <w:rFonts w:hAnsi="宋体"/>
          <w:b/>
          <w:color w:val="auto"/>
          <w:sz w:val="32"/>
          <w:szCs w:val="22"/>
        </w:rPr>
        <w:t>委托书</w:t>
      </w:r>
      <w:bookmarkEnd w:id="181"/>
    </w:p>
    <w:p>
      <w:pPr>
        <w:shd w:val="clear"/>
        <w:spacing w:line="200" w:lineRule="exact"/>
        <w:ind w:firstLine="480"/>
        <w:rPr>
          <w:rFonts w:hAnsi="宋体"/>
          <w:color w:val="auto"/>
        </w:rPr>
      </w:pPr>
    </w:p>
    <w:p>
      <w:pPr>
        <w:shd w:val="clear"/>
        <w:spacing w:line="385" w:lineRule="exact"/>
        <w:ind w:firstLine="480"/>
        <w:rPr>
          <w:rFonts w:ascii="仿宋" w:hAnsi="仿宋" w:eastAsia="仿宋"/>
          <w:color w:val="auto"/>
        </w:rPr>
      </w:pPr>
    </w:p>
    <w:p>
      <w:pPr>
        <w:shd w:val="clear"/>
        <w:topLinePunct/>
        <w:spacing w:line="440" w:lineRule="exact"/>
        <w:ind w:firstLine="420"/>
        <w:rPr>
          <w:rFonts w:hAnsi="宋体"/>
          <w:color w:val="auto"/>
          <w:sz w:val="21"/>
          <w:szCs w:val="21"/>
        </w:rPr>
      </w:pPr>
      <w:r>
        <w:rPr>
          <w:rFonts w:hAnsi="宋体"/>
          <w:color w:val="auto"/>
          <w:sz w:val="21"/>
          <w:szCs w:val="21"/>
        </w:rPr>
        <w:t>本人</w:t>
      </w:r>
      <w:r>
        <w:rPr>
          <w:rFonts w:hAnsi="宋体"/>
          <w:color w:val="auto"/>
          <w:sz w:val="21"/>
          <w:szCs w:val="21"/>
          <w:u w:val="single"/>
        </w:rPr>
        <w:t xml:space="preserve">       </w:t>
      </w:r>
      <w:r>
        <w:rPr>
          <w:rFonts w:hAnsi="宋体"/>
          <w:color w:val="auto"/>
          <w:sz w:val="21"/>
          <w:szCs w:val="21"/>
        </w:rPr>
        <w:t>（姓名）系</w:t>
      </w:r>
      <w:r>
        <w:rPr>
          <w:rFonts w:hAnsi="宋体"/>
          <w:color w:val="auto"/>
          <w:sz w:val="21"/>
          <w:szCs w:val="21"/>
          <w:u w:val="single"/>
        </w:rPr>
        <w:t xml:space="preserve">          </w:t>
      </w:r>
      <w:r>
        <w:rPr>
          <w:rFonts w:hAnsi="宋体"/>
          <w:color w:val="auto"/>
          <w:sz w:val="21"/>
          <w:szCs w:val="21"/>
        </w:rPr>
        <w:t>（投标人名称）的法定代表人，现委托</w:t>
      </w:r>
      <w:r>
        <w:rPr>
          <w:rFonts w:hAnsi="宋体"/>
          <w:color w:val="auto"/>
          <w:sz w:val="21"/>
          <w:szCs w:val="21"/>
          <w:u w:val="single"/>
        </w:rPr>
        <w:t xml:space="preserve"> </w:t>
      </w:r>
      <w:r>
        <w:rPr>
          <w:rFonts w:hint="eastAsia" w:hAnsi="宋体"/>
          <w:color w:val="auto"/>
          <w:sz w:val="21"/>
          <w:szCs w:val="21"/>
          <w:u w:val="single"/>
        </w:rPr>
        <w:t xml:space="preserve">   </w:t>
      </w:r>
      <w:r>
        <w:rPr>
          <w:rFonts w:hAnsi="宋体"/>
          <w:color w:val="auto"/>
          <w:sz w:val="21"/>
          <w:szCs w:val="21"/>
          <w:u w:val="single"/>
        </w:rPr>
        <w:t xml:space="preserve">      </w:t>
      </w:r>
      <w:r>
        <w:rPr>
          <w:rFonts w:hAnsi="宋体"/>
          <w:color w:val="auto"/>
          <w:sz w:val="21"/>
          <w:szCs w:val="21"/>
        </w:rPr>
        <w:t>（姓名）为我方代理人。代理人根据授权，以我方名义签署、澄清确认、递交、撤回、修改</w:t>
      </w:r>
      <w:r>
        <w:rPr>
          <w:rFonts w:hint="eastAsia" w:hAnsi="宋体"/>
          <w:color w:val="auto"/>
          <w:sz w:val="21"/>
          <w:szCs w:val="21"/>
          <w:u w:val="single"/>
        </w:rPr>
        <w:t xml:space="preserve">       </w:t>
      </w:r>
      <w:r>
        <w:rPr>
          <w:rFonts w:hint="eastAsia" w:hAnsi="宋体"/>
          <w:color w:val="auto"/>
          <w:sz w:val="21"/>
          <w:szCs w:val="21"/>
        </w:rPr>
        <w:t>项目管理服务</w:t>
      </w:r>
      <w:r>
        <w:rPr>
          <w:rFonts w:hAnsi="宋体"/>
          <w:color w:val="auto"/>
          <w:sz w:val="21"/>
          <w:szCs w:val="21"/>
        </w:rPr>
        <w:t>投标文件、签订合同和处理有关事宜，其法律后果由我方承担。</w:t>
      </w:r>
    </w:p>
    <w:p>
      <w:pPr>
        <w:shd w:val="clear"/>
        <w:spacing w:line="440" w:lineRule="exact"/>
        <w:ind w:firstLine="420"/>
        <w:rPr>
          <w:rFonts w:hAnsi="宋体"/>
          <w:color w:val="auto"/>
          <w:sz w:val="21"/>
          <w:szCs w:val="21"/>
        </w:rPr>
      </w:pPr>
      <w:r>
        <w:rPr>
          <w:rFonts w:hAnsi="宋体"/>
          <w:color w:val="auto"/>
          <w:sz w:val="21"/>
          <w:szCs w:val="21"/>
        </w:rPr>
        <w:t>委托期限：</w:t>
      </w:r>
      <w:r>
        <w:rPr>
          <w:rFonts w:hAnsi="宋体"/>
          <w:color w:val="auto"/>
          <w:sz w:val="21"/>
          <w:szCs w:val="21"/>
          <w:u w:val="single"/>
        </w:rPr>
        <w:t xml:space="preserve">                       </w:t>
      </w:r>
      <w:r>
        <w:rPr>
          <w:rFonts w:hAnsi="宋体"/>
          <w:color w:val="auto"/>
          <w:sz w:val="21"/>
          <w:szCs w:val="21"/>
        </w:rPr>
        <w:t>。</w:t>
      </w:r>
    </w:p>
    <w:p>
      <w:pPr>
        <w:shd w:val="clear"/>
        <w:spacing w:line="440" w:lineRule="exact"/>
        <w:ind w:firstLine="420"/>
        <w:rPr>
          <w:rFonts w:hAnsi="宋体"/>
          <w:color w:val="auto"/>
          <w:sz w:val="21"/>
          <w:szCs w:val="21"/>
        </w:rPr>
      </w:pPr>
      <w:r>
        <w:rPr>
          <w:rFonts w:hAnsi="宋体"/>
          <w:color w:val="auto"/>
          <w:sz w:val="21"/>
          <w:szCs w:val="21"/>
        </w:rPr>
        <w:t>代理人无转委托权。</w:t>
      </w: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41" w:lineRule="exact"/>
        <w:ind w:firstLine="480"/>
        <w:rPr>
          <w:rFonts w:hAnsi="宋体"/>
          <w:color w:val="auto"/>
        </w:rPr>
      </w:pPr>
    </w:p>
    <w:p>
      <w:pPr>
        <w:shd w:val="clear"/>
        <w:spacing w:line="240" w:lineRule="exact"/>
        <w:ind w:left="360" w:firstLine="420"/>
        <w:rPr>
          <w:rFonts w:hAnsi="宋体"/>
          <w:color w:val="auto"/>
          <w:sz w:val="21"/>
        </w:rPr>
      </w:pPr>
      <w:r>
        <w:rPr>
          <w:rFonts w:hAnsi="宋体"/>
          <w:color w:val="auto"/>
          <w:sz w:val="21"/>
        </w:rPr>
        <w:t>附：法定代表人身份证及委托代理人身份证</w:t>
      </w:r>
      <w:r>
        <w:rPr>
          <w:rFonts w:hint="eastAsia" w:hAnsi="宋体"/>
          <w:color w:val="auto"/>
          <w:sz w:val="21"/>
        </w:rPr>
        <w:t>扫描件</w:t>
      </w: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39" w:lineRule="exact"/>
        <w:ind w:firstLine="480"/>
        <w:rPr>
          <w:rFonts w:hAnsi="宋体"/>
          <w:color w:val="auto"/>
        </w:rPr>
      </w:pPr>
    </w:p>
    <w:p>
      <w:pPr>
        <w:shd w:val="clear"/>
        <w:spacing w:line="360" w:lineRule="exact"/>
        <w:ind w:left="360" w:firstLine="420"/>
        <w:rPr>
          <w:rFonts w:hAnsi="宋体"/>
          <w:color w:val="auto"/>
          <w:sz w:val="21"/>
        </w:rPr>
      </w:pPr>
      <w:r>
        <w:rPr>
          <w:rFonts w:hAnsi="宋体"/>
          <w:color w:val="auto"/>
          <w:sz w:val="21"/>
        </w:rPr>
        <w:t>注：本授权委托书需由投标人加盖单位公章并由其法定代表人和委托代理人签字。</w:t>
      </w:r>
    </w:p>
    <w:p>
      <w:pPr>
        <w:shd w:val="clear"/>
        <w:spacing w:line="360" w:lineRule="exact"/>
        <w:ind w:firstLine="480"/>
        <w:rPr>
          <w:rFonts w:hAnsi="宋体"/>
          <w:color w:val="auto"/>
        </w:rPr>
      </w:pPr>
    </w:p>
    <w:p>
      <w:pPr>
        <w:shd w:val="clear"/>
        <w:spacing w:line="360" w:lineRule="exact"/>
        <w:ind w:firstLine="480"/>
        <w:rPr>
          <w:rFonts w:hAnsi="宋体"/>
          <w:color w:val="auto"/>
        </w:rPr>
      </w:pPr>
    </w:p>
    <w:p>
      <w:pPr>
        <w:shd w:val="clear"/>
        <w:spacing w:line="360" w:lineRule="exact"/>
        <w:ind w:firstLine="4399" w:firstLineChars="2095"/>
        <w:rPr>
          <w:rFonts w:hAnsi="宋体"/>
          <w:color w:val="auto"/>
          <w:sz w:val="21"/>
          <w:szCs w:val="21"/>
        </w:rPr>
      </w:pPr>
      <w:r>
        <w:rPr>
          <w:rFonts w:hAnsi="宋体"/>
          <w:color w:val="auto"/>
          <w:sz w:val="21"/>
          <w:szCs w:val="21"/>
        </w:rPr>
        <w:t>投  标  人：</w:t>
      </w:r>
      <w:r>
        <w:rPr>
          <w:rFonts w:hAnsi="宋体"/>
          <w:color w:val="auto"/>
          <w:sz w:val="21"/>
          <w:szCs w:val="21"/>
          <w:u w:val="single"/>
        </w:rPr>
        <w:t xml:space="preserve">                 </w:t>
      </w:r>
      <w:r>
        <w:rPr>
          <w:rFonts w:hAnsi="宋体"/>
          <w:color w:val="auto"/>
          <w:sz w:val="21"/>
          <w:szCs w:val="21"/>
          <w:u w:val="single"/>
        </w:rPr>
        <w:tab/>
      </w:r>
      <w:r>
        <w:rPr>
          <w:rFonts w:hAnsi="宋体"/>
          <w:color w:val="auto"/>
          <w:sz w:val="21"/>
          <w:szCs w:val="21"/>
        </w:rPr>
        <w:t>（</w:t>
      </w:r>
      <w:r>
        <w:rPr>
          <w:rFonts w:hint="eastAsia" w:hAnsi="宋体"/>
          <w:color w:val="auto"/>
          <w:sz w:val="21"/>
          <w:szCs w:val="21"/>
        </w:rPr>
        <w:t>盖</w:t>
      </w:r>
      <w:r>
        <w:rPr>
          <w:rFonts w:hAnsi="宋体"/>
          <w:color w:val="auto"/>
          <w:sz w:val="21"/>
          <w:szCs w:val="21"/>
        </w:rPr>
        <w:t>单位</w:t>
      </w:r>
      <w:r>
        <w:rPr>
          <w:rFonts w:hint="eastAsia" w:hAnsi="宋体"/>
          <w:color w:val="auto"/>
          <w:sz w:val="21"/>
          <w:szCs w:val="21"/>
        </w:rPr>
        <w:t>章</w:t>
      </w:r>
      <w:r>
        <w:rPr>
          <w:rFonts w:hAnsi="宋体"/>
          <w:color w:val="auto"/>
          <w:sz w:val="21"/>
          <w:szCs w:val="21"/>
        </w:rPr>
        <w:t>）</w:t>
      </w:r>
    </w:p>
    <w:p>
      <w:pPr>
        <w:shd w:val="clear"/>
        <w:spacing w:line="360" w:lineRule="exact"/>
        <w:ind w:firstLine="4399" w:firstLineChars="2095"/>
        <w:rPr>
          <w:rFonts w:hAnsi="宋体"/>
          <w:color w:val="auto"/>
          <w:sz w:val="21"/>
          <w:szCs w:val="21"/>
        </w:rPr>
      </w:pPr>
    </w:p>
    <w:p>
      <w:pPr>
        <w:shd w:val="clear"/>
        <w:spacing w:line="360" w:lineRule="exact"/>
        <w:ind w:firstLine="4399" w:firstLineChars="2095"/>
        <w:rPr>
          <w:rFonts w:hAnsi="宋体"/>
          <w:color w:val="auto"/>
          <w:sz w:val="21"/>
          <w:szCs w:val="21"/>
        </w:rPr>
      </w:pPr>
      <w:r>
        <w:rPr>
          <w:rFonts w:hAnsi="宋体"/>
          <w:color w:val="auto"/>
          <w:sz w:val="21"/>
          <w:szCs w:val="21"/>
        </w:rPr>
        <w:t>法定代表人：</w:t>
      </w:r>
      <w:r>
        <w:rPr>
          <w:rFonts w:hAnsi="宋体"/>
          <w:color w:val="auto"/>
          <w:sz w:val="21"/>
          <w:szCs w:val="21"/>
          <w:u w:val="single"/>
        </w:rPr>
        <w:t xml:space="preserve">                     </w:t>
      </w:r>
      <w:r>
        <w:rPr>
          <w:rFonts w:hAnsi="宋体"/>
          <w:color w:val="auto"/>
          <w:sz w:val="21"/>
          <w:szCs w:val="21"/>
          <w:u w:val="single"/>
        </w:rPr>
        <w:tab/>
      </w:r>
      <w:r>
        <w:rPr>
          <w:rFonts w:hAnsi="宋体"/>
          <w:color w:val="auto"/>
          <w:sz w:val="21"/>
          <w:szCs w:val="21"/>
        </w:rPr>
        <w:t>（签字）</w:t>
      </w:r>
    </w:p>
    <w:p>
      <w:pPr>
        <w:shd w:val="clear"/>
        <w:spacing w:line="360" w:lineRule="exact"/>
        <w:ind w:firstLine="4399" w:firstLineChars="2095"/>
        <w:rPr>
          <w:rFonts w:hAnsi="宋体"/>
          <w:color w:val="auto"/>
          <w:sz w:val="21"/>
          <w:szCs w:val="21"/>
        </w:rPr>
      </w:pPr>
    </w:p>
    <w:p>
      <w:pPr>
        <w:shd w:val="clear"/>
        <w:spacing w:line="360" w:lineRule="exact"/>
        <w:ind w:firstLine="4399" w:firstLineChars="2095"/>
        <w:rPr>
          <w:rFonts w:hAnsi="宋体"/>
          <w:color w:val="auto"/>
          <w:sz w:val="21"/>
          <w:szCs w:val="21"/>
        </w:rPr>
      </w:pPr>
      <w:r>
        <w:rPr>
          <w:rFonts w:hAnsi="宋体"/>
          <w:color w:val="auto"/>
          <w:sz w:val="21"/>
          <w:szCs w:val="21"/>
        </w:rPr>
        <w:t>身份证号码：</w:t>
      </w:r>
      <w:r>
        <w:rPr>
          <w:rFonts w:hAnsi="宋体"/>
          <w:color w:val="auto"/>
          <w:sz w:val="21"/>
          <w:szCs w:val="21"/>
          <w:u w:val="single"/>
        </w:rPr>
        <w:t xml:space="preserve">                           </w:t>
      </w:r>
      <w:r>
        <w:rPr>
          <w:rFonts w:hAnsi="宋体"/>
          <w:color w:val="auto"/>
          <w:sz w:val="21"/>
          <w:szCs w:val="21"/>
          <w:u w:val="single"/>
        </w:rPr>
        <w:tab/>
      </w:r>
    </w:p>
    <w:p>
      <w:pPr>
        <w:shd w:val="clear"/>
        <w:spacing w:line="360" w:lineRule="exact"/>
        <w:ind w:firstLine="4399" w:firstLineChars="2095"/>
        <w:rPr>
          <w:rFonts w:hAnsi="宋体"/>
          <w:color w:val="auto"/>
          <w:sz w:val="21"/>
          <w:szCs w:val="21"/>
        </w:rPr>
      </w:pPr>
    </w:p>
    <w:p>
      <w:pPr>
        <w:shd w:val="clear"/>
        <w:spacing w:line="360" w:lineRule="exact"/>
        <w:ind w:firstLine="4399" w:firstLineChars="2095"/>
        <w:rPr>
          <w:rFonts w:hAnsi="宋体"/>
          <w:color w:val="auto"/>
          <w:sz w:val="21"/>
          <w:szCs w:val="21"/>
        </w:rPr>
      </w:pPr>
      <w:r>
        <w:rPr>
          <w:rFonts w:hAnsi="宋体"/>
          <w:color w:val="auto"/>
          <w:sz w:val="21"/>
          <w:szCs w:val="21"/>
        </w:rPr>
        <w:t>委托代理人：</w:t>
      </w:r>
      <w:r>
        <w:rPr>
          <w:rFonts w:hAnsi="宋体"/>
          <w:color w:val="auto"/>
          <w:sz w:val="21"/>
          <w:szCs w:val="21"/>
          <w:u w:val="single"/>
        </w:rPr>
        <w:t xml:space="preserve">                     </w:t>
      </w:r>
      <w:r>
        <w:rPr>
          <w:rFonts w:hAnsi="宋体"/>
          <w:color w:val="auto"/>
          <w:sz w:val="21"/>
          <w:szCs w:val="21"/>
          <w:u w:val="single"/>
        </w:rPr>
        <w:tab/>
      </w:r>
      <w:r>
        <w:rPr>
          <w:rFonts w:hAnsi="宋体"/>
          <w:color w:val="auto"/>
          <w:sz w:val="21"/>
          <w:szCs w:val="21"/>
        </w:rPr>
        <w:t>（签字）</w:t>
      </w:r>
    </w:p>
    <w:p>
      <w:pPr>
        <w:shd w:val="clear"/>
        <w:spacing w:line="360" w:lineRule="exact"/>
        <w:ind w:firstLine="4399" w:firstLineChars="2095"/>
        <w:rPr>
          <w:rFonts w:hAnsi="宋体"/>
          <w:color w:val="auto"/>
          <w:sz w:val="21"/>
          <w:szCs w:val="21"/>
        </w:rPr>
      </w:pPr>
    </w:p>
    <w:p>
      <w:pPr>
        <w:shd w:val="clear"/>
        <w:spacing w:line="360" w:lineRule="exact"/>
        <w:ind w:firstLine="4399" w:firstLineChars="2095"/>
        <w:rPr>
          <w:rFonts w:hAnsi="宋体"/>
          <w:color w:val="auto"/>
          <w:sz w:val="21"/>
          <w:szCs w:val="21"/>
        </w:rPr>
      </w:pPr>
      <w:r>
        <w:rPr>
          <w:rFonts w:hAnsi="宋体"/>
          <w:color w:val="auto"/>
          <w:sz w:val="21"/>
          <w:szCs w:val="21"/>
        </w:rPr>
        <w:t>身份证号码：</w:t>
      </w:r>
      <w:r>
        <w:rPr>
          <w:rFonts w:hAnsi="宋体"/>
          <w:color w:val="auto"/>
          <w:sz w:val="21"/>
          <w:szCs w:val="21"/>
          <w:u w:val="single"/>
        </w:rPr>
        <w:t xml:space="preserve">                           </w:t>
      </w:r>
      <w:r>
        <w:rPr>
          <w:rFonts w:hAnsi="宋体"/>
          <w:color w:val="auto"/>
          <w:sz w:val="21"/>
          <w:szCs w:val="21"/>
          <w:u w:val="single"/>
        </w:rPr>
        <w:tab/>
      </w:r>
    </w:p>
    <w:p>
      <w:pPr>
        <w:shd w:val="clear"/>
        <w:spacing w:line="360" w:lineRule="exact"/>
        <w:ind w:firstLine="2692" w:firstLineChars="1282"/>
        <w:rPr>
          <w:rFonts w:hAnsi="宋体"/>
          <w:color w:val="auto"/>
          <w:sz w:val="21"/>
          <w:szCs w:val="21"/>
        </w:rPr>
      </w:pPr>
    </w:p>
    <w:p>
      <w:pPr>
        <w:shd w:val="clear"/>
        <w:spacing w:line="360" w:lineRule="exact"/>
        <w:ind w:firstLine="420"/>
        <w:jc w:val="right"/>
        <w:rPr>
          <w:rFonts w:hAnsi="宋体"/>
          <w:color w:val="auto"/>
        </w:rPr>
      </w:pPr>
      <w:r>
        <w:rPr>
          <w:rFonts w:hint="eastAsia" w:hAnsi="宋体"/>
          <w:color w:val="auto"/>
          <w:sz w:val="21"/>
          <w:szCs w:val="21"/>
          <w:u w:val="single"/>
        </w:rPr>
        <w:t xml:space="preserve">        </w:t>
      </w:r>
      <w:r>
        <w:rPr>
          <w:rFonts w:hAnsi="宋体"/>
          <w:color w:val="auto"/>
          <w:sz w:val="21"/>
          <w:szCs w:val="21"/>
        </w:rPr>
        <w:t>年</w:t>
      </w:r>
      <w:r>
        <w:rPr>
          <w:rFonts w:hAnsi="宋体"/>
          <w:color w:val="auto"/>
          <w:sz w:val="21"/>
          <w:szCs w:val="21"/>
          <w:u w:val="single"/>
        </w:rPr>
        <w:t xml:space="preserve">       </w:t>
      </w:r>
      <w:r>
        <w:rPr>
          <w:rFonts w:hAnsi="宋体"/>
          <w:color w:val="auto"/>
          <w:sz w:val="21"/>
          <w:szCs w:val="21"/>
        </w:rPr>
        <w:t>月</w:t>
      </w:r>
      <w:r>
        <w:rPr>
          <w:rFonts w:hAnsi="宋体"/>
          <w:color w:val="auto"/>
          <w:sz w:val="21"/>
          <w:szCs w:val="21"/>
          <w:u w:val="single"/>
        </w:rPr>
        <w:t xml:space="preserve">       </w:t>
      </w:r>
      <w:r>
        <w:rPr>
          <w:rFonts w:hAnsi="宋体"/>
          <w:color w:val="auto"/>
          <w:sz w:val="21"/>
          <w:szCs w:val="21"/>
        </w:rPr>
        <w:t>日</w:t>
      </w:r>
    </w:p>
    <w:p>
      <w:pPr>
        <w:shd w:val="clear"/>
        <w:spacing w:line="200" w:lineRule="exact"/>
        <w:ind w:firstLine="480"/>
        <w:jc w:val="right"/>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ind w:firstLine="420"/>
        <w:rPr>
          <w:rFonts w:hAnsi="宋体"/>
          <w:color w:val="auto"/>
          <w:sz w:val="21"/>
          <w:szCs w:val="21"/>
        </w:rPr>
      </w:pPr>
      <w:r>
        <w:rPr>
          <w:rFonts w:hint="eastAsia" w:hAnsi="宋体"/>
          <w:color w:val="auto"/>
          <w:sz w:val="21"/>
          <w:szCs w:val="21"/>
        </w:rPr>
        <w:t>备注：也可使用从工商管理部门购买的格式填写。</w:t>
      </w:r>
    </w:p>
    <w:p>
      <w:pPr>
        <w:shd w:val="clear"/>
        <w:spacing w:line="366" w:lineRule="exact"/>
        <w:ind w:firstLine="420"/>
        <w:jc w:val="center"/>
        <w:outlineLvl w:val="1"/>
        <w:rPr>
          <w:rFonts w:hAnsi="宋体"/>
          <w:b/>
          <w:strike/>
          <w:color w:val="auto"/>
          <w:sz w:val="32"/>
        </w:rPr>
      </w:pPr>
      <w:r>
        <w:rPr>
          <w:rFonts w:hAnsi="宋体"/>
          <w:color w:val="auto"/>
          <w:sz w:val="21"/>
          <w:szCs w:val="21"/>
        </w:rPr>
        <w:br w:type="page"/>
      </w:r>
      <w:bookmarkStart w:id="182" w:name="_Toc35513542"/>
      <w:r>
        <w:rPr>
          <w:rFonts w:hint="eastAsia" w:hAnsi="宋体"/>
          <w:b/>
          <w:strike/>
          <w:color w:val="auto"/>
          <w:sz w:val="32"/>
        </w:rPr>
        <w:t>三、</w:t>
      </w:r>
      <w:bookmarkEnd w:id="182"/>
      <w:bookmarkStart w:id="183" w:name="_Toc35513543"/>
      <w:r>
        <w:rPr>
          <w:rFonts w:hint="eastAsia" w:hAnsi="宋体"/>
          <w:b/>
          <w:strike/>
          <w:color w:val="auto"/>
          <w:sz w:val="32"/>
        </w:rPr>
        <w:t>投标保证金</w:t>
      </w:r>
    </w:p>
    <w:p>
      <w:pPr>
        <w:shd w:val="clear"/>
        <w:ind w:firstLine="480"/>
        <w:rPr>
          <w:rFonts w:hAnsi="宋体"/>
          <w:strike/>
          <w:color w:val="auto"/>
        </w:rPr>
      </w:pPr>
      <w:r>
        <w:rPr>
          <w:rFonts w:hint="eastAsia" w:hAnsi="宋体"/>
          <w:strike/>
          <w:color w:val="auto"/>
        </w:rPr>
        <w:t>注：如采用现金或者支票方式提交由广州交易集团有限公司（广州公共资源交易中心）代收的，或采用广州交易集团有限公司（广州公共资源交易中心）电子投标保函方式提交的，以投标文件递交截止时间后在广州交易集团有限公司（广州公共资源交易中心）数据库查询的投标保证金递交情况为准，投标人不需另外提供凭证；</w:t>
      </w:r>
    </w:p>
    <w:p>
      <w:pPr>
        <w:shd w:val="clear"/>
        <w:ind w:firstLine="480"/>
        <w:rPr>
          <w:rFonts w:hAnsi="宋体"/>
          <w:strike/>
          <w:color w:val="auto"/>
        </w:rPr>
      </w:pPr>
      <w:r>
        <w:rPr>
          <w:rFonts w:hint="eastAsia" w:hAnsi="宋体"/>
          <w:strike/>
          <w:color w:val="auto"/>
        </w:rPr>
        <w:t>如采用信用证、保函或保险等非电子形式提交的，在开标前不强制要求提交纸质原件，由中标候选人在中标候选人公示前提交并在网上公示，但投标人应在投标文件中提交信用证、保函或保险等的扫描件并加盖投标单位电子印章。</w:t>
      </w:r>
    </w:p>
    <w:p>
      <w:pPr>
        <w:pStyle w:val="2"/>
        <w:shd w:val="clear"/>
        <w:ind w:firstLine="400"/>
        <w:rPr>
          <w:color w:val="auto"/>
        </w:rPr>
      </w:pPr>
    </w:p>
    <w:p>
      <w:pPr>
        <w:pStyle w:val="2"/>
        <w:shd w:val="clear"/>
        <w:ind w:firstLine="400"/>
        <w:rPr>
          <w:color w:val="auto"/>
        </w:rPr>
      </w:pPr>
    </w:p>
    <w:p>
      <w:pPr>
        <w:pStyle w:val="2"/>
        <w:shd w:val="clear"/>
        <w:ind w:firstLine="400"/>
        <w:rPr>
          <w:color w:val="auto"/>
        </w:rPr>
      </w:pPr>
    </w:p>
    <w:p>
      <w:pPr>
        <w:pStyle w:val="2"/>
        <w:shd w:val="clear"/>
        <w:ind w:firstLine="400"/>
        <w:rPr>
          <w:color w:val="auto"/>
        </w:rPr>
      </w:pPr>
    </w:p>
    <w:bookmarkEnd w:id="183"/>
    <w:p>
      <w:pPr>
        <w:shd w:val="clear"/>
        <w:spacing w:line="240" w:lineRule="auto"/>
        <w:ind w:firstLine="0" w:firstLineChars="0"/>
        <w:jc w:val="left"/>
        <w:rPr>
          <w:rFonts w:hAnsi="宋体"/>
          <w:b/>
          <w:color w:val="auto"/>
          <w:sz w:val="32"/>
        </w:rPr>
      </w:pPr>
      <w:bookmarkStart w:id="184" w:name="_Toc35513544"/>
      <w:r>
        <w:rPr>
          <w:rFonts w:hAnsi="宋体"/>
          <w:b/>
          <w:color w:val="auto"/>
          <w:sz w:val="32"/>
        </w:rPr>
        <w:br w:type="page"/>
      </w:r>
    </w:p>
    <w:p>
      <w:pPr>
        <w:shd w:val="clear"/>
        <w:spacing w:line="366" w:lineRule="exact"/>
        <w:ind w:firstLine="643"/>
        <w:jc w:val="center"/>
        <w:outlineLvl w:val="1"/>
        <w:rPr>
          <w:rFonts w:hAnsi="宋体"/>
          <w:color w:val="auto"/>
        </w:rPr>
      </w:pPr>
      <w:r>
        <w:rPr>
          <w:rFonts w:hint="eastAsia" w:hAnsi="宋体"/>
          <w:b/>
          <w:color w:val="auto"/>
          <w:sz w:val="32"/>
        </w:rPr>
        <w:t>四、</w:t>
      </w:r>
      <w:r>
        <w:rPr>
          <w:rFonts w:hAnsi="宋体"/>
          <w:b/>
          <w:color w:val="auto"/>
          <w:sz w:val="32"/>
        </w:rPr>
        <w:t>资格</w:t>
      </w:r>
      <w:r>
        <w:rPr>
          <w:rFonts w:hAnsi="宋体"/>
          <w:b/>
          <w:bCs/>
          <w:color w:val="auto"/>
          <w:sz w:val="32"/>
          <w:szCs w:val="22"/>
        </w:rPr>
        <w:t>审查</w:t>
      </w:r>
      <w:r>
        <w:rPr>
          <w:rFonts w:hAnsi="宋体"/>
          <w:b/>
          <w:color w:val="auto"/>
          <w:sz w:val="32"/>
        </w:rPr>
        <w:t>资料</w:t>
      </w:r>
      <w:bookmarkEnd w:id="184"/>
    </w:p>
    <w:p>
      <w:pPr>
        <w:pStyle w:val="8"/>
        <w:shd w:val="clear"/>
        <w:ind w:firstLine="482"/>
        <w:rPr>
          <w:color w:val="auto"/>
        </w:rPr>
      </w:pPr>
      <w:bookmarkStart w:id="185" w:name="_Toc35513545"/>
      <w:r>
        <w:rPr>
          <w:rFonts w:hint="eastAsia"/>
          <w:color w:val="auto"/>
        </w:rPr>
        <w:t>（一）基本情况表</w:t>
      </w:r>
      <w:bookmarkEnd w:id="185"/>
    </w:p>
    <w:p>
      <w:pPr>
        <w:shd w:val="clear"/>
        <w:spacing w:line="20" w:lineRule="exact"/>
        <w:ind w:firstLine="480"/>
        <w:rPr>
          <w:rFonts w:hAnsi="宋体"/>
          <w:color w:val="auto"/>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1101"/>
        <w:gridCol w:w="881"/>
        <w:gridCol w:w="1387"/>
        <w:gridCol w:w="567"/>
        <w:gridCol w:w="851"/>
        <w:gridCol w:w="992"/>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投标人名称</w:t>
            </w:r>
          </w:p>
        </w:tc>
        <w:tc>
          <w:tcPr>
            <w:tcW w:w="6994" w:type="dxa"/>
            <w:gridSpan w:val="7"/>
            <w:vAlign w:val="center"/>
          </w:tcPr>
          <w:p>
            <w:pPr>
              <w:shd w:val="clear"/>
              <w:topLinePunct/>
              <w:spacing w:line="288" w:lineRule="auto"/>
              <w:ind w:left="120" w:leftChars="50" w:right="120" w:rightChars="50" w:firstLine="0" w:firstLineChars="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注册地址</w:t>
            </w:r>
          </w:p>
        </w:tc>
        <w:tc>
          <w:tcPr>
            <w:tcW w:w="3369" w:type="dxa"/>
            <w:gridSpan w:val="3"/>
            <w:vAlign w:val="center"/>
          </w:tcPr>
          <w:p>
            <w:pPr>
              <w:shd w:val="clear"/>
              <w:topLinePunct/>
              <w:spacing w:line="288" w:lineRule="auto"/>
              <w:ind w:left="120" w:leftChars="50" w:right="120" w:rightChars="50" w:firstLine="0" w:firstLineChars="0"/>
              <w:jc w:val="center"/>
              <w:rPr>
                <w:rFonts w:hAnsi="宋体"/>
                <w:color w:val="auto"/>
                <w:sz w:val="21"/>
                <w:szCs w:val="21"/>
              </w:rPr>
            </w:pPr>
          </w:p>
        </w:tc>
        <w:tc>
          <w:tcPr>
            <w:tcW w:w="1418" w:type="dxa"/>
            <w:gridSpan w:val="2"/>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邮政编码</w:t>
            </w:r>
          </w:p>
        </w:tc>
        <w:tc>
          <w:tcPr>
            <w:tcW w:w="2207" w:type="dxa"/>
            <w:gridSpan w:val="2"/>
            <w:vAlign w:val="center"/>
          </w:tcPr>
          <w:p>
            <w:pPr>
              <w:shd w:val="clear"/>
              <w:topLinePunct/>
              <w:spacing w:line="288" w:lineRule="auto"/>
              <w:ind w:left="120" w:leftChars="50" w:right="120" w:rightChars="50" w:firstLine="0" w:firstLineChars="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联系方式</w:t>
            </w:r>
          </w:p>
        </w:tc>
        <w:tc>
          <w:tcPr>
            <w:tcW w:w="1101"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联系人</w:t>
            </w:r>
          </w:p>
        </w:tc>
        <w:tc>
          <w:tcPr>
            <w:tcW w:w="2268" w:type="dxa"/>
            <w:gridSpan w:val="2"/>
            <w:vAlign w:val="center"/>
          </w:tcPr>
          <w:p>
            <w:pPr>
              <w:shd w:val="clear"/>
              <w:topLinePunct/>
              <w:spacing w:line="288" w:lineRule="auto"/>
              <w:ind w:left="120" w:leftChars="50" w:right="120" w:rightChars="50" w:firstLine="0" w:firstLineChars="0"/>
              <w:jc w:val="center"/>
              <w:rPr>
                <w:rFonts w:hAnsi="宋体"/>
                <w:color w:val="auto"/>
                <w:sz w:val="21"/>
                <w:szCs w:val="21"/>
              </w:rPr>
            </w:pPr>
          </w:p>
        </w:tc>
        <w:tc>
          <w:tcPr>
            <w:tcW w:w="1418" w:type="dxa"/>
            <w:gridSpan w:val="2"/>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电 话</w:t>
            </w:r>
          </w:p>
        </w:tc>
        <w:tc>
          <w:tcPr>
            <w:tcW w:w="2207" w:type="dxa"/>
            <w:gridSpan w:val="2"/>
            <w:vAlign w:val="center"/>
          </w:tcPr>
          <w:p>
            <w:pPr>
              <w:shd w:val="clear"/>
              <w:topLinePunct/>
              <w:spacing w:line="288" w:lineRule="auto"/>
              <w:ind w:left="120" w:leftChars="50" w:right="120" w:rightChars="50" w:firstLine="0" w:firstLineChars="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vAlign w:val="center"/>
          </w:tcPr>
          <w:p>
            <w:pPr>
              <w:shd w:val="clear"/>
              <w:spacing w:line="288" w:lineRule="auto"/>
              <w:ind w:left="120" w:leftChars="50" w:right="120" w:rightChars="50" w:firstLine="0" w:firstLineChars="0"/>
              <w:jc w:val="center"/>
              <w:rPr>
                <w:rFonts w:hAnsi="宋体"/>
                <w:color w:val="auto"/>
                <w:sz w:val="21"/>
                <w:szCs w:val="21"/>
              </w:rPr>
            </w:pPr>
          </w:p>
        </w:tc>
        <w:tc>
          <w:tcPr>
            <w:tcW w:w="1101"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传  真</w:t>
            </w:r>
          </w:p>
        </w:tc>
        <w:tc>
          <w:tcPr>
            <w:tcW w:w="2268" w:type="dxa"/>
            <w:gridSpan w:val="2"/>
            <w:vAlign w:val="center"/>
          </w:tcPr>
          <w:p>
            <w:pPr>
              <w:shd w:val="clear"/>
              <w:topLinePunct/>
              <w:spacing w:line="288" w:lineRule="auto"/>
              <w:ind w:left="120" w:leftChars="50" w:right="120" w:rightChars="50" w:firstLine="0" w:firstLineChars="0"/>
              <w:jc w:val="center"/>
              <w:rPr>
                <w:rFonts w:hAnsi="宋体"/>
                <w:color w:val="auto"/>
                <w:sz w:val="21"/>
                <w:szCs w:val="21"/>
              </w:rPr>
            </w:pPr>
          </w:p>
        </w:tc>
        <w:tc>
          <w:tcPr>
            <w:tcW w:w="1418" w:type="dxa"/>
            <w:gridSpan w:val="2"/>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网 址</w:t>
            </w:r>
          </w:p>
        </w:tc>
        <w:tc>
          <w:tcPr>
            <w:tcW w:w="2207" w:type="dxa"/>
            <w:gridSpan w:val="2"/>
            <w:vAlign w:val="center"/>
          </w:tcPr>
          <w:p>
            <w:pPr>
              <w:shd w:val="clear"/>
              <w:topLinePunct/>
              <w:spacing w:line="288" w:lineRule="auto"/>
              <w:ind w:left="120" w:leftChars="50" w:right="120" w:rightChars="50" w:firstLine="0" w:firstLineChars="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法定代表人</w:t>
            </w:r>
          </w:p>
        </w:tc>
        <w:tc>
          <w:tcPr>
            <w:tcW w:w="1101"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姓名</w:t>
            </w:r>
          </w:p>
        </w:tc>
        <w:tc>
          <w:tcPr>
            <w:tcW w:w="881" w:type="dxa"/>
            <w:vAlign w:val="center"/>
          </w:tcPr>
          <w:p>
            <w:pPr>
              <w:shd w:val="clear"/>
              <w:topLinePunct/>
              <w:spacing w:line="288" w:lineRule="auto"/>
              <w:ind w:left="120" w:leftChars="50" w:right="120" w:rightChars="50" w:firstLine="0" w:firstLineChars="0"/>
              <w:jc w:val="center"/>
              <w:rPr>
                <w:rFonts w:hAnsi="宋体"/>
                <w:color w:val="auto"/>
                <w:sz w:val="21"/>
                <w:szCs w:val="21"/>
              </w:rPr>
            </w:pPr>
          </w:p>
        </w:tc>
        <w:tc>
          <w:tcPr>
            <w:tcW w:w="1387"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技术职称</w:t>
            </w:r>
          </w:p>
        </w:tc>
        <w:tc>
          <w:tcPr>
            <w:tcW w:w="1418" w:type="dxa"/>
            <w:gridSpan w:val="2"/>
            <w:vAlign w:val="center"/>
          </w:tcPr>
          <w:p>
            <w:pPr>
              <w:shd w:val="clear"/>
              <w:topLinePunct/>
              <w:spacing w:line="288" w:lineRule="auto"/>
              <w:ind w:left="120" w:leftChars="50" w:right="120" w:rightChars="50" w:firstLine="0" w:firstLineChars="0"/>
              <w:jc w:val="center"/>
              <w:rPr>
                <w:rFonts w:hAnsi="宋体"/>
                <w:color w:val="auto"/>
                <w:sz w:val="21"/>
                <w:szCs w:val="21"/>
              </w:rPr>
            </w:pPr>
          </w:p>
        </w:tc>
        <w:tc>
          <w:tcPr>
            <w:tcW w:w="937"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电话</w:t>
            </w:r>
          </w:p>
        </w:tc>
        <w:tc>
          <w:tcPr>
            <w:tcW w:w="1270" w:type="dxa"/>
            <w:vAlign w:val="center"/>
          </w:tcPr>
          <w:p>
            <w:pPr>
              <w:shd w:val="clear"/>
              <w:topLinePunct/>
              <w:spacing w:line="288" w:lineRule="auto"/>
              <w:ind w:left="120" w:leftChars="50" w:right="120" w:rightChars="50" w:firstLine="0" w:firstLineChars="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技术负责人</w:t>
            </w:r>
          </w:p>
        </w:tc>
        <w:tc>
          <w:tcPr>
            <w:tcW w:w="1101"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姓名</w:t>
            </w:r>
          </w:p>
        </w:tc>
        <w:tc>
          <w:tcPr>
            <w:tcW w:w="881" w:type="dxa"/>
            <w:vAlign w:val="center"/>
          </w:tcPr>
          <w:p>
            <w:pPr>
              <w:shd w:val="clear"/>
              <w:topLinePunct/>
              <w:spacing w:line="288" w:lineRule="auto"/>
              <w:ind w:left="120" w:leftChars="50" w:right="120" w:rightChars="50" w:firstLine="0" w:firstLineChars="0"/>
              <w:jc w:val="center"/>
              <w:rPr>
                <w:rFonts w:hAnsi="宋体"/>
                <w:color w:val="auto"/>
                <w:sz w:val="21"/>
                <w:szCs w:val="21"/>
              </w:rPr>
            </w:pPr>
          </w:p>
        </w:tc>
        <w:tc>
          <w:tcPr>
            <w:tcW w:w="1387"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技术职称</w:t>
            </w:r>
          </w:p>
        </w:tc>
        <w:tc>
          <w:tcPr>
            <w:tcW w:w="1418" w:type="dxa"/>
            <w:gridSpan w:val="2"/>
            <w:vAlign w:val="center"/>
          </w:tcPr>
          <w:p>
            <w:pPr>
              <w:shd w:val="clear"/>
              <w:topLinePunct/>
              <w:spacing w:line="288" w:lineRule="auto"/>
              <w:ind w:left="120" w:leftChars="50" w:right="120" w:rightChars="50" w:firstLine="0" w:firstLineChars="0"/>
              <w:jc w:val="center"/>
              <w:rPr>
                <w:rFonts w:hAnsi="宋体"/>
                <w:color w:val="auto"/>
                <w:sz w:val="21"/>
                <w:szCs w:val="21"/>
              </w:rPr>
            </w:pPr>
          </w:p>
        </w:tc>
        <w:tc>
          <w:tcPr>
            <w:tcW w:w="937"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电话</w:t>
            </w:r>
          </w:p>
        </w:tc>
        <w:tc>
          <w:tcPr>
            <w:tcW w:w="1270" w:type="dxa"/>
            <w:vAlign w:val="center"/>
          </w:tcPr>
          <w:p>
            <w:pPr>
              <w:shd w:val="clear"/>
              <w:topLinePunct/>
              <w:spacing w:line="288" w:lineRule="auto"/>
              <w:ind w:left="120" w:leftChars="50" w:right="120" w:rightChars="50" w:firstLine="0" w:firstLineChars="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237"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企业资质证书</w:t>
            </w:r>
          </w:p>
        </w:tc>
        <w:tc>
          <w:tcPr>
            <w:tcW w:w="6994" w:type="dxa"/>
            <w:gridSpan w:val="7"/>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质量管理体系证书（如有）</w:t>
            </w:r>
          </w:p>
        </w:tc>
        <w:tc>
          <w:tcPr>
            <w:tcW w:w="6994" w:type="dxa"/>
            <w:gridSpan w:val="7"/>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营业执照号</w:t>
            </w:r>
          </w:p>
        </w:tc>
        <w:tc>
          <w:tcPr>
            <w:tcW w:w="3369" w:type="dxa"/>
            <w:gridSpan w:val="3"/>
            <w:vAlign w:val="center"/>
          </w:tcPr>
          <w:p>
            <w:pPr>
              <w:shd w:val="clear"/>
              <w:topLinePunct/>
              <w:spacing w:line="288" w:lineRule="auto"/>
              <w:ind w:left="120" w:leftChars="50" w:right="120" w:rightChars="50" w:firstLine="0" w:firstLineChars="0"/>
              <w:jc w:val="center"/>
              <w:rPr>
                <w:rFonts w:hAnsi="宋体"/>
                <w:color w:val="auto"/>
                <w:sz w:val="21"/>
                <w:szCs w:val="21"/>
              </w:rPr>
            </w:pPr>
          </w:p>
        </w:tc>
        <w:tc>
          <w:tcPr>
            <w:tcW w:w="3625" w:type="dxa"/>
            <w:gridSpan w:val="4"/>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注册资本</w:t>
            </w:r>
          </w:p>
        </w:tc>
        <w:tc>
          <w:tcPr>
            <w:tcW w:w="3369" w:type="dxa"/>
            <w:gridSpan w:val="3"/>
            <w:vAlign w:val="center"/>
          </w:tcPr>
          <w:p>
            <w:pPr>
              <w:shd w:val="clear"/>
              <w:topLinePunct/>
              <w:spacing w:line="288" w:lineRule="auto"/>
              <w:ind w:left="120" w:leftChars="50" w:right="120" w:rightChars="50" w:firstLine="0" w:firstLineChars="0"/>
              <w:jc w:val="center"/>
              <w:rPr>
                <w:rFonts w:hAnsi="宋体"/>
                <w:color w:val="auto"/>
                <w:sz w:val="21"/>
                <w:szCs w:val="21"/>
              </w:rPr>
            </w:pPr>
          </w:p>
        </w:tc>
        <w:tc>
          <w:tcPr>
            <w:tcW w:w="567" w:type="dxa"/>
            <w:vMerge w:val="restart"/>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其中</w:t>
            </w:r>
          </w:p>
        </w:tc>
        <w:tc>
          <w:tcPr>
            <w:tcW w:w="1843" w:type="dxa"/>
            <w:gridSpan w:val="2"/>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高级职称人员</w:t>
            </w:r>
          </w:p>
        </w:tc>
        <w:tc>
          <w:tcPr>
            <w:tcW w:w="1215" w:type="dxa"/>
            <w:vAlign w:val="center"/>
          </w:tcPr>
          <w:p>
            <w:pPr>
              <w:shd w:val="clear"/>
              <w:topLinePunct/>
              <w:spacing w:line="288" w:lineRule="auto"/>
              <w:ind w:left="120" w:leftChars="50" w:right="120" w:rightChars="50" w:firstLine="0" w:firstLineChars="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成立日期</w:t>
            </w:r>
          </w:p>
        </w:tc>
        <w:tc>
          <w:tcPr>
            <w:tcW w:w="3369" w:type="dxa"/>
            <w:gridSpan w:val="3"/>
            <w:vAlign w:val="center"/>
          </w:tcPr>
          <w:p>
            <w:pPr>
              <w:shd w:val="clear"/>
              <w:topLinePunct/>
              <w:spacing w:line="288" w:lineRule="auto"/>
              <w:ind w:left="120" w:leftChars="50" w:right="120" w:rightChars="50" w:firstLine="0" w:firstLineChars="0"/>
              <w:jc w:val="center"/>
              <w:rPr>
                <w:rFonts w:hAnsi="宋体"/>
                <w:color w:val="auto"/>
                <w:sz w:val="21"/>
                <w:szCs w:val="21"/>
              </w:rPr>
            </w:pPr>
          </w:p>
        </w:tc>
        <w:tc>
          <w:tcPr>
            <w:tcW w:w="567" w:type="dxa"/>
            <w:vMerge w:val="continue"/>
            <w:vAlign w:val="center"/>
          </w:tcPr>
          <w:p>
            <w:pPr>
              <w:shd w:val="clear"/>
              <w:spacing w:line="288" w:lineRule="auto"/>
              <w:ind w:left="120" w:leftChars="50" w:right="120" w:rightChars="50" w:firstLine="0" w:firstLineChars="0"/>
              <w:jc w:val="center"/>
              <w:rPr>
                <w:rFonts w:hAnsi="宋体"/>
                <w:color w:val="auto"/>
                <w:sz w:val="21"/>
                <w:szCs w:val="21"/>
              </w:rPr>
            </w:pPr>
          </w:p>
        </w:tc>
        <w:tc>
          <w:tcPr>
            <w:tcW w:w="1843" w:type="dxa"/>
            <w:gridSpan w:val="2"/>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中级职称人员</w:t>
            </w:r>
          </w:p>
        </w:tc>
        <w:tc>
          <w:tcPr>
            <w:tcW w:w="1215" w:type="dxa"/>
            <w:vAlign w:val="center"/>
          </w:tcPr>
          <w:p>
            <w:pPr>
              <w:shd w:val="clear"/>
              <w:topLinePunct/>
              <w:spacing w:line="288" w:lineRule="auto"/>
              <w:ind w:left="120" w:leftChars="50" w:right="120" w:rightChars="50" w:firstLine="0" w:firstLineChars="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基本账户开户银行</w:t>
            </w:r>
          </w:p>
        </w:tc>
        <w:tc>
          <w:tcPr>
            <w:tcW w:w="3369" w:type="dxa"/>
            <w:gridSpan w:val="3"/>
            <w:vAlign w:val="center"/>
          </w:tcPr>
          <w:p>
            <w:pPr>
              <w:shd w:val="clear"/>
              <w:topLinePunct/>
              <w:spacing w:line="288" w:lineRule="auto"/>
              <w:ind w:left="120" w:leftChars="50" w:right="120" w:rightChars="50" w:firstLine="0" w:firstLineChars="0"/>
              <w:jc w:val="center"/>
              <w:rPr>
                <w:rFonts w:hAnsi="宋体"/>
                <w:color w:val="auto"/>
                <w:sz w:val="21"/>
                <w:szCs w:val="21"/>
              </w:rPr>
            </w:pPr>
          </w:p>
        </w:tc>
        <w:tc>
          <w:tcPr>
            <w:tcW w:w="567" w:type="dxa"/>
            <w:vMerge w:val="continue"/>
            <w:vAlign w:val="center"/>
          </w:tcPr>
          <w:p>
            <w:pPr>
              <w:shd w:val="clear"/>
              <w:spacing w:line="288" w:lineRule="auto"/>
              <w:ind w:left="120" w:leftChars="50" w:right="120" w:rightChars="50" w:firstLine="0" w:firstLineChars="0"/>
              <w:jc w:val="center"/>
              <w:rPr>
                <w:rFonts w:hAnsi="宋体"/>
                <w:color w:val="auto"/>
                <w:sz w:val="21"/>
                <w:szCs w:val="21"/>
              </w:rPr>
            </w:pPr>
          </w:p>
        </w:tc>
        <w:tc>
          <w:tcPr>
            <w:tcW w:w="1843" w:type="dxa"/>
            <w:gridSpan w:val="2"/>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技术人员数量</w:t>
            </w:r>
          </w:p>
        </w:tc>
        <w:tc>
          <w:tcPr>
            <w:tcW w:w="1215" w:type="dxa"/>
            <w:vAlign w:val="center"/>
          </w:tcPr>
          <w:p>
            <w:pPr>
              <w:shd w:val="clear"/>
              <w:topLinePunct/>
              <w:spacing w:line="288" w:lineRule="auto"/>
              <w:ind w:left="120" w:leftChars="50" w:right="120" w:rightChars="50" w:firstLine="0" w:firstLineChars="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基本账户银行账号</w:t>
            </w:r>
          </w:p>
        </w:tc>
        <w:tc>
          <w:tcPr>
            <w:tcW w:w="3369" w:type="dxa"/>
            <w:gridSpan w:val="3"/>
            <w:vAlign w:val="center"/>
          </w:tcPr>
          <w:p>
            <w:pPr>
              <w:shd w:val="clear"/>
              <w:topLinePunct/>
              <w:spacing w:line="288" w:lineRule="auto"/>
              <w:ind w:left="120" w:leftChars="50" w:right="120" w:rightChars="50" w:firstLine="0" w:firstLineChars="0"/>
              <w:jc w:val="center"/>
              <w:rPr>
                <w:rFonts w:hAnsi="宋体"/>
                <w:color w:val="auto"/>
                <w:sz w:val="21"/>
                <w:szCs w:val="21"/>
              </w:rPr>
            </w:pPr>
          </w:p>
        </w:tc>
        <w:tc>
          <w:tcPr>
            <w:tcW w:w="567" w:type="dxa"/>
            <w:vMerge w:val="continue"/>
            <w:vAlign w:val="center"/>
          </w:tcPr>
          <w:p>
            <w:pPr>
              <w:shd w:val="clear"/>
              <w:spacing w:line="288" w:lineRule="auto"/>
              <w:ind w:left="120" w:leftChars="50" w:right="120" w:rightChars="50" w:firstLine="0" w:firstLineChars="0"/>
              <w:jc w:val="center"/>
              <w:rPr>
                <w:rFonts w:hAnsi="宋体"/>
                <w:color w:val="auto"/>
                <w:sz w:val="21"/>
                <w:szCs w:val="21"/>
              </w:rPr>
            </w:pPr>
          </w:p>
        </w:tc>
        <w:tc>
          <w:tcPr>
            <w:tcW w:w="1843" w:type="dxa"/>
            <w:gridSpan w:val="2"/>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各类注册人员</w:t>
            </w:r>
          </w:p>
        </w:tc>
        <w:tc>
          <w:tcPr>
            <w:tcW w:w="1215" w:type="dxa"/>
            <w:vAlign w:val="center"/>
          </w:tcPr>
          <w:p>
            <w:pPr>
              <w:shd w:val="clear"/>
              <w:topLinePunct/>
              <w:spacing w:line="288" w:lineRule="auto"/>
              <w:ind w:left="120" w:leftChars="50" w:right="120" w:rightChars="50" w:firstLine="0" w:firstLineChars="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经营范围</w:t>
            </w:r>
          </w:p>
        </w:tc>
        <w:tc>
          <w:tcPr>
            <w:tcW w:w="6994" w:type="dxa"/>
            <w:gridSpan w:val="7"/>
            <w:vAlign w:val="center"/>
          </w:tcPr>
          <w:p>
            <w:pPr>
              <w:shd w:val="clear"/>
              <w:topLinePunct/>
              <w:spacing w:line="288" w:lineRule="auto"/>
              <w:ind w:left="120" w:leftChars="50" w:right="120" w:rightChars="50" w:firstLine="0" w:firstLineChars="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投标人关联企业情况（包括但不限于与投标人法定代表人为同一人或者存在控股、管理关系的不同单位）</w:t>
            </w:r>
          </w:p>
        </w:tc>
        <w:tc>
          <w:tcPr>
            <w:tcW w:w="6994" w:type="dxa"/>
            <w:gridSpan w:val="7"/>
            <w:vAlign w:val="center"/>
          </w:tcPr>
          <w:p>
            <w:pPr>
              <w:shd w:val="clear"/>
              <w:topLinePunct/>
              <w:spacing w:line="288" w:lineRule="auto"/>
              <w:ind w:left="120" w:leftChars="50" w:right="120" w:rightChars="50" w:firstLine="0" w:firstLineChars="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237" w:type="dxa"/>
            <w:vAlign w:val="center"/>
          </w:tcPr>
          <w:p>
            <w:pPr>
              <w:shd w:val="clear"/>
              <w:topLinePunct/>
              <w:spacing w:line="288" w:lineRule="auto"/>
              <w:ind w:left="120" w:leftChars="50" w:right="120" w:rightChars="50" w:firstLine="0" w:firstLineChars="0"/>
              <w:jc w:val="center"/>
              <w:rPr>
                <w:rFonts w:hAnsi="宋体"/>
                <w:color w:val="auto"/>
                <w:sz w:val="21"/>
                <w:szCs w:val="21"/>
              </w:rPr>
            </w:pPr>
            <w:r>
              <w:rPr>
                <w:rFonts w:hAnsi="宋体"/>
                <w:color w:val="auto"/>
                <w:sz w:val="21"/>
                <w:szCs w:val="21"/>
              </w:rPr>
              <w:t>备注</w:t>
            </w:r>
          </w:p>
        </w:tc>
        <w:tc>
          <w:tcPr>
            <w:tcW w:w="6994" w:type="dxa"/>
            <w:gridSpan w:val="7"/>
            <w:vAlign w:val="center"/>
          </w:tcPr>
          <w:p>
            <w:pPr>
              <w:shd w:val="clear"/>
              <w:topLinePunct/>
              <w:spacing w:line="288" w:lineRule="auto"/>
              <w:ind w:left="120" w:leftChars="50" w:right="120" w:rightChars="50" w:firstLine="0" w:firstLineChars="0"/>
              <w:jc w:val="center"/>
              <w:rPr>
                <w:rFonts w:hAnsi="宋体"/>
                <w:color w:val="auto"/>
                <w:sz w:val="21"/>
                <w:szCs w:val="21"/>
              </w:rPr>
            </w:pPr>
          </w:p>
        </w:tc>
      </w:tr>
    </w:tbl>
    <w:p>
      <w:pPr>
        <w:shd w:val="clear"/>
        <w:spacing w:line="20" w:lineRule="exact"/>
        <w:ind w:firstLine="480"/>
        <w:rPr>
          <w:rFonts w:hAnsi="宋体"/>
          <w:color w:val="auto"/>
        </w:rPr>
      </w:pPr>
      <w:r>
        <w:rPr>
          <w:rFonts w:hAnsi="宋体"/>
          <w:color w:val="auto"/>
        </w:rPr>
        <mc:AlternateContent>
          <mc:Choice Requires="wps">
            <w:drawing>
              <wp:anchor distT="0" distB="0" distL="114300" distR="114300" simplePos="0" relativeHeight="251659264" behindDoc="1" locked="0" layoutInCell="0" allowOverlap="1">
                <wp:simplePos x="0" y="0"/>
                <wp:positionH relativeFrom="column">
                  <wp:posOffset>5787390</wp:posOffset>
                </wp:positionH>
                <wp:positionV relativeFrom="paragraph">
                  <wp:posOffset>-8890</wp:posOffset>
                </wp:positionV>
                <wp:extent cx="12700" cy="12065"/>
                <wp:effectExtent l="5715" t="13970" r="10160" b="12065"/>
                <wp:wrapNone/>
                <wp:docPr id="986033577" name="矩形 172"/>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cmpd="sng">
                          <a:solidFill>
                            <a:srgbClr val="FFFFFF"/>
                          </a:solidFill>
                          <a:miter lim="800000"/>
                        </a:ln>
                      </wps:spPr>
                      <wps:bodyPr rot="0" vert="horz" wrap="square" lIns="91440" tIns="45720" rIns="91440" bIns="45720" anchor="t" anchorCtr="0" upright="1">
                        <a:noAutofit/>
                      </wps:bodyPr>
                    </wps:wsp>
                  </a:graphicData>
                </a:graphic>
              </wp:anchor>
            </w:drawing>
          </mc:Choice>
          <mc:Fallback>
            <w:pict>
              <v:rect id="矩形 172" o:spid="_x0000_s1026" o:spt="1" style="position:absolute;left:0pt;margin-left:455.7pt;margin-top:-0.7pt;height:0.95pt;width:1pt;z-index:-251657216;mso-width-relative:page;mso-height-relative:page;" fillcolor="#000000" filled="t" stroked="t" coordsize="21600,21600" o:allowincell="f" o:gfxdata="UEsDBAoAAAAAAIdO4kAAAAAAAAAAAAAAAAAEAAAAZHJzL1BLAwQUAAAACACHTuJA+bCIrdUAAAAH&#10;AQAADwAAAGRycy9kb3ducmV2LnhtbE2OTU/DMAyG70j8h8hI3LY022BraToJJE5c2NiFW9Z4TSFx&#10;qib74N/jneBkW++j10+9vgQvTjimPpIGNS1AILXR9tRp2H28TlYgUjZkjY+EGn4wwbq5valNZeOZ&#10;Nnja5k5wCaXKaHA5D5WUqXUYTJrGAYmzQxyDyXyOnbSjOXN58HJWFI8ymJ74gzMDvjhsv7fHoIGe&#10;32dv8zYvd4Nbld4uhq+N/9T6/k4VTyAyXvIfDFd9VoeGnfbxSDYJr6FUasGohsl1MlCqOS97DQ8g&#10;m1r+929+AVBLAwQUAAAACACHTuJA42Hwtz4CAACBBAAADgAAAGRycy9lMm9Eb2MueG1srVRLbhQx&#10;EN0jcQfLe6Y/mV9a6YmiRIOQAkQKHMDjdndb+EfZMz3hMkjsOATHQVyDsnsSJoFFFvTCcrnKr169&#10;KvfZ+V4rshPgpTU1LSY5JcJw20jT1fTjh/WrJSU+MNMwZY2o6Z3w9Hz18sXZ4CpR2t6qRgBBEOOr&#10;wdW0D8FVWeZ5LzTzE+uEQWdrQbOAJnRZA2xAdK2yMs/n2WChcWC58B5Pr0YnPSDCcwBt20ourizf&#10;amHCiApCsYAl+V46T1eJbdsKHt63rReBqJpipSGtmAT3m7hmqzNWdcBcL/mBAnsOhSc1aSYNJn2A&#10;umKBkS3Iv6C05GC9bcOEW52NhSRFsIoif6LNbc+cSLWg1N49iO7/Hyx/t7sBIpuani7n+cnJbLGg&#10;xDCNjf/19fvPH99IsSijSoPzFQbfuhuIdXp3bfknT4y97JnpxAWAHXrBGuRWxPjs0YVoeLxKNsNb&#10;2yA42wabBNu3oCMgSkH2qS93D30R+0A4HhblIseGcfQUZT6fJXxW3V914MNrYTWJm5oCNj1Bs921&#10;D5EKq+5DEnWrZLOWSiUDus2lArJjcUDSd0D3x2HKkAElmpUzpKEdyuVNl5I8CvPHaOv0/QtNy4BP&#10;SEld0+VxSmUOukWpRsk3trlD2cCOk4vvFje9hS+UDDi1yOPzloGgRL0xKP1pMZ3GMU/GdLYo0YBj&#10;z+bYwwxHqJoGSsbtZRifxtaB7HrMVKQajb3AdrUyiRlbObI6kMXJTBofXlEc/WM7Rf35c6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mwiK3VAAAABwEAAA8AAAAAAAAAAQAgAAAAIgAAAGRycy9k&#10;b3ducmV2LnhtbFBLAQIUABQAAAAIAIdO4kDjYfC3PgIAAIEEAAAOAAAAAAAAAAEAIAAAACQBAABk&#10;cnMvZTJvRG9jLnhtbFBLBQYAAAAABgAGAFkBAADUBQAAAAA=&#10;">
                <v:fill on="t" focussize="0,0"/>
                <v:stroke color="#FFFFFF" miterlimit="8" joinstyle="miter"/>
                <v:imagedata o:title=""/>
                <o:lock v:ext="edit" aspectratio="f"/>
              </v:rect>
            </w:pict>
          </mc:Fallback>
        </mc:AlternateContent>
      </w:r>
      <w:r>
        <w:rPr>
          <w:rFonts w:hAnsi="宋体"/>
          <w:color w:val="auto"/>
        </w:rPr>
        <mc:AlternateContent>
          <mc:Choice Requires="wps">
            <w:drawing>
              <wp:anchor distT="0" distB="0" distL="114300" distR="114300" simplePos="0" relativeHeight="251660288" behindDoc="1" locked="0" layoutInCell="0" allowOverlap="1">
                <wp:simplePos x="0" y="0"/>
                <wp:positionH relativeFrom="column">
                  <wp:posOffset>5787390</wp:posOffset>
                </wp:positionH>
                <wp:positionV relativeFrom="paragraph">
                  <wp:posOffset>-8890</wp:posOffset>
                </wp:positionV>
                <wp:extent cx="12700" cy="12065"/>
                <wp:effectExtent l="5715" t="13970" r="10160" b="12065"/>
                <wp:wrapNone/>
                <wp:docPr id="1445903912" name="矩形 172"/>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cmpd="sng">
                          <a:solidFill>
                            <a:srgbClr val="FFFFFF"/>
                          </a:solidFill>
                          <a:miter lim="800000"/>
                        </a:ln>
                      </wps:spPr>
                      <wps:bodyPr rot="0" vert="horz" wrap="square" lIns="91440" tIns="45720" rIns="91440" bIns="45720" anchor="t" anchorCtr="0" upright="1">
                        <a:noAutofit/>
                      </wps:bodyPr>
                    </wps:wsp>
                  </a:graphicData>
                </a:graphic>
              </wp:anchor>
            </w:drawing>
          </mc:Choice>
          <mc:Fallback>
            <w:pict>
              <v:rect id="矩形 172" o:spid="_x0000_s1026" o:spt="1" style="position:absolute;left:0pt;margin-left:455.7pt;margin-top:-0.7pt;height:0.95pt;width:1pt;z-index:-251656192;mso-width-relative:page;mso-height-relative:page;" fillcolor="#000000" filled="t" stroked="t" coordsize="21600,21600" o:allowincell="f" o:gfxdata="UEsDBAoAAAAAAIdO4kAAAAAAAAAAAAAAAAAEAAAAZHJzL1BLAwQUAAAACACHTuJA+bCIrdUAAAAH&#10;AQAADwAAAGRycy9kb3ducmV2LnhtbE2OTU/DMAyG70j8h8hI3LY022BraToJJE5c2NiFW9Z4TSFx&#10;qib74N/jneBkW++j10+9vgQvTjimPpIGNS1AILXR9tRp2H28TlYgUjZkjY+EGn4wwbq5valNZeOZ&#10;Nnja5k5wCaXKaHA5D5WUqXUYTJrGAYmzQxyDyXyOnbSjOXN58HJWFI8ymJ74gzMDvjhsv7fHoIGe&#10;32dv8zYvd4Nbld4uhq+N/9T6/k4VTyAyXvIfDFd9VoeGnfbxSDYJr6FUasGohsl1MlCqOS97DQ8g&#10;m1r+929+AVBLAwQUAAAACACHTuJASHoYgD4CAACCBAAADgAAAGRycy9lMm9Eb2MueG1srVTNbhMx&#10;EL4j8Q6W72R/aJpm1U1VtQpCKlCp8ACO17tr4T/GTjbhZZC49SF4HMRrMPamIS0cemAPlscz/uab&#10;b8Z7frHVimwEeGlNTYtJTokw3DbSdDX99HH56owSH5hpmLJG1HQnPL1YvHxxPrhKlLa3qhFAEMT4&#10;anA17UNwVZZ53gvN/MQ6YdDZWtAsoAld1gAbEF2rrMzz02yw0DiwXHiPp9ejk+4R4TmAtm0lF9eW&#10;r7UwYUQFoVjAknwvnaeLxLZtBQ8f2taLQFRNsdKQVkyC+1Vcs8U5qzpgrpd8T4E9h8KTmjSTBpMe&#10;oK5ZYGQN8i8oLTlYb9sw4VZnYyFJEayiyJ9oc9czJ1ItKLV3B9H9/4Pl7ze3QGSDk3ByMp3nr+dF&#10;SYlhGjv/69v9zx/fSTEro0yD8xVG37lbiIV6d2P5Z0+MveqZ6cQlgB16wRokV8T47NGFaHi8SlbD&#10;O9sgOFsHmxTbtqAjIGpBtqkxu0NjxDYQjodFOcuxYxw9RZmfThM+qx6uOvDhjbCaxE1NAbueoNnm&#10;xodIhVUPIYm6VbJZSqWSAd3qSgHZsDgh6duj++MwZchQ0/m0nCIN7VAvb7qU5FGYP0Zbpu9faFoG&#10;fENK6pqeHadUZq9blGqUfGWbHcoGdhxdfLi46S18pWTAsUUeX9YMBCXqrUHp59jGOOfJOJnOSjTg&#10;2LM69jDDEaqmgZJxexXGt7F2ILseMxWpRmMvsV2tTGLGVo6s9mRxNJPG+2cUZ//YTlF/fh2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mwiK3VAAAABwEAAA8AAAAAAAAAAQAgAAAAIgAAAGRycy9k&#10;b3ducmV2LnhtbFBLAQIUABQAAAAIAIdO4kBIehiAPgIAAIIEAAAOAAAAAAAAAAEAIAAAACQBAABk&#10;cnMvZTJvRG9jLnhtbFBLBQYAAAAABgAGAFkBAADUBQAAAAA=&#10;">
                <v:fill on="t" focussize="0,0"/>
                <v:stroke color="#FFFFFF" miterlimit="8" joinstyle="miter"/>
                <v:imagedata o:title=""/>
                <o:lock v:ext="edit" aspectratio="f"/>
              </v:rect>
            </w:pict>
          </mc:Fallback>
        </mc:AlternateContent>
      </w:r>
    </w:p>
    <w:p>
      <w:pPr>
        <w:shd w:val="clear"/>
        <w:spacing w:line="88" w:lineRule="exact"/>
        <w:ind w:firstLine="480"/>
        <w:rPr>
          <w:rFonts w:hAnsi="宋体"/>
          <w:color w:val="auto"/>
        </w:rPr>
      </w:pPr>
    </w:p>
    <w:p>
      <w:pPr>
        <w:shd w:val="clear"/>
        <w:spacing w:line="256" w:lineRule="exact"/>
        <w:ind w:left="360" w:firstLine="420" w:firstLineChars="0"/>
        <w:rPr>
          <w:rFonts w:hAnsi="宋体"/>
          <w:color w:val="auto"/>
          <w:sz w:val="21"/>
        </w:rPr>
      </w:pPr>
      <w:bookmarkStart w:id="194" w:name="_GoBack"/>
      <w:r>
        <w:rPr>
          <w:rFonts w:hAnsi="宋体"/>
          <w:color w:val="auto"/>
          <w:sz w:val="21"/>
        </w:rPr>
        <w:t>注：</w:t>
      </w:r>
      <w:r>
        <w:rPr>
          <w:rFonts w:hint="eastAsia" w:hAnsi="宋体"/>
          <w:color w:val="auto"/>
          <w:sz w:val="21"/>
        </w:rPr>
        <w:t>表后附：（需按照招标公告资格条件及评审要求提供）</w:t>
      </w:r>
    </w:p>
    <w:p>
      <w:pPr>
        <w:shd w:val="clear"/>
        <w:spacing w:line="240" w:lineRule="exact"/>
        <w:ind w:left="360" w:firstLine="420"/>
        <w:rPr>
          <w:rFonts w:hAnsi="宋体"/>
          <w:color w:val="auto"/>
          <w:sz w:val="21"/>
        </w:rPr>
      </w:pPr>
      <w:r>
        <w:rPr>
          <w:rFonts w:hint="eastAsia" w:hAnsi="宋体"/>
          <w:color w:val="auto"/>
          <w:sz w:val="21"/>
        </w:rPr>
        <w:t>①企业法人营业执照或事业单位法人证书；</w:t>
      </w:r>
    </w:p>
    <w:p>
      <w:pPr>
        <w:shd w:val="clear"/>
        <w:spacing w:line="240" w:lineRule="exact"/>
        <w:ind w:left="360" w:firstLine="420"/>
        <w:rPr>
          <w:rFonts w:hAnsi="宋体"/>
          <w:color w:val="auto"/>
          <w:sz w:val="21"/>
        </w:rPr>
      </w:pPr>
      <w:r>
        <w:rPr>
          <w:rFonts w:hint="eastAsia" w:hAnsi="宋体"/>
          <w:color w:val="auto"/>
          <w:sz w:val="21"/>
        </w:rPr>
        <w:t>②资质证书；（分别对应招标公告的资质要求提供）</w:t>
      </w:r>
    </w:p>
    <w:p>
      <w:pPr>
        <w:shd w:val="clear"/>
        <w:spacing w:line="240" w:lineRule="exact"/>
        <w:ind w:left="360" w:firstLine="420"/>
        <w:rPr>
          <w:rFonts w:hAnsi="宋体"/>
          <w:color w:val="auto"/>
          <w:sz w:val="21"/>
        </w:rPr>
      </w:pPr>
      <w:r>
        <w:rPr>
          <w:rFonts w:hint="eastAsia" w:hAnsi="宋体"/>
          <w:color w:val="auto"/>
          <w:sz w:val="21"/>
        </w:rPr>
        <w:t>③投标人声明；（按招标公告附件一格式）</w:t>
      </w:r>
    </w:p>
    <w:p>
      <w:pPr>
        <w:shd w:val="clear"/>
        <w:spacing w:line="240" w:lineRule="exact"/>
        <w:ind w:left="360" w:firstLine="420"/>
        <w:rPr>
          <w:rFonts w:hAnsi="宋体"/>
          <w:color w:val="auto"/>
          <w:sz w:val="21"/>
        </w:rPr>
      </w:pPr>
      <w:r>
        <w:rPr>
          <w:rFonts w:hint="eastAsia" w:hAnsi="宋体"/>
          <w:color w:val="auto"/>
          <w:sz w:val="21"/>
        </w:rPr>
        <w:t>④投标人在广州市住建行业信用管理平台已完成企业信息登记的网页截图；</w:t>
      </w:r>
    </w:p>
    <w:p>
      <w:pPr>
        <w:shd w:val="clear"/>
        <w:spacing w:line="240" w:lineRule="exact"/>
        <w:ind w:left="360" w:firstLine="420"/>
        <w:rPr>
          <w:rFonts w:hAnsi="宋体"/>
          <w:color w:val="auto"/>
          <w:sz w:val="21"/>
        </w:rPr>
      </w:pPr>
      <w:r>
        <w:rPr>
          <w:rFonts w:hint="eastAsia" w:hAnsi="宋体"/>
          <w:color w:val="auto"/>
          <w:sz w:val="21"/>
        </w:rPr>
        <w:t xml:space="preserve">⑤拟委派的监理负责人须为投标人在广州市住建行业信用管理平台在册人员网页截图）； </w:t>
      </w:r>
    </w:p>
    <w:p>
      <w:pPr>
        <w:shd w:val="clear"/>
        <w:spacing w:line="240" w:lineRule="exact"/>
        <w:ind w:left="360" w:firstLine="420"/>
        <w:rPr>
          <w:rFonts w:hAnsi="宋体"/>
          <w:color w:val="auto"/>
          <w:sz w:val="21"/>
        </w:rPr>
      </w:pPr>
      <w:r>
        <w:rPr>
          <w:rFonts w:hint="eastAsia" w:hAnsi="宋体"/>
          <w:color w:val="auto"/>
          <w:sz w:val="21"/>
        </w:rPr>
        <w:t>⑥其他投标人认为需提交的资料。</w:t>
      </w:r>
    </w:p>
    <w:bookmarkEnd w:id="194"/>
    <w:p>
      <w:pPr>
        <w:pStyle w:val="11"/>
        <w:shd w:val="clear"/>
        <w:ind w:firstLine="0" w:firstLineChars="0"/>
        <w:rPr>
          <w:color w:val="auto"/>
        </w:rPr>
      </w:pPr>
      <w:r>
        <w:rPr>
          <w:color w:val="auto"/>
        </w:rPr>
        <w:br w:type="page"/>
      </w:r>
    </w:p>
    <w:p>
      <w:pPr>
        <w:pStyle w:val="8"/>
        <w:shd w:val="clear"/>
        <w:ind w:firstLine="0" w:firstLineChars="0"/>
        <w:rPr>
          <w:color w:val="auto"/>
        </w:rPr>
      </w:pPr>
      <w:bookmarkStart w:id="186" w:name="_Toc35513546"/>
      <w:r>
        <w:rPr>
          <w:color w:val="auto"/>
        </w:rPr>
        <w:t>（二）近年财务状况表</w:t>
      </w:r>
      <w:r>
        <w:rPr>
          <w:rFonts w:hint="eastAsia"/>
          <w:color w:val="auto"/>
        </w:rPr>
        <w:t>(本项目不适用)</w:t>
      </w:r>
      <w:bookmarkEnd w:id="186"/>
    </w:p>
    <w:p>
      <w:pPr>
        <w:shd w:val="clear"/>
        <w:spacing w:line="200" w:lineRule="exact"/>
        <w:ind w:firstLine="480"/>
        <w:rPr>
          <w:rFonts w:hAnsi="宋体"/>
          <w:color w:val="auto"/>
        </w:rPr>
      </w:pPr>
    </w:p>
    <w:p>
      <w:pPr>
        <w:shd w:val="clear"/>
        <w:spacing w:line="200" w:lineRule="exact"/>
        <w:ind w:firstLine="480"/>
        <w:rPr>
          <w:rFonts w:hAnsi="宋体"/>
          <w:color w:val="auto"/>
        </w:rPr>
      </w:pPr>
    </w:p>
    <w:p>
      <w:pPr>
        <w:shd w:val="clear"/>
        <w:spacing w:line="316" w:lineRule="exact"/>
        <w:ind w:firstLine="420"/>
        <w:rPr>
          <w:rFonts w:hAnsi="宋体"/>
          <w:color w:val="auto"/>
          <w:sz w:val="21"/>
          <w:szCs w:val="21"/>
        </w:rPr>
      </w:pPr>
    </w:p>
    <w:p>
      <w:pPr>
        <w:shd w:val="clear"/>
        <w:spacing w:line="244" w:lineRule="exact"/>
        <w:ind w:left="780" w:firstLine="420"/>
        <w:rPr>
          <w:rFonts w:hAnsi="宋体"/>
          <w:color w:val="auto"/>
          <w:sz w:val="21"/>
          <w:szCs w:val="21"/>
        </w:rPr>
      </w:pPr>
      <w:r>
        <w:rPr>
          <w:rFonts w:hint="eastAsia" w:hAnsi="宋体"/>
          <w:color w:val="auto"/>
          <w:sz w:val="21"/>
          <w:szCs w:val="21"/>
        </w:rPr>
        <w:t>本项目不适用。</w:t>
      </w:r>
    </w:p>
    <w:p>
      <w:pPr>
        <w:pStyle w:val="11"/>
        <w:shd w:val="clear"/>
        <w:ind w:firstLine="0" w:firstLineChars="0"/>
        <w:rPr>
          <w:color w:val="auto"/>
        </w:rPr>
      </w:pPr>
    </w:p>
    <w:p>
      <w:pPr>
        <w:shd w:val="clear"/>
        <w:spacing w:line="2" w:lineRule="exact"/>
        <w:ind w:firstLine="360"/>
        <w:rPr>
          <w:rFonts w:hAnsi="宋体"/>
          <w:color w:val="auto"/>
        </w:rPr>
      </w:pPr>
      <w:r>
        <w:rPr>
          <w:rFonts w:hAnsi="宋体"/>
          <w:color w:val="auto"/>
          <w:sz w:val="18"/>
        </w:rPr>
        <w:br w:type="page"/>
      </w:r>
    </w:p>
    <w:p>
      <w:pPr>
        <w:pStyle w:val="8"/>
        <w:shd w:val="clear"/>
        <w:ind w:firstLine="482"/>
        <w:rPr>
          <w:color w:val="auto"/>
        </w:rPr>
      </w:pPr>
      <w:bookmarkStart w:id="187" w:name="_Toc35513547"/>
      <w:r>
        <w:rPr>
          <w:color w:val="auto"/>
        </w:rPr>
        <w:t>（三）</w:t>
      </w:r>
      <w:r>
        <w:rPr>
          <w:rFonts w:hint="eastAsia"/>
          <w:color w:val="auto"/>
        </w:rPr>
        <w:t>投标人</w:t>
      </w:r>
      <w:r>
        <w:rPr>
          <w:color w:val="auto"/>
        </w:rPr>
        <w:t>完成的类似项目</w:t>
      </w:r>
      <w:r>
        <w:rPr>
          <w:rFonts w:hint="eastAsia"/>
          <w:color w:val="auto"/>
        </w:rPr>
        <w:t>业绩</w:t>
      </w:r>
      <w:r>
        <w:rPr>
          <w:color w:val="auto"/>
        </w:rPr>
        <w:t>情况表</w:t>
      </w:r>
      <w:bookmarkEnd w:id="187"/>
    </w:p>
    <w:p>
      <w:pPr>
        <w:pStyle w:val="8"/>
        <w:shd w:val="clear"/>
        <w:ind w:firstLine="482"/>
        <w:rPr>
          <w:color w:val="auto"/>
        </w:rPr>
      </w:pPr>
      <w:bookmarkStart w:id="188" w:name="_Toc35513548"/>
      <w:r>
        <w:rPr>
          <w:rFonts w:hint="eastAsia"/>
          <w:color w:val="auto"/>
        </w:rPr>
        <w:t>3-1项目情况汇总一览表</w:t>
      </w:r>
      <w:bookmarkEnd w:id="188"/>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409"/>
        <w:gridCol w:w="1134"/>
        <w:gridCol w:w="1276"/>
        <w:gridCol w:w="1134"/>
        <w:gridCol w:w="1134"/>
        <w:gridCol w:w="1134"/>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hd w:val="clear"/>
              <w:ind w:firstLine="0" w:firstLineChars="0"/>
              <w:jc w:val="center"/>
              <w:rPr>
                <w:rFonts w:hAnsi="宋体"/>
                <w:color w:val="auto"/>
                <w:sz w:val="21"/>
                <w:szCs w:val="21"/>
              </w:rPr>
            </w:pPr>
            <w:r>
              <w:rPr>
                <w:rFonts w:hint="eastAsia" w:hAnsi="宋体"/>
                <w:color w:val="auto"/>
                <w:sz w:val="21"/>
                <w:szCs w:val="21"/>
              </w:rPr>
              <w:t>序号</w:t>
            </w:r>
          </w:p>
        </w:tc>
        <w:tc>
          <w:tcPr>
            <w:tcW w:w="2409" w:type="dxa"/>
            <w:vAlign w:val="center"/>
          </w:tcPr>
          <w:p>
            <w:pPr>
              <w:shd w:val="clear"/>
              <w:ind w:firstLine="0" w:firstLineChars="0"/>
              <w:jc w:val="center"/>
              <w:rPr>
                <w:rFonts w:hAnsi="宋体"/>
                <w:color w:val="auto"/>
                <w:sz w:val="21"/>
                <w:szCs w:val="21"/>
              </w:rPr>
            </w:pPr>
            <w:r>
              <w:rPr>
                <w:rFonts w:hint="eastAsia" w:hAnsi="宋体"/>
                <w:color w:val="auto"/>
                <w:sz w:val="21"/>
                <w:szCs w:val="21"/>
              </w:rPr>
              <w:t>项目名称</w:t>
            </w:r>
          </w:p>
        </w:tc>
        <w:tc>
          <w:tcPr>
            <w:tcW w:w="1134" w:type="dxa"/>
            <w:vAlign w:val="center"/>
          </w:tcPr>
          <w:p>
            <w:pPr>
              <w:shd w:val="clear"/>
              <w:ind w:firstLine="0" w:firstLineChars="0"/>
              <w:jc w:val="center"/>
              <w:rPr>
                <w:rFonts w:hAnsi="宋体"/>
                <w:color w:val="auto"/>
                <w:sz w:val="21"/>
                <w:szCs w:val="21"/>
              </w:rPr>
            </w:pPr>
            <w:r>
              <w:rPr>
                <w:rFonts w:hint="eastAsia" w:hAnsi="宋体"/>
                <w:color w:val="auto"/>
                <w:sz w:val="21"/>
                <w:szCs w:val="21"/>
              </w:rPr>
              <w:t>委托单位</w:t>
            </w:r>
          </w:p>
        </w:tc>
        <w:tc>
          <w:tcPr>
            <w:tcW w:w="1276" w:type="dxa"/>
            <w:vAlign w:val="center"/>
          </w:tcPr>
          <w:p>
            <w:pPr>
              <w:shd w:val="clear"/>
              <w:ind w:firstLine="0" w:firstLineChars="0"/>
              <w:jc w:val="center"/>
              <w:rPr>
                <w:rFonts w:hAnsi="宋体"/>
                <w:color w:val="auto"/>
                <w:sz w:val="21"/>
                <w:szCs w:val="21"/>
              </w:rPr>
            </w:pPr>
            <w:r>
              <w:rPr>
                <w:rFonts w:hint="eastAsia" w:hAnsi="宋体"/>
                <w:color w:val="auto"/>
                <w:sz w:val="21"/>
                <w:szCs w:val="21"/>
              </w:rPr>
              <w:t>委托单位联系人电话</w:t>
            </w:r>
          </w:p>
        </w:tc>
        <w:tc>
          <w:tcPr>
            <w:tcW w:w="1134" w:type="dxa"/>
            <w:vAlign w:val="center"/>
          </w:tcPr>
          <w:p>
            <w:pPr>
              <w:shd w:val="clear"/>
              <w:ind w:firstLine="0" w:firstLineChars="0"/>
              <w:jc w:val="center"/>
              <w:rPr>
                <w:rFonts w:hAnsi="宋体"/>
                <w:color w:val="auto"/>
                <w:sz w:val="21"/>
                <w:szCs w:val="21"/>
              </w:rPr>
            </w:pPr>
            <w:r>
              <w:rPr>
                <w:rFonts w:hint="eastAsia" w:hAnsi="宋体"/>
                <w:color w:val="auto"/>
                <w:sz w:val="21"/>
                <w:szCs w:val="21"/>
              </w:rPr>
              <w:t>投资额</w:t>
            </w:r>
          </w:p>
          <w:p>
            <w:pPr>
              <w:pStyle w:val="11"/>
              <w:shd w:val="clear"/>
              <w:ind w:firstLine="0" w:firstLineChars="0"/>
              <w:jc w:val="center"/>
              <w:rPr>
                <w:color w:val="auto"/>
              </w:rPr>
            </w:pPr>
            <w:r>
              <w:rPr>
                <w:rFonts w:hint="eastAsia" w:hAnsi="宋体" w:cs="Arial"/>
                <w:bCs/>
                <w:color w:val="auto"/>
                <w:sz w:val="21"/>
                <w:szCs w:val="21"/>
              </w:rPr>
              <w:t>(送审额)</w:t>
            </w:r>
          </w:p>
        </w:tc>
        <w:tc>
          <w:tcPr>
            <w:tcW w:w="1134" w:type="dxa"/>
            <w:vAlign w:val="center"/>
          </w:tcPr>
          <w:p>
            <w:pPr>
              <w:shd w:val="clear"/>
              <w:ind w:firstLine="0" w:firstLineChars="0"/>
              <w:jc w:val="center"/>
              <w:rPr>
                <w:rFonts w:hAnsi="宋体"/>
                <w:color w:val="auto"/>
                <w:sz w:val="21"/>
                <w:szCs w:val="21"/>
              </w:rPr>
            </w:pPr>
            <w:r>
              <w:rPr>
                <w:rFonts w:hint="eastAsia" w:hAnsi="宋体"/>
                <w:color w:val="auto"/>
                <w:sz w:val="21"/>
                <w:szCs w:val="21"/>
              </w:rPr>
              <w:t>服务合同总价</w:t>
            </w:r>
          </w:p>
        </w:tc>
        <w:tc>
          <w:tcPr>
            <w:tcW w:w="1134" w:type="dxa"/>
            <w:vAlign w:val="center"/>
          </w:tcPr>
          <w:p>
            <w:pPr>
              <w:shd w:val="clear"/>
              <w:ind w:firstLine="0" w:firstLineChars="0"/>
              <w:jc w:val="center"/>
              <w:rPr>
                <w:rFonts w:hAnsi="宋体"/>
                <w:color w:val="auto"/>
                <w:sz w:val="21"/>
                <w:szCs w:val="21"/>
              </w:rPr>
            </w:pPr>
            <w:r>
              <w:rPr>
                <w:rFonts w:hint="eastAsia" w:hAnsi="宋体"/>
                <w:color w:val="auto"/>
                <w:sz w:val="21"/>
                <w:szCs w:val="21"/>
              </w:rPr>
              <w:t>服务内容</w:t>
            </w:r>
          </w:p>
        </w:tc>
        <w:tc>
          <w:tcPr>
            <w:tcW w:w="821" w:type="dxa"/>
            <w:vAlign w:val="center"/>
          </w:tcPr>
          <w:p>
            <w:pPr>
              <w:shd w:val="clear"/>
              <w:ind w:firstLine="0" w:firstLineChars="0"/>
              <w:jc w:val="center"/>
              <w:rPr>
                <w:rFonts w:hAnsi="宋体"/>
                <w:color w:val="auto"/>
                <w:sz w:val="21"/>
                <w:szCs w:val="21"/>
              </w:rPr>
            </w:pPr>
            <w:r>
              <w:rPr>
                <w:rFonts w:hint="eastAsia" w:hAnsi="宋体" w:cs="Arial"/>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4" w:type="dxa"/>
            <w:vAlign w:val="center"/>
          </w:tcPr>
          <w:p>
            <w:pPr>
              <w:shd w:val="clear"/>
              <w:ind w:firstLine="0" w:firstLineChars="0"/>
              <w:jc w:val="center"/>
              <w:rPr>
                <w:rFonts w:hAnsi="宋体"/>
                <w:color w:val="auto"/>
                <w:sz w:val="21"/>
                <w:szCs w:val="21"/>
              </w:rPr>
            </w:pPr>
            <w:r>
              <w:rPr>
                <w:rFonts w:hint="eastAsia" w:hAnsi="宋体"/>
                <w:color w:val="auto"/>
                <w:sz w:val="21"/>
                <w:szCs w:val="21"/>
              </w:rPr>
              <w:t>一</w:t>
            </w:r>
          </w:p>
        </w:tc>
        <w:tc>
          <w:tcPr>
            <w:tcW w:w="9042" w:type="dxa"/>
            <w:gridSpan w:val="7"/>
            <w:vAlign w:val="center"/>
          </w:tcPr>
          <w:p>
            <w:pPr>
              <w:shd w:val="clear"/>
              <w:ind w:firstLine="0" w:firstLineChars="0"/>
              <w:rPr>
                <w:rFonts w:hAnsi="宋体"/>
                <w:color w:val="auto"/>
                <w:sz w:val="21"/>
                <w:szCs w:val="21"/>
              </w:rPr>
            </w:pPr>
            <w:r>
              <w:rPr>
                <w:rFonts w:hint="eastAsia" w:hAnsi="宋体" w:cs="Arial"/>
                <w:b/>
                <w:color w:val="auto"/>
                <w:sz w:val="21"/>
                <w:szCs w:val="21"/>
              </w:rPr>
              <w:t>项目管理业绩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4" w:type="dxa"/>
            <w:vAlign w:val="center"/>
          </w:tcPr>
          <w:p>
            <w:pPr>
              <w:shd w:val="clear"/>
              <w:ind w:firstLine="0" w:firstLineChars="0"/>
              <w:jc w:val="center"/>
              <w:rPr>
                <w:rFonts w:hAnsi="宋体"/>
                <w:color w:val="auto"/>
                <w:sz w:val="21"/>
                <w:szCs w:val="21"/>
              </w:rPr>
            </w:pPr>
            <w:r>
              <w:rPr>
                <w:rFonts w:hint="eastAsia" w:hAnsi="宋体"/>
                <w:color w:val="auto"/>
                <w:sz w:val="21"/>
                <w:szCs w:val="21"/>
              </w:rPr>
              <w:t>1</w:t>
            </w:r>
          </w:p>
        </w:tc>
        <w:tc>
          <w:tcPr>
            <w:tcW w:w="2409"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276"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821" w:type="dxa"/>
            <w:vAlign w:val="center"/>
          </w:tcPr>
          <w:p>
            <w:pPr>
              <w:shd w:val="clear"/>
              <w:ind w:firstLine="0" w:firstLineChars="0"/>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4" w:type="dxa"/>
            <w:vAlign w:val="center"/>
          </w:tcPr>
          <w:p>
            <w:pPr>
              <w:shd w:val="clear"/>
              <w:ind w:firstLine="0" w:firstLineChars="0"/>
              <w:jc w:val="center"/>
              <w:rPr>
                <w:rFonts w:hAnsi="宋体"/>
                <w:color w:val="auto"/>
                <w:sz w:val="21"/>
                <w:szCs w:val="21"/>
              </w:rPr>
            </w:pPr>
            <w:r>
              <w:rPr>
                <w:rFonts w:hint="eastAsia" w:hAnsi="宋体"/>
                <w:color w:val="auto"/>
                <w:sz w:val="21"/>
                <w:szCs w:val="21"/>
              </w:rPr>
              <w:t>2</w:t>
            </w:r>
          </w:p>
        </w:tc>
        <w:tc>
          <w:tcPr>
            <w:tcW w:w="2409"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276"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821" w:type="dxa"/>
            <w:vAlign w:val="center"/>
          </w:tcPr>
          <w:p>
            <w:pPr>
              <w:shd w:val="clear"/>
              <w:ind w:firstLine="0" w:firstLineChars="0"/>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4" w:type="dxa"/>
            <w:vAlign w:val="center"/>
          </w:tcPr>
          <w:p>
            <w:pPr>
              <w:shd w:val="clear"/>
              <w:ind w:firstLine="0" w:firstLineChars="0"/>
              <w:jc w:val="center"/>
              <w:rPr>
                <w:rFonts w:hAnsi="宋体"/>
                <w:color w:val="auto"/>
                <w:sz w:val="21"/>
                <w:szCs w:val="21"/>
              </w:rPr>
            </w:pPr>
            <w:r>
              <w:rPr>
                <w:rFonts w:hint="eastAsia" w:hAnsi="宋体"/>
                <w:color w:val="auto"/>
                <w:sz w:val="21"/>
                <w:szCs w:val="21"/>
              </w:rPr>
              <w:t>3</w:t>
            </w:r>
          </w:p>
        </w:tc>
        <w:tc>
          <w:tcPr>
            <w:tcW w:w="2409"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276"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821" w:type="dxa"/>
            <w:vAlign w:val="center"/>
          </w:tcPr>
          <w:p>
            <w:pPr>
              <w:shd w:val="clear"/>
              <w:ind w:firstLine="0" w:firstLineChars="0"/>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4" w:type="dxa"/>
            <w:vAlign w:val="center"/>
          </w:tcPr>
          <w:p>
            <w:pPr>
              <w:shd w:val="clear"/>
              <w:ind w:firstLine="0" w:firstLineChars="0"/>
              <w:jc w:val="center"/>
              <w:rPr>
                <w:rFonts w:hAnsi="宋体"/>
                <w:color w:val="auto"/>
                <w:sz w:val="21"/>
                <w:szCs w:val="21"/>
              </w:rPr>
            </w:pPr>
            <w:r>
              <w:rPr>
                <w:rFonts w:hAnsi="宋体"/>
                <w:color w:val="auto"/>
                <w:sz w:val="21"/>
                <w:szCs w:val="21"/>
              </w:rPr>
              <w:t>…</w:t>
            </w:r>
          </w:p>
        </w:tc>
        <w:tc>
          <w:tcPr>
            <w:tcW w:w="2409"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276"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821" w:type="dxa"/>
            <w:vAlign w:val="center"/>
          </w:tcPr>
          <w:p>
            <w:pPr>
              <w:shd w:val="clear"/>
              <w:ind w:firstLine="0" w:firstLineChars="0"/>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4" w:type="dxa"/>
            <w:vAlign w:val="center"/>
          </w:tcPr>
          <w:p>
            <w:pPr>
              <w:shd w:val="clear"/>
              <w:ind w:firstLine="0" w:firstLineChars="0"/>
              <w:jc w:val="center"/>
              <w:rPr>
                <w:rFonts w:hAnsi="宋体"/>
                <w:color w:val="auto"/>
                <w:sz w:val="21"/>
                <w:szCs w:val="21"/>
              </w:rPr>
            </w:pPr>
            <w:r>
              <w:rPr>
                <w:rFonts w:hint="eastAsia" w:hAnsi="宋体"/>
                <w:color w:val="auto"/>
                <w:sz w:val="21"/>
                <w:szCs w:val="21"/>
              </w:rPr>
              <w:t>二</w:t>
            </w:r>
          </w:p>
        </w:tc>
        <w:tc>
          <w:tcPr>
            <w:tcW w:w="9042" w:type="dxa"/>
            <w:gridSpan w:val="7"/>
            <w:vAlign w:val="center"/>
          </w:tcPr>
          <w:p>
            <w:pPr>
              <w:shd w:val="clear"/>
              <w:ind w:firstLine="0" w:firstLineChars="0"/>
              <w:rPr>
                <w:rFonts w:hAnsi="宋体"/>
                <w:color w:val="auto"/>
                <w:sz w:val="21"/>
                <w:szCs w:val="21"/>
              </w:rPr>
            </w:pPr>
            <w:r>
              <w:rPr>
                <w:rFonts w:hint="eastAsia" w:hAnsi="宋体" w:cs="Arial"/>
                <w:b/>
                <w:color w:val="auto"/>
                <w:sz w:val="21"/>
                <w:szCs w:val="21"/>
              </w:rPr>
              <w:t>监理业绩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4" w:type="dxa"/>
            <w:vAlign w:val="center"/>
          </w:tcPr>
          <w:p>
            <w:pPr>
              <w:shd w:val="clear"/>
              <w:ind w:firstLine="0" w:firstLineChars="0"/>
              <w:jc w:val="center"/>
              <w:rPr>
                <w:rFonts w:hAnsi="宋体"/>
                <w:color w:val="auto"/>
                <w:sz w:val="21"/>
                <w:szCs w:val="21"/>
              </w:rPr>
            </w:pPr>
            <w:r>
              <w:rPr>
                <w:rFonts w:hint="eastAsia" w:hAnsi="宋体"/>
                <w:color w:val="auto"/>
                <w:sz w:val="21"/>
                <w:szCs w:val="21"/>
              </w:rPr>
              <w:t>1</w:t>
            </w:r>
          </w:p>
        </w:tc>
        <w:tc>
          <w:tcPr>
            <w:tcW w:w="2409"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276"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821" w:type="dxa"/>
            <w:vAlign w:val="center"/>
          </w:tcPr>
          <w:p>
            <w:pPr>
              <w:shd w:val="clear"/>
              <w:ind w:firstLine="0" w:firstLineChars="0"/>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4" w:type="dxa"/>
            <w:vAlign w:val="center"/>
          </w:tcPr>
          <w:p>
            <w:pPr>
              <w:shd w:val="clear"/>
              <w:ind w:firstLine="0" w:firstLineChars="0"/>
              <w:jc w:val="center"/>
              <w:rPr>
                <w:rFonts w:hAnsi="宋体"/>
                <w:color w:val="auto"/>
                <w:sz w:val="21"/>
                <w:szCs w:val="21"/>
              </w:rPr>
            </w:pPr>
            <w:r>
              <w:rPr>
                <w:rFonts w:hint="eastAsia" w:hAnsi="宋体"/>
                <w:color w:val="auto"/>
                <w:sz w:val="21"/>
                <w:szCs w:val="21"/>
              </w:rPr>
              <w:t>2</w:t>
            </w:r>
          </w:p>
        </w:tc>
        <w:tc>
          <w:tcPr>
            <w:tcW w:w="2409"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276"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821" w:type="dxa"/>
            <w:vAlign w:val="center"/>
          </w:tcPr>
          <w:p>
            <w:pPr>
              <w:shd w:val="clear"/>
              <w:ind w:firstLine="0" w:firstLineChars="0"/>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4" w:type="dxa"/>
            <w:vAlign w:val="center"/>
          </w:tcPr>
          <w:p>
            <w:pPr>
              <w:shd w:val="clear"/>
              <w:ind w:firstLine="0" w:firstLineChars="0"/>
              <w:jc w:val="center"/>
              <w:rPr>
                <w:rFonts w:hAnsi="宋体"/>
                <w:color w:val="auto"/>
                <w:sz w:val="21"/>
                <w:szCs w:val="21"/>
              </w:rPr>
            </w:pPr>
            <w:r>
              <w:rPr>
                <w:rFonts w:hint="eastAsia" w:hAnsi="宋体"/>
                <w:color w:val="auto"/>
                <w:sz w:val="21"/>
                <w:szCs w:val="21"/>
              </w:rPr>
              <w:t>3</w:t>
            </w:r>
          </w:p>
        </w:tc>
        <w:tc>
          <w:tcPr>
            <w:tcW w:w="2409"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276"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821" w:type="dxa"/>
            <w:vAlign w:val="center"/>
          </w:tcPr>
          <w:p>
            <w:pPr>
              <w:shd w:val="clear"/>
              <w:ind w:firstLine="0" w:firstLineChars="0"/>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4" w:type="dxa"/>
            <w:vAlign w:val="center"/>
          </w:tcPr>
          <w:p>
            <w:pPr>
              <w:shd w:val="clear"/>
              <w:ind w:firstLine="0" w:firstLineChars="0"/>
              <w:jc w:val="center"/>
              <w:rPr>
                <w:rFonts w:hAnsi="宋体"/>
                <w:color w:val="auto"/>
                <w:sz w:val="21"/>
                <w:szCs w:val="21"/>
              </w:rPr>
            </w:pPr>
            <w:r>
              <w:rPr>
                <w:rFonts w:hAnsi="宋体"/>
                <w:color w:val="auto"/>
                <w:sz w:val="21"/>
                <w:szCs w:val="21"/>
              </w:rPr>
              <w:t>…</w:t>
            </w:r>
          </w:p>
        </w:tc>
        <w:tc>
          <w:tcPr>
            <w:tcW w:w="2409"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276"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1134" w:type="dxa"/>
            <w:vAlign w:val="center"/>
          </w:tcPr>
          <w:p>
            <w:pPr>
              <w:shd w:val="clear"/>
              <w:ind w:firstLine="0" w:firstLineChars="0"/>
              <w:rPr>
                <w:rFonts w:hAnsi="宋体"/>
                <w:color w:val="auto"/>
                <w:sz w:val="21"/>
                <w:szCs w:val="21"/>
              </w:rPr>
            </w:pPr>
          </w:p>
        </w:tc>
        <w:tc>
          <w:tcPr>
            <w:tcW w:w="821" w:type="dxa"/>
            <w:vAlign w:val="center"/>
          </w:tcPr>
          <w:p>
            <w:pPr>
              <w:shd w:val="clear"/>
              <w:ind w:firstLine="0" w:firstLineChars="0"/>
              <w:rPr>
                <w:rFonts w:hAnsi="宋体"/>
                <w:color w:val="auto"/>
                <w:sz w:val="21"/>
                <w:szCs w:val="21"/>
              </w:rPr>
            </w:pPr>
          </w:p>
        </w:tc>
      </w:tr>
    </w:tbl>
    <w:p>
      <w:pPr>
        <w:pStyle w:val="8"/>
        <w:shd w:val="clear"/>
        <w:ind w:firstLine="0" w:firstLineChars="0"/>
        <w:rPr>
          <w:color w:val="auto"/>
        </w:rPr>
      </w:pPr>
      <w:bookmarkStart w:id="189" w:name="_Toc35513549"/>
      <w:r>
        <w:rPr>
          <w:color w:val="auto"/>
        </w:rPr>
        <w:br w:type="page"/>
      </w:r>
      <w:r>
        <w:rPr>
          <w:rFonts w:hint="eastAsia"/>
          <w:color w:val="auto"/>
        </w:rPr>
        <w:t>3-2项目情况表（每个项目一张表）</w:t>
      </w:r>
      <w:bookmarkEnd w:id="189"/>
    </w:p>
    <w:tbl>
      <w:tblPr>
        <w:tblStyle w:val="32"/>
        <w:tblW w:w="0" w:type="auto"/>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vAlign w:val="center"/>
          </w:tcPr>
          <w:p>
            <w:pPr>
              <w:shd w:val="clear"/>
              <w:spacing w:line="320" w:lineRule="exact"/>
              <w:ind w:firstLine="420"/>
              <w:rPr>
                <w:rFonts w:hAnsi="宋体"/>
                <w:color w:val="auto"/>
                <w:sz w:val="21"/>
                <w:szCs w:val="21"/>
              </w:rPr>
            </w:pPr>
            <w:r>
              <w:rPr>
                <w:rFonts w:hint="eastAsia" w:hAnsi="宋体"/>
                <w:color w:val="auto"/>
                <w:sz w:val="21"/>
                <w:szCs w:val="21"/>
              </w:rPr>
              <w:t>项目名称</w:t>
            </w:r>
          </w:p>
        </w:tc>
        <w:tc>
          <w:tcPr>
            <w:tcW w:w="6774" w:type="dxa"/>
            <w:vAlign w:val="center"/>
          </w:tcPr>
          <w:p>
            <w:pPr>
              <w:shd w:val="clear"/>
              <w:spacing w:line="320" w:lineRule="exact"/>
              <w:ind w:firstLine="42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vAlign w:val="center"/>
          </w:tcPr>
          <w:p>
            <w:pPr>
              <w:shd w:val="clear"/>
              <w:spacing w:line="320" w:lineRule="exact"/>
              <w:ind w:firstLine="420"/>
              <w:rPr>
                <w:rFonts w:hAnsi="宋体"/>
                <w:color w:val="auto"/>
                <w:sz w:val="21"/>
                <w:szCs w:val="21"/>
              </w:rPr>
            </w:pPr>
            <w:r>
              <w:rPr>
                <w:rFonts w:hint="eastAsia" w:hAnsi="宋体"/>
                <w:color w:val="auto"/>
                <w:sz w:val="21"/>
                <w:szCs w:val="21"/>
              </w:rPr>
              <w:t>项目类型</w:t>
            </w:r>
          </w:p>
        </w:tc>
        <w:tc>
          <w:tcPr>
            <w:tcW w:w="6774" w:type="dxa"/>
            <w:vAlign w:val="center"/>
          </w:tcPr>
          <w:p>
            <w:pPr>
              <w:shd w:val="clear"/>
              <w:spacing w:line="320" w:lineRule="exact"/>
              <w:ind w:firstLine="420"/>
              <w:jc w:val="center"/>
              <w:rPr>
                <w:rFonts w:hAnsi="宋体"/>
                <w:color w:val="auto"/>
                <w:sz w:val="21"/>
                <w:szCs w:val="21"/>
              </w:rPr>
            </w:pPr>
            <w:r>
              <w:rPr>
                <w:rFonts w:hint="eastAsia" w:hAnsi="宋体"/>
                <w:color w:val="auto"/>
                <w:sz w:val="21"/>
                <w:szCs w:val="21"/>
              </w:rPr>
              <w:t>（项目管理项目/</w:t>
            </w:r>
            <w:r>
              <w:rPr>
                <w:rFonts w:hint="eastAsia" w:hAnsi="宋体" w:cs="Arial"/>
                <w:color w:val="auto"/>
                <w:sz w:val="21"/>
                <w:szCs w:val="21"/>
              </w:rPr>
              <w:t>监理项目</w:t>
            </w:r>
            <w:r>
              <w:rPr>
                <w:rFonts w:hint="eastAsia"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vAlign w:val="center"/>
          </w:tcPr>
          <w:p>
            <w:pPr>
              <w:shd w:val="clear"/>
              <w:spacing w:line="320" w:lineRule="exact"/>
              <w:ind w:firstLine="420"/>
              <w:rPr>
                <w:rFonts w:hAnsi="宋体"/>
                <w:color w:val="auto"/>
                <w:sz w:val="21"/>
                <w:szCs w:val="21"/>
              </w:rPr>
            </w:pPr>
            <w:r>
              <w:rPr>
                <w:rFonts w:hint="eastAsia" w:hAnsi="宋体"/>
                <w:color w:val="auto"/>
                <w:sz w:val="21"/>
                <w:szCs w:val="21"/>
              </w:rPr>
              <w:t>项目所在地</w:t>
            </w:r>
          </w:p>
        </w:tc>
        <w:tc>
          <w:tcPr>
            <w:tcW w:w="6774" w:type="dxa"/>
            <w:vAlign w:val="center"/>
          </w:tcPr>
          <w:p>
            <w:pPr>
              <w:shd w:val="clear"/>
              <w:spacing w:line="320" w:lineRule="exact"/>
              <w:ind w:firstLine="42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vAlign w:val="center"/>
          </w:tcPr>
          <w:p>
            <w:pPr>
              <w:shd w:val="clear"/>
              <w:spacing w:line="320" w:lineRule="exact"/>
              <w:ind w:firstLine="420"/>
              <w:rPr>
                <w:rFonts w:hAnsi="宋体"/>
                <w:color w:val="auto"/>
                <w:sz w:val="21"/>
                <w:szCs w:val="21"/>
              </w:rPr>
            </w:pPr>
            <w:r>
              <w:rPr>
                <w:rFonts w:hint="eastAsia" w:hAnsi="宋体"/>
                <w:color w:val="auto"/>
                <w:sz w:val="21"/>
                <w:szCs w:val="21"/>
              </w:rPr>
              <w:t>委托人名称</w:t>
            </w:r>
          </w:p>
        </w:tc>
        <w:tc>
          <w:tcPr>
            <w:tcW w:w="6774" w:type="dxa"/>
            <w:vAlign w:val="center"/>
          </w:tcPr>
          <w:p>
            <w:pPr>
              <w:shd w:val="clear"/>
              <w:spacing w:line="320" w:lineRule="exact"/>
              <w:ind w:firstLine="42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vAlign w:val="center"/>
          </w:tcPr>
          <w:p>
            <w:pPr>
              <w:shd w:val="clear"/>
              <w:spacing w:line="320" w:lineRule="exact"/>
              <w:ind w:firstLine="420"/>
              <w:rPr>
                <w:rFonts w:hAnsi="宋体"/>
                <w:color w:val="auto"/>
                <w:sz w:val="21"/>
                <w:szCs w:val="21"/>
              </w:rPr>
            </w:pPr>
            <w:r>
              <w:rPr>
                <w:rFonts w:hint="eastAsia" w:hAnsi="宋体"/>
                <w:color w:val="auto"/>
                <w:sz w:val="21"/>
                <w:szCs w:val="21"/>
              </w:rPr>
              <w:t>委托人地址</w:t>
            </w:r>
          </w:p>
        </w:tc>
        <w:tc>
          <w:tcPr>
            <w:tcW w:w="6774" w:type="dxa"/>
            <w:vAlign w:val="center"/>
          </w:tcPr>
          <w:p>
            <w:pPr>
              <w:shd w:val="clear"/>
              <w:spacing w:line="320" w:lineRule="exact"/>
              <w:ind w:firstLine="42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vAlign w:val="center"/>
          </w:tcPr>
          <w:p>
            <w:pPr>
              <w:shd w:val="clear"/>
              <w:spacing w:line="320" w:lineRule="exact"/>
              <w:ind w:firstLine="420"/>
              <w:rPr>
                <w:rFonts w:hAnsi="宋体"/>
                <w:color w:val="auto"/>
                <w:sz w:val="21"/>
                <w:szCs w:val="21"/>
              </w:rPr>
            </w:pPr>
            <w:r>
              <w:rPr>
                <w:rFonts w:hint="eastAsia" w:hAnsi="宋体"/>
                <w:color w:val="auto"/>
                <w:sz w:val="21"/>
                <w:szCs w:val="21"/>
              </w:rPr>
              <w:t>委托人电话</w:t>
            </w:r>
          </w:p>
        </w:tc>
        <w:tc>
          <w:tcPr>
            <w:tcW w:w="6774" w:type="dxa"/>
            <w:vAlign w:val="center"/>
          </w:tcPr>
          <w:p>
            <w:pPr>
              <w:shd w:val="clear"/>
              <w:spacing w:line="320" w:lineRule="exact"/>
              <w:ind w:firstLine="42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vAlign w:val="center"/>
          </w:tcPr>
          <w:p>
            <w:pPr>
              <w:shd w:val="clear"/>
              <w:spacing w:line="320" w:lineRule="exact"/>
              <w:ind w:firstLine="420"/>
              <w:rPr>
                <w:rFonts w:hAnsi="宋体"/>
                <w:color w:val="auto"/>
                <w:sz w:val="21"/>
                <w:szCs w:val="21"/>
              </w:rPr>
            </w:pPr>
            <w:r>
              <w:rPr>
                <w:rFonts w:hint="eastAsia" w:hAnsi="宋体"/>
                <w:color w:val="auto"/>
                <w:sz w:val="21"/>
                <w:szCs w:val="21"/>
              </w:rPr>
              <w:t>合同价格</w:t>
            </w:r>
          </w:p>
        </w:tc>
        <w:tc>
          <w:tcPr>
            <w:tcW w:w="6774" w:type="dxa"/>
            <w:vAlign w:val="center"/>
          </w:tcPr>
          <w:p>
            <w:pPr>
              <w:shd w:val="clear"/>
              <w:spacing w:line="320" w:lineRule="exact"/>
              <w:ind w:firstLine="42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vAlign w:val="center"/>
          </w:tcPr>
          <w:p>
            <w:pPr>
              <w:shd w:val="clear"/>
              <w:spacing w:line="320" w:lineRule="exact"/>
              <w:ind w:firstLine="420"/>
              <w:rPr>
                <w:rFonts w:hAnsi="宋体"/>
                <w:color w:val="auto"/>
                <w:sz w:val="21"/>
                <w:szCs w:val="21"/>
              </w:rPr>
            </w:pPr>
            <w:r>
              <w:rPr>
                <w:rFonts w:hint="eastAsia" w:hAnsi="宋体"/>
                <w:color w:val="auto"/>
                <w:sz w:val="21"/>
                <w:szCs w:val="21"/>
              </w:rPr>
              <w:t>服务期限</w:t>
            </w:r>
          </w:p>
        </w:tc>
        <w:tc>
          <w:tcPr>
            <w:tcW w:w="6774" w:type="dxa"/>
            <w:vAlign w:val="center"/>
          </w:tcPr>
          <w:p>
            <w:pPr>
              <w:shd w:val="clear"/>
              <w:spacing w:line="320" w:lineRule="exact"/>
              <w:ind w:firstLine="42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vAlign w:val="center"/>
          </w:tcPr>
          <w:p>
            <w:pPr>
              <w:shd w:val="clear"/>
              <w:spacing w:line="320" w:lineRule="exact"/>
              <w:ind w:firstLine="420"/>
              <w:rPr>
                <w:rFonts w:hAnsi="宋体"/>
                <w:color w:val="auto"/>
                <w:sz w:val="21"/>
                <w:szCs w:val="21"/>
              </w:rPr>
            </w:pPr>
            <w:r>
              <w:rPr>
                <w:rFonts w:hint="eastAsia" w:hAnsi="宋体"/>
                <w:color w:val="auto"/>
                <w:sz w:val="21"/>
                <w:szCs w:val="21"/>
              </w:rPr>
              <w:t>服务内容</w:t>
            </w:r>
          </w:p>
        </w:tc>
        <w:tc>
          <w:tcPr>
            <w:tcW w:w="6774" w:type="dxa"/>
            <w:vAlign w:val="center"/>
          </w:tcPr>
          <w:p>
            <w:pPr>
              <w:shd w:val="clear"/>
              <w:spacing w:line="320" w:lineRule="exact"/>
              <w:ind w:firstLine="420"/>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vAlign w:val="center"/>
          </w:tcPr>
          <w:p>
            <w:pPr>
              <w:shd w:val="clear"/>
              <w:spacing w:line="320" w:lineRule="exact"/>
              <w:ind w:firstLine="420"/>
              <w:rPr>
                <w:rFonts w:hAnsi="宋体"/>
                <w:color w:val="auto"/>
                <w:sz w:val="21"/>
                <w:szCs w:val="21"/>
              </w:rPr>
            </w:pPr>
            <w:r>
              <w:rPr>
                <w:rFonts w:hint="eastAsia" w:hAnsi="宋体"/>
                <w:color w:val="auto"/>
                <w:sz w:val="21"/>
                <w:szCs w:val="21"/>
              </w:rPr>
              <w:t>项目负责人</w:t>
            </w:r>
          </w:p>
        </w:tc>
        <w:tc>
          <w:tcPr>
            <w:tcW w:w="6774" w:type="dxa"/>
            <w:vAlign w:val="center"/>
          </w:tcPr>
          <w:p>
            <w:pPr>
              <w:shd w:val="clear"/>
              <w:spacing w:line="320" w:lineRule="exact"/>
              <w:ind w:firstLine="42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2302" w:type="dxa"/>
            <w:vAlign w:val="center"/>
          </w:tcPr>
          <w:p>
            <w:pPr>
              <w:shd w:val="clear"/>
              <w:spacing w:line="320" w:lineRule="exact"/>
              <w:ind w:firstLine="420"/>
              <w:rPr>
                <w:rFonts w:hAnsi="宋体"/>
                <w:color w:val="auto"/>
                <w:sz w:val="21"/>
                <w:szCs w:val="21"/>
              </w:rPr>
            </w:pPr>
            <w:r>
              <w:rPr>
                <w:rFonts w:hint="eastAsia" w:hAnsi="宋体"/>
                <w:color w:val="auto"/>
                <w:sz w:val="21"/>
                <w:szCs w:val="21"/>
              </w:rPr>
              <w:t>项目描述</w:t>
            </w:r>
          </w:p>
        </w:tc>
        <w:tc>
          <w:tcPr>
            <w:tcW w:w="6774" w:type="dxa"/>
            <w:vAlign w:val="center"/>
          </w:tcPr>
          <w:p>
            <w:pPr>
              <w:shd w:val="clear"/>
              <w:spacing w:line="320" w:lineRule="exact"/>
              <w:ind w:firstLine="42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vAlign w:val="center"/>
          </w:tcPr>
          <w:p>
            <w:pPr>
              <w:shd w:val="clear"/>
              <w:spacing w:line="320" w:lineRule="exact"/>
              <w:ind w:firstLine="420"/>
              <w:rPr>
                <w:rFonts w:hAnsi="宋体"/>
                <w:color w:val="auto"/>
                <w:sz w:val="21"/>
                <w:szCs w:val="21"/>
              </w:rPr>
            </w:pPr>
            <w:r>
              <w:rPr>
                <w:rFonts w:hint="eastAsia" w:hAnsi="宋体"/>
                <w:color w:val="auto"/>
                <w:sz w:val="21"/>
                <w:szCs w:val="21"/>
              </w:rPr>
              <w:t>备注</w:t>
            </w:r>
          </w:p>
        </w:tc>
        <w:tc>
          <w:tcPr>
            <w:tcW w:w="6774" w:type="dxa"/>
            <w:vAlign w:val="center"/>
          </w:tcPr>
          <w:p>
            <w:pPr>
              <w:shd w:val="clear"/>
              <w:spacing w:line="320" w:lineRule="exact"/>
              <w:ind w:firstLine="420"/>
              <w:jc w:val="center"/>
              <w:rPr>
                <w:rFonts w:hAnsi="宋体"/>
                <w:color w:val="auto"/>
                <w:sz w:val="21"/>
                <w:szCs w:val="21"/>
              </w:rPr>
            </w:pPr>
          </w:p>
        </w:tc>
      </w:tr>
    </w:tbl>
    <w:p>
      <w:pPr>
        <w:shd w:val="clear"/>
        <w:spacing w:line="320" w:lineRule="exact"/>
        <w:ind w:left="500" w:firstLine="480"/>
        <w:rPr>
          <w:rFonts w:hAnsi="宋体"/>
          <w:color w:val="auto"/>
        </w:rPr>
      </w:pPr>
    </w:p>
    <w:p>
      <w:pPr>
        <w:pStyle w:val="31"/>
        <w:shd w:val="clear"/>
        <w:spacing w:after="0"/>
        <w:ind w:left="550" w:leftChars="229" w:right="480" w:firstLine="3554" w:firstLineChars="1475"/>
        <w:rPr>
          <w:b/>
          <w:color w:val="auto"/>
        </w:rPr>
      </w:pPr>
    </w:p>
    <w:p>
      <w:pPr>
        <w:shd w:val="clear"/>
        <w:spacing w:line="320" w:lineRule="exact"/>
        <w:ind w:left="500" w:firstLine="420"/>
        <w:rPr>
          <w:rFonts w:hAnsi="宋体"/>
          <w:color w:val="auto"/>
          <w:sz w:val="21"/>
          <w:szCs w:val="21"/>
        </w:rPr>
      </w:pPr>
      <w:r>
        <w:rPr>
          <w:rFonts w:hAnsi="宋体"/>
          <w:color w:val="auto"/>
          <w:sz w:val="21"/>
          <w:szCs w:val="21"/>
        </w:rPr>
        <w:t>注：</w:t>
      </w:r>
      <w:r>
        <w:rPr>
          <w:rFonts w:hint="eastAsia" w:hAnsi="宋体"/>
          <w:color w:val="auto"/>
          <w:sz w:val="21"/>
          <w:szCs w:val="21"/>
        </w:rPr>
        <w:t>（1）每个项目后面按本项目评分办法中相关评审要求提供业绩证明文件。</w:t>
      </w:r>
    </w:p>
    <w:p>
      <w:pPr>
        <w:shd w:val="clear"/>
        <w:spacing w:line="320" w:lineRule="exact"/>
        <w:ind w:left="499" w:leftChars="208" w:firstLine="840" w:firstLineChars="400"/>
        <w:rPr>
          <w:rFonts w:hAnsi="宋体"/>
          <w:color w:val="auto"/>
          <w:sz w:val="21"/>
          <w:szCs w:val="21"/>
        </w:rPr>
      </w:pPr>
      <w:r>
        <w:rPr>
          <w:rFonts w:hint="eastAsia" w:hAnsi="宋体"/>
          <w:color w:val="auto"/>
          <w:sz w:val="21"/>
          <w:szCs w:val="21"/>
        </w:rPr>
        <w:t>（2）每个项目一张表</w:t>
      </w:r>
    </w:p>
    <w:p>
      <w:pPr>
        <w:shd w:val="clear"/>
        <w:spacing w:line="200" w:lineRule="exact"/>
        <w:ind w:firstLine="480"/>
        <w:rPr>
          <w:rFonts w:hAnsi="宋体"/>
          <w:color w:val="auto"/>
        </w:rPr>
        <w:sectPr>
          <w:pgSz w:w="12240" w:h="15840"/>
          <w:pgMar w:top="1440" w:right="1440" w:bottom="1418" w:left="1440" w:header="0" w:footer="567" w:gutter="0"/>
          <w:cols w:space="720" w:num="1"/>
          <w:rtlGutter w:val="1"/>
          <w:docGrid w:linePitch="360" w:charSpace="0"/>
        </w:sectPr>
      </w:pPr>
    </w:p>
    <w:p>
      <w:pPr>
        <w:shd w:val="clear"/>
        <w:spacing w:line="200" w:lineRule="exact"/>
        <w:ind w:firstLine="480"/>
        <w:rPr>
          <w:rFonts w:hAnsi="宋体"/>
          <w:color w:val="auto"/>
        </w:rPr>
      </w:pPr>
    </w:p>
    <w:p>
      <w:pPr>
        <w:shd w:val="clear"/>
        <w:spacing w:line="2" w:lineRule="exact"/>
        <w:ind w:firstLine="480"/>
        <w:rPr>
          <w:rFonts w:hAnsi="宋体"/>
          <w:color w:val="auto"/>
        </w:rPr>
      </w:pPr>
    </w:p>
    <w:p>
      <w:pPr>
        <w:pStyle w:val="8"/>
        <w:shd w:val="clear"/>
        <w:ind w:firstLine="482"/>
        <w:rPr>
          <w:color w:val="auto"/>
        </w:rPr>
      </w:pPr>
      <w:bookmarkStart w:id="190" w:name="_Toc35513550"/>
      <w:r>
        <w:rPr>
          <w:rFonts w:hint="eastAsia"/>
          <w:color w:val="auto"/>
        </w:rPr>
        <w:t>（四）拟投入本项目人员一览表</w:t>
      </w:r>
      <w:bookmarkEnd w:id="190"/>
    </w:p>
    <w:tbl>
      <w:tblPr>
        <w:tblStyle w:val="32"/>
        <w:tblW w:w="0" w:type="auto"/>
        <w:tblInd w:w="0" w:type="dxa"/>
        <w:tblLayout w:type="fixed"/>
        <w:tblCellMar>
          <w:top w:w="0" w:type="dxa"/>
          <w:left w:w="108" w:type="dxa"/>
          <w:bottom w:w="0" w:type="dxa"/>
          <w:right w:w="108" w:type="dxa"/>
        </w:tblCellMar>
      </w:tblPr>
      <w:tblGrid>
        <w:gridCol w:w="486"/>
        <w:gridCol w:w="885"/>
        <w:gridCol w:w="684"/>
        <w:gridCol w:w="804"/>
        <w:gridCol w:w="744"/>
        <w:gridCol w:w="840"/>
        <w:gridCol w:w="816"/>
        <w:gridCol w:w="945"/>
        <w:gridCol w:w="1842"/>
        <w:gridCol w:w="2410"/>
        <w:gridCol w:w="1701"/>
        <w:gridCol w:w="851"/>
      </w:tblGrid>
      <w:tr>
        <w:tblPrEx>
          <w:tblCellMar>
            <w:top w:w="0" w:type="dxa"/>
            <w:left w:w="108" w:type="dxa"/>
            <w:bottom w:w="0" w:type="dxa"/>
            <w:right w:w="108" w:type="dxa"/>
          </w:tblCellMar>
        </w:tblPrEx>
        <w:trPr>
          <w:trHeight w:val="764" w:hRule="atLeast"/>
        </w:trPr>
        <w:tc>
          <w:tcPr>
            <w:tcW w:w="486"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r>
              <w:rPr>
                <w:rFonts w:hint="eastAsia" w:hAnsi="宋体" w:cs="仿宋"/>
                <w:color w:val="auto"/>
                <w:spacing w:val="1"/>
                <w:sz w:val="21"/>
                <w:szCs w:val="21"/>
              </w:rPr>
              <w:t>序号</w:t>
            </w:r>
          </w:p>
        </w:tc>
        <w:tc>
          <w:tcPr>
            <w:tcW w:w="885"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r>
              <w:rPr>
                <w:rFonts w:hint="eastAsia" w:hAnsi="宋体" w:cs="仿宋"/>
                <w:color w:val="auto"/>
                <w:spacing w:val="1"/>
                <w:sz w:val="21"/>
                <w:szCs w:val="21"/>
              </w:rPr>
              <w:t>姓名</w:t>
            </w:r>
          </w:p>
        </w:tc>
        <w:tc>
          <w:tcPr>
            <w:tcW w:w="68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r>
              <w:rPr>
                <w:rFonts w:hint="eastAsia" w:hAnsi="宋体" w:cs="仿宋"/>
                <w:color w:val="auto"/>
                <w:spacing w:val="1"/>
                <w:sz w:val="21"/>
                <w:szCs w:val="21"/>
              </w:rPr>
              <w:t>性别</w:t>
            </w:r>
          </w:p>
        </w:tc>
        <w:tc>
          <w:tcPr>
            <w:tcW w:w="80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r>
              <w:rPr>
                <w:rFonts w:hint="eastAsia" w:hAnsi="宋体" w:cs="仿宋"/>
                <w:color w:val="auto"/>
                <w:spacing w:val="1"/>
                <w:sz w:val="21"/>
                <w:szCs w:val="21"/>
              </w:rPr>
              <w:t>年龄</w:t>
            </w:r>
          </w:p>
        </w:tc>
        <w:tc>
          <w:tcPr>
            <w:tcW w:w="74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r>
              <w:rPr>
                <w:rFonts w:hint="eastAsia" w:hAnsi="宋体" w:cs="仿宋"/>
                <w:color w:val="auto"/>
                <w:spacing w:val="1"/>
                <w:sz w:val="21"/>
                <w:szCs w:val="21"/>
              </w:rPr>
              <w:t>技术职称</w:t>
            </w:r>
          </w:p>
        </w:tc>
        <w:tc>
          <w:tcPr>
            <w:tcW w:w="840"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pacing w:val="1"/>
                <w:sz w:val="21"/>
                <w:szCs w:val="21"/>
              </w:rPr>
            </w:pPr>
            <w:r>
              <w:rPr>
                <w:rFonts w:hint="eastAsia" w:hAnsi="宋体" w:cs="仿宋"/>
                <w:color w:val="auto"/>
                <w:spacing w:val="1"/>
                <w:sz w:val="21"/>
                <w:szCs w:val="21"/>
              </w:rPr>
              <w:t>所在</w:t>
            </w:r>
          </w:p>
          <w:p>
            <w:pPr>
              <w:shd w:val="clear"/>
              <w:tabs>
                <w:tab w:val="left" w:pos="11160"/>
              </w:tabs>
              <w:ind w:firstLine="0" w:firstLineChars="0"/>
              <w:jc w:val="center"/>
              <w:rPr>
                <w:rFonts w:hAnsi="宋体" w:cs="仿宋"/>
                <w:color w:val="auto"/>
                <w:sz w:val="21"/>
                <w:szCs w:val="21"/>
              </w:rPr>
            </w:pPr>
            <w:r>
              <w:rPr>
                <w:rFonts w:hint="eastAsia" w:hAnsi="宋体" w:cs="仿宋"/>
                <w:color w:val="auto"/>
                <w:spacing w:val="1"/>
                <w:sz w:val="21"/>
                <w:szCs w:val="21"/>
              </w:rPr>
              <w:t>单位</w:t>
            </w:r>
          </w:p>
        </w:tc>
        <w:tc>
          <w:tcPr>
            <w:tcW w:w="816"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r>
              <w:rPr>
                <w:rFonts w:hint="eastAsia" w:hAnsi="宋体" w:cs="仿宋"/>
                <w:color w:val="auto"/>
                <w:spacing w:val="1"/>
                <w:sz w:val="21"/>
                <w:szCs w:val="21"/>
              </w:rPr>
              <w:t>单位职务</w:t>
            </w:r>
          </w:p>
        </w:tc>
        <w:tc>
          <w:tcPr>
            <w:tcW w:w="945"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r>
              <w:rPr>
                <w:rFonts w:hint="eastAsia" w:hAnsi="宋体" w:cs="仿宋"/>
                <w:color w:val="auto"/>
                <w:spacing w:val="1"/>
                <w:sz w:val="21"/>
                <w:szCs w:val="21"/>
              </w:rPr>
              <w:t>专业</w:t>
            </w:r>
          </w:p>
        </w:tc>
        <w:tc>
          <w:tcPr>
            <w:tcW w:w="1842"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r>
              <w:rPr>
                <w:rFonts w:hint="eastAsia" w:hAnsi="宋体" w:cs="仿宋"/>
                <w:color w:val="auto"/>
                <w:spacing w:val="1"/>
                <w:sz w:val="21"/>
                <w:szCs w:val="21"/>
              </w:rPr>
              <w:t>本项目拟任职</w:t>
            </w:r>
          </w:p>
        </w:tc>
        <w:tc>
          <w:tcPr>
            <w:tcW w:w="2410"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pacing w:val="1"/>
                <w:sz w:val="21"/>
                <w:szCs w:val="21"/>
              </w:rPr>
            </w:pPr>
            <w:r>
              <w:rPr>
                <w:rFonts w:hint="eastAsia" w:hAnsi="宋体" w:cs="仿宋"/>
                <w:color w:val="auto"/>
                <w:spacing w:val="1"/>
                <w:sz w:val="21"/>
                <w:szCs w:val="21"/>
              </w:rPr>
              <w:t>执业或职业资格证书名称/证号</w:t>
            </w:r>
          </w:p>
        </w:tc>
        <w:tc>
          <w:tcPr>
            <w:tcW w:w="1701"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pacing w:val="1"/>
                <w:sz w:val="21"/>
                <w:szCs w:val="21"/>
              </w:rPr>
            </w:pPr>
            <w:r>
              <w:rPr>
                <w:rFonts w:hint="eastAsia" w:hAnsi="宋体" w:cs="仿宋"/>
                <w:color w:val="auto"/>
                <w:spacing w:val="1"/>
                <w:sz w:val="21"/>
                <w:szCs w:val="21"/>
              </w:rPr>
              <w:t>目前正承担的其它项目情况</w:t>
            </w:r>
          </w:p>
        </w:tc>
        <w:tc>
          <w:tcPr>
            <w:tcW w:w="851"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r>
              <w:rPr>
                <w:rFonts w:hint="eastAsia" w:hAnsi="宋体" w:cs="仿宋"/>
                <w:color w:val="auto"/>
                <w:spacing w:val="1"/>
                <w:sz w:val="21"/>
                <w:szCs w:val="21"/>
              </w:rPr>
              <w:t>备注</w:t>
            </w:r>
          </w:p>
        </w:tc>
      </w:tr>
      <w:tr>
        <w:tblPrEx>
          <w:tblCellMar>
            <w:top w:w="0" w:type="dxa"/>
            <w:left w:w="108" w:type="dxa"/>
            <w:bottom w:w="0" w:type="dxa"/>
            <w:right w:w="108" w:type="dxa"/>
          </w:tblCellMar>
        </w:tblPrEx>
        <w:trPr>
          <w:trHeight w:val="434" w:hRule="atLeast"/>
        </w:trPr>
        <w:tc>
          <w:tcPr>
            <w:tcW w:w="486"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r>
              <w:rPr>
                <w:rFonts w:hint="eastAsia" w:hAnsi="宋体" w:cs="仿宋"/>
                <w:color w:val="auto"/>
                <w:sz w:val="21"/>
                <w:szCs w:val="21"/>
              </w:rPr>
              <w:t>1</w:t>
            </w:r>
          </w:p>
        </w:tc>
        <w:tc>
          <w:tcPr>
            <w:tcW w:w="885"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68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0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74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1842"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r>
      <w:tr>
        <w:tblPrEx>
          <w:tblCellMar>
            <w:top w:w="0" w:type="dxa"/>
            <w:left w:w="108" w:type="dxa"/>
            <w:bottom w:w="0" w:type="dxa"/>
            <w:right w:w="108" w:type="dxa"/>
          </w:tblCellMar>
        </w:tblPrEx>
        <w:trPr>
          <w:trHeight w:val="453" w:hRule="atLeast"/>
        </w:trPr>
        <w:tc>
          <w:tcPr>
            <w:tcW w:w="486"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r>
              <w:rPr>
                <w:rFonts w:hint="eastAsia" w:hAnsi="宋体" w:cs="仿宋"/>
                <w:color w:val="auto"/>
                <w:sz w:val="21"/>
                <w:szCs w:val="21"/>
              </w:rPr>
              <w:t>2</w:t>
            </w:r>
          </w:p>
        </w:tc>
        <w:tc>
          <w:tcPr>
            <w:tcW w:w="885"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68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0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74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1842"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r>
      <w:tr>
        <w:tblPrEx>
          <w:tblCellMar>
            <w:top w:w="0" w:type="dxa"/>
            <w:left w:w="108" w:type="dxa"/>
            <w:bottom w:w="0" w:type="dxa"/>
            <w:right w:w="108" w:type="dxa"/>
          </w:tblCellMar>
        </w:tblPrEx>
        <w:trPr>
          <w:trHeight w:val="458" w:hRule="atLeast"/>
        </w:trPr>
        <w:tc>
          <w:tcPr>
            <w:tcW w:w="486"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r>
              <w:rPr>
                <w:rFonts w:hint="eastAsia" w:hAnsi="宋体" w:cs="仿宋"/>
                <w:color w:val="auto"/>
                <w:sz w:val="21"/>
                <w:szCs w:val="21"/>
              </w:rPr>
              <w:t>3</w:t>
            </w:r>
          </w:p>
        </w:tc>
        <w:tc>
          <w:tcPr>
            <w:tcW w:w="885"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68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0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74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1842"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r>
      <w:tr>
        <w:tblPrEx>
          <w:tblCellMar>
            <w:top w:w="0" w:type="dxa"/>
            <w:left w:w="108" w:type="dxa"/>
            <w:bottom w:w="0" w:type="dxa"/>
            <w:right w:w="108" w:type="dxa"/>
          </w:tblCellMar>
        </w:tblPrEx>
        <w:trPr>
          <w:trHeight w:val="450" w:hRule="atLeast"/>
        </w:trPr>
        <w:tc>
          <w:tcPr>
            <w:tcW w:w="486"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r>
              <w:rPr>
                <w:rFonts w:hint="eastAsia" w:hAnsi="宋体" w:cs="仿宋"/>
                <w:color w:val="auto"/>
                <w:sz w:val="21"/>
                <w:szCs w:val="21"/>
              </w:rPr>
              <w:t>4</w:t>
            </w:r>
          </w:p>
        </w:tc>
        <w:tc>
          <w:tcPr>
            <w:tcW w:w="885"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68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0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74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1842"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r>
      <w:tr>
        <w:tblPrEx>
          <w:tblCellMar>
            <w:top w:w="0" w:type="dxa"/>
            <w:left w:w="108" w:type="dxa"/>
            <w:bottom w:w="0" w:type="dxa"/>
            <w:right w:w="108" w:type="dxa"/>
          </w:tblCellMar>
        </w:tblPrEx>
        <w:trPr>
          <w:trHeight w:val="442" w:hRule="atLeast"/>
        </w:trPr>
        <w:tc>
          <w:tcPr>
            <w:tcW w:w="486"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r>
              <w:rPr>
                <w:rFonts w:hint="eastAsia" w:hAnsi="宋体" w:cs="仿宋"/>
                <w:color w:val="auto"/>
                <w:sz w:val="21"/>
                <w:szCs w:val="21"/>
              </w:rPr>
              <w:t>5</w:t>
            </w:r>
          </w:p>
        </w:tc>
        <w:tc>
          <w:tcPr>
            <w:tcW w:w="885"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68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0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74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1842"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r>
      <w:tr>
        <w:tblPrEx>
          <w:tblCellMar>
            <w:top w:w="0" w:type="dxa"/>
            <w:left w:w="108" w:type="dxa"/>
            <w:bottom w:w="0" w:type="dxa"/>
            <w:right w:w="108" w:type="dxa"/>
          </w:tblCellMar>
        </w:tblPrEx>
        <w:trPr>
          <w:trHeight w:val="462" w:hRule="atLeast"/>
        </w:trPr>
        <w:tc>
          <w:tcPr>
            <w:tcW w:w="486"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r>
              <w:rPr>
                <w:rFonts w:hint="eastAsia" w:hAnsi="宋体" w:cs="仿宋"/>
                <w:color w:val="auto"/>
                <w:sz w:val="21"/>
                <w:szCs w:val="21"/>
              </w:rPr>
              <w:t>6</w:t>
            </w:r>
          </w:p>
        </w:tc>
        <w:tc>
          <w:tcPr>
            <w:tcW w:w="885"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68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0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74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1842"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r>
      <w:tr>
        <w:tblPrEx>
          <w:tblCellMar>
            <w:top w:w="0" w:type="dxa"/>
            <w:left w:w="108" w:type="dxa"/>
            <w:bottom w:w="0" w:type="dxa"/>
            <w:right w:w="108" w:type="dxa"/>
          </w:tblCellMar>
        </w:tblPrEx>
        <w:trPr>
          <w:trHeight w:val="454" w:hRule="atLeast"/>
        </w:trPr>
        <w:tc>
          <w:tcPr>
            <w:tcW w:w="486"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r>
              <w:rPr>
                <w:rFonts w:hint="eastAsia" w:hAnsi="宋体" w:cs="仿宋"/>
                <w:color w:val="auto"/>
                <w:sz w:val="21"/>
                <w:szCs w:val="21"/>
              </w:rPr>
              <w:t>7</w:t>
            </w:r>
          </w:p>
        </w:tc>
        <w:tc>
          <w:tcPr>
            <w:tcW w:w="885"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68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0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74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1842"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r>
      <w:tr>
        <w:tblPrEx>
          <w:tblCellMar>
            <w:top w:w="0" w:type="dxa"/>
            <w:left w:w="108" w:type="dxa"/>
            <w:bottom w:w="0" w:type="dxa"/>
            <w:right w:w="108" w:type="dxa"/>
          </w:tblCellMar>
        </w:tblPrEx>
        <w:trPr>
          <w:trHeight w:val="452" w:hRule="atLeast"/>
        </w:trPr>
        <w:tc>
          <w:tcPr>
            <w:tcW w:w="486"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r>
              <w:rPr>
                <w:rFonts w:hAnsi="宋体" w:cs="仿宋"/>
                <w:color w:val="auto"/>
                <w:sz w:val="21"/>
                <w:szCs w:val="21"/>
              </w:rPr>
              <w:t>…</w:t>
            </w:r>
          </w:p>
        </w:tc>
        <w:tc>
          <w:tcPr>
            <w:tcW w:w="885"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68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0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744"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1842"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hd w:val="clear"/>
              <w:tabs>
                <w:tab w:val="left" w:pos="11160"/>
              </w:tabs>
              <w:ind w:firstLine="0" w:firstLineChars="0"/>
              <w:jc w:val="center"/>
              <w:rPr>
                <w:rFonts w:hAnsi="宋体" w:cs="仿宋"/>
                <w:color w:val="auto"/>
                <w:sz w:val="21"/>
                <w:szCs w:val="21"/>
              </w:rPr>
            </w:pPr>
          </w:p>
        </w:tc>
      </w:tr>
    </w:tbl>
    <w:p>
      <w:pPr>
        <w:shd w:val="clear"/>
        <w:tabs>
          <w:tab w:val="left" w:pos="11160"/>
        </w:tabs>
        <w:ind w:firstLine="420"/>
        <w:rPr>
          <w:rFonts w:hAnsi="宋体" w:cs="仿宋"/>
          <w:color w:val="auto"/>
          <w:sz w:val="21"/>
          <w:szCs w:val="21"/>
        </w:rPr>
      </w:pPr>
      <w:r>
        <w:rPr>
          <w:rFonts w:hint="eastAsia" w:hAnsi="宋体" w:cs="仿宋"/>
          <w:color w:val="auto"/>
          <w:sz w:val="21"/>
          <w:szCs w:val="21"/>
        </w:rPr>
        <w:t>注：</w:t>
      </w:r>
    </w:p>
    <w:p>
      <w:pPr>
        <w:shd w:val="clear"/>
        <w:spacing w:line="240" w:lineRule="auto"/>
        <w:ind w:left="482" w:firstLine="0" w:firstLineChars="0"/>
        <w:rPr>
          <w:color w:val="auto"/>
          <w:spacing w:val="18"/>
          <w:sz w:val="21"/>
          <w:szCs w:val="21"/>
        </w:rPr>
      </w:pPr>
      <w:r>
        <w:rPr>
          <w:rFonts w:hint="eastAsia"/>
          <w:color w:val="auto"/>
          <w:sz w:val="21"/>
          <w:szCs w:val="21"/>
        </w:rPr>
        <w:t>1、本表可根据实际情况增栏填写</w:t>
      </w:r>
      <w:r>
        <w:rPr>
          <w:rFonts w:hint="eastAsia"/>
          <w:color w:val="auto"/>
          <w:spacing w:val="18"/>
          <w:sz w:val="21"/>
          <w:szCs w:val="21"/>
        </w:rPr>
        <w:t>。按第五章委托人要求及相关评审备注提供人员证明文件。</w:t>
      </w:r>
    </w:p>
    <w:p>
      <w:pPr>
        <w:shd w:val="clear"/>
        <w:spacing w:line="240" w:lineRule="auto"/>
        <w:ind w:left="482" w:firstLine="0" w:firstLineChars="0"/>
        <w:rPr>
          <w:color w:val="auto"/>
          <w:spacing w:val="18"/>
          <w:sz w:val="21"/>
          <w:szCs w:val="21"/>
        </w:rPr>
      </w:pPr>
      <w:r>
        <w:rPr>
          <w:rFonts w:hint="eastAsia"/>
          <w:color w:val="auto"/>
          <w:spacing w:val="18"/>
          <w:sz w:val="21"/>
          <w:szCs w:val="21"/>
        </w:rPr>
        <w:t>2、</w:t>
      </w:r>
      <w:r>
        <w:rPr>
          <w:rFonts w:hint="eastAsia"/>
          <w:color w:val="auto"/>
          <w:sz w:val="21"/>
          <w:szCs w:val="21"/>
        </w:rPr>
        <w:t>应附身份证、毕业证（</w:t>
      </w:r>
      <w:r>
        <w:rPr>
          <w:rFonts w:hint="eastAsia" w:ascii="仿宋_GB2312" w:eastAsia="仿宋_GB2312"/>
          <w:color w:val="auto"/>
          <w:sz w:val="21"/>
          <w:szCs w:val="21"/>
        </w:rPr>
        <w:t>以</w:t>
      </w:r>
      <w:r>
        <w:rPr>
          <w:rFonts w:hint="eastAsia"/>
          <w:color w:val="auto"/>
          <w:sz w:val="21"/>
          <w:szCs w:val="21"/>
        </w:rPr>
        <w:t>最高学历为准）、职称证</w:t>
      </w:r>
      <w:r>
        <w:rPr>
          <w:rFonts w:hint="eastAsia"/>
          <w:color w:val="auto"/>
          <w:spacing w:val="18"/>
          <w:sz w:val="21"/>
          <w:szCs w:val="21"/>
        </w:rPr>
        <w:t>（如有）</w:t>
      </w:r>
      <w:r>
        <w:rPr>
          <w:rFonts w:hint="eastAsia"/>
          <w:color w:val="auto"/>
          <w:sz w:val="21"/>
          <w:szCs w:val="21"/>
        </w:rPr>
        <w:t>、资格证</w:t>
      </w:r>
      <w:r>
        <w:rPr>
          <w:rFonts w:hint="eastAsia"/>
          <w:color w:val="auto"/>
          <w:spacing w:val="18"/>
          <w:sz w:val="21"/>
          <w:szCs w:val="21"/>
        </w:rPr>
        <w:t>（如有）</w:t>
      </w:r>
      <w:r>
        <w:rPr>
          <w:rFonts w:hint="eastAsia"/>
          <w:color w:val="auto"/>
          <w:sz w:val="21"/>
          <w:szCs w:val="21"/>
        </w:rPr>
        <w:t>、注册证（如有）</w:t>
      </w:r>
      <w:r>
        <w:rPr>
          <w:rFonts w:hint="eastAsia"/>
          <w:color w:val="auto"/>
          <w:spacing w:val="18"/>
          <w:sz w:val="21"/>
          <w:szCs w:val="21"/>
        </w:rPr>
        <w:t>及2023年10月投标人单位为员工购买的社保机构出具的社保证明。</w:t>
      </w:r>
    </w:p>
    <w:p>
      <w:pPr>
        <w:shd w:val="clear"/>
        <w:spacing w:line="240" w:lineRule="auto"/>
        <w:ind w:left="482" w:firstLine="0" w:firstLineChars="0"/>
        <w:rPr>
          <w:color w:val="auto"/>
          <w:spacing w:val="18"/>
          <w:sz w:val="21"/>
          <w:szCs w:val="21"/>
        </w:rPr>
      </w:pPr>
      <w:r>
        <w:rPr>
          <w:rFonts w:hint="eastAsia"/>
          <w:color w:val="auto"/>
          <w:spacing w:val="18"/>
          <w:sz w:val="21"/>
          <w:szCs w:val="21"/>
        </w:rPr>
        <w:t>3、投标人可适当调整该表格式，但不得减少信息内容。</w:t>
      </w:r>
    </w:p>
    <w:p>
      <w:pPr>
        <w:shd w:val="clear"/>
        <w:spacing w:line="240" w:lineRule="auto"/>
        <w:ind w:left="482" w:firstLine="0" w:firstLineChars="0"/>
        <w:rPr>
          <w:color w:val="auto"/>
          <w:spacing w:val="18"/>
        </w:rPr>
      </w:pPr>
      <w:r>
        <w:rPr>
          <w:rFonts w:hint="eastAsia"/>
          <w:color w:val="auto"/>
          <w:spacing w:val="18"/>
          <w:sz w:val="21"/>
          <w:szCs w:val="21"/>
        </w:rPr>
        <w:t>4、在册人员标识“○”，外聘人员标识“□”。可在备注栏内标注。</w:t>
      </w:r>
      <w:r>
        <w:rPr>
          <w:rFonts w:hint="eastAsia" w:hAnsi="宋体" w:cs="仿宋"/>
          <w:color w:val="auto"/>
          <w:spacing w:val="18"/>
          <w:sz w:val="21"/>
          <w:szCs w:val="21"/>
        </w:rPr>
        <w:t xml:space="preserve">            </w:t>
      </w:r>
    </w:p>
    <w:p>
      <w:pPr>
        <w:shd w:val="clear"/>
        <w:tabs>
          <w:tab w:val="left" w:pos="7655"/>
        </w:tabs>
        <w:ind w:right="492" w:firstLine="492"/>
        <w:jc w:val="center"/>
        <w:rPr>
          <w:rFonts w:hAnsi="宋体" w:cs="仿宋"/>
          <w:color w:val="auto"/>
          <w:spacing w:val="18"/>
          <w:sz w:val="21"/>
          <w:szCs w:val="21"/>
        </w:rPr>
      </w:pPr>
      <w:r>
        <w:rPr>
          <w:rFonts w:hint="eastAsia" w:hAnsi="宋体" w:cs="仿宋"/>
          <w:color w:val="auto"/>
          <w:spacing w:val="18"/>
          <w:sz w:val="21"/>
          <w:szCs w:val="21"/>
        </w:rPr>
        <w:t xml:space="preserve">                 </w:t>
      </w:r>
    </w:p>
    <w:p>
      <w:pPr>
        <w:shd w:val="clear"/>
        <w:tabs>
          <w:tab w:val="left" w:pos="2160"/>
        </w:tabs>
        <w:ind w:firstLine="420"/>
        <w:rPr>
          <w:rFonts w:hAnsi="宋体" w:cs="仿宋"/>
          <w:color w:val="auto"/>
          <w:sz w:val="21"/>
          <w:szCs w:val="21"/>
        </w:rPr>
        <w:sectPr>
          <w:pgSz w:w="15840" w:h="12240" w:orient="landscape"/>
          <w:pgMar w:top="1440" w:right="1418" w:bottom="1440" w:left="1440" w:header="0" w:footer="567" w:gutter="0"/>
          <w:cols w:space="720" w:num="1"/>
          <w:rtlGutter w:val="1"/>
          <w:docGrid w:linePitch="360" w:charSpace="0"/>
        </w:sectPr>
      </w:pPr>
      <w:r>
        <w:rPr>
          <w:rFonts w:hAnsi="宋体" w:cs="仿宋"/>
          <w:color w:val="auto"/>
          <w:sz w:val="21"/>
          <w:szCs w:val="21"/>
        </w:rPr>
        <w:tab/>
      </w:r>
    </w:p>
    <w:p>
      <w:pPr>
        <w:shd w:val="clear"/>
        <w:spacing w:line="200" w:lineRule="exact"/>
        <w:ind w:firstLine="0" w:firstLineChars="0"/>
        <w:rPr>
          <w:rFonts w:hAnsi="宋体"/>
          <w:color w:val="auto"/>
        </w:rPr>
      </w:pPr>
    </w:p>
    <w:p>
      <w:pPr>
        <w:pStyle w:val="8"/>
        <w:shd w:val="clear"/>
        <w:ind w:firstLine="198" w:firstLineChars="82"/>
        <w:rPr>
          <w:color w:val="auto"/>
        </w:rPr>
      </w:pPr>
      <w:bookmarkStart w:id="191" w:name="_Toc35513551"/>
      <w:r>
        <w:rPr>
          <w:rFonts w:hint="eastAsia"/>
          <w:color w:val="auto"/>
        </w:rPr>
        <w:t>（五）拟投入本项目主要负责人员简历表</w:t>
      </w:r>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6"/>
        <w:gridCol w:w="1469"/>
        <w:gridCol w:w="1316"/>
        <w:gridCol w:w="888"/>
        <w:gridCol w:w="850"/>
        <w:gridCol w:w="955"/>
        <w:gridCol w:w="989"/>
        <w:gridCol w:w="800"/>
        <w:gridCol w:w="8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exact"/>
        </w:trPr>
        <w:tc>
          <w:tcPr>
            <w:tcW w:w="1576" w:type="dxa"/>
            <w:tcBorders>
              <w:top w:val="single" w:color="auto" w:sz="12" w:space="0"/>
              <w:left w:val="single" w:color="auto" w:sz="12" w:space="0"/>
              <w:bottom w:val="single" w:color="auto" w:sz="6" w:space="0"/>
              <w:right w:val="single" w:color="auto" w:sz="6" w:space="0"/>
            </w:tcBorders>
            <w:vAlign w:val="center"/>
          </w:tcPr>
          <w:p>
            <w:pPr>
              <w:shd w:val="clear"/>
              <w:ind w:firstLine="0" w:firstLineChars="0"/>
              <w:jc w:val="center"/>
              <w:rPr>
                <w:rFonts w:hAnsi="宋体" w:cs="仿宋"/>
                <w:color w:val="auto"/>
                <w:sz w:val="21"/>
                <w:szCs w:val="21"/>
              </w:rPr>
            </w:pPr>
            <w:r>
              <w:rPr>
                <w:rFonts w:hint="eastAsia" w:hAnsi="宋体" w:cs="仿宋"/>
                <w:color w:val="auto"/>
                <w:sz w:val="21"/>
                <w:szCs w:val="21"/>
              </w:rPr>
              <w:t>姓 名</w:t>
            </w:r>
          </w:p>
        </w:tc>
        <w:tc>
          <w:tcPr>
            <w:tcW w:w="1469" w:type="dxa"/>
            <w:tcBorders>
              <w:top w:val="single" w:color="auto" w:sz="12" w:space="0"/>
              <w:left w:val="single" w:color="auto" w:sz="6" w:space="0"/>
              <w:bottom w:val="single" w:color="auto" w:sz="6" w:space="0"/>
              <w:right w:val="single" w:color="auto" w:sz="6" w:space="0"/>
            </w:tcBorders>
            <w:vAlign w:val="center"/>
          </w:tcPr>
          <w:p>
            <w:pPr>
              <w:shd w:val="clear"/>
              <w:ind w:firstLine="0" w:firstLineChars="0"/>
              <w:jc w:val="center"/>
              <w:rPr>
                <w:rFonts w:hAnsi="宋体" w:cs="仿宋"/>
                <w:color w:val="auto"/>
                <w:sz w:val="21"/>
                <w:szCs w:val="21"/>
              </w:rPr>
            </w:pPr>
          </w:p>
        </w:tc>
        <w:tc>
          <w:tcPr>
            <w:tcW w:w="1316" w:type="dxa"/>
            <w:tcBorders>
              <w:top w:val="single" w:color="auto" w:sz="12" w:space="0"/>
              <w:left w:val="single" w:color="auto" w:sz="6" w:space="0"/>
              <w:bottom w:val="single" w:color="auto" w:sz="6" w:space="0"/>
              <w:right w:val="single" w:color="auto" w:sz="6" w:space="0"/>
            </w:tcBorders>
            <w:vAlign w:val="center"/>
          </w:tcPr>
          <w:p>
            <w:pPr>
              <w:shd w:val="clear"/>
              <w:ind w:firstLine="0" w:firstLineChars="0"/>
              <w:jc w:val="center"/>
              <w:rPr>
                <w:rFonts w:hAnsi="宋体" w:cs="仿宋"/>
                <w:color w:val="auto"/>
                <w:sz w:val="21"/>
                <w:szCs w:val="21"/>
              </w:rPr>
            </w:pPr>
            <w:r>
              <w:rPr>
                <w:rFonts w:hint="eastAsia" w:hAnsi="宋体" w:cs="仿宋"/>
                <w:color w:val="auto"/>
                <w:sz w:val="21"/>
                <w:szCs w:val="21"/>
              </w:rPr>
              <w:t>性别</w:t>
            </w:r>
          </w:p>
        </w:tc>
        <w:tc>
          <w:tcPr>
            <w:tcW w:w="888" w:type="dxa"/>
            <w:tcBorders>
              <w:top w:val="single" w:color="auto" w:sz="12" w:space="0"/>
              <w:left w:val="single" w:color="auto" w:sz="6" w:space="0"/>
              <w:bottom w:val="single" w:color="auto" w:sz="6" w:space="0"/>
              <w:right w:val="single" w:color="auto" w:sz="6" w:space="0"/>
            </w:tcBorders>
            <w:vAlign w:val="center"/>
          </w:tcPr>
          <w:p>
            <w:pPr>
              <w:shd w:val="clear"/>
              <w:ind w:firstLine="0" w:firstLineChars="0"/>
              <w:jc w:val="center"/>
              <w:rPr>
                <w:rFonts w:hAnsi="宋体" w:cs="仿宋"/>
                <w:color w:val="auto"/>
                <w:sz w:val="21"/>
                <w:szCs w:val="21"/>
              </w:rPr>
            </w:pPr>
          </w:p>
        </w:tc>
        <w:tc>
          <w:tcPr>
            <w:tcW w:w="840" w:type="dxa"/>
            <w:tcBorders>
              <w:top w:val="single" w:color="auto" w:sz="12" w:space="0"/>
              <w:left w:val="single" w:color="auto" w:sz="6" w:space="0"/>
              <w:bottom w:val="single" w:color="auto" w:sz="6" w:space="0"/>
              <w:right w:val="single" w:color="auto" w:sz="6" w:space="0"/>
            </w:tcBorders>
            <w:vAlign w:val="center"/>
          </w:tcPr>
          <w:p>
            <w:pPr>
              <w:shd w:val="clear"/>
              <w:ind w:firstLine="0" w:firstLineChars="0"/>
              <w:jc w:val="center"/>
              <w:rPr>
                <w:rFonts w:hAnsi="宋体" w:cs="仿宋"/>
                <w:color w:val="auto"/>
                <w:sz w:val="21"/>
                <w:szCs w:val="21"/>
              </w:rPr>
            </w:pPr>
            <w:r>
              <w:rPr>
                <w:rFonts w:hint="eastAsia" w:hAnsi="宋体" w:cs="仿宋"/>
                <w:color w:val="auto"/>
                <w:sz w:val="21"/>
                <w:szCs w:val="21"/>
              </w:rPr>
              <w:t>出生 年月</w:t>
            </w:r>
          </w:p>
        </w:tc>
        <w:tc>
          <w:tcPr>
            <w:tcW w:w="1934" w:type="dxa"/>
            <w:gridSpan w:val="2"/>
            <w:tcBorders>
              <w:top w:val="single" w:color="auto" w:sz="12" w:space="0"/>
              <w:left w:val="single" w:color="auto" w:sz="6" w:space="0"/>
              <w:bottom w:val="single" w:color="auto" w:sz="6" w:space="0"/>
              <w:right w:val="single" w:color="auto" w:sz="4" w:space="0"/>
            </w:tcBorders>
            <w:vAlign w:val="center"/>
          </w:tcPr>
          <w:p>
            <w:pPr>
              <w:shd w:val="clear"/>
              <w:ind w:firstLine="0" w:firstLineChars="0"/>
              <w:jc w:val="center"/>
              <w:rPr>
                <w:rFonts w:hAnsi="宋体" w:cs="仿宋"/>
                <w:color w:val="auto"/>
                <w:sz w:val="21"/>
                <w:szCs w:val="21"/>
              </w:rPr>
            </w:pPr>
          </w:p>
        </w:tc>
        <w:tc>
          <w:tcPr>
            <w:tcW w:w="800" w:type="dxa"/>
            <w:tcBorders>
              <w:top w:val="single" w:color="auto" w:sz="12" w:space="0"/>
              <w:left w:val="single" w:color="auto" w:sz="4" w:space="0"/>
              <w:bottom w:val="single" w:color="auto" w:sz="6" w:space="0"/>
              <w:right w:val="single" w:color="auto" w:sz="4" w:space="0"/>
            </w:tcBorders>
            <w:vAlign w:val="center"/>
          </w:tcPr>
          <w:p>
            <w:pPr>
              <w:shd w:val="clear"/>
              <w:ind w:firstLine="0" w:firstLineChars="0"/>
              <w:jc w:val="center"/>
              <w:rPr>
                <w:rFonts w:hAnsi="宋体" w:cs="仿宋"/>
                <w:color w:val="auto"/>
                <w:sz w:val="21"/>
                <w:szCs w:val="21"/>
              </w:rPr>
            </w:pPr>
            <w:r>
              <w:rPr>
                <w:rFonts w:hint="eastAsia" w:hAnsi="宋体" w:cs="仿宋"/>
                <w:color w:val="auto"/>
                <w:sz w:val="21"/>
                <w:szCs w:val="21"/>
              </w:rPr>
              <w:t>文化  程度</w:t>
            </w:r>
          </w:p>
        </w:tc>
        <w:tc>
          <w:tcPr>
            <w:tcW w:w="840" w:type="dxa"/>
            <w:tcBorders>
              <w:top w:val="single" w:color="auto" w:sz="12" w:space="0"/>
              <w:left w:val="single" w:color="auto" w:sz="4" w:space="0"/>
              <w:bottom w:val="single" w:color="auto" w:sz="6" w:space="0"/>
              <w:right w:val="single" w:color="auto" w:sz="12" w:space="0"/>
            </w:tcBorders>
            <w:vAlign w:val="center"/>
          </w:tcPr>
          <w:p>
            <w:pPr>
              <w:shd w:val="clear"/>
              <w:ind w:firstLine="0" w:firstLineChars="0"/>
              <w:jc w:val="center"/>
              <w:rPr>
                <w:rFonts w:hAnsi="宋体"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exact"/>
        </w:trPr>
        <w:tc>
          <w:tcPr>
            <w:tcW w:w="1576" w:type="dxa"/>
            <w:tcBorders>
              <w:top w:val="single" w:color="auto" w:sz="6" w:space="0"/>
              <w:left w:val="single" w:color="auto" w:sz="12" w:space="0"/>
              <w:bottom w:val="single" w:color="auto" w:sz="6" w:space="0"/>
              <w:right w:val="single" w:color="auto" w:sz="6" w:space="0"/>
            </w:tcBorders>
            <w:vAlign w:val="center"/>
          </w:tcPr>
          <w:p>
            <w:pPr>
              <w:shd w:val="clear"/>
              <w:ind w:firstLine="0" w:firstLineChars="0"/>
              <w:jc w:val="center"/>
              <w:rPr>
                <w:rFonts w:hAnsi="宋体" w:cs="仿宋"/>
                <w:color w:val="auto"/>
                <w:sz w:val="21"/>
                <w:szCs w:val="21"/>
              </w:rPr>
            </w:pPr>
            <w:r>
              <w:rPr>
                <w:rFonts w:hint="eastAsia" w:hAnsi="宋体" w:cs="仿宋"/>
                <w:color w:val="auto"/>
                <w:sz w:val="21"/>
                <w:szCs w:val="21"/>
              </w:rPr>
              <w:t>毕业院校</w:t>
            </w:r>
          </w:p>
        </w:tc>
        <w:tc>
          <w:tcPr>
            <w:tcW w:w="1469" w:type="dxa"/>
            <w:tcBorders>
              <w:top w:val="single" w:color="auto" w:sz="6" w:space="0"/>
              <w:left w:val="single" w:color="auto" w:sz="6" w:space="0"/>
              <w:bottom w:val="single" w:color="auto" w:sz="6" w:space="0"/>
              <w:right w:val="single" w:color="auto" w:sz="6" w:space="0"/>
            </w:tcBorders>
            <w:vAlign w:val="center"/>
          </w:tcPr>
          <w:p>
            <w:pPr>
              <w:shd w:val="clear"/>
              <w:ind w:firstLine="0" w:firstLineChars="0"/>
              <w:rPr>
                <w:rFonts w:hAnsi="宋体" w:cs="仿宋"/>
                <w:color w:val="auto"/>
                <w:sz w:val="21"/>
                <w:szCs w:val="21"/>
              </w:rPr>
            </w:pPr>
          </w:p>
        </w:tc>
        <w:tc>
          <w:tcPr>
            <w:tcW w:w="1316" w:type="dxa"/>
            <w:tcBorders>
              <w:top w:val="single" w:color="auto" w:sz="6" w:space="0"/>
              <w:left w:val="single" w:color="auto" w:sz="6" w:space="0"/>
              <w:bottom w:val="single" w:color="auto" w:sz="6" w:space="0"/>
              <w:right w:val="single" w:color="auto" w:sz="6" w:space="0"/>
            </w:tcBorders>
            <w:vAlign w:val="center"/>
          </w:tcPr>
          <w:p>
            <w:pPr>
              <w:shd w:val="clear"/>
              <w:ind w:firstLine="0" w:firstLineChars="0"/>
              <w:jc w:val="center"/>
              <w:rPr>
                <w:rFonts w:hAnsi="宋体" w:cs="仿宋"/>
                <w:color w:val="auto"/>
                <w:sz w:val="21"/>
                <w:szCs w:val="21"/>
              </w:rPr>
            </w:pPr>
            <w:r>
              <w:rPr>
                <w:rFonts w:hint="eastAsia" w:hAnsi="宋体" w:cs="仿宋"/>
                <w:color w:val="auto"/>
                <w:sz w:val="21"/>
                <w:szCs w:val="21"/>
              </w:rPr>
              <w:t xml:space="preserve">专业      </w:t>
            </w:r>
          </w:p>
        </w:tc>
        <w:tc>
          <w:tcPr>
            <w:tcW w:w="1728" w:type="dxa"/>
            <w:gridSpan w:val="2"/>
            <w:tcBorders>
              <w:top w:val="single" w:color="auto" w:sz="6" w:space="0"/>
              <w:left w:val="single" w:color="auto" w:sz="6" w:space="0"/>
              <w:bottom w:val="single" w:color="auto" w:sz="6" w:space="0"/>
              <w:right w:val="single" w:color="auto" w:sz="4" w:space="0"/>
            </w:tcBorders>
            <w:vAlign w:val="center"/>
          </w:tcPr>
          <w:p>
            <w:pPr>
              <w:shd w:val="clear"/>
              <w:ind w:firstLine="0" w:firstLineChars="0"/>
              <w:rPr>
                <w:rFonts w:hAnsi="宋体" w:cs="仿宋"/>
                <w:color w:val="auto"/>
                <w:sz w:val="21"/>
                <w:szCs w:val="21"/>
              </w:rPr>
            </w:pPr>
          </w:p>
        </w:tc>
        <w:tc>
          <w:tcPr>
            <w:tcW w:w="945" w:type="dxa"/>
            <w:tcBorders>
              <w:top w:val="single" w:color="auto" w:sz="6" w:space="0"/>
              <w:left w:val="single" w:color="auto" w:sz="4" w:space="0"/>
              <w:bottom w:val="single" w:color="auto" w:sz="6" w:space="0"/>
              <w:right w:val="single" w:color="auto" w:sz="4" w:space="0"/>
            </w:tcBorders>
            <w:vAlign w:val="center"/>
          </w:tcPr>
          <w:p>
            <w:pPr>
              <w:shd w:val="clear"/>
              <w:ind w:firstLine="0" w:firstLineChars="0"/>
              <w:jc w:val="center"/>
              <w:rPr>
                <w:rFonts w:hAnsi="宋体" w:cs="仿宋"/>
                <w:color w:val="auto"/>
                <w:sz w:val="21"/>
                <w:szCs w:val="21"/>
              </w:rPr>
            </w:pPr>
            <w:r>
              <w:rPr>
                <w:rFonts w:hint="eastAsia" w:hAnsi="宋体" w:cs="仿宋"/>
                <w:color w:val="auto"/>
                <w:sz w:val="21"/>
                <w:szCs w:val="21"/>
              </w:rPr>
              <w:t>毕业</w:t>
            </w:r>
          </w:p>
          <w:p>
            <w:pPr>
              <w:shd w:val="clear"/>
              <w:ind w:firstLine="0" w:firstLineChars="0"/>
              <w:jc w:val="center"/>
              <w:rPr>
                <w:rFonts w:hAnsi="宋体" w:cs="仿宋"/>
                <w:color w:val="auto"/>
                <w:sz w:val="21"/>
                <w:szCs w:val="21"/>
              </w:rPr>
            </w:pPr>
            <w:r>
              <w:rPr>
                <w:rFonts w:hint="eastAsia" w:hAnsi="宋体" w:cs="仿宋"/>
                <w:color w:val="auto"/>
                <w:sz w:val="21"/>
                <w:szCs w:val="21"/>
              </w:rPr>
              <w:t>时间</w:t>
            </w:r>
          </w:p>
        </w:tc>
        <w:tc>
          <w:tcPr>
            <w:tcW w:w="989" w:type="dxa"/>
            <w:tcBorders>
              <w:top w:val="single" w:color="auto" w:sz="6" w:space="0"/>
              <w:left w:val="single" w:color="auto" w:sz="4" w:space="0"/>
              <w:bottom w:val="single" w:color="auto" w:sz="6" w:space="0"/>
              <w:right w:val="single" w:color="auto" w:sz="6" w:space="0"/>
            </w:tcBorders>
            <w:vAlign w:val="center"/>
          </w:tcPr>
          <w:p>
            <w:pPr>
              <w:shd w:val="clear"/>
              <w:ind w:firstLine="0" w:firstLineChars="0"/>
              <w:rPr>
                <w:rFonts w:hAnsi="宋体" w:cs="仿宋"/>
                <w:color w:val="auto"/>
                <w:sz w:val="21"/>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hd w:val="clear"/>
              <w:ind w:firstLine="0" w:firstLineChars="0"/>
              <w:jc w:val="center"/>
              <w:rPr>
                <w:rFonts w:hAnsi="宋体" w:cs="仿宋"/>
                <w:color w:val="auto"/>
                <w:sz w:val="21"/>
                <w:szCs w:val="21"/>
              </w:rPr>
            </w:pPr>
            <w:r>
              <w:rPr>
                <w:rFonts w:hint="eastAsia" w:hAnsi="宋体" w:cs="仿宋"/>
                <w:color w:val="auto"/>
                <w:sz w:val="21"/>
                <w:szCs w:val="21"/>
              </w:rPr>
              <w:t>技术</w:t>
            </w:r>
          </w:p>
          <w:p>
            <w:pPr>
              <w:shd w:val="clear"/>
              <w:ind w:firstLine="0" w:firstLineChars="0"/>
              <w:jc w:val="center"/>
              <w:rPr>
                <w:rFonts w:hAnsi="宋体" w:cs="仿宋"/>
                <w:color w:val="auto"/>
                <w:sz w:val="21"/>
                <w:szCs w:val="21"/>
              </w:rPr>
            </w:pPr>
            <w:r>
              <w:rPr>
                <w:rFonts w:hint="eastAsia" w:hAnsi="宋体" w:cs="仿宋"/>
                <w:color w:val="auto"/>
                <w:sz w:val="21"/>
                <w:szCs w:val="21"/>
              </w:rPr>
              <w:t>职称</w:t>
            </w:r>
          </w:p>
        </w:tc>
        <w:tc>
          <w:tcPr>
            <w:tcW w:w="840" w:type="dxa"/>
            <w:tcBorders>
              <w:top w:val="single" w:color="auto" w:sz="6" w:space="0"/>
              <w:left w:val="single" w:color="auto" w:sz="4" w:space="0"/>
              <w:bottom w:val="single" w:color="auto" w:sz="6" w:space="0"/>
              <w:right w:val="single" w:color="auto" w:sz="12" w:space="0"/>
            </w:tcBorders>
            <w:vAlign w:val="center"/>
          </w:tcPr>
          <w:p>
            <w:pPr>
              <w:shd w:val="clear"/>
              <w:ind w:firstLine="0" w:firstLineChars="0"/>
              <w:rPr>
                <w:rFonts w:hAnsi="宋体"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exact"/>
        </w:trPr>
        <w:tc>
          <w:tcPr>
            <w:tcW w:w="1576" w:type="dxa"/>
            <w:tcBorders>
              <w:top w:val="single" w:color="auto" w:sz="6" w:space="0"/>
              <w:left w:val="single" w:color="auto" w:sz="12" w:space="0"/>
              <w:bottom w:val="single" w:color="auto" w:sz="6" w:space="0"/>
              <w:right w:val="single" w:color="auto" w:sz="6" w:space="0"/>
            </w:tcBorders>
            <w:vAlign w:val="center"/>
          </w:tcPr>
          <w:p>
            <w:pPr>
              <w:shd w:val="clear"/>
              <w:ind w:firstLine="0" w:firstLineChars="0"/>
              <w:jc w:val="center"/>
              <w:rPr>
                <w:rFonts w:hAnsi="宋体" w:cs="仿宋"/>
                <w:color w:val="auto"/>
                <w:sz w:val="21"/>
                <w:szCs w:val="21"/>
              </w:rPr>
            </w:pPr>
            <w:r>
              <w:rPr>
                <w:rFonts w:hint="eastAsia" w:hAnsi="宋体" w:cs="仿宋"/>
                <w:color w:val="auto"/>
                <w:sz w:val="21"/>
                <w:szCs w:val="21"/>
              </w:rPr>
              <w:t>拟在本项目   担任的职务</w:t>
            </w:r>
          </w:p>
        </w:tc>
        <w:tc>
          <w:tcPr>
            <w:tcW w:w="1469" w:type="dxa"/>
            <w:tcBorders>
              <w:top w:val="single" w:color="auto" w:sz="6" w:space="0"/>
              <w:left w:val="single" w:color="auto" w:sz="6" w:space="0"/>
              <w:bottom w:val="single" w:color="auto" w:sz="6" w:space="0"/>
              <w:right w:val="single" w:color="auto" w:sz="6" w:space="0"/>
            </w:tcBorders>
            <w:vAlign w:val="center"/>
          </w:tcPr>
          <w:p>
            <w:pPr>
              <w:shd w:val="clear"/>
              <w:ind w:firstLine="0" w:firstLineChars="0"/>
              <w:rPr>
                <w:rFonts w:hAnsi="宋体" w:cs="仿宋"/>
                <w:color w:val="auto"/>
                <w:sz w:val="21"/>
                <w:szCs w:val="21"/>
              </w:rPr>
            </w:pPr>
          </w:p>
        </w:tc>
        <w:tc>
          <w:tcPr>
            <w:tcW w:w="1316" w:type="dxa"/>
            <w:tcBorders>
              <w:top w:val="single" w:color="auto" w:sz="6" w:space="0"/>
              <w:left w:val="single" w:color="auto" w:sz="6" w:space="0"/>
              <w:bottom w:val="single" w:color="auto" w:sz="6" w:space="0"/>
              <w:right w:val="single" w:color="auto" w:sz="6" w:space="0"/>
            </w:tcBorders>
            <w:vAlign w:val="center"/>
          </w:tcPr>
          <w:p>
            <w:pPr>
              <w:shd w:val="clear"/>
              <w:ind w:firstLine="0" w:firstLineChars="0"/>
              <w:jc w:val="center"/>
              <w:rPr>
                <w:rFonts w:hAnsi="宋体" w:cs="仿宋"/>
                <w:color w:val="auto"/>
                <w:sz w:val="21"/>
                <w:szCs w:val="21"/>
              </w:rPr>
            </w:pPr>
            <w:r>
              <w:rPr>
                <w:rFonts w:hint="eastAsia" w:hAnsi="宋体" w:cs="仿宋"/>
                <w:color w:val="auto"/>
                <w:sz w:val="21"/>
                <w:szCs w:val="21"/>
              </w:rPr>
              <w:t>从事相关工作年限</w:t>
            </w:r>
          </w:p>
        </w:tc>
        <w:tc>
          <w:tcPr>
            <w:tcW w:w="1738" w:type="dxa"/>
            <w:gridSpan w:val="2"/>
            <w:tcBorders>
              <w:top w:val="single" w:color="auto" w:sz="6" w:space="0"/>
              <w:left w:val="single" w:color="auto" w:sz="6" w:space="0"/>
              <w:bottom w:val="single" w:color="auto" w:sz="6" w:space="0"/>
              <w:right w:val="single" w:color="auto" w:sz="6" w:space="0"/>
            </w:tcBorders>
            <w:vAlign w:val="center"/>
          </w:tcPr>
          <w:p>
            <w:pPr>
              <w:shd w:val="clear"/>
              <w:ind w:firstLine="0" w:firstLineChars="0"/>
              <w:rPr>
                <w:rFonts w:hAnsi="宋体" w:cs="仿宋"/>
                <w:color w:val="auto"/>
                <w:sz w:val="21"/>
                <w:szCs w:val="21"/>
              </w:rPr>
            </w:pPr>
          </w:p>
        </w:tc>
        <w:tc>
          <w:tcPr>
            <w:tcW w:w="955" w:type="dxa"/>
            <w:tcBorders>
              <w:top w:val="single" w:color="auto" w:sz="6" w:space="0"/>
              <w:left w:val="single" w:color="auto" w:sz="6" w:space="0"/>
              <w:bottom w:val="single" w:color="auto" w:sz="6" w:space="0"/>
              <w:right w:val="single" w:color="auto" w:sz="4" w:space="0"/>
            </w:tcBorders>
            <w:vAlign w:val="center"/>
          </w:tcPr>
          <w:p>
            <w:pPr>
              <w:shd w:val="clear"/>
              <w:ind w:firstLine="0" w:firstLineChars="0"/>
              <w:jc w:val="center"/>
              <w:rPr>
                <w:rFonts w:hAnsi="宋体" w:cs="仿宋"/>
                <w:color w:val="auto"/>
                <w:sz w:val="21"/>
                <w:szCs w:val="21"/>
              </w:rPr>
            </w:pPr>
            <w:r>
              <w:rPr>
                <w:rFonts w:hint="eastAsia" w:hAnsi="宋体" w:cs="仿宋"/>
                <w:color w:val="auto"/>
                <w:sz w:val="21"/>
                <w:szCs w:val="21"/>
              </w:rPr>
              <w:t>现任</w:t>
            </w:r>
          </w:p>
          <w:p>
            <w:pPr>
              <w:shd w:val="clear"/>
              <w:ind w:firstLine="0" w:firstLineChars="0"/>
              <w:jc w:val="center"/>
              <w:rPr>
                <w:rFonts w:hAnsi="宋体" w:cs="仿宋"/>
                <w:color w:val="auto"/>
                <w:sz w:val="21"/>
                <w:szCs w:val="21"/>
              </w:rPr>
            </w:pPr>
            <w:r>
              <w:rPr>
                <w:rFonts w:hint="eastAsia" w:hAnsi="宋体" w:cs="仿宋"/>
                <w:color w:val="auto"/>
                <w:sz w:val="21"/>
                <w:szCs w:val="21"/>
              </w:rPr>
              <w:t>职务</w:t>
            </w:r>
          </w:p>
        </w:tc>
        <w:tc>
          <w:tcPr>
            <w:tcW w:w="2609" w:type="dxa"/>
            <w:gridSpan w:val="3"/>
            <w:tcBorders>
              <w:top w:val="single" w:color="auto" w:sz="6" w:space="0"/>
              <w:left w:val="single" w:color="auto" w:sz="4" w:space="0"/>
              <w:bottom w:val="single" w:color="auto" w:sz="6" w:space="0"/>
              <w:right w:val="single" w:color="auto" w:sz="12" w:space="0"/>
            </w:tcBorders>
            <w:vAlign w:val="center"/>
          </w:tcPr>
          <w:p>
            <w:pPr>
              <w:shd w:val="clear"/>
              <w:ind w:firstLine="0" w:firstLineChars="0"/>
              <w:jc w:val="center"/>
              <w:rPr>
                <w:rFonts w:hAnsi="宋体"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9" w:hRule="exact"/>
        </w:trPr>
        <w:tc>
          <w:tcPr>
            <w:tcW w:w="1576" w:type="dxa"/>
            <w:tcBorders>
              <w:top w:val="single" w:color="auto" w:sz="6" w:space="0"/>
              <w:left w:val="single" w:color="auto" w:sz="12" w:space="0"/>
              <w:bottom w:val="single" w:color="auto" w:sz="6" w:space="0"/>
              <w:right w:val="single" w:color="auto" w:sz="6" w:space="0"/>
            </w:tcBorders>
            <w:vAlign w:val="center"/>
          </w:tcPr>
          <w:p>
            <w:pPr>
              <w:shd w:val="clear"/>
              <w:ind w:firstLine="0" w:firstLineChars="0"/>
              <w:jc w:val="center"/>
              <w:rPr>
                <w:rFonts w:hAnsi="宋体" w:cs="仿宋"/>
                <w:color w:val="auto"/>
                <w:sz w:val="21"/>
                <w:szCs w:val="21"/>
              </w:rPr>
            </w:pPr>
            <w:r>
              <w:rPr>
                <w:rFonts w:hint="eastAsia" w:hAnsi="宋体" w:cs="仿宋"/>
                <w:color w:val="auto"/>
                <w:sz w:val="21"/>
                <w:szCs w:val="21"/>
              </w:rPr>
              <w:t>资格证号</w:t>
            </w:r>
          </w:p>
        </w:tc>
        <w:tc>
          <w:tcPr>
            <w:tcW w:w="6447" w:type="dxa"/>
            <w:gridSpan w:val="6"/>
            <w:tcBorders>
              <w:top w:val="single" w:color="auto" w:sz="6" w:space="0"/>
              <w:left w:val="single" w:color="auto" w:sz="6" w:space="0"/>
              <w:bottom w:val="single" w:color="auto" w:sz="6" w:space="0"/>
              <w:right w:val="single" w:color="auto" w:sz="4" w:space="0"/>
            </w:tcBorders>
            <w:vAlign w:val="center"/>
          </w:tcPr>
          <w:p>
            <w:pPr>
              <w:shd w:val="clear"/>
              <w:ind w:firstLine="0" w:firstLineChars="0"/>
              <w:jc w:val="center"/>
              <w:rPr>
                <w:rFonts w:hAnsi="宋体" w:cs="仿宋"/>
                <w:color w:val="auto"/>
                <w:sz w:val="21"/>
                <w:szCs w:val="21"/>
              </w:rPr>
            </w:pPr>
          </w:p>
        </w:tc>
        <w:tc>
          <w:tcPr>
            <w:tcW w:w="800" w:type="dxa"/>
            <w:tcBorders>
              <w:top w:val="single" w:color="auto" w:sz="6" w:space="0"/>
              <w:left w:val="single" w:color="auto" w:sz="4" w:space="0"/>
              <w:bottom w:val="single" w:color="auto" w:sz="6" w:space="0"/>
              <w:right w:val="single" w:color="auto" w:sz="4" w:space="0"/>
            </w:tcBorders>
            <w:vAlign w:val="center"/>
          </w:tcPr>
          <w:p>
            <w:pPr>
              <w:shd w:val="clear"/>
              <w:ind w:firstLine="0" w:firstLineChars="0"/>
              <w:jc w:val="center"/>
              <w:rPr>
                <w:rFonts w:hAnsi="宋体" w:cs="仿宋"/>
                <w:color w:val="auto"/>
                <w:sz w:val="21"/>
                <w:szCs w:val="21"/>
              </w:rPr>
            </w:pPr>
            <w:r>
              <w:rPr>
                <w:rFonts w:hint="eastAsia" w:hAnsi="宋体" w:cs="仿宋"/>
                <w:color w:val="auto"/>
                <w:sz w:val="21"/>
                <w:szCs w:val="21"/>
              </w:rPr>
              <w:t>在册/外聘</w:t>
            </w:r>
          </w:p>
        </w:tc>
        <w:tc>
          <w:tcPr>
            <w:tcW w:w="840" w:type="dxa"/>
            <w:tcBorders>
              <w:top w:val="single" w:color="auto" w:sz="6" w:space="0"/>
              <w:left w:val="single" w:color="auto" w:sz="4" w:space="0"/>
              <w:bottom w:val="single" w:color="auto" w:sz="6" w:space="0"/>
              <w:right w:val="single" w:color="auto" w:sz="12" w:space="0"/>
            </w:tcBorders>
            <w:vAlign w:val="center"/>
          </w:tcPr>
          <w:p>
            <w:pPr>
              <w:shd w:val="clear"/>
              <w:ind w:firstLine="0" w:firstLineChars="0"/>
              <w:jc w:val="center"/>
              <w:rPr>
                <w:rFonts w:hAnsi="宋体"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8" w:hRule="exact"/>
        </w:trPr>
        <w:tc>
          <w:tcPr>
            <w:tcW w:w="1576" w:type="dxa"/>
            <w:vMerge w:val="restart"/>
            <w:tcBorders>
              <w:top w:val="single" w:color="auto" w:sz="6" w:space="0"/>
              <w:left w:val="single" w:color="auto" w:sz="12" w:space="0"/>
              <w:bottom w:val="single" w:color="auto" w:sz="12" w:space="0"/>
              <w:right w:val="single" w:color="auto" w:sz="6" w:space="0"/>
            </w:tcBorders>
            <w:vAlign w:val="center"/>
          </w:tcPr>
          <w:p>
            <w:pPr>
              <w:shd w:val="clear"/>
              <w:ind w:firstLine="0" w:firstLineChars="0"/>
              <w:jc w:val="center"/>
              <w:rPr>
                <w:rFonts w:hAnsi="宋体" w:cs="仿宋"/>
                <w:color w:val="auto"/>
                <w:sz w:val="21"/>
                <w:szCs w:val="21"/>
              </w:rPr>
            </w:pPr>
            <w:r>
              <w:rPr>
                <w:rFonts w:hint="eastAsia" w:hAnsi="宋体" w:cs="仿宋"/>
                <w:color w:val="auto"/>
                <w:sz w:val="21"/>
                <w:szCs w:val="21"/>
              </w:rPr>
              <w:t>主要</w:t>
            </w:r>
          </w:p>
          <w:p>
            <w:pPr>
              <w:shd w:val="clear"/>
              <w:ind w:firstLine="0" w:firstLineChars="0"/>
              <w:jc w:val="center"/>
              <w:rPr>
                <w:rFonts w:hAnsi="宋体" w:cs="仿宋"/>
                <w:color w:val="auto"/>
                <w:sz w:val="21"/>
                <w:szCs w:val="21"/>
              </w:rPr>
            </w:pPr>
            <w:r>
              <w:rPr>
                <w:rFonts w:hint="eastAsia" w:hAnsi="宋体" w:cs="仿宋"/>
                <w:color w:val="auto"/>
                <w:sz w:val="21"/>
                <w:szCs w:val="21"/>
              </w:rPr>
              <w:t>业绩</w:t>
            </w:r>
          </w:p>
          <w:p>
            <w:pPr>
              <w:shd w:val="clear"/>
              <w:ind w:firstLine="0" w:firstLineChars="0"/>
              <w:jc w:val="center"/>
              <w:rPr>
                <w:rFonts w:hAnsi="宋体" w:cs="仿宋"/>
                <w:color w:val="auto"/>
                <w:sz w:val="21"/>
                <w:szCs w:val="21"/>
              </w:rPr>
            </w:pPr>
          </w:p>
        </w:tc>
        <w:tc>
          <w:tcPr>
            <w:tcW w:w="1469" w:type="dxa"/>
            <w:tcBorders>
              <w:top w:val="single" w:color="auto" w:sz="6" w:space="0"/>
              <w:left w:val="single" w:color="auto" w:sz="6" w:space="0"/>
              <w:bottom w:val="single" w:color="auto" w:sz="4" w:space="0"/>
              <w:right w:val="single" w:color="auto" w:sz="4" w:space="0"/>
            </w:tcBorders>
            <w:vAlign w:val="center"/>
          </w:tcPr>
          <w:p>
            <w:pPr>
              <w:shd w:val="clear"/>
              <w:ind w:firstLine="0" w:firstLineChars="0"/>
              <w:jc w:val="center"/>
              <w:rPr>
                <w:rFonts w:hAnsi="宋体" w:cs="仿宋"/>
                <w:color w:val="auto"/>
                <w:sz w:val="21"/>
                <w:szCs w:val="21"/>
              </w:rPr>
            </w:pPr>
            <w:r>
              <w:rPr>
                <w:rFonts w:hint="eastAsia" w:hAnsi="宋体" w:cs="仿宋"/>
                <w:color w:val="auto"/>
                <w:sz w:val="21"/>
                <w:szCs w:val="21"/>
              </w:rPr>
              <w:t>时 间</w:t>
            </w:r>
          </w:p>
        </w:tc>
        <w:tc>
          <w:tcPr>
            <w:tcW w:w="3989" w:type="dxa"/>
            <w:gridSpan w:val="4"/>
            <w:tcBorders>
              <w:top w:val="single" w:color="auto" w:sz="6" w:space="0"/>
              <w:left w:val="nil"/>
              <w:bottom w:val="single" w:color="auto" w:sz="4" w:space="0"/>
              <w:right w:val="single" w:color="auto" w:sz="4" w:space="0"/>
            </w:tcBorders>
            <w:vAlign w:val="center"/>
          </w:tcPr>
          <w:p>
            <w:pPr>
              <w:shd w:val="clear"/>
              <w:ind w:firstLine="0" w:firstLineChars="0"/>
              <w:jc w:val="center"/>
              <w:rPr>
                <w:rFonts w:hAnsi="宋体" w:cs="仿宋"/>
                <w:color w:val="auto"/>
                <w:sz w:val="21"/>
                <w:szCs w:val="21"/>
              </w:rPr>
            </w:pPr>
            <w:r>
              <w:rPr>
                <w:rFonts w:hint="eastAsia" w:hAnsi="宋体" w:cs="仿宋"/>
                <w:color w:val="auto"/>
                <w:sz w:val="21"/>
                <w:szCs w:val="21"/>
              </w:rPr>
              <w:t>工  程 名 称</w:t>
            </w:r>
          </w:p>
        </w:tc>
        <w:tc>
          <w:tcPr>
            <w:tcW w:w="989" w:type="dxa"/>
            <w:tcBorders>
              <w:top w:val="single" w:color="auto" w:sz="6" w:space="0"/>
              <w:left w:val="nil"/>
              <w:bottom w:val="single" w:color="auto" w:sz="4" w:space="0"/>
              <w:right w:val="single" w:color="auto" w:sz="4" w:space="0"/>
            </w:tcBorders>
            <w:vAlign w:val="center"/>
          </w:tcPr>
          <w:p>
            <w:pPr>
              <w:shd w:val="clear"/>
              <w:ind w:firstLine="0" w:firstLineChars="0"/>
              <w:jc w:val="center"/>
              <w:rPr>
                <w:rFonts w:hAnsi="宋体" w:cs="仿宋"/>
                <w:color w:val="auto"/>
                <w:sz w:val="21"/>
                <w:szCs w:val="21"/>
              </w:rPr>
            </w:pPr>
            <w:r>
              <w:rPr>
                <w:rFonts w:hint="eastAsia" w:hAnsi="宋体" w:cs="仿宋"/>
                <w:color w:val="auto"/>
                <w:sz w:val="21"/>
                <w:szCs w:val="21"/>
              </w:rPr>
              <w:t>任 职</w:t>
            </w:r>
          </w:p>
        </w:tc>
        <w:tc>
          <w:tcPr>
            <w:tcW w:w="1640" w:type="dxa"/>
            <w:gridSpan w:val="2"/>
            <w:tcBorders>
              <w:top w:val="single" w:color="auto" w:sz="6" w:space="0"/>
              <w:left w:val="single" w:color="auto" w:sz="4" w:space="0"/>
              <w:bottom w:val="single" w:color="auto" w:sz="4" w:space="0"/>
              <w:right w:val="single" w:color="auto" w:sz="12" w:space="0"/>
            </w:tcBorders>
            <w:vAlign w:val="center"/>
          </w:tcPr>
          <w:p>
            <w:pPr>
              <w:shd w:val="clear"/>
              <w:ind w:firstLine="0" w:firstLineChars="0"/>
              <w:jc w:val="center"/>
              <w:rPr>
                <w:rFonts w:hAnsi="宋体" w:cs="仿宋"/>
                <w:color w:val="auto"/>
                <w:sz w:val="21"/>
                <w:szCs w:val="21"/>
              </w:rPr>
            </w:pPr>
            <w:r>
              <w:rPr>
                <w:rFonts w:hint="eastAsia" w:hAnsi="宋体" w:cs="仿宋"/>
                <w:color w:val="auto"/>
                <w:sz w:val="21"/>
                <w:szCs w:val="21"/>
              </w:rPr>
              <w:t>工 作 单 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13" w:hRule="atLeast"/>
        </w:trPr>
        <w:tc>
          <w:tcPr>
            <w:tcW w:w="1576" w:type="dxa"/>
            <w:vMerge w:val="continue"/>
            <w:tcBorders>
              <w:top w:val="single" w:color="auto" w:sz="6" w:space="0"/>
              <w:left w:val="single" w:color="auto" w:sz="12" w:space="0"/>
              <w:bottom w:val="single" w:color="auto" w:sz="12" w:space="0"/>
              <w:right w:val="single" w:color="auto" w:sz="6" w:space="0"/>
            </w:tcBorders>
            <w:vAlign w:val="center"/>
          </w:tcPr>
          <w:p>
            <w:pPr>
              <w:shd w:val="clear"/>
              <w:ind w:firstLine="0" w:firstLineChars="0"/>
              <w:rPr>
                <w:rFonts w:hAnsi="宋体" w:cs="仿宋"/>
                <w:color w:val="auto"/>
                <w:sz w:val="21"/>
                <w:szCs w:val="21"/>
              </w:rPr>
            </w:pPr>
          </w:p>
        </w:tc>
        <w:tc>
          <w:tcPr>
            <w:tcW w:w="1469" w:type="dxa"/>
            <w:tcBorders>
              <w:top w:val="single" w:color="auto" w:sz="6" w:space="0"/>
              <w:left w:val="single" w:color="auto" w:sz="6" w:space="0"/>
              <w:bottom w:val="single" w:color="auto" w:sz="12" w:space="0"/>
              <w:right w:val="single" w:color="auto" w:sz="4" w:space="0"/>
            </w:tcBorders>
            <w:vAlign w:val="center"/>
          </w:tcPr>
          <w:p>
            <w:pPr>
              <w:shd w:val="clear"/>
              <w:ind w:firstLine="0" w:firstLineChars="0"/>
              <w:jc w:val="center"/>
              <w:rPr>
                <w:rFonts w:hAnsi="宋体" w:cs="仿宋"/>
                <w:color w:val="auto"/>
                <w:sz w:val="21"/>
                <w:szCs w:val="21"/>
              </w:rPr>
            </w:pPr>
          </w:p>
        </w:tc>
        <w:tc>
          <w:tcPr>
            <w:tcW w:w="3989" w:type="dxa"/>
            <w:gridSpan w:val="4"/>
            <w:tcBorders>
              <w:top w:val="single" w:color="auto" w:sz="6" w:space="0"/>
              <w:left w:val="nil"/>
              <w:bottom w:val="single" w:color="auto" w:sz="12" w:space="0"/>
              <w:right w:val="single" w:color="auto" w:sz="4" w:space="0"/>
            </w:tcBorders>
            <w:vAlign w:val="center"/>
          </w:tcPr>
          <w:p>
            <w:pPr>
              <w:shd w:val="clear"/>
              <w:ind w:firstLine="0" w:firstLineChars="0"/>
              <w:jc w:val="center"/>
              <w:rPr>
                <w:rFonts w:hAnsi="宋体" w:cs="仿宋"/>
                <w:color w:val="auto"/>
                <w:sz w:val="21"/>
                <w:szCs w:val="21"/>
              </w:rPr>
            </w:pPr>
          </w:p>
        </w:tc>
        <w:tc>
          <w:tcPr>
            <w:tcW w:w="989" w:type="dxa"/>
            <w:tcBorders>
              <w:top w:val="single" w:color="auto" w:sz="6" w:space="0"/>
              <w:left w:val="nil"/>
              <w:bottom w:val="single" w:color="auto" w:sz="12" w:space="0"/>
              <w:right w:val="single" w:color="auto" w:sz="4" w:space="0"/>
            </w:tcBorders>
            <w:vAlign w:val="center"/>
          </w:tcPr>
          <w:p>
            <w:pPr>
              <w:shd w:val="clear"/>
              <w:ind w:firstLine="0" w:firstLineChars="0"/>
              <w:jc w:val="center"/>
              <w:rPr>
                <w:rFonts w:hAnsi="宋体" w:cs="仿宋"/>
                <w:color w:val="auto"/>
                <w:sz w:val="21"/>
                <w:szCs w:val="21"/>
              </w:rPr>
            </w:pPr>
          </w:p>
        </w:tc>
        <w:tc>
          <w:tcPr>
            <w:tcW w:w="1640" w:type="dxa"/>
            <w:gridSpan w:val="2"/>
            <w:tcBorders>
              <w:top w:val="single" w:color="auto" w:sz="6" w:space="0"/>
              <w:left w:val="single" w:color="auto" w:sz="4" w:space="0"/>
              <w:bottom w:val="single" w:color="auto" w:sz="12" w:space="0"/>
              <w:right w:val="single" w:color="auto" w:sz="12" w:space="0"/>
            </w:tcBorders>
            <w:vAlign w:val="center"/>
          </w:tcPr>
          <w:p>
            <w:pPr>
              <w:shd w:val="clear"/>
              <w:ind w:firstLine="0" w:firstLineChars="0"/>
              <w:jc w:val="center"/>
              <w:rPr>
                <w:rFonts w:hAnsi="宋体" w:cs="仿宋"/>
                <w:color w:val="auto"/>
                <w:sz w:val="21"/>
                <w:szCs w:val="21"/>
              </w:rPr>
            </w:pPr>
          </w:p>
        </w:tc>
      </w:tr>
    </w:tbl>
    <w:p>
      <w:pPr>
        <w:shd w:val="clear"/>
        <w:adjustRightInd w:val="0"/>
        <w:snapToGrid w:val="0"/>
        <w:ind w:right="-624" w:firstLine="380"/>
        <w:rPr>
          <w:rFonts w:hAnsi="宋体" w:cs="仿宋"/>
          <w:color w:val="auto"/>
          <w:spacing w:val="-10"/>
          <w:sz w:val="21"/>
          <w:szCs w:val="21"/>
        </w:rPr>
      </w:pPr>
      <w:r>
        <w:rPr>
          <w:rFonts w:hint="eastAsia" w:hAnsi="宋体" w:cs="仿宋"/>
          <w:color w:val="auto"/>
          <w:spacing w:val="-10"/>
          <w:sz w:val="21"/>
          <w:szCs w:val="21"/>
        </w:rPr>
        <w:t>备注：</w:t>
      </w:r>
    </w:p>
    <w:p>
      <w:pPr>
        <w:shd w:val="clear"/>
        <w:adjustRightInd w:val="0"/>
        <w:snapToGrid w:val="0"/>
        <w:spacing w:line="240" w:lineRule="auto"/>
        <w:ind w:right="-624" w:firstLine="380"/>
        <w:rPr>
          <w:rFonts w:hAnsi="宋体" w:cs="仿宋"/>
          <w:color w:val="auto"/>
          <w:spacing w:val="-10"/>
          <w:sz w:val="21"/>
          <w:szCs w:val="21"/>
        </w:rPr>
      </w:pPr>
      <w:r>
        <w:rPr>
          <w:rFonts w:hint="eastAsia" w:hAnsi="宋体" w:cs="仿宋"/>
          <w:color w:val="auto"/>
          <w:spacing w:val="-10"/>
          <w:sz w:val="21"/>
          <w:szCs w:val="21"/>
        </w:rPr>
        <w:t xml:space="preserve"> 1、</w:t>
      </w:r>
      <w:r>
        <w:rPr>
          <w:rFonts w:hint="eastAsia" w:hAnsi="宋体" w:cs="仿宋"/>
          <w:color w:val="auto"/>
          <w:sz w:val="21"/>
          <w:szCs w:val="21"/>
        </w:rPr>
        <w:t>项目负责人、监理负责人（总监理工程师）应附本简历表，其余人员无需本表。</w:t>
      </w:r>
    </w:p>
    <w:p>
      <w:pPr>
        <w:shd w:val="clear"/>
        <w:adjustRightInd w:val="0"/>
        <w:snapToGrid w:val="0"/>
        <w:spacing w:line="240" w:lineRule="auto"/>
        <w:ind w:right="-624" w:firstLine="420"/>
        <w:rPr>
          <w:color w:val="auto"/>
          <w:sz w:val="21"/>
          <w:szCs w:val="21"/>
        </w:rPr>
      </w:pPr>
      <w:r>
        <w:rPr>
          <w:rFonts w:hint="eastAsia"/>
          <w:color w:val="auto"/>
          <w:sz w:val="21"/>
          <w:szCs w:val="21"/>
        </w:rPr>
        <w:t>2、应附身份证、毕业证（以最高学历为准）、职称证（如有）、资格证（如有）、注册证（如有）及</w:t>
      </w:r>
      <w:r>
        <w:rPr>
          <w:rFonts w:hint="eastAsia"/>
          <w:color w:val="auto"/>
          <w:spacing w:val="18"/>
          <w:sz w:val="21"/>
          <w:szCs w:val="21"/>
        </w:rPr>
        <w:t>2023年10</w:t>
      </w:r>
      <w:r>
        <w:rPr>
          <w:rFonts w:hint="eastAsia"/>
          <w:color w:val="auto"/>
          <w:sz w:val="21"/>
          <w:szCs w:val="21"/>
        </w:rPr>
        <w:t>月投标人单位为员工购买的社保机构出具的社保证明。</w:t>
      </w:r>
    </w:p>
    <w:p>
      <w:pPr>
        <w:shd w:val="clear"/>
        <w:adjustRightInd w:val="0"/>
        <w:snapToGrid w:val="0"/>
        <w:spacing w:line="240" w:lineRule="auto"/>
        <w:ind w:right="-624" w:firstLine="420"/>
        <w:rPr>
          <w:rFonts w:hAnsi="宋体" w:cs="仿宋"/>
          <w:color w:val="auto"/>
          <w:sz w:val="21"/>
          <w:szCs w:val="21"/>
        </w:rPr>
        <w:sectPr>
          <w:pgSz w:w="12240" w:h="15840"/>
          <w:pgMar w:top="1440" w:right="1440" w:bottom="1418" w:left="1440" w:header="0" w:footer="567" w:gutter="0"/>
          <w:cols w:space="720" w:num="1"/>
          <w:docGrid w:linePitch="360" w:charSpace="0"/>
        </w:sectPr>
      </w:pPr>
      <w:r>
        <w:rPr>
          <w:rFonts w:hint="eastAsia" w:hAnsi="宋体" w:cs="仿宋"/>
          <w:color w:val="auto"/>
          <w:sz w:val="21"/>
          <w:szCs w:val="21"/>
        </w:rPr>
        <w:t>3、所报人员如有符合评分表中评分项目的，应附相关证明材料原件扫描件。</w:t>
      </w:r>
    </w:p>
    <w:p>
      <w:pPr>
        <w:pStyle w:val="8"/>
        <w:shd w:val="clear"/>
        <w:ind w:firstLine="0" w:firstLineChars="0"/>
        <w:rPr>
          <w:color w:val="auto"/>
        </w:rPr>
      </w:pPr>
      <w:r>
        <w:rPr>
          <w:rFonts w:hint="eastAsia"/>
          <w:color w:val="auto"/>
        </w:rPr>
        <w:t>（六）拟投入本项目设备情况表</w:t>
      </w:r>
      <w:bookmarkEnd w:id="191"/>
    </w:p>
    <w:p>
      <w:pPr>
        <w:shd w:val="clear"/>
        <w:spacing w:line="320" w:lineRule="exact"/>
        <w:ind w:left="500" w:firstLine="492"/>
        <w:jc w:val="right"/>
        <w:rPr>
          <w:rFonts w:hAnsi="宋体" w:cs="仿宋"/>
          <w:color w:val="auto"/>
          <w:spacing w:val="18"/>
          <w:sz w:val="21"/>
          <w:szCs w:val="21"/>
        </w:rPr>
      </w:pPr>
    </w:p>
    <w:p>
      <w:pPr>
        <w:shd w:val="clear"/>
        <w:ind w:firstLine="562"/>
        <w:jc w:val="center"/>
        <w:rPr>
          <w:rFonts w:hAnsi="宋体"/>
          <w:b/>
          <w:color w:val="auto"/>
          <w:sz w:val="28"/>
          <w:szCs w:val="28"/>
        </w:rPr>
      </w:pPr>
      <w:r>
        <w:rPr>
          <w:rFonts w:hint="eastAsia" w:hAnsi="宋体"/>
          <w:b/>
          <w:color w:val="auto"/>
          <w:sz w:val="28"/>
          <w:szCs w:val="28"/>
        </w:rPr>
        <w:t>拟投入本项目设备情况表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573"/>
        <w:gridCol w:w="1276"/>
        <w:gridCol w:w="850"/>
        <w:gridCol w:w="993"/>
        <w:gridCol w:w="992"/>
        <w:gridCol w:w="5245"/>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55" w:type="dxa"/>
            <w:vMerge w:val="restart"/>
            <w:vAlign w:val="center"/>
          </w:tcPr>
          <w:p>
            <w:pPr>
              <w:shd w:val="clear"/>
              <w:ind w:firstLine="0" w:firstLineChars="0"/>
              <w:jc w:val="center"/>
              <w:rPr>
                <w:rFonts w:hAnsi="宋体"/>
                <w:color w:val="auto"/>
                <w:sz w:val="21"/>
                <w:szCs w:val="21"/>
              </w:rPr>
            </w:pPr>
            <w:r>
              <w:rPr>
                <w:rFonts w:hAnsi="宋体"/>
                <w:color w:val="auto"/>
                <w:sz w:val="21"/>
                <w:szCs w:val="21"/>
              </w:rPr>
              <w:t>序号</w:t>
            </w:r>
          </w:p>
        </w:tc>
        <w:tc>
          <w:tcPr>
            <w:tcW w:w="10929" w:type="dxa"/>
            <w:gridSpan w:val="6"/>
            <w:vAlign w:val="center"/>
          </w:tcPr>
          <w:p>
            <w:pPr>
              <w:shd w:val="clear"/>
              <w:ind w:firstLine="0" w:firstLineChars="0"/>
              <w:jc w:val="center"/>
              <w:rPr>
                <w:rFonts w:hAnsi="宋体"/>
                <w:color w:val="auto"/>
                <w:sz w:val="21"/>
                <w:szCs w:val="21"/>
              </w:rPr>
            </w:pPr>
            <w:r>
              <w:rPr>
                <w:rFonts w:hint="eastAsia" w:hAnsi="宋体"/>
                <w:color w:val="auto"/>
                <w:sz w:val="21"/>
                <w:szCs w:val="21"/>
              </w:rPr>
              <w:t>投入设备</w:t>
            </w:r>
          </w:p>
        </w:tc>
        <w:tc>
          <w:tcPr>
            <w:tcW w:w="978" w:type="dxa"/>
            <w:vMerge w:val="restart"/>
            <w:vAlign w:val="center"/>
          </w:tcPr>
          <w:p>
            <w:pPr>
              <w:shd w:val="clear"/>
              <w:ind w:firstLine="0" w:firstLineChars="0"/>
              <w:jc w:val="center"/>
              <w:rPr>
                <w:rFonts w:hAnsi="宋体"/>
                <w:color w:val="auto"/>
                <w:sz w:val="21"/>
                <w:szCs w:val="21"/>
              </w:rPr>
            </w:pPr>
            <w:r>
              <w:rPr>
                <w:rFonts w:hAnsi="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55" w:type="dxa"/>
            <w:vMerge w:val="continue"/>
            <w:vAlign w:val="center"/>
          </w:tcPr>
          <w:p>
            <w:pPr>
              <w:shd w:val="clear"/>
              <w:ind w:firstLine="0" w:firstLineChars="0"/>
              <w:jc w:val="center"/>
              <w:rPr>
                <w:rFonts w:hAnsi="宋体"/>
                <w:color w:val="auto"/>
                <w:sz w:val="21"/>
                <w:szCs w:val="21"/>
              </w:rPr>
            </w:pPr>
          </w:p>
        </w:tc>
        <w:tc>
          <w:tcPr>
            <w:tcW w:w="1573" w:type="dxa"/>
            <w:vAlign w:val="center"/>
          </w:tcPr>
          <w:p>
            <w:pPr>
              <w:shd w:val="clear"/>
              <w:ind w:firstLine="0" w:firstLineChars="0"/>
              <w:jc w:val="center"/>
              <w:rPr>
                <w:rFonts w:hAnsi="宋体"/>
                <w:color w:val="auto"/>
                <w:sz w:val="21"/>
                <w:szCs w:val="21"/>
              </w:rPr>
            </w:pPr>
            <w:r>
              <w:rPr>
                <w:rFonts w:hAnsi="宋体"/>
                <w:color w:val="auto"/>
                <w:sz w:val="21"/>
                <w:szCs w:val="21"/>
              </w:rPr>
              <w:t>仪器设备</w:t>
            </w:r>
          </w:p>
          <w:p>
            <w:pPr>
              <w:shd w:val="clear"/>
              <w:ind w:firstLine="0" w:firstLineChars="0"/>
              <w:jc w:val="center"/>
              <w:rPr>
                <w:rFonts w:hAnsi="宋体"/>
                <w:color w:val="auto"/>
                <w:sz w:val="21"/>
                <w:szCs w:val="21"/>
              </w:rPr>
            </w:pPr>
            <w:r>
              <w:rPr>
                <w:rFonts w:hAnsi="宋体"/>
                <w:color w:val="auto"/>
                <w:sz w:val="21"/>
                <w:szCs w:val="21"/>
              </w:rPr>
              <w:t>名称</w:t>
            </w:r>
          </w:p>
        </w:tc>
        <w:tc>
          <w:tcPr>
            <w:tcW w:w="1276" w:type="dxa"/>
            <w:vAlign w:val="center"/>
          </w:tcPr>
          <w:p>
            <w:pPr>
              <w:shd w:val="clear"/>
              <w:ind w:firstLine="0" w:firstLineChars="0"/>
              <w:jc w:val="center"/>
              <w:rPr>
                <w:rFonts w:hAnsi="宋体"/>
                <w:color w:val="auto"/>
                <w:sz w:val="21"/>
                <w:szCs w:val="21"/>
              </w:rPr>
            </w:pPr>
            <w:r>
              <w:rPr>
                <w:rFonts w:hAnsi="宋体"/>
                <w:color w:val="auto"/>
                <w:sz w:val="21"/>
                <w:szCs w:val="21"/>
              </w:rPr>
              <w:t>型号</w:t>
            </w:r>
          </w:p>
          <w:p>
            <w:pPr>
              <w:shd w:val="clear"/>
              <w:ind w:firstLine="0" w:firstLineChars="0"/>
              <w:jc w:val="center"/>
              <w:rPr>
                <w:rFonts w:hAnsi="宋体"/>
                <w:color w:val="auto"/>
                <w:sz w:val="21"/>
                <w:szCs w:val="21"/>
              </w:rPr>
            </w:pPr>
            <w:r>
              <w:rPr>
                <w:rFonts w:hAnsi="宋体"/>
                <w:color w:val="auto"/>
                <w:sz w:val="21"/>
                <w:szCs w:val="21"/>
              </w:rPr>
              <w:t>规格</w:t>
            </w:r>
          </w:p>
        </w:tc>
        <w:tc>
          <w:tcPr>
            <w:tcW w:w="850" w:type="dxa"/>
            <w:vAlign w:val="center"/>
          </w:tcPr>
          <w:p>
            <w:pPr>
              <w:shd w:val="clear"/>
              <w:ind w:firstLine="0" w:firstLineChars="0"/>
              <w:jc w:val="center"/>
              <w:rPr>
                <w:rFonts w:hAnsi="宋体"/>
                <w:color w:val="auto"/>
                <w:sz w:val="21"/>
                <w:szCs w:val="21"/>
              </w:rPr>
            </w:pPr>
            <w:r>
              <w:rPr>
                <w:rFonts w:hAnsi="宋体"/>
                <w:color w:val="auto"/>
                <w:sz w:val="21"/>
                <w:szCs w:val="21"/>
              </w:rPr>
              <w:t>数量</w:t>
            </w:r>
          </w:p>
        </w:tc>
        <w:tc>
          <w:tcPr>
            <w:tcW w:w="993" w:type="dxa"/>
            <w:vAlign w:val="center"/>
          </w:tcPr>
          <w:p>
            <w:pPr>
              <w:shd w:val="clear"/>
              <w:ind w:firstLine="0" w:firstLineChars="0"/>
              <w:jc w:val="center"/>
              <w:rPr>
                <w:rFonts w:hAnsi="宋体"/>
                <w:color w:val="auto"/>
                <w:sz w:val="21"/>
                <w:szCs w:val="21"/>
              </w:rPr>
            </w:pPr>
            <w:r>
              <w:rPr>
                <w:rFonts w:hAnsi="宋体"/>
                <w:color w:val="auto"/>
                <w:sz w:val="21"/>
                <w:szCs w:val="21"/>
              </w:rPr>
              <w:t>国别</w:t>
            </w:r>
          </w:p>
          <w:p>
            <w:pPr>
              <w:shd w:val="clear"/>
              <w:ind w:firstLine="0" w:firstLineChars="0"/>
              <w:jc w:val="center"/>
              <w:rPr>
                <w:rFonts w:hAnsi="宋体"/>
                <w:color w:val="auto"/>
                <w:sz w:val="21"/>
                <w:szCs w:val="21"/>
              </w:rPr>
            </w:pPr>
            <w:r>
              <w:rPr>
                <w:rFonts w:hAnsi="宋体"/>
                <w:color w:val="auto"/>
                <w:sz w:val="21"/>
                <w:szCs w:val="21"/>
              </w:rPr>
              <w:t>产地</w:t>
            </w:r>
          </w:p>
        </w:tc>
        <w:tc>
          <w:tcPr>
            <w:tcW w:w="992" w:type="dxa"/>
            <w:vAlign w:val="center"/>
          </w:tcPr>
          <w:p>
            <w:pPr>
              <w:shd w:val="clear"/>
              <w:ind w:firstLine="0" w:firstLineChars="0"/>
              <w:jc w:val="center"/>
              <w:rPr>
                <w:rFonts w:hAnsi="宋体"/>
                <w:color w:val="auto"/>
                <w:sz w:val="21"/>
                <w:szCs w:val="21"/>
              </w:rPr>
            </w:pPr>
            <w:r>
              <w:rPr>
                <w:rFonts w:hAnsi="宋体"/>
                <w:color w:val="auto"/>
                <w:sz w:val="21"/>
                <w:szCs w:val="21"/>
              </w:rPr>
              <w:t>制造</w:t>
            </w:r>
          </w:p>
          <w:p>
            <w:pPr>
              <w:shd w:val="clear"/>
              <w:ind w:firstLine="0" w:firstLineChars="0"/>
              <w:jc w:val="center"/>
              <w:rPr>
                <w:rFonts w:hAnsi="宋体"/>
                <w:color w:val="auto"/>
                <w:sz w:val="21"/>
                <w:szCs w:val="21"/>
              </w:rPr>
            </w:pPr>
            <w:r>
              <w:rPr>
                <w:rFonts w:hAnsi="宋体"/>
                <w:color w:val="auto"/>
                <w:sz w:val="21"/>
                <w:szCs w:val="21"/>
              </w:rPr>
              <w:t>年份</w:t>
            </w:r>
          </w:p>
        </w:tc>
        <w:tc>
          <w:tcPr>
            <w:tcW w:w="5245" w:type="dxa"/>
            <w:vAlign w:val="center"/>
          </w:tcPr>
          <w:p>
            <w:pPr>
              <w:shd w:val="clear"/>
              <w:ind w:firstLine="0" w:firstLineChars="0"/>
              <w:jc w:val="center"/>
              <w:rPr>
                <w:rFonts w:hAnsi="宋体"/>
                <w:color w:val="auto"/>
                <w:sz w:val="21"/>
                <w:szCs w:val="21"/>
              </w:rPr>
            </w:pPr>
            <w:r>
              <w:rPr>
                <w:rFonts w:hAnsi="宋体"/>
                <w:color w:val="auto"/>
                <w:sz w:val="21"/>
                <w:szCs w:val="21"/>
              </w:rPr>
              <w:t>用途</w:t>
            </w:r>
          </w:p>
        </w:tc>
        <w:tc>
          <w:tcPr>
            <w:tcW w:w="978" w:type="dxa"/>
            <w:vMerge w:val="continue"/>
            <w:vAlign w:val="center"/>
          </w:tcPr>
          <w:p>
            <w:pPr>
              <w:shd w:val="clear"/>
              <w:ind w:firstLine="0" w:firstLineChars="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55" w:type="dxa"/>
            <w:vAlign w:val="center"/>
          </w:tcPr>
          <w:p>
            <w:pPr>
              <w:shd w:val="clear"/>
              <w:ind w:firstLine="0" w:firstLineChars="0"/>
              <w:jc w:val="center"/>
              <w:rPr>
                <w:rFonts w:hAnsi="宋体"/>
                <w:color w:val="auto"/>
                <w:sz w:val="21"/>
                <w:szCs w:val="21"/>
              </w:rPr>
            </w:pPr>
            <w:r>
              <w:rPr>
                <w:rFonts w:hint="eastAsia" w:hAnsi="宋体"/>
                <w:color w:val="auto"/>
                <w:sz w:val="21"/>
                <w:szCs w:val="21"/>
              </w:rPr>
              <w:t>1</w:t>
            </w:r>
          </w:p>
        </w:tc>
        <w:tc>
          <w:tcPr>
            <w:tcW w:w="1573" w:type="dxa"/>
            <w:vAlign w:val="center"/>
          </w:tcPr>
          <w:p>
            <w:pPr>
              <w:shd w:val="clear"/>
              <w:ind w:firstLine="0" w:firstLineChars="0"/>
              <w:jc w:val="center"/>
              <w:rPr>
                <w:rFonts w:hAnsi="宋体"/>
                <w:color w:val="auto"/>
                <w:sz w:val="21"/>
                <w:szCs w:val="21"/>
              </w:rPr>
            </w:pPr>
          </w:p>
        </w:tc>
        <w:tc>
          <w:tcPr>
            <w:tcW w:w="1276" w:type="dxa"/>
            <w:vAlign w:val="center"/>
          </w:tcPr>
          <w:p>
            <w:pPr>
              <w:shd w:val="clear"/>
              <w:ind w:firstLine="0" w:firstLineChars="0"/>
              <w:jc w:val="center"/>
              <w:rPr>
                <w:rFonts w:hAnsi="宋体"/>
                <w:color w:val="auto"/>
                <w:sz w:val="21"/>
                <w:szCs w:val="21"/>
              </w:rPr>
            </w:pPr>
          </w:p>
        </w:tc>
        <w:tc>
          <w:tcPr>
            <w:tcW w:w="850" w:type="dxa"/>
            <w:vAlign w:val="center"/>
          </w:tcPr>
          <w:p>
            <w:pPr>
              <w:shd w:val="clear"/>
              <w:ind w:firstLine="0" w:firstLineChars="0"/>
              <w:jc w:val="center"/>
              <w:rPr>
                <w:rFonts w:hAnsi="宋体"/>
                <w:color w:val="auto"/>
                <w:sz w:val="21"/>
                <w:szCs w:val="21"/>
              </w:rPr>
            </w:pPr>
          </w:p>
        </w:tc>
        <w:tc>
          <w:tcPr>
            <w:tcW w:w="993" w:type="dxa"/>
            <w:vAlign w:val="center"/>
          </w:tcPr>
          <w:p>
            <w:pPr>
              <w:shd w:val="clear"/>
              <w:ind w:firstLine="0" w:firstLineChars="0"/>
              <w:jc w:val="center"/>
              <w:rPr>
                <w:rFonts w:hAnsi="宋体"/>
                <w:color w:val="auto"/>
                <w:sz w:val="21"/>
                <w:szCs w:val="21"/>
              </w:rPr>
            </w:pPr>
          </w:p>
        </w:tc>
        <w:tc>
          <w:tcPr>
            <w:tcW w:w="992" w:type="dxa"/>
            <w:vAlign w:val="center"/>
          </w:tcPr>
          <w:p>
            <w:pPr>
              <w:shd w:val="clear"/>
              <w:ind w:firstLine="0" w:firstLineChars="0"/>
              <w:jc w:val="center"/>
              <w:rPr>
                <w:rFonts w:hAnsi="宋体"/>
                <w:color w:val="auto"/>
                <w:sz w:val="21"/>
                <w:szCs w:val="21"/>
              </w:rPr>
            </w:pPr>
          </w:p>
        </w:tc>
        <w:tc>
          <w:tcPr>
            <w:tcW w:w="5245" w:type="dxa"/>
            <w:vAlign w:val="center"/>
          </w:tcPr>
          <w:p>
            <w:pPr>
              <w:shd w:val="clear"/>
              <w:ind w:firstLine="0" w:firstLineChars="0"/>
              <w:jc w:val="center"/>
              <w:rPr>
                <w:rFonts w:hAnsi="宋体"/>
                <w:color w:val="auto"/>
                <w:sz w:val="21"/>
                <w:szCs w:val="21"/>
              </w:rPr>
            </w:pPr>
          </w:p>
        </w:tc>
        <w:tc>
          <w:tcPr>
            <w:tcW w:w="978" w:type="dxa"/>
            <w:vAlign w:val="center"/>
          </w:tcPr>
          <w:p>
            <w:pPr>
              <w:shd w:val="clear"/>
              <w:ind w:firstLine="0" w:firstLineChars="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55" w:type="dxa"/>
            <w:vAlign w:val="center"/>
          </w:tcPr>
          <w:p>
            <w:pPr>
              <w:shd w:val="clear"/>
              <w:ind w:firstLine="0" w:firstLineChars="0"/>
              <w:jc w:val="center"/>
              <w:rPr>
                <w:rFonts w:hAnsi="宋体"/>
                <w:color w:val="auto"/>
                <w:sz w:val="21"/>
                <w:szCs w:val="21"/>
              </w:rPr>
            </w:pPr>
            <w:r>
              <w:rPr>
                <w:rFonts w:hint="eastAsia" w:hAnsi="宋体"/>
                <w:color w:val="auto"/>
                <w:sz w:val="21"/>
                <w:szCs w:val="21"/>
              </w:rPr>
              <w:t>2</w:t>
            </w:r>
          </w:p>
        </w:tc>
        <w:tc>
          <w:tcPr>
            <w:tcW w:w="1573" w:type="dxa"/>
            <w:vAlign w:val="center"/>
          </w:tcPr>
          <w:p>
            <w:pPr>
              <w:shd w:val="clear"/>
              <w:ind w:firstLine="0" w:firstLineChars="0"/>
              <w:jc w:val="center"/>
              <w:rPr>
                <w:rFonts w:hAnsi="宋体"/>
                <w:color w:val="auto"/>
                <w:sz w:val="21"/>
                <w:szCs w:val="21"/>
              </w:rPr>
            </w:pPr>
          </w:p>
        </w:tc>
        <w:tc>
          <w:tcPr>
            <w:tcW w:w="1276" w:type="dxa"/>
            <w:vAlign w:val="center"/>
          </w:tcPr>
          <w:p>
            <w:pPr>
              <w:shd w:val="clear"/>
              <w:ind w:firstLine="0" w:firstLineChars="0"/>
              <w:jc w:val="center"/>
              <w:rPr>
                <w:rFonts w:hAnsi="宋体"/>
                <w:color w:val="auto"/>
                <w:sz w:val="21"/>
                <w:szCs w:val="21"/>
              </w:rPr>
            </w:pPr>
          </w:p>
        </w:tc>
        <w:tc>
          <w:tcPr>
            <w:tcW w:w="850" w:type="dxa"/>
            <w:vAlign w:val="center"/>
          </w:tcPr>
          <w:p>
            <w:pPr>
              <w:shd w:val="clear"/>
              <w:ind w:firstLine="0" w:firstLineChars="0"/>
              <w:jc w:val="center"/>
              <w:rPr>
                <w:rFonts w:hAnsi="宋体"/>
                <w:color w:val="auto"/>
                <w:sz w:val="21"/>
                <w:szCs w:val="21"/>
              </w:rPr>
            </w:pPr>
          </w:p>
        </w:tc>
        <w:tc>
          <w:tcPr>
            <w:tcW w:w="993" w:type="dxa"/>
            <w:vAlign w:val="center"/>
          </w:tcPr>
          <w:p>
            <w:pPr>
              <w:shd w:val="clear"/>
              <w:ind w:firstLine="0" w:firstLineChars="0"/>
              <w:jc w:val="center"/>
              <w:rPr>
                <w:rFonts w:hAnsi="宋体"/>
                <w:color w:val="auto"/>
                <w:sz w:val="21"/>
                <w:szCs w:val="21"/>
              </w:rPr>
            </w:pPr>
          </w:p>
        </w:tc>
        <w:tc>
          <w:tcPr>
            <w:tcW w:w="992" w:type="dxa"/>
            <w:vAlign w:val="center"/>
          </w:tcPr>
          <w:p>
            <w:pPr>
              <w:shd w:val="clear"/>
              <w:ind w:firstLine="0" w:firstLineChars="0"/>
              <w:jc w:val="center"/>
              <w:rPr>
                <w:rFonts w:hAnsi="宋体"/>
                <w:color w:val="auto"/>
                <w:sz w:val="21"/>
                <w:szCs w:val="21"/>
              </w:rPr>
            </w:pPr>
          </w:p>
        </w:tc>
        <w:tc>
          <w:tcPr>
            <w:tcW w:w="5245" w:type="dxa"/>
            <w:vAlign w:val="center"/>
          </w:tcPr>
          <w:p>
            <w:pPr>
              <w:shd w:val="clear"/>
              <w:ind w:firstLine="0" w:firstLineChars="0"/>
              <w:jc w:val="center"/>
              <w:rPr>
                <w:rFonts w:hAnsi="宋体"/>
                <w:color w:val="auto"/>
                <w:sz w:val="21"/>
                <w:szCs w:val="21"/>
              </w:rPr>
            </w:pPr>
          </w:p>
        </w:tc>
        <w:tc>
          <w:tcPr>
            <w:tcW w:w="978" w:type="dxa"/>
            <w:vAlign w:val="center"/>
          </w:tcPr>
          <w:p>
            <w:pPr>
              <w:shd w:val="clear"/>
              <w:ind w:firstLine="0" w:firstLineChars="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55" w:type="dxa"/>
            <w:vAlign w:val="center"/>
          </w:tcPr>
          <w:p>
            <w:pPr>
              <w:shd w:val="clear"/>
              <w:ind w:firstLine="0" w:firstLineChars="0"/>
              <w:jc w:val="center"/>
              <w:rPr>
                <w:rFonts w:hAnsi="宋体"/>
                <w:color w:val="auto"/>
                <w:sz w:val="21"/>
                <w:szCs w:val="21"/>
              </w:rPr>
            </w:pPr>
            <w:r>
              <w:rPr>
                <w:rFonts w:hint="eastAsia" w:hAnsi="宋体"/>
                <w:color w:val="auto"/>
                <w:sz w:val="21"/>
                <w:szCs w:val="21"/>
              </w:rPr>
              <w:t>3</w:t>
            </w:r>
          </w:p>
        </w:tc>
        <w:tc>
          <w:tcPr>
            <w:tcW w:w="1573" w:type="dxa"/>
            <w:vAlign w:val="center"/>
          </w:tcPr>
          <w:p>
            <w:pPr>
              <w:shd w:val="clear"/>
              <w:ind w:firstLine="0" w:firstLineChars="0"/>
              <w:jc w:val="center"/>
              <w:rPr>
                <w:rFonts w:hAnsi="宋体"/>
                <w:color w:val="auto"/>
                <w:sz w:val="21"/>
                <w:szCs w:val="21"/>
              </w:rPr>
            </w:pPr>
          </w:p>
        </w:tc>
        <w:tc>
          <w:tcPr>
            <w:tcW w:w="1276" w:type="dxa"/>
            <w:vAlign w:val="center"/>
          </w:tcPr>
          <w:p>
            <w:pPr>
              <w:shd w:val="clear"/>
              <w:ind w:firstLine="0" w:firstLineChars="0"/>
              <w:jc w:val="center"/>
              <w:rPr>
                <w:rFonts w:hAnsi="宋体"/>
                <w:color w:val="auto"/>
                <w:sz w:val="21"/>
                <w:szCs w:val="21"/>
              </w:rPr>
            </w:pPr>
          </w:p>
        </w:tc>
        <w:tc>
          <w:tcPr>
            <w:tcW w:w="850" w:type="dxa"/>
            <w:vAlign w:val="center"/>
          </w:tcPr>
          <w:p>
            <w:pPr>
              <w:shd w:val="clear"/>
              <w:ind w:firstLine="0" w:firstLineChars="0"/>
              <w:jc w:val="center"/>
              <w:rPr>
                <w:rFonts w:hAnsi="宋体"/>
                <w:color w:val="auto"/>
                <w:sz w:val="21"/>
                <w:szCs w:val="21"/>
              </w:rPr>
            </w:pPr>
          </w:p>
        </w:tc>
        <w:tc>
          <w:tcPr>
            <w:tcW w:w="993" w:type="dxa"/>
            <w:vAlign w:val="center"/>
          </w:tcPr>
          <w:p>
            <w:pPr>
              <w:shd w:val="clear"/>
              <w:ind w:firstLine="0" w:firstLineChars="0"/>
              <w:jc w:val="center"/>
              <w:rPr>
                <w:rFonts w:hAnsi="宋体"/>
                <w:color w:val="auto"/>
                <w:sz w:val="21"/>
                <w:szCs w:val="21"/>
              </w:rPr>
            </w:pPr>
          </w:p>
        </w:tc>
        <w:tc>
          <w:tcPr>
            <w:tcW w:w="992" w:type="dxa"/>
            <w:vAlign w:val="center"/>
          </w:tcPr>
          <w:p>
            <w:pPr>
              <w:shd w:val="clear"/>
              <w:ind w:firstLine="0" w:firstLineChars="0"/>
              <w:jc w:val="center"/>
              <w:rPr>
                <w:rFonts w:hAnsi="宋体"/>
                <w:color w:val="auto"/>
                <w:sz w:val="21"/>
                <w:szCs w:val="21"/>
              </w:rPr>
            </w:pPr>
          </w:p>
        </w:tc>
        <w:tc>
          <w:tcPr>
            <w:tcW w:w="5245" w:type="dxa"/>
            <w:vAlign w:val="center"/>
          </w:tcPr>
          <w:p>
            <w:pPr>
              <w:shd w:val="clear"/>
              <w:ind w:firstLine="0" w:firstLineChars="0"/>
              <w:jc w:val="center"/>
              <w:rPr>
                <w:rFonts w:hAnsi="宋体"/>
                <w:color w:val="auto"/>
                <w:sz w:val="21"/>
                <w:szCs w:val="21"/>
              </w:rPr>
            </w:pPr>
          </w:p>
        </w:tc>
        <w:tc>
          <w:tcPr>
            <w:tcW w:w="978" w:type="dxa"/>
            <w:vAlign w:val="center"/>
          </w:tcPr>
          <w:p>
            <w:pPr>
              <w:shd w:val="clear"/>
              <w:ind w:firstLine="0" w:firstLineChars="0"/>
              <w:jc w:val="center"/>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55" w:type="dxa"/>
            <w:vAlign w:val="center"/>
          </w:tcPr>
          <w:p>
            <w:pPr>
              <w:shd w:val="clear"/>
              <w:ind w:firstLine="0" w:firstLineChars="0"/>
              <w:jc w:val="center"/>
              <w:rPr>
                <w:rFonts w:hAnsi="宋体"/>
                <w:color w:val="auto"/>
                <w:sz w:val="21"/>
                <w:szCs w:val="21"/>
              </w:rPr>
            </w:pPr>
            <w:r>
              <w:rPr>
                <w:rFonts w:hint="eastAsia" w:hAnsi="宋体"/>
                <w:color w:val="auto"/>
                <w:sz w:val="21"/>
                <w:szCs w:val="21"/>
              </w:rPr>
              <w:t>...</w:t>
            </w:r>
          </w:p>
        </w:tc>
        <w:tc>
          <w:tcPr>
            <w:tcW w:w="1573" w:type="dxa"/>
            <w:vAlign w:val="center"/>
          </w:tcPr>
          <w:p>
            <w:pPr>
              <w:shd w:val="clear"/>
              <w:ind w:firstLine="0" w:firstLineChars="0"/>
              <w:jc w:val="center"/>
              <w:rPr>
                <w:rFonts w:hAnsi="宋体"/>
                <w:color w:val="auto"/>
                <w:sz w:val="21"/>
                <w:szCs w:val="21"/>
              </w:rPr>
            </w:pPr>
          </w:p>
        </w:tc>
        <w:tc>
          <w:tcPr>
            <w:tcW w:w="1276" w:type="dxa"/>
            <w:vAlign w:val="center"/>
          </w:tcPr>
          <w:p>
            <w:pPr>
              <w:shd w:val="clear"/>
              <w:ind w:firstLine="0" w:firstLineChars="0"/>
              <w:jc w:val="center"/>
              <w:rPr>
                <w:rFonts w:hAnsi="宋体"/>
                <w:color w:val="auto"/>
                <w:sz w:val="21"/>
                <w:szCs w:val="21"/>
              </w:rPr>
            </w:pPr>
          </w:p>
        </w:tc>
        <w:tc>
          <w:tcPr>
            <w:tcW w:w="850" w:type="dxa"/>
            <w:vAlign w:val="center"/>
          </w:tcPr>
          <w:p>
            <w:pPr>
              <w:shd w:val="clear"/>
              <w:ind w:firstLine="0" w:firstLineChars="0"/>
              <w:jc w:val="center"/>
              <w:rPr>
                <w:rFonts w:hAnsi="宋体"/>
                <w:color w:val="auto"/>
                <w:sz w:val="21"/>
                <w:szCs w:val="21"/>
              </w:rPr>
            </w:pPr>
          </w:p>
        </w:tc>
        <w:tc>
          <w:tcPr>
            <w:tcW w:w="993" w:type="dxa"/>
            <w:vAlign w:val="center"/>
          </w:tcPr>
          <w:p>
            <w:pPr>
              <w:shd w:val="clear"/>
              <w:ind w:firstLine="0" w:firstLineChars="0"/>
              <w:jc w:val="center"/>
              <w:rPr>
                <w:rFonts w:hAnsi="宋体"/>
                <w:color w:val="auto"/>
                <w:sz w:val="21"/>
                <w:szCs w:val="21"/>
              </w:rPr>
            </w:pPr>
          </w:p>
        </w:tc>
        <w:tc>
          <w:tcPr>
            <w:tcW w:w="992" w:type="dxa"/>
            <w:vAlign w:val="center"/>
          </w:tcPr>
          <w:p>
            <w:pPr>
              <w:shd w:val="clear"/>
              <w:ind w:firstLine="0" w:firstLineChars="0"/>
              <w:jc w:val="center"/>
              <w:rPr>
                <w:rFonts w:hAnsi="宋体"/>
                <w:color w:val="auto"/>
                <w:sz w:val="21"/>
                <w:szCs w:val="21"/>
              </w:rPr>
            </w:pPr>
          </w:p>
        </w:tc>
        <w:tc>
          <w:tcPr>
            <w:tcW w:w="5245" w:type="dxa"/>
            <w:vAlign w:val="center"/>
          </w:tcPr>
          <w:p>
            <w:pPr>
              <w:shd w:val="clear"/>
              <w:ind w:firstLine="0" w:firstLineChars="0"/>
              <w:jc w:val="center"/>
              <w:rPr>
                <w:rFonts w:hAnsi="宋体"/>
                <w:color w:val="auto"/>
                <w:sz w:val="21"/>
                <w:szCs w:val="21"/>
              </w:rPr>
            </w:pPr>
          </w:p>
        </w:tc>
        <w:tc>
          <w:tcPr>
            <w:tcW w:w="978" w:type="dxa"/>
            <w:vAlign w:val="center"/>
          </w:tcPr>
          <w:p>
            <w:pPr>
              <w:shd w:val="clear"/>
              <w:ind w:firstLine="0" w:firstLineChars="0"/>
              <w:jc w:val="center"/>
              <w:rPr>
                <w:rFonts w:hAnsi="宋体"/>
                <w:color w:val="auto"/>
                <w:sz w:val="21"/>
                <w:szCs w:val="21"/>
              </w:rPr>
            </w:pPr>
          </w:p>
        </w:tc>
      </w:tr>
    </w:tbl>
    <w:p>
      <w:pPr>
        <w:shd w:val="clear"/>
        <w:ind w:firstLine="562"/>
        <w:jc w:val="center"/>
        <w:rPr>
          <w:rFonts w:hAnsi="宋体"/>
          <w:b/>
          <w:color w:val="auto"/>
          <w:sz w:val="28"/>
          <w:szCs w:val="28"/>
        </w:rPr>
      </w:pPr>
    </w:p>
    <w:p>
      <w:pPr>
        <w:shd w:val="clear"/>
        <w:spacing w:line="320" w:lineRule="exact"/>
        <w:ind w:right="2214" w:firstLine="0" w:firstLineChars="0"/>
        <w:rPr>
          <w:rFonts w:hAnsi="宋体" w:cs="仿宋"/>
          <w:color w:val="auto"/>
          <w:spacing w:val="18"/>
          <w:sz w:val="21"/>
          <w:szCs w:val="21"/>
        </w:rPr>
        <w:sectPr>
          <w:pgSz w:w="15840" w:h="12240" w:orient="landscape"/>
          <w:pgMar w:top="1440" w:right="1418" w:bottom="1440" w:left="1440" w:header="0" w:footer="567" w:gutter="0"/>
          <w:cols w:space="720" w:num="1"/>
          <w:docGrid w:linePitch="360" w:charSpace="0"/>
        </w:sectPr>
      </w:pPr>
    </w:p>
    <w:p>
      <w:pPr>
        <w:pStyle w:val="7"/>
        <w:shd w:val="clear"/>
        <w:rPr>
          <w:color w:val="auto"/>
        </w:rPr>
      </w:pPr>
      <w:bookmarkStart w:id="192" w:name="_Toc35513553"/>
      <w:r>
        <w:rPr>
          <w:rFonts w:hint="eastAsia"/>
          <w:color w:val="auto"/>
        </w:rPr>
        <w:t>五、</w:t>
      </w:r>
      <w:r>
        <w:rPr>
          <w:rFonts w:hint="eastAsia" w:hAnsi="宋体" w:cs="宋体"/>
          <w:color w:val="auto"/>
          <w:szCs w:val="24"/>
        </w:rPr>
        <w:t>项目管理及工程监理</w:t>
      </w:r>
      <w:r>
        <w:rPr>
          <w:rFonts w:hint="eastAsia"/>
          <w:color w:val="auto"/>
        </w:rPr>
        <w:t>服务方案</w:t>
      </w:r>
      <w:bookmarkEnd w:id="192"/>
    </w:p>
    <w:p>
      <w:pPr>
        <w:pStyle w:val="13"/>
        <w:shd w:val="clear"/>
        <w:ind w:firstLine="480"/>
        <w:rPr>
          <w:color w:val="auto"/>
        </w:rPr>
      </w:pPr>
      <w:r>
        <w:rPr>
          <w:rFonts w:hint="eastAsia"/>
          <w:color w:val="auto"/>
        </w:rPr>
        <w:t>（格式自定）</w:t>
      </w:r>
    </w:p>
    <w:p>
      <w:pPr>
        <w:pStyle w:val="7"/>
        <w:shd w:val="clear"/>
        <w:rPr>
          <w:color w:val="auto"/>
        </w:rPr>
      </w:pPr>
      <w:bookmarkStart w:id="193" w:name="_Toc35513554"/>
      <w:r>
        <w:rPr>
          <w:rFonts w:hint="eastAsia"/>
          <w:color w:val="auto"/>
        </w:rPr>
        <w:t>六、其他资料</w:t>
      </w:r>
      <w:bookmarkEnd w:id="193"/>
    </w:p>
    <w:p>
      <w:pPr>
        <w:pStyle w:val="13"/>
        <w:shd w:val="clear"/>
        <w:ind w:firstLine="480"/>
        <w:rPr>
          <w:color w:val="auto"/>
        </w:rPr>
      </w:pPr>
      <w:r>
        <w:rPr>
          <w:rFonts w:hint="eastAsia"/>
          <w:color w:val="auto"/>
        </w:rPr>
        <w:t>1、投标人按照评审标准要求提供的资信业绩评审的其他资料；</w:t>
      </w:r>
    </w:p>
    <w:p>
      <w:pPr>
        <w:pStyle w:val="13"/>
        <w:shd w:val="clear"/>
        <w:ind w:firstLine="480"/>
        <w:rPr>
          <w:color w:val="auto"/>
        </w:rPr>
      </w:pPr>
      <w:r>
        <w:rPr>
          <w:rFonts w:hint="eastAsia"/>
          <w:color w:val="auto"/>
        </w:rPr>
        <w:t>（如在前面资格审查资料中已经提供的，可不重复提供）</w:t>
      </w:r>
    </w:p>
    <w:p>
      <w:pPr>
        <w:pStyle w:val="13"/>
        <w:shd w:val="clear"/>
        <w:ind w:firstLine="480"/>
        <w:rPr>
          <w:color w:val="auto"/>
        </w:rPr>
      </w:pPr>
      <w:r>
        <w:rPr>
          <w:rFonts w:hint="eastAsia"/>
          <w:color w:val="auto"/>
        </w:rPr>
        <w:t>2、投标人认为需提供的其他材料。</w:t>
      </w:r>
    </w:p>
    <w:p>
      <w:pPr>
        <w:pStyle w:val="13"/>
        <w:shd w:val="clear"/>
        <w:ind w:firstLine="480"/>
        <w:rPr>
          <w:color w:val="auto"/>
        </w:rPr>
      </w:pPr>
    </w:p>
    <w:p>
      <w:pPr>
        <w:shd w:val="clear"/>
        <w:spacing w:line="0" w:lineRule="atLeast"/>
        <w:ind w:firstLine="360"/>
        <w:jc w:val="center"/>
        <w:rPr>
          <w:rFonts w:hAnsi="宋体"/>
          <w:color w:val="auto"/>
          <w:sz w:val="18"/>
        </w:rPr>
      </w:pPr>
    </w:p>
    <w:sectPr>
      <w:pgSz w:w="12240" w:h="15840"/>
      <w:pgMar w:top="1440" w:right="1800" w:bottom="1440" w:left="1800" w:header="567" w:footer="56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firstLine="360"/>
      <w:jc w:val="center"/>
      <w:rPr>
        <w:rFonts w:ascii="Times New Roman"/>
        <w:sz w:val="18"/>
        <w:szCs w:val="18"/>
      </w:rPr>
    </w:pPr>
    <w:r>
      <w:rPr>
        <w:rFonts w:ascii="Times New Roman"/>
        <w:sz w:val="18"/>
        <w:szCs w:val="18"/>
      </w:rPr>
      <w:fldChar w:fldCharType="begin"/>
    </w:r>
    <w:r>
      <w:rPr>
        <w:rFonts w:ascii="Times New Roman"/>
        <w:sz w:val="18"/>
        <w:szCs w:val="18"/>
      </w:rPr>
      <w:instrText xml:space="preserve">PAGE   \* MERGEFORMAT</w:instrText>
    </w:r>
    <w:r>
      <w:rPr>
        <w:rFonts w:ascii="Times New Roman"/>
        <w:sz w:val="18"/>
        <w:szCs w:val="18"/>
      </w:rPr>
      <w:fldChar w:fldCharType="separate"/>
    </w:r>
    <w:r>
      <w:rPr>
        <w:rFonts w:ascii="Times New Roman"/>
        <w:sz w:val="18"/>
        <w:szCs w:val="18"/>
      </w:rPr>
      <w:t>1</w:t>
    </w:r>
    <w:r>
      <w:rPr>
        <w:rFonts w:ascii="Times New Roman"/>
        <w:sz w:val="18"/>
        <w:szCs w:val="18"/>
      </w:rPr>
      <w:fldChar w:fldCharType="end"/>
    </w:r>
  </w:p>
  <w:p>
    <w:pPr>
      <w:widowControl w:val="0"/>
      <w:tabs>
        <w:tab w:val="center" w:pos="4153"/>
        <w:tab w:val="right" w:pos="8306"/>
      </w:tabs>
      <w:snapToGrid w:val="0"/>
      <w:ind w:firstLine="360"/>
      <w:jc w:val="left"/>
      <w:rPr>
        <w:rFonts w:asci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firstLine="360"/>
      <w:jc w:val="left"/>
      <w:rPr>
        <w:rFonts w:ascii="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fldChar w:fldCharType="begin"/>
    </w:r>
    <w:r>
      <w:instrText xml:space="preserve"> PAGE   \* MERGEFORMAT </w:instrText>
    </w:r>
    <w:r>
      <w:fldChar w:fldCharType="separate"/>
    </w:r>
    <w:r>
      <w:rPr>
        <w:lang w:val="zh-CN"/>
      </w:rPr>
      <w:t>63</w:t>
    </w:r>
    <w:r>
      <w:fldChar w:fldCharType="end"/>
    </w:r>
  </w:p>
  <w:p>
    <w:pPr>
      <w:spacing w:line="2" w:lineRule="exact"/>
      <w:ind w:firstLine="480"/>
      <w:rPr>
        <w:rFonts w:hAnsi="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153"/>
        <w:tab w:val="right" w:pos="8306"/>
      </w:tabs>
      <w:snapToGrid w:val="0"/>
      <w:ind w:firstLine="360"/>
      <w:jc w:val="center"/>
      <w:rPr>
        <w:rFonts w:ascii="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pacing w:line="240" w:lineRule="auto"/>
      <w:ind w:firstLine="0" w:firstLineChars="0"/>
      <w:rPr>
        <w:rFonts w:ascii="Times New Roman"/>
        <w:kern w:val="2"/>
        <w:sz w:val="21"/>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35AB9C"/>
    <w:multiLevelType w:val="singleLevel"/>
    <w:tmpl w:val="2735AB9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20"/>
  <w:displayHorizontalDrawingGridEvery w:val="2"/>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lYmViOTkxNWE3YWZiZGMxODdiNmM4MzM1NjkyYzQifQ=="/>
  </w:docVars>
  <w:rsids>
    <w:rsidRoot w:val="00172A27"/>
    <w:rsid w:val="0000046C"/>
    <w:rsid w:val="00000C6D"/>
    <w:rsid w:val="0000291A"/>
    <w:rsid w:val="00002D33"/>
    <w:rsid w:val="000047AD"/>
    <w:rsid w:val="000077F6"/>
    <w:rsid w:val="000116D4"/>
    <w:rsid w:val="00012C19"/>
    <w:rsid w:val="00014FAB"/>
    <w:rsid w:val="00016096"/>
    <w:rsid w:val="000171FB"/>
    <w:rsid w:val="000209EA"/>
    <w:rsid w:val="00021949"/>
    <w:rsid w:val="00022F47"/>
    <w:rsid w:val="000230C1"/>
    <w:rsid w:val="000245F5"/>
    <w:rsid w:val="0002532F"/>
    <w:rsid w:val="00026D3F"/>
    <w:rsid w:val="00030C41"/>
    <w:rsid w:val="000315B0"/>
    <w:rsid w:val="00033336"/>
    <w:rsid w:val="000338E6"/>
    <w:rsid w:val="00034E80"/>
    <w:rsid w:val="000357D2"/>
    <w:rsid w:val="00036798"/>
    <w:rsid w:val="00036F65"/>
    <w:rsid w:val="0003739D"/>
    <w:rsid w:val="00037A81"/>
    <w:rsid w:val="00037C9E"/>
    <w:rsid w:val="00040435"/>
    <w:rsid w:val="000416FE"/>
    <w:rsid w:val="00041E98"/>
    <w:rsid w:val="00042972"/>
    <w:rsid w:val="00043B07"/>
    <w:rsid w:val="000464F5"/>
    <w:rsid w:val="00047A40"/>
    <w:rsid w:val="00050AF2"/>
    <w:rsid w:val="00051D9F"/>
    <w:rsid w:val="000521D7"/>
    <w:rsid w:val="000522C5"/>
    <w:rsid w:val="00052988"/>
    <w:rsid w:val="000529AE"/>
    <w:rsid w:val="00053079"/>
    <w:rsid w:val="000536B8"/>
    <w:rsid w:val="00054E8C"/>
    <w:rsid w:val="0005524E"/>
    <w:rsid w:val="000552D1"/>
    <w:rsid w:val="00055E0F"/>
    <w:rsid w:val="000619DE"/>
    <w:rsid w:val="00063553"/>
    <w:rsid w:val="00065716"/>
    <w:rsid w:val="00066412"/>
    <w:rsid w:val="00066E52"/>
    <w:rsid w:val="00072339"/>
    <w:rsid w:val="0007464F"/>
    <w:rsid w:val="000750B7"/>
    <w:rsid w:val="0007778D"/>
    <w:rsid w:val="00077AC9"/>
    <w:rsid w:val="00077CAA"/>
    <w:rsid w:val="00080ACC"/>
    <w:rsid w:val="00080C53"/>
    <w:rsid w:val="000845FE"/>
    <w:rsid w:val="000861DB"/>
    <w:rsid w:val="000878C4"/>
    <w:rsid w:val="0009086C"/>
    <w:rsid w:val="00090CD2"/>
    <w:rsid w:val="00090FA3"/>
    <w:rsid w:val="000914B1"/>
    <w:rsid w:val="00092687"/>
    <w:rsid w:val="00092F48"/>
    <w:rsid w:val="00093B28"/>
    <w:rsid w:val="00094B3F"/>
    <w:rsid w:val="00096C3F"/>
    <w:rsid w:val="000A06C0"/>
    <w:rsid w:val="000A1A6F"/>
    <w:rsid w:val="000A24B0"/>
    <w:rsid w:val="000A2602"/>
    <w:rsid w:val="000A2D62"/>
    <w:rsid w:val="000A4026"/>
    <w:rsid w:val="000A449B"/>
    <w:rsid w:val="000A752F"/>
    <w:rsid w:val="000B1E86"/>
    <w:rsid w:val="000B2214"/>
    <w:rsid w:val="000B2DF1"/>
    <w:rsid w:val="000B3670"/>
    <w:rsid w:val="000B4499"/>
    <w:rsid w:val="000B4CE8"/>
    <w:rsid w:val="000B5941"/>
    <w:rsid w:val="000B604D"/>
    <w:rsid w:val="000B673B"/>
    <w:rsid w:val="000B79E2"/>
    <w:rsid w:val="000B7D24"/>
    <w:rsid w:val="000C13E9"/>
    <w:rsid w:val="000C15DE"/>
    <w:rsid w:val="000C5C53"/>
    <w:rsid w:val="000C7639"/>
    <w:rsid w:val="000C78DB"/>
    <w:rsid w:val="000D02C0"/>
    <w:rsid w:val="000D06CE"/>
    <w:rsid w:val="000D1444"/>
    <w:rsid w:val="000D1D64"/>
    <w:rsid w:val="000D3806"/>
    <w:rsid w:val="000D3AA9"/>
    <w:rsid w:val="000D4BB7"/>
    <w:rsid w:val="000D6730"/>
    <w:rsid w:val="000D67D8"/>
    <w:rsid w:val="000D79BA"/>
    <w:rsid w:val="000E03E2"/>
    <w:rsid w:val="000E0E71"/>
    <w:rsid w:val="000E358A"/>
    <w:rsid w:val="000E4171"/>
    <w:rsid w:val="000E4594"/>
    <w:rsid w:val="000E4873"/>
    <w:rsid w:val="000E565C"/>
    <w:rsid w:val="000E5685"/>
    <w:rsid w:val="000E6F44"/>
    <w:rsid w:val="000E746A"/>
    <w:rsid w:val="000E7F09"/>
    <w:rsid w:val="000F1505"/>
    <w:rsid w:val="000F151D"/>
    <w:rsid w:val="000F2969"/>
    <w:rsid w:val="000F2EBA"/>
    <w:rsid w:val="000F3DC0"/>
    <w:rsid w:val="00103024"/>
    <w:rsid w:val="00104356"/>
    <w:rsid w:val="0010752E"/>
    <w:rsid w:val="0011017E"/>
    <w:rsid w:val="00111EAC"/>
    <w:rsid w:val="0011279C"/>
    <w:rsid w:val="0011317E"/>
    <w:rsid w:val="00115DA3"/>
    <w:rsid w:val="00115DD6"/>
    <w:rsid w:val="00116B1E"/>
    <w:rsid w:val="00117771"/>
    <w:rsid w:val="00121C85"/>
    <w:rsid w:val="001234F4"/>
    <w:rsid w:val="001244D4"/>
    <w:rsid w:val="00125700"/>
    <w:rsid w:val="00126D90"/>
    <w:rsid w:val="00127289"/>
    <w:rsid w:val="001273B2"/>
    <w:rsid w:val="00127555"/>
    <w:rsid w:val="00127B77"/>
    <w:rsid w:val="00127F8A"/>
    <w:rsid w:val="00130007"/>
    <w:rsid w:val="00131755"/>
    <w:rsid w:val="00131C43"/>
    <w:rsid w:val="00133C5D"/>
    <w:rsid w:val="00134923"/>
    <w:rsid w:val="00135B23"/>
    <w:rsid w:val="00140988"/>
    <w:rsid w:val="0014110A"/>
    <w:rsid w:val="001416A9"/>
    <w:rsid w:val="001430A0"/>
    <w:rsid w:val="0014576E"/>
    <w:rsid w:val="00146DE2"/>
    <w:rsid w:val="00150EEC"/>
    <w:rsid w:val="0015103F"/>
    <w:rsid w:val="001516C8"/>
    <w:rsid w:val="00152225"/>
    <w:rsid w:val="00152763"/>
    <w:rsid w:val="00152890"/>
    <w:rsid w:val="00153C6F"/>
    <w:rsid w:val="00153CDB"/>
    <w:rsid w:val="00153FB7"/>
    <w:rsid w:val="001549DC"/>
    <w:rsid w:val="00155221"/>
    <w:rsid w:val="00155E66"/>
    <w:rsid w:val="00155E93"/>
    <w:rsid w:val="00156AC9"/>
    <w:rsid w:val="001576E9"/>
    <w:rsid w:val="00157A9E"/>
    <w:rsid w:val="00157E34"/>
    <w:rsid w:val="00160CFE"/>
    <w:rsid w:val="00161D5F"/>
    <w:rsid w:val="001623AA"/>
    <w:rsid w:val="001627E8"/>
    <w:rsid w:val="001641AD"/>
    <w:rsid w:val="001642C8"/>
    <w:rsid w:val="00165028"/>
    <w:rsid w:val="00170124"/>
    <w:rsid w:val="00171F5A"/>
    <w:rsid w:val="001726A8"/>
    <w:rsid w:val="00172A27"/>
    <w:rsid w:val="00172DDD"/>
    <w:rsid w:val="00174AC6"/>
    <w:rsid w:val="00175059"/>
    <w:rsid w:val="0017582F"/>
    <w:rsid w:val="00175AA8"/>
    <w:rsid w:val="00175CB4"/>
    <w:rsid w:val="0017602B"/>
    <w:rsid w:val="00176494"/>
    <w:rsid w:val="00180DF9"/>
    <w:rsid w:val="00181287"/>
    <w:rsid w:val="00181613"/>
    <w:rsid w:val="00181764"/>
    <w:rsid w:val="0018223D"/>
    <w:rsid w:val="00182D40"/>
    <w:rsid w:val="00182EDC"/>
    <w:rsid w:val="00184211"/>
    <w:rsid w:val="00184617"/>
    <w:rsid w:val="00184E0E"/>
    <w:rsid w:val="001857F4"/>
    <w:rsid w:val="001859FF"/>
    <w:rsid w:val="0018672D"/>
    <w:rsid w:val="001877B6"/>
    <w:rsid w:val="0018785C"/>
    <w:rsid w:val="00187A6B"/>
    <w:rsid w:val="00187C00"/>
    <w:rsid w:val="00187C90"/>
    <w:rsid w:val="00187DF2"/>
    <w:rsid w:val="00192346"/>
    <w:rsid w:val="001923FF"/>
    <w:rsid w:val="00192F55"/>
    <w:rsid w:val="00194365"/>
    <w:rsid w:val="00194A13"/>
    <w:rsid w:val="00194D6F"/>
    <w:rsid w:val="00196D0E"/>
    <w:rsid w:val="00197C5C"/>
    <w:rsid w:val="00197F9C"/>
    <w:rsid w:val="001A1A0C"/>
    <w:rsid w:val="001A1A4D"/>
    <w:rsid w:val="001A1ECC"/>
    <w:rsid w:val="001A1FD7"/>
    <w:rsid w:val="001A2880"/>
    <w:rsid w:val="001A310B"/>
    <w:rsid w:val="001A44DA"/>
    <w:rsid w:val="001A58B6"/>
    <w:rsid w:val="001A5D5E"/>
    <w:rsid w:val="001A6333"/>
    <w:rsid w:val="001A6E35"/>
    <w:rsid w:val="001B3A2E"/>
    <w:rsid w:val="001B3C15"/>
    <w:rsid w:val="001B3F3F"/>
    <w:rsid w:val="001B41D0"/>
    <w:rsid w:val="001B53B0"/>
    <w:rsid w:val="001B5CD4"/>
    <w:rsid w:val="001B7F46"/>
    <w:rsid w:val="001C0980"/>
    <w:rsid w:val="001C09AA"/>
    <w:rsid w:val="001C18F4"/>
    <w:rsid w:val="001C1B89"/>
    <w:rsid w:val="001C3DC8"/>
    <w:rsid w:val="001C4462"/>
    <w:rsid w:val="001C4961"/>
    <w:rsid w:val="001C53A0"/>
    <w:rsid w:val="001C7056"/>
    <w:rsid w:val="001C7287"/>
    <w:rsid w:val="001D1131"/>
    <w:rsid w:val="001D1EE7"/>
    <w:rsid w:val="001D372B"/>
    <w:rsid w:val="001D4720"/>
    <w:rsid w:val="001D5482"/>
    <w:rsid w:val="001D606E"/>
    <w:rsid w:val="001D72F7"/>
    <w:rsid w:val="001E0472"/>
    <w:rsid w:val="001E0701"/>
    <w:rsid w:val="001E09B4"/>
    <w:rsid w:val="001E0DF9"/>
    <w:rsid w:val="001E0EAD"/>
    <w:rsid w:val="001E0F3A"/>
    <w:rsid w:val="001E19CC"/>
    <w:rsid w:val="001E2D49"/>
    <w:rsid w:val="001E3E72"/>
    <w:rsid w:val="001E57F3"/>
    <w:rsid w:val="001E7B97"/>
    <w:rsid w:val="001E7C50"/>
    <w:rsid w:val="001F064A"/>
    <w:rsid w:val="001F0ADB"/>
    <w:rsid w:val="001F0C60"/>
    <w:rsid w:val="001F1006"/>
    <w:rsid w:val="001F3427"/>
    <w:rsid w:val="001F3A43"/>
    <w:rsid w:val="001F4973"/>
    <w:rsid w:val="002003AE"/>
    <w:rsid w:val="0020066C"/>
    <w:rsid w:val="0020164B"/>
    <w:rsid w:val="002017C6"/>
    <w:rsid w:val="002050F4"/>
    <w:rsid w:val="0020522B"/>
    <w:rsid w:val="00206D05"/>
    <w:rsid w:val="00206DFA"/>
    <w:rsid w:val="00207F7C"/>
    <w:rsid w:val="00210776"/>
    <w:rsid w:val="00211C81"/>
    <w:rsid w:val="002122FB"/>
    <w:rsid w:val="002125F9"/>
    <w:rsid w:val="002129B4"/>
    <w:rsid w:val="00213AFA"/>
    <w:rsid w:val="00213B9C"/>
    <w:rsid w:val="00213FF2"/>
    <w:rsid w:val="002144B5"/>
    <w:rsid w:val="00214C09"/>
    <w:rsid w:val="00214D2A"/>
    <w:rsid w:val="00216139"/>
    <w:rsid w:val="00217089"/>
    <w:rsid w:val="002170F0"/>
    <w:rsid w:val="00217F12"/>
    <w:rsid w:val="00221497"/>
    <w:rsid w:val="002217F2"/>
    <w:rsid w:val="0022193C"/>
    <w:rsid w:val="00221C1F"/>
    <w:rsid w:val="00225CE5"/>
    <w:rsid w:val="00226DFC"/>
    <w:rsid w:val="00230825"/>
    <w:rsid w:val="00230977"/>
    <w:rsid w:val="00230C66"/>
    <w:rsid w:val="00233A68"/>
    <w:rsid w:val="00235BAA"/>
    <w:rsid w:val="00236AF2"/>
    <w:rsid w:val="00237E74"/>
    <w:rsid w:val="00240042"/>
    <w:rsid w:val="00244151"/>
    <w:rsid w:val="0024423E"/>
    <w:rsid w:val="00244A4D"/>
    <w:rsid w:val="00244AC8"/>
    <w:rsid w:val="002461C2"/>
    <w:rsid w:val="002461DA"/>
    <w:rsid w:val="00247312"/>
    <w:rsid w:val="0024746E"/>
    <w:rsid w:val="00251924"/>
    <w:rsid w:val="002535DB"/>
    <w:rsid w:val="002537CE"/>
    <w:rsid w:val="00253DA4"/>
    <w:rsid w:val="002544C3"/>
    <w:rsid w:val="00255032"/>
    <w:rsid w:val="0025569D"/>
    <w:rsid w:val="002561EA"/>
    <w:rsid w:val="00256F3A"/>
    <w:rsid w:val="0026018C"/>
    <w:rsid w:val="00260CDD"/>
    <w:rsid w:val="00261FC8"/>
    <w:rsid w:val="00262956"/>
    <w:rsid w:val="00263DFD"/>
    <w:rsid w:val="00265133"/>
    <w:rsid w:val="00266805"/>
    <w:rsid w:val="00270817"/>
    <w:rsid w:val="0027204C"/>
    <w:rsid w:val="0027210B"/>
    <w:rsid w:val="002728FE"/>
    <w:rsid w:val="00272DAF"/>
    <w:rsid w:val="0027391B"/>
    <w:rsid w:val="00273F47"/>
    <w:rsid w:val="0027487E"/>
    <w:rsid w:val="0027494F"/>
    <w:rsid w:val="00280ACC"/>
    <w:rsid w:val="0028164F"/>
    <w:rsid w:val="00282228"/>
    <w:rsid w:val="0028247E"/>
    <w:rsid w:val="002833FB"/>
    <w:rsid w:val="00283E3C"/>
    <w:rsid w:val="0028490A"/>
    <w:rsid w:val="0028534A"/>
    <w:rsid w:val="00285643"/>
    <w:rsid w:val="00285833"/>
    <w:rsid w:val="00285B47"/>
    <w:rsid w:val="0028651E"/>
    <w:rsid w:val="00286DA9"/>
    <w:rsid w:val="002910B4"/>
    <w:rsid w:val="00291279"/>
    <w:rsid w:val="00291C39"/>
    <w:rsid w:val="00291CAB"/>
    <w:rsid w:val="0029276D"/>
    <w:rsid w:val="002935A7"/>
    <w:rsid w:val="002939CE"/>
    <w:rsid w:val="00294DB6"/>
    <w:rsid w:val="002952CF"/>
    <w:rsid w:val="002952E7"/>
    <w:rsid w:val="002964AC"/>
    <w:rsid w:val="00296CC5"/>
    <w:rsid w:val="0029708E"/>
    <w:rsid w:val="0029724E"/>
    <w:rsid w:val="002A074C"/>
    <w:rsid w:val="002A29A0"/>
    <w:rsid w:val="002A2AA8"/>
    <w:rsid w:val="002A3425"/>
    <w:rsid w:val="002A360E"/>
    <w:rsid w:val="002A3A33"/>
    <w:rsid w:val="002A3C7D"/>
    <w:rsid w:val="002A51A5"/>
    <w:rsid w:val="002A52ED"/>
    <w:rsid w:val="002A7237"/>
    <w:rsid w:val="002A7C99"/>
    <w:rsid w:val="002B072F"/>
    <w:rsid w:val="002B1B04"/>
    <w:rsid w:val="002B2553"/>
    <w:rsid w:val="002B4C8B"/>
    <w:rsid w:val="002B6366"/>
    <w:rsid w:val="002B6765"/>
    <w:rsid w:val="002B6FD2"/>
    <w:rsid w:val="002B7C1E"/>
    <w:rsid w:val="002C059D"/>
    <w:rsid w:val="002C1BD2"/>
    <w:rsid w:val="002C2B73"/>
    <w:rsid w:val="002C2DB6"/>
    <w:rsid w:val="002C3AEC"/>
    <w:rsid w:val="002C49DB"/>
    <w:rsid w:val="002C5407"/>
    <w:rsid w:val="002C5883"/>
    <w:rsid w:val="002C5E0C"/>
    <w:rsid w:val="002C5F57"/>
    <w:rsid w:val="002C71DB"/>
    <w:rsid w:val="002D02AD"/>
    <w:rsid w:val="002D26AB"/>
    <w:rsid w:val="002D2767"/>
    <w:rsid w:val="002D4E07"/>
    <w:rsid w:val="002D737B"/>
    <w:rsid w:val="002D7672"/>
    <w:rsid w:val="002E1638"/>
    <w:rsid w:val="002E1AEE"/>
    <w:rsid w:val="002E2A42"/>
    <w:rsid w:val="002E4118"/>
    <w:rsid w:val="002E5C8C"/>
    <w:rsid w:val="002E743B"/>
    <w:rsid w:val="002E7862"/>
    <w:rsid w:val="002E7C12"/>
    <w:rsid w:val="002F077F"/>
    <w:rsid w:val="002F1481"/>
    <w:rsid w:val="002F17B6"/>
    <w:rsid w:val="002F37CF"/>
    <w:rsid w:val="002F463A"/>
    <w:rsid w:val="002F5910"/>
    <w:rsid w:val="00301602"/>
    <w:rsid w:val="003020FF"/>
    <w:rsid w:val="0030424D"/>
    <w:rsid w:val="003052C5"/>
    <w:rsid w:val="003059D4"/>
    <w:rsid w:val="00306314"/>
    <w:rsid w:val="003067F3"/>
    <w:rsid w:val="003070C5"/>
    <w:rsid w:val="0030721D"/>
    <w:rsid w:val="003130A7"/>
    <w:rsid w:val="003137A3"/>
    <w:rsid w:val="00313F6C"/>
    <w:rsid w:val="00314AC6"/>
    <w:rsid w:val="00314C01"/>
    <w:rsid w:val="00320C80"/>
    <w:rsid w:val="00323955"/>
    <w:rsid w:val="00324175"/>
    <w:rsid w:val="003241C5"/>
    <w:rsid w:val="003246F8"/>
    <w:rsid w:val="00325D98"/>
    <w:rsid w:val="00326854"/>
    <w:rsid w:val="00326ABB"/>
    <w:rsid w:val="00326CDD"/>
    <w:rsid w:val="00330C86"/>
    <w:rsid w:val="00332C73"/>
    <w:rsid w:val="00332E8F"/>
    <w:rsid w:val="00333B29"/>
    <w:rsid w:val="003368C4"/>
    <w:rsid w:val="003370BB"/>
    <w:rsid w:val="00337662"/>
    <w:rsid w:val="00337B3C"/>
    <w:rsid w:val="00337D71"/>
    <w:rsid w:val="00337E87"/>
    <w:rsid w:val="00340B6C"/>
    <w:rsid w:val="00342E75"/>
    <w:rsid w:val="00343A01"/>
    <w:rsid w:val="0034432B"/>
    <w:rsid w:val="003452C4"/>
    <w:rsid w:val="00345770"/>
    <w:rsid w:val="003457B8"/>
    <w:rsid w:val="00346587"/>
    <w:rsid w:val="00346783"/>
    <w:rsid w:val="00346D36"/>
    <w:rsid w:val="0034796E"/>
    <w:rsid w:val="00347BCD"/>
    <w:rsid w:val="003519FC"/>
    <w:rsid w:val="00351D98"/>
    <w:rsid w:val="00353449"/>
    <w:rsid w:val="00356714"/>
    <w:rsid w:val="00357736"/>
    <w:rsid w:val="0036051F"/>
    <w:rsid w:val="00360588"/>
    <w:rsid w:val="0036358A"/>
    <w:rsid w:val="00365A7C"/>
    <w:rsid w:val="00365EF5"/>
    <w:rsid w:val="0036679A"/>
    <w:rsid w:val="00367D2C"/>
    <w:rsid w:val="0037164E"/>
    <w:rsid w:val="0037391B"/>
    <w:rsid w:val="00374CC1"/>
    <w:rsid w:val="0037545B"/>
    <w:rsid w:val="00377697"/>
    <w:rsid w:val="003805E4"/>
    <w:rsid w:val="00380EC0"/>
    <w:rsid w:val="003815E5"/>
    <w:rsid w:val="00382728"/>
    <w:rsid w:val="00382F16"/>
    <w:rsid w:val="003833FC"/>
    <w:rsid w:val="0038462C"/>
    <w:rsid w:val="00385651"/>
    <w:rsid w:val="00385AFE"/>
    <w:rsid w:val="00385D3D"/>
    <w:rsid w:val="00385EED"/>
    <w:rsid w:val="00390FAA"/>
    <w:rsid w:val="00391641"/>
    <w:rsid w:val="003929A5"/>
    <w:rsid w:val="00394259"/>
    <w:rsid w:val="003962B8"/>
    <w:rsid w:val="003967CA"/>
    <w:rsid w:val="003A0A67"/>
    <w:rsid w:val="003A1C8A"/>
    <w:rsid w:val="003A2372"/>
    <w:rsid w:val="003A48B1"/>
    <w:rsid w:val="003A64A6"/>
    <w:rsid w:val="003A6FB0"/>
    <w:rsid w:val="003A771C"/>
    <w:rsid w:val="003B0B3E"/>
    <w:rsid w:val="003B0C8E"/>
    <w:rsid w:val="003B10E4"/>
    <w:rsid w:val="003B1379"/>
    <w:rsid w:val="003B19F0"/>
    <w:rsid w:val="003B1B70"/>
    <w:rsid w:val="003B1E03"/>
    <w:rsid w:val="003B2AD8"/>
    <w:rsid w:val="003B2C9F"/>
    <w:rsid w:val="003B3223"/>
    <w:rsid w:val="003B3642"/>
    <w:rsid w:val="003B364B"/>
    <w:rsid w:val="003B3B2A"/>
    <w:rsid w:val="003B4EC0"/>
    <w:rsid w:val="003B68AE"/>
    <w:rsid w:val="003B7675"/>
    <w:rsid w:val="003B76F6"/>
    <w:rsid w:val="003B7C22"/>
    <w:rsid w:val="003B7C77"/>
    <w:rsid w:val="003C1C0D"/>
    <w:rsid w:val="003C2842"/>
    <w:rsid w:val="003C2EFE"/>
    <w:rsid w:val="003C466C"/>
    <w:rsid w:val="003C4C62"/>
    <w:rsid w:val="003C6CE8"/>
    <w:rsid w:val="003C764A"/>
    <w:rsid w:val="003D0087"/>
    <w:rsid w:val="003D381B"/>
    <w:rsid w:val="003D41B0"/>
    <w:rsid w:val="003D4826"/>
    <w:rsid w:val="003D5A1D"/>
    <w:rsid w:val="003D6F4E"/>
    <w:rsid w:val="003D718A"/>
    <w:rsid w:val="003D7D53"/>
    <w:rsid w:val="003E0009"/>
    <w:rsid w:val="003E01A6"/>
    <w:rsid w:val="003E0D1B"/>
    <w:rsid w:val="003E0FF1"/>
    <w:rsid w:val="003E1916"/>
    <w:rsid w:val="003E191A"/>
    <w:rsid w:val="003E1DEE"/>
    <w:rsid w:val="003E2257"/>
    <w:rsid w:val="003E2A58"/>
    <w:rsid w:val="003E41D6"/>
    <w:rsid w:val="003E472D"/>
    <w:rsid w:val="003E48D2"/>
    <w:rsid w:val="003E6353"/>
    <w:rsid w:val="003E6BA8"/>
    <w:rsid w:val="003E6CB1"/>
    <w:rsid w:val="003E7006"/>
    <w:rsid w:val="003E7960"/>
    <w:rsid w:val="003F2C0C"/>
    <w:rsid w:val="003F310E"/>
    <w:rsid w:val="003F3C7D"/>
    <w:rsid w:val="003F43F5"/>
    <w:rsid w:val="003F4914"/>
    <w:rsid w:val="003F50AF"/>
    <w:rsid w:val="003F5ACA"/>
    <w:rsid w:val="003F5FCA"/>
    <w:rsid w:val="003F782B"/>
    <w:rsid w:val="00400EAB"/>
    <w:rsid w:val="00401E75"/>
    <w:rsid w:val="004026F5"/>
    <w:rsid w:val="00402E14"/>
    <w:rsid w:val="00403DA0"/>
    <w:rsid w:val="00404354"/>
    <w:rsid w:val="004052B7"/>
    <w:rsid w:val="0040563F"/>
    <w:rsid w:val="004073CA"/>
    <w:rsid w:val="004101C3"/>
    <w:rsid w:val="00410608"/>
    <w:rsid w:val="00412299"/>
    <w:rsid w:val="00413B21"/>
    <w:rsid w:val="004158C7"/>
    <w:rsid w:val="00416F1F"/>
    <w:rsid w:val="004179CE"/>
    <w:rsid w:val="00417DAD"/>
    <w:rsid w:val="00420095"/>
    <w:rsid w:val="004203D1"/>
    <w:rsid w:val="00423746"/>
    <w:rsid w:val="00423AB2"/>
    <w:rsid w:val="00423EC6"/>
    <w:rsid w:val="004253D8"/>
    <w:rsid w:val="00425E3A"/>
    <w:rsid w:val="00426036"/>
    <w:rsid w:val="00431747"/>
    <w:rsid w:val="00436982"/>
    <w:rsid w:val="00437330"/>
    <w:rsid w:val="004374CD"/>
    <w:rsid w:val="004408F0"/>
    <w:rsid w:val="00440A06"/>
    <w:rsid w:val="00443694"/>
    <w:rsid w:val="00443BBD"/>
    <w:rsid w:val="00444037"/>
    <w:rsid w:val="00445900"/>
    <w:rsid w:val="00445E62"/>
    <w:rsid w:val="004460E6"/>
    <w:rsid w:val="00451CE8"/>
    <w:rsid w:val="00452D15"/>
    <w:rsid w:val="00453BB4"/>
    <w:rsid w:val="004543ED"/>
    <w:rsid w:val="00454C5A"/>
    <w:rsid w:val="0045557D"/>
    <w:rsid w:val="00455629"/>
    <w:rsid w:val="00457DA3"/>
    <w:rsid w:val="00460348"/>
    <w:rsid w:val="004609F1"/>
    <w:rsid w:val="004611FA"/>
    <w:rsid w:val="0046153A"/>
    <w:rsid w:val="0046200B"/>
    <w:rsid w:val="004621FA"/>
    <w:rsid w:val="0046310D"/>
    <w:rsid w:val="00463394"/>
    <w:rsid w:val="00463A1A"/>
    <w:rsid w:val="00464D2E"/>
    <w:rsid w:val="00465DB8"/>
    <w:rsid w:val="00470E7E"/>
    <w:rsid w:val="00474556"/>
    <w:rsid w:val="00475A3A"/>
    <w:rsid w:val="004763BF"/>
    <w:rsid w:val="00476FC9"/>
    <w:rsid w:val="004772D9"/>
    <w:rsid w:val="004815C3"/>
    <w:rsid w:val="00482EA1"/>
    <w:rsid w:val="00483770"/>
    <w:rsid w:val="00483F9E"/>
    <w:rsid w:val="0049294A"/>
    <w:rsid w:val="00493197"/>
    <w:rsid w:val="0049762D"/>
    <w:rsid w:val="004978C3"/>
    <w:rsid w:val="004A27B1"/>
    <w:rsid w:val="004A4091"/>
    <w:rsid w:val="004A48BD"/>
    <w:rsid w:val="004A544D"/>
    <w:rsid w:val="004A5BEE"/>
    <w:rsid w:val="004A6C3A"/>
    <w:rsid w:val="004A7F21"/>
    <w:rsid w:val="004B19C8"/>
    <w:rsid w:val="004B25E8"/>
    <w:rsid w:val="004B360B"/>
    <w:rsid w:val="004B375C"/>
    <w:rsid w:val="004B5408"/>
    <w:rsid w:val="004B6261"/>
    <w:rsid w:val="004B62D5"/>
    <w:rsid w:val="004B64C0"/>
    <w:rsid w:val="004C0794"/>
    <w:rsid w:val="004C0C8B"/>
    <w:rsid w:val="004C17BE"/>
    <w:rsid w:val="004C1BF3"/>
    <w:rsid w:val="004C3ABF"/>
    <w:rsid w:val="004C746A"/>
    <w:rsid w:val="004D0487"/>
    <w:rsid w:val="004D16AC"/>
    <w:rsid w:val="004D1DB1"/>
    <w:rsid w:val="004D2852"/>
    <w:rsid w:val="004D3270"/>
    <w:rsid w:val="004D3D52"/>
    <w:rsid w:val="004D5343"/>
    <w:rsid w:val="004D5484"/>
    <w:rsid w:val="004D68E2"/>
    <w:rsid w:val="004E2B3E"/>
    <w:rsid w:val="004E52BA"/>
    <w:rsid w:val="004E5E9D"/>
    <w:rsid w:val="004E6512"/>
    <w:rsid w:val="004E6759"/>
    <w:rsid w:val="004E6D2F"/>
    <w:rsid w:val="004E71F7"/>
    <w:rsid w:val="004F09F2"/>
    <w:rsid w:val="004F0CC9"/>
    <w:rsid w:val="004F11D5"/>
    <w:rsid w:val="004F16B8"/>
    <w:rsid w:val="004F1A4F"/>
    <w:rsid w:val="004F4355"/>
    <w:rsid w:val="004F4500"/>
    <w:rsid w:val="004F4C05"/>
    <w:rsid w:val="004F4EF9"/>
    <w:rsid w:val="004F5058"/>
    <w:rsid w:val="004F5A85"/>
    <w:rsid w:val="004F6153"/>
    <w:rsid w:val="00501641"/>
    <w:rsid w:val="00503914"/>
    <w:rsid w:val="00503E31"/>
    <w:rsid w:val="0050456B"/>
    <w:rsid w:val="0050487C"/>
    <w:rsid w:val="005049FE"/>
    <w:rsid w:val="00504A10"/>
    <w:rsid w:val="00505591"/>
    <w:rsid w:val="0050598B"/>
    <w:rsid w:val="00506D37"/>
    <w:rsid w:val="00511169"/>
    <w:rsid w:val="005153F2"/>
    <w:rsid w:val="00515682"/>
    <w:rsid w:val="0052084F"/>
    <w:rsid w:val="005219D3"/>
    <w:rsid w:val="00523615"/>
    <w:rsid w:val="005239C3"/>
    <w:rsid w:val="00526B48"/>
    <w:rsid w:val="00527080"/>
    <w:rsid w:val="00531BDC"/>
    <w:rsid w:val="005322B1"/>
    <w:rsid w:val="0053236F"/>
    <w:rsid w:val="00533516"/>
    <w:rsid w:val="005339A4"/>
    <w:rsid w:val="005339BA"/>
    <w:rsid w:val="0053418C"/>
    <w:rsid w:val="005352FE"/>
    <w:rsid w:val="00535A9D"/>
    <w:rsid w:val="00537094"/>
    <w:rsid w:val="00537B30"/>
    <w:rsid w:val="00537CC5"/>
    <w:rsid w:val="00540CC5"/>
    <w:rsid w:val="00541DD2"/>
    <w:rsid w:val="00542361"/>
    <w:rsid w:val="00542F11"/>
    <w:rsid w:val="005451ED"/>
    <w:rsid w:val="00550079"/>
    <w:rsid w:val="00550286"/>
    <w:rsid w:val="00550DAB"/>
    <w:rsid w:val="00550FCD"/>
    <w:rsid w:val="005539EE"/>
    <w:rsid w:val="00554AA6"/>
    <w:rsid w:val="00555267"/>
    <w:rsid w:val="00556584"/>
    <w:rsid w:val="005568F5"/>
    <w:rsid w:val="00556FB9"/>
    <w:rsid w:val="00557ADF"/>
    <w:rsid w:val="005606F2"/>
    <w:rsid w:val="005609FF"/>
    <w:rsid w:val="0056171C"/>
    <w:rsid w:val="005629D0"/>
    <w:rsid w:val="005630E6"/>
    <w:rsid w:val="00563FEE"/>
    <w:rsid w:val="0056576F"/>
    <w:rsid w:val="005662C2"/>
    <w:rsid w:val="00566B14"/>
    <w:rsid w:val="00570BC8"/>
    <w:rsid w:val="00574030"/>
    <w:rsid w:val="00574302"/>
    <w:rsid w:val="00575A19"/>
    <w:rsid w:val="00575F9E"/>
    <w:rsid w:val="005803EF"/>
    <w:rsid w:val="00580BB6"/>
    <w:rsid w:val="00580C99"/>
    <w:rsid w:val="00582EC7"/>
    <w:rsid w:val="005832ED"/>
    <w:rsid w:val="0058388A"/>
    <w:rsid w:val="00584E14"/>
    <w:rsid w:val="00585AE9"/>
    <w:rsid w:val="00586689"/>
    <w:rsid w:val="00586FD5"/>
    <w:rsid w:val="00587852"/>
    <w:rsid w:val="005902FA"/>
    <w:rsid w:val="00590EE8"/>
    <w:rsid w:val="00590F60"/>
    <w:rsid w:val="00590FF7"/>
    <w:rsid w:val="005917F1"/>
    <w:rsid w:val="00591948"/>
    <w:rsid w:val="005926F9"/>
    <w:rsid w:val="00593CB8"/>
    <w:rsid w:val="0059521C"/>
    <w:rsid w:val="0059563D"/>
    <w:rsid w:val="00595D72"/>
    <w:rsid w:val="00595EDF"/>
    <w:rsid w:val="0059771A"/>
    <w:rsid w:val="00597908"/>
    <w:rsid w:val="005A3237"/>
    <w:rsid w:val="005A3F6F"/>
    <w:rsid w:val="005A4BD5"/>
    <w:rsid w:val="005A6079"/>
    <w:rsid w:val="005A655E"/>
    <w:rsid w:val="005A7CAC"/>
    <w:rsid w:val="005B3CF9"/>
    <w:rsid w:val="005B43C6"/>
    <w:rsid w:val="005B5832"/>
    <w:rsid w:val="005C0B97"/>
    <w:rsid w:val="005C1335"/>
    <w:rsid w:val="005C327C"/>
    <w:rsid w:val="005C3812"/>
    <w:rsid w:val="005C40AD"/>
    <w:rsid w:val="005C6D14"/>
    <w:rsid w:val="005C7667"/>
    <w:rsid w:val="005D31EE"/>
    <w:rsid w:val="005D423C"/>
    <w:rsid w:val="005D503C"/>
    <w:rsid w:val="005D5DDC"/>
    <w:rsid w:val="005D6225"/>
    <w:rsid w:val="005D69C1"/>
    <w:rsid w:val="005D6C86"/>
    <w:rsid w:val="005D7317"/>
    <w:rsid w:val="005E0518"/>
    <w:rsid w:val="005E1393"/>
    <w:rsid w:val="005E2B66"/>
    <w:rsid w:val="005E46B3"/>
    <w:rsid w:val="005E558C"/>
    <w:rsid w:val="005E5EAA"/>
    <w:rsid w:val="005E6A23"/>
    <w:rsid w:val="005E6BD8"/>
    <w:rsid w:val="005E7A5B"/>
    <w:rsid w:val="005F1965"/>
    <w:rsid w:val="005F2557"/>
    <w:rsid w:val="005F3A2E"/>
    <w:rsid w:val="005F3A83"/>
    <w:rsid w:val="005F4737"/>
    <w:rsid w:val="005F58BD"/>
    <w:rsid w:val="006002B5"/>
    <w:rsid w:val="0060034B"/>
    <w:rsid w:val="00600EAE"/>
    <w:rsid w:val="00603518"/>
    <w:rsid w:val="0060593D"/>
    <w:rsid w:val="00605FE8"/>
    <w:rsid w:val="006060C3"/>
    <w:rsid w:val="0060657D"/>
    <w:rsid w:val="00606CA6"/>
    <w:rsid w:val="006114AA"/>
    <w:rsid w:val="00611785"/>
    <w:rsid w:val="00612C42"/>
    <w:rsid w:val="0061303D"/>
    <w:rsid w:val="00613488"/>
    <w:rsid w:val="0061461E"/>
    <w:rsid w:val="00614AB0"/>
    <w:rsid w:val="00614B40"/>
    <w:rsid w:val="0061515D"/>
    <w:rsid w:val="006155AA"/>
    <w:rsid w:val="00616707"/>
    <w:rsid w:val="00617410"/>
    <w:rsid w:val="00617AE7"/>
    <w:rsid w:val="00617DAC"/>
    <w:rsid w:val="0062144D"/>
    <w:rsid w:val="00622123"/>
    <w:rsid w:val="00622BB9"/>
    <w:rsid w:val="00623016"/>
    <w:rsid w:val="00624403"/>
    <w:rsid w:val="00625247"/>
    <w:rsid w:val="0062533C"/>
    <w:rsid w:val="00626A9F"/>
    <w:rsid w:val="0062757D"/>
    <w:rsid w:val="00627A56"/>
    <w:rsid w:val="00627E37"/>
    <w:rsid w:val="0063022F"/>
    <w:rsid w:val="00630349"/>
    <w:rsid w:val="006305CF"/>
    <w:rsid w:val="0063137A"/>
    <w:rsid w:val="00632721"/>
    <w:rsid w:val="00632DB7"/>
    <w:rsid w:val="00632FA3"/>
    <w:rsid w:val="0063352D"/>
    <w:rsid w:val="0063398E"/>
    <w:rsid w:val="00634237"/>
    <w:rsid w:val="006378E0"/>
    <w:rsid w:val="006408C8"/>
    <w:rsid w:val="006436EA"/>
    <w:rsid w:val="00643838"/>
    <w:rsid w:val="006440C5"/>
    <w:rsid w:val="00644171"/>
    <w:rsid w:val="0064748F"/>
    <w:rsid w:val="00650966"/>
    <w:rsid w:val="0065280A"/>
    <w:rsid w:val="00652F0F"/>
    <w:rsid w:val="006572BE"/>
    <w:rsid w:val="006576CC"/>
    <w:rsid w:val="00660694"/>
    <w:rsid w:val="006653DC"/>
    <w:rsid w:val="00667889"/>
    <w:rsid w:val="006718AA"/>
    <w:rsid w:val="00672400"/>
    <w:rsid w:val="00674613"/>
    <w:rsid w:val="00675E75"/>
    <w:rsid w:val="00677D63"/>
    <w:rsid w:val="00680181"/>
    <w:rsid w:val="00680B87"/>
    <w:rsid w:val="00681133"/>
    <w:rsid w:val="0068143C"/>
    <w:rsid w:val="0068151B"/>
    <w:rsid w:val="00684F63"/>
    <w:rsid w:val="00686208"/>
    <w:rsid w:val="006876B6"/>
    <w:rsid w:val="0069374E"/>
    <w:rsid w:val="00693F27"/>
    <w:rsid w:val="00694166"/>
    <w:rsid w:val="00694E40"/>
    <w:rsid w:val="00694F99"/>
    <w:rsid w:val="006959A8"/>
    <w:rsid w:val="006963FC"/>
    <w:rsid w:val="00697130"/>
    <w:rsid w:val="00697C1F"/>
    <w:rsid w:val="006A1B1D"/>
    <w:rsid w:val="006A383C"/>
    <w:rsid w:val="006A4309"/>
    <w:rsid w:val="006A4704"/>
    <w:rsid w:val="006A53F8"/>
    <w:rsid w:val="006A5B23"/>
    <w:rsid w:val="006A5C04"/>
    <w:rsid w:val="006A61D1"/>
    <w:rsid w:val="006A6745"/>
    <w:rsid w:val="006A6C16"/>
    <w:rsid w:val="006A710A"/>
    <w:rsid w:val="006A784C"/>
    <w:rsid w:val="006B06BA"/>
    <w:rsid w:val="006B286C"/>
    <w:rsid w:val="006B2A65"/>
    <w:rsid w:val="006B4BE5"/>
    <w:rsid w:val="006B5E74"/>
    <w:rsid w:val="006B79CF"/>
    <w:rsid w:val="006C048F"/>
    <w:rsid w:val="006C0A09"/>
    <w:rsid w:val="006C0E4A"/>
    <w:rsid w:val="006C1351"/>
    <w:rsid w:val="006C2321"/>
    <w:rsid w:val="006C2369"/>
    <w:rsid w:val="006C2424"/>
    <w:rsid w:val="006C3217"/>
    <w:rsid w:val="006C4052"/>
    <w:rsid w:val="006C4F64"/>
    <w:rsid w:val="006C6467"/>
    <w:rsid w:val="006C6788"/>
    <w:rsid w:val="006C6B72"/>
    <w:rsid w:val="006C70A5"/>
    <w:rsid w:val="006D0F3E"/>
    <w:rsid w:val="006D11D9"/>
    <w:rsid w:val="006D1B96"/>
    <w:rsid w:val="006D308E"/>
    <w:rsid w:val="006D339D"/>
    <w:rsid w:val="006D3CB2"/>
    <w:rsid w:val="006D3DCF"/>
    <w:rsid w:val="006D412E"/>
    <w:rsid w:val="006D4485"/>
    <w:rsid w:val="006D4917"/>
    <w:rsid w:val="006E14AD"/>
    <w:rsid w:val="006E152C"/>
    <w:rsid w:val="006E24BA"/>
    <w:rsid w:val="006E366C"/>
    <w:rsid w:val="006E4B91"/>
    <w:rsid w:val="006E6101"/>
    <w:rsid w:val="006E6184"/>
    <w:rsid w:val="006E6D34"/>
    <w:rsid w:val="006F13F4"/>
    <w:rsid w:val="006F1FED"/>
    <w:rsid w:val="006F2D72"/>
    <w:rsid w:val="006F2E5E"/>
    <w:rsid w:val="006F3443"/>
    <w:rsid w:val="006F41C1"/>
    <w:rsid w:val="006F5036"/>
    <w:rsid w:val="006F6501"/>
    <w:rsid w:val="006F69FA"/>
    <w:rsid w:val="006F75CF"/>
    <w:rsid w:val="0070151B"/>
    <w:rsid w:val="00701A4B"/>
    <w:rsid w:val="00701CCF"/>
    <w:rsid w:val="00701D2C"/>
    <w:rsid w:val="00702395"/>
    <w:rsid w:val="00702783"/>
    <w:rsid w:val="00702962"/>
    <w:rsid w:val="00704FE5"/>
    <w:rsid w:val="007050A5"/>
    <w:rsid w:val="00705983"/>
    <w:rsid w:val="00705BD4"/>
    <w:rsid w:val="00706006"/>
    <w:rsid w:val="00706987"/>
    <w:rsid w:val="00706B1A"/>
    <w:rsid w:val="007105FA"/>
    <w:rsid w:val="00711F45"/>
    <w:rsid w:val="007122B8"/>
    <w:rsid w:val="0071386C"/>
    <w:rsid w:val="00714476"/>
    <w:rsid w:val="00714E29"/>
    <w:rsid w:val="00715ABC"/>
    <w:rsid w:val="007178A0"/>
    <w:rsid w:val="007202F5"/>
    <w:rsid w:val="00720F70"/>
    <w:rsid w:val="007218A5"/>
    <w:rsid w:val="00721B21"/>
    <w:rsid w:val="007221DA"/>
    <w:rsid w:val="007247E6"/>
    <w:rsid w:val="00724A0E"/>
    <w:rsid w:val="007252C6"/>
    <w:rsid w:val="00725EB6"/>
    <w:rsid w:val="00725F1A"/>
    <w:rsid w:val="007266BC"/>
    <w:rsid w:val="00726965"/>
    <w:rsid w:val="0073220E"/>
    <w:rsid w:val="0073342E"/>
    <w:rsid w:val="0073491F"/>
    <w:rsid w:val="00736046"/>
    <w:rsid w:val="00736965"/>
    <w:rsid w:val="00736E0A"/>
    <w:rsid w:val="00741A11"/>
    <w:rsid w:val="007426FE"/>
    <w:rsid w:val="00744A24"/>
    <w:rsid w:val="0074620E"/>
    <w:rsid w:val="007464C5"/>
    <w:rsid w:val="007515CA"/>
    <w:rsid w:val="0075199C"/>
    <w:rsid w:val="00752A4D"/>
    <w:rsid w:val="00754007"/>
    <w:rsid w:val="00755A11"/>
    <w:rsid w:val="0075601C"/>
    <w:rsid w:val="0075640A"/>
    <w:rsid w:val="00756712"/>
    <w:rsid w:val="00757B39"/>
    <w:rsid w:val="00757F20"/>
    <w:rsid w:val="007630B2"/>
    <w:rsid w:val="0076318D"/>
    <w:rsid w:val="007639A5"/>
    <w:rsid w:val="00764217"/>
    <w:rsid w:val="0076464C"/>
    <w:rsid w:val="007668EE"/>
    <w:rsid w:val="00770202"/>
    <w:rsid w:val="007720C5"/>
    <w:rsid w:val="00773759"/>
    <w:rsid w:val="00773D1D"/>
    <w:rsid w:val="00774400"/>
    <w:rsid w:val="007754F8"/>
    <w:rsid w:val="0077609F"/>
    <w:rsid w:val="007763C4"/>
    <w:rsid w:val="00777336"/>
    <w:rsid w:val="00780713"/>
    <w:rsid w:val="00780F5D"/>
    <w:rsid w:val="007826A5"/>
    <w:rsid w:val="007836BD"/>
    <w:rsid w:val="007838A2"/>
    <w:rsid w:val="007838AE"/>
    <w:rsid w:val="00783D1B"/>
    <w:rsid w:val="0078406C"/>
    <w:rsid w:val="007854B5"/>
    <w:rsid w:val="0078706E"/>
    <w:rsid w:val="00787CD0"/>
    <w:rsid w:val="00790357"/>
    <w:rsid w:val="0079118D"/>
    <w:rsid w:val="007926A1"/>
    <w:rsid w:val="007927F1"/>
    <w:rsid w:val="00793F7B"/>
    <w:rsid w:val="00795DA6"/>
    <w:rsid w:val="00795DD5"/>
    <w:rsid w:val="007A0599"/>
    <w:rsid w:val="007A0CCF"/>
    <w:rsid w:val="007A31BB"/>
    <w:rsid w:val="007A41F9"/>
    <w:rsid w:val="007A481B"/>
    <w:rsid w:val="007A4A71"/>
    <w:rsid w:val="007A4F9B"/>
    <w:rsid w:val="007A530D"/>
    <w:rsid w:val="007A685F"/>
    <w:rsid w:val="007A6AAD"/>
    <w:rsid w:val="007A7605"/>
    <w:rsid w:val="007B2413"/>
    <w:rsid w:val="007B3D8E"/>
    <w:rsid w:val="007B5743"/>
    <w:rsid w:val="007B6C18"/>
    <w:rsid w:val="007C1A8F"/>
    <w:rsid w:val="007C3072"/>
    <w:rsid w:val="007C3358"/>
    <w:rsid w:val="007C3985"/>
    <w:rsid w:val="007C65AF"/>
    <w:rsid w:val="007C666C"/>
    <w:rsid w:val="007C76F3"/>
    <w:rsid w:val="007D0A2B"/>
    <w:rsid w:val="007D2673"/>
    <w:rsid w:val="007D28B5"/>
    <w:rsid w:val="007D2AB3"/>
    <w:rsid w:val="007D3393"/>
    <w:rsid w:val="007D4221"/>
    <w:rsid w:val="007D4A86"/>
    <w:rsid w:val="007D51B7"/>
    <w:rsid w:val="007D6570"/>
    <w:rsid w:val="007D716C"/>
    <w:rsid w:val="007D7318"/>
    <w:rsid w:val="007D7D34"/>
    <w:rsid w:val="007E02EE"/>
    <w:rsid w:val="007E0722"/>
    <w:rsid w:val="007E0C42"/>
    <w:rsid w:val="007E1296"/>
    <w:rsid w:val="007E146A"/>
    <w:rsid w:val="007E167B"/>
    <w:rsid w:val="007E3751"/>
    <w:rsid w:val="007E3B80"/>
    <w:rsid w:val="007E3F58"/>
    <w:rsid w:val="007E6CEA"/>
    <w:rsid w:val="007E7705"/>
    <w:rsid w:val="007F01C6"/>
    <w:rsid w:val="007F21FE"/>
    <w:rsid w:val="007F2E93"/>
    <w:rsid w:val="007F3256"/>
    <w:rsid w:val="007F38E7"/>
    <w:rsid w:val="007F4359"/>
    <w:rsid w:val="007F5024"/>
    <w:rsid w:val="00800852"/>
    <w:rsid w:val="00800D1D"/>
    <w:rsid w:val="00802B82"/>
    <w:rsid w:val="00802DA4"/>
    <w:rsid w:val="00804094"/>
    <w:rsid w:val="00804BE7"/>
    <w:rsid w:val="0080649C"/>
    <w:rsid w:val="00806E13"/>
    <w:rsid w:val="008075D5"/>
    <w:rsid w:val="00810939"/>
    <w:rsid w:val="008131D1"/>
    <w:rsid w:val="00813DF9"/>
    <w:rsid w:val="0081580D"/>
    <w:rsid w:val="00816DC8"/>
    <w:rsid w:val="0081794E"/>
    <w:rsid w:val="00817C77"/>
    <w:rsid w:val="00817FDE"/>
    <w:rsid w:val="00821AAE"/>
    <w:rsid w:val="00823883"/>
    <w:rsid w:val="00824370"/>
    <w:rsid w:val="00824C03"/>
    <w:rsid w:val="008259D7"/>
    <w:rsid w:val="00826527"/>
    <w:rsid w:val="00826903"/>
    <w:rsid w:val="0082704D"/>
    <w:rsid w:val="00830F71"/>
    <w:rsid w:val="008312D3"/>
    <w:rsid w:val="008358E3"/>
    <w:rsid w:val="00836CFB"/>
    <w:rsid w:val="00837288"/>
    <w:rsid w:val="0083783E"/>
    <w:rsid w:val="00842AD8"/>
    <w:rsid w:val="00843584"/>
    <w:rsid w:val="0084398C"/>
    <w:rsid w:val="00843B94"/>
    <w:rsid w:val="008440BF"/>
    <w:rsid w:val="008446EE"/>
    <w:rsid w:val="008470B4"/>
    <w:rsid w:val="00847DA8"/>
    <w:rsid w:val="008523A0"/>
    <w:rsid w:val="008524B6"/>
    <w:rsid w:val="00852608"/>
    <w:rsid w:val="008538C6"/>
    <w:rsid w:val="00854352"/>
    <w:rsid w:val="00855252"/>
    <w:rsid w:val="008556CE"/>
    <w:rsid w:val="00857371"/>
    <w:rsid w:val="0086044D"/>
    <w:rsid w:val="008604B5"/>
    <w:rsid w:val="008608DD"/>
    <w:rsid w:val="00860CCB"/>
    <w:rsid w:val="0086262A"/>
    <w:rsid w:val="00864794"/>
    <w:rsid w:val="00864F05"/>
    <w:rsid w:val="00865BF2"/>
    <w:rsid w:val="00866A9B"/>
    <w:rsid w:val="00867B92"/>
    <w:rsid w:val="00870FBA"/>
    <w:rsid w:val="0087198A"/>
    <w:rsid w:val="00872498"/>
    <w:rsid w:val="00872854"/>
    <w:rsid w:val="00873130"/>
    <w:rsid w:val="00873B8E"/>
    <w:rsid w:val="008741CA"/>
    <w:rsid w:val="00875754"/>
    <w:rsid w:val="0087669D"/>
    <w:rsid w:val="008769E4"/>
    <w:rsid w:val="0088089D"/>
    <w:rsid w:val="00880D5F"/>
    <w:rsid w:val="00881080"/>
    <w:rsid w:val="0088394E"/>
    <w:rsid w:val="00884B92"/>
    <w:rsid w:val="00886DF0"/>
    <w:rsid w:val="0088721F"/>
    <w:rsid w:val="00887C75"/>
    <w:rsid w:val="008916CF"/>
    <w:rsid w:val="00891734"/>
    <w:rsid w:val="00892B26"/>
    <w:rsid w:val="00892BE7"/>
    <w:rsid w:val="008947C3"/>
    <w:rsid w:val="008963B8"/>
    <w:rsid w:val="00896734"/>
    <w:rsid w:val="0089750E"/>
    <w:rsid w:val="008979D1"/>
    <w:rsid w:val="008A21EE"/>
    <w:rsid w:val="008A462E"/>
    <w:rsid w:val="008A5D57"/>
    <w:rsid w:val="008A700D"/>
    <w:rsid w:val="008A74C9"/>
    <w:rsid w:val="008A78C2"/>
    <w:rsid w:val="008B0AC5"/>
    <w:rsid w:val="008B3117"/>
    <w:rsid w:val="008B359F"/>
    <w:rsid w:val="008B4AC4"/>
    <w:rsid w:val="008B6A3A"/>
    <w:rsid w:val="008B775D"/>
    <w:rsid w:val="008C2A02"/>
    <w:rsid w:val="008C3772"/>
    <w:rsid w:val="008C4292"/>
    <w:rsid w:val="008C53E8"/>
    <w:rsid w:val="008C5CB6"/>
    <w:rsid w:val="008D1812"/>
    <w:rsid w:val="008D40C4"/>
    <w:rsid w:val="008D42B9"/>
    <w:rsid w:val="008D573D"/>
    <w:rsid w:val="008D587F"/>
    <w:rsid w:val="008D6BFC"/>
    <w:rsid w:val="008D6C1F"/>
    <w:rsid w:val="008D7AAE"/>
    <w:rsid w:val="008E0121"/>
    <w:rsid w:val="008E2AA1"/>
    <w:rsid w:val="008E63CD"/>
    <w:rsid w:val="008E66D1"/>
    <w:rsid w:val="008E6B69"/>
    <w:rsid w:val="008E6D95"/>
    <w:rsid w:val="008E7DA3"/>
    <w:rsid w:val="008F2C5D"/>
    <w:rsid w:val="008F3487"/>
    <w:rsid w:val="008F39A1"/>
    <w:rsid w:val="008F3A3E"/>
    <w:rsid w:val="008F4F15"/>
    <w:rsid w:val="008F51D0"/>
    <w:rsid w:val="008F57D4"/>
    <w:rsid w:val="008F6011"/>
    <w:rsid w:val="008F6231"/>
    <w:rsid w:val="008F639B"/>
    <w:rsid w:val="0090178E"/>
    <w:rsid w:val="009020A6"/>
    <w:rsid w:val="009028D8"/>
    <w:rsid w:val="009033A7"/>
    <w:rsid w:val="009055A1"/>
    <w:rsid w:val="00906AD4"/>
    <w:rsid w:val="00906CFB"/>
    <w:rsid w:val="00906D1B"/>
    <w:rsid w:val="00907417"/>
    <w:rsid w:val="0091174C"/>
    <w:rsid w:val="00911911"/>
    <w:rsid w:val="00912C98"/>
    <w:rsid w:val="009137B5"/>
    <w:rsid w:val="00914ECA"/>
    <w:rsid w:val="00916E4A"/>
    <w:rsid w:val="00916F49"/>
    <w:rsid w:val="009171D8"/>
    <w:rsid w:val="009173A5"/>
    <w:rsid w:val="009201E3"/>
    <w:rsid w:val="0092146F"/>
    <w:rsid w:val="0092200B"/>
    <w:rsid w:val="00923140"/>
    <w:rsid w:val="009236F4"/>
    <w:rsid w:val="0092579C"/>
    <w:rsid w:val="0092707B"/>
    <w:rsid w:val="009307C1"/>
    <w:rsid w:val="00931533"/>
    <w:rsid w:val="0093336F"/>
    <w:rsid w:val="00933637"/>
    <w:rsid w:val="00933EB7"/>
    <w:rsid w:val="009341D8"/>
    <w:rsid w:val="009345F9"/>
    <w:rsid w:val="0093552D"/>
    <w:rsid w:val="009362B1"/>
    <w:rsid w:val="00936CD6"/>
    <w:rsid w:val="009404F2"/>
    <w:rsid w:val="00940950"/>
    <w:rsid w:val="0094173D"/>
    <w:rsid w:val="009419CB"/>
    <w:rsid w:val="00942692"/>
    <w:rsid w:val="00943353"/>
    <w:rsid w:val="009445E1"/>
    <w:rsid w:val="0094471F"/>
    <w:rsid w:val="00944841"/>
    <w:rsid w:val="00944C60"/>
    <w:rsid w:val="00944CD2"/>
    <w:rsid w:val="00944E5C"/>
    <w:rsid w:val="00944EC3"/>
    <w:rsid w:val="00945A32"/>
    <w:rsid w:val="009460C3"/>
    <w:rsid w:val="00946566"/>
    <w:rsid w:val="009479E2"/>
    <w:rsid w:val="0095049C"/>
    <w:rsid w:val="00951C51"/>
    <w:rsid w:val="0095235F"/>
    <w:rsid w:val="00953EF3"/>
    <w:rsid w:val="00956615"/>
    <w:rsid w:val="00957E24"/>
    <w:rsid w:val="00960FBC"/>
    <w:rsid w:val="00961E04"/>
    <w:rsid w:val="00962460"/>
    <w:rsid w:val="00962D67"/>
    <w:rsid w:val="00964939"/>
    <w:rsid w:val="00965183"/>
    <w:rsid w:val="009653B3"/>
    <w:rsid w:val="00967D45"/>
    <w:rsid w:val="00970844"/>
    <w:rsid w:val="00970F52"/>
    <w:rsid w:val="009718B3"/>
    <w:rsid w:val="00974D83"/>
    <w:rsid w:val="0097584F"/>
    <w:rsid w:val="00975928"/>
    <w:rsid w:val="009768FB"/>
    <w:rsid w:val="00976B89"/>
    <w:rsid w:val="00976FA1"/>
    <w:rsid w:val="00980862"/>
    <w:rsid w:val="00981507"/>
    <w:rsid w:val="009819DB"/>
    <w:rsid w:val="00981FFC"/>
    <w:rsid w:val="00982312"/>
    <w:rsid w:val="00987001"/>
    <w:rsid w:val="00987EA9"/>
    <w:rsid w:val="009901E0"/>
    <w:rsid w:val="009912F7"/>
    <w:rsid w:val="00991C53"/>
    <w:rsid w:val="00993231"/>
    <w:rsid w:val="009A3989"/>
    <w:rsid w:val="009A61C2"/>
    <w:rsid w:val="009A6F8E"/>
    <w:rsid w:val="009A7644"/>
    <w:rsid w:val="009A7B41"/>
    <w:rsid w:val="009B008E"/>
    <w:rsid w:val="009B1245"/>
    <w:rsid w:val="009B1331"/>
    <w:rsid w:val="009B271C"/>
    <w:rsid w:val="009B2D23"/>
    <w:rsid w:val="009B6653"/>
    <w:rsid w:val="009B736C"/>
    <w:rsid w:val="009C0738"/>
    <w:rsid w:val="009C1A6E"/>
    <w:rsid w:val="009C1BD6"/>
    <w:rsid w:val="009C47C6"/>
    <w:rsid w:val="009D0F44"/>
    <w:rsid w:val="009D344D"/>
    <w:rsid w:val="009D490F"/>
    <w:rsid w:val="009D7B1F"/>
    <w:rsid w:val="009E070D"/>
    <w:rsid w:val="009E0887"/>
    <w:rsid w:val="009E0DD3"/>
    <w:rsid w:val="009E254E"/>
    <w:rsid w:val="009E3C6B"/>
    <w:rsid w:val="009E4AF8"/>
    <w:rsid w:val="009E5AC7"/>
    <w:rsid w:val="009E6358"/>
    <w:rsid w:val="009E64FE"/>
    <w:rsid w:val="009E7009"/>
    <w:rsid w:val="009E71AB"/>
    <w:rsid w:val="009F02DC"/>
    <w:rsid w:val="009F0ED7"/>
    <w:rsid w:val="009F5A53"/>
    <w:rsid w:val="009F5C0D"/>
    <w:rsid w:val="009F60DE"/>
    <w:rsid w:val="009F60FF"/>
    <w:rsid w:val="009F620F"/>
    <w:rsid w:val="009F6ABF"/>
    <w:rsid w:val="009F7185"/>
    <w:rsid w:val="00A0033A"/>
    <w:rsid w:val="00A0037F"/>
    <w:rsid w:val="00A00CCC"/>
    <w:rsid w:val="00A01401"/>
    <w:rsid w:val="00A0438F"/>
    <w:rsid w:val="00A0532B"/>
    <w:rsid w:val="00A058F6"/>
    <w:rsid w:val="00A05990"/>
    <w:rsid w:val="00A05A7B"/>
    <w:rsid w:val="00A05B6B"/>
    <w:rsid w:val="00A05BDB"/>
    <w:rsid w:val="00A068DC"/>
    <w:rsid w:val="00A06D4F"/>
    <w:rsid w:val="00A07444"/>
    <w:rsid w:val="00A07FFC"/>
    <w:rsid w:val="00A14090"/>
    <w:rsid w:val="00A14619"/>
    <w:rsid w:val="00A147F8"/>
    <w:rsid w:val="00A14B4F"/>
    <w:rsid w:val="00A15831"/>
    <w:rsid w:val="00A1751E"/>
    <w:rsid w:val="00A17BCC"/>
    <w:rsid w:val="00A21064"/>
    <w:rsid w:val="00A217B4"/>
    <w:rsid w:val="00A21B60"/>
    <w:rsid w:val="00A22EE9"/>
    <w:rsid w:val="00A2312D"/>
    <w:rsid w:val="00A23343"/>
    <w:rsid w:val="00A26320"/>
    <w:rsid w:val="00A33452"/>
    <w:rsid w:val="00A3461C"/>
    <w:rsid w:val="00A3675B"/>
    <w:rsid w:val="00A36894"/>
    <w:rsid w:val="00A36CC8"/>
    <w:rsid w:val="00A40688"/>
    <w:rsid w:val="00A40964"/>
    <w:rsid w:val="00A40CC7"/>
    <w:rsid w:val="00A41703"/>
    <w:rsid w:val="00A41975"/>
    <w:rsid w:val="00A41B19"/>
    <w:rsid w:val="00A43F30"/>
    <w:rsid w:val="00A43FF1"/>
    <w:rsid w:val="00A447F4"/>
    <w:rsid w:val="00A458BA"/>
    <w:rsid w:val="00A479A3"/>
    <w:rsid w:val="00A5034F"/>
    <w:rsid w:val="00A50AB5"/>
    <w:rsid w:val="00A516FD"/>
    <w:rsid w:val="00A52EC5"/>
    <w:rsid w:val="00A53B7D"/>
    <w:rsid w:val="00A54825"/>
    <w:rsid w:val="00A54C34"/>
    <w:rsid w:val="00A55CEE"/>
    <w:rsid w:val="00A57130"/>
    <w:rsid w:val="00A57293"/>
    <w:rsid w:val="00A62E4B"/>
    <w:rsid w:val="00A6409D"/>
    <w:rsid w:val="00A64170"/>
    <w:rsid w:val="00A673CE"/>
    <w:rsid w:val="00A70E3F"/>
    <w:rsid w:val="00A71D88"/>
    <w:rsid w:val="00A7204D"/>
    <w:rsid w:val="00A72467"/>
    <w:rsid w:val="00A724AF"/>
    <w:rsid w:val="00A72A9F"/>
    <w:rsid w:val="00A74DA1"/>
    <w:rsid w:val="00A765AD"/>
    <w:rsid w:val="00A77FDD"/>
    <w:rsid w:val="00A80870"/>
    <w:rsid w:val="00A80ACE"/>
    <w:rsid w:val="00A812DA"/>
    <w:rsid w:val="00A82C5E"/>
    <w:rsid w:val="00A82E83"/>
    <w:rsid w:val="00A8370E"/>
    <w:rsid w:val="00A83ADB"/>
    <w:rsid w:val="00A856E3"/>
    <w:rsid w:val="00A869A6"/>
    <w:rsid w:val="00A86B13"/>
    <w:rsid w:val="00A86D24"/>
    <w:rsid w:val="00A87F5F"/>
    <w:rsid w:val="00A90811"/>
    <w:rsid w:val="00A90C2B"/>
    <w:rsid w:val="00A90DBF"/>
    <w:rsid w:val="00A92C84"/>
    <w:rsid w:val="00A93520"/>
    <w:rsid w:val="00A94378"/>
    <w:rsid w:val="00AA094D"/>
    <w:rsid w:val="00AA11A0"/>
    <w:rsid w:val="00AA1DA9"/>
    <w:rsid w:val="00AA1E43"/>
    <w:rsid w:val="00AA1EE9"/>
    <w:rsid w:val="00AA2762"/>
    <w:rsid w:val="00AA2CDD"/>
    <w:rsid w:val="00AA3DED"/>
    <w:rsid w:val="00AA465A"/>
    <w:rsid w:val="00AA53BA"/>
    <w:rsid w:val="00AA56EB"/>
    <w:rsid w:val="00AA651A"/>
    <w:rsid w:val="00AA6C92"/>
    <w:rsid w:val="00AA714E"/>
    <w:rsid w:val="00AA7294"/>
    <w:rsid w:val="00AA7C35"/>
    <w:rsid w:val="00AB0A99"/>
    <w:rsid w:val="00AB0C24"/>
    <w:rsid w:val="00AB0E87"/>
    <w:rsid w:val="00AB13B2"/>
    <w:rsid w:val="00AB2577"/>
    <w:rsid w:val="00AB2E86"/>
    <w:rsid w:val="00AB6037"/>
    <w:rsid w:val="00AC0E16"/>
    <w:rsid w:val="00AC136B"/>
    <w:rsid w:val="00AC1B0F"/>
    <w:rsid w:val="00AC285A"/>
    <w:rsid w:val="00AC3308"/>
    <w:rsid w:val="00AC42A4"/>
    <w:rsid w:val="00AC4359"/>
    <w:rsid w:val="00AC661F"/>
    <w:rsid w:val="00AC6CAD"/>
    <w:rsid w:val="00AC760F"/>
    <w:rsid w:val="00AD1961"/>
    <w:rsid w:val="00AD27D7"/>
    <w:rsid w:val="00AD2C13"/>
    <w:rsid w:val="00AD2CA1"/>
    <w:rsid w:val="00AD2D9A"/>
    <w:rsid w:val="00AD3236"/>
    <w:rsid w:val="00AD50C9"/>
    <w:rsid w:val="00AD5D2F"/>
    <w:rsid w:val="00AD6299"/>
    <w:rsid w:val="00AD76AE"/>
    <w:rsid w:val="00AE051E"/>
    <w:rsid w:val="00AE0BF3"/>
    <w:rsid w:val="00AE1858"/>
    <w:rsid w:val="00AE2915"/>
    <w:rsid w:val="00AE3CF3"/>
    <w:rsid w:val="00AE435A"/>
    <w:rsid w:val="00AE5A3D"/>
    <w:rsid w:val="00AE5CDF"/>
    <w:rsid w:val="00AE6DAE"/>
    <w:rsid w:val="00AE7329"/>
    <w:rsid w:val="00AF14F1"/>
    <w:rsid w:val="00AF1F91"/>
    <w:rsid w:val="00AF2DF0"/>
    <w:rsid w:val="00AF30CC"/>
    <w:rsid w:val="00AF3AA8"/>
    <w:rsid w:val="00AF67D4"/>
    <w:rsid w:val="00AF76A4"/>
    <w:rsid w:val="00B005E5"/>
    <w:rsid w:val="00B00777"/>
    <w:rsid w:val="00B011B4"/>
    <w:rsid w:val="00B01696"/>
    <w:rsid w:val="00B02A93"/>
    <w:rsid w:val="00B0382E"/>
    <w:rsid w:val="00B03BE4"/>
    <w:rsid w:val="00B04347"/>
    <w:rsid w:val="00B11212"/>
    <w:rsid w:val="00B11602"/>
    <w:rsid w:val="00B129EE"/>
    <w:rsid w:val="00B132B7"/>
    <w:rsid w:val="00B153F3"/>
    <w:rsid w:val="00B15802"/>
    <w:rsid w:val="00B160D2"/>
    <w:rsid w:val="00B17878"/>
    <w:rsid w:val="00B20903"/>
    <w:rsid w:val="00B20C02"/>
    <w:rsid w:val="00B22B28"/>
    <w:rsid w:val="00B23597"/>
    <w:rsid w:val="00B23C2B"/>
    <w:rsid w:val="00B2514A"/>
    <w:rsid w:val="00B25AFF"/>
    <w:rsid w:val="00B26543"/>
    <w:rsid w:val="00B274DB"/>
    <w:rsid w:val="00B27724"/>
    <w:rsid w:val="00B30350"/>
    <w:rsid w:val="00B30962"/>
    <w:rsid w:val="00B30A7A"/>
    <w:rsid w:val="00B313BE"/>
    <w:rsid w:val="00B32158"/>
    <w:rsid w:val="00B3326B"/>
    <w:rsid w:val="00B33CA3"/>
    <w:rsid w:val="00B33E09"/>
    <w:rsid w:val="00B35080"/>
    <w:rsid w:val="00B350BE"/>
    <w:rsid w:val="00B35211"/>
    <w:rsid w:val="00B36028"/>
    <w:rsid w:val="00B3625F"/>
    <w:rsid w:val="00B37616"/>
    <w:rsid w:val="00B37667"/>
    <w:rsid w:val="00B4014C"/>
    <w:rsid w:val="00B405E2"/>
    <w:rsid w:val="00B44019"/>
    <w:rsid w:val="00B4645B"/>
    <w:rsid w:val="00B47950"/>
    <w:rsid w:val="00B5084D"/>
    <w:rsid w:val="00B51426"/>
    <w:rsid w:val="00B52454"/>
    <w:rsid w:val="00B52FA3"/>
    <w:rsid w:val="00B53539"/>
    <w:rsid w:val="00B53589"/>
    <w:rsid w:val="00B5372B"/>
    <w:rsid w:val="00B53F0D"/>
    <w:rsid w:val="00B5470A"/>
    <w:rsid w:val="00B5483E"/>
    <w:rsid w:val="00B55CE5"/>
    <w:rsid w:val="00B56112"/>
    <w:rsid w:val="00B609DF"/>
    <w:rsid w:val="00B618E4"/>
    <w:rsid w:val="00B6446E"/>
    <w:rsid w:val="00B6730D"/>
    <w:rsid w:val="00B676A7"/>
    <w:rsid w:val="00B67FAE"/>
    <w:rsid w:val="00B709BD"/>
    <w:rsid w:val="00B71E45"/>
    <w:rsid w:val="00B72B8F"/>
    <w:rsid w:val="00B73441"/>
    <w:rsid w:val="00B74C28"/>
    <w:rsid w:val="00B7585B"/>
    <w:rsid w:val="00B763EC"/>
    <w:rsid w:val="00B76FEE"/>
    <w:rsid w:val="00B77C19"/>
    <w:rsid w:val="00B77EAB"/>
    <w:rsid w:val="00B804AC"/>
    <w:rsid w:val="00B8085F"/>
    <w:rsid w:val="00B82E21"/>
    <w:rsid w:val="00B8332A"/>
    <w:rsid w:val="00B83599"/>
    <w:rsid w:val="00B83D4C"/>
    <w:rsid w:val="00B86584"/>
    <w:rsid w:val="00B90CE9"/>
    <w:rsid w:val="00B90F21"/>
    <w:rsid w:val="00B910D6"/>
    <w:rsid w:val="00B917E7"/>
    <w:rsid w:val="00B92EBD"/>
    <w:rsid w:val="00B92FD0"/>
    <w:rsid w:val="00B94620"/>
    <w:rsid w:val="00B95098"/>
    <w:rsid w:val="00B95642"/>
    <w:rsid w:val="00B97002"/>
    <w:rsid w:val="00BA2F06"/>
    <w:rsid w:val="00BA30F3"/>
    <w:rsid w:val="00BA3496"/>
    <w:rsid w:val="00BA3774"/>
    <w:rsid w:val="00BA4214"/>
    <w:rsid w:val="00BA5C4B"/>
    <w:rsid w:val="00BA6642"/>
    <w:rsid w:val="00BB1238"/>
    <w:rsid w:val="00BB3057"/>
    <w:rsid w:val="00BB357D"/>
    <w:rsid w:val="00BB3F2F"/>
    <w:rsid w:val="00BB638C"/>
    <w:rsid w:val="00BB708F"/>
    <w:rsid w:val="00BB75E1"/>
    <w:rsid w:val="00BB7AD7"/>
    <w:rsid w:val="00BC07E3"/>
    <w:rsid w:val="00BC131E"/>
    <w:rsid w:val="00BC19CA"/>
    <w:rsid w:val="00BC392D"/>
    <w:rsid w:val="00BC5AA0"/>
    <w:rsid w:val="00BC61CE"/>
    <w:rsid w:val="00BD109A"/>
    <w:rsid w:val="00BD3C10"/>
    <w:rsid w:val="00BD3D7F"/>
    <w:rsid w:val="00BD462B"/>
    <w:rsid w:val="00BD4E3F"/>
    <w:rsid w:val="00BD7647"/>
    <w:rsid w:val="00BD7D8C"/>
    <w:rsid w:val="00BE0BC2"/>
    <w:rsid w:val="00BE1C45"/>
    <w:rsid w:val="00BE32D1"/>
    <w:rsid w:val="00BE40E9"/>
    <w:rsid w:val="00BE4307"/>
    <w:rsid w:val="00BE46E5"/>
    <w:rsid w:val="00BE4B3E"/>
    <w:rsid w:val="00BE4BDA"/>
    <w:rsid w:val="00BE4F51"/>
    <w:rsid w:val="00BE5365"/>
    <w:rsid w:val="00BE6E46"/>
    <w:rsid w:val="00BE7F37"/>
    <w:rsid w:val="00BF003D"/>
    <w:rsid w:val="00BF1246"/>
    <w:rsid w:val="00BF4699"/>
    <w:rsid w:val="00BF4A1A"/>
    <w:rsid w:val="00BF5984"/>
    <w:rsid w:val="00BF5C42"/>
    <w:rsid w:val="00BF70F7"/>
    <w:rsid w:val="00BF742E"/>
    <w:rsid w:val="00BF7CF6"/>
    <w:rsid w:val="00C0004E"/>
    <w:rsid w:val="00C01DC8"/>
    <w:rsid w:val="00C02A75"/>
    <w:rsid w:val="00C067B2"/>
    <w:rsid w:val="00C06E05"/>
    <w:rsid w:val="00C0707A"/>
    <w:rsid w:val="00C07821"/>
    <w:rsid w:val="00C10738"/>
    <w:rsid w:val="00C12311"/>
    <w:rsid w:val="00C15F5A"/>
    <w:rsid w:val="00C1643C"/>
    <w:rsid w:val="00C165EB"/>
    <w:rsid w:val="00C16B4E"/>
    <w:rsid w:val="00C20AFE"/>
    <w:rsid w:val="00C20DFC"/>
    <w:rsid w:val="00C243D7"/>
    <w:rsid w:val="00C24560"/>
    <w:rsid w:val="00C24719"/>
    <w:rsid w:val="00C24E51"/>
    <w:rsid w:val="00C2733E"/>
    <w:rsid w:val="00C27683"/>
    <w:rsid w:val="00C27FF4"/>
    <w:rsid w:val="00C30805"/>
    <w:rsid w:val="00C32DFA"/>
    <w:rsid w:val="00C34A86"/>
    <w:rsid w:val="00C36FAF"/>
    <w:rsid w:val="00C375F0"/>
    <w:rsid w:val="00C40669"/>
    <w:rsid w:val="00C41997"/>
    <w:rsid w:val="00C41C94"/>
    <w:rsid w:val="00C4261A"/>
    <w:rsid w:val="00C4271B"/>
    <w:rsid w:val="00C432BA"/>
    <w:rsid w:val="00C438D5"/>
    <w:rsid w:val="00C454AE"/>
    <w:rsid w:val="00C45F00"/>
    <w:rsid w:val="00C46057"/>
    <w:rsid w:val="00C46117"/>
    <w:rsid w:val="00C46594"/>
    <w:rsid w:val="00C46CE7"/>
    <w:rsid w:val="00C47275"/>
    <w:rsid w:val="00C4756C"/>
    <w:rsid w:val="00C52DA2"/>
    <w:rsid w:val="00C53E3F"/>
    <w:rsid w:val="00C559F6"/>
    <w:rsid w:val="00C55C9E"/>
    <w:rsid w:val="00C573D9"/>
    <w:rsid w:val="00C578AC"/>
    <w:rsid w:val="00C57E8A"/>
    <w:rsid w:val="00C6044C"/>
    <w:rsid w:val="00C60D30"/>
    <w:rsid w:val="00C6108A"/>
    <w:rsid w:val="00C618C9"/>
    <w:rsid w:val="00C6230F"/>
    <w:rsid w:val="00C6345E"/>
    <w:rsid w:val="00C6359A"/>
    <w:rsid w:val="00C64FA4"/>
    <w:rsid w:val="00C65FCF"/>
    <w:rsid w:val="00C660A0"/>
    <w:rsid w:val="00C66576"/>
    <w:rsid w:val="00C6693E"/>
    <w:rsid w:val="00C6715D"/>
    <w:rsid w:val="00C70D41"/>
    <w:rsid w:val="00C71E50"/>
    <w:rsid w:val="00C72009"/>
    <w:rsid w:val="00C73166"/>
    <w:rsid w:val="00C733E7"/>
    <w:rsid w:val="00C75E63"/>
    <w:rsid w:val="00C768AC"/>
    <w:rsid w:val="00C77151"/>
    <w:rsid w:val="00C771F3"/>
    <w:rsid w:val="00C775F9"/>
    <w:rsid w:val="00C77B02"/>
    <w:rsid w:val="00C77E7E"/>
    <w:rsid w:val="00C80344"/>
    <w:rsid w:val="00C8047B"/>
    <w:rsid w:val="00C80D25"/>
    <w:rsid w:val="00C80DD8"/>
    <w:rsid w:val="00C81BD7"/>
    <w:rsid w:val="00C81E95"/>
    <w:rsid w:val="00C826F8"/>
    <w:rsid w:val="00C836AC"/>
    <w:rsid w:val="00C841F6"/>
    <w:rsid w:val="00C85C70"/>
    <w:rsid w:val="00C862F9"/>
    <w:rsid w:val="00C87047"/>
    <w:rsid w:val="00C8763D"/>
    <w:rsid w:val="00C90415"/>
    <w:rsid w:val="00C923C7"/>
    <w:rsid w:val="00C95B13"/>
    <w:rsid w:val="00C97D28"/>
    <w:rsid w:val="00CA21F1"/>
    <w:rsid w:val="00CA21FB"/>
    <w:rsid w:val="00CA2D07"/>
    <w:rsid w:val="00CA3365"/>
    <w:rsid w:val="00CA3CA3"/>
    <w:rsid w:val="00CA50F2"/>
    <w:rsid w:val="00CA5A4C"/>
    <w:rsid w:val="00CA5E3A"/>
    <w:rsid w:val="00CA6392"/>
    <w:rsid w:val="00CA70D3"/>
    <w:rsid w:val="00CA7674"/>
    <w:rsid w:val="00CB078F"/>
    <w:rsid w:val="00CB150C"/>
    <w:rsid w:val="00CB15BB"/>
    <w:rsid w:val="00CB1BEE"/>
    <w:rsid w:val="00CB617D"/>
    <w:rsid w:val="00CB6E91"/>
    <w:rsid w:val="00CB7EA7"/>
    <w:rsid w:val="00CC1639"/>
    <w:rsid w:val="00CC3610"/>
    <w:rsid w:val="00CC3908"/>
    <w:rsid w:val="00CC5843"/>
    <w:rsid w:val="00CD24ED"/>
    <w:rsid w:val="00CD551A"/>
    <w:rsid w:val="00CD65B8"/>
    <w:rsid w:val="00CD7C16"/>
    <w:rsid w:val="00CE0FDC"/>
    <w:rsid w:val="00CE35D4"/>
    <w:rsid w:val="00CE3979"/>
    <w:rsid w:val="00CE47D2"/>
    <w:rsid w:val="00CE51A4"/>
    <w:rsid w:val="00CE5754"/>
    <w:rsid w:val="00CE6A77"/>
    <w:rsid w:val="00CE6D11"/>
    <w:rsid w:val="00CE6E7E"/>
    <w:rsid w:val="00CF0535"/>
    <w:rsid w:val="00CF0654"/>
    <w:rsid w:val="00CF0A98"/>
    <w:rsid w:val="00CF2438"/>
    <w:rsid w:val="00CF33D7"/>
    <w:rsid w:val="00CF3DAE"/>
    <w:rsid w:val="00CF41C5"/>
    <w:rsid w:val="00CF43C5"/>
    <w:rsid w:val="00CF7216"/>
    <w:rsid w:val="00CF73CA"/>
    <w:rsid w:val="00CF7642"/>
    <w:rsid w:val="00CF7702"/>
    <w:rsid w:val="00D00392"/>
    <w:rsid w:val="00D01441"/>
    <w:rsid w:val="00D01519"/>
    <w:rsid w:val="00D02C13"/>
    <w:rsid w:val="00D0394E"/>
    <w:rsid w:val="00D03D3A"/>
    <w:rsid w:val="00D03DE5"/>
    <w:rsid w:val="00D05C69"/>
    <w:rsid w:val="00D05E48"/>
    <w:rsid w:val="00D06A25"/>
    <w:rsid w:val="00D06D54"/>
    <w:rsid w:val="00D072FA"/>
    <w:rsid w:val="00D10BC5"/>
    <w:rsid w:val="00D11C77"/>
    <w:rsid w:val="00D13BF3"/>
    <w:rsid w:val="00D14CAD"/>
    <w:rsid w:val="00D15FB0"/>
    <w:rsid w:val="00D16A27"/>
    <w:rsid w:val="00D179A8"/>
    <w:rsid w:val="00D225D6"/>
    <w:rsid w:val="00D23FC8"/>
    <w:rsid w:val="00D24138"/>
    <w:rsid w:val="00D26863"/>
    <w:rsid w:val="00D26BE0"/>
    <w:rsid w:val="00D26F21"/>
    <w:rsid w:val="00D27339"/>
    <w:rsid w:val="00D27BA8"/>
    <w:rsid w:val="00D30129"/>
    <w:rsid w:val="00D30177"/>
    <w:rsid w:val="00D301C2"/>
    <w:rsid w:val="00D30250"/>
    <w:rsid w:val="00D3121D"/>
    <w:rsid w:val="00D319A3"/>
    <w:rsid w:val="00D32E75"/>
    <w:rsid w:val="00D34209"/>
    <w:rsid w:val="00D343BE"/>
    <w:rsid w:val="00D35539"/>
    <w:rsid w:val="00D359B0"/>
    <w:rsid w:val="00D35F7D"/>
    <w:rsid w:val="00D36AFE"/>
    <w:rsid w:val="00D3716D"/>
    <w:rsid w:val="00D37CF4"/>
    <w:rsid w:val="00D42476"/>
    <w:rsid w:val="00D425CE"/>
    <w:rsid w:val="00D42C29"/>
    <w:rsid w:val="00D44470"/>
    <w:rsid w:val="00D444EC"/>
    <w:rsid w:val="00D44521"/>
    <w:rsid w:val="00D44FFE"/>
    <w:rsid w:val="00D470DF"/>
    <w:rsid w:val="00D50A8F"/>
    <w:rsid w:val="00D50FA5"/>
    <w:rsid w:val="00D523DD"/>
    <w:rsid w:val="00D52E65"/>
    <w:rsid w:val="00D54AA2"/>
    <w:rsid w:val="00D54E27"/>
    <w:rsid w:val="00D56272"/>
    <w:rsid w:val="00D566AD"/>
    <w:rsid w:val="00D56D88"/>
    <w:rsid w:val="00D57940"/>
    <w:rsid w:val="00D60ABB"/>
    <w:rsid w:val="00D61A11"/>
    <w:rsid w:val="00D62951"/>
    <w:rsid w:val="00D64295"/>
    <w:rsid w:val="00D64681"/>
    <w:rsid w:val="00D654D5"/>
    <w:rsid w:val="00D667FA"/>
    <w:rsid w:val="00D67E52"/>
    <w:rsid w:val="00D7004C"/>
    <w:rsid w:val="00D70A04"/>
    <w:rsid w:val="00D70E23"/>
    <w:rsid w:val="00D71B59"/>
    <w:rsid w:val="00D74869"/>
    <w:rsid w:val="00D76635"/>
    <w:rsid w:val="00D7686E"/>
    <w:rsid w:val="00D77081"/>
    <w:rsid w:val="00D8083D"/>
    <w:rsid w:val="00D81297"/>
    <w:rsid w:val="00D81589"/>
    <w:rsid w:val="00D83810"/>
    <w:rsid w:val="00D840C5"/>
    <w:rsid w:val="00D84F50"/>
    <w:rsid w:val="00D85677"/>
    <w:rsid w:val="00D858B6"/>
    <w:rsid w:val="00D86882"/>
    <w:rsid w:val="00D86D18"/>
    <w:rsid w:val="00D9046E"/>
    <w:rsid w:val="00D90720"/>
    <w:rsid w:val="00D92ECA"/>
    <w:rsid w:val="00D934D8"/>
    <w:rsid w:val="00D94139"/>
    <w:rsid w:val="00D97637"/>
    <w:rsid w:val="00DA07A4"/>
    <w:rsid w:val="00DA4FA1"/>
    <w:rsid w:val="00DB24B7"/>
    <w:rsid w:val="00DB297A"/>
    <w:rsid w:val="00DB2CA7"/>
    <w:rsid w:val="00DB3DBE"/>
    <w:rsid w:val="00DB48DB"/>
    <w:rsid w:val="00DB511E"/>
    <w:rsid w:val="00DB58E2"/>
    <w:rsid w:val="00DB6478"/>
    <w:rsid w:val="00DB69B9"/>
    <w:rsid w:val="00DB785C"/>
    <w:rsid w:val="00DB7973"/>
    <w:rsid w:val="00DC077F"/>
    <w:rsid w:val="00DC0AE5"/>
    <w:rsid w:val="00DC17F6"/>
    <w:rsid w:val="00DC236A"/>
    <w:rsid w:val="00DC42B2"/>
    <w:rsid w:val="00DC4DC4"/>
    <w:rsid w:val="00DC5261"/>
    <w:rsid w:val="00DC5E9E"/>
    <w:rsid w:val="00DC6178"/>
    <w:rsid w:val="00DC643E"/>
    <w:rsid w:val="00DC6707"/>
    <w:rsid w:val="00DC7E9B"/>
    <w:rsid w:val="00DD174E"/>
    <w:rsid w:val="00DD2377"/>
    <w:rsid w:val="00DD2F2F"/>
    <w:rsid w:val="00DD307A"/>
    <w:rsid w:val="00DD37F4"/>
    <w:rsid w:val="00DD3C5C"/>
    <w:rsid w:val="00DD4D89"/>
    <w:rsid w:val="00DD7347"/>
    <w:rsid w:val="00DD78F2"/>
    <w:rsid w:val="00DD7CB1"/>
    <w:rsid w:val="00DE302A"/>
    <w:rsid w:val="00DE332B"/>
    <w:rsid w:val="00DE35D6"/>
    <w:rsid w:val="00DE5B2E"/>
    <w:rsid w:val="00DE78BD"/>
    <w:rsid w:val="00DE7EE7"/>
    <w:rsid w:val="00DF0D32"/>
    <w:rsid w:val="00DF181B"/>
    <w:rsid w:val="00DF1E57"/>
    <w:rsid w:val="00DF50E3"/>
    <w:rsid w:val="00DF5863"/>
    <w:rsid w:val="00DF6688"/>
    <w:rsid w:val="00DF6713"/>
    <w:rsid w:val="00DF6A4E"/>
    <w:rsid w:val="00DF78C0"/>
    <w:rsid w:val="00E002BB"/>
    <w:rsid w:val="00E01979"/>
    <w:rsid w:val="00E031EE"/>
    <w:rsid w:val="00E03D80"/>
    <w:rsid w:val="00E0507B"/>
    <w:rsid w:val="00E0530C"/>
    <w:rsid w:val="00E058D8"/>
    <w:rsid w:val="00E063E7"/>
    <w:rsid w:val="00E06AF3"/>
    <w:rsid w:val="00E07FA9"/>
    <w:rsid w:val="00E111EB"/>
    <w:rsid w:val="00E14527"/>
    <w:rsid w:val="00E164C7"/>
    <w:rsid w:val="00E16869"/>
    <w:rsid w:val="00E20FAC"/>
    <w:rsid w:val="00E21657"/>
    <w:rsid w:val="00E2169A"/>
    <w:rsid w:val="00E21FAF"/>
    <w:rsid w:val="00E220AA"/>
    <w:rsid w:val="00E23C1B"/>
    <w:rsid w:val="00E23CD9"/>
    <w:rsid w:val="00E240AF"/>
    <w:rsid w:val="00E24622"/>
    <w:rsid w:val="00E25691"/>
    <w:rsid w:val="00E27B35"/>
    <w:rsid w:val="00E3103F"/>
    <w:rsid w:val="00E31605"/>
    <w:rsid w:val="00E31CA1"/>
    <w:rsid w:val="00E333B2"/>
    <w:rsid w:val="00E33867"/>
    <w:rsid w:val="00E369D2"/>
    <w:rsid w:val="00E3742F"/>
    <w:rsid w:val="00E41092"/>
    <w:rsid w:val="00E41DEA"/>
    <w:rsid w:val="00E42373"/>
    <w:rsid w:val="00E4249B"/>
    <w:rsid w:val="00E42942"/>
    <w:rsid w:val="00E4297A"/>
    <w:rsid w:val="00E434CF"/>
    <w:rsid w:val="00E44017"/>
    <w:rsid w:val="00E444DA"/>
    <w:rsid w:val="00E4480B"/>
    <w:rsid w:val="00E475AC"/>
    <w:rsid w:val="00E4788E"/>
    <w:rsid w:val="00E47DD0"/>
    <w:rsid w:val="00E50D7B"/>
    <w:rsid w:val="00E54B84"/>
    <w:rsid w:val="00E551E8"/>
    <w:rsid w:val="00E571DC"/>
    <w:rsid w:val="00E57936"/>
    <w:rsid w:val="00E57AE2"/>
    <w:rsid w:val="00E614B1"/>
    <w:rsid w:val="00E6256E"/>
    <w:rsid w:val="00E62FE7"/>
    <w:rsid w:val="00E63572"/>
    <w:rsid w:val="00E65B42"/>
    <w:rsid w:val="00E665A1"/>
    <w:rsid w:val="00E677A5"/>
    <w:rsid w:val="00E67B17"/>
    <w:rsid w:val="00E700BF"/>
    <w:rsid w:val="00E71814"/>
    <w:rsid w:val="00E71F82"/>
    <w:rsid w:val="00E7311E"/>
    <w:rsid w:val="00E73FA4"/>
    <w:rsid w:val="00E748DF"/>
    <w:rsid w:val="00E74909"/>
    <w:rsid w:val="00E749F8"/>
    <w:rsid w:val="00E7509C"/>
    <w:rsid w:val="00E759B2"/>
    <w:rsid w:val="00E75C3C"/>
    <w:rsid w:val="00E7736D"/>
    <w:rsid w:val="00E77F61"/>
    <w:rsid w:val="00E80180"/>
    <w:rsid w:val="00E80D10"/>
    <w:rsid w:val="00E80ED1"/>
    <w:rsid w:val="00E81321"/>
    <w:rsid w:val="00E81C92"/>
    <w:rsid w:val="00E82704"/>
    <w:rsid w:val="00E837DC"/>
    <w:rsid w:val="00E84A5E"/>
    <w:rsid w:val="00E87E9F"/>
    <w:rsid w:val="00E925A2"/>
    <w:rsid w:val="00E976FC"/>
    <w:rsid w:val="00E97FE1"/>
    <w:rsid w:val="00EA0105"/>
    <w:rsid w:val="00EA040C"/>
    <w:rsid w:val="00EA0AE2"/>
    <w:rsid w:val="00EA15CD"/>
    <w:rsid w:val="00EA185F"/>
    <w:rsid w:val="00EA1EC5"/>
    <w:rsid w:val="00EA30B3"/>
    <w:rsid w:val="00EA631A"/>
    <w:rsid w:val="00EA7318"/>
    <w:rsid w:val="00EA7DA1"/>
    <w:rsid w:val="00EB0BA9"/>
    <w:rsid w:val="00EB0C2D"/>
    <w:rsid w:val="00EB1837"/>
    <w:rsid w:val="00EB22DA"/>
    <w:rsid w:val="00EB6238"/>
    <w:rsid w:val="00EB7214"/>
    <w:rsid w:val="00EB787B"/>
    <w:rsid w:val="00EC02D8"/>
    <w:rsid w:val="00EC2343"/>
    <w:rsid w:val="00EC3446"/>
    <w:rsid w:val="00EC48D0"/>
    <w:rsid w:val="00EC4971"/>
    <w:rsid w:val="00EC52C0"/>
    <w:rsid w:val="00EC56C8"/>
    <w:rsid w:val="00EC6708"/>
    <w:rsid w:val="00EC7538"/>
    <w:rsid w:val="00ED00E4"/>
    <w:rsid w:val="00ED08A3"/>
    <w:rsid w:val="00ED0CFA"/>
    <w:rsid w:val="00ED19F4"/>
    <w:rsid w:val="00ED2F1D"/>
    <w:rsid w:val="00ED3FF0"/>
    <w:rsid w:val="00ED4AE1"/>
    <w:rsid w:val="00ED4BFC"/>
    <w:rsid w:val="00ED6F04"/>
    <w:rsid w:val="00EE2BE7"/>
    <w:rsid w:val="00EE3E8C"/>
    <w:rsid w:val="00EE44B8"/>
    <w:rsid w:val="00EE5458"/>
    <w:rsid w:val="00EE650A"/>
    <w:rsid w:val="00EE679D"/>
    <w:rsid w:val="00EF073E"/>
    <w:rsid w:val="00EF26B9"/>
    <w:rsid w:val="00EF2725"/>
    <w:rsid w:val="00EF2B3A"/>
    <w:rsid w:val="00EF2C14"/>
    <w:rsid w:val="00EF3CBC"/>
    <w:rsid w:val="00EF3E42"/>
    <w:rsid w:val="00EF3FEB"/>
    <w:rsid w:val="00EF61F6"/>
    <w:rsid w:val="00EF713C"/>
    <w:rsid w:val="00F0044B"/>
    <w:rsid w:val="00F00F02"/>
    <w:rsid w:val="00F0237C"/>
    <w:rsid w:val="00F02EED"/>
    <w:rsid w:val="00F058C8"/>
    <w:rsid w:val="00F0654C"/>
    <w:rsid w:val="00F06881"/>
    <w:rsid w:val="00F10832"/>
    <w:rsid w:val="00F124F5"/>
    <w:rsid w:val="00F131FB"/>
    <w:rsid w:val="00F1364E"/>
    <w:rsid w:val="00F13BCD"/>
    <w:rsid w:val="00F1489F"/>
    <w:rsid w:val="00F15981"/>
    <w:rsid w:val="00F1610E"/>
    <w:rsid w:val="00F16580"/>
    <w:rsid w:val="00F22388"/>
    <w:rsid w:val="00F2449B"/>
    <w:rsid w:val="00F25369"/>
    <w:rsid w:val="00F27610"/>
    <w:rsid w:val="00F309DD"/>
    <w:rsid w:val="00F31C2D"/>
    <w:rsid w:val="00F3350D"/>
    <w:rsid w:val="00F33A8F"/>
    <w:rsid w:val="00F33BAA"/>
    <w:rsid w:val="00F34262"/>
    <w:rsid w:val="00F3467A"/>
    <w:rsid w:val="00F34FF2"/>
    <w:rsid w:val="00F372C4"/>
    <w:rsid w:val="00F37EFF"/>
    <w:rsid w:val="00F40C28"/>
    <w:rsid w:val="00F413FC"/>
    <w:rsid w:val="00F418A6"/>
    <w:rsid w:val="00F44B43"/>
    <w:rsid w:val="00F47250"/>
    <w:rsid w:val="00F477F6"/>
    <w:rsid w:val="00F4790D"/>
    <w:rsid w:val="00F501DD"/>
    <w:rsid w:val="00F50C1A"/>
    <w:rsid w:val="00F51431"/>
    <w:rsid w:val="00F51C02"/>
    <w:rsid w:val="00F522B4"/>
    <w:rsid w:val="00F52F16"/>
    <w:rsid w:val="00F532FF"/>
    <w:rsid w:val="00F53E15"/>
    <w:rsid w:val="00F541AB"/>
    <w:rsid w:val="00F5457B"/>
    <w:rsid w:val="00F55075"/>
    <w:rsid w:val="00F55287"/>
    <w:rsid w:val="00F55548"/>
    <w:rsid w:val="00F55849"/>
    <w:rsid w:val="00F5645C"/>
    <w:rsid w:val="00F5738B"/>
    <w:rsid w:val="00F57FDE"/>
    <w:rsid w:val="00F6006E"/>
    <w:rsid w:val="00F62F6F"/>
    <w:rsid w:val="00F6385B"/>
    <w:rsid w:val="00F64834"/>
    <w:rsid w:val="00F65019"/>
    <w:rsid w:val="00F65B85"/>
    <w:rsid w:val="00F663CC"/>
    <w:rsid w:val="00F66943"/>
    <w:rsid w:val="00F66CCF"/>
    <w:rsid w:val="00F67468"/>
    <w:rsid w:val="00F6794D"/>
    <w:rsid w:val="00F71366"/>
    <w:rsid w:val="00F7280A"/>
    <w:rsid w:val="00F741A8"/>
    <w:rsid w:val="00F75DBC"/>
    <w:rsid w:val="00F7642A"/>
    <w:rsid w:val="00F7722F"/>
    <w:rsid w:val="00F77420"/>
    <w:rsid w:val="00F803AF"/>
    <w:rsid w:val="00F8479D"/>
    <w:rsid w:val="00F849D0"/>
    <w:rsid w:val="00F84B17"/>
    <w:rsid w:val="00F85473"/>
    <w:rsid w:val="00F85888"/>
    <w:rsid w:val="00F85E3D"/>
    <w:rsid w:val="00F90C96"/>
    <w:rsid w:val="00F910A6"/>
    <w:rsid w:val="00F9118B"/>
    <w:rsid w:val="00F92464"/>
    <w:rsid w:val="00F947D9"/>
    <w:rsid w:val="00F9498C"/>
    <w:rsid w:val="00F94F52"/>
    <w:rsid w:val="00F95310"/>
    <w:rsid w:val="00F96EA0"/>
    <w:rsid w:val="00F97D0E"/>
    <w:rsid w:val="00FA0A09"/>
    <w:rsid w:val="00FA222A"/>
    <w:rsid w:val="00FA2DFA"/>
    <w:rsid w:val="00FA39CE"/>
    <w:rsid w:val="00FA3D31"/>
    <w:rsid w:val="00FA4DF5"/>
    <w:rsid w:val="00FA57EB"/>
    <w:rsid w:val="00FA6981"/>
    <w:rsid w:val="00FA6A22"/>
    <w:rsid w:val="00FA7063"/>
    <w:rsid w:val="00FB09E0"/>
    <w:rsid w:val="00FB0B5D"/>
    <w:rsid w:val="00FB2C20"/>
    <w:rsid w:val="00FB2EC9"/>
    <w:rsid w:val="00FB37F3"/>
    <w:rsid w:val="00FB4E88"/>
    <w:rsid w:val="00FB55AB"/>
    <w:rsid w:val="00FB5BAC"/>
    <w:rsid w:val="00FB6B95"/>
    <w:rsid w:val="00FC23A2"/>
    <w:rsid w:val="00FC2875"/>
    <w:rsid w:val="00FC429C"/>
    <w:rsid w:val="00FC43CE"/>
    <w:rsid w:val="00FC455F"/>
    <w:rsid w:val="00FC4698"/>
    <w:rsid w:val="00FC4BB3"/>
    <w:rsid w:val="00FD0D69"/>
    <w:rsid w:val="00FD0F3B"/>
    <w:rsid w:val="00FD14FC"/>
    <w:rsid w:val="00FD24D5"/>
    <w:rsid w:val="00FD319C"/>
    <w:rsid w:val="00FD411A"/>
    <w:rsid w:val="00FD4BB0"/>
    <w:rsid w:val="00FD573F"/>
    <w:rsid w:val="00FD669D"/>
    <w:rsid w:val="00FD7165"/>
    <w:rsid w:val="00FD7339"/>
    <w:rsid w:val="00FD762C"/>
    <w:rsid w:val="00FE0081"/>
    <w:rsid w:val="00FE2079"/>
    <w:rsid w:val="00FE302E"/>
    <w:rsid w:val="00FE3714"/>
    <w:rsid w:val="00FE37B3"/>
    <w:rsid w:val="00FE3E50"/>
    <w:rsid w:val="00FE6E16"/>
    <w:rsid w:val="00FF0F83"/>
    <w:rsid w:val="00FF137D"/>
    <w:rsid w:val="00FF1EE5"/>
    <w:rsid w:val="00FF2230"/>
    <w:rsid w:val="00FF3673"/>
    <w:rsid w:val="00FF55DD"/>
    <w:rsid w:val="00FF623A"/>
    <w:rsid w:val="00FF6BDF"/>
    <w:rsid w:val="00FF6FF3"/>
    <w:rsid w:val="00FF71E6"/>
    <w:rsid w:val="00FF71F4"/>
    <w:rsid w:val="00FF7A19"/>
    <w:rsid w:val="014A1AA0"/>
    <w:rsid w:val="0167611C"/>
    <w:rsid w:val="01681B15"/>
    <w:rsid w:val="0176477C"/>
    <w:rsid w:val="017F092B"/>
    <w:rsid w:val="01A8509F"/>
    <w:rsid w:val="02055EE7"/>
    <w:rsid w:val="024810CF"/>
    <w:rsid w:val="027369F6"/>
    <w:rsid w:val="02901801"/>
    <w:rsid w:val="02B77668"/>
    <w:rsid w:val="0354599C"/>
    <w:rsid w:val="03631BBD"/>
    <w:rsid w:val="036F4CBD"/>
    <w:rsid w:val="03A94D28"/>
    <w:rsid w:val="04075DD6"/>
    <w:rsid w:val="04684C7E"/>
    <w:rsid w:val="04CC1B70"/>
    <w:rsid w:val="04E1293F"/>
    <w:rsid w:val="053871E8"/>
    <w:rsid w:val="054F4F24"/>
    <w:rsid w:val="0564169D"/>
    <w:rsid w:val="057A18C8"/>
    <w:rsid w:val="059535F7"/>
    <w:rsid w:val="06893683"/>
    <w:rsid w:val="069A1775"/>
    <w:rsid w:val="06B80B17"/>
    <w:rsid w:val="07377639"/>
    <w:rsid w:val="07393214"/>
    <w:rsid w:val="073A4B8B"/>
    <w:rsid w:val="076D5696"/>
    <w:rsid w:val="07876191"/>
    <w:rsid w:val="081D2B96"/>
    <w:rsid w:val="082434C9"/>
    <w:rsid w:val="082A01E7"/>
    <w:rsid w:val="08390E80"/>
    <w:rsid w:val="084B599D"/>
    <w:rsid w:val="08892802"/>
    <w:rsid w:val="0898366B"/>
    <w:rsid w:val="091A0D36"/>
    <w:rsid w:val="0950306B"/>
    <w:rsid w:val="09DF1ACD"/>
    <w:rsid w:val="0A2615C2"/>
    <w:rsid w:val="0A416FA7"/>
    <w:rsid w:val="0AA7351F"/>
    <w:rsid w:val="0AFB186D"/>
    <w:rsid w:val="0B0C6D8A"/>
    <w:rsid w:val="0B1A5F0B"/>
    <w:rsid w:val="0B6563DC"/>
    <w:rsid w:val="0B6B2B9D"/>
    <w:rsid w:val="0B780A87"/>
    <w:rsid w:val="0BB862DF"/>
    <w:rsid w:val="0C4046B8"/>
    <w:rsid w:val="0CB273DB"/>
    <w:rsid w:val="0CCB4880"/>
    <w:rsid w:val="0D3A7549"/>
    <w:rsid w:val="0D420BE6"/>
    <w:rsid w:val="0D6748D4"/>
    <w:rsid w:val="0D805BB2"/>
    <w:rsid w:val="0D822D9A"/>
    <w:rsid w:val="0DCA0D53"/>
    <w:rsid w:val="0E170B75"/>
    <w:rsid w:val="0E325663"/>
    <w:rsid w:val="0E5C0377"/>
    <w:rsid w:val="0E9E7BB1"/>
    <w:rsid w:val="0EB756C7"/>
    <w:rsid w:val="0EE1756D"/>
    <w:rsid w:val="0F23447F"/>
    <w:rsid w:val="10533F2F"/>
    <w:rsid w:val="105E3139"/>
    <w:rsid w:val="106C1C39"/>
    <w:rsid w:val="10B91D3E"/>
    <w:rsid w:val="10E111A2"/>
    <w:rsid w:val="113305E4"/>
    <w:rsid w:val="11540A7F"/>
    <w:rsid w:val="1181267C"/>
    <w:rsid w:val="11BC0264"/>
    <w:rsid w:val="11F57649"/>
    <w:rsid w:val="127127C4"/>
    <w:rsid w:val="12904334"/>
    <w:rsid w:val="13343633"/>
    <w:rsid w:val="134E296B"/>
    <w:rsid w:val="138618E6"/>
    <w:rsid w:val="13EE5859"/>
    <w:rsid w:val="13F7165C"/>
    <w:rsid w:val="14246B44"/>
    <w:rsid w:val="14671F28"/>
    <w:rsid w:val="14AD36C6"/>
    <w:rsid w:val="14BA6942"/>
    <w:rsid w:val="14F60A06"/>
    <w:rsid w:val="14F965FA"/>
    <w:rsid w:val="1512710C"/>
    <w:rsid w:val="15256F10"/>
    <w:rsid w:val="15295D85"/>
    <w:rsid w:val="153964B2"/>
    <w:rsid w:val="154A2F37"/>
    <w:rsid w:val="161447D3"/>
    <w:rsid w:val="163544EE"/>
    <w:rsid w:val="16B95123"/>
    <w:rsid w:val="16D41873"/>
    <w:rsid w:val="171741DC"/>
    <w:rsid w:val="1757718B"/>
    <w:rsid w:val="17F0296D"/>
    <w:rsid w:val="183F27EC"/>
    <w:rsid w:val="18F04513"/>
    <w:rsid w:val="18F451F8"/>
    <w:rsid w:val="191A4A7A"/>
    <w:rsid w:val="191C163C"/>
    <w:rsid w:val="19995A4E"/>
    <w:rsid w:val="19BE201B"/>
    <w:rsid w:val="19E22955"/>
    <w:rsid w:val="19F4556A"/>
    <w:rsid w:val="1AAF289D"/>
    <w:rsid w:val="1ADE7787"/>
    <w:rsid w:val="1B7F55F5"/>
    <w:rsid w:val="1C4A1FE8"/>
    <w:rsid w:val="1C626FE7"/>
    <w:rsid w:val="1C895534"/>
    <w:rsid w:val="1CD057BE"/>
    <w:rsid w:val="1D6A14B0"/>
    <w:rsid w:val="1D954468"/>
    <w:rsid w:val="1DA01529"/>
    <w:rsid w:val="1DF62603"/>
    <w:rsid w:val="1E4176F3"/>
    <w:rsid w:val="1EBC3B88"/>
    <w:rsid w:val="1EFB3E0E"/>
    <w:rsid w:val="1F2D3AE7"/>
    <w:rsid w:val="1F5F64C4"/>
    <w:rsid w:val="1F760C3E"/>
    <w:rsid w:val="1FA1347F"/>
    <w:rsid w:val="1FCA29FB"/>
    <w:rsid w:val="1FE27A49"/>
    <w:rsid w:val="20152464"/>
    <w:rsid w:val="201B0446"/>
    <w:rsid w:val="205351BC"/>
    <w:rsid w:val="20621659"/>
    <w:rsid w:val="20A36F9B"/>
    <w:rsid w:val="20F1099E"/>
    <w:rsid w:val="21061118"/>
    <w:rsid w:val="210A3B3F"/>
    <w:rsid w:val="213D7573"/>
    <w:rsid w:val="21615F5B"/>
    <w:rsid w:val="21637E1A"/>
    <w:rsid w:val="21673B38"/>
    <w:rsid w:val="21A85BED"/>
    <w:rsid w:val="22494CA2"/>
    <w:rsid w:val="22D51EF2"/>
    <w:rsid w:val="22D84302"/>
    <w:rsid w:val="233C0255"/>
    <w:rsid w:val="240771A2"/>
    <w:rsid w:val="24106374"/>
    <w:rsid w:val="24111A9A"/>
    <w:rsid w:val="255C0FE1"/>
    <w:rsid w:val="258F76C9"/>
    <w:rsid w:val="259B5CC1"/>
    <w:rsid w:val="25BA6534"/>
    <w:rsid w:val="25C36F49"/>
    <w:rsid w:val="25F349B4"/>
    <w:rsid w:val="269C5DE6"/>
    <w:rsid w:val="27910406"/>
    <w:rsid w:val="27C45666"/>
    <w:rsid w:val="27DA39CF"/>
    <w:rsid w:val="27DB1304"/>
    <w:rsid w:val="27ED5660"/>
    <w:rsid w:val="280B2944"/>
    <w:rsid w:val="283E4339"/>
    <w:rsid w:val="28632CD8"/>
    <w:rsid w:val="28A95BFB"/>
    <w:rsid w:val="28CA00A4"/>
    <w:rsid w:val="28E57B3D"/>
    <w:rsid w:val="290109FB"/>
    <w:rsid w:val="29632562"/>
    <w:rsid w:val="29D55DA7"/>
    <w:rsid w:val="2A462BDD"/>
    <w:rsid w:val="2A7B7776"/>
    <w:rsid w:val="2AB01296"/>
    <w:rsid w:val="2AF878CB"/>
    <w:rsid w:val="2B2565AF"/>
    <w:rsid w:val="2B864776"/>
    <w:rsid w:val="2B9056B8"/>
    <w:rsid w:val="2C9F3919"/>
    <w:rsid w:val="2CB1626E"/>
    <w:rsid w:val="2CEF3EF0"/>
    <w:rsid w:val="2CF217B1"/>
    <w:rsid w:val="2D506314"/>
    <w:rsid w:val="2DB94B82"/>
    <w:rsid w:val="2DE009F0"/>
    <w:rsid w:val="2DF74D6F"/>
    <w:rsid w:val="2E1E50F4"/>
    <w:rsid w:val="2EAC540B"/>
    <w:rsid w:val="2EB975F5"/>
    <w:rsid w:val="2EC5227F"/>
    <w:rsid w:val="2FEA25EF"/>
    <w:rsid w:val="30AC287F"/>
    <w:rsid w:val="30E01EE5"/>
    <w:rsid w:val="315018DF"/>
    <w:rsid w:val="31910ACA"/>
    <w:rsid w:val="31DB7E81"/>
    <w:rsid w:val="32E122F5"/>
    <w:rsid w:val="33170742"/>
    <w:rsid w:val="332F3270"/>
    <w:rsid w:val="33683C0A"/>
    <w:rsid w:val="33AF0973"/>
    <w:rsid w:val="33C00502"/>
    <w:rsid w:val="34A44703"/>
    <w:rsid w:val="34CA0060"/>
    <w:rsid w:val="352A6335"/>
    <w:rsid w:val="35776F65"/>
    <w:rsid w:val="35C81B9C"/>
    <w:rsid w:val="367B027D"/>
    <w:rsid w:val="36927024"/>
    <w:rsid w:val="369A4628"/>
    <w:rsid w:val="37364772"/>
    <w:rsid w:val="37626EB4"/>
    <w:rsid w:val="376A52CE"/>
    <w:rsid w:val="3783265A"/>
    <w:rsid w:val="378934A0"/>
    <w:rsid w:val="3792328E"/>
    <w:rsid w:val="37DE29C6"/>
    <w:rsid w:val="387B0C73"/>
    <w:rsid w:val="39527019"/>
    <w:rsid w:val="39B259C3"/>
    <w:rsid w:val="3A024312"/>
    <w:rsid w:val="3A8A558F"/>
    <w:rsid w:val="3AE06E55"/>
    <w:rsid w:val="3AEB64D0"/>
    <w:rsid w:val="3B181A0D"/>
    <w:rsid w:val="3B4128EB"/>
    <w:rsid w:val="3B4E7CB6"/>
    <w:rsid w:val="3B5F48D5"/>
    <w:rsid w:val="3B8F70D9"/>
    <w:rsid w:val="3BBE7541"/>
    <w:rsid w:val="3BD355B7"/>
    <w:rsid w:val="3BE330C7"/>
    <w:rsid w:val="3C236B80"/>
    <w:rsid w:val="3CC408D9"/>
    <w:rsid w:val="3D742FBD"/>
    <w:rsid w:val="3E2444D7"/>
    <w:rsid w:val="3E8827BE"/>
    <w:rsid w:val="3E882B60"/>
    <w:rsid w:val="3EA469BF"/>
    <w:rsid w:val="3EB20BB5"/>
    <w:rsid w:val="3F375FF5"/>
    <w:rsid w:val="3F443AD9"/>
    <w:rsid w:val="3F653A30"/>
    <w:rsid w:val="3F707167"/>
    <w:rsid w:val="3FCD2BEA"/>
    <w:rsid w:val="40084F3F"/>
    <w:rsid w:val="40271FB7"/>
    <w:rsid w:val="40D31462"/>
    <w:rsid w:val="413E7616"/>
    <w:rsid w:val="417B0177"/>
    <w:rsid w:val="4264097F"/>
    <w:rsid w:val="42795923"/>
    <w:rsid w:val="428E6C45"/>
    <w:rsid w:val="428F4B8E"/>
    <w:rsid w:val="42CA382E"/>
    <w:rsid w:val="43142CFA"/>
    <w:rsid w:val="434B76D3"/>
    <w:rsid w:val="43DF0701"/>
    <w:rsid w:val="441879DC"/>
    <w:rsid w:val="447D4380"/>
    <w:rsid w:val="44D24046"/>
    <w:rsid w:val="44F81CC7"/>
    <w:rsid w:val="450B43E9"/>
    <w:rsid w:val="45585B47"/>
    <w:rsid w:val="45671C11"/>
    <w:rsid w:val="45786E49"/>
    <w:rsid w:val="45A17B83"/>
    <w:rsid w:val="45C30C36"/>
    <w:rsid w:val="460D2370"/>
    <w:rsid w:val="46812515"/>
    <w:rsid w:val="470667BA"/>
    <w:rsid w:val="472A37D9"/>
    <w:rsid w:val="472B39D5"/>
    <w:rsid w:val="47451895"/>
    <w:rsid w:val="4767041D"/>
    <w:rsid w:val="476C180E"/>
    <w:rsid w:val="48501030"/>
    <w:rsid w:val="48652583"/>
    <w:rsid w:val="486F7E36"/>
    <w:rsid w:val="487115CE"/>
    <w:rsid w:val="490D6A3A"/>
    <w:rsid w:val="493703C9"/>
    <w:rsid w:val="498724AA"/>
    <w:rsid w:val="49DD7471"/>
    <w:rsid w:val="4A0A7E7D"/>
    <w:rsid w:val="4A581B94"/>
    <w:rsid w:val="4BE4192E"/>
    <w:rsid w:val="4BE92DC9"/>
    <w:rsid w:val="4C0F59E0"/>
    <w:rsid w:val="4C3C612D"/>
    <w:rsid w:val="4C7F33F2"/>
    <w:rsid w:val="4CA07649"/>
    <w:rsid w:val="4CD11A03"/>
    <w:rsid w:val="4CDF3BE4"/>
    <w:rsid w:val="4D2337C0"/>
    <w:rsid w:val="4D2B0365"/>
    <w:rsid w:val="4D336867"/>
    <w:rsid w:val="4DF84276"/>
    <w:rsid w:val="4EAD5D39"/>
    <w:rsid w:val="4ED700F3"/>
    <w:rsid w:val="4F87124A"/>
    <w:rsid w:val="4F9C75B8"/>
    <w:rsid w:val="503079BB"/>
    <w:rsid w:val="50600B4F"/>
    <w:rsid w:val="50861C2B"/>
    <w:rsid w:val="50A624B4"/>
    <w:rsid w:val="51084972"/>
    <w:rsid w:val="51953546"/>
    <w:rsid w:val="51A178B3"/>
    <w:rsid w:val="51AD394D"/>
    <w:rsid w:val="51D87CE5"/>
    <w:rsid w:val="52D974C5"/>
    <w:rsid w:val="532E6A44"/>
    <w:rsid w:val="53365AC0"/>
    <w:rsid w:val="53522144"/>
    <w:rsid w:val="538945B0"/>
    <w:rsid w:val="53EF7EA2"/>
    <w:rsid w:val="53F641CF"/>
    <w:rsid w:val="54393285"/>
    <w:rsid w:val="54840CDB"/>
    <w:rsid w:val="55195971"/>
    <w:rsid w:val="5597610D"/>
    <w:rsid w:val="55BD6AFE"/>
    <w:rsid w:val="55E15937"/>
    <w:rsid w:val="55FA6A14"/>
    <w:rsid w:val="56195A0B"/>
    <w:rsid w:val="56D279DA"/>
    <w:rsid w:val="56E92E9D"/>
    <w:rsid w:val="57526648"/>
    <w:rsid w:val="579A5E62"/>
    <w:rsid w:val="57D03925"/>
    <w:rsid w:val="58A05472"/>
    <w:rsid w:val="58BF19BD"/>
    <w:rsid w:val="58D7CC24"/>
    <w:rsid w:val="58E8269D"/>
    <w:rsid w:val="58E94C67"/>
    <w:rsid w:val="59052625"/>
    <w:rsid w:val="5916227A"/>
    <w:rsid w:val="594E6604"/>
    <w:rsid w:val="598456E5"/>
    <w:rsid w:val="59A84BE0"/>
    <w:rsid w:val="59A94BF3"/>
    <w:rsid w:val="5A022F5D"/>
    <w:rsid w:val="5A7F2500"/>
    <w:rsid w:val="5A904F9C"/>
    <w:rsid w:val="5A9E1CBA"/>
    <w:rsid w:val="5ADF33B1"/>
    <w:rsid w:val="5B0A2163"/>
    <w:rsid w:val="5B21042A"/>
    <w:rsid w:val="5B334C03"/>
    <w:rsid w:val="5BB45AC8"/>
    <w:rsid w:val="5C6F7C33"/>
    <w:rsid w:val="5CBC70CA"/>
    <w:rsid w:val="5CE03E68"/>
    <w:rsid w:val="5D131D45"/>
    <w:rsid w:val="5D4444D3"/>
    <w:rsid w:val="5D9F7A3B"/>
    <w:rsid w:val="5DA77719"/>
    <w:rsid w:val="5DBD1131"/>
    <w:rsid w:val="5DC948F1"/>
    <w:rsid w:val="5EEC63AA"/>
    <w:rsid w:val="5FA1329D"/>
    <w:rsid w:val="5FBA11DC"/>
    <w:rsid w:val="5FD146B7"/>
    <w:rsid w:val="5FD87D5A"/>
    <w:rsid w:val="60C40F0C"/>
    <w:rsid w:val="611E54F4"/>
    <w:rsid w:val="616E1D62"/>
    <w:rsid w:val="619F5167"/>
    <w:rsid w:val="61C060CD"/>
    <w:rsid w:val="62237435"/>
    <w:rsid w:val="62351E24"/>
    <w:rsid w:val="62CF2A5C"/>
    <w:rsid w:val="63323263"/>
    <w:rsid w:val="639A7B74"/>
    <w:rsid w:val="63AB50B9"/>
    <w:rsid w:val="63B65E18"/>
    <w:rsid w:val="64047BC5"/>
    <w:rsid w:val="6423378D"/>
    <w:rsid w:val="642E2F7D"/>
    <w:rsid w:val="64560399"/>
    <w:rsid w:val="649615B8"/>
    <w:rsid w:val="64A1456B"/>
    <w:rsid w:val="64A81E94"/>
    <w:rsid w:val="64AC5D92"/>
    <w:rsid w:val="64B6570F"/>
    <w:rsid w:val="64EF6A60"/>
    <w:rsid w:val="64FB4240"/>
    <w:rsid w:val="65186248"/>
    <w:rsid w:val="653B3120"/>
    <w:rsid w:val="65B21D8B"/>
    <w:rsid w:val="65B662D0"/>
    <w:rsid w:val="65E825DA"/>
    <w:rsid w:val="65F43FEF"/>
    <w:rsid w:val="6604104A"/>
    <w:rsid w:val="66717BB2"/>
    <w:rsid w:val="66990C0E"/>
    <w:rsid w:val="66C00CDD"/>
    <w:rsid w:val="66C2140C"/>
    <w:rsid w:val="66F15384"/>
    <w:rsid w:val="66FB3536"/>
    <w:rsid w:val="672700C8"/>
    <w:rsid w:val="673169CB"/>
    <w:rsid w:val="679B05D3"/>
    <w:rsid w:val="67A92E73"/>
    <w:rsid w:val="67D8074E"/>
    <w:rsid w:val="67ED41D4"/>
    <w:rsid w:val="684A0649"/>
    <w:rsid w:val="68685A3C"/>
    <w:rsid w:val="688C66C6"/>
    <w:rsid w:val="68C47737"/>
    <w:rsid w:val="68D243C3"/>
    <w:rsid w:val="68F74922"/>
    <w:rsid w:val="69414352"/>
    <w:rsid w:val="699529C5"/>
    <w:rsid w:val="69AE7764"/>
    <w:rsid w:val="69BA1483"/>
    <w:rsid w:val="69D87B77"/>
    <w:rsid w:val="6A10120A"/>
    <w:rsid w:val="6A2E27F3"/>
    <w:rsid w:val="6A444AB0"/>
    <w:rsid w:val="6AC1662F"/>
    <w:rsid w:val="6AC21CE8"/>
    <w:rsid w:val="6AD75287"/>
    <w:rsid w:val="6AD7691B"/>
    <w:rsid w:val="6AF864C4"/>
    <w:rsid w:val="6AFD77E4"/>
    <w:rsid w:val="6B4A718F"/>
    <w:rsid w:val="6B874779"/>
    <w:rsid w:val="6B8D405B"/>
    <w:rsid w:val="6BAC0837"/>
    <w:rsid w:val="6BBB0661"/>
    <w:rsid w:val="6BD32B8E"/>
    <w:rsid w:val="6BD46A7E"/>
    <w:rsid w:val="6C0B0E44"/>
    <w:rsid w:val="6C221695"/>
    <w:rsid w:val="6C571FD5"/>
    <w:rsid w:val="6C98239F"/>
    <w:rsid w:val="6DCD0F49"/>
    <w:rsid w:val="6DEA72F0"/>
    <w:rsid w:val="6E9F3D3E"/>
    <w:rsid w:val="6F8911CD"/>
    <w:rsid w:val="6FAD6AD4"/>
    <w:rsid w:val="6FB85436"/>
    <w:rsid w:val="6FCC297B"/>
    <w:rsid w:val="6FCE2BA6"/>
    <w:rsid w:val="709139EA"/>
    <w:rsid w:val="70B21B4B"/>
    <w:rsid w:val="710714CA"/>
    <w:rsid w:val="712D1349"/>
    <w:rsid w:val="71994DB5"/>
    <w:rsid w:val="71B5786E"/>
    <w:rsid w:val="71BC75BD"/>
    <w:rsid w:val="71C76C8A"/>
    <w:rsid w:val="71FA0DD0"/>
    <w:rsid w:val="722231C3"/>
    <w:rsid w:val="728C3603"/>
    <w:rsid w:val="72AC7571"/>
    <w:rsid w:val="72F01FDB"/>
    <w:rsid w:val="730C0765"/>
    <w:rsid w:val="734435F5"/>
    <w:rsid w:val="73D56E79"/>
    <w:rsid w:val="73DD21B3"/>
    <w:rsid w:val="743E4EF1"/>
    <w:rsid w:val="74B56237"/>
    <w:rsid w:val="74BA5CC7"/>
    <w:rsid w:val="74CE240D"/>
    <w:rsid w:val="74DB6AD8"/>
    <w:rsid w:val="75584B24"/>
    <w:rsid w:val="756141F5"/>
    <w:rsid w:val="758B42C5"/>
    <w:rsid w:val="758D4DA7"/>
    <w:rsid w:val="762B1E57"/>
    <w:rsid w:val="768C141A"/>
    <w:rsid w:val="76AE2456"/>
    <w:rsid w:val="770C5B6C"/>
    <w:rsid w:val="770D6B8D"/>
    <w:rsid w:val="773C2054"/>
    <w:rsid w:val="776E3615"/>
    <w:rsid w:val="778C6535"/>
    <w:rsid w:val="77DB3BCD"/>
    <w:rsid w:val="78807EDF"/>
    <w:rsid w:val="78E36B1E"/>
    <w:rsid w:val="78E54394"/>
    <w:rsid w:val="79195B2B"/>
    <w:rsid w:val="79584860"/>
    <w:rsid w:val="79855467"/>
    <w:rsid w:val="79BD3849"/>
    <w:rsid w:val="79D85057"/>
    <w:rsid w:val="79E42E2B"/>
    <w:rsid w:val="7A9475F1"/>
    <w:rsid w:val="7B0F387E"/>
    <w:rsid w:val="7B323AD6"/>
    <w:rsid w:val="7B603538"/>
    <w:rsid w:val="7B6F7D69"/>
    <w:rsid w:val="7B8922D4"/>
    <w:rsid w:val="7BD121BF"/>
    <w:rsid w:val="7BFE6F4D"/>
    <w:rsid w:val="7C0362B4"/>
    <w:rsid w:val="7CA939E9"/>
    <w:rsid w:val="7D700263"/>
    <w:rsid w:val="7D852943"/>
    <w:rsid w:val="7D9405F3"/>
    <w:rsid w:val="7E237BA6"/>
    <w:rsid w:val="7E356441"/>
    <w:rsid w:val="7ED21A01"/>
    <w:rsid w:val="7ED82A49"/>
    <w:rsid w:val="7F090A4C"/>
    <w:rsid w:val="7F557F18"/>
    <w:rsid w:val="7F746A40"/>
    <w:rsid w:val="7FDE001C"/>
    <w:rsid w:val="7FF33536"/>
    <w:rsid w:val="F7BFB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1" w:name="heading 4"/>
    <w:lsdException w:qFormat="1" w:uiPriority="1" w:name="heading 5"/>
    <w:lsdException w:qFormat="1" w:unhideWhenUsed="0" w:uiPriority="9"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1" w:name="footnote text"/>
    <w:lsdException w:qFormat="1" w:uiPriority="0"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iPriority="0" w:semiHidden="0" w:name="annotation reference"/>
    <w:lsdException w:uiPriority="1" w:name="line number"/>
    <w:lsdException w:uiPriority="1"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name="Default Paragraph Font"/>
    <w:lsdException w:qFormat="1" w:uiPriority="99" w:semiHidden="0" w:name="Body Text"/>
    <w:lsdException w:uiPriority="1"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uiPriority="1" w:name="Date"/>
    <w:lsdException w:qFormat="1" w:uiPriority="99" w:semiHidden="0" w:name="Body Text First Indent"/>
    <w:lsdException w:uiPriority="1" w:name="Body Text First Indent 2"/>
    <w:lsdException w:uiPriority="1"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1" w:name="Body Text Indent 3"/>
    <w:lsdException w:uiPriority="1" w:name="Block Text"/>
    <w:lsdException w:qFormat="1" w:unhideWhenUsed="0" w:uiPriority="99" w:semiHidden="0" w:name="Hyperlink"/>
    <w:lsdException w:qFormat="1" w:uiPriority="99" w:semiHidden="0" w:name="FollowedHyperlink"/>
    <w:lsdException w:qFormat="1" w:unhideWhenUsed="0" w:uiPriority="1" w:semiHidden="0" w:name="Strong"/>
    <w:lsdException w:qFormat="1" w:unhideWhenUsed="0" w:uiPriority="1" w:semiHidden="0" w:name="Emphasis"/>
    <w:lsdException w:qFormat="1" w:uiPriority="99" w:semiHidden="0" w:name="Document Map"/>
    <w:lsdException w:qFormat="1" w:unhideWhenUsed="0" w:uiPriority="99" w:semiHidden="0" w:name="Plain Text"/>
    <w:lsdException w:uiPriority="1" w:name="E-mail Signature"/>
    <w:lsdException w:qFormat="1" w:uiPriority="0"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name="Normal Table"/>
    <w:lsdException w:qFormat="1"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宋体" w:hAnsi="Times New Roman" w:eastAsia="宋体" w:cs="Times New Roman"/>
      <w:sz w:val="24"/>
      <w:lang w:val="en-US" w:eastAsia="zh-CN" w:bidi="ar-SA"/>
    </w:rPr>
  </w:style>
  <w:style w:type="paragraph" w:styleId="6">
    <w:name w:val="heading 1"/>
    <w:basedOn w:val="1"/>
    <w:next w:val="1"/>
    <w:qFormat/>
    <w:uiPriority w:val="0"/>
    <w:pPr>
      <w:keepNext/>
      <w:keepLines/>
      <w:outlineLvl w:val="0"/>
    </w:pPr>
    <w:rPr>
      <w:rFonts w:ascii="Times New Roman"/>
      <w:b/>
      <w:kern w:val="44"/>
      <w:sz w:val="44"/>
    </w:rPr>
  </w:style>
  <w:style w:type="paragraph" w:styleId="7">
    <w:name w:val="heading 2"/>
    <w:basedOn w:val="1"/>
    <w:next w:val="1"/>
    <w:link w:val="39"/>
    <w:qFormat/>
    <w:uiPriority w:val="9"/>
    <w:pPr>
      <w:keepNext/>
      <w:keepLines/>
      <w:ind w:firstLine="0" w:firstLineChars="0"/>
      <w:outlineLvl w:val="1"/>
    </w:pPr>
    <w:rPr>
      <w:rFonts w:hAnsi="Cambria"/>
      <w:b/>
      <w:bCs/>
      <w:szCs w:val="32"/>
    </w:rPr>
  </w:style>
  <w:style w:type="paragraph" w:styleId="8">
    <w:name w:val="heading 3"/>
    <w:basedOn w:val="1"/>
    <w:next w:val="1"/>
    <w:link w:val="40"/>
    <w:qFormat/>
    <w:uiPriority w:val="0"/>
    <w:pPr>
      <w:keepNext/>
      <w:keepLines/>
      <w:widowControl w:val="0"/>
      <w:jc w:val="left"/>
      <w:outlineLvl w:val="2"/>
    </w:pPr>
    <w:rPr>
      <w:rFonts w:hAnsi="Calibri"/>
      <w:b/>
      <w:bCs/>
      <w:szCs w:val="32"/>
    </w:rPr>
  </w:style>
  <w:style w:type="paragraph" w:styleId="9">
    <w:name w:val="heading 6"/>
    <w:basedOn w:val="1"/>
    <w:next w:val="1"/>
    <w:link w:val="41"/>
    <w:qFormat/>
    <w:uiPriority w:val="9"/>
    <w:pPr>
      <w:keepNext/>
      <w:keepLines/>
      <w:spacing w:before="240" w:after="64" w:line="320" w:lineRule="auto"/>
      <w:outlineLvl w:val="5"/>
    </w:pPr>
    <w:rPr>
      <w:rFonts w:ascii="Cambria" w:hAnsi="Cambria"/>
      <w:b/>
      <w:bCs/>
      <w:szCs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38"/>
    <w:qFormat/>
    <w:uiPriority w:val="99"/>
    <w:rPr>
      <w:rFonts w:hAnsi="Courier New" w:eastAsia="楷体_GB2312"/>
      <w:sz w:val="20"/>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
    <w:name w:val="6'"/>
    <w:basedOn w:val="1"/>
    <w:next w:val="5"/>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
    <w:name w:val="AOHead3"/>
    <w:basedOn w:val="1"/>
    <w:next w:val="1"/>
    <w:qFormat/>
    <w:uiPriority w:val="0"/>
    <w:pPr>
      <w:ind w:left="1260"/>
      <w:outlineLvl w:val="2"/>
    </w:pPr>
    <w:rPr>
      <w:color w:val="0000FF"/>
    </w:rPr>
  </w:style>
  <w:style w:type="paragraph" w:styleId="10">
    <w:name w:val="toc 7"/>
    <w:basedOn w:val="1"/>
    <w:next w:val="1"/>
    <w:unhideWhenUsed/>
    <w:qFormat/>
    <w:uiPriority w:val="39"/>
    <w:pPr>
      <w:widowControl w:val="0"/>
      <w:ind w:left="2520" w:leftChars="1200"/>
    </w:pPr>
    <w:rPr>
      <w:rFonts w:ascii="Calibri" w:hAnsi="Calibri"/>
      <w:kern w:val="2"/>
      <w:sz w:val="21"/>
      <w:szCs w:val="22"/>
    </w:rPr>
  </w:style>
  <w:style w:type="paragraph" w:styleId="11">
    <w:name w:val="Normal Indent"/>
    <w:basedOn w:val="1"/>
    <w:qFormat/>
    <w:uiPriority w:val="0"/>
    <w:pPr>
      <w:widowControl w:val="0"/>
      <w:ind w:firstLine="420"/>
    </w:pPr>
    <w:rPr>
      <w:rFonts w:hAnsi="Calibri"/>
      <w:sz w:val="34"/>
    </w:rPr>
  </w:style>
  <w:style w:type="paragraph" w:styleId="12">
    <w:name w:val="Document Map"/>
    <w:basedOn w:val="1"/>
    <w:link w:val="42"/>
    <w:unhideWhenUsed/>
    <w:qFormat/>
    <w:uiPriority w:val="99"/>
    <w:rPr>
      <w:sz w:val="18"/>
      <w:szCs w:val="18"/>
    </w:rPr>
  </w:style>
  <w:style w:type="paragraph" w:styleId="13">
    <w:name w:val="annotation text"/>
    <w:basedOn w:val="1"/>
    <w:link w:val="43"/>
    <w:unhideWhenUsed/>
    <w:qFormat/>
    <w:uiPriority w:val="0"/>
    <w:pPr>
      <w:jc w:val="left"/>
    </w:pPr>
  </w:style>
  <w:style w:type="paragraph" w:styleId="14">
    <w:name w:val="Body Text 3"/>
    <w:basedOn w:val="1"/>
    <w:qFormat/>
    <w:uiPriority w:val="0"/>
  </w:style>
  <w:style w:type="paragraph" w:styleId="15">
    <w:name w:val="Body Text"/>
    <w:basedOn w:val="1"/>
    <w:link w:val="44"/>
    <w:unhideWhenUsed/>
    <w:qFormat/>
    <w:uiPriority w:val="99"/>
    <w:pPr>
      <w:spacing w:after="120"/>
    </w:pPr>
  </w:style>
  <w:style w:type="paragraph" w:styleId="16">
    <w:name w:val="toc 5"/>
    <w:basedOn w:val="1"/>
    <w:next w:val="1"/>
    <w:unhideWhenUsed/>
    <w:qFormat/>
    <w:uiPriority w:val="39"/>
    <w:pPr>
      <w:widowControl w:val="0"/>
      <w:ind w:left="1680" w:leftChars="800"/>
    </w:pPr>
    <w:rPr>
      <w:rFonts w:ascii="Calibri" w:hAnsi="Calibri"/>
      <w:kern w:val="2"/>
      <w:sz w:val="21"/>
      <w:szCs w:val="22"/>
    </w:rPr>
  </w:style>
  <w:style w:type="paragraph" w:styleId="17">
    <w:name w:val="toc 3"/>
    <w:basedOn w:val="1"/>
    <w:next w:val="1"/>
    <w:qFormat/>
    <w:uiPriority w:val="39"/>
    <w:pPr>
      <w:ind w:left="400" w:leftChars="400"/>
    </w:pPr>
  </w:style>
  <w:style w:type="paragraph" w:styleId="18">
    <w:name w:val="toc 8"/>
    <w:basedOn w:val="1"/>
    <w:next w:val="1"/>
    <w:unhideWhenUsed/>
    <w:qFormat/>
    <w:uiPriority w:val="39"/>
    <w:pPr>
      <w:widowControl w:val="0"/>
      <w:ind w:left="2940" w:leftChars="1400"/>
    </w:pPr>
    <w:rPr>
      <w:rFonts w:ascii="Calibri" w:hAnsi="Calibri"/>
      <w:kern w:val="2"/>
      <w:sz w:val="21"/>
      <w:szCs w:val="22"/>
    </w:rPr>
  </w:style>
  <w:style w:type="paragraph" w:styleId="19">
    <w:name w:val="Body Text Indent 2"/>
    <w:basedOn w:val="1"/>
    <w:link w:val="45"/>
    <w:unhideWhenUsed/>
    <w:qFormat/>
    <w:uiPriority w:val="99"/>
    <w:pPr>
      <w:spacing w:after="120" w:line="480" w:lineRule="auto"/>
      <w:ind w:left="420" w:leftChars="200"/>
    </w:pPr>
  </w:style>
  <w:style w:type="paragraph" w:styleId="20">
    <w:name w:val="Balloon Text"/>
    <w:basedOn w:val="1"/>
    <w:link w:val="46"/>
    <w:unhideWhenUsed/>
    <w:qFormat/>
    <w:uiPriority w:val="99"/>
    <w:rPr>
      <w:rFonts w:ascii="Times New Roman"/>
      <w:sz w:val="18"/>
      <w:szCs w:val="18"/>
    </w:rPr>
  </w:style>
  <w:style w:type="paragraph" w:styleId="21">
    <w:name w:val="footer"/>
    <w:basedOn w:val="1"/>
    <w:link w:val="47"/>
    <w:unhideWhenUsed/>
    <w:qFormat/>
    <w:uiPriority w:val="99"/>
    <w:pPr>
      <w:tabs>
        <w:tab w:val="center" w:pos="4153"/>
        <w:tab w:val="right" w:pos="8306"/>
      </w:tabs>
      <w:snapToGrid w:val="0"/>
      <w:jc w:val="left"/>
    </w:pPr>
    <w:rPr>
      <w:rFonts w:ascii="Times New Roman"/>
      <w:sz w:val="18"/>
    </w:rPr>
  </w:style>
  <w:style w:type="paragraph" w:styleId="22">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3">
    <w:name w:val="toc 1"/>
    <w:basedOn w:val="1"/>
    <w:next w:val="1"/>
    <w:qFormat/>
    <w:uiPriority w:val="39"/>
  </w:style>
  <w:style w:type="paragraph" w:styleId="24">
    <w:name w:val="toc 4"/>
    <w:basedOn w:val="1"/>
    <w:next w:val="1"/>
    <w:unhideWhenUsed/>
    <w:qFormat/>
    <w:uiPriority w:val="39"/>
    <w:pPr>
      <w:widowControl w:val="0"/>
      <w:ind w:left="1260" w:leftChars="600"/>
    </w:pPr>
    <w:rPr>
      <w:rFonts w:ascii="Calibri" w:hAnsi="Calibri"/>
      <w:kern w:val="2"/>
      <w:sz w:val="21"/>
      <w:szCs w:val="22"/>
    </w:rPr>
  </w:style>
  <w:style w:type="paragraph" w:styleId="25">
    <w:name w:val="toc 6"/>
    <w:basedOn w:val="1"/>
    <w:next w:val="1"/>
    <w:unhideWhenUsed/>
    <w:qFormat/>
    <w:uiPriority w:val="39"/>
    <w:pPr>
      <w:widowControl w:val="0"/>
      <w:ind w:left="2100" w:leftChars="1000"/>
    </w:pPr>
    <w:rPr>
      <w:rFonts w:ascii="Calibri" w:hAnsi="Calibri"/>
      <w:kern w:val="2"/>
      <w:sz w:val="21"/>
      <w:szCs w:val="22"/>
    </w:rPr>
  </w:style>
  <w:style w:type="paragraph" w:styleId="26">
    <w:name w:val="toc 2"/>
    <w:basedOn w:val="1"/>
    <w:next w:val="1"/>
    <w:unhideWhenUsed/>
    <w:qFormat/>
    <w:uiPriority w:val="39"/>
    <w:pPr>
      <w:ind w:left="420" w:leftChars="200"/>
    </w:pPr>
  </w:style>
  <w:style w:type="paragraph" w:styleId="27">
    <w:name w:val="toc 9"/>
    <w:basedOn w:val="1"/>
    <w:next w:val="1"/>
    <w:unhideWhenUsed/>
    <w:qFormat/>
    <w:uiPriority w:val="39"/>
    <w:pPr>
      <w:widowControl w:val="0"/>
      <w:ind w:left="3360" w:leftChars="1600"/>
    </w:pPr>
    <w:rPr>
      <w:rFonts w:ascii="Calibri" w:hAnsi="Calibri"/>
      <w:kern w:val="2"/>
      <w:sz w:val="21"/>
      <w:szCs w:val="22"/>
    </w:rPr>
  </w:style>
  <w:style w:type="paragraph" w:styleId="28">
    <w:name w:val="Body Text 2"/>
    <w:basedOn w:val="1"/>
    <w:qFormat/>
    <w:uiPriority w:val="0"/>
    <w:rPr>
      <w:rFonts w:ascii="Calibri"/>
      <w:kern w:val="2"/>
      <w:sz w:val="44"/>
      <w:szCs w:val="24"/>
    </w:rPr>
  </w:style>
  <w:style w:type="paragraph" w:styleId="29">
    <w:name w:val="Normal (Web)"/>
    <w:basedOn w:val="1"/>
    <w:unhideWhenUsed/>
    <w:qFormat/>
    <w:uiPriority w:val="0"/>
    <w:pPr>
      <w:jc w:val="left"/>
    </w:pPr>
  </w:style>
  <w:style w:type="paragraph" w:styleId="30">
    <w:name w:val="annotation subject"/>
    <w:basedOn w:val="13"/>
    <w:next w:val="13"/>
    <w:link w:val="48"/>
    <w:unhideWhenUsed/>
    <w:qFormat/>
    <w:uiPriority w:val="0"/>
    <w:rPr>
      <w:b/>
      <w:bCs/>
    </w:rPr>
  </w:style>
  <w:style w:type="paragraph" w:styleId="31">
    <w:name w:val="Body Text First Indent"/>
    <w:basedOn w:val="15"/>
    <w:link w:val="49"/>
    <w:unhideWhenUsed/>
    <w:qFormat/>
    <w:uiPriority w:val="99"/>
    <w:pPr>
      <w:ind w:firstLine="420" w:firstLineChars="100"/>
    </w:p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FollowedHyperlink"/>
    <w:unhideWhenUsed/>
    <w:qFormat/>
    <w:uiPriority w:val="99"/>
    <w:rPr>
      <w:color w:val="000000"/>
      <w:u w:val="none"/>
    </w:rPr>
  </w:style>
  <w:style w:type="character" w:styleId="36">
    <w:name w:val="Hyperlink"/>
    <w:qFormat/>
    <w:uiPriority w:val="99"/>
    <w:rPr>
      <w:color w:val="5886E0"/>
      <w:u w:val="none"/>
    </w:rPr>
  </w:style>
  <w:style w:type="character" w:styleId="37">
    <w:name w:val="annotation reference"/>
    <w:unhideWhenUsed/>
    <w:qFormat/>
    <w:uiPriority w:val="0"/>
    <w:rPr>
      <w:sz w:val="21"/>
      <w:szCs w:val="21"/>
    </w:rPr>
  </w:style>
  <w:style w:type="character" w:customStyle="1" w:styleId="38">
    <w:name w:val="纯文本 字符1"/>
    <w:link w:val="2"/>
    <w:qFormat/>
    <w:uiPriority w:val="0"/>
    <w:rPr>
      <w:rFonts w:ascii="宋体" w:hAnsi="Courier New" w:eastAsia="楷体_GB2312"/>
    </w:rPr>
  </w:style>
  <w:style w:type="character" w:customStyle="1" w:styleId="39">
    <w:name w:val="标题 2 字符"/>
    <w:link w:val="7"/>
    <w:qFormat/>
    <w:uiPriority w:val="9"/>
    <w:rPr>
      <w:rFonts w:ascii="宋体" w:hAnsi="Cambria"/>
      <w:b/>
      <w:bCs/>
      <w:sz w:val="24"/>
      <w:szCs w:val="32"/>
    </w:rPr>
  </w:style>
  <w:style w:type="character" w:customStyle="1" w:styleId="40">
    <w:name w:val="标题 3 字符"/>
    <w:link w:val="8"/>
    <w:qFormat/>
    <w:uiPriority w:val="0"/>
    <w:rPr>
      <w:rFonts w:ascii="宋体" w:hAnsi="Calibri"/>
      <w:b/>
      <w:bCs/>
      <w:sz w:val="24"/>
      <w:szCs w:val="32"/>
    </w:rPr>
  </w:style>
  <w:style w:type="character" w:customStyle="1" w:styleId="41">
    <w:name w:val="标题 6 字符"/>
    <w:link w:val="9"/>
    <w:semiHidden/>
    <w:qFormat/>
    <w:uiPriority w:val="9"/>
    <w:rPr>
      <w:rFonts w:ascii="Cambria" w:hAnsi="Cambria" w:eastAsia="宋体" w:cs="Times New Roman"/>
      <w:b/>
      <w:bCs/>
      <w:sz w:val="24"/>
      <w:szCs w:val="24"/>
    </w:rPr>
  </w:style>
  <w:style w:type="character" w:customStyle="1" w:styleId="42">
    <w:name w:val="文档结构图 字符"/>
    <w:link w:val="12"/>
    <w:semiHidden/>
    <w:qFormat/>
    <w:uiPriority w:val="99"/>
    <w:rPr>
      <w:rFonts w:ascii="宋体"/>
      <w:sz w:val="18"/>
      <w:szCs w:val="18"/>
    </w:rPr>
  </w:style>
  <w:style w:type="character" w:customStyle="1" w:styleId="43">
    <w:name w:val="批注文字 字符"/>
    <w:link w:val="13"/>
    <w:qFormat/>
    <w:uiPriority w:val="0"/>
  </w:style>
  <w:style w:type="character" w:customStyle="1" w:styleId="44">
    <w:name w:val="正文文本 字符"/>
    <w:link w:val="15"/>
    <w:semiHidden/>
    <w:qFormat/>
    <w:uiPriority w:val="99"/>
  </w:style>
  <w:style w:type="character" w:customStyle="1" w:styleId="45">
    <w:name w:val="正文文本缩进 2 字符"/>
    <w:link w:val="19"/>
    <w:semiHidden/>
    <w:qFormat/>
    <w:uiPriority w:val="99"/>
  </w:style>
  <w:style w:type="character" w:customStyle="1" w:styleId="46">
    <w:name w:val="批注框文本 字符"/>
    <w:link w:val="20"/>
    <w:semiHidden/>
    <w:qFormat/>
    <w:uiPriority w:val="99"/>
    <w:rPr>
      <w:sz w:val="18"/>
      <w:szCs w:val="18"/>
    </w:rPr>
  </w:style>
  <w:style w:type="character" w:customStyle="1" w:styleId="47">
    <w:name w:val="页脚 字符"/>
    <w:link w:val="21"/>
    <w:qFormat/>
    <w:uiPriority w:val="99"/>
    <w:rPr>
      <w:sz w:val="18"/>
    </w:rPr>
  </w:style>
  <w:style w:type="character" w:customStyle="1" w:styleId="48">
    <w:name w:val="批注主题 字符"/>
    <w:link w:val="30"/>
    <w:qFormat/>
    <w:uiPriority w:val="0"/>
  </w:style>
  <w:style w:type="character" w:customStyle="1" w:styleId="49">
    <w:name w:val="正文文本首行缩进 字符"/>
    <w:link w:val="31"/>
    <w:semiHidden/>
    <w:qFormat/>
    <w:uiPriority w:val="99"/>
  </w:style>
  <w:style w:type="character" w:customStyle="1" w:styleId="50">
    <w:name w:val="times"/>
    <w:qFormat/>
    <w:uiPriority w:val="0"/>
    <w:rPr>
      <w:color w:val="CDCDCD"/>
      <w:bdr w:val="single" w:color="CDCDCD" w:sz="6" w:space="0"/>
      <w:shd w:val="clear" w:color="auto" w:fill="EFEFEF"/>
    </w:rPr>
  </w:style>
  <w:style w:type="character" w:customStyle="1" w:styleId="51">
    <w:name w:val="hover40"/>
    <w:qFormat/>
    <w:uiPriority w:val="0"/>
  </w:style>
  <w:style w:type="character" w:customStyle="1" w:styleId="52">
    <w:name w:val="txt1"/>
    <w:qFormat/>
    <w:uiPriority w:val="0"/>
    <w:rPr>
      <w:color w:val="000000"/>
      <w:sz w:val="18"/>
      <w:szCs w:val="18"/>
      <w:u w:val="none"/>
    </w:rPr>
  </w:style>
  <w:style w:type="character" w:customStyle="1" w:styleId="53">
    <w:name w:val="hover42"/>
    <w:qFormat/>
    <w:uiPriority w:val="0"/>
  </w:style>
  <w:style w:type="character" w:customStyle="1" w:styleId="54">
    <w:name w:val="lm1"/>
    <w:qFormat/>
    <w:uiPriority w:val="0"/>
    <w:rPr>
      <w:color w:val="000000"/>
      <w:sz w:val="20"/>
      <w:szCs w:val="20"/>
      <w:u w:val="none"/>
    </w:rPr>
  </w:style>
  <w:style w:type="character" w:customStyle="1" w:styleId="55">
    <w:name w:val="纯文本 字符"/>
    <w:qFormat/>
    <w:locked/>
    <w:uiPriority w:val="99"/>
    <w:rPr>
      <w:rFonts w:ascii="宋体"/>
      <w:kern w:val="2"/>
      <w:sz w:val="21"/>
      <w:szCs w:val="22"/>
    </w:rPr>
  </w:style>
  <w:style w:type="character" w:customStyle="1" w:styleId="56">
    <w:name w:val="times1"/>
    <w:qFormat/>
    <w:uiPriority w:val="0"/>
    <w:rPr>
      <w:color w:val="3399FF"/>
      <w:bdr w:val="single" w:color="D1EDF8" w:sz="6" w:space="0"/>
      <w:shd w:val="clear" w:color="auto" w:fill="EAF9FF"/>
    </w:rPr>
  </w:style>
  <w:style w:type="paragraph" w:customStyle="1" w:styleId="57">
    <w:name w:val="TOC 标题1"/>
    <w:basedOn w:val="6"/>
    <w:next w:val="1"/>
    <w:qFormat/>
    <w:uiPriority w:val="39"/>
    <w:pPr>
      <w:spacing w:before="480" w:line="276" w:lineRule="auto"/>
      <w:outlineLvl w:val="9"/>
    </w:pPr>
    <w:rPr>
      <w:rFonts w:ascii="Cambria" w:hAnsi="Cambria"/>
      <w:bCs/>
      <w:color w:val="365F91"/>
      <w:kern w:val="0"/>
      <w:sz w:val="28"/>
      <w:szCs w:val="28"/>
    </w:rPr>
  </w:style>
  <w:style w:type="paragraph" w:customStyle="1" w:styleId="58">
    <w:name w:val="表注1"/>
    <w:basedOn w:val="1"/>
    <w:qFormat/>
    <w:uiPriority w:val="0"/>
    <w:pPr>
      <w:widowControl w:val="0"/>
      <w:adjustRightInd w:val="0"/>
      <w:snapToGrid w:val="0"/>
      <w:spacing w:line="300" w:lineRule="auto"/>
      <w:ind w:left="350" w:hanging="350" w:hangingChars="350"/>
    </w:pPr>
    <w:rPr>
      <w:rFonts w:hAnsi="Calibri" w:eastAsia="仿宋_GB2312"/>
      <w:bCs/>
      <w:color w:val="000000"/>
      <w:sz w:val="34"/>
    </w:rPr>
  </w:style>
  <w:style w:type="paragraph" w:customStyle="1" w:styleId="59">
    <w:name w:val="公文正文"/>
    <w:qFormat/>
    <w:uiPriority w:val="0"/>
    <w:pPr>
      <w:widowControl w:val="0"/>
      <w:spacing w:line="360" w:lineRule="auto"/>
      <w:ind w:firstLine="629" w:firstLineChars="200"/>
      <w:jc w:val="both"/>
    </w:pPr>
    <w:rPr>
      <w:rFonts w:ascii="仿宋_GB2312" w:hAnsi="Calisto MT" w:eastAsia="仿宋_GB2312" w:cs="Times New Roman"/>
      <w:color w:val="000000"/>
      <w:sz w:val="32"/>
      <w:lang w:val="en-US" w:eastAsia="zh-CN" w:bidi="ar-SA"/>
    </w:rPr>
  </w:style>
  <w:style w:type="paragraph" w:customStyle="1" w:styleId="60">
    <w:name w:val="TOC 标题11"/>
    <w:basedOn w:val="6"/>
    <w:next w:val="1"/>
    <w:qFormat/>
    <w:uiPriority w:val="0"/>
    <w:pPr>
      <w:spacing w:before="480" w:line="276" w:lineRule="auto"/>
      <w:jc w:val="left"/>
      <w:outlineLvl w:val="9"/>
    </w:pPr>
    <w:rPr>
      <w:rFonts w:ascii="Cambria" w:hAnsi="Cambria"/>
      <w:color w:val="365F91"/>
      <w:kern w:val="0"/>
      <w:sz w:val="28"/>
    </w:rPr>
  </w:style>
  <w:style w:type="paragraph" w:customStyle="1" w:styleId="61">
    <w:name w:val="表格文字中"/>
    <w:basedOn w:val="1"/>
    <w:qFormat/>
    <w:uiPriority w:val="0"/>
    <w:pPr>
      <w:widowControl w:val="0"/>
      <w:adjustRightInd w:val="0"/>
      <w:snapToGrid w:val="0"/>
      <w:ind w:left="22" w:leftChars="8"/>
      <w:jc w:val="center"/>
    </w:pPr>
    <w:rPr>
      <w:rFonts w:hAnsi="Calibri"/>
      <w:sz w:val="34"/>
    </w:rPr>
  </w:style>
  <w:style w:type="paragraph" w:customStyle="1" w:styleId="62">
    <w:name w:val="表格文字1"/>
    <w:basedOn w:val="1"/>
    <w:qFormat/>
    <w:uiPriority w:val="0"/>
    <w:pPr>
      <w:widowControl w:val="0"/>
      <w:adjustRightInd w:val="0"/>
      <w:snapToGrid w:val="0"/>
    </w:pPr>
    <w:rPr>
      <w:rFonts w:hAnsi="Calibri" w:eastAsia="仿宋_GB2312"/>
      <w:sz w:val="34"/>
    </w:rPr>
  </w:style>
  <w:style w:type="paragraph" w:customStyle="1" w:styleId="63">
    <w:name w:val="修订1"/>
    <w:unhideWhenUsed/>
    <w:qFormat/>
    <w:uiPriority w:val="99"/>
    <w:pPr>
      <w:spacing w:line="360" w:lineRule="auto"/>
      <w:ind w:firstLine="200" w:firstLineChars="200"/>
      <w:jc w:val="both"/>
    </w:pPr>
    <w:rPr>
      <w:rFonts w:ascii="Times New Roman" w:hAnsi="Times New Roman" w:eastAsia="宋体" w:cs="Times New Roman"/>
      <w:lang w:val="en-US" w:eastAsia="zh-CN" w:bidi="ar-SA"/>
    </w:rPr>
  </w:style>
  <w:style w:type="paragraph" w:styleId="64">
    <w:name w:val="List Paragraph"/>
    <w:basedOn w:val="1"/>
    <w:qFormat/>
    <w:uiPriority w:val="34"/>
    <w:pPr>
      <w:ind w:firstLine="420"/>
    </w:pPr>
  </w:style>
  <w:style w:type="paragraph" w:customStyle="1" w:styleId="65">
    <w:name w:val="Table Paragraph"/>
    <w:basedOn w:val="1"/>
    <w:qFormat/>
    <w:uiPriority w:val="99"/>
    <w:pPr>
      <w:widowControl w:val="0"/>
    </w:pPr>
    <w:rPr>
      <w:rFonts w:hAnsi="宋体" w:cs="宋体"/>
      <w:sz w:val="22"/>
      <w:szCs w:val="22"/>
      <w:lang w:eastAsia="en-US"/>
    </w:rPr>
  </w:style>
  <w:style w:type="paragraph" w:customStyle="1" w:styleId="66">
    <w:name w:val="样式 WG标题3 + 行距: 固定值 18 磅"/>
    <w:basedOn w:val="1"/>
    <w:qFormat/>
    <w:uiPriority w:val="0"/>
    <w:pPr>
      <w:widowControl w:val="0"/>
      <w:autoSpaceDE w:val="0"/>
      <w:autoSpaceDN w:val="0"/>
      <w:adjustRightInd w:val="0"/>
      <w:spacing w:line="360" w:lineRule="exact"/>
      <w:ind w:firstLine="0" w:firstLineChars="0"/>
      <w:textAlignment w:val="baseline"/>
      <w:outlineLvl w:val="2"/>
    </w:pPr>
    <w:rPr>
      <w:rFonts w:hAnsi="宋体" w:cs="宋体"/>
      <w:b/>
      <w:bCs/>
      <w:color w:val="000000"/>
      <w:kern w:val="20"/>
      <w:sz w:val="21"/>
    </w:rPr>
  </w:style>
  <w:style w:type="paragraph" w:customStyle="1" w:styleId="67">
    <w:name w:val="Revision"/>
    <w:hidden/>
    <w:unhideWhenUsed/>
    <w:qFormat/>
    <w:uiPriority w:val="99"/>
    <w:rPr>
      <w:rFonts w:ascii="宋体" w:hAnsi="Times New Roman" w:eastAsia="宋体" w:cs="Times New Roman"/>
      <w:sz w:val="24"/>
      <w:lang w:val="en-US" w:eastAsia="zh-CN" w:bidi="ar-SA"/>
    </w:rPr>
  </w:style>
  <w:style w:type="paragraph" w:customStyle="1" w:styleId="68">
    <w:name w:val="文二"/>
    <w:basedOn w:val="1"/>
    <w:qFormat/>
    <w:uiPriority w:val="0"/>
    <w:pPr>
      <w:widowControl w:val="0"/>
      <w:spacing w:line="240" w:lineRule="auto"/>
      <w:ind w:firstLine="0" w:firstLineChars="0"/>
      <w:jc w:val="left"/>
    </w:pPr>
    <w:rPr>
      <w:rFonts w:hAnsi="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6016</Words>
  <Characters>34294</Characters>
  <Lines>285</Lines>
  <Paragraphs>80</Paragraphs>
  <TotalTime>1</TotalTime>
  <ScaleCrop>false</ScaleCrop>
  <LinksUpToDate>false</LinksUpToDate>
  <CharactersWithSpaces>40230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2023-11-05T12:31:00Z</dcterms:created>
  <dc:creator>li</dc:creator>
  <cp:lastModifiedBy>HP</cp:lastModifiedBy>
  <cp:lastPrinted>2022-10-18T13:00:00Z</cp:lastPrinted>
  <dcterms:modified xsi:type="dcterms:W3CDTF">2023-11-09T08:49:06Z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C05B162CCFA63FFA7E25416572F2E049_43</vt:lpwstr>
  </property>
</Properties>
</file>