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adjustRightInd w:val="0"/>
        <w:snapToGrid w:val="0"/>
        <w:spacing w:line="360" w:lineRule="auto"/>
        <w:jc w:val="center"/>
        <w:rPr>
          <w:rFonts w:ascii="小标宋" w:hAnsi="宋体" w:eastAsia="小标宋"/>
          <w:b/>
          <w:kern w:val="0"/>
          <w:sz w:val="52"/>
          <w:szCs w:val="52"/>
        </w:rPr>
      </w:pPr>
      <w:r>
        <w:rPr>
          <w:rFonts w:hint="eastAsia" w:ascii="小标宋" w:hAnsi="宋体" w:eastAsia="小标宋"/>
          <w:b/>
          <w:kern w:val="0"/>
          <w:sz w:val="52"/>
          <w:szCs w:val="52"/>
        </w:rPr>
        <w:t>琶洲街黄埔古村古港提升工程</w:t>
      </w:r>
    </w:p>
    <w:p>
      <w:pPr>
        <w:pStyle w:val="36"/>
        <w:adjustRightInd w:val="0"/>
        <w:snapToGrid w:val="0"/>
        <w:spacing w:line="360" w:lineRule="auto"/>
        <w:jc w:val="center"/>
        <w:rPr>
          <w:rFonts w:ascii="小标宋" w:hAnsi="宋体" w:eastAsia="小标宋"/>
          <w:b/>
          <w:kern w:val="0"/>
          <w:sz w:val="52"/>
          <w:szCs w:val="52"/>
        </w:rPr>
      </w:pPr>
    </w:p>
    <w:p>
      <w:pPr>
        <w:pStyle w:val="36"/>
        <w:adjustRightInd w:val="0"/>
        <w:snapToGrid w:val="0"/>
        <w:spacing w:line="360" w:lineRule="auto"/>
        <w:jc w:val="center"/>
        <w:rPr>
          <w:rFonts w:ascii="小标宋" w:hAnsi="宋体" w:eastAsia="小标宋"/>
          <w:b/>
          <w:kern w:val="0"/>
          <w:sz w:val="52"/>
          <w:szCs w:val="52"/>
        </w:rPr>
      </w:pPr>
    </w:p>
    <w:p>
      <w:pPr>
        <w:pStyle w:val="36"/>
        <w:adjustRightInd w:val="0"/>
        <w:snapToGrid w:val="0"/>
        <w:spacing w:line="360" w:lineRule="auto"/>
        <w:jc w:val="center"/>
        <w:rPr>
          <w:rFonts w:ascii="小标宋" w:hAnsi="宋体" w:eastAsia="小标宋"/>
          <w:b/>
          <w:kern w:val="0"/>
          <w:sz w:val="52"/>
          <w:szCs w:val="52"/>
        </w:rPr>
      </w:pPr>
      <w:r>
        <w:rPr>
          <w:rFonts w:hint="eastAsia" w:ascii="小标宋" w:hAnsi="宋体" w:eastAsia="小标宋"/>
          <w:b/>
          <w:kern w:val="0"/>
          <w:sz w:val="52"/>
          <w:szCs w:val="52"/>
        </w:rPr>
        <w:t>项目管理及工程监理服务合同</w:t>
      </w:r>
    </w:p>
    <w:p>
      <w:pPr>
        <w:pStyle w:val="36"/>
        <w:adjustRightInd w:val="0"/>
        <w:snapToGrid w:val="0"/>
        <w:spacing w:line="360" w:lineRule="auto"/>
        <w:jc w:val="center"/>
        <w:rPr>
          <w:rFonts w:ascii="宋体" w:hAnsi="宋体" w:cs="华文中宋"/>
          <w:b/>
          <w:bCs/>
          <w:w w:val="90"/>
          <w:sz w:val="36"/>
          <w:szCs w:val="36"/>
        </w:rPr>
      </w:pPr>
    </w:p>
    <w:p>
      <w:pPr>
        <w:pStyle w:val="36"/>
        <w:adjustRightInd w:val="0"/>
        <w:snapToGrid w:val="0"/>
        <w:spacing w:line="360" w:lineRule="auto"/>
        <w:jc w:val="center"/>
        <w:rPr>
          <w:rFonts w:ascii="宋体" w:hAnsi="宋体" w:cs="华文中宋"/>
          <w:w w:val="90"/>
          <w:szCs w:val="44"/>
        </w:rPr>
      </w:pPr>
    </w:p>
    <w:p>
      <w:pPr>
        <w:spacing w:after="120" w:line="312" w:lineRule="auto"/>
        <w:ind w:firstLine="420"/>
        <w:rPr>
          <w:rFonts w:ascii="宋体" w:hAnsi="宋体"/>
          <w:b/>
          <w:kern w:val="0"/>
          <w:sz w:val="28"/>
          <w:szCs w:val="28"/>
        </w:rPr>
      </w:pPr>
      <w:bookmarkStart w:id="0" w:name="_Toc489865840"/>
      <w:bookmarkStart w:id="1" w:name="_Toc489236592"/>
    </w:p>
    <w:p>
      <w:pPr>
        <w:keepNext/>
        <w:keepLines/>
        <w:spacing w:before="260" w:after="260" w:line="412" w:lineRule="auto"/>
        <w:outlineLvl w:val="1"/>
        <w:rPr>
          <w:rFonts w:ascii="Arial" w:hAnsi="Arial" w:eastAsia="黑体"/>
          <w:bCs/>
          <w:kern w:val="0"/>
          <w:sz w:val="28"/>
          <w:szCs w:val="28"/>
        </w:rPr>
      </w:pPr>
    </w:p>
    <w:p>
      <w:pPr>
        <w:spacing w:line="360" w:lineRule="auto"/>
        <w:ind w:firstLine="1606" w:firstLineChars="500"/>
        <w:rPr>
          <w:rFonts w:ascii="宋体" w:hAnsi="宋体" w:cs="宋体"/>
          <w:b/>
          <w:bCs/>
          <w:sz w:val="32"/>
          <w:szCs w:val="40"/>
        </w:rPr>
      </w:pPr>
      <w:r>
        <w:rPr>
          <w:rFonts w:hint="eastAsia" w:ascii="宋体" w:hAnsi="宋体" w:cs="宋体"/>
          <w:b/>
          <w:bCs/>
          <w:sz w:val="32"/>
          <w:szCs w:val="40"/>
        </w:rPr>
        <w:t>发包人：</w:t>
      </w:r>
      <w:r>
        <w:rPr>
          <w:rFonts w:hint="eastAsia" w:ascii="宋体" w:hAnsi="宋体" w:cs="宋体"/>
          <w:b/>
          <w:bCs/>
          <w:spacing w:val="79"/>
          <w:kern w:val="0"/>
          <w:sz w:val="32"/>
          <w:szCs w:val="40"/>
          <w:u w:val="single"/>
        </w:rPr>
        <w:t xml:space="preserve">             </w:t>
      </w:r>
    </w:p>
    <w:p>
      <w:pPr>
        <w:spacing w:line="360" w:lineRule="auto"/>
        <w:ind w:firstLine="1606" w:firstLineChars="500"/>
        <w:rPr>
          <w:rFonts w:ascii="宋体" w:hAnsi="宋体" w:cs="宋体"/>
          <w:b/>
          <w:bCs/>
          <w:sz w:val="72"/>
          <w:szCs w:val="40"/>
        </w:rPr>
      </w:pPr>
      <w:r>
        <w:rPr>
          <w:rFonts w:hint="eastAsia" w:ascii="宋体" w:hAnsi="宋体" w:cs="宋体"/>
          <w:b/>
          <w:bCs/>
          <w:sz w:val="32"/>
          <w:szCs w:val="40"/>
        </w:rPr>
        <w:t>承包人：</w:t>
      </w:r>
      <w:r>
        <w:rPr>
          <w:rFonts w:hint="eastAsia" w:ascii="宋体" w:hAnsi="宋体" w:cs="宋体"/>
          <w:b/>
          <w:bCs/>
          <w:spacing w:val="2000"/>
          <w:kern w:val="0"/>
          <w:sz w:val="32"/>
          <w:szCs w:val="40"/>
          <w:u w:val="single"/>
          <w:fitText w:val="4160" w:id="832517100"/>
        </w:rPr>
        <w:t xml:space="preserve"> </w:t>
      </w:r>
      <w:r>
        <w:rPr>
          <w:rFonts w:hint="eastAsia" w:ascii="宋体" w:hAnsi="宋体" w:cs="宋体"/>
          <w:b/>
          <w:bCs/>
          <w:kern w:val="0"/>
          <w:sz w:val="32"/>
          <w:szCs w:val="40"/>
          <w:u w:val="single"/>
        </w:rPr>
        <w:t xml:space="preserve"> </w:t>
      </w:r>
    </w:p>
    <w:p>
      <w:pPr>
        <w:jc w:val="center"/>
        <w:rPr>
          <w:rFonts w:ascii="宋体" w:hAnsi="宋体" w:cs="宋体"/>
          <w:b/>
          <w:bCs/>
          <w:sz w:val="32"/>
          <w:szCs w:val="48"/>
        </w:rPr>
      </w:pPr>
      <w:r>
        <w:rPr>
          <w:rFonts w:hint="eastAsia" w:ascii="宋体" w:hAnsi="宋体" w:cs="宋体"/>
          <w:b/>
          <w:bCs/>
          <w:sz w:val="32"/>
          <w:szCs w:val="48"/>
        </w:rPr>
        <w:t xml:space="preserve"> 年  月  日</w:t>
      </w:r>
    </w:p>
    <w:p>
      <w:pPr>
        <w:jc w:val="center"/>
        <w:rPr>
          <w:rFonts w:ascii="宋体" w:hAnsi="宋体" w:cs="宋体"/>
          <w:b/>
          <w:bCs/>
          <w:sz w:val="32"/>
          <w:szCs w:val="48"/>
        </w:rPr>
      </w:pPr>
    </w:p>
    <w:p>
      <w:pPr>
        <w:jc w:val="center"/>
        <w:rPr>
          <w:rFonts w:ascii="Calibri" w:hAnsi="Calibri"/>
          <w:b/>
          <w:sz w:val="28"/>
          <w:szCs w:val="28"/>
        </w:rPr>
      </w:pPr>
      <w:r>
        <w:rPr>
          <w:rFonts w:hint="eastAsia" w:ascii="宋体" w:hAnsi="宋体" w:cs="宋体"/>
          <w:b/>
          <w:bCs/>
          <w:sz w:val="32"/>
          <w:szCs w:val="48"/>
        </w:rPr>
        <w:t>广   州</w:t>
      </w:r>
    </w:p>
    <w:p>
      <w:pPr>
        <w:keepNext/>
        <w:keepLines/>
        <w:spacing w:before="260" w:after="260" w:line="412" w:lineRule="auto"/>
        <w:outlineLvl w:val="1"/>
        <w:rPr>
          <w:rFonts w:ascii="Arial" w:hAnsi="Arial" w:eastAsia="黑体"/>
          <w:bCs/>
          <w:kern w:val="0"/>
          <w:sz w:val="28"/>
          <w:szCs w:val="28"/>
        </w:rPr>
      </w:pPr>
    </w:p>
    <w:p>
      <w:pPr>
        <w:pStyle w:val="36"/>
        <w:adjustRightInd w:val="0"/>
        <w:snapToGrid w:val="0"/>
        <w:spacing w:line="360" w:lineRule="auto"/>
        <w:jc w:val="center"/>
        <w:rPr>
          <w:b/>
          <w:sz w:val="28"/>
          <w:szCs w:val="28"/>
        </w:rPr>
      </w:pPr>
    </w:p>
    <w:p>
      <w:pPr>
        <w:pStyle w:val="158"/>
        <w:spacing w:before="0" w:line="360" w:lineRule="auto"/>
        <w:jc w:val="both"/>
        <w:rPr>
          <w:color w:val="auto"/>
          <w:lang w:val="zh-CN"/>
        </w:rPr>
        <w:sectPr>
          <w:headerReference r:id="rId3" w:type="default"/>
          <w:footerReference r:id="rId4" w:type="even"/>
          <w:endnotePr>
            <w:numFmt w:val="decimal"/>
          </w:endnotePr>
          <w:pgSz w:w="11907" w:h="16840"/>
          <w:pgMar w:top="1440" w:right="1588" w:bottom="1440" w:left="1089" w:header="851" w:footer="907" w:gutter="113"/>
          <w:cols w:space="720" w:num="1"/>
          <w:docGrid w:linePitch="312" w:charSpace="0"/>
        </w:sectPr>
      </w:pPr>
    </w:p>
    <w:p>
      <w:pPr>
        <w:pStyle w:val="158"/>
        <w:spacing w:before="0" w:line="360" w:lineRule="auto"/>
        <w:ind w:left="17"/>
        <w:jc w:val="center"/>
        <w:rPr>
          <w:color w:val="auto"/>
        </w:rPr>
      </w:pPr>
      <w:bookmarkStart w:id="2" w:name="_Toc18673"/>
      <w:bookmarkStart w:id="3" w:name="_Toc8820"/>
      <w:r>
        <w:rPr>
          <w:color w:val="auto"/>
          <w:lang w:val="zh-CN"/>
        </w:rPr>
        <w:t>目</w:t>
      </w:r>
      <w:r>
        <w:rPr>
          <w:rFonts w:hint="eastAsia"/>
          <w:color w:val="auto"/>
          <w:lang w:val="zh-CN"/>
        </w:rPr>
        <w:t xml:space="preserve"> </w:t>
      </w:r>
      <w:r>
        <w:rPr>
          <w:color w:val="auto"/>
          <w:lang w:val="zh-CN"/>
        </w:rPr>
        <w:t xml:space="preserve"> 录</w:t>
      </w:r>
      <w:bookmarkEnd w:id="2"/>
      <w:bookmarkEnd w:id="3"/>
    </w:p>
    <w:p>
      <w:pPr>
        <w:pStyle w:val="29"/>
        <w:tabs>
          <w:tab w:val="right" w:leader="dot" w:pos="9107"/>
        </w:tabs>
        <w:rPr>
          <w:rFonts w:ascii="等线" w:hAnsi="等线" w:eastAsia="等线" w:cs="Times New Roman"/>
          <w:snapToGrid/>
          <w:kern w:val="2"/>
          <w:sz w:val="21"/>
          <w:szCs w:val="22"/>
        </w:rPr>
      </w:pPr>
      <w:r>
        <w:rPr>
          <w:b/>
          <w:bCs/>
          <w:lang w:val="zh-CN"/>
        </w:rPr>
        <w:fldChar w:fldCharType="begin"/>
      </w:r>
      <w:r>
        <w:rPr>
          <w:b/>
          <w:bCs/>
          <w:lang w:val="zh-CN"/>
        </w:rPr>
        <w:instrText xml:space="preserve"> TOC \o "1-2" \h \z \u </w:instrText>
      </w:r>
      <w:r>
        <w:rPr>
          <w:b/>
          <w:bCs/>
          <w:lang w:val="zh-CN"/>
        </w:rPr>
        <w:fldChar w:fldCharType="separate"/>
      </w:r>
      <w:r>
        <w:fldChar w:fldCharType="begin"/>
      </w:r>
      <w:r>
        <w:instrText xml:space="preserve"> HYPERLINK \l "_Toc111036399" </w:instrText>
      </w:r>
      <w:r>
        <w:fldChar w:fldCharType="separate"/>
      </w:r>
      <w:r>
        <w:rPr>
          <w:rStyle w:val="49"/>
          <w:color w:val="auto"/>
        </w:rPr>
        <w:t>第一部分 协 议 书</w:t>
      </w:r>
      <w:r>
        <w:tab/>
      </w:r>
      <w:r>
        <w:fldChar w:fldCharType="begin"/>
      </w:r>
      <w:r>
        <w:instrText xml:space="preserve"> PAGEREF _Toc111036399 \h </w:instrText>
      </w:r>
      <w:r>
        <w:fldChar w:fldCharType="separate"/>
      </w:r>
      <w:r>
        <w:t>2</w:t>
      </w:r>
      <w:r>
        <w:fldChar w:fldCharType="end"/>
      </w:r>
      <w:r>
        <w:fldChar w:fldCharType="end"/>
      </w:r>
    </w:p>
    <w:p>
      <w:pPr>
        <w:pStyle w:val="29"/>
        <w:tabs>
          <w:tab w:val="right" w:leader="dot" w:pos="9107"/>
        </w:tabs>
        <w:rPr>
          <w:rFonts w:ascii="等线" w:hAnsi="等线" w:eastAsia="等线" w:cs="Times New Roman"/>
          <w:snapToGrid/>
          <w:kern w:val="2"/>
          <w:sz w:val="21"/>
          <w:szCs w:val="22"/>
        </w:rPr>
      </w:pPr>
      <w:r>
        <w:fldChar w:fldCharType="begin"/>
      </w:r>
      <w:r>
        <w:instrText xml:space="preserve"> HYPERLINK \l "_Toc111036400" </w:instrText>
      </w:r>
      <w:r>
        <w:fldChar w:fldCharType="separate"/>
      </w:r>
      <w:r>
        <w:rPr>
          <w:rStyle w:val="49"/>
          <w:color w:val="auto"/>
        </w:rPr>
        <w:t>第二部分 合同条款</w:t>
      </w:r>
      <w:r>
        <w:tab/>
      </w:r>
      <w:r>
        <w:fldChar w:fldCharType="begin"/>
      </w:r>
      <w:r>
        <w:instrText xml:space="preserve"> PAGEREF _Toc111036400 \h </w:instrText>
      </w:r>
      <w:r>
        <w:fldChar w:fldCharType="separate"/>
      </w:r>
      <w:r>
        <w:t>8</w:t>
      </w:r>
      <w:r>
        <w:fldChar w:fldCharType="end"/>
      </w:r>
      <w:r>
        <w:fldChar w:fldCharType="end"/>
      </w:r>
    </w:p>
    <w:p>
      <w:pPr>
        <w:pStyle w:val="34"/>
        <w:tabs>
          <w:tab w:val="right" w:leader="dot" w:pos="9107"/>
        </w:tabs>
        <w:ind w:firstLine="240"/>
        <w:rPr>
          <w:rFonts w:ascii="等线" w:hAnsi="等线" w:eastAsia="等线" w:cs="Times New Roman"/>
          <w:snapToGrid/>
          <w:kern w:val="2"/>
          <w:sz w:val="21"/>
          <w:szCs w:val="22"/>
        </w:rPr>
      </w:pPr>
      <w:r>
        <w:fldChar w:fldCharType="begin"/>
      </w:r>
      <w:r>
        <w:instrText xml:space="preserve"> HYPERLINK \l "_Toc111036401" </w:instrText>
      </w:r>
      <w:r>
        <w:fldChar w:fldCharType="separate"/>
      </w:r>
      <w:r>
        <w:rPr>
          <w:rStyle w:val="49"/>
          <w:color w:val="auto"/>
        </w:rPr>
        <w:t>一、一般约定</w:t>
      </w:r>
      <w:r>
        <w:tab/>
      </w:r>
      <w:r>
        <w:fldChar w:fldCharType="begin"/>
      </w:r>
      <w:r>
        <w:instrText xml:space="preserve"> PAGEREF _Toc111036401 \h </w:instrText>
      </w:r>
      <w:r>
        <w:fldChar w:fldCharType="separate"/>
      </w:r>
      <w:r>
        <w:t>8</w:t>
      </w:r>
      <w:r>
        <w:fldChar w:fldCharType="end"/>
      </w:r>
      <w:r>
        <w:fldChar w:fldCharType="end"/>
      </w:r>
    </w:p>
    <w:p>
      <w:pPr>
        <w:pStyle w:val="34"/>
        <w:tabs>
          <w:tab w:val="right" w:leader="dot" w:pos="9107"/>
        </w:tabs>
        <w:ind w:firstLine="240"/>
        <w:rPr>
          <w:rStyle w:val="49"/>
          <w:color w:val="auto"/>
        </w:rPr>
      </w:pPr>
      <w:r>
        <w:fldChar w:fldCharType="begin"/>
      </w:r>
      <w:r>
        <w:instrText xml:space="preserve"> HYPERLINK \l "_Toc111036402" </w:instrText>
      </w:r>
      <w:r>
        <w:fldChar w:fldCharType="separate"/>
      </w:r>
      <w:r>
        <w:rPr>
          <w:rStyle w:val="49"/>
          <w:color w:val="auto"/>
        </w:rPr>
        <w:t>二、</w:t>
      </w:r>
      <w:r>
        <w:rPr>
          <w:rStyle w:val="49"/>
          <w:color w:val="auto"/>
          <w:lang w:val="zh-TW"/>
        </w:rPr>
        <w:t>索赔</w:t>
      </w:r>
      <w:r>
        <w:tab/>
      </w:r>
      <w:r>
        <w:fldChar w:fldCharType="begin"/>
      </w:r>
      <w:r>
        <w:instrText xml:space="preserve"> PAGEREF _Toc111036402 \h </w:instrText>
      </w:r>
      <w:r>
        <w:fldChar w:fldCharType="separate"/>
      </w:r>
      <w:r>
        <w:t>13</w:t>
      </w:r>
      <w:r>
        <w:fldChar w:fldCharType="end"/>
      </w:r>
      <w:r>
        <w:fldChar w:fldCharType="end"/>
      </w:r>
    </w:p>
    <w:p>
      <w:pPr>
        <w:pStyle w:val="29"/>
        <w:tabs>
          <w:tab w:val="right" w:leader="dot" w:pos="9107"/>
        </w:tabs>
        <w:rPr>
          <w:rFonts w:ascii="等线" w:hAnsi="等线" w:eastAsia="等线" w:cs="Times New Roman"/>
          <w:snapToGrid/>
          <w:kern w:val="2"/>
          <w:sz w:val="21"/>
          <w:szCs w:val="22"/>
        </w:rPr>
      </w:pPr>
      <w:r>
        <w:fldChar w:fldCharType="begin"/>
      </w:r>
      <w:r>
        <w:instrText xml:space="preserve"> HYPERLINK \l "_Toc111036403" </w:instrText>
      </w:r>
      <w:r>
        <w:fldChar w:fldCharType="separate"/>
      </w:r>
      <w:r>
        <w:rPr>
          <w:rStyle w:val="49"/>
          <w:color w:val="auto"/>
        </w:rPr>
        <w:t>第</w:t>
      </w:r>
      <w:r>
        <w:rPr>
          <w:rStyle w:val="49"/>
          <w:rFonts w:hint="eastAsia"/>
          <w:color w:val="auto"/>
        </w:rPr>
        <w:t>三</w:t>
      </w:r>
      <w:r>
        <w:rPr>
          <w:rStyle w:val="49"/>
          <w:color w:val="auto"/>
        </w:rPr>
        <w:t xml:space="preserve">部分 </w:t>
      </w:r>
      <w:r>
        <w:rPr>
          <w:rStyle w:val="49"/>
          <w:rFonts w:hint="eastAsia"/>
          <w:color w:val="auto"/>
        </w:rPr>
        <w:t>项目管理</w:t>
      </w:r>
      <w:r>
        <w:rPr>
          <w:rStyle w:val="49"/>
          <w:color w:val="auto"/>
        </w:rPr>
        <w:t>专项条款</w:t>
      </w:r>
      <w:r>
        <w:tab/>
      </w:r>
      <w:r>
        <w:fldChar w:fldCharType="begin"/>
      </w:r>
      <w:r>
        <w:instrText xml:space="preserve"> PAGEREF _Toc111036403 \h </w:instrText>
      </w:r>
      <w:r>
        <w:fldChar w:fldCharType="separate"/>
      </w:r>
      <w:r>
        <w:t>16</w:t>
      </w:r>
      <w:r>
        <w:fldChar w:fldCharType="end"/>
      </w:r>
      <w:r>
        <w:fldChar w:fldCharType="end"/>
      </w:r>
    </w:p>
    <w:p>
      <w:pPr>
        <w:pStyle w:val="29"/>
        <w:tabs>
          <w:tab w:val="right" w:leader="dot" w:pos="9107"/>
        </w:tabs>
        <w:rPr>
          <w:rFonts w:ascii="等线" w:hAnsi="等线" w:cs="Times New Roman"/>
          <w:snapToGrid/>
          <w:kern w:val="2"/>
          <w:sz w:val="21"/>
          <w:szCs w:val="22"/>
        </w:rPr>
      </w:pPr>
      <w:r>
        <w:fldChar w:fldCharType="begin"/>
      </w:r>
      <w:r>
        <w:instrText xml:space="preserve"> HYPERLINK \l "_Toc111036403" </w:instrText>
      </w:r>
      <w:r>
        <w:fldChar w:fldCharType="separate"/>
      </w:r>
      <w:r>
        <w:rPr>
          <w:rStyle w:val="49"/>
          <w:color w:val="auto"/>
        </w:rPr>
        <w:t>第</w:t>
      </w:r>
      <w:r>
        <w:rPr>
          <w:rStyle w:val="49"/>
          <w:rFonts w:hint="eastAsia"/>
          <w:color w:val="auto"/>
        </w:rPr>
        <w:t>四</w:t>
      </w:r>
      <w:r>
        <w:rPr>
          <w:rStyle w:val="49"/>
          <w:color w:val="auto"/>
        </w:rPr>
        <w:t>部分 工程监理专项条款</w:t>
      </w:r>
      <w:r>
        <w:tab/>
      </w:r>
      <w:r>
        <w:rPr>
          <w:rFonts w:hint="eastAsia"/>
        </w:rPr>
        <w:t>3</w:t>
      </w:r>
      <w:r>
        <w:rPr>
          <w:rFonts w:hint="eastAsia"/>
        </w:rPr>
        <w:fldChar w:fldCharType="end"/>
      </w:r>
      <w:r>
        <w:rPr>
          <w:rStyle w:val="49"/>
          <w:rFonts w:hint="eastAsia"/>
          <w:color w:val="auto"/>
        </w:rPr>
        <w:t>5</w:t>
      </w:r>
    </w:p>
    <w:p>
      <w:pPr>
        <w:spacing w:line="360" w:lineRule="auto"/>
      </w:pPr>
      <w:r>
        <w:rPr>
          <w:bCs/>
          <w:lang w:val="zh-CN"/>
        </w:rPr>
        <w:fldChar w:fldCharType="end"/>
      </w:r>
    </w:p>
    <w:p>
      <w:pPr>
        <w:pStyle w:val="39"/>
        <w:spacing w:before="0" w:after="0" w:line="360" w:lineRule="auto"/>
        <w:rPr>
          <w:rFonts w:ascii="Times New Roman" w:hAnsi="Times New Roman"/>
          <w:szCs w:val="28"/>
        </w:rPr>
        <w:sectPr>
          <w:footerReference r:id="rId5" w:type="default"/>
          <w:endnotePr>
            <w:numFmt w:val="decimal"/>
          </w:endnotePr>
          <w:pgSz w:w="11907" w:h="16840"/>
          <w:pgMar w:top="1440" w:right="1588" w:bottom="1440" w:left="1089" w:header="851" w:footer="907" w:gutter="113"/>
          <w:pgNumType w:start="1"/>
          <w:cols w:space="720" w:num="1"/>
          <w:docGrid w:linePitch="312" w:charSpace="0"/>
        </w:sectPr>
      </w:pPr>
    </w:p>
    <w:p>
      <w:pPr>
        <w:pStyle w:val="92"/>
        <w:spacing w:before="0" w:after="0"/>
        <w:rPr>
          <w:b w:val="0"/>
          <w:bCs/>
          <w:color w:val="auto"/>
          <w:sz w:val="24"/>
        </w:rPr>
      </w:pPr>
      <w:bookmarkStart w:id="4" w:name="_Toc60148175"/>
      <w:bookmarkStart w:id="5" w:name="_Toc3385"/>
      <w:bookmarkStart w:id="6" w:name="_Toc111036399"/>
      <w:bookmarkStart w:id="7" w:name="_Toc25454"/>
      <w:r>
        <w:rPr>
          <w:color w:val="auto"/>
        </w:rPr>
        <w:t>第一部分 协 议 书</w:t>
      </w:r>
      <w:bookmarkEnd w:id="0"/>
      <w:bookmarkEnd w:id="1"/>
      <w:bookmarkEnd w:id="4"/>
      <w:bookmarkEnd w:id="5"/>
      <w:bookmarkEnd w:id="6"/>
      <w:bookmarkEnd w:id="7"/>
    </w:p>
    <w:p>
      <w:pPr>
        <w:spacing w:line="440" w:lineRule="exact"/>
        <w:rPr>
          <w:rFonts w:ascii="宋体" w:hAnsi="宋体"/>
          <w:sz w:val="24"/>
        </w:rPr>
      </w:pPr>
      <w:r>
        <w:rPr>
          <w:rFonts w:hint="eastAsia" w:ascii="宋体" w:hAnsi="宋体"/>
          <w:sz w:val="24"/>
        </w:rPr>
        <w:t>发包人（甲方）：</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承包人（乙方）：</w:t>
      </w:r>
      <w:r>
        <w:rPr>
          <w:rFonts w:hint="eastAsia" w:ascii="宋体" w:hAnsi="宋体"/>
          <w:sz w:val="24"/>
          <w:u w:val="single"/>
        </w:rPr>
        <w:t xml:space="preserve">                             </w:t>
      </w:r>
    </w:p>
    <w:p>
      <w:pPr>
        <w:spacing w:line="440" w:lineRule="exact"/>
        <w:rPr>
          <w:rFonts w:ascii="宋体" w:hAnsi="宋体"/>
          <w:sz w:val="24"/>
        </w:rPr>
      </w:pPr>
      <w:r>
        <w:rPr>
          <w:rFonts w:hint="eastAsia" w:ascii="宋体" w:hAnsi="宋体"/>
          <w:sz w:val="24"/>
        </w:rPr>
        <w:t>（</w:t>
      </w:r>
      <w:r>
        <w:rPr>
          <w:rFonts w:hint="eastAsia" w:ascii="宋体" w:hAnsi="宋体"/>
          <w:bCs/>
          <w:sz w:val="24"/>
          <w:u w:val="single"/>
        </w:rPr>
        <w:t xml:space="preserve">                      </w:t>
      </w:r>
      <w:r>
        <w:rPr>
          <w:rFonts w:hint="eastAsia" w:ascii="宋体" w:hAnsi="宋体"/>
          <w:sz w:val="24"/>
        </w:rPr>
        <w:t xml:space="preserve">，以下简称发包人）为本工程发包人。经与承包人（ </w:t>
      </w:r>
      <w:r>
        <w:rPr>
          <w:rFonts w:hint="eastAsia" w:ascii="宋体" w:hAnsi="宋体"/>
          <w:bCs/>
          <w:sz w:val="24"/>
          <w:u w:val="single"/>
        </w:rPr>
        <w:t xml:space="preserve">                      </w:t>
      </w:r>
      <w:r>
        <w:rPr>
          <w:rFonts w:hint="eastAsia" w:ascii="宋体" w:hAnsi="宋体"/>
          <w:sz w:val="24"/>
        </w:rPr>
        <w:t>，以下简称承包人）就本工程项目管理及工程监理事宜协商一致，并依照《中华人民共和国民法典》、《中华人民共和国建筑法》、《中华人民共和国招投标法》及其他有关法律、行政法规和规定，遵循平等、自愿、公平和诚信的原则，订立本合同。</w:t>
      </w:r>
    </w:p>
    <w:p>
      <w:pPr>
        <w:pStyle w:val="292"/>
        <w:ind w:firstLine="480" w:firstLineChars="200"/>
        <w:jc w:val="left"/>
        <w:rPr>
          <w:rFonts w:ascii="宋体" w:hAnsi="宋体" w:eastAsia="宋体" w:cs="宋体"/>
          <w:color w:val="auto"/>
          <w:sz w:val="24"/>
          <w:szCs w:val="24"/>
        </w:rPr>
      </w:pPr>
      <w:r>
        <w:rPr>
          <w:rFonts w:hint="eastAsia" w:ascii="宋体" w:hAnsi="宋体" w:eastAsia="宋体"/>
          <w:color w:val="auto"/>
          <w:sz w:val="24"/>
        </w:rPr>
        <w:t>依照《中华人民共和国民法典》、《中华人民共和国建筑法》及其他有关法律、行政法规，遵循平等、自愿、公平和诚实信用的原则，双方就本设计、建设工程施工事项协商一致，订立本合同。</w:t>
      </w:r>
    </w:p>
    <w:p>
      <w:pPr>
        <w:pStyle w:val="5"/>
        <w:numPr>
          <w:ilvl w:val="0"/>
          <w:numId w:val="2"/>
        </w:numPr>
        <w:spacing w:before="0" w:after="0" w:line="360" w:lineRule="auto"/>
        <w:rPr>
          <w:b w:val="0"/>
          <w:bCs w:val="0"/>
          <w:sz w:val="24"/>
          <w:szCs w:val="24"/>
        </w:rPr>
      </w:pPr>
      <w:bookmarkStart w:id="8" w:name="_Toc489865841"/>
      <w:bookmarkStart w:id="9" w:name="_Toc485394971"/>
      <w:r>
        <w:rPr>
          <w:rFonts w:hint="eastAsia"/>
          <w:bCs w:val="0"/>
          <w:sz w:val="24"/>
          <w:szCs w:val="24"/>
        </w:rPr>
        <w:t>工程概况</w:t>
      </w:r>
    </w:p>
    <w:p>
      <w:pPr>
        <w:adjustRightInd w:val="0"/>
        <w:snapToGrid w:val="0"/>
        <w:spacing w:line="360" w:lineRule="auto"/>
        <w:ind w:right="11" w:firstLine="480" w:firstLineChars="200"/>
        <w:rPr>
          <w:rFonts w:ascii="宋体" w:hAnsi="宋体" w:cs="宋体"/>
          <w:bCs/>
          <w:snapToGrid w:val="0"/>
          <w:sz w:val="24"/>
        </w:rPr>
      </w:pPr>
      <w:r>
        <w:rPr>
          <w:rFonts w:hint="eastAsia" w:ascii="宋体" w:hAnsi="宋体" w:cs="宋体"/>
          <w:bCs/>
          <w:sz w:val="24"/>
        </w:rPr>
        <w:t>1、</w:t>
      </w:r>
      <w:r>
        <w:rPr>
          <w:rFonts w:hint="eastAsia" w:ascii="宋体" w:hAnsi="宋体" w:cs="宋体"/>
          <w:bCs/>
          <w:snapToGrid w:val="0"/>
          <w:sz w:val="24"/>
        </w:rPr>
        <w:t>工程名称：</w:t>
      </w:r>
      <w:r>
        <w:rPr>
          <w:rFonts w:hint="eastAsia" w:ascii="宋体" w:cs="宋体"/>
          <w:spacing w:val="1"/>
          <w:kern w:val="0"/>
          <w:position w:val="-3"/>
          <w:sz w:val="24"/>
          <w:u w:val="single"/>
        </w:rPr>
        <w:t>琶洲街黄埔古村古港提升工程项目管理及工程监理。</w:t>
      </w:r>
    </w:p>
    <w:p>
      <w:pPr>
        <w:adjustRightInd w:val="0"/>
        <w:snapToGrid w:val="0"/>
        <w:spacing w:line="360" w:lineRule="auto"/>
        <w:ind w:right="11" w:firstLine="480" w:firstLineChars="200"/>
        <w:rPr>
          <w:rFonts w:ascii="宋体" w:hAnsi="宋体" w:cs="宋体"/>
          <w:bCs/>
          <w:snapToGrid w:val="0"/>
          <w:sz w:val="24"/>
        </w:rPr>
      </w:pPr>
      <w:r>
        <w:rPr>
          <w:rFonts w:hint="eastAsia" w:ascii="宋体" w:hAnsi="宋体" w:cs="宋体"/>
          <w:bCs/>
          <w:snapToGrid w:val="0"/>
          <w:sz w:val="24"/>
        </w:rPr>
        <w:t>2、工程地点：</w:t>
      </w:r>
      <w:r>
        <w:rPr>
          <w:rFonts w:hint="eastAsia" w:ascii="宋体" w:cs="宋体"/>
          <w:spacing w:val="1"/>
          <w:kern w:val="0"/>
          <w:position w:val="-3"/>
          <w:sz w:val="24"/>
          <w:u w:val="single"/>
        </w:rPr>
        <w:t>广州市海珠区。</w:t>
      </w:r>
    </w:p>
    <w:p>
      <w:pPr>
        <w:spacing w:line="360" w:lineRule="auto"/>
        <w:ind w:firstLine="480" w:firstLineChars="200"/>
        <w:rPr>
          <w:rFonts w:ascii="宋体" w:cs="宋体"/>
          <w:spacing w:val="1"/>
          <w:kern w:val="0"/>
          <w:position w:val="-3"/>
          <w:sz w:val="24"/>
          <w:u w:val="single"/>
        </w:rPr>
      </w:pPr>
      <w:r>
        <w:rPr>
          <w:rFonts w:hint="eastAsia" w:ascii="宋体" w:hAnsi="宋体" w:cs="宋体"/>
          <w:bCs/>
          <w:snapToGrid w:val="0"/>
          <w:kern w:val="0"/>
          <w:sz w:val="24"/>
        </w:rPr>
        <w:t>3、工程规模：</w:t>
      </w:r>
      <w:r>
        <w:rPr>
          <w:rFonts w:hint="eastAsia" w:ascii="宋体" w:cs="宋体"/>
          <w:spacing w:val="1"/>
          <w:kern w:val="0"/>
          <w:position w:val="-3"/>
          <w:sz w:val="24"/>
          <w:u w:val="single"/>
        </w:rPr>
        <w:t>本项目拟对琶洲街黄埔古村古港旅游配套基础设施进行完善。项目主要建设内容包括：道路交通、建筑风貌、水乡环境、文旅设施及环卫设施等提升改造工程。涉及改造的面积约为6.6万平方米。</w:t>
      </w:r>
    </w:p>
    <w:p>
      <w:pPr>
        <w:spacing w:line="360" w:lineRule="auto"/>
        <w:ind w:firstLine="480" w:firstLineChars="200"/>
        <w:rPr>
          <w:rFonts w:ascii="宋体" w:hAnsi="宋体" w:cs="宋体"/>
          <w:bCs/>
          <w:snapToGrid w:val="0"/>
          <w:kern w:val="0"/>
          <w:sz w:val="24"/>
          <w:u w:val="single"/>
        </w:rPr>
      </w:pPr>
      <w:r>
        <w:rPr>
          <w:rFonts w:hint="eastAsia" w:ascii="宋体" w:hAnsi="宋体" w:cs="宋体"/>
          <w:bCs/>
          <w:snapToGrid w:val="0"/>
          <w:kern w:val="0"/>
          <w:sz w:val="24"/>
        </w:rPr>
        <w:t>4、计划工期：</w:t>
      </w:r>
      <w:r>
        <w:rPr>
          <w:rFonts w:hint="eastAsia" w:ascii="宋体" w:hAnsi="宋体" w:cs="宋体"/>
          <w:bCs/>
          <w:snapToGrid w:val="0"/>
          <w:kern w:val="0"/>
          <w:sz w:val="24"/>
          <w:u w:val="single"/>
        </w:rPr>
        <w:t>总工期为618日历天。</w:t>
      </w:r>
    </w:p>
    <w:p>
      <w:pPr>
        <w:pStyle w:val="2"/>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5、</w:t>
      </w:r>
      <w:r>
        <w:rPr>
          <w:rFonts w:hint="eastAsia" w:ascii="宋体" w:hAnsi="宋体"/>
          <w:sz w:val="24"/>
        </w:rPr>
        <w:t>资金来源：</w:t>
      </w:r>
      <w:r>
        <w:rPr>
          <w:rFonts w:hint="eastAsia" w:ascii="宋体" w:hAnsi="宋体"/>
          <w:sz w:val="24"/>
          <w:u w:val="single"/>
        </w:rPr>
        <w:t>区财政资金。</w:t>
      </w:r>
    </w:p>
    <w:p>
      <w:pPr>
        <w:pStyle w:val="5"/>
        <w:numPr>
          <w:ilvl w:val="0"/>
          <w:numId w:val="2"/>
        </w:numPr>
        <w:spacing w:before="0" w:after="0" w:line="360" w:lineRule="auto"/>
        <w:rPr>
          <w:bCs w:val="0"/>
          <w:sz w:val="24"/>
          <w:szCs w:val="24"/>
        </w:rPr>
      </w:pPr>
      <w:r>
        <w:rPr>
          <w:rFonts w:hint="eastAsia"/>
          <w:bCs w:val="0"/>
          <w:sz w:val="24"/>
          <w:szCs w:val="24"/>
        </w:rPr>
        <w:t>项目管理及工程监理工作内容及服务范围</w:t>
      </w:r>
    </w:p>
    <w:p>
      <w:pPr>
        <w:spacing w:line="360" w:lineRule="auto"/>
        <w:ind w:firstLine="482" w:firstLineChars="200"/>
        <w:rPr>
          <w:rFonts w:ascii="宋体" w:hAnsi="宋体" w:cs="宋体"/>
          <w:b/>
          <w:bCs/>
          <w:sz w:val="24"/>
        </w:rPr>
      </w:pPr>
      <w:r>
        <w:rPr>
          <w:rFonts w:hint="eastAsia" w:ascii="宋体" w:hAnsi="宋体" w:cs="宋体"/>
          <w:b/>
          <w:bCs/>
          <w:sz w:val="24"/>
          <w:lang w:val="zh-TW"/>
        </w:rPr>
        <w:t>1、</w:t>
      </w:r>
      <w:r>
        <w:rPr>
          <w:rFonts w:hint="eastAsia"/>
          <w:b/>
          <w:bCs/>
          <w:sz w:val="24"/>
        </w:rPr>
        <w:t>项目管理及工程监理工作内容</w:t>
      </w:r>
      <w:r>
        <w:rPr>
          <w:rFonts w:hint="eastAsia" w:ascii="宋体" w:hAnsi="宋体" w:cs="宋体"/>
          <w:b/>
          <w:bCs/>
          <w:sz w:val="24"/>
          <w:lang w:val="zh-TW"/>
        </w:rPr>
        <w:t>：</w:t>
      </w:r>
      <w:r>
        <w:rPr>
          <w:rFonts w:hint="eastAsia" w:ascii="宋体" w:hAnsi="宋体" w:cs="宋体"/>
          <w:bCs/>
          <w:sz w:val="24"/>
          <w:lang w:val="zh-TW"/>
        </w:rPr>
        <w:t>琶洲街黄埔古村古港提升工程项目管理及工程监理</w:t>
      </w:r>
      <w:r>
        <w:rPr>
          <w:rFonts w:hint="eastAsia" w:ascii="宋体" w:hAnsi="宋体" w:cs="宋体"/>
          <w:bCs/>
          <w:sz w:val="24"/>
        </w:rPr>
        <w:t>工作内容包括：</w:t>
      </w:r>
      <w:r>
        <w:rPr>
          <w:rFonts w:hint="eastAsia" w:ascii="宋体" w:hAnsi="宋体" w:cs="宋体"/>
          <w:bCs/>
          <w:sz w:val="24"/>
          <w:lang w:val="zh-TW"/>
        </w:rPr>
        <w:t>本项目立项（含可研）范围内所有工程内容的</w:t>
      </w:r>
      <w:r>
        <w:rPr>
          <w:rFonts w:hint="eastAsia" w:ascii="宋体" w:hAnsi="宋体" w:cs="宋体"/>
          <w:bCs/>
          <w:sz w:val="24"/>
        </w:rPr>
        <w:t>项目</w:t>
      </w:r>
      <w:r>
        <w:rPr>
          <w:rFonts w:hint="eastAsia" w:ascii="宋体" w:hAnsi="宋体" w:cs="宋体"/>
          <w:bCs/>
          <w:sz w:val="24"/>
          <w:lang w:val="zh-TW"/>
        </w:rPr>
        <w:t>管理</w:t>
      </w:r>
      <w:r>
        <w:rPr>
          <w:rFonts w:hint="eastAsia" w:ascii="宋体" w:hAnsi="宋体" w:cs="宋体"/>
          <w:bCs/>
          <w:sz w:val="24"/>
        </w:rPr>
        <w:t>及工程监理</w:t>
      </w:r>
      <w:r>
        <w:rPr>
          <w:rFonts w:hint="eastAsia" w:ascii="宋体" w:hAnsi="宋体" w:cs="宋体"/>
          <w:bCs/>
          <w:sz w:val="24"/>
          <w:lang w:val="zh-TW"/>
        </w:rPr>
        <w:t>工作。</w:t>
      </w:r>
    </w:p>
    <w:p>
      <w:pPr>
        <w:spacing w:line="360" w:lineRule="auto"/>
        <w:ind w:firstLine="482" w:firstLineChars="200"/>
        <w:rPr>
          <w:rFonts w:ascii="宋体" w:hAnsi="宋体" w:cs="宋体"/>
          <w:b/>
          <w:bCs/>
          <w:sz w:val="24"/>
          <w:lang w:val="zh-TW"/>
        </w:rPr>
      </w:pPr>
      <w:r>
        <w:rPr>
          <w:rFonts w:hint="eastAsia" w:ascii="宋体" w:hAnsi="宋体" w:cs="宋体"/>
          <w:b/>
          <w:bCs/>
          <w:sz w:val="24"/>
          <w:lang w:val="zh-TW"/>
        </w:rPr>
        <w:t>2、服务范围：</w:t>
      </w:r>
    </w:p>
    <w:p>
      <w:pPr>
        <w:spacing w:line="360" w:lineRule="auto"/>
        <w:ind w:firstLine="480" w:firstLineChars="200"/>
        <w:rPr>
          <w:rFonts w:ascii="宋体" w:hAnsi="宋体" w:cs="宋体"/>
          <w:sz w:val="24"/>
          <w:lang w:val="zh-TW"/>
        </w:rPr>
      </w:pPr>
      <w:r>
        <w:rPr>
          <w:rFonts w:hint="eastAsia" w:ascii="宋体" w:hAnsi="宋体" w:cs="宋体"/>
          <w:sz w:val="24"/>
          <w:lang w:val="zh-TW"/>
        </w:rPr>
        <w:t>负责</w:t>
      </w:r>
      <w:r>
        <w:rPr>
          <w:rFonts w:hint="eastAsia" w:ascii="宋体" w:hAnsi="宋体" w:cs="宋体"/>
          <w:bCs/>
          <w:sz w:val="24"/>
          <w:lang w:val="zh-TW"/>
        </w:rPr>
        <w:t>琶洲街黄埔古村古港提升工程项目管理及工程监理，</w:t>
      </w:r>
      <w:r>
        <w:rPr>
          <w:rFonts w:hint="eastAsia" w:ascii="宋体" w:hAnsi="宋体" w:cs="宋体"/>
          <w:sz w:val="24"/>
          <w:lang w:val="zh-TW"/>
        </w:rPr>
        <w:t>包括但不限于以下工作内容：</w:t>
      </w:r>
    </w:p>
    <w:p>
      <w:pPr>
        <w:adjustRightInd w:val="0"/>
        <w:snapToGrid w:val="0"/>
        <w:spacing w:line="360" w:lineRule="auto"/>
        <w:ind w:firstLine="480" w:firstLineChars="200"/>
        <w:rPr>
          <w:rFonts w:ascii="宋体" w:hAnsi="宋体" w:cs="宋体"/>
          <w:sz w:val="24"/>
          <w:u w:val="single"/>
          <w:shd w:val="clear" w:color="auto" w:fill="FFFFFF"/>
        </w:rPr>
      </w:pPr>
      <w:r>
        <w:rPr>
          <w:rFonts w:hint="eastAsia" w:ascii="宋体" w:hAnsi="宋体" w:cs="宋体"/>
          <w:sz w:val="24"/>
          <w:u w:val="single"/>
          <w:shd w:val="clear" w:color="auto" w:fill="FFFFFF"/>
        </w:rPr>
        <w:t>（1）项目管理服务</w:t>
      </w:r>
      <w:r>
        <w:rPr>
          <w:rFonts w:hint="eastAsia" w:ascii="宋体" w:hAnsi="宋体" w:cs="宋体"/>
          <w:sz w:val="24"/>
          <w:u w:val="single"/>
        </w:rPr>
        <w:t>：对项目建设的进行建设管理，内容包括但不限于以下内容：项目的勘察、设计、监理、施工、验收、移交、保修等项目实施过程管理及项目管理过程中各种手续的报审工作。从组织编制设计方案开始至项目竣工验收、竣工结算、移交和保修期结束之日止的建设项目管理统筹管理，包括在项目决策阶段，组织协调设计优化；在项目实施阶段，进行设计管理、招标管理协调、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pPr>
        <w:adjustRightInd w:val="0"/>
        <w:snapToGrid w:val="0"/>
        <w:spacing w:line="360" w:lineRule="auto"/>
        <w:ind w:firstLine="480" w:firstLineChars="200"/>
        <w:rPr>
          <w:rFonts w:ascii="宋体" w:hAnsi="宋体" w:cs="宋体"/>
          <w:sz w:val="24"/>
          <w:u w:val="single"/>
          <w:shd w:val="clear" w:color="auto" w:fill="FFFFFF"/>
        </w:rPr>
      </w:pPr>
      <w:r>
        <w:rPr>
          <w:rFonts w:hint="eastAsia" w:ascii="宋体" w:hAnsi="宋体" w:cs="宋体"/>
          <w:sz w:val="24"/>
          <w:u w:val="single"/>
          <w:shd w:val="clear" w:color="auto" w:fill="FFFFFF"/>
        </w:rPr>
        <w:t>（2）</w:t>
      </w:r>
      <w:r>
        <w:rPr>
          <w:rFonts w:hint="eastAsia" w:ascii="宋体" w:hAnsi="宋体" w:cs="宋体"/>
          <w:sz w:val="24"/>
          <w:u w:val="single"/>
        </w:rPr>
        <w:t>工程监理服务：包括工程监理（含管线迁改、临时施工用水、临时施工用电、工程勘察旁站、工程施工监理等）、工程收尾阶段（含工程竣工验收及竣工验收资料移交城建档案、整改、工程移交及实物移交、工程结算、决算等）及工程质量保修阶段的监理。含监理服务期内的质量控制、职业健康安全及环境监督管理、进度控制、投资控制、安全生产监督管理、合同管理、信息管理、以及协调建设单位和工程建设有关各方的工作关系等。</w:t>
      </w:r>
    </w:p>
    <w:p>
      <w:pPr>
        <w:ind w:firstLine="482"/>
        <w:rPr>
          <w:rFonts w:ascii="宋体" w:hAnsi="宋体" w:cs="宋体"/>
          <w:b/>
          <w:bCs/>
          <w:sz w:val="24"/>
          <w:lang w:val="zh-TW"/>
        </w:rPr>
      </w:pPr>
      <w:r>
        <w:rPr>
          <w:rFonts w:hint="eastAsia" w:ascii="宋体" w:hAnsi="宋体" w:cs="宋体"/>
          <w:b/>
          <w:bCs/>
          <w:sz w:val="24"/>
        </w:rPr>
        <w:t>3、</w:t>
      </w:r>
      <w:r>
        <w:rPr>
          <w:rFonts w:hint="eastAsia" w:ascii="宋体" w:hAnsi="宋体" w:cs="宋体"/>
          <w:b/>
          <w:bCs/>
          <w:sz w:val="24"/>
          <w:lang w:val="zh-TW"/>
        </w:rPr>
        <w:t>工作目标</w:t>
      </w:r>
    </w:p>
    <w:p>
      <w:pPr>
        <w:spacing w:line="360" w:lineRule="auto"/>
        <w:ind w:firstLine="480" w:firstLineChars="200"/>
        <w:rPr>
          <w:rFonts w:ascii="宋体" w:hAnsi="宋体" w:cs="宋体"/>
          <w:sz w:val="24"/>
        </w:rPr>
      </w:pPr>
      <w:r>
        <w:rPr>
          <w:rFonts w:hint="eastAsia" w:ascii="宋体" w:hAnsi="宋体" w:cs="宋体"/>
          <w:sz w:val="24"/>
        </w:rPr>
        <w:t>本项目项目管理及工程监理工作目标包括：</w:t>
      </w:r>
    </w:p>
    <w:p>
      <w:pPr>
        <w:spacing w:line="360" w:lineRule="auto"/>
        <w:ind w:firstLine="480" w:firstLineChars="200"/>
        <w:rPr>
          <w:rFonts w:ascii="宋体" w:hAnsi="宋体" w:cs="宋体"/>
          <w:sz w:val="24"/>
        </w:rPr>
      </w:pPr>
      <w:r>
        <w:rPr>
          <w:rFonts w:hint="eastAsia" w:ascii="宋体" w:hAnsi="宋体" w:cs="宋体"/>
          <w:sz w:val="24"/>
        </w:rPr>
        <w:t>（1）进度控制目标：</w:t>
      </w:r>
      <w:r>
        <w:rPr>
          <w:rFonts w:hint="eastAsia" w:ascii="宋体" w:hAnsi="宋体"/>
          <w:sz w:val="24"/>
        </w:rPr>
        <w:t>施工总承包工期按施工总承包合同进度要求控制</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（2）质量控制目标：</w:t>
      </w:r>
      <w:r>
        <w:rPr>
          <w:rFonts w:hint="eastAsia" w:ascii="宋体" w:hAnsi="宋体"/>
          <w:sz w:val="24"/>
        </w:rPr>
        <w:t>合格且</w:t>
      </w:r>
      <w:r>
        <w:rPr>
          <w:rFonts w:hint="eastAsia" w:ascii="宋体" w:hAnsi="宋体" w:cs="宋体"/>
          <w:sz w:val="24"/>
          <w:szCs w:val="22"/>
        </w:rPr>
        <w:t>遵守《建筑工程施工质量验收统一标准》（GB50300-2013）及有关规定规范标准</w:t>
      </w:r>
      <w:r>
        <w:rPr>
          <w:rFonts w:hint="eastAsia" w:ascii="宋体" w:hAnsi="宋体" w:cs="宋体"/>
          <w:sz w:val="24"/>
        </w:rPr>
        <w:t>。</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（3）安全文明控制目标：严格执行有关安全与文明的法律法规和规章制度。</w:t>
      </w:r>
    </w:p>
    <w:p>
      <w:pPr>
        <w:pStyle w:val="304"/>
        <w:spacing w:line="360" w:lineRule="auto"/>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4</w:t>
      </w:r>
      <w:r>
        <w:rPr>
          <w:rFonts w:hint="eastAsia" w:ascii="宋体" w:hAnsi="宋体" w:cs="宋体"/>
          <w:sz w:val="24"/>
          <w:szCs w:val="24"/>
        </w:rPr>
        <w:t>）投资控制目标：实行动态控制，限额设计和施工，限额投资。</w:t>
      </w:r>
    </w:p>
    <w:p>
      <w:pPr>
        <w:pStyle w:val="5"/>
        <w:numPr>
          <w:ilvl w:val="0"/>
          <w:numId w:val="2"/>
        </w:numPr>
        <w:spacing w:before="0" w:after="0" w:line="360" w:lineRule="auto"/>
        <w:rPr>
          <w:bCs w:val="0"/>
          <w:sz w:val="24"/>
          <w:szCs w:val="24"/>
        </w:rPr>
      </w:pPr>
      <w:r>
        <w:rPr>
          <w:rFonts w:hint="eastAsia"/>
          <w:bCs w:val="0"/>
          <w:sz w:val="24"/>
          <w:szCs w:val="24"/>
        </w:rPr>
        <w:t>服务期</w:t>
      </w:r>
    </w:p>
    <w:p>
      <w:pPr>
        <w:spacing w:line="360" w:lineRule="auto"/>
        <w:ind w:firstLine="480" w:firstLineChars="200"/>
        <w:rPr>
          <w:rFonts w:ascii="宋体" w:hAnsi="宋体" w:cs="宋体"/>
          <w:sz w:val="24"/>
          <w:lang w:eastAsia="zh-Hans"/>
        </w:rPr>
      </w:pPr>
      <w:r>
        <w:rPr>
          <w:rFonts w:hint="eastAsia" w:ascii="宋体" w:hAnsi="宋体" w:cs="宋体"/>
          <w:sz w:val="24"/>
          <w:lang w:val="zh-TW"/>
        </w:rPr>
        <w:t>从中标人收到中标通知书开始起算，至该工程竣工验收、竣工结算完成，并完成所有约定义务止。</w:t>
      </w:r>
    </w:p>
    <w:p>
      <w:pPr>
        <w:pStyle w:val="5"/>
        <w:numPr>
          <w:ilvl w:val="0"/>
          <w:numId w:val="2"/>
        </w:numPr>
        <w:spacing w:before="0" w:after="0" w:line="360" w:lineRule="auto"/>
        <w:rPr>
          <w:bCs w:val="0"/>
          <w:sz w:val="24"/>
          <w:szCs w:val="24"/>
        </w:rPr>
      </w:pPr>
      <w:r>
        <w:rPr>
          <w:rFonts w:hint="eastAsia"/>
          <w:bCs w:val="0"/>
          <w:sz w:val="24"/>
          <w:szCs w:val="24"/>
        </w:rPr>
        <w:t>合同价款</w:t>
      </w:r>
    </w:p>
    <w:p>
      <w:pPr>
        <w:spacing w:line="360" w:lineRule="auto"/>
        <w:ind w:firstLine="480" w:firstLineChars="200"/>
        <w:jc w:val="left"/>
        <w:rPr>
          <w:rFonts w:ascii="宋体" w:hAnsi="宋体" w:cs="宋体"/>
          <w:sz w:val="24"/>
        </w:rPr>
      </w:pPr>
      <w:r>
        <w:rPr>
          <w:rFonts w:hint="eastAsia" w:ascii="宋体" w:hAnsi="宋体" w:cs="宋体"/>
          <w:sz w:val="24"/>
        </w:rPr>
        <w:t xml:space="preserve">含税合同总价为（大写）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元），税率</w:t>
      </w:r>
      <w:r>
        <w:rPr>
          <w:rFonts w:ascii="宋体" w:hAnsi="宋体" w:cs="宋体"/>
          <w:sz w:val="24"/>
        </w:rPr>
        <w:t xml:space="preserve">   </w:t>
      </w:r>
      <w:r>
        <w:rPr>
          <w:rFonts w:hint="eastAsia" w:ascii="宋体" w:hAnsi="宋体" w:cs="宋体"/>
          <w:sz w:val="24"/>
        </w:rPr>
        <w:t>%，税费（大写）（￥</w:t>
      </w:r>
      <w:r>
        <w:rPr>
          <w:rFonts w:ascii="宋体" w:hAnsi="宋体" w:cs="宋体"/>
          <w:sz w:val="24"/>
        </w:rPr>
        <w:t xml:space="preserve">    </w:t>
      </w:r>
      <w:r>
        <w:rPr>
          <w:rFonts w:hint="eastAsia" w:ascii="宋体" w:hAnsi="宋体" w:cs="宋体"/>
          <w:sz w:val="24"/>
        </w:rPr>
        <w:t xml:space="preserve">元），不含税合同总价为（大写）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元）其中：</w:t>
      </w:r>
    </w:p>
    <w:p>
      <w:pPr>
        <w:spacing w:line="360" w:lineRule="auto"/>
        <w:ind w:firstLine="480" w:firstLineChars="200"/>
        <w:jc w:val="left"/>
        <w:rPr>
          <w:rFonts w:ascii="宋体" w:hAnsi="宋体" w:cs="宋体"/>
          <w:sz w:val="24"/>
        </w:rPr>
      </w:pPr>
      <w:r>
        <w:rPr>
          <w:rFonts w:hint="eastAsia" w:ascii="宋体" w:hAnsi="宋体" w:cs="宋体"/>
          <w:sz w:val="24"/>
        </w:rPr>
        <w:t>1、含税项目管理费</w:t>
      </w:r>
      <w:r>
        <w:rPr>
          <w:rFonts w:hint="eastAsia" w:ascii="宋体" w:hAnsi="宋体" w:cs="宋体"/>
          <w:sz w:val="24"/>
          <w:lang w:eastAsia="zh-CN"/>
        </w:rPr>
        <w:t>（暂定）</w:t>
      </w:r>
      <w:r>
        <w:rPr>
          <w:rFonts w:hint="eastAsia" w:ascii="宋体" w:hAnsi="宋体" w:cs="宋体"/>
          <w:sz w:val="24"/>
        </w:rPr>
        <w:t>为：： ￥</w:t>
      </w:r>
      <w:r>
        <w:rPr>
          <w:rFonts w:ascii="宋体" w:hAnsi="宋体" w:cs="宋体"/>
          <w:sz w:val="24"/>
        </w:rPr>
        <w:t xml:space="preserve">     </w:t>
      </w:r>
      <w:r>
        <w:rPr>
          <w:rFonts w:hint="eastAsia" w:ascii="宋体" w:hAnsi="宋体" w:cs="宋体"/>
          <w:sz w:val="24"/>
        </w:rPr>
        <w:t>元。</w:t>
      </w:r>
    </w:p>
    <w:p>
      <w:pPr>
        <w:spacing w:line="360" w:lineRule="auto"/>
        <w:ind w:firstLine="480" w:firstLineChars="200"/>
        <w:jc w:val="left"/>
        <w:rPr>
          <w:rFonts w:ascii="宋体" w:hAnsi="宋体" w:cs="宋体"/>
          <w:sz w:val="24"/>
        </w:rPr>
      </w:pPr>
      <w:r>
        <w:rPr>
          <w:rFonts w:hint="eastAsia" w:ascii="宋体" w:hAnsi="宋体" w:cs="宋体"/>
          <w:sz w:val="24"/>
        </w:rPr>
        <w:t>2、含税工程监理费</w:t>
      </w:r>
      <w:r>
        <w:rPr>
          <w:rFonts w:hint="eastAsia" w:ascii="宋体" w:hAnsi="宋体" w:cs="宋体"/>
          <w:sz w:val="24"/>
          <w:lang w:eastAsia="zh-CN"/>
        </w:rPr>
        <w:t>（暂定）</w:t>
      </w:r>
      <w:r>
        <w:rPr>
          <w:rFonts w:hint="eastAsia" w:ascii="宋体" w:hAnsi="宋体" w:cs="宋体"/>
          <w:sz w:val="24"/>
        </w:rPr>
        <w:t>为： ￥</w:t>
      </w:r>
      <w:r>
        <w:rPr>
          <w:rFonts w:ascii="宋体" w:hAnsi="宋体" w:cs="宋体"/>
          <w:sz w:val="24"/>
        </w:rPr>
        <w:t xml:space="preserve">     </w:t>
      </w:r>
      <w:r>
        <w:rPr>
          <w:rFonts w:hint="eastAsia" w:ascii="宋体" w:hAnsi="宋体" w:cs="宋体"/>
          <w:sz w:val="24"/>
        </w:rPr>
        <w:t>元。</w:t>
      </w:r>
    </w:p>
    <w:p>
      <w:pPr>
        <w:spacing w:line="360" w:lineRule="auto"/>
        <w:ind w:firstLine="480" w:firstLineChars="200"/>
        <w:rPr>
          <w:rFonts w:ascii="宋体" w:hAnsi="宋体" w:cs="宋体"/>
          <w:sz w:val="24"/>
        </w:rPr>
      </w:pPr>
      <w:r>
        <w:rPr>
          <w:rFonts w:hint="eastAsia" w:ascii="宋体" w:hAnsi="宋体" w:cs="宋体"/>
          <w:sz w:val="24"/>
        </w:rPr>
        <w:t>乙方收取本协议最后一笔款项前，应办理合同结算手续。乙方必须向甲方提供由乙方按核定付款金额开具的与合同内容一致并符合税务机关规定的合法、有效增值税专用发票，由于乙方提供的发票不规范、不合法引起税务问题的，乙方应承担赔偿责任，包括但不限于税款、附加费、滞纳金、罚款及相关损失。乙方不能及时提供符合甲方要求的合法发票，甲方有权顺延直至乙方提供后付款且无需承担任何责任。如给甲方造成严重损失的，致使合同无法继续履行等情况，甲方有权终止合同。</w:t>
      </w:r>
    </w:p>
    <w:p>
      <w:pPr>
        <w:pStyle w:val="5"/>
        <w:numPr>
          <w:ilvl w:val="0"/>
          <w:numId w:val="2"/>
        </w:numPr>
        <w:spacing w:before="0" w:after="0" w:line="360" w:lineRule="auto"/>
        <w:rPr>
          <w:bCs w:val="0"/>
          <w:sz w:val="24"/>
          <w:szCs w:val="24"/>
        </w:rPr>
      </w:pPr>
      <w:r>
        <w:rPr>
          <w:rFonts w:hint="eastAsia"/>
          <w:bCs w:val="0"/>
          <w:sz w:val="24"/>
          <w:szCs w:val="24"/>
        </w:rPr>
        <w:t>甲方代表与乙方项目负责人</w:t>
      </w:r>
    </w:p>
    <w:p>
      <w:pPr>
        <w:spacing w:line="360" w:lineRule="auto"/>
        <w:ind w:firstLine="480" w:firstLineChars="200"/>
        <w:rPr>
          <w:rFonts w:ascii="宋体" w:hAnsi="宋体" w:cs="宋体"/>
          <w:sz w:val="24"/>
          <w:u w:val="single"/>
        </w:rPr>
      </w:pPr>
      <w:r>
        <w:rPr>
          <w:rFonts w:hint="eastAsia" w:ascii="宋体" w:hAnsi="宋体" w:cs="宋体"/>
          <w:sz w:val="24"/>
        </w:rPr>
        <w:t>甲方代表：</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乙方项目管理负责人：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乙方工程总监理工程师姓名、注册证号：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pStyle w:val="5"/>
        <w:numPr>
          <w:ilvl w:val="0"/>
          <w:numId w:val="2"/>
        </w:numPr>
        <w:spacing w:before="0" w:after="0" w:line="360" w:lineRule="auto"/>
        <w:rPr>
          <w:bCs w:val="0"/>
          <w:sz w:val="24"/>
          <w:szCs w:val="24"/>
        </w:rPr>
      </w:pPr>
      <w:r>
        <w:rPr>
          <w:rFonts w:hint="eastAsia"/>
          <w:bCs w:val="0"/>
          <w:sz w:val="24"/>
          <w:szCs w:val="24"/>
        </w:rPr>
        <w:t xml:space="preserve">承诺  </w:t>
      </w:r>
    </w:p>
    <w:p>
      <w:pPr>
        <w:spacing w:line="360" w:lineRule="auto"/>
        <w:ind w:firstLine="480" w:firstLineChars="200"/>
        <w:jc w:val="left"/>
        <w:rPr>
          <w:rFonts w:ascii="宋体" w:hAnsi="宋体" w:cs="宋体"/>
          <w:sz w:val="24"/>
        </w:rPr>
      </w:pPr>
      <w:r>
        <w:rPr>
          <w:rFonts w:hint="eastAsia" w:ascii="宋体" w:hAnsi="宋体" w:cs="宋体"/>
          <w:sz w:val="24"/>
        </w:rPr>
        <w:t>甲方向乙方承诺已阅读、理解并接受本合同所有条款，按照本合同约定履行本合同项下的全部义务。</w:t>
      </w:r>
    </w:p>
    <w:p>
      <w:pPr>
        <w:spacing w:line="360" w:lineRule="auto"/>
        <w:ind w:firstLine="480" w:firstLineChars="200"/>
        <w:rPr>
          <w:rFonts w:ascii="宋体" w:hAnsi="宋体" w:cs="宋体"/>
          <w:sz w:val="24"/>
        </w:rPr>
      </w:pPr>
      <w:r>
        <w:rPr>
          <w:rFonts w:hint="eastAsia" w:ascii="宋体" w:hAnsi="宋体" w:cs="宋体"/>
          <w:sz w:val="24"/>
        </w:rPr>
        <w:t>乙方向甲方承诺已阅读、理解并接受本合同所有条款，按照本合同约定履行本合同项下的全部义务。</w:t>
      </w:r>
    </w:p>
    <w:p>
      <w:pPr>
        <w:pStyle w:val="5"/>
        <w:numPr>
          <w:ilvl w:val="0"/>
          <w:numId w:val="2"/>
        </w:numPr>
        <w:spacing w:before="0" w:after="0" w:line="360" w:lineRule="auto"/>
        <w:rPr>
          <w:bCs w:val="0"/>
          <w:sz w:val="24"/>
          <w:szCs w:val="24"/>
        </w:rPr>
      </w:pPr>
      <w:r>
        <w:rPr>
          <w:rFonts w:hint="eastAsia"/>
          <w:bCs w:val="0"/>
          <w:sz w:val="24"/>
          <w:szCs w:val="24"/>
        </w:rPr>
        <w:t>开户银行账号</w:t>
      </w:r>
    </w:p>
    <w:p>
      <w:pPr>
        <w:spacing w:line="360" w:lineRule="auto"/>
        <w:ind w:firstLine="480" w:firstLineChars="200"/>
        <w:rPr>
          <w:rFonts w:ascii="宋体" w:hAnsi="宋体" w:cs="宋体"/>
          <w:bCs/>
          <w:sz w:val="24"/>
          <w:u w:color="000000"/>
        </w:rPr>
      </w:pPr>
      <w:r>
        <w:rPr>
          <w:rFonts w:hint="eastAsia" w:ascii="宋体" w:hAnsi="宋体" w:cs="宋体"/>
          <w:bCs/>
          <w:sz w:val="24"/>
          <w:u w:color="000000"/>
        </w:rPr>
        <w:t>1、</w:t>
      </w:r>
      <w:r>
        <w:rPr>
          <w:rFonts w:hint="eastAsia" w:ascii="宋体" w:hAnsi="宋体" w:cs="宋体"/>
          <w:bCs/>
          <w:sz w:val="24"/>
        </w:rPr>
        <w:t>乙方</w:t>
      </w:r>
      <w:r>
        <w:rPr>
          <w:rFonts w:hint="eastAsia" w:ascii="宋体" w:hAnsi="宋体" w:cs="宋体"/>
          <w:bCs/>
          <w:sz w:val="24"/>
          <w:u w:color="000000"/>
        </w:rPr>
        <w:t>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乙方承担。</w:t>
      </w:r>
    </w:p>
    <w:p>
      <w:pPr>
        <w:spacing w:line="360" w:lineRule="auto"/>
        <w:ind w:firstLine="480" w:firstLineChars="200"/>
        <w:rPr>
          <w:rFonts w:ascii="宋体" w:hAnsi="宋体" w:cs="宋体"/>
          <w:b/>
          <w:bCs/>
          <w:sz w:val="24"/>
          <w:u w:color="000000"/>
        </w:rPr>
      </w:pPr>
      <w:r>
        <w:rPr>
          <w:rFonts w:hint="eastAsia" w:ascii="宋体" w:hAnsi="宋体" w:cs="宋体"/>
          <w:bCs/>
          <w:sz w:val="24"/>
          <w:u w:color="000000"/>
        </w:rPr>
        <w:t>2、双方委托银行代收代付有关费用。</w:t>
      </w:r>
      <w:r>
        <w:rPr>
          <w:rFonts w:hint="eastAsia" w:ascii="宋体" w:hAnsi="宋体" w:cs="宋体"/>
          <w:bCs/>
          <w:sz w:val="24"/>
        </w:rPr>
        <w:t>乙方</w:t>
      </w:r>
      <w:r>
        <w:rPr>
          <w:rFonts w:hint="eastAsia" w:ascii="宋体" w:hAnsi="宋体" w:cs="宋体"/>
          <w:bCs/>
          <w:sz w:val="24"/>
          <w:u w:color="000000"/>
        </w:rPr>
        <w:t>指定的有效银行账户如下：</w:t>
      </w:r>
    </w:p>
    <w:p>
      <w:pPr>
        <w:spacing w:line="360" w:lineRule="auto"/>
        <w:ind w:firstLine="482" w:firstLineChars="200"/>
        <w:rPr>
          <w:rFonts w:ascii="宋体" w:hAnsi="宋体" w:cs="宋体"/>
          <w:b/>
          <w:bCs/>
          <w:sz w:val="24"/>
          <w:u w:color="000000"/>
          <w:lang w:eastAsia="zh-Hans"/>
        </w:rPr>
      </w:pPr>
      <w:r>
        <w:rPr>
          <w:rFonts w:hint="eastAsia" w:ascii="宋体" w:hAnsi="宋体" w:cs="宋体"/>
          <w:b/>
          <w:bCs/>
          <w:sz w:val="24"/>
          <w:u w:color="000000"/>
          <w:lang w:eastAsia="zh-Hans"/>
        </w:rPr>
        <w:t>项目管理费由以下银行账户收款</w:t>
      </w:r>
      <w:r>
        <w:rPr>
          <w:rFonts w:ascii="宋体" w:hAnsi="宋体" w:cs="宋体"/>
          <w:b/>
          <w:bCs/>
          <w:sz w:val="24"/>
          <w:u w:color="000000"/>
          <w:lang w:eastAsia="zh-Hans"/>
        </w:rPr>
        <w:t>：</w:t>
      </w:r>
    </w:p>
    <w:p>
      <w:pPr>
        <w:spacing w:line="360" w:lineRule="auto"/>
        <w:ind w:firstLine="482" w:firstLineChars="200"/>
        <w:rPr>
          <w:rFonts w:ascii="宋体" w:hAnsi="宋体" w:cs="宋体"/>
          <w:b/>
          <w:bCs/>
          <w:sz w:val="24"/>
          <w:u w:color="000000"/>
        </w:rPr>
      </w:pPr>
      <w:r>
        <w:rPr>
          <w:rFonts w:hint="eastAsia" w:ascii="宋体" w:hAnsi="宋体" w:cs="宋体"/>
          <w:b/>
          <w:bCs/>
          <w:sz w:val="24"/>
          <w:u w:color="000000"/>
        </w:rPr>
        <w:t>账户全称：</w:t>
      </w:r>
    </w:p>
    <w:p>
      <w:pPr>
        <w:spacing w:line="360" w:lineRule="auto"/>
        <w:ind w:firstLine="482" w:firstLineChars="200"/>
        <w:rPr>
          <w:rFonts w:ascii="宋体" w:hAnsi="宋体" w:cs="宋体"/>
          <w:bCs/>
          <w:sz w:val="24"/>
          <w:u w:color="000000"/>
        </w:rPr>
      </w:pPr>
      <w:r>
        <w:rPr>
          <w:rFonts w:hint="eastAsia" w:ascii="宋体" w:hAnsi="宋体" w:cs="宋体"/>
          <w:b/>
          <w:bCs/>
          <w:sz w:val="24"/>
          <w:u w:color="000000"/>
        </w:rPr>
        <w:t>开户银行：</w:t>
      </w:r>
    </w:p>
    <w:p>
      <w:pPr>
        <w:spacing w:line="360" w:lineRule="auto"/>
        <w:ind w:firstLine="482" w:firstLineChars="200"/>
        <w:rPr>
          <w:rFonts w:ascii="宋体" w:hAnsi="宋体" w:cs="宋体"/>
          <w:b/>
          <w:bCs/>
          <w:sz w:val="24"/>
          <w:u w:color="000000"/>
        </w:rPr>
      </w:pPr>
      <w:r>
        <w:rPr>
          <w:rFonts w:hint="eastAsia" w:ascii="宋体" w:hAnsi="宋体" w:cs="宋体"/>
          <w:b/>
          <w:bCs/>
          <w:sz w:val="24"/>
          <w:u w:color="000000"/>
        </w:rPr>
        <w:t>账户账号：</w:t>
      </w:r>
    </w:p>
    <w:p>
      <w:pPr>
        <w:spacing w:line="360" w:lineRule="auto"/>
        <w:ind w:firstLine="482" w:firstLineChars="200"/>
        <w:rPr>
          <w:rFonts w:ascii="宋体" w:hAnsi="宋体" w:cs="宋体"/>
          <w:b/>
          <w:bCs/>
          <w:sz w:val="24"/>
          <w:u w:color="000000"/>
          <w:lang w:eastAsia="zh-Hans"/>
        </w:rPr>
      </w:pPr>
      <w:r>
        <w:rPr>
          <w:rFonts w:hint="eastAsia" w:ascii="宋体" w:hAnsi="宋体" w:cs="宋体"/>
          <w:b/>
          <w:bCs/>
          <w:sz w:val="24"/>
          <w:u w:color="000000"/>
          <w:lang w:eastAsia="zh-Hans"/>
        </w:rPr>
        <w:t>监理费由以下银行账户收款：</w:t>
      </w:r>
    </w:p>
    <w:p>
      <w:pPr>
        <w:spacing w:line="360" w:lineRule="auto"/>
        <w:ind w:firstLine="482" w:firstLineChars="200"/>
        <w:rPr>
          <w:rFonts w:ascii="宋体" w:hAnsi="宋体" w:cs="宋体"/>
          <w:b/>
          <w:bCs/>
          <w:sz w:val="24"/>
          <w:u w:color="000000"/>
          <w:lang w:eastAsia="zh-Hans"/>
        </w:rPr>
      </w:pPr>
      <w:r>
        <w:rPr>
          <w:rFonts w:hint="eastAsia" w:ascii="宋体" w:hAnsi="宋体" w:cs="宋体"/>
          <w:b/>
          <w:bCs/>
          <w:sz w:val="24"/>
          <w:u w:color="000000"/>
          <w:lang w:eastAsia="zh-Hans"/>
        </w:rPr>
        <w:t>账户全称：</w:t>
      </w:r>
    </w:p>
    <w:p>
      <w:pPr>
        <w:spacing w:line="360" w:lineRule="auto"/>
        <w:ind w:firstLine="482" w:firstLineChars="200"/>
        <w:rPr>
          <w:rFonts w:ascii="宋体" w:hAnsi="宋体" w:cs="宋体"/>
          <w:b/>
          <w:bCs/>
          <w:sz w:val="24"/>
          <w:u w:color="000000"/>
          <w:lang w:eastAsia="zh-Hans"/>
        </w:rPr>
      </w:pPr>
      <w:r>
        <w:rPr>
          <w:rFonts w:hint="eastAsia" w:ascii="宋体" w:hAnsi="宋体" w:cs="宋体"/>
          <w:b/>
          <w:bCs/>
          <w:sz w:val="24"/>
          <w:u w:color="000000"/>
          <w:lang w:eastAsia="zh-Hans"/>
        </w:rPr>
        <w:t>开户银行：</w:t>
      </w:r>
    </w:p>
    <w:p>
      <w:pPr>
        <w:spacing w:line="360" w:lineRule="auto"/>
        <w:ind w:firstLine="482" w:firstLineChars="200"/>
        <w:rPr>
          <w:rFonts w:ascii="宋体" w:hAnsi="宋体" w:cs="宋体"/>
          <w:b/>
          <w:bCs/>
          <w:sz w:val="24"/>
          <w:u w:color="000000"/>
          <w:lang w:eastAsia="zh-Hans"/>
        </w:rPr>
      </w:pPr>
      <w:r>
        <w:rPr>
          <w:rFonts w:hint="eastAsia" w:ascii="宋体" w:hAnsi="宋体" w:cs="宋体"/>
          <w:b/>
          <w:bCs/>
          <w:sz w:val="24"/>
          <w:u w:color="000000"/>
        </w:rPr>
        <w:t>账户</w:t>
      </w:r>
      <w:r>
        <w:rPr>
          <w:rFonts w:hint="eastAsia" w:ascii="宋体" w:hAnsi="宋体" w:cs="宋体"/>
          <w:b/>
          <w:bCs/>
          <w:sz w:val="24"/>
          <w:u w:color="000000"/>
          <w:lang w:eastAsia="zh-Hans"/>
        </w:rPr>
        <w:t>帐号：</w:t>
      </w:r>
    </w:p>
    <w:p>
      <w:pPr>
        <w:spacing w:line="360" w:lineRule="auto"/>
        <w:ind w:firstLine="482" w:firstLineChars="200"/>
        <w:rPr>
          <w:rFonts w:ascii="宋体" w:hAnsi="宋体" w:cs="宋体"/>
          <w:b/>
          <w:bCs/>
          <w:sz w:val="24"/>
          <w:u w:color="000000"/>
          <w:lang w:eastAsia="zh-Hans"/>
        </w:rPr>
      </w:pPr>
      <w:r>
        <w:rPr>
          <w:rFonts w:hint="eastAsia" w:ascii="宋体" w:hAnsi="宋体" w:cs="宋体"/>
          <w:b/>
          <w:bCs/>
          <w:sz w:val="24"/>
          <w:u w:color="000000"/>
          <w:lang w:eastAsia="zh-Hans"/>
        </w:rPr>
        <w:t>地址：</w:t>
      </w:r>
    </w:p>
    <w:p>
      <w:pPr>
        <w:spacing w:line="360" w:lineRule="auto"/>
        <w:ind w:firstLine="480" w:firstLineChars="200"/>
        <w:rPr>
          <w:rFonts w:ascii="宋体" w:hAnsi="宋体" w:cs="宋体"/>
          <w:snapToGrid w:val="0"/>
          <w:sz w:val="24"/>
        </w:rPr>
      </w:pPr>
      <w:r>
        <w:rPr>
          <w:rFonts w:hint="eastAsia" w:ascii="宋体" w:hAnsi="宋体" w:cs="宋体"/>
          <w:snapToGrid w:val="0"/>
          <w:sz w:val="24"/>
        </w:rPr>
        <w:t>甲方向上述账号汇出款项即视为甲方已履行付款义务，在协议履行过程中，因乙方账户原因（包括但不限于账号被注销、被冻结等）导致乙方无法收取款项的，由乙方承担相应后果。</w:t>
      </w:r>
    </w:p>
    <w:p>
      <w:pPr>
        <w:spacing w:line="360" w:lineRule="auto"/>
        <w:ind w:firstLine="480" w:firstLineChars="200"/>
      </w:pPr>
      <w:r>
        <w:rPr>
          <w:rFonts w:hint="eastAsia" w:ascii="宋体" w:hAnsi="宋体" w:cs="宋体"/>
          <w:snapToGrid w:val="0"/>
          <w:sz w:val="24"/>
        </w:rPr>
        <w:t>乙方开具等额合法有效发票并送达至甲方后，甲方履行付款义务，否则，甲方有权拒付。乙方不得因此延误本职工作和履行本合同约定的其他义务。</w:t>
      </w:r>
    </w:p>
    <w:p>
      <w:pPr>
        <w:pStyle w:val="5"/>
        <w:numPr>
          <w:ilvl w:val="0"/>
          <w:numId w:val="2"/>
        </w:numPr>
        <w:spacing w:before="0" w:after="0" w:line="360" w:lineRule="auto"/>
        <w:rPr>
          <w:bCs w:val="0"/>
          <w:sz w:val="24"/>
          <w:szCs w:val="24"/>
        </w:rPr>
      </w:pPr>
      <w:r>
        <w:rPr>
          <w:rFonts w:hint="eastAsia"/>
          <w:bCs w:val="0"/>
          <w:sz w:val="24"/>
          <w:szCs w:val="24"/>
        </w:rPr>
        <w:t>知识产权</w:t>
      </w:r>
    </w:p>
    <w:p>
      <w:pPr>
        <w:spacing w:line="360" w:lineRule="auto"/>
        <w:ind w:firstLine="480" w:firstLineChars="200"/>
      </w:pPr>
      <w:r>
        <w:rPr>
          <w:rFonts w:hint="eastAsia" w:ascii="宋体" w:hAnsi="宋体" w:cs="宋体"/>
          <w:snapToGrid w:val="0"/>
          <w:sz w:val="24"/>
          <w:u w:color="000000"/>
        </w:rPr>
        <w:t>本协议双方均应保护对方的知识产权，未经对方同意，任何一方均不得对对方的资料及文件擅自修改、复制或向合同双方外的第三人转让或用于本合同项目外的项目。如发生以上的情况，泄密方承担一切由此引起的后果并承担赔偿责任。本条的约定不因本合同的无效而免除。本合同项下的资料的知识产权、素材及成果等均归属甲方所有。乙方承诺，在为甲方提供服务时，不得使用任何属于他人的技术秘密和商业秘密，亦不得实施可能侵犯他人知识产权等权益的行为。若甲方因乙方的上述行为而提供的成果等进行了确认、同意、接收，乙方不得以此为由要求甲方承担任何责任，一切后果均由乙方承担。给甲方造成损失的，甲方有权向乙方追偿。</w:t>
      </w:r>
    </w:p>
    <w:p>
      <w:pPr>
        <w:pStyle w:val="5"/>
        <w:numPr>
          <w:ilvl w:val="0"/>
          <w:numId w:val="2"/>
        </w:numPr>
        <w:spacing w:before="0" w:after="0" w:line="360" w:lineRule="auto"/>
        <w:rPr>
          <w:bCs w:val="0"/>
          <w:sz w:val="24"/>
          <w:szCs w:val="24"/>
        </w:rPr>
      </w:pPr>
      <w:r>
        <w:rPr>
          <w:rFonts w:hint="eastAsia"/>
          <w:bCs w:val="0"/>
          <w:sz w:val="24"/>
          <w:szCs w:val="24"/>
        </w:rPr>
        <w:t>补充协议</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合同未尽事宜，合同当事人另行签订补充协议，补充协议是本合同的组成部分。</w:t>
      </w:r>
    </w:p>
    <w:p>
      <w:pPr>
        <w:pStyle w:val="5"/>
        <w:numPr>
          <w:ilvl w:val="0"/>
          <w:numId w:val="2"/>
        </w:numPr>
        <w:spacing w:before="0" w:after="0" w:line="360" w:lineRule="auto"/>
        <w:rPr>
          <w:bCs w:val="0"/>
          <w:sz w:val="24"/>
          <w:szCs w:val="24"/>
        </w:rPr>
      </w:pPr>
      <w:r>
        <w:rPr>
          <w:rFonts w:hint="eastAsia"/>
          <w:bCs w:val="0"/>
          <w:sz w:val="24"/>
          <w:szCs w:val="24"/>
        </w:rPr>
        <w:t>争议的解决方式</w:t>
      </w:r>
    </w:p>
    <w:p>
      <w:pPr>
        <w:spacing w:line="360" w:lineRule="auto"/>
        <w:ind w:firstLine="480" w:firstLineChars="200"/>
        <w:rPr>
          <w:rFonts w:ascii="宋体" w:hAnsi="宋体" w:cs="宋体"/>
          <w:snapToGrid w:val="0"/>
          <w:sz w:val="24"/>
        </w:rPr>
      </w:pPr>
      <w:r>
        <w:rPr>
          <w:rFonts w:hint="eastAsia" w:ascii="宋体" w:hAnsi="宋体" w:cs="宋体"/>
          <w:snapToGrid w:val="0"/>
          <w:sz w:val="24"/>
        </w:rPr>
        <w:t>本合同在履行过程中的争议，双方可协商、调解，不成时按下列第</w:t>
      </w:r>
      <w:r>
        <w:rPr>
          <w:rFonts w:hint="eastAsia" w:ascii="宋体" w:hAnsi="宋体" w:cs="宋体"/>
          <w:snapToGrid w:val="0"/>
          <w:sz w:val="24"/>
          <w:u w:val="single"/>
        </w:rPr>
        <w:t>（二）</w:t>
      </w:r>
      <w:r>
        <w:rPr>
          <w:rFonts w:hint="eastAsia" w:ascii="宋体" w:hAnsi="宋体" w:cs="宋体"/>
          <w:snapToGrid w:val="0"/>
          <w:sz w:val="24"/>
        </w:rPr>
        <w:t>种方式解决：</w:t>
      </w:r>
    </w:p>
    <w:p>
      <w:pPr>
        <w:spacing w:line="360" w:lineRule="auto"/>
        <w:ind w:firstLine="480" w:firstLineChars="200"/>
        <w:rPr>
          <w:rFonts w:ascii="宋体" w:hAnsi="宋体" w:cs="宋体"/>
          <w:snapToGrid w:val="0"/>
          <w:sz w:val="24"/>
        </w:rPr>
      </w:pPr>
      <w:r>
        <w:rPr>
          <w:rFonts w:hint="eastAsia" w:ascii="宋体" w:hAnsi="宋体" w:cs="宋体"/>
          <w:snapToGrid w:val="0"/>
          <w:sz w:val="24"/>
        </w:rPr>
        <w:t xml:space="preserve">（一）提交中国广州仲裁委员会仲裁； </w:t>
      </w:r>
    </w:p>
    <w:p>
      <w:pPr>
        <w:spacing w:line="360" w:lineRule="auto"/>
        <w:ind w:firstLine="480" w:firstLineChars="200"/>
        <w:rPr>
          <w:rFonts w:ascii="宋体" w:hAnsi="宋体" w:cs="宋体"/>
          <w:snapToGrid w:val="0"/>
          <w:sz w:val="24"/>
        </w:rPr>
      </w:pPr>
      <w:r>
        <w:rPr>
          <w:rFonts w:hint="eastAsia" w:ascii="宋体" w:hAnsi="宋体" w:cs="宋体"/>
          <w:snapToGrid w:val="0"/>
          <w:sz w:val="24"/>
        </w:rPr>
        <w:t>（二）依法向工程所在地的人民法院起诉。</w:t>
      </w:r>
    </w:p>
    <w:p>
      <w:pPr>
        <w:pStyle w:val="5"/>
        <w:numPr>
          <w:ilvl w:val="0"/>
          <w:numId w:val="2"/>
        </w:numPr>
        <w:spacing w:before="0" w:after="0" w:line="360" w:lineRule="auto"/>
        <w:rPr>
          <w:bCs w:val="0"/>
          <w:sz w:val="24"/>
          <w:szCs w:val="24"/>
        </w:rPr>
      </w:pPr>
      <w:r>
        <w:rPr>
          <w:rFonts w:hint="eastAsia"/>
          <w:bCs w:val="0"/>
          <w:sz w:val="24"/>
          <w:szCs w:val="24"/>
        </w:rPr>
        <w:t>其他事项</w:t>
      </w:r>
    </w:p>
    <w:p>
      <w:pPr>
        <w:spacing w:line="360" w:lineRule="auto"/>
        <w:ind w:firstLine="480" w:firstLineChars="200"/>
        <w:rPr>
          <w:rFonts w:ascii="宋体" w:hAnsi="宋体" w:cs="宋体"/>
          <w:snapToGrid w:val="0"/>
          <w:sz w:val="24"/>
        </w:rPr>
      </w:pPr>
      <w:r>
        <w:rPr>
          <w:rFonts w:hint="eastAsia" w:ascii="宋体" w:hAnsi="宋体" w:cs="宋体"/>
          <w:snapToGrid w:val="0"/>
          <w:sz w:val="24"/>
        </w:rPr>
        <w:t>1、双方在本合同履行过程中发出或者提供的所有通知、文件、文书、资料等，均以本合同所列明的双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pStyle w:val="5"/>
        <w:numPr>
          <w:ilvl w:val="0"/>
          <w:numId w:val="2"/>
        </w:numPr>
        <w:spacing w:before="0" w:after="0" w:line="360" w:lineRule="auto"/>
        <w:rPr>
          <w:bCs w:val="0"/>
          <w:sz w:val="24"/>
          <w:szCs w:val="24"/>
        </w:rPr>
      </w:pPr>
      <w:r>
        <w:rPr>
          <w:rFonts w:hint="eastAsia"/>
          <w:bCs w:val="0"/>
          <w:sz w:val="24"/>
          <w:szCs w:val="24"/>
        </w:rPr>
        <w:t>合同生效</w:t>
      </w:r>
    </w:p>
    <w:p>
      <w:pPr>
        <w:spacing w:line="360" w:lineRule="auto"/>
        <w:ind w:firstLine="480" w:firstLineChars="200"/>
        <w:rPr>
          <w:rFonts w:ascii="宋体" w:hAnsi="宋体" w:cs="宋体"/>
          <w:b/>
          <w:snapToGrid w:val="0"/>
          <w:sz w:val="24"/>
        </w:rPr>
      </w:pPr>
      <w:r>
        <w:rPr>
          <w:rFonts w:hint="eastAsia" w:ascii="宋体" w:hAnsi="宋体" w:cs="宋体"/>
          <w:snapToGrid w:val="0"/>
          <w:sz w:val="24"/>
        </w:rPr>
        <w:t>本合同经双方法定代表人或其授代表签字（或加盖印章）并加盖双方单位公章后生效。</w:t>
      </w:r>
      <w:bookmarkEnd w:id="8"/>
      <w:bookmarkEnd w:id="9"/>
      <w:r>
        <w:rPr>
          <w:rFonts w:hint="eastAsia" w:ascii="宋体" w:hAnsi="宋体" w:cs="宋体"/>
          <w:snapToGrid w:val="0"/>
          <w:sz w:val="24"/>
        </w:rPr>
        <w:t>合同的份数：</w:t>
      </w:r>
      <w:r>
        <w:rPr>
          <w:rFonts w:hint="eastAsia" w:ascii="宋体" w:hAnsi="宋体" w:cs="宋体"/>
          <w:b/>
          <w:snapToGrid w:val="0"/>
          <w:sz w:val="24"/>
        </w:rPr>
        <w:t>正本</w:t>
      </w:r>
      <w:r>
        <w:rPr>
          <w:rFonts w:hint="eastAsia" w:ascii="宋体" w:hAnsi="宋体" w:cs="宋体"/>
          <w:b/>
          <w:snapToGrid w:val="0"/>
          <w:sz w:val="24"/>
          <w:u w:val="single"/>
        </w:rPr>
        <w:t xml:space="preserve"> </w:t>
      </w:r>
      <w:r>
        <w:rPr>
          <w:rFonts w:ascii="宋体" w:hAnsi="宋体" w:cs="宋体"/>
          <w:b/>
          <w:snapToGrid w:val="0"/>
          <w:sz w:val="24"/>
          <w:u w:val="single"/>
        </w:rPr>
        <w:t xml:space="preserve">  </w:t>
      </w:r>
      <w:r>
        <w:rPr>
          <w:rFonts w:hint="eastAsia" w:ascii="宋体" w:hAnsi="宋体" w:cs="宋体"/>
          <w:b/>
          <w:snapToGrid w:val="0"/>
          <w:sz w:val="24"/>
          <w:u w:val="single"/>
        </w:rPr>
        <w:t xml:space="preserve"> </w:t>
      </w:r>
      <w:r>
        <w:rPr>
          <w:rFonts w:hint="eastAsia" w:ascii="宋体" w:hAnsi="宋体" w:cs="宋体"/>
          <w:b/>
          <w:snapToGrid w:val="0"/>
          <w:sz w:val="24"/>
        </w:rPr>
        <w:t>份，副本</w:t>
      </w:r>
      <w:r>
        <w:rPr>
          <w:rFonts w:hint="eastAsia" w:ascii="宋体" w:hAnsi="宋体" w:cs="宋体"/>
          <w:b/>
          <w:snapToGrid w:val="0"/>
          <w:sz w:val="24"/>
          <w:u w:val="single"/>
        </w:rPr>
        <w:t xml:space="preserve"> </w:t>
      </w:r>
      <w:r>
        <w:rPr>
          <w:rFonts w:ascii="宋体" w:hAnsi="宋体" w:cs="宋体"/>
          <w:b/>
          <w:snapToGrid w:val="0"/>
          <w:sz w:val="24"/>
          <w:u w:val="single"/>
        </w:rPr>
        <w:t xml:space="preserve">  </w:t>
      </w:r>
      <w:r>
        <w:rPr>
          <w:rFonts w:hint="eastAsia" w:ascii="宋体" w:hAnsi="宋体" w:cs="宋体"/>
          <w:b/>
          <w:snapToGrid w:val="0"/>
          <w:sz w:val="24"/>
          <w:u w:val="single"/>
        </w:rPr>
        <w:t xml:space="preserve"> </w:t>
      </w:r>
      <w:r>
        <w:rPr>
          <w:rFonts w:hint="eastAsia" w:ascii="宋体" w:hAnsi="宋体" w:cs="宋体"/>
          <w:b/>
          <w:snapToGrid w:val="0"/>
          <w:sz w:val="24"/>
        </w:rPr>
        <w:t>份。</w:t>
      </w:r>
      <w:r>
        <w:rPr>
          <w:rFonts w:hint="eastAsia" w:ascii="宋体" w:hAnsi="宋体" w:cs="宋体"/>
          <w:snapToGrid w:val="0"/>
          <w:sz w:val="24"/>
        </w:rPr>
        <w:t>本合同正、副本具同等法律效律，当正、副本不一致时，以正本为准。</w:t>
      </w:r>
    </w:p>
    <w:p>
      <w:pPr>
        <w:spacing w:line="360" w:lineRule="auto"/>
        <w:rPr>
          <w:rFonts w:ascii="宋体" w:hAnsi="宋体" w:cs="宋体"/>
          <w:snapToGrid w:val="0"/>
          <w:sz w:val="24"/>
        </w:rPr>
      </w:pPr>
      <w:r>
        <w:rPr>
          <w:rFonts w:hint="eastAsia" w:ascii="宋体" w:hAnsi="宋体" w:cs="宋体"/>
          <w:snapToGrid w:val="0"/>
          <w:sz w:val="24"/>
        </w:rPr>
        <w:t>其中：甲方正本</w:t>
      </w:r>
      <w:r>
        <w:rPr>
          <w:rFonts w:hint="eastAsia" w:ascii="宋体" w:hAnsi="宋体" w:cs="宋体"/>
          <w:snapToGrid w:val="0"/>
          <w:sz w:val="24"/>
          <w:u w:val="single"/>
        </w:rPr>
        <w:t xml:space="preserve"> </w:t>
      </w:r>
      <w:r>
        <w:rPr>
          <w:rFonts w:ascii="宋体" w:hAnsi="宋体" w:cs="宋体"/>
          <w:snapToGrid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sz w:val="24"/>
        </w:rPr>
        <w:t>份，副本</w:t>
      </w:r>
      <w:r>
        <w:rPr>
          <w:rFonts w:hint="eastAsia" w:ascii="宋体" w:hAnsi="宋体" w:cs="宋体"/>
          <w:snapToGrid w:val="0"/>
          <w:sz w:val="24"/>
          <w:u w:val="single"/>
        </w:rPr>
        <w:t xml:space="preserve"> </w:t>
      </w:r>
      <w:r>
        <w:rPr>
          <w:rFonts w:ascii="宋体" w:hAnsi="宋体" w:cs="宋体"/>
          <w:snapToGrid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sz w:val="24"/>
        </w:rPr>
        <w:t>份。</w:t>
      </w:r>
    </w:p>
    <w:p>
      <w:pPr>
        <w:spacing w:line="360" w:lineRule="auto"/>
        <w:rPr>
          <w:rFonts w:ascii="宋体" w:hAnsi="宋体" w:cs="宋体"/>
          <w:snapToGrid w:val="0"/>
          <w:sz w:val="24"/>
        </w:rPr>
      </w:pPr>
      <w:r>
        <w:rPr>
          <w:rFonts w:hint="eastAsia" w:ascii="宋体" w:hAnsi="宋体" w:cs="宋体"/>
          <w:snapToGrid w:val="0"/>
          <w:sz w:val="24"/>
        </w:rPr>
        <w:t>　　　乙方正本</w:t>
      </w:r>
      <w:r>
        <w:rPr>
          <w:rFonts w:hint="eastAsia" w:ascii="宋体" w:hAnsi="宋体" w:cs="宋体"/>
          <w:snapToGrid w:val="0"/>
          <w:sz w:val="24"/>
          <w:u w:val="single"/>
        </w:rPr>
        <w:t xml:space="preserve"> </w:t>
      </w:r>
      <w:r>
        <w:rPr>
          <w:rFonts w:ascii="宋体" w:hAnsi="宋体" w:cs="宋体"/>
          <w:snapToGrid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sz w:val="24"/>
        </w:rPr>
        <w:t>份，副本</w:t>
      </w:r>
      <w:r>
        <w:rPr>
          <w:rFonts w:hint="eastAsia" w:ascii="宋体" w:hAnsi="宋体" w:cs="宋体"/>
          <w:snapToGrid w:val="0"/>
          <w:sz w:val="24"/>
          <w:u w:val="single"/>
        </w:rPr>
        <w:t xml:space="preserve"> </w:t>
      </w:r>
      <w:r>
        <w:rPr>
          <w:rFonts w:ascii="宋体" w:hAnsi="宋体" w:cs="宋体"/>
          <w:snapToGrid w:val="0"/>
          <w:sz w:val="24"/>
          <w:u w:val="single"/>
        </w:rPr>
        <w:t xml:space="preserve">  </w:t>
      </w:r>
      <w:r>
        <w:rPr>
          <w:rFonts w:hint="eastAsia" w:ascii="宋体" w:hAnsi="宋体" w:cs="宋体"/>
          <w:snapToGrid w:val="0"/>
          <w:sz w:val="24"/>
          <w:u w:val="single"/>
        </w:rPr>
        <w:t xml:space="preserve"> </w:t>
      </w:r>
      <w:r>
        <w:rPr>
          <w:rFonts w:hint="eastAsia" w:ascii="宋体" w:hAnsi="宋体" w:cs="宋体"/>
          <w:snapToGrid w:val="0"/>
          <w:sz w:val="24"/>
        </w:rPr>
        <w:t>份。</w:t>
      </w:r>
    </w:p>
    <w:p>
      <w:pPr>
        <w:pStyle w:val="304"/>
        <w:spacing w:line="360" w:lineRule="auto"/>
      </w:pPr>
    </w:p>
    <w:p>
      <w:pPr>
        <w:spacing w:line="360" w:lineRule="auto"/>
        <w:rPr>
          <w:rFonts w:ascii="宋体" w:hAnsi="宋体" w:cs="宋体"/>
          <w:snapToGrid w:val="0"/>
          <w:sz w:val="24"/>
        </w:rPr>
      </w:pPr>
      <w:r>
        <w:rPr>
          <w:rFonts w:hint="eastAsia" w:ascii="宋体" w:hAnsi="宋体" w:cs="宋体"/>
          <w:snapToGrid w:val="0"/>
          <w:sz w:val="24"/>
        </w:rPr>
        <w:t>发包人：广州市海珠区人民政府琶洲街道办事处（公章）</w:t>
      </w:r>
    </w:p>
    <w:p>
      <w:pPr>
        <w:spacing w:line="440" w:lineRule="exact"/>
        <w:rPr>
          <w:rFonts w:ascii="宋体" w:hAnsi="宋体"/>
          <w:sz w:val="24"/>
        </w:rPr>
      </w:pPr>
      <w:r>
        <w:rPr>
          <w:rFonts w:hint="eastAsia" w:ascii="宋体" w:hAnsi="宋体"/>
          <w:sz w:val="24"/>
        </w:rPr>
        <w:t>地址：</w:t>
      </w:r>
    </w:p>
    <w:p>
      <w:pPr>
        <w:spacing w:line="440" w:lineRule="exact"/>
        <w:rPr>
          <w:rFonts w:ascii="宋体" w:hAnsi="宋体"/>
          <w:sz w:val="24"/>
        </w:rPr>
      </w:pPr>
      <w:r>
        <w:rPr>
          <w:rFonts w:hint="eastAsia" w:ascii="宋体" w:hAnsi="宋体"/>
          <w:sz w:val="24"/>
        </w:rPr>
        <w:t>法定代表人：</w:t>
      </w:r>
    </w:p>
    <w:p>
      <w:pPr>
        <w:spacing w:line="440" w:lineRule="exact"/>
        <w:rPr>
          <w:rFonts w:ascii="宋体" w:hAnsi="宋体"/>
          <w:sz w:val="24"/>
        </w:rPr>
      </w:pPr>
      <w:r>
        <w:rPr>
          <w:rFonts w:hint="eastAsia" w:ascii="宋体" w:hAnsi="宋体"/>
          <w:sz w:val="24"/>
        </w:rPr>
        <w:t>委托代理人：</w:t>
      </w:r>
    </w:p>
    <w:p>
      <w:pPr>
        <w:spacing w:line="440" w:lineRule="exact"/>
        <w:rPr>
          <w:rFonts w:ascii="宋体" w:hAnsi="宋体"/>
          <w:sz w:val="24"/>
        </w:rPr>
      </w:pPr>
      <w:r>
        <w:rPr>
          <w:rFonts w:hint="eastAsia" w:ascii="宋体" w:hAnsi="宋体"/>
          <w:sz w:val="24"/>
        </w:rPr>
        <w:t>电话：</w:t>
      </w:r>
    </w:p>
    <w:p>
      <w:pPr>
        <w:spacing w:line="440" w:lineRule="exact"/>
        <w:rPr>
          <w:rFonts w:ascii="宋体" w:hAnsi="宋体"/>
          <w:sz w:val="24"/>
        </w:rPr>
      </w:pPr>
      <w:r>
        <w:rPr>
          <w:rFonts w:hint="eastAsia" w:ascii="宋体" w:hAnsi="宋体"/>
          <w:sz w:val="24"/>
        </w:rPr>
        <w:t>传真：</w:t>
      </w:r>
    </w:p>
    <w:p>
      <w:pPr>
        <w:spacing w:line="440" w:lineRule="exact"/>
        <w:rPr>
          <w:rFonts w:ascii="宋体" w:hAnsi="宋体"/>
          <w:sz w:val="24"/>
        </w:rPr>
      </w:pPr>
      <w:r>
        <w:rPr>
          <w:rFonts w:hint="eastAsia" w:ascii="宋体" w:hAnsi="宋体"/>
          <w:sz w:val="24"/>
        </w:rPr>
        <w:t>开户银行：</w:t>
      </w:r>
    </w:p>
    <w:p>
      <w:pPr>
        <w:spacing w:line="440" w:lineRule="exact"/>
        <w:rPr>
          <w:rFonts w:ascii="宋体" w:hAnsi="宋体"/>
          <w:sz w:val="24"/>
        </w:rPr>
      </w:pPr>
      <w:r>
        <w:rPr>
          <w:rFonts w:hint="eastAsia" w:ascii="宋体" w:hAnsi="宋体"/>
          <w:sz w:val="24"/>
        </w:rPr>
        <w:t>帐号：</w:t>
      </w:r>
    </w:p>
    <w:p>
      <w:pPr>
        <w:spacing w:line="440" w:lineRule="exact"/>
        <w:rPr>
          <w:rFonts w:ascii="宋体" w:hAnsi="宋体"/>
          <w:sz w:val="24"/>
        </w:rPr>
      </w:pPr>
      <w:r>
        <w:rPr>
          <w:rFonts w:hint="eastAsia" w:ascii="宋体" w:hAnsi="宋体"/>
          <w:sz w:val="24"/>
        </w:rPr>
        <w:t>纳税人识别号：</w:t>
      </w:r>
    </w:p>
    <w:p>
      <w:pPr>
        <w:spacing w:line="440" w:lineRule="exact"/>
        <w:rPr>
          <w:rFonts w:ascii="宋体" w:hAnsi="宋体"/>
          <w:sz w:val="24"/>
        </w:rPr>
      </w:pPr>
      <w:r>
        <w:rPr>
          <w:rFonts w:hint="eastAsia" w:ascii="宋体" w:hAnsi="宋体"/>
          <w:sz w:val="24"/>
        </w:rPr>
        <w:t>邮政编码：</w:t>
      </w:r>
    </w:p>
    <w:p>
      <w:pPr>
        <w:spacing w:line="360" w:lineRule="auto"/>
        <w:rPr>
          <w:rFonts w:ascii="宋体" w:hAnsi="宋体" w:cs="宋体"/>
          <w:snapToGrid w:val="0"/>
          <w:sz w:val="24"/>
        </w:rPr>
      </w:pPr>
    </w:p>
    <w:p>
      <w:pPr>
        <w:spacing w:line="360" w:lineRule="auto"/>
        <w:rPr>
          <w:rFonts w:ascii="宋体" w:hAnsi="宋体" w:cs="宋体"/>
          <w:snapToGrid w:val="0"/>
          <w:sz w:val="24"/>
        </w:rPr>
      </w:pPr>
      <w:r>
        <w:rPr>
          <w:rFonts w:hint="eastAsia" w:ascii="宋体" w:hAnsi="宋体"/>
          <w:sz w:val="24"/>
        </w:rPr>
        <w:t>承包人</w:t>
      </w:r>
      <w:r>
        <w:rPr>
          <w:rFonts w:hint="eastAsia" w:ascii="宋体" w:hAnsi="宋体" w:cs="宋体"/>
          <w:snapToGrid w:val="0"/>
          <w:sz w:val="24"/>
        </w:rPr>
        <w:t xml:space="preserve">： </w:t>
      </w:r>
      <w:r>
        <w:rPr>
          <w:rFonts w:ascii="宋体" w:hAnsi="宋体" w:cs="宋体"/>
          <w:snapToGrid w:val="0"/>
          <w:sz w:val="24"/>
        </w:rPr>
        <w:t xml:space="preserve">           </w:t>
      </w:r>
      <w:r>
        <w:rPr>
          <w:rFonts w:hint="eastAsia" w:ascii="宋体" w:hAnsi="宋体" w:cs="宋体"/>
          <w:snapToGrid w:val="0"/>
          <w:sz w:val="24"/>
        </w:rPr>
        <w:t>（公章）</w:t>
      </w:r>
    </w:p>
    <w:p>
      <w:pPr>
        <w:spacing w:line="440" w:lineRule="exact"/>
        <w:rPr>
          <w:rFonts w:ascii="宋体" w:hAnsi="宋体"/>
          <w:sz w:val="24"/>
        </w:rPr>
      </w:pPr>
      <w:r>
        <w:rPr>
          <w:rFonts w:hint="eastAsia" w:ascii="宋体" w:hAnsi="宋体"/>
          <w:sz w:val="24"/>
        </w:rPr>
        <w:t>地址：</w:t>
      </w:r>
    </w:p>
    <w:p>
      <w:pPr>
        <w:spacing w:line="440" w:lineRule="exact"/>
        <w:rPr>
          <w:rFonts w:ascii="宋体" w:hAnsi="宋体"/>
          <w:sz w:val="24"/>
        </w:rPr>
      </w:pPr>
      <w:r>
        <w:rPr>
          <w:rFonts w:hint="eastAsia" w:ascii="宋体" w:hAnsi="宋体"/>
          <w:sz w:val="24"/>
        </w:rPr>
        <w:t>法定代表人：</w:t>
      </w:r>
    </w:p>
    <w:p>
      <w:pPr>
        <w:spacing w:line="440" w:lineRule="exact"/>
        <w:rPr>
          <w:rFonts w:ascii="宋体" w:hAnsi="宋体"/>
          <w:sz w:val="24"/>
        </w:rPr>
      </w:pPr>
      <w:r>
        <w:rPr>
          <w:rFonts w:hint="eastAsia" w:ascii="宋体" w:hAnsi="宋体"/>
          <w:sz w:val="24"/>
        </w:rPr>
        <w:t>委托代理人：</w:t>
      </w:r>
    </w:p>
    <w:p>
      <w:pPr>
        <w:spacing w:line="440" w:lineRule="exact"/>
        <w:rPr>
          <w:rFonts w:ascii="宋体" w:hAnsi="宋体"/>
          <w:sz w:val="24"/>
        </w:rPr>
      </w:pPr>
      <w:r>
        <w:rPr>
          <w:rFonts w:hint="eastAsia" w:ascii="宋体" w:hAnsi="宋体"/>
          <w:sz w:val="24"/>
        </w:rPr>
        <w:t>电话：</w:t>
      </w:r>
    </w:p>
    <w:p>
      <w:pPr>
        <w:spacing w:line="440" w:lineRule="exact"/>
        <w:rPr>
          <w:rFonts w:ascii="宋体" w:hAnsi="宋体"/>
          <w:sz w:val="24"/>
        </w:rPr>
      </w:pPr>
      <w:r>
        <w:rPr>
          <w:rFonts w:hint="eastAsia" w:ascii="宋体" w:hAnsi="宋体"/>
          <w:sz w:val="24"/>
        </w:rPr>
        <w:t>传真：</w:t>
      </w:r>
    </w:p>
    <w:p>
      <w:pPr>
        <w:spacing w:line="440" w:lineRule="exact"/>
        <w:rPr>
          <w:rFonts w:ascii="宋体" w:hAnsi="宋体"/>
          <w:sz w:val="24"/>
        </w:rPr>
      </w:pPr>
      <w:r>
        <w:rPr>
          <w:rFonts w:hint="eastAsia" w:ascii="宋体" w:hAnsi="宋体"/>
          <w:sz w:val="24"/>
        </w:rPr>
        <w:t>开户银行：</w:t>
      </w:r>
    </w:p>
    <w:p>
      <w:pPr>
        <w:spacing w:line="440" w:lineRule="exact"/>
        <w:rPr>
          <w:rFonts w:ascii="宋体" w:hAnsi="宋体"/>
          <w:sz w:val="24"/>
        </w:rPr>
      </w:pPr>
      <w:r>
        <w:rPr>
          <w:rFonts w:hint="eastAsia" w:ascii="宋体" w:hAnsi="宋体"/>
          <w:sz w:val="24"/>
        </w:rPr>
        <w:t>帐号：</w:t>
      </w:r>
    </w:p>
    <w:p>
      <w:pPr>
        <w:spacing w:line="440" w:lineRule="exact"/>
        <w:rPr>
          <w:rFonts w:ascii="宋体" w:hAnsi="宋体"/>
          <w:sz w:val="24"/>
        </w:rPr>
      </w:pPr>
      <w:r>
        <w:rPr>
          <w:rFonts w:hint="eastAsia" w:ascii="宋体" w:hAnsi="宋体"/>
          <w:sz w:val="24"/>
        </w:rPr>
        <w:t>纳税人识别号：</w:t>
      </w:r>
    </w:p>
    <w:p>
      <w:pPr>
        <w:pStyle w:val="304"/>
        <w:spacing w:line="360" w:lineRule="auto"/>
        <w:rPr>
          <w:rFonts w:ascii="宋体" w:hAnsi="宋体" w:cs="宋体"/>
          <w:snapToGrid w:val="0"/>
          <w:sz w:val="24"/>
        </w:rPr>
      </w:pPr>
      <w:r>
        <w:rPr>
          <w:rFonts w:hint="eastAsia" w:ascii="宋体" w:hAnsi="宋体"/>
          <w:sz w:val="24"/>
        </w:rPr>
        <w:t>邮政编码：</w:t>
      </w:r>
    </w:p>
    <w:p>
      <w:pPr>
        <w:pStyle w:val="304"/>
        <w:spacing w:line="360" w:lineRule="auto"/>
        <w:rPr>
          <w:rFonts w:ascii="宋体" w:hAnsi="宋体" w:cs="宋体"/>
          <w:snapToGrid w:val="0"/>
          <w:sz w:val="24"/>
        </w:rPr>
      </w:pPr>
    </w:p>
    <w:p>
      <w:pPr>
        <w:spacing w:line="360" w:lineRule="auto"/>
        <w:rPr>
          <w:snapToGrid w:val="0"/>
          <w:szCs w:val="21"/>
        </w:rPr>
      </w:pPr>
    </w:p>
    <w:p>
      <w:pPr>
        <w:spacing w:line="360" w:lineRule="auto"/>
      </w:pPr>
      <w:bookmarkStart w:id="10" w:name="_Toc489236605"/>
      <w:bookmarkStart w:id="11" w:name="_Toc489865855"/>
    </w:p>
    <w:p>
      <w:pPr>
        <w:spacing w:line="360" w:lineRule="auto"/>
        <w:sectPr>
          <w:endnotePr>
            <w:numFmt w:val="decimal"/>
          </w:endnotePr>
          <w:pgSz w:w="11907" w:h="16840"/>
          <w:pgMar w:top="1440" w:right="1588" w:bottom="1440" w:left="1089" w:header="851" w:footer="907" w:gutter="113"/>
          <w:cols w:space="720" w:num="1"/>
          <w:docGrid w:linePitch="312" w:charSpace="0"/>
        </w:sectPr>
      </w:pPr>
    </w:p>
    <w:p>
      <w:pPr>
        <w:pStyle w:val="92"/>
        <w:spacing w:before="0" w:after="0"/>
        <w:rPr>
          <w:color w:val="auto"/>
        </w:rPr>
      </w:pPr>
      <w:bookmarkStart w:id="12" w:name="_Toc111036400"/>
      <w:bookmarkStart w:id="13" w:name="_Toc1640"/>
      <w:bookmarkStart w:id="14" w:name="_Toc60148176"/>
      <w:bookmarkStart w:id="15" w:name="_Toc12686"/>
      <w:r>
        <w:rPr>
          <w:color w:val="auto"/>
        </w:rPr>
        <w:t xml:space="preserve">第二部分 </w:t>
      </w:r>
      <w:bookmarkStart w:id="16" w:name="_Toc286999642"/>
      <w:bookmarkEnd w:id="16"/>
      <w:bookmarkStart w:id="17" w:name="_Toc286999545"/>
      <w:bookmarkEnd w:id="17"/>
      <w:bookmarkStart w:id="18" w:name="_Toc286999530"/>
      <w:bookmarkEnd w:id="18"/>
      <w:bookmarkStart w:id="19" w:name="_Toc286998830"/>
      <w:bookmarkEnd w:id="19"/>
      <w:bookmarkStart w:id="20" w:name="_Toc286998666"/>
      <w:bookmarkEnd w:id="20"/>
      <w:bookmarkStart w:id="21" w:name="_Toc286998815"/>
      <w:bookmarkEnd w:id="21"/>
      <w:bookmarkStart w:id="22" w:name="_Toc286999627"/>
      <w:bookmarkEnd w:id="22"/>
      <w:bookmarkStart w:id="23" w:name="_Toc286998612"/>
      <w:bookmarkEnd w:id="23"/>
      <w:r>
        <w:rPr>
          <w:color w:val="auto"/>
        </w:rPr>
        <w:t>合同</w:t>
      </w:r>
      <w:bookmarkEnd w:id="10"/>
      <w:r>
        <w:rPr>
          <w:rFonts w:hint="eastAsia"/>
          <w:color w:val="auto"/>
        </w:rPr>
        <w:t>条款</w:t>
      </w:r>
      <w:bookmarkEnd w:id="11"/>
      <w:bookmarkEnd w:id="12"/>
      <w:bookmarkEnd w:id="13"/>
      <w:bookmarkEnd w:id="14"/>
      <w:bookmarkEnd w:id="15"/>
    </w:p>
    <w:p>
      <w:pPr>
        <w:pStyle w:val="4"/>
        <w:spacing w:before="0" w:after="0" w:line="360" w:lineRule="auto"/>
      </w:pPr>
      <w:bookmarkStart w:id="24" w:name="_Toc18803"/>
      <w:bookmarkStart w:id="25" w:name="_Toc489236606"/>
      <w:bookmarkStart w:id="26" w:name="_Toc111036401"/>
      <w:bookmarkStart w:id="27" w:name="_Toc489865856"/>
      <w:bookmarkStart w:id="28" w:name="_Toc22076"/>
      <w:bookmarkStart w:id="29" w:name="_Toc60148177"/>
      <w:r>
        <w:rPr>
          <w:rFonts w:hint="eastAsia"/>
        </w:rPr>
        <w:t>一、一般约定</w:t>
      </w:r>
      <w:bookmarkEnd w:id="24"/>
      <w:bookmarkEnd w:id="25"/>
      <w:bookmarkEnd w:id="26"/>
      <w:bookmarkEnd w:id="27"/>
      <w:bookmarkEnd w:id="28"/>
      <w:bookmarkEnd w:id="29"/>
    </w:p>
    <w:p>
      <w:pPr>
        <w:spacing w:line="360" w:lineRule="auto"/>
        <w:outlineLvl w:val="2"/>
        <w:rPr>
          <w:b/>
          <w:sz w:val="24"/>
        </w:rPr>
      </w:pPr>
      <w:bookmarkStart w:id="30" w:name="_Toc489236607"/>
      <w:r>
        <w:rPr>
          <w:rFonts w:hint="eastAsia"/>
          <w:b/>
          <w:sz w:val="24"/>
        </w:rPr>
        <w:t>1.</w:t>
      </w:r>
      <w:r>
        <w:rPr>
          <w:b/>
          <w:sz w:val="24"/>
        </w:rPr>
        <w:t>定义</w:t>
      </w:r>
      <w:bookmarkEnd w:id="30"/>
    </w:p>
    <w:p>
      <w:pPr>
        <w:spacing w:line="360" w:lineRule="auto"/>
        <w:ind w:left="1" w:firstLine="480" w:firstLineChars="200"/>
        <w:jc w:val="left"/>
        <w:rPr>
          <w:sz w:val="24"/>
        </w:rPr>
      </w:pPr>
      <w:r>
        <w:rPr>
          <w:sz w:val="24"/>
        </w:rPr>
        <w:t>在本合同（合同的定义见下述）中，凡出现下述词句，其表述应指本定义指明的含义，除非</w:t>
      </w:r>
      <w:r>
        <w:rPr>
          <w:rFonts w:hint="eastAsia"/>
          <w:sz w:val="24"/>
        </w:rPr>
        <w:t>双</w:t>
      </w:r>
      <w:r>
        <w:rPr>
          <w:sz w:val="24"/>
        </w:rPr>
        <w:t>方认可对其含义作出另外的解释：</w:t>
      </w:r>
    </w:p>
    <w:p>
      <w:pPr>
        <w:spacing w:line="360" w:lineRule="auto"/>
        <w:ind w:left="1" w:firstLine="480" w:firstLineChars="200"/>
        <w:jc w:val="left"/>
        <w:rPr>
          <w:sz w:val="24"/>
        </w:rPr>
      </w:pPr>
      <w:r>
        <w:rPr>
          <w:rFonts w:hint="eastAsia"/>
          <w:sz w:val="24"/>
        </w:rPr>
        <w:t>除根据上下文另有其意义外，组成本合同的全部文件中的下列名词和用语应具有本款所赋予的含义：</w:t>
      </w:r>
    </w:p>
    <w:p>
      <w:pPr>
        <w:tabs>
          <w:tab w:val="left" w:pos="0"/>
          <w:tab w:val="left" w:pos="567"/>
        </w:tabs>
        <w:spacing w:line="360" w:lineRule="auto"/>
        <w:ind w:firstLine="480" w:firstLineChars="200"/>
        <w:rPr>
          <w:rFonts w:ascii="宋体" w:hAnsi="宋体"/>
          <w:sz w:val="24"/>
        </w:rPr>
      </w:pPr>
      <w:r>
        <w:rPr>
          <w:rFonts w:hint="eastAsia" w:ascii="宋体" w:hAnsi="宋体"/>
          <w:sz w:val="24"/>
        </w:rPr>
        <w:t>1.1“工程”</w:t>
      </w:r>
      <w:r>
        <w:rPr>
          <w:rFonts w:ascii="宋体" w:hAnsi="宋体"/>
          <w:sz w:val="24"/>
        </w:rPr>
        <w:t>是指甲方委托实施</w:t>
      </w:r>
      <w:r>
        <w:rPr>
          <w:rFonts w:hint="eastAsia" w:ascii="宋体" w:hAnsi="宋体"/>
          <w:sz w:val="24"/>
        </w:rPr>
        <w:t>项目管理及工程监理</w:t>
      </w:r>
      <w:r>
        <w:rPr>
          <w:rFonts w:ascii="宋体" w:hAnsi="宋体"/>
          <w:sz w:val="24"/>
        </w:rPr>
        <w:t>服务的工程，本合同中指</w:t>
      </w:r>
      <w:r>
        <w:rPr>
          <w:rFonts w:hint="eastAsia" w:ascii="宋体" w:hAnsi="宋体" w:cs="宋体"/>
          <w:sz w:val="24"/>
          <w:lang w:val="zh-TW"/>
        </w:rPr>
        <w:t>琶洲街黄埔古村古港提升工程项目管理及工程监理</w:t>
      </w:r>
      <w:r>
        <w:rPr>
          <w:rFonts w:hint="eastAsia" w:ascii="宋体" w:hAnsi="宋体"/>
          <w:sz w:val="24"/>
        </w:rPr>
        <w:t>，包括</w:t>
      </w:r>
      <w:r>
        <w:rPr>
          <w:rFonts w:hint="eastAsia" w:ascii="宋体" w:hAnsi="宋体" w:cs="宋体"/>
          <w:sz w:val="24"/>
          <w:lang w:val="zh-TW"/>
        </w:rPr>
        <w:t>项目管理及工程监理</w:t>
      </w:r>
      <w:r>
        <w:rPr>
          <w:rFonts w:hint="eastAsia" w:ascii="宋体" w:hAnsi="宋体"/>
          <w:sz w:val="24"/>
        </w:rPr>
        <w:t>服务等工作</w:t>
      </w:r>
      <w:r>
        <w:rPr>
          <w:rFonts w:ascii="宋体" w:hAnsi="宋体"/>
          <w:sz w:val="24"/>
        </w:rPr>
        <w:t>，即本合同第一部分第</w:t>
      </w:r>
      <w:r>
        <w:rPr>
          <w:rFonts w:hint="eastAsia" w:ascii="宋体" w:hAnsi="宋体"/>
          <w:sz w:val="24"/>
        </w:rPr>
        <w:t>二条</w:t>
      </w:r>
      <w:r>
        <w:rPr>
          <w:rFonts w:ascii="宋体" w:hAnsi="宋体"/>
          <w:sz w:val="24"/>
        </w:rPr>
        <w:t>的内容。</w:t>
      </w:r>
    </w:p>
    <w:p>
      <w:pPr>
        <w:tabs>
          <w:tab w:val="left" w:pos="0"/>
          <w:tab w:val="left" w:pos="567"/>
        </w:tabs>
        <w:spacing w:line="360" w:lineRule="auto"/>
        <w:ind w:firstLine="480" w:firstLineChars="200"/>
        <w:rPr>
          <w:rFonts w:ascii="宋体" w:hAnsi="宋体"/>
          <w:sz w:val="24"/>
        </w:rPr>
      </w:pPr>
      <w:r>
        <w:rPr>
          <w:rFonts w:hint="eastAsia" w:ascii="宋体" w:hAnsi="宋体"/>
          <w:sz w:val="24"/>
        </w:rPr>
        <w:t>1.2</w:t>
      </w:r>
      <w:r>
        <w:rPr>
          <w:rFonts w:ascii="宋体" w:hAnsi="宋体"/>
          <w:sz w:val="24"/>
        </w:rPr>
        <w:t>“甲方”是指承担直接投资责任的、委托</w:t>
      </w:r>
      <w:r>
        <w:rPr>
          <w:rFonts w:hint="eastAsia" w:ascii="宋体" w:hAnsi="宋体"/>
          <w:sz w:val="24"/>
        </w:rPr>
        <w:t>项目管理及工程监理</w:t>
      </w:r>
      <w:r>
        <w:rPr>
          <w:rFonts w:ascii="宋体" w:hAnsi="宋体"/>
          <w:sz w:val="24"/>
        </w:rPr>
        <w:t>业务的一方，本合同中指</w:t>
      </w:r>
      <w:r>
        <w:rPr>
          <w:rFonts w:hint="eastAsia" w:ascii="宋体" w:hAnsi="宋体"/>
          <w:sz w:val="24"/>
        </w:rPr>
        <w:t>广州市海珠区人民政府琶洲街道办事处</w:t>
      </w:r>
      <w:r>
        <w:rPr>
          <w:rFonts w:ascii="宋体" w:hAnsi="宋体"/>
          <w:sz w:val="24"/>
        </w:rPr>
        <w:t>或指其合法继承人和允许的受让人。</w:t>
      </w:r>
    </w:p>
    <w:p>
      <w:pPr>
        <w:tabs>
          <w:tab w:val="left" w:pos="0"/>
          <w:tab w:val="left" w:pos="567"/>
        </w:tabs>
        <w:spacing w:line="360" w:lineRule="auto"/>
        <w:ind w:firstLine="480" w:firstLineChars="200"/>
        <w:rPr>
          <w:rFonts w:ascii="宋体" w:hAnsi="宋体"/>
          <w:sz w:val="24"/>
        </w:rPr>
      </w:pPr>
      <w:r>
        <w:rPr>
          <w:rFonts w:hint="eastAsia" w:ascii="宋体" w:hAnsi="宋体"/>
          <w:sz w:val="24"/>
        </w:rPr>
        <w:t>1.3</w:t>
      </w:r>
      <w:r>
        <w:rPr>
          <w:rFonts w:ascii="宋体" w:hAnsi="宋体"/>
          <w:sz w:val="24"/>
        </w:rPr>
        <w:t>“甲方代表”是指由甲方</w:t>
      </w:r>
      <w:r>
        <w:rPr>
          <w:rFonts w:hint="eastAsia" w:ascii="宋体" w:hAnsi="宋体"/>
          <w:sz w:val="24"/>
        </w:rPr>
        <w:t>的法定代表人书面授权，在授权范围内负责履行本合同、配合乙方开展工作的负责人</w:t>
      </w:r>
      <w:r>
        <w:rPr>
          <w:rFonts w:ascii="宋体" w:hAnsi="宋体"/>
          <w:sz w:val="24"/>
        </w:rPr>
        <w:t>。</w:t>
      </w:r>
    </w:p>
    <w:p>
      <w:pPr>
        <w:tabs>
          <w:tab w:val="left" w:pos="0"/>
          <w:tab w:val="left" w:pos="567"/>
        </w:tabs>
        <w:spacing w:line="360" w:lineRule="auto"/>
        <w:ind w:firstLine="480" w:firstLineChars="200"/>
        <w:rPr>
          <w:rFonts w:ascii="宋体" w:hAnsi="宋体"/>
          <w:sz w:val="24"/>
        </w:rPr>
      </w:pPr>
      <w:r>
        <w:rPr>
          <w:rFonts w:hint="eastAsia" w:ascii="宋体" w:hAnsi="宋体"/>
          <w:sz w:val="24"/>
        </w:rPr>
        <w:t>1.4</w:t>
      </w:r>
      <w:r>
        <w:rPr>
          <w:rFonts w:ascii="宋体" w:hAnsi="宋体"/>
          <w:sz w:val="24"/>
        </w:rPr>
        <w:t>“</w:t>
      </w:r>
      <w:r>
        <w:rPr>
          <w:rFonts w:hint="eastAsia" w:ascii="宋体" w:hAnsi="宋体"/>
          <w:sz w:val="24"/>
        </w:rPr>
        <w:t>乙方</w:t>
      </w:r>
      <w:r>
        <w:rPr>
          <w:rFonts w:ascii="宋体" w:hAnsi="宋体"/>
          <w:sz w:val="24"/>
        </w:rPr>
        <w:t>”是指承担</w:t>
      </w:r>
      <w:r>
        <w:rPr>
          <w:rFonts w:hint="eastAsia" w:ascii="宋体" w:hAnsi="宋体"/>
          <w:sz w:val="24"/>
        </w:rPr>
        <w:t>项目管理及工程监理</w:t>
      </w:r>
      <w:r>
        <w:rPr>
          <w:rFonts w:ascii="宋体" w:hAnsi="宋体"/>
          <w:sz w:val="24"/>
        </w:rPr>
        <w:t>的一方，或指其合法继承人和允许的受让人。</w:t>
      </w:r>
    </w:p>
    <w:p>
      <w:pPr>
        <w:tabs>
          <w:tab w:val="left" w:pos="0"/>
          <w:tab w:val="left" w:pos="567"/>
        </w:tabs>
        <w:spacing w:line="360" w:lineRule="auto"/>
        <w:ind w:firstLine="480" w:firstLineChars="200"/>
        <w:rPr>
          <w:rFonts w:ascii="宋体" w:hAnsi="宋体"/>
          <w:sz w:val="24"/>
        </w:rPr>
      </w:pPr>
      <w:r>
        <w:rPr>
          <w:rFonts w:hint="eastAsia" w:ascii="宋体" w:hAnsi="宋体"/>
          <w:sz w:val="24"/>
        </w:rPr>
        <w:t>1.5“一方”是指甲方或乙方；“两方”是指甲方和乙方；“第三方”是指</w:t>
      </w:r>
      <w:r>
        <w:rPr>
          <w:rFonts w:ascii="宋体" w:hAnsi="宋体"/>
          <w:sz w:val="24"/>
        </w:rPr>
        <w:t>除甲方、</w:t>
      </w:r>
      <w:r>
        <w:rPr>
          <w:rFonts w:hint="eastAsia" w:ascii="宋体" w:hAnsi="宋体"/>
          <w:sz w:val="24"/>
        </w:rPr>
        <w:t>乙方</w:t>
      </w:r>
      <w:r>
        <w:rPr>
          <w:rFonts w:ascii="宋体" w:hAnsi="宋体"/>
          <w:sz w:val="24"/>
        </w:rPr>
        <w:t>以外与工程建设有关的当事人。</w:t>
      </w:r>
    </w:p>
    <w:p>
      <w:pPr>
        <w:tabs>
          <w:tab w:val="left" w:pos="0"/>
          <w:tab w:val="left" w:pos="567"/>
        </w:tabs>
        <w:spacing w:line="360" w:lineRule="auto"/>
        <w:ind w:firstLine="480" w:firstLineChars="200"/>
        <w:rPr>
          <w:rFonts w:ascii="宋体" w:hAnsi="宋体"/>
          <w:sz w:val="24"/>
        </w:rPr>
      </w:pPr>
      <w:r>
        <w:rPr>
          <w:rFonts w:hint="eastAsia" w:ascii="宋体" w:hAnsi="宋体"/>
          <w:sz w:val="24"/>
        </w:rPr>
        <w:t>1.6“承包人”是指在工程范围内与甲方签订勘察、设计、施工等有关合同的当事人，及其合法的继承人。</w:t>
      </w:r>
    </w:p>
    <w:p>
      <w:pPr>
        <w:tabs>
          <w:tab w:val="left" w:pos="0"/>
          <w:tab w:val="left" w:pos="567"/>
        </w:tabs>
        <w:spacing w:line="360" w:lineRule="auto"/>
        <w:ind w:firstLine="480" w:firstLineChars="200"/>
        <w:rPr>
          <w:rFonts w:ascii="宋体" w:hAnsi="宋体"/>
          <w:sz w:val="24"/>
        </w:rPr>
      </w:pPr>
      <w:r>
        <w:rPr>
          <w:rFonts w:hint="eastAsia" w:ascii="宋体" w:hAnsi="宋体"/>
          <w:sz w:val="24"/>
        </w:rPr>
        <w:t>1.7施工单位：是依法取得相关资质等级证书并在资质等级范围内从事承揽工程的企业，包括施工总承包单位，施工专业承包单位。</w:t>
      </w:r>
    </w:p>
    <w:p>
      <w:pPr>
        <w:tabs>
          <w:tab w:val="left" w:pos="0"/>
          <w:tab w:val="left" w:pos="567"/>
        </w:tabs>
        <w:spacing w:line="360" w:lineRule="auto"/>
        <w:ind w:firstLine="480" w:firstLineChars="200"/>
        <w:rPr>
          <w:rFonts w:ascii="宋体" w:hAnsi="宋体"/>
          <w:sz w:val="24"/>
        </w:rPr>
      </w:pPr>
      <w:r>
        <w:rPr>
          <w:rFonts w:hint="eastAsia" w:ascii="宋体" w:hAnsi="宋体"/>
          <w:sz w:val="24"/>
        </w:rPr>
        <w:t>1.8</w:t>
      </w:r>
      <w:r>
        <w:rPr>
          <w:rFonts w:ascii="宋体" w:hAnsi="宋体"/>
          <w:sz w:val="24"/>
        </w:rPr>
        <w:t>“项目</w:t>
      </w:r>
      <w:r>
        <w:rPr>
          <w:rFonts w:hint="eastAsia" w:ascii="宋体" w:hAnsi="宋体"/>
          <w:sz w:val="24"/>
        </w:rPr>
        <w:t>管理</w:t>
      </w:r>
      <w:r>
        <w:rPr>
          <w:rFonts w:ascii="宋体" w:hAnsi="宋体"/>
          <w:sz w:val="24"/>
        </w:rPr>
        <w:t>团队”是指</w:t>
      </w:r>
      <w:r>
        <w:rPr>
          <w:rFonts w:hint="eastAsia" w:ascii="宋体" w:hAnsi="宋体"/>
          <w:sz w:val="24"/>
        </w:rPr>
        <w:t>乙方</w:t>
      </w:r>
      <w:r>
        <w:rPr>
          <w:rFonts w:ascii="宋体" w:hAnsi="宋体"/>
          <w:sz w:val="24"/>
        </w:rPr>
        <w:t>指派负责履行本合同的团队，其团队成员为本合同的项目</w:t>
      </w:r>
      <w:r>
        <w:rPr>
          <w:rFonts w:hint="eastAsia" w:ascii="宋体" w:hAnsi="宋体"/>
          <w:sz w:val="24"/>
        </w:rPr>
        <w:t>乙方</w:t>
      </w:r>
      <w:r>
        <w:rPr>
          <w:rFonts w:ascii="宋体" w:hAnsi="宋体"/>
          <w:sz w:val="24"/>
        </w:rPr>
        <w:t>成员。</w:t>
      </w:r>
    </w:p>
    <w:p>
      <w:pPr>
        <w:tabs>
          <w:tab w:val="left" w:pos="0"/>
          <w:tab w:val="left" w:pos="567"/>
        </w:tabs>
        <w:spacing w:line="360" w:lineRule="auto"/>
        <w:ind w:firstLine="480" w:firstLineChars="200"/>
        <w:rPr>
          <w:rFonts w:ascii="宋体" w:hAnsi="宋体"/>
          <w:sz w:val="24"/>
        </w:rPr>
      </w:pPr>
      <w:r>
        <w:rPr>
          <w:rFonts w:hint="eastAsia" w:ascii="宋体" w:hAnsi="宋体"/>
          <w:sz w:val="24"/>
        </w:rPr>
        <w:t>1.9 “</w:t>
      </w:r>
      <w:r>
        <w:rPr>
          <w:rFonts w:ascii="宋体" w:hAnsi="宋体"/>
          <w:sz w:val="24"/>
        </w:rPr>
        <w:t>项目负责人</w:t>
      </w:r>
      <w:r>
        <w:rPr>
          <w:rFonts w:hint="eastAsia" w:ascii="宋体" w:hAnsi="宋体"/>
          <w:sz w:val="24"/>
        </w:rPr>
        <w:t>”</w:t>
      </w:r>
      <w:r>
        <w:rPr>
          <w:rFonts w:ascii="宋体" w:hAnsi="宋体"/>
          <w:sz w:val="24"/>
        </w:rPr>
        <w:t>是指由</w:t>
      </w:r>
      <w:r>
        <w:rPr>
          <w:rFonts w:hint="eastAsia" w:ascii="宋体" w:hAnsi="宋体"/>
          <w:sz w:val="24"/>
        </w:rPr>
        <w:t>乙方</w:t>
      </w:r>
      <w:r>
        <w:rPr>
          <w:rFonts w:ascii="宋体" w:hAnsi="宋体"/>
          <w:sz w:val="24"/>
        </w:rPr>
        <w:t>的法定代表人书面授权，在授权范围内负责履行本合同、主持项目</w:t>
      </w:r>
      <w:r>
        <w:rPr>
          <w:rFonts w:hint="eastAsia" w:ascii="宋体" w:hAnsi="宋体"/>
          <w:sz w:val="24"/>
        </w:rPr>
        <w:t>管理及工程监理</w:t>
      </w:r>
      <w:r>
        <w:rPr>
          <w:rFonts w:ascii="宋体" w:hAnsi="宋体"/>
          <w:sz w:val="24"/>
        </w:rPr>
        <w:t>团队工作的负责人。</w:t>
      </w:r>
    </w:p>
    <w:p>
      <w:pPr>
        <w:tabs>
          <w:tab w:val="left" w:pos="0"/>
          <w:tab w:val="left" w:pos="567"/>
        </w:tabs>
        <w:spacing w:line="360" w:lineRule="auto"/>
        <w:ind w:firstLine="480" w:firstLineChars="200"/>
        <w:rPr>
          <w:rFonts w:ascii="宋体" w:hAnsi="宋体"/>
          <w:sz w:val="24"/>
        </w:rPr>
      </w:pPr>
      <w:r>
        <w:rPr>
          <w:rFonts w:hint="eastAsia" w:ascii="宋体" w:hAnsi="宋体"/>
          <w:sz w:val="24"/>
        </w:rPr>
        <w:t>1.10</w:t>
      </w:r>
      <w:r>
        <w:rPr>
          <w:rFonts w:ascii="宋体" w:hAnsi="宋体"/>
          <w:sz w:val="24"/>
        </w:rPr>
        <w:t xml:space="preserve"> “</w:t>
      </w:r>
      <w:r>
        <w:rPr>
          <w:rFonts w:hint="eastAsia" w:ascii="宋体" w:hAnsi="宋体"/>
          <w:sz w:val="24"/>
        </w:rPr>
        <w:t>项目管理及工程监理</w:t>
      </w:r>
      <w:r>
        <w:rPr>
          <w:rFonts w:ascii="宋体" w:hAnsi="宋体"/>
          <w:sz w:val="24"/>
        </w:rPr>
        <w:t>服务工作”指根据“工作计划”中的要求，由</w:t>
      </w:r>
      <w:r>
        <w:rPr>
          <w:rFonts w:hint="eastAsia" w:ascii="宋体" w:hAnsi="宋体"/>
          <w:sz w:val="24"/>
        </w:rPr>
        <w:t>乙方</w:t>
      </w:r>
      <w:r>
        <w:rPr>
          <w:rFonts w:ascii="宋体" w:hAnsi="宋体"/>
          <w:sz w:val="24"/>
        </w:rPr>
        <w:t>提供的</w:t>
      </w:r>
      <w:r>
        <w:rPr>
          <w:rFonts w:hint="eastAsia" w:ascii="宋体" w:hAnsi="宋体"/>
          <w:sz w:val="24"/>
        </w:rPr>
        <w:t>项目管理及工程监理</w:t>
      </w:r>
      <w:r>
        <w:rPr>
          <w:rFonts w:ascii="宋体" w:hAnsi="宋体"/>
          <w:sz w:val="24"/>
        </w:rPr>
        <w:t>服务，包括正常服务、附加服务和额外服务。“工作计划”未列示、但仍系本项目工程必须的作业，也是</w:t>
      </w:r>
      <w:r>
        <w:rPr>
          <w:rFonts w:hint="eastAsia" w:ascii="宋体" w:hAnsi="宋体"/>
          <w:sz w:val="24"/>
        </w:rPr>
        <w:t>乙方项目管理及工程监理</w:t>
      </w:r>
      <w:r>
        <w:rPr>
          <w:rFonts w:ascii="宋体" w:hAnsi="宋体"/>
          <w:sz w:val="24"/>
        </w:rPr>
        <w:t>服务的工作内容。</w:t>
      </w:r>
    </w:p>
    <w:p>
      <w:pPr>
        <w:tabs>
          <w:tab w:val="left" w:pos="0"/>
          <w:tab w:val="left" w:pos="567"/>
        </w:tabs>
        <w:spacing w:line="360" w:lineRule="auto"/>
        <w:ind w:firstLine="480" w:firstLineChars="200"/>
        <w:rPr>
          <w:rFonts w:ascii="宋体" w:hAnsi="宋体"/>
          <w:sz w:val="24"/>
        </w:rPr>
      </w:pPr>
      <w:r>
        <w:rPr>
          <w:rFonts w:hint="eastAsia" w:ascii="宋体" w:hAnsi="宋体"/>
          <w:sz w:val="24"/>
        </w:rPr>
        <w:t>1.11</w:t>
      </w:r>
      <w:r>
        <w:rPr>
          <w:rFonts w:ascii="宋体" w:hAnsi="宋体"/>
          <w:sz w:val="24"/>
        </w:rPr>
        <w:t>“</w:t>
      </w:r>
      <w:r>
        <w:rPr>
          <w:rFonts w:hint="eastAsia" w:ascii="宋体" w:hAnsi="宋体"/>
          <w:sz w:val="24"/>
        </w:rPr>
        <w:t>项目管理及工程监理</w:t>
      </w:r>
      <w:r>
        <w:rPr>
          <w:rFonts w:ascii="宋体" w:hAnsi="宋体"/>
          <w:sz w:val="24"/>
        </w:rPr>
        <w:t>”是</w:t>
      </w:r>
      <w:r>
        <w:rPr>
          <w:rFonts w:hint="eastAsia" w:ascii="宋体" w:hAnsi="宋体"/>
          <w:sz w:val="24"/>
        </w:rPr>
        <w:t>以技术为基础，综合运用多学科知识和经验、现代科学技术和管理方法，为投资建设项目决策、实施，提供综合协调管理的智力服务</w:t>
      </w:r>
      <w:r>
        <w:rPr>
          <w:rFonts w:ascii="宋体" w:hAnsi="宋体"/>
          <w:sz w:val="24"/>
        </w:rPr>
        <w:t>。</w:t>
      </w:r>
    </w:p>
    <w:p>
      <w:pPr>
        <w:tabs>
          <w:tab w:val="left" w:pos="0"/>
          <w:tab w:val="left" w:pos="567"/>
        </w:tabs>
        <w:spacing w:line="360" w:lineRule="auto"/>
        <w:ind w:firstLine="480" w:firstLineChars="200"/>
        <w:rPr>
          <w:rFonts w:ascii="宋体" w:hAnsi="宋体"/>
          <w:sz w:val="24"/>
        </w:rPr>
      </w:pPr>
      <w:r>
        <w:rPr>
          <w:rFonts w:hint="eastAsia" w:ascii="宋体" w:hAnsi="宋体"/>
          <w:sz w:val="24"/>
        </w:rPr>
        <w:t>1.12项目管理：是指本合同中提供与其他服务的一方，及其合法的继承人。</w:t>
      </w:r>
    </w:p>
    <w:p>
      <w:pPr>
        <w:tabs>
          <w:tab w:val="left" w:pos="0"/>
          <w:tab w:val="left" w:pos="567"/>
        </w:tabs>
        <w:spacing w:line="360" w:lineRule="auto"/>
        <w:ind w:firstLine="480" w:firstLineChars="200"/>
        <w:rPr>
          <w:rFonts w:ascii="宋体" w:hAnsi="宋体"/>
          <w:sz w:val="24"/>
        </w:rPr>
      </w:pPr>
      <w:r>
        <w:rPr>
          <w:rFonts w:hint="eastAsia" w:ascii="宋体" w:hAnsi="宋体"/>
          <w:sz w:val="24"/>
        </w:rPr>
        <w:t>1.13“工程监理”是指乙方受甲方的委托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tabs>
          <w:tab w:val="left" w:pos="0"/>
          <w:tab w:val="left" w:pos="567"/>
        </w:tabs>
        <w:spacing w:line="360" w:lineRule="auto"/>
        <w:ind w:firstLine="480" w:firstLineChars="200"/>
        <w:rPr>
          <w:rFonts w:ascii="宋体" w:hAnsi="宋体"/>
          <w:sz w:val="24"/>
        </w:rPr>
      </w:pPr>
      <w:r>
        <w:rPr>
          <w:rFonts w:hint="eastAsia" w:ascii="宋体" w:hAnsi="宋体"/>
          <w:sz w:val="24"/>
        </w:rPr>
        <w:t>1.14</w:t>
      </w:r>
      <w:r>
        <w:rPr>
          <w:rFonts w:ascii="宋体" w:hAnsi="宋体"/>
          <w:sz w:val="24"/>
        </w:rPr>
        <w:t>“合同”是指甲方与</w:t>
      </w:r>
      <w:r>
        <w:rPr>
          <w:rFonts w:hint="eastAsia" w:ascii="宋体" w:hAnsi="宋体"/>
          <w:sz w:val="24"/>
        </w:rPr>
        <w:t>乙方</w:t>
      </w:r>
      <w:r>
        <w:rPr>
          <w:rFonts w:ascii="宋体" w:hAnsi="宋体"/>
          <w:sz w:val="24"/>
        </w:rPr>
        <w:t>之间的协议，包括:“协议书”、“工作计划”、“合同条件”</w:t>
      </w:r>
      <w:r>
        <w:rPr>
          <w:rFonts w:hint="eastAsia" w:ascii="宋体" w:hAnsi="宋体"/>
          <w:sz w:val="24"/>
        </w:rPr>
        <w:t>、</w:t>
      </w:r>
      <w:r>
        <w:rPr>
          <w:rFonts w:ascii="宋体" w:hAnsi="宋体"/>
          <w:sz w:val="24"/>
        </w:rPr>
        <w:t>“项目管理责任条款”、项目招投标评标的相关文件及项目实施过程中共同签署的补充与修改文件等。</w:t>
      </w:r>
    </w:p>
    <w:p>
      <w:pPr>
        <w:tabs>
          <w:tab w:val="left" w:pos="0"/>
          <w:tab w:val="left" w:pos="567"/>
        </w:tabs>
        <w:spacing w:line="360" w:lineRule="auto"/>
        <w:ind w:firstLine="480" w:firstLineChars="200"/>
        <w:rPr>
          <w:rFonts w:ascii="宋体" w:hAnsi="宋体"/>
          <w:sz w:val="24"/>
        </w:rPr>
      </w:pPr>
      <w:r>
        <w:rPr>
          <w:rFonts w:hint="eastAsia" w:ascii="宋体" w:hAnsi="宋体"/>
          <w:sz w:val="24"/>
        </w:rPr>
        <w:t>1.15</w:t>
      </w:r>
      <w:r>
        <w:rPr>
          <w:rFonts w:ascii="宋体" w:hAnsi="宋体"/>
          <w:sz w:val="24"/>
        </w:rPr>
        <w:t>“工作计划”指根据“合同”记述甲方所要求的工作性质及工作内容所作的计划性文件和修改补充文件。</w:t>
      </w:r>
    </w:p>
    <w:p>
      <w:pPr>
        <w:tabs>
          <w:tab w:val="left" w:pos="0"/>
          <w:tab w:val="left" w:pos="567"/>
        </w:tabs>
        <w:spacing w:line="360" w:lineRule="auto"/>
        <w:ind w:firstLine="480" w:firstLineChars="200"/>
        <w:rPr>
          <w:rFonts w:ascii="宋体" w:hAnsi="宋体"/>
          <w:sz w:val="24"/>
        </w:rPr>
      </w:pPr>
      <w:r>
        <w:rPr>
          <w:rFonts w:hint="eastAsia" w:ascii="宋体" w:hAnsi="宋体"/>
          <w:sz w:val="24"/>
        </w:rPr>
        <w:t>1.16“日”是指任何一日零时至下一日零时的时间段，均指日历日。</w:t>
      </w:r>
    </w:p>
    <w:p>
      <w:pPr>
        <w:tabs>
          <w:tab w:val="left" w:pos="0"/>
          <w:tab w:val="left" w:pos="567"/>
        </w:tabs>
        <w:spacing w:line="360" w:lineRule="auto"/>
        <w:ind w:firstLine="480" w:firstLineChars="200"/>
        <w:rPr>
          <w:rFonts w:ascii="宋体" w:hAnsi="宋体"/>
          <w:sz w:val="24"/>
        </w:rPr>
      </w:pPr>
      <w:r>
        <w:rPr>
          <w:rFonts w:hint="eastAsia" w:ascii="宋体" w:hAnsi="宋体"/>
          <w:sz w:val="24"/>
        </w:rPr>
        <w:t>1.17“基准日期”：指投标截止之日前28日的日期。</w:t>
      </w:r>
    </w:p>
    <w:p>
      <w:pPr>
        <w:tabs>
          <w:tab w:val="left" w:pos="0"/>
          <w:tab w:val="left" w:pos="567"/>
        </w:tabs>
        <w:spacing w:line="360" w:lineRule="auto"/>
        <w:ind w:firstLine="480" w:firstLineChars="200"/>
        <w:rPr>
          <w:rFonts w:ascii="宋体" w:hAnsi="宋体"/>
          <w:sz w:val="24"/>
        </w:rPr>
      </w:pPr>
      <w:r>
        <w:rPr>
          <w:rFonts w:hint="eastAsia" w:ascii="宋体" w:hAnsi="宋体"/>
          <w:sz w:val="24"/>
        </w:rPr>
        <w:t>1.18“月”是根据公历从一个月份中任何一日开始到下一个月相应日期的前一日的时间段。</w:t>
      </w:r>
    </w:p>
    <w:p>
      <w:pPr>
        <w:tabs>
          <w:tab w:val="left" w:pos="0"/>
          <w:tab w:val="left" w:pos="567"/>
        </w:tabs>
        <w:spacing w:line="360" w:lineRule="auto"/>
        <w:ind w:firstLine="480" w:firstLineChars="200"/>
        <w:rPr>
          <w:rFonts w:ascii="宋体" w:hAnsi="宋体"/>
          <w:sz w:val="24"/>
        </w:rPr>
      </w:pPr>
      <w:r>
        <w:rPr>
          <w:rFonts w:hint="eastAsia" w:ascii="宋体" w:hAnsi="宋体"/>
          <w:sz w:val="24"/>
        </w:rPr>
        <w:t>1.19“季度”是根据公历从一个月份中任何一日开始到三个月后相应日期的前一日的时间段。</w:t>
      </w:r>
    </w:p>
    <w:p>
      <w:pPr>
        <w:tabs>
          <w:tab w:val="left" w:pos="0"/>
          <w:tab w:val="left" w:pos="567"/>
        </w:tabs>
        <w:spacing w:line="360" w:lineRule="auto"/>
        <w:ind w:firstLine="480" w:firstLineChars="200"/>
        <w:rPr>
          <w:rFonts w:ascii="宋体" w:hAnsi="宋体"/>
          <w:sz w:val="24"/>
        </w:rPr>
      </w:pPr>
      <w:r>
        <w:rPr>
          <w:rFonts w:hint="eastAsia" w:ascii="宋体" w:hAnsi="宋体"/>
          <w:sz w:val="24"/>
        </w:rPr>
        <w:t>1.20</w:t>
      </w:r>
      <w:r>
        <w:rPr>
          <w:rFonts w:ascii="宋体" w:hAnsi="宋体"/>
          <w:sz w:val="24"/>
        </w:rPr>
        <w:t>“酬金”是指</w:t>
      </w:r>
      <w:r>
        <w:rPr>
          <w:rFonts w:hint="eastAsia" w:ascii="宋体" w:hAnsi="宋体"/>
          <w:sz w:val="24"/>
        </w:rPr>
        <w:t>乙方</w:t>
      </w:r>
      <w:r>
        <w:rPr>
          <w:rFonts w:ascii="宋体" w:hAnsi="宋体"/>
          <w:sz w:val="24"/>
        </w:rPr>
        <w:t>履行本合同义务，甲方按照本合同约定给付</w:t>
      </w:r>
      <w:r>
        <w:rPr>
          <w:rFonts w:hint="eastAsia" w:ascii="宋体" w:hAnsi="宋体"/>
          <w:sz w:val="24"/>
        </w:rPr>
        <w:t>乙方</w:t>
      </w:r>
      <w:r>
        <w:rPr>
          <w:rFonts w:ascii="宋体" w:hAnsi="宋体"/>
          <w:sz w:val="24"/>
        </w:rPr>
        <w:t>的金额。</w:t>
      </w:r>
    </w:p>
    <w:p>
      <w:pPr>
        <w:tabs>
          <w:tab w:val="left" w:pos="0"/>
          <w:tab w:val="left" w:pos="567"/>
        </w:tabs>
        <w:spacing w:line="360" w:lineRule="auto"/>
        <w:ind w:firstLine="480" w:firstLineChars="200"/>
        <w:rPr>
          <w:rFonts w:ascii="宋体" w:hAnsi="宋体"/>
          <w:sz w:val="24"/>
        </w:rPr>
      </w:pPr>
      <w:r>
        <w:rPr>
          <w:rFonts w:hint="eastAsia" w:ascii="宋体" w:hAnsi="宋体"/>
          <w:sz w:val="24"/>
        </w:rPr>
        <w:t>1.21</w:t>
      </w:r>
      <w:r>
        <w:rPr>
          <w:rFonts w:ascii="宋体" w:hAnsi="宋体"/>
          <w:sz w:val="24"/>
        </w:rPr>
        <w:t>“正常工作酬金”是指在协议书中载明的，</w:t>
      </w:r>
      <w:r>
        <w:rPr>
          <w:rFonts w:hint="eastAsia" w:ascii="宋体" w:hAnsi="宋体"/>
          <w:sz w:val="24"/>
        </w:rPr>
        <w:t>乙方</w:t>
      </w:r>
      <w:r>
        <w:rPr>
          <w:rFonts w:ascii="宋体" w:hAnsi="宋体"/>
          <w:sz w:val="24"/>
        </w:rPr>
        <w:t>完成正常工作，甲方应给付</w:t>
      </w:r>
      <w:r>
        <w:rPr>
          <w:rFonts w:hint="eastAsia" w:ascii="宋体" w:hAnsi="宋体"/>
          <w:sz w:val="24"/>
        </w:rPr>
        <w:t>乙方</w:t>
      </w:r>
      <w:r>
        <w:rPr>
          <w:rFonts w:ascii="宋体" w:hAnsi="宋体"/>
          <w:sz w:val="24"/>
        </w:rPr>
        <w:t>的酬金。</w:t>
      </w:r>
    </w:p>
    <w:p>
      <w:pPr>
        <w:tabs>
          <w:tab w:val="left" w:pos="0"/>
          <w:tab w:val="left" w:pos="567"/>
        </w:tabs>
        <w:spacing w:line="360" w:lineRule="auto"/>
        <w:ind w:firstLine="480" w:firstLineChars="200"/>
        <w:rPr>
          <w:rFonts w:ascii="宋体" w:hAnsi="宋体"/>
          <w:sz w:val="24"/>
        </w:rPr>
      </w:pPr>
      <w:r>
        <w:rPr>
          <w:rFonts w:hint="eastAsia" w:ascii="宋体" w:hAnsi="宋体"/>
          <w:sz w:val="24"/>
        </w:rPr>
        <w:t>1.22</w:t>
      </w:r>
      <w:r>
        <w:rPr>
          <w:rFonts w:ascii="宋体" w:hAnsi="宋体"/>
          <w:sz w:val="24"/>
        </w:rPr>
        <w:t>“附加工作酬金”是指</w:t>
      </w:r>
      <w:r>
        <w:rPr>
          <w:rFonts w:hint="eastAsia" w:ascii="宋体" w:hAnsi="宋体"/>
          <w:sz w:val="24"/>
        </w:rPr>
        <w:t>乙方</w:t>
      </w:r>
      <w:r>
        <w:rPr>
          <w:rFonts w:ascii="宋体" w:hAnsi="宋体"/>
          <w:sz w:val="24"/>
        </w:rPr>
        <w:t>完成附加工作，甲方应给付</w:t>
      </w:r>
      <w:r>
        <w:rPr>
          <w:rFonts w:hint="eastAsia" w:ascii="宋体" w:hAnsi="宋体"/>
          <w:sz w:val="24"/>
        </w:rPr>
        <w:t>乙方</w:t>
      </w:r>
      <w:r>
        <w:rPr>
          <w:rFonts w:ascii="宋体" w:hAnsi="宋体"/>
          <w:sz w:val="24"/>
        </w:rPr>
        <w:t>的酬金。</w:t>
      </w:r>
    </w:p>
    <w:p>
      <w:pPr>
        <w:tabs>
          <w:tab w:val="left" w:pos="0"/>
          <w:tab w:val="left" w:pos="567"/>
        </w:tabs>
        <w:spacing w:line="360" w:lineRule="auto"/>
        <w:ind w:firstLine="480" w:firstLineChars="200"/>
        <w:rPr>
          <w:rFonts w:ascii="宋体" w:hAnsi="宋体"/>
          <w:sz w:val="24"/>
        </w:rPr>
      </w:pPr>
      <w:r>
        <w:rPr>
          <w:rFonts w:hint="eastAsia" w:ascii="宋体" w:hAnsi="宋体"/>
          <w:sz w:val="24"/>
        </w:rPr>
        <w:t>1.23</w:t>
      </w:r>
      <w:r>
        <w:rPr>
          <w:rFonts w:ascii="宋体" w:hAnsi="宋体"/>
          <w:sz w:val="24"/>
        </w:rPr>
        <w:t>“批准”指以书面形式批准的，包括对先行口头批准所作的随后书面确认。</w:t>
      </w:r>
    </w:p>
    <w:p>
      <w:pPr>
        <w:tabs>
          <w:tab w:val="left" w:pos="0"/>
          <w:tab w:val="left" w:pos="567"/>
        </w:tabs>
        <w:spacing w:line="360" w:lineRule="auto"/>
        <w:ind w:firstLine="480" w:firstLineChars="200"/>
        <w:rPr>
          <w:rFonts w:ascii="宋体" w:hAnsi="宋体"/>
          <w:sz w:val="24"/>
        </w:rPr>
      </w:pPr>
      <w:r>
        <w:rPr>
          <w:rFonts w:hint="eastAsia" w:ascii="宋体" w:hAnsi="宋体"/>
          <w:sz w:val="24"/>
        </w:rPr>
        <w:t>1.24</w:t>
      </w:r>
      <w:r>
        <w:rPr>
          <w:rFonts w:ascii="宋体" w:hAnsi="宋体"/>
          <w:sz w:val="24"/>
        </w:rPr>
        <w:t>“书面形式”指</w:t>
      </w:r>
      <w:r>
        <w:rPr>
          <w:rFonts w:hint="eastAsia" w:ascii="宋体" w:hAnsi="宋体"/>
          <w:sz w:val="24"/>
        </w:rPr>
        <w:t>双</w:t>
      </w:r>
      <w:r>
        <w:rPr>
          <w:rFonts w:ascii="宋体" w:hAnsi="宋体"/>
          <w:sz w:val="24"/>
        </w:rPr>
        <w:t>方在履行合同过程中发生的各有关当事人或其授权代表按本合同的规定确认的手写、打字、复制、印刷的各种通知、任命书、委托书、证书、签证、备忘录、报告、报表、函件及会议纪要等各种有效文件。</w:t>
      </w:r>
    </w:p>
    <w:p>
      <w:pPr>
        <w:tabs>
          <w:tab w:val="left" w:pos="0"/>
          <w:tab w:val="left" w:pos="567"/>
        </w:tabs>
        <w:spacing w:line="360" w:lineRule="auto"/>
        <w:ind w:firstLine="480" w:firstLineChars="200"/>
        <w:rPr>
          <w:rFonts w:ascii="宋体" w:hAnsi="宋体"/>
          <w:sz w:val="24"/>
        </w:rPr>
      </w:pPr>
      <w:r>
        <w:rPr>
          <w:rFonts w:hint="eastAsia" w:ascii="宋体" w:hAnsi="宋体"/>
          <w:sz w:val="24"/>
        </w:rPr>
        <w:t>1.25</w:t>
      </w:r>
      <w:r>
        <w:rPr>
          <w:rFonts w:ascii="宋体" w:hAnsi="宋体"/>
          <w:sz w:val="24"/>
        </w:rPr>
        <w:t>“违约责任”指合同一方不履行合同义务或履行合同义务不符合约定所应承担的责任。</w:t>
      </w:r>
    </w:p>
    <w:p>
      <w:pPr>
        <w:tabs>
          <w:tab w:val="left" w:pos="0"/>
          <w:tab w:val="left" w:pos="567"/>
        </w:tabs>
        <w:spacing w:line="360" w:lineRule="auto"/>
        <w:ind w:firstLine="480" w:firstLineChars="200"/>
        <w:rPr>
          <w:rFonts w:ascii="宋体" w:hAnsi="宋体"/>
          <w:sz w:val="24"/>
        </w:rPr>
      </w:pPr>
      <w:r>
        <w:rPr>
          <w:rFonts w:hint="eastAsia" w:ascii="宋体" w:hAnsi="宋体"/>
          <w:sz w:val="24"/>
        </w:rPr>
        <w:t>1.26</w:t>
      </w:r>
      <w:r>
        <w:rPr>
          <w:rFonts w:ascii="宋体" w:hAnsi="宋体"/>
          <w:sz w:val="24"/>
        </w:rPr>
        <w:t>“索赔”指在合同履行过程中，对于并非自己的过错，而是应由对方承担责任的情况造成的实际损失，向对方提出经济补偿或其他的要求。</w:t>
      </w:r>
    </w:p>
    <w:p>
      <w:pPr>
        <w:tabs>
          <w:tab w:val="left" w:pos="0"/>
          <w:tab w:val="left" w:pos="567"/>
        </w:tabs>
        <w:spacing w:line="360" w:lineRule="auto"/>
        <w:ind w:firstLine="480" w:firstLineChars="200"/>
        <w:rPr>
          <w:rFonts w:ascii="宋体" w:hAnsi="宋体"/>
          <w:sz w:val="24"/>
        </w:rPr>
      </w:pPr>
      <w:r>
        <w:rPr>
          <w:rFonts w:hint="eastAsia" w:ascii="宋体" w:hAnsi="宋体"/>
          <w:sz w:val="24"/>
        </w:rPr>
        <w:t>1.27</w:t>
      </w:r>
      <w:r>
        <w:rPr>
          <w:rFonts w:ascii="宋体" w:hAnsi="宋体"/>
          <w:sz w:val="24"/>
        </w:rPr>
        <w:t>“商定的补偿”是指第二部分中规定的根据合同应支付的额外款项。</w:t>
      </w:r>
    </w:p>
    <w:p>
      <w:pPr>
        <w:tabs>
          <w:tab w:val="left" w:pos="0"/>
          <w:tab w:val="left" w:pos="567"/>
        </w:tabs>
        <w:spacing w:line="360" w:lineRule="auto"/>
        <w:ind w:firstLine="480" w:firstLineChars="200"/>
        <w:rPr>
          <w:rFonts w:ascii="宋体" w:hAnsi="宋体"/>
          <w:sz w:val="24"/>
        </w:rPr>
      </w:pPr>
      <w:r>
        <w:rPr>
          <w:rFonts w:hint="eastAsia" w:ascii="宋体" w:hAnsi="宋体"/>
          <w:sz w:val="24"/>
        </w:rPr>
        <w:t>1.28</w:t>
      </w:r>
      <w:r>
        <w:rPr>
          <w:rFonts w:ascii="宋体" w:hAnsi="宋体"/>
          <w:sz w:val="24"/>
        </w:rPr>
        <w:t>“不可抗力”是指甲方和</w:t>
      </w:r>
      <w:r>
        <w:rPr>
          <w:rFonts w:hint="eastAsia" w:ascii="宋体" w:hAnsi="宋体"/>
          <w:sz w:val="24"/>
        </w:rPr>
        <w:t>乙方</w:t>
      </w:r>
      <w:r>
        <w:rPr>
          <w:rFonts w:ascii="宋体" w:hAnsi="宋体"/>
          <w:sz w:val="24"/>
        </w:rPr>
        <w:t>在订立本合同时不可预见，在合同履行过程中不可避免并不能克服的自然灾害和社会性突发事件，如地震、海啸、瘟疫、水灾、骚乱、暴动、战争等情形。</w:t>
      </w:r>
    </w:p>
    <w:p>
      <w:pPr>
        <w:spacing w:line="360" w:lineRule="auto"/>
        <w:outlineLvl w:val="2"/>
        <w:rPr>
          <w:b/>
          <w:sz w:val="24"/>
        </w:rPr>
      </w:pPr>
      <w:bookmarkStart w:id="31" w:name="_Toc489236608"/>
      <w:r>
        <w:rPr>
          <w:rFonts w:hint="eastAsia"/>
          <w:b/>
          <w:sz w:val="24"/>
        </w:rPr>
        <w:t>2.</w:t>
      </w:r>
      <w:r>
        <w:rPr>
          <w:b/>
          <w:sz w:val="24"/>
        </w:rPr>
        <w:t>语言、标准和法律</w:t>
      </w:r>
      <w:bookmarkEnd w:id="31"/>
    </w:p>
    <w:p>
      <w:pPr>
        <w:spacing w:line="360" w:lineRule="auto"/>
        <w:ind w:firstLine="480" w:firstLineChars="200"/>
        <w:jc w:val="left"/>
        <w:rPr>
          <w:sz w:val="24"/>
        </w:rPr>
      </w:pPr>
      <w:r>
        <w:rPr>
          <w:rFonts w:hint="eastAsia"/>
          <w:sz w:val="24"/>
        </w:rPr>
        <w:t>2.1</w:t>
      </w:r>
      <w:r>
        <w:rPr>
          <w:sz w:val="24"/>
        </w:rPr>
        <w:t>本合同的书写、解释和说明，以汉语为主导语言。当不同语言文本发生不同解释时，以汉语合同文本为准。</w:t>
      </w:r>
    </w:p>
    <w:p>
      <w:pPr>
        <w:spacing w:line="360" w:lineRule="auto"/>
        <w:ind w:firstLine="480" w:firstLineChars="200"/>
        <w:jc w:val="left"/>
        <w:rPr>
          <w:sz w:val="24"/>
        </w:rPr>
      </w:pPr>
      <w:r>
        <w:rPr>
          <w:rFonts w:hint="eastAsia"/>
          <w:sz w:val="24"/>
        </w:rPr>
        <w:t>2.2</w:t>
      </w:r>
      <w:r>
        <w:rPr>
          <w:sz w:val="24"/>
        </w:rPr>
        <w:t>本合同适用的法律是包括《</w:t>
      </w:r>
      <w:r>
        <w:rPr>
          <w:rFonts w:hint="eastAsia"/>
          <w:sz w:val="24"/>
        </w:rPr>
        <w:t>中华人民共和国民法典</w:t>
      </w:r>
      <w:r>
        <w:rPr>
          <w:sz w:val="24"/>
        </w:rPr>
        <w:t>》、《中华人民共和国建筑法》</w:t>
      </w:r>
      <w:r>
        <w:rPr>
          <w:rFonts w:hint="eastAsia"/>
          <w:sz w:val="24"/>
        </w:rPr>
        <w:t>等</w:t>
      </w:r>
      <w:r>
        <w:rPr>
          <w:sz w:val="24"/>
        </w:rPr>
        <w:t>在内的中华人民共和国的有关法律、行政法规，以及部门的有关规章，或工程所在地的有关地方性法规和规章。</w:t>
      </w:r>
    </w:p>
    <w:p>
      <w:pPr>
        <w:spacing w:line="360" w:lineRule="auto"/>
        <w:ind w:firstLine="480" w:firstLineChars="200"/>
        <w:jc w:val="left"/>
        <w:rPr>
          <w:sz w:val="24"/>
        </w:rPr>
      </w:pPr>
      <w:r>
        <w:rPr>
          <w:rFonts w:hint="eastAsia"/>
          <w:sz w:val="24"/>
        </w:rPr>
        <w:t>2.3</w:t>
      </w:r>
      <w:r>
        <w:rPr>
          <w:sz w:val="24"/>
        </w:rPr>
        <w:t>中华人民共和国有关行政部门和工程所在地的合法的有关设计、施工及验收规范适用于本合同。</w:t>
      </w:r>
    </w:p>
    <w:p>
      <w:pPr>
        <w:spacing w:line="360" w:lineRule="auto"/>
        <w:outlineLvl w:val="2"/>
        <w:rPr>
          <w:b/>
          <w:sz w:val="24"/>
        </w:rPr>
      </w:pPr>
      <w:bookmarkStart w:id="32" w:name="_Toc489236609"/>
      <w:r>
        <w:rPr>
          <w:rFonts w:hint="eastAsia"/>
          <w:b/>
          <w:sz w:val="24"/>
        </w:rPr>
        <w:t>3.</w:t>
      </w:r>
      <w:r>
        <w:rPr>
          <w:b/>
          <w:sz w:val="24"/>
        </w:rPr>
        <w:t>合同文件的优先顺序</w:t>
      </w:r>
      <w:bookmarkEnd w:id="32"/>
    </w:p>
    <w:p>
      <w:pPr>
        <w:adjustRightInd w:val="0"/>
        <w:snapToGrid w:val="0"/>
        <w:spacing w:line="360" w:lineRule="auto"/>
        <w:ind w:firstLine="480" w:firstLineChars="200"/>
        <w:rPr>
          <w:bCs/>
          <w:snapToGrid w:val="0"/>
          <w:sz w:val="24"/>
        </w:rPr>
      </w:pPr>
      <w:r>
        <w:rPr>
          <w:rFonts w:hint="eastAsia"/>
          <w:bCs/>
          <w:snapToGrid w:val="0"/>
          <w:sz w:val="24"/>
        </w:rPr>
        <w:t>下列文件应被认为是组成本合同的一部分，并互为补充和解释，如各文件存在冲突之处，以如下排列次序在前者优先适用：</w:t>
      </w:r>
    </w:p>
    <w:p>
      <w:pPr>
        <w:ind w:firstLine="240" w:firstLineChars="100"/>
        <w:rPr>
          <w:szCs w:val="21"/>
        </w:rPr>
      </w:pPr>
      <w:r>
        <w:rPr>
          <w:rFonts w:hint="eastAsia"/>
          <w:sz w:val="24"/>
        </w:rPr>
        <w:t>（1）履行本合同的相关补充协议（</w:t>
      </w:r>
      <w:r>
        <w:rPr>
          <w:rFonts w:hint="eastAsia" w:ascii="宋体" w:hAnsi="宋体"/>
          <w:sz w:val="24"/>
        </w:rPr>
        <w:t>含工程洽商记录、会议纪要、变更、现场签证、索赔和合同价款调整报告等修正文件）</w:t>
      </w:r>
      <w:r>
        <w:rPr>
          <w:rFonts w:hint="eastAsia"/>
          <w:sz w:val="24"/>
        </w:rPr>
        <w:t>；</w:t>
      </w:r>
    </w:p>
    <w:p>
      <w:pPr>
        <w:spacing w:line="360" w:lineRule="auto"/>
        <w:ind w:firstLine="480" w:firstLineChars="200"/>
        <w:rPr>
          <w:sz w:val="24"/>
        </w:rPr>
      </w:pPr>
      <w:r>
        <w:rPr>
          <w:rFonts w:hint="eastAsia"/>
          <w:sz w:val="24"/>
        </w:rPr>
        <w:t>（2）协议书；</w:t>
      </w:r>
    </w:p>
    <w:p>
      <w:pPr>
        <w:spacing w:line="360" w:lineRule="auto"/>
        <w:ind w:firstLine="480" w:firstLineChars="200"/>
        <w:rPr>
          <w:sz w:val="24"/>
        </w:rPr>
      </w:pPr>
      <w:r>
        <w:rPr>
          <w:rFonts w:hint="eastAsia"/>
          <w:sz w:val="24"/>
        </w:rPr>
        <w:t>（3）合同条款、专项条款（项目管理、工程监理专项条款）；</w:t>
      </w:r>
    </w:p>
    <w:p>
      <w:pPr>
        <w:spacing w:line="360" w:lineRule="auto"/>
        <w:ind w:firstLine="480" w:firstLineChars="200"/>
        <w:rPr>
          <w:sz w:val="24"/>
        </w:rPr>
      </w:pPr>
      <w:r>
        <w:rPr>
          <w:rFonts w:hint="eastAsia"/>
          <w:sz w:val="24"/>
        </w:rPr>
        <w:t>（4）合同附录及附件</w:t>
      </w:r>
    </w:p>
    <w:p>
      <w:pPr>
        <w:spacing w:line="360" w:lineRule="auto"/>
        <w:ind w:firstLine="480" w:firstLineChars="200"/>
        <w:rPr>
          <w:sz w:val="24"/>
        </w:rPr>
      </w:pPr>
      <w:r>
        <w:rPr>
          <w:rFonts w:hint="eastAsia"/>
          <w:sz w:val="24"/>
        </w:rPr>
        <w:t>（4）甲方针对本项目管理的工作指引、各项制度、规定 ；</w:t>
      </w:r>
    </w:p>
    <w:p>
      <w:pPr>
        <w:spacing w:line="360" w:lineRule="auto"/>
        <w:ind w:firstLine="480" w:firstLineChars="200"/>
        <w:rPr>
          <w:sz w:val="24"/>
        </w:rPr>
      </w:pPr>
      <w:r>
        <w:rPr>
          <w:rFonts w:hint="eastAsia"/>
          <w:sz w:val="24"/>
        </w:rPr>
        <w:t xml:space="preserve">（5）中标通知书； </w:t>
      </w:r>
    </w:p>
    <w:p>
      <w:pPr>
        <w:spacing w:line="360" w:lineRule="auto"/>
        <w:ind w:firstLine="480" w:firstLineChars="200"/>
        <w:rPr>
          <w:sz w:val="24"/>
        </w:rPr>
      </w:pPr>
      <w:r>
        <w:rPr>
          <w:rFonts w:hint="eastAsia"/>
          <w:sz w:val="24"/>
        </w:rPr>
        <w:t>（6）招标文件及答疑；</w:t>
      </w:r>
    </w:p>
    <w:p>
      <w:pPr>
        <w:spacing w:line="360" w:lineRule="auto"/>
        <w:ind w:firstLine="480" w:firstLineChars="200"/>
        <w:rPr>
          <w:sz w:val="24"/>
        </w:rPr>
      </w:pPr>
      <w:r>
        <w:rPr>
          <w:rFonts w:hint="eastAsia"/>
          <w:sz w:val="24"/>
        </w:rPr>
        <w:t>（7）国家及广东省、项目所在市的标准、规范及有关技术文件；</w:t>
      </w:r>
    </w:p>
    <w:p>
      <w:pPr>
        <w:spacing w:line="360" w:lineRule="auto"/>
        <w:ind w:firstLine="480" w:firstLineChars="200"/>
        <w:rPr>
          <w:sz w:val="24"/>
        </w:rPr>
      </w:pPr>
      <w:r>
        <w:rPr>
          <w:rFonts w:hint="eastAsia"/>
          <w:sz w:val="24"/>
        </w:rPr>
        <w:t>（8）投标函及投标文件。</w:t>
      </w:r>
    </w:p>
    <w:p>
      <w:pPr>
        <w:spacing w:line="360" w:lineRule="auto"/>
        <w:ind w:firstLine="480" w:firstLineChars="200"/>
        <w:rPr>
          <w:sz w:val="24"/>
        </w:rPr>
      </w:pPr>
      <w:r>
        <w:rPr>
          <w:rFonts w:hint="eastAsia"/>
          <w:snapToGrid w:val="0"/>
          <w:sz w:val="24"/>
        </w:rPr>
        <w:t xml:space="preserve"> 通过上述顺序解释仍无法明确的事项，由甲方与乙方协商解决；如协商不成，由甲方按照公平合理和有利于本工程建设的原则作出决定，如乙方对此决定不服的，应在接到甲方决定之日起三日内提出书面异议。如期满不提出书面异议的，视为同意甲方的决定。甲方收到乙方的书面异议后应作出进一步的决定。在甲方作出决定之前</w:t>
      </w:r>
      <w:r>
        <w:rPr>
          <w:rFonts w:hint="eastAsia"/>
          <w:bCs/>
          <w:snapToGrid w:val="0"/>
          <w:sz w:val="24"/>
        </w:rPr>
        <w:t>，乙方必须无条件先行执行甲方的决定。</w:t>
      </w:r>
    </w:p>
    <w:p>
      <w:pPr>
        <w:spacing w:line="360" w:lineRule="auto"/>
        <w:outlineLvl w:val="2"/>
        <w:rPr>
          <w:b/>
          <w:sz w:val="24"/>
        </w:rPr>
      </w:pPr>
      <w:bookmarkStart w:id="33" w:name="_Toc489236610"/>
      <w:r>
        <w:rPr>
          <w:rFonts w:hint="eastAsia"/>
          <w:b/>
          <w:sz w:val="24"/>
        </w:rPr>
        <w:t>4.文件的提供和照管</w:t>
      </w:r>
      <w:bookmarkEnd w:id="33"/>
    </w:p>
    <w:p>
      <w:pPr>
        <w:spacing w:line="360" w:lineRule="auto"/>
        <w:ind w:left="426"/>
        <w:jc w:val="left"/>
        <w:rPr>
          <w:sz w:val="24"/>
        </w:rPr>
      </w:pPr>
      <w:r>
        <w:rPr>
          <w:rFonts w:hint="eastAsia"/>
          <w:sz w:val="24"/>
        </w:rPr>
        <w:t>4.1乙方文件的提供</w:t>
      </w:r>
    </w:p>
    <w:p>
      <w:pPr>
        <w:spacing w:line="360" w:lineRule="auto"/>
        <w:ind w:firstLine="480" w:firstLineChars="200"/>
        <w:jc w:val="left"/>
        <w:rPr>
          <w:sz w:val="24"/>
        </w:rPr>
      </w:pPr>
      <w:r>
        <w:rPr>
          <w:rFonts w:hint="eastAsia"/>
          <w:sz w:val="24"/>
        </w:rPr>
        <w:t>乙方应在规定的期限内按照合同约定的数量向甲方提供乙方文件。合同约定乙方文件应批准的，甲方应当在合同约定的期限内批复。乙方的文件的提供和审查按工作指引执行。</w:t>
      </w:r>
    </w:p>
    <w:p>
      <w:pPr>
        <w:spacing w:line="360" w:lineRule="auto"/>
        <w:ind w:left="426"/>
        <w:jc w:val="left"/>
        <w:rPr>
          <w:sz w:val="24"/>
        </w:rPr>
      </w:pPr>
      <w:r>
        <w:rPr>
          <w:rFonts w:hint="eastAsia"/>
          <w:sz w:val="24"/>
        </w:rPr>
        <w:t>4.2甲方提供的文件</w:t>
      </w:r>
    </w:p>
    <w:p>
      <w:pPr>
        <w:spacing w:line="360" w:lineRule="auto"/>
        <w:ind w:firstLine="480" w:firstLineChars="200"/>
        <w:jc w:val="left"/>
        <w:rPr>
          <w:sz w:val="24"/>
        </w:rPr>
      </w:pPr>
      <w:r>
        <w:rPr>
          <w:rFonts w:hint="eastAsia"/>
          <w:sz w:val="24"/>
        </w:rPr>
        <w:t>按约定由甲方提供的文件，甲方应按约定的数量和期限交给乙方。</w:t>
      </w:r>
    </w:p>
    <w:p>
      <w:pPr>
        <w:spacing w:line="360" w:lineRule="auto"/>
        <w:ind w:left="426"/>
        <w:jc w:val="left"/>
        <w:rPr>
          <w:sz w:val="24"/>
        </w:rPr>
      </w:pPr>
      <w:r>
        <w:rPr>
          <w:rFonts w:hint="eastAsia"/>
          <w:sz w:val="24"/>
        </w:rPr>
        <w:t>4.3文件错误的通知</w:t>
      </w:r>
    </w:p>
    <w:p>
      <w:pPr>
        <w:spacing w:line="360" w:lineRule="auto"/>
        <w:ind w:firstLine="480" w:firstLineChars="200"/>
        <w:jc w:val="left"/>
        <w:rPr>
          <w:sz w:val="24"/>
        </w:rPr>
      </w:pPr>
      <w:r>
        <w:rPr>
          <w:rFonts w:hint="eastAsia"/>
          <w:sz w:val="24"/>
        </w:rPr>
        <w:t>任何一方发现了文件中存在的明显错误或疏忽，应及时通知另一方。</w:t>
      </w:r>
    </w:p>
    <w:p>
      <w:pPr>
        <w:spacing w:line="360" w:lineRule="auto"/>
        <w:ind w:left="426"/>
        <w:jc w:val="left"/>
        <w:rPr>
          <w:sz w:val="24"/>
        </w:rPr>
      </w:pPr>
      <w:r>
        <w:rPr>
          <w:rFonts w:hint="eastAsia"/>
          <w:sz w:val="24"/>
        </w:rPr>
        <w:t>4.4文件的照管</w:t>
      </w:r>
    </w:p>
    <w:p>
      <w:pPr>
        <w:spacing w:line="360" w:lineRule="auto"/>
        <w:ind w:firstLine="480" w:firstLineChars="200"/>
        <w:jc w:val="left"/>
        <w:rPr>
          <w:sz w:val="24"/>
        </w:rPr>
      </w:pPr>
      <w:r>
        <w:rPr>
          <w:rFonts w:hint="eastAsia"/>
          <w:sz w:val="24"/>
        </w:rPr>
        <w:t>乙方应在现场保留一份合同、甲方要求中列出的所有文件、乙方文件、变更以及其它根据合同收发的往来信函。甲方有权在任何合理的时间查阅和使用上述所有文件。</w:t>
      </w:r>
    </w:p>
    <w:p>
      <w:pPr>
        <w:spacing w:line="360" w:lineRule="auto"/>
        <w:outlineLvl w:val="2"/>
        <w:rPr>
          <w:b/>
          <w:sz w:val="24"/>
        </w:rPr>
      </w:pPr>
      <w:bookmarkStart w:id="34" w:name="_Toc489236611"/>
      <w:r>
        <w:rPr>
          <w:rFonts w:hint="eastAsia"/>
          <w:b/>
          <w:sz w:val="24"/>
        </w:rPr>
        <w:t>5.联络</w:t>
      </w:r>
      <w:bookmarkEnd w:id="34"/>
    </w:p>
    <w:p>
      <w:pPr>
        <w:spacing w:line="360" w:lineRule="auto"/>
        <w:ind w:left="426"/>
        <w:jc w:val="left"/>
        <w:rPr>
          <w:sz w:val="24"/>
        </w:rPr>
      </w:pPr>
      <w:r>
        <w:rPr>
          <w:rFonts w:hint="eastAsia"/>
          <w:sz w:val="24"/>
        </w:rPr>
        <w:t>5.1与合同有关的通知、批准、证明、证书、指示、要求、请求、同意、意见、确定和决定等，均应采用书面形式。</w:t>
      </w:r>
    </w:p>
    <w:p>
      <w:pPr>
        <w:spacing w:line="360" w:lineRule="auto"/>
        <w:ind w:left="426"/>
        <w:jc w:val="left"/>
        <w:rPr>
          <w:sz w:val="24"/>
        </w:rPr>
      </w:pPr>
      <w:r>
        <w:rPr>
          <w:rFonts w:hint="eastAsia"/>
          <w:sz w:val="24"/>
        </w:rPr>
        <w:t>5.2第5.1 项中的通知、批准、证明、证书、指示、要求、请求、同意、意见、确定和决定等来往函件，均应在合同约定的期限内送达指定的地点和指定的接收人，并办理签收手续。</w:t>
      </w:r>
    </w:p>
    <w:p>
      <w:pPr>
        <w:spacing w:line="360" w:lineRule="auto"/>
        <w:outlineLvl w:val="2"/>
        <w:rPr>
          <w:b/>
          <w:sz w:val="24"/>
        </w:rPr>
      </w:pPr>
      <w:bookmarkStart w:id="35" w:name="_Toc489236612"/>
      <w:r>
        <w:rPr>
          <w:rFonts w:hint="eastAsia"/>
          <w:b/>
          <w:sz w:val="24"/>
        </w:rPr>
        <w:t>6.转让</w:t>
      </w:r>
      <w:bookmarkEnd w:id="35"/>
      <w:r>
        <w:rPr>
          <w:rFonts w:hint="eastAsia"/>
          <w:b/>
          <w:sz w:val="24"/>
        </w:rPr>
        <w:t>和分包</w:t>
      </w:r>
    </w:p>
    <w:p>
      <w:pPr>
        <w:spacing w:line="360" w:lineRule="auto"/>
        <w:ind w:firstLine="480" w:firstLineChars="200"/>
        <w:jc w:val="left"/>
        <w:rPr>
          <w:sz w:val="24"/>
        </w:rPr>
      </w:pPr>
      <w:r>
        <w:rPr>
          <w:rFonts w:hint="eastAsia"/>
          <w:sz w:val="24"/>
        </w:rPr>
        <w:t>6.1本项目严禁转包或分包。</w:t>
      </w:r>
    </w:p>
    <w:p>
      <w:pPr>
        <w:spacing w:line="360" w:lineRule="auto"/>
        <w:outlineLvl w:val="2"/>
        <w:rPr>
          <w:b/>
          <w:sz w:val="24"/>
        </w:rPr>
      </w:pPr>
      <w:bookmarkStart w:id="36" w:name="_Toc489236614"/>
      <w:r>
        <w:rPr>
          <w:rFonts w:hint="eastAsia"/>
          <w:b/>
          <w:sz w:val="24"/>
        </w:rPr>
        <w:t>7.化石、文物</w:t>
      </w:r>
      <w:bookmarkEnd w:id="36"/>
    </w:p>
    <w:p>
      <w:pPr>
        <w:spacing w:line="360" w:lineRule="auto"/>
        <w:ind w:firstLine="480" w:firstLineChars="200"/>
        <w:jc w:val="left"/>
        <w:rPr>
          <w:sz w:val="24"/>
        </w:rPr>
      </w:pPr>
      <w:r>
        <w:rPr>
          <w:rFonts w:hint="eastAsia"/>
          <w:sz w:val="24"/>
        </w:rPr>
        <w:t>7.1在施工场地发掘的所有文物、古迹以及具有地质研究或考古价值的其他遗迹、化石、钱币或物品属于国家所有。一旦发现上述文物，乙方应督促并要求承包人采取有效合理的保护措施，防止任何人员移动或损坏上述物品，并立即报告当地文物行政部门，同时通知甲方。甲方和乙方应按文物行政部门要求采取妥善保护措施，由此导致工期延误，工期可相应顺延。若同时产生增加的费用，由甲方承担。</w:t>
      </w:r>
    </w:p>
    <w:p>
      <w:pPr>
        <w:spacing w:line="360" w:lineRule="auto"/>
        <w:ind w:firstLine="480" w:firstLineChars="200"/>
        <w:jc w:val="left"/>
        <w:rPr>
          <w:sz w:val="24"/>
        </w:rPr>
      </w:pPr>
      <w:r>
        <w:rPr>
          <w:rFonts w:hint="eastAsia"/>
          <w:sz w:val="24"/>
        </w:rPr>
        <w:t>7.2乙方发现文物后不及时报告或隐瞒不报，致使文物丢失或损坏的，应赔偿损失，并承担相应的法律责任。</w:t>
      </w:r>
    </w:p>
    <w:p>
      <w:pPr>
        <w:spacing w:line="360" w:lineRule="auto"/>
        <w:outlineLvl w:val="2"/>
        <w:rPr>
          <w:b/>
          <w:sz w:val="24"/>
        </w:rPr>
      </w:pPr>
      <w:bookmarkStart w:id="37" w:name="_Toc489236616"/>
      <w:r>
        <w:rPr>
          <w:rFonts w:hint="eastAsia"/>
          <w:b/>
          <w:sz w:val="24"/>
        </w:rPr>
        <w:t>8.文件及信息的保密</w:t>
      </w:r>
      <w:bookmarkEnd w:id="37"/>
    </w:p>
    <w:p>
      <w:pPr>
        <w:spacing w:line="360" w:lineRule="auto"/>
        <w:ind w:firstLine="480" w:firstLineChars="200"/>
        <w:jc w:val="left"/>
        <w:rPr>
          <w:sz w:val="24"/>
        </w:rPr>
      </w:pPr>
      <w:r>
        <w:rPr>
          <w:rFonts w:hint="eastAsia"/>
          <w:sz w:val="24"/>
        </w:rPr>
        <w:t>未经对方同意，在合作过程中形成的相关资料、信息涉及国家秘密、商业秘密及其他不宜公开的内部信息的，双方承诺保密，任何一方当事人不得将有关文件、技术秘密、需要保密的资料和信息泄露给他人或公开发表与引用，依法予以解密或者依法依规应当公开的除外。保密条款在本合同期满、解除或者终止后仍然有效,至有关信息依法予以解密或者依法公开为止。</w:t>
      </w:r>
    </w:p>
    <w:p>
      <w:pPr>
        <w:spacing w:line="360" w:lineRule="auto"/>
        <w:outlineLvl w:val="2"/>
        <w:rPr>
          <w:b/>
          <w:sz w:val="24"/>
        </w:rPr>
      </w:pPr>
      <w:bookmarkStart w:id="38" w:name="_Toc489236617"/>
      <w:r>
        <w:rPr>
          <w:rFonts w:hint="eastAsia"/>
          <w:b/>
          <w:sz w:val="24"/>
        </w:rPr>
        <w:t>9.甲方要求中的错误</w:t>
      </w:r>
      <w:bookmarkEnd w:id="38"/>
    </w:p>
    <w:p>
      <w:pPr>
        <w:spacing w:line="360" w:lineRule="auto"/>
        <w:ind w:firstLine="480" w:firstLineChars="200"/>
        <w:jc w:val="left"/>
        <w:rPr>
          <w:sz w:val="24"/>
        </w:rPr>
      </w:pPr>
      <w:r>
        <w:rPr>
          <w:rFonts w:hint="eastAsia"/>
          <w:sz w:val="24"/>
        </w:rPr>
        <w:t>9.1乙方应认真阅读、复核甲方要求，发现错误的，应及时书面通知甲方。对确实存在的错误，甲方坚持不作修改的，应承担由此导致乙方增加的费用或延误的工期。</w:t>
      </w:r>
    </w:p>
    <w:p>
      <w:pPr>
        <w:spacing w:line="360" w:lineRule="auto"/>
        <w:ind w:firstLine="480" w:firstLineChars="200"/>
        <w:jc w:val="left"/>
        <w:rPr>
          <w:sz w:val="24"/>
        </w:rPr>
      </w:pPr>
      <w:r>
        <w:rPr>
          <w:rFonts w:hint="eastAsia"/>
          <w:sz w:val="24"/>
        </w:rPr>
        <w:t>9.2乙方未发现甲方要求中存在错误的，乙方自行承担由此导致的费用增加或工期延误，但合同条款另有约定的除外。</w:t>
      </w:r>
    </w:p>
    <w:p>
      <w:pPr>
        <w:spacing w:line="360" w:lineRule="auto"/>
        <w:ind w:firstLine="480" w:firstLineChars="200"/>
        <w:jc w:val="left"/>
        <w:rPr>
          <w:sz w:val="24"/>
        </w:rPr>
      </w:pPr>
      <w:r>
        <w:rPr>
          <w:rFonts w:hint="eastAsia"/>
          <w:sz w:val="24"/>
        </w:rPr>
        <w:t>9.3无论乙方发现与否，在任何情况下，甲方要求中的下列错误导致乙方增加的费用或延误的工期，由甲方承担，并向乙方支付合理费用。</w:t>
      </w:r>
    </w:p>
    <w:p>
      <w:pPr>
        <w:spacing w:line="360" w:lineRule="auto"/>
        <w:ind w:firstLine="480" w:firstLineChars="200"/>
        <w:jc w:val="left"/>
        <w:rPr>
          <w:sz w:val="24"/>
        </w:rPr>
      </w:pPr>
      <w:r>
        <w:rPr>
          <w:rFonts w:hint="eastAsia"/>
          <w:sz w:val="24"/>
        </w:rPr>
        <w:t>（1）甲方要求中引用的原始数据和资料；</w:t>
      </w:r>
    </w:p>
    <w:p>
      <w:pPr>
        <w:spacing w:line="360" w:lineRule="auto"/>
        <w:ind w:firstLine="480" w:firstLineChars="200"/>
        <w:jc w:val="left"/>
        <w:rPr>
          <w:sz w:val="24"/>
        </w:rPr>
      </w:pPr>
      <w:r>
        <w:rPr>
          <w:rFonts w:hint="eastAsia"/>
          <w:sz w:val="24"/>
        </w:rPr>
        <w:t>（2）对工程或其任何部分增加的功能要求；</w:t>
      </w:r>
    </w:p>
    <w:p>
      <w:pPr>
        <w:spacing w:line="360" w:lineRule="auto"/>
        <w:ind w:firstLine="480" w:firstLineChars="200"/>
        <w:jc w:val="left"/>
        <w:rPr>
          <w:sz w:val="24"/>
        </w:rPr>
      </w:pPr>
      <w:r>
        <w:rPr>
          <w:rFonts w:hint="eastAsia"/>
          <w:sz w:val="24"/>
        </w:rPr>
        <w:t>（3）对工程增加的工艺安排或要求；</w:t>
      </w:r>
    </w:p>
    <w:p>
      <w:pPr>
        <w:spacing w:line="360" w:lineRule="auto"/>
        <w:ind w:firstLine="480" w:firstLineChars="200"/>
        <w:jc w:val="left"/>
        <w:rPr>
          <w:sz w:val="24"/>
        </w:rPr>
      </w:pPr>
      <w:r>
        <w:rPr>
          <w:rFonts w:hint="eastAsia"/>
          <w:sz w:val="24"/>
        </w:rPr>
        <w:t>（4）增加试验和检验标准；</w:t>
      </w:r>
    </w:p>
    <w:p>
      <w:pPr>
        <w:spacing w:line="360" w:lineRule="auto"/>
        <w:ind w:firstLine="480" w:firstLineChars="200"/>
        <w:jc w:val="left"/>
        <w:rPr>
          <w:sz w:val="24"/>
        </w:rPr>
      </w:pPr>
      <w:r>
        <w:rPr>
          <w:rFonts w:hint="eastAsia"/>
          <w:sz w:val="24"/>
        </w:rPr>
        <w:t>（5）除合同另有约定外，乙方无法核实的数据和资料。</w:t>
      </w:r>
    </w:p>
    <w:p>
      <w:pPr>
        <w:spacing w:line="360" w:lineRule="auto"/>
        <w:outlineLvl w:val="2"/>
        <w:rPr>
          <w:b/>
          <w:sz w:val="24"/>
        </w:rPr>
      </w:pPr>
      <w:bookmarkStart w:id="39" w:name="_Toc489236619"/>
      <w:r>
        <w:rPr>
          <w:rFonts w:hint="eastAsia"/>
          <w:b/>
          <w:sz w:val="24"/>
        </w:rPr>
        <w:t>10.合同变更、暂停与终止</w:t>
      </w:r>
      <w:bookmarkEnd w:id="39"/>
    </w:p>
    <w:p>
      <w:pPr>
        <w:spacing w:line="360" w:lineRule="auto"/>
        <w:ind w:firstLine="480" w:firstLineChars="200"/>
        <w:jc w:val="left"/>
        <w:rPr>
          <w:sz w:val="24"/>
        </w:rPr>
      </w:pPr>
      <w:r>
        <w:rPr>
          <w:rFonts w:hint="eastAsia"/>
          <w:sz w:val="24"/>
        </w:rPr>
        <w:t>10.1在本合同签订后，实际情况发生客观变化，使得乙方不能全部或部分进行项目管理及工程监理工作时，乙方应当立即通知甲方，该工作的完成时间应予延长，只有在甲方通知中明确已构成项目管理及工程监理工作暂停的情况下，才构成项目管理及工程监理工作暂停。项目管理及工程监理工作暂停后，当恢复执行项目管理及工程监理工作时，应当增加经双方确认不超过 15 日的时间用于恢复执行项目管理及工程监理工作。</w:t>
      </w:r>
    </w:p>
    <w:p>
      <w:pPr>
        <w:spacing w:line="360" w:lineRule="auto"/>
        <w:ind w:firstLine="480" w:firstLineChars="200"/>
        <w:jc w:val="left"/>
        <w:rPr>
          <w:sz w:val="24"/>
        </w:rPr>
      </w:pPr>
      <w:r>
        <w:rPr>
          <w:rFonts w:hint="eastAsia"/>
          <w:sz w:val="24"/>
        </w:rPr>
        <w:t>10.2乙方在应当获得项目管理及工程监理各阶段费用之日起 30 日内，仍未收到甲方同意支付款项证明，而甲方又未对乙方提出任何书面意见时，或已暂停执行项目管理及工程监理工作时限超过6个月仍没有得到甲方关于重新开始项目管理及工程监理工作的通知，乙方可向甲方发出催告通知。如果催告通知发出后 14 日内未得到甲方答复，乙方可选择解除合同、取消部分项目管理及工程监理工作，或自行暂停或继续暂停执行全部或部分项目管理及工程监理工作。</w:t>
      </w:r>
    </w:p>
    <w:p>
      <w:pPr>
        <w:spacing w:line="360" w:lineRule="auto"/>
        <w:ind w:firstLine="480" w:firstLineChars="200"/>
        <w:jc w:val="left"/>
        <w:rPr>
          <w:sz w:val="24"/>
        </w:rPr>
      </w:pPr>
      <w:r>
        <w:rPr>
          <w:rFonts w:hint="eastAsia"/>
          <w:sz w:val="24"/>
        </w:rPr>
        <w:t>10.3</w:t>
      </w:r>
      <w:r>
        <w:rPr>
          <w:sz w:val="24"/>
        </w:rPr>
        <w:t>在合同履行过程中，甲方发现</w:t>
      </w:r>
      <w:r>
        <w:rPr>
          <w:rFonts w:hint="eastAsia"/>
          <w:sz w:val="24"/>
        </w:rPr>
        <w:t>乙方</w:t>
      </w:r>
      <w:r>
        <w:rPr>
          <w:sz w:val="24"/>
        </w:rPr>
        <w:t>无法或无能力履行合同义务或服务成果质量不能满足甲方要求，则甲方有权要求</w:t>
      </w:r>
      <w:r>
        <w:rPr>
          <w:rFonts w:hint="eastAsia"/>
          <w:sz w:val="24"/>
        </w:rPr>
        <w:t>乙方</w:t>
      </w:r>
      <w:r>
        <w:rPr>
          <w:sz w:val="24"/>
        </w:rPr>
        <w:t>调换</w:t>
      </w:r>
      <w:r>
        <w:rPr>
          <w:rFonts w:hint="eastAsia"/>
          <w:sz w:val="24"/>
        </w:rPr>
        <w:t>乙方</w:t>
      </w:r>
      <w:r>
        <w:rPr>
          <w:sz w:val="24"/>
        </w:rPr>
        <w:t>人员，如仍然无法满足要求，则甲方有权单方面终止合同，并要求</w:t>
      </w:r>
      <w:r>
        <w:rPr>
          <w:rFonts w:hint="eastAsia"/>
          <w:sz w:val="24"/>
        </w:rPr>
        <w:t>乙方</w:t>
      </w:r>
      <w:r>
        <w:rPr>
          <w:sz w:val="24"/>
        </w:rPr>
        <w:t>赔偿损失。</w:t>
      </w:r>
    </w:p>
    <w:p>
      <w:pPr>
        <w:spacing w:line="360" w:lineRule="auto"/>
        <w:ind w:firstLine="480" w:firstLineChars="200"/>
        <w:jc w:val="left"/>
        <w:rPr>
          <w:sz w:val="24"/>
        </w:rPr>
      </w:pPr>
      <w:r>
        <w:rPr>
          <w:rFonts w:hint="eastAsia"/>
          <w:sz w:val="24"/>
        </w:rPr>
        <w:t>10.4如果按照本条上述各款暂停或终止合同，则甲方应按暂停或终止之日项目所处阶段及已取得的项目管理及工程监理工作正式成果确认合同规定的服务费，并以此向相关政府部门申请进行费用清算。</w:t>
      </w:r>
    </w:p>
    <w:p>
      <w:pPr>
        <w:spacing w:line="360" w:lineRule="auto"/>
        <w:ind w:firstLine="480" w:firstLineChars="200"/>
        <w:jc w:val="left"/>
        <w:rPr>
          <w:sz w:val="24"/>
        </w:rPr>
      </w:pPr>
      <w:r>
        <w:rPr>
          <w:rFonts w:hint="eastAsia"/>
          <w:sz w:val="24"/>
        </w:rPr>
        <w:t>10.5本合同于双方完全履行相应的合同义务并达到本合同目的后自</w:t>
      </w:r>
      <w:r>
        <w:rPr>
          <w:sz w:val="24"/>
        </w:rPr>
        <w:t>动终止。合同终止后并不影响各方应有的权利和应承担的责任，</w:t>
      </w:r>
      <w:r>
        <w:rPr>
          <w:rFonts w:hint="eastAsia"/>
          <w:sz w:val="24"/>
        </w:rPr>
        <w:t>双</w:t>
      </w:r>
      <w:r>
        <w:rPr>
          <w:sz w:val="24"/>
        </w:rPr>
        <w:t>方仍应遵循诚实信用原则，继续履行本合同的通知、协助及保密等义务。</w:t>
      </w:r>
    </w:p>
    <w:p>
      <w:pPr>
        <w:spacing w:line="360" w:lineRule="auto"/>
        <w:outlineLvl w:val="2"/>
        <w:rPr>
          <w:b/>
          <w:sz w:val="24"/>
        </w:rPr>
      </w:pPr>
      <w:bookmarkStart w:id="40" w:name="_Toc489236620"/>
      <w:r>
        <w:rPr>
          <w:rFonts w:hint="eastAsia"/>
          <w:b/>
          <w:sz w:val="24"/>
        </w:rPr>
        <w:t>11.</w:t>
      </w:r>
      <w:r>
        <w:rPr>
          <w:b/>
          <w:sz w:val="24"/>
        </w:rPr>
        <w:t>其他</w:t>
      </w:r>
      <w:bookmarkEnd w:id="40"/>
    </w:p>
    <w:p>
      <w:pPr>
        <w:spacing w:line="360" w:lineRule="auto"/>
        <w:ind w:left="479" w:leftChars="228"/>
        <w:jc w:val="left"/>
        <w:rPr>
          <w:sz w:val="24"/>
        </w:rPr>
      </w:pPr>
      <w:r>
        <w:rPr>
          <w:rFonts w:hint="eastAsia"/>
          <w:sz w:val="24"/>
        </w:rPr>
        <w:t>11.1如一方的营业地址、电话、法定代表人等发生变更，应提前 7 日书面通知对方。</w:t>
      </w:r>
    </w:p>
    <w:p>
      <w:pPr>
        <w:spacing w:line="360" w:lineRule="auto"/>
        <w:ind w:left="479" w:leftChars="228"/>
        <w:jc w:val="left"/>
        <w:rPr>
          <w:sz w:val="24"/>
        </w:rPr>
      </w:pPr>
      <w:r>
        <w:rPr>
          <w:rFonts w:hint="eastAsia"/>
          <w:sz w:val="24"/>
        </w:rPr>
        <w:t>11.2</w:t>
      </w:r>
      <w:r>
        <w:rPr>
          <w:sz w:val="24"/>
        </w:rPr>
        <w:t>其他未尽事宜，按照中华人民共和国相关法律规定执行。</w:t>
      </w:r>
      <w:bookmarkStart w:id="41" w:name="_Toc489865857"/>
      <w:bookmarkStart w:id="42" w:name="_Toc489236622"/>
    </w:p>
    <w:bookmarkEnd w:id="41"/>
    <w:bookmarkEnd w:id="42"/>
    <w:p>
      <w:pPr>
        <w:spacing w:line="360" w:lineRule="auto"/>
        <w:outlineLvl w:val="2"/>
        <w:rPr>
          <w:b/>
          <w:sz w:val="24"/>
        </w:rPr>
      </w:pPr>
      <w:bookmarkStart w:id="43" w:name="_Toc489236629"/>
      <w:r>
        <w:rPr>
          <w:rFonts w:hint="eastAsia"/>
          <w:b/>
          <w:sz w:val="24"/>
        </w:rPr>
        <w:t>12.</w:t>
      </w:r>
      <w:r>
        <w:rPr>
          <w:b/>
          <w:sz w:val="24"/>
        </w:rPr>
        <w:t>不可抗力</w:t>
      </w:r>
      <w:bookmarkEnd w:id="43"/>
    </w:p>
    <w:p>
      <w:pPr>
        <w:ind w:firstLine="480" w:firstLineChars="200"/>
        <w:jc w:val="left"/>
        <w:rPr>
          <w:sz w:val="24"/>
        </w:rPr>
      </w:pPr>
      <w:r>
        <w:rPr>
          <w:rFonts w:hint="eastAsia"/>
          <w:sz w:val="24"/>
        </w:rPr>
        <w:t>12.1</w:t>
      </w:r>
      <w:r>
        <w:rPr>
          <w:sz w:val="24"/>
        </w:rPr>
        <w:t>如果出现无法限制的战争、动乱、罢工、闭厂、空中运行物体坠落和非任何一方造成的爆炸、火灾，以及暴风、雪、雷、地震、洪灾等自然灾害以及政府行为(以下称不可抗力)，诸如此类超出合理控制能力之外的情况，而妨碍任何一方执行合同义务，那么在上述事态持续期间，将暂停合同义务的执行，并且受影响的一方不对由此而引起的任何延误负责。但应及时书面通知对方，双方协商相应的处理方法。</w:t>
      </w:r>
    </w:p>
    <w:p>
      <w:pPr>
        <w:spacing w:line="360" w:lineRule="auto"/>
        <w:outlineLvl w:val="2"/>
        <w:rPr>
          <w:b/>
          <w:sz w:val="24"/>
        </w:rPr>
      </w:pPr>
      <w:r>
        <w:rPr>
          <w:rFonts w:hint="eastAsia"/>
          <w:b/>
          <w:sz w:val="24"/>
        </w:rPr>
        <w:t>13.人员保险</w:t>
      </w:r>
    </w:p>
    <w:p>
      <w:pPr>
        <w:spacing w:line="360" w:lineRule="auto"/>
        <w:ind w:firstLine="480" w:firstLineChars="200"/>
        <w:rPr>
          <w:kern w:val="1"/>
          <w:sz w:val="24"/>
        </w:rPr>
      </w:pPr>
      <w:r>
        <w:rPr>
          <w:rFonts w:hint="eastAsia"/>
          <w:kern w:val="1"/>
          <w:sz w:val="24"/>
        </w:rPr>
        <w:t>13.1保险：为保障本合同的顺利履行，乙方应办理必要的各种保险，并承担相关费用。甲方不承担与此相关的任何费用及责任。</w:t>
      </w:r>
    </w:p>
    <w:p>
      <w:pPr>
        <w:pStyle w:val="4"/>
        <w:spacing w:before="0" w:after="0" w:line="360" w:lineRule="auto"/>
        <w:rPr>
          <w:lang w:val="zh-TW"/>
        </w:rPr>
      </w:pPr>
      <w:bookmarkStart w:id="44" w:name="_Toc111036402"/>
      <w:bookmarkStart w:id="45" w:name="_Toc19528"/>
      <w:bookmarkStart w:id="46" w:name="_Toc6822"/>
      <w:bookmarkStart w:id="47" w:name="_Toc60148178"/>
      <w:r>
        <w:rPr>
          <w:rFonts w:hint="eastAsia"/>
        </w:rPr>
        <w:t>二、</w:t>
      </w:r>
      <w:r>
        <w:rPr>
          <w:rFonts w:hint="eastAsia"/>
          <w:lang w:val="zh-TW"/>
        </w:rPr>
        <w:t>索赔</w:t>
      </w:r>
      <w:bookmarkEnd w:id="44"/>
      <w:bookmarkEnd w:id="45"/>
      <w:bookmarkEnd w:id="46"/>
      <w:bookmarkEnd w:id="47"/>
    </w:p>
    <w:p>
      <w:pPr>
        <w:spacing w:line="360" w:lineRule="auto"/>
        <w:rPr>
          <w:b/>
          <w:sz w:val="24"/>
        </w:rPr>
      </w:pPr>
      <w:r>
        <w:rPr>
          <w:rFonts w:hint="eastAsia"/>
          <w:b/>
          <w:sz w:val="24"/>
        </w:rPr>
        <w:t>14.乙方索赔的提出</w:t>
      </w:r>
    </w:p>
    <w:p>
      <w:pPr>
        <w:pStyle w:val="214"/>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TW"/>
        </w:rPr>
        <w:t>根据合同约定，乙方认为有权得到追加付款和（或）延长服务期的，应按以下程序向甲方提出索赔：</w:t>
      </w:r>
    </w:p>
    <w:p>
      <w:pPr>
        <w:spacing w:line="360" w:lineRule="auto"/>
        <w:rPr>
          <w:rFonts w:ascii="宋体" w:hAnsi="宋体" w:cs="宋体"/>
          <w:sz w:val="24"/>
          <w:lang w:val="zh-TW"/>
        </w:rPr>
      </w:pPr>
      <w:r>
        <w:rPr>
          <w:rFonts w:hint="eastAsia" w:ascii="宋体" w:hAnsi="宋体" w:cs="宋体"/>
          <w:sz w:val="24"/>
          <w:lang w:val="zh-TW"/>
        </w:rPr>
        <w:t>（1）乙方应在知道或应当知道索赔事件发生后28 日内，向甲方递交索赔意向通知书，并说明发生索赔事件的事由。乙方未在前述28日内发出索赔意向通知书的，服务期不予顺延，且乙方无权获得追加付款；</w:t>
      </w:r>
    </w:p>
    <w:p>
      <w:pPr>
        <w:spacing w:line="360" w:lineRule="auto"/>
        <w:rPr>
          <w:rFonts w:ascii="宋体" w:hAnsi="宋体" w:cs="宋体"/>
          <w:sz w:val="24"/>
          <w:lang w:val="zh-TW"/>
        </w:rPr>
      </w:pPr>
      <w:r>
        <w:rPr>
          <w:rFonts w:hint="eastAsia" w:ascii="宋体" w:hAnsi="宋体" w:cs="宋体"/>
          <w:sz w:val="24"/>
          <w:lang w:val="zh-TW"/>
        </w:rPr>
        <w:t>（2）乙方应在发出索赔意向通知书后28日内，向甲方正式递交索赔通知书。索赔通知书应详细说明索赔理由以及要求追加的付款金额和（或）延长的服务期，并附必要的记录和证明材料；乙方未在前述28日内发出正式索赔通知书的，视为放弃索赔；</w:t>
      </w:r>
    </w:p>
    <w:p>
      <w:pPr>
        <w:spacing w:line="360" w:lineRule="auto"/>
        <w:rPr>
          <w:rFonts w:ascii="宋体" w:hAnsi="宋体" w:cs="宋体"/>
          <w:sz w:val="24"/>
          <w:lang w:val="zh-TW"/>
        </w:rPr>
      </w:pPr>
      <w:r>
        <w:rPr>
          <w:rFonts w:hint="eastAsia" w:ascii="宋体" w:hAnsi="宋体" w:cs="宋体"/>
          <w:sz w:val="24"/>
          <w:lang w:val="zh-TW"/>
        </w:rPr>
        <w:t>（3）索赔事件具有连续影响的，乙方应按合理时间间隔继续递交延续索赔通知，说明连续影响的实际情况和记录，列出累计的追加付款金额和（或）服务期延长天数；</w:t>
      </w:r>
    </w:p>
    <w:p>
      <w:pPr>
        <w:spacing w:line="360" w:lineRule="auto"/>
        <w:rPr>
          <w:rFonts w:ascii="宋体" w:hAnsi="宋体" w:cs="宋体"/>
          <w:sz w:val="24"/>
          <w:lang w:val="zh-TW"/>
        </w:rPr>
      </w:pPr>
      <w:r>
        <w:rPr>
          <w:rFonts w:hint="eastAsia" w:ascii="宋体" w:hAnsi="宋体" w:cs="宋体"/>
          <w:sz w:val="24"/>
          <w:lang w:val="zh-TW"/>
        </w:rPr>
        <w:t>（4）在索赔事件影响结束后的28 日内，乙方应向甲方递交最终索赔通知书，说明最终要求索赔的追加付款金额和延长的服务期，并附必要的记录和证明材料。</w:t>
      </w:r>
    </w:p>
    <w:p>
      <w:pPr>
        <w:spacing w:line="360" w:lineRule="auto"/>
        <w:rPr>
          <w:b/>
          <w:sz w:val="24"/>
        </w:rPr>
      </w:pPr>
      <w:r>
        <w:rPr>
          <w:rFonts w:hint="eastAsia"/>
          <w:b/>
          <w:sz w:val="24"/>
        </w:rPr>
        <w:t>15.乙方索赔处理程序</w:t>
      </w:r>
    </w:p>
    <w:p>
      <w:pPr>
        <w:pStyle w:val="214"/>
        <w:spacing w:line="360" w:lineRule="auto"/>
        <w:ind w:firstLine="420"/>
        <w:rPr>
          <w:rFonts w:ascii="宋体" w:hAnsi="宋体" w:eastAsia="宋体" w:cs="宋体"/>
          <w:color w:val="auto"/>
          <w:sz w:val="24"/>
          <w:szCs w:val="24"/>
          <w:lang w:val="zh-TW"/>
        </w:rPr>
      </w:pPr>
      <w:r>
        <w:rPr>
          <w:rFonts w:hint="eastAsia" w:ascii="宋体" w:hAnsi="宋体" w:eastAsia="宋体" w:cs="宋体"/>
          <w:color w:val="auto"/>
          <w:sz w:val="24"/>
          <w:szCs w:val="24"/>
          <w:lang w:val="zh-TW"/>
        </w:rPr>
        <w:t>（1）甲方收到乙方正式索赔通知书后，应及时审查，需要乙方提供进一步证明材料的，应在收到通知书后14日内向乙方提出。甲方应在收到乙方正式索赔通知书或有关索赔的进一步证明材料后的</w:t>
      </w:r>
      <w:r>
        <w:rPr>
          <w:rFonts w:hint="eastAsia" w:ascii="宋体" w:hAnsi="宋体" w:eastAsia="宋体" w:cs="宋体"/>
          <w:color w:val="auto"/>
          <w:sz w:val="24"/>
          <w:szCs w:val="24"/>
        </w:rPr>
        <w:t>28</w:t>
      </w:r>
      <w:r>
        <w:rPr>
          <w:rFonts w:hint="eastAsia" w:ascii="宋体" w:hAnsi="宋体" w:eastAsia="宋体" w:cs="宋体"/>
          <w:color w:val="auto"/>
          <w:sz w:val="24"/>
          <w:szCs w:val="24"/>
          <w:lang w:val="zh-TW"/>
        </w:rPr>
        <w:t>日内，将索赔处理结果答复乙方。</w:t>
      </w:r>
    </w:p>
    <w:p>
      <w:pPr>
        <w:pStyle w:val="214"/>
        <w:spacing w:line="360" w:lineRule="auto"/>
        <w:ind w:firstLine="420"/>
        <w:rPr>
          <w:rFonts w:ascii="宋体" w:hAnsi="宋体" w:eastAsia="宋体" w:cs="宋体"/>
          <w:color w:val="auto"/>
          <w:sz w:val="24"/>
          <w:szCs w:val="24"/>
          <w:lang w:val="zh-TW"/>
        </w:rPr>
      </w:pPr>
      <w:r>
        <w:rPr>
          <w:rFonts w:hint="eastAsia" w:ascii="宋体" w:hAnsi="宋体" w:eastAsia="宋体" w:cs="宋体"/>
          <w:color w:val="auto"/>
          <w:sz w:val="24"/>
          <w:szCs w:val="24"/>
          <w:lang w:val="zh-TW"/>
        </w:rPr>
        <w:t>（2）乙方接受索赔处理结果的，甲方应在作出索赔处理结果答复后28 日内完成赔付。乙方不接受索赔处理结果的，按</w:t>
      </w:r>
      <w:r>
        <w:rPr>
          <w:rFonts w:hint="eastAsia" w:ascii="宋体" w:hAnsi="宋体" w:eastAsia="宋体" w:cs="宋体"/>
          <w:color w:val="auto"/>
          <w:sz w:val="24"/>
          <w:szCs w:val="24"/>
        </w:rPr>
        <w:t>合同第一部分</w:t>
      </w:r>
      <w:r>
        <w:rPr>
          <w:rFonts w:hint="eastAsia" w:ascii="宋体" w:hAnsi="宋体" w:eastAsia="宋体" w:cs="宋体"/>
          <w:color w:val="auto"/>
          <w:sz w:val="24"/>
          <w:szCs w:val="24"/>
          <w:lang w:val="zh-TW"/>
        </w:rPr>
        <w:t>协议书第</w:t>
      </w:r>
      <w:r>
        <w:rPr>
          <w:rFonts w:hint="eastAsia" w:ascii="宋体" w:hAnsi="宋体" w:eastAsia="宋体" w:cs="宋体"/>
          <w:color w:val="auto"/>
          <w:sz w:val="24"/>
          <w:szCs w:val="24"/>
        </w:rPr>
        <w:t>10</w:t>
      </w:r>
      <w:r>
        <w:rPr>
          <w:rFonts w:hint="eastAsia" w:ascii="宋体" w:hAnsi="宋体" w:eastAsia="宋体" w:cs="宋体"/>
          <w:color w:val="auto"/>
          <w:sz w:val="24"/>
          <w:szCs w:val="24"/>
          <w:lang w:val="zh-TW"/>
        </w:rPr>
        <w:t>条的约定执行。</w:t>
      </w:r>
    </w:p>
    <w:p>
      <w:pPr>
        <w:pStyle w:val="214"/>
        <w:spacing w:line="360" w:lineRule="auto"/>
        <w:rPr>
          <w:rFonts w:ascii="宋体" w:hAnsi="宋体" w:eastAsia="宋体" w:cs="宋体"/>
          <w:b/>
          <w:bCs/>
          <w:color w:val="auto"/>
          <w:sz w:val="24"/>
          <w:szCs w:val="24"/>
          <w:lang w:val="zh-TW"/>
        </w:rPr>
      </w:pPr>
      <w:r>
        <w:rPr>
          <w:rFonts w:hint="eastAsia" w:ascii="宋体" w:hAnsi="宋体" w:eastAsia="宋体" w:cs="宋体"/>
          <w:b/>
          <w:bCs/>
          <w:color w:val="auto"/>
          <w:sz w:val="24"/>
          <w:szCs w:val="24"/>
          <w:lang w:val="zh-TW"/>
        </w:rPr>
        <w:t>16.甲方的索赔及处理</w:t>
      </w:r>
    </w:p>
    <w:p>
      <w:pPr>
        <w:pStyle w:val="214"/>
        <w:spacing w:line="360" w:lineRule="auto"/>
        <w:ind w:firstLine="420"/>
        <w:rPr>
          <w:rFonts w:ascii="宋体" w:hAnsi="宋体" w:eastAsia="宋体" w:cs="宋体"/>
          <w:color w:val="auto"/>
          <w:sz w:val="24"/>
          <w:szCs w:val="24"/>
          <w:lang w:val="zh-TW"/>
        </w:rPr>
      </w:pPr>
      <w:r>
        <w:rPr>
          <w:rFonts w:hint="eastAsia" w:ascii="宋体" w:hAnsi="宋体" w:eastAsia="宋体" w:cs="宋体"/>
          <w:color w:val="auto"/>
          <w:sz w:val="24"/>
          <w:szCs w:val="24"/>
          <w:lang w:val="zh-TW"/>
        </w:rPr>
        <w:t>16.1 甲方应在知道或应当知道索赔事件发生后56日内，向乙方发出索赔通知书，并说明甲方有权索赔的事项和依据。甲方未在前述56日内发出索赔通知书的，丧失要求索赔的权利。</w:t>
      </w:r>
    </w:p>
    <w:p>
      <w:pPr>
        <w:pStyle w:val="214"/>
        <w:spacing w:line="360" w:lineRule="auto"/>
        <w:ind w:firstLine="420"/>
        <w:rPr>
          <w:rFonts w:ascii="宋体" w:hAnsi="宋体" w:eastAsia="宋体" w:cs="宋体"/>
          <w:b/>
          <w:bCs/>
          <w:color w:val="auto"/>
          <w:sz w:val="24"/>
          <w:szCs w:val="24"/>
        </w:rPr>
      </w:pPr>
      <w:r>
        <w:rPr>
          <w:rFonts w:hint="eastAsia" w:ascii="宋体" w:hAnsi="Courier New" w:eastAsia="宋体" w:cs="Times New Roman"/>
          <w:color w:val="auto"/>
          <w:sz w:val="24"/>
          <w:szCs w:val="24"/>
        </w:rPr>
        <w:t>16.2</w:t>
      </w:r>
      <w:r>
        <w:rPr>
          <w:rFonts w:hint="eastAsia" w:ascii="宋体" w:hAnsi="Courier New" w:eastAsia="宋体" w:cs="Times New Roman"/>
          <w:color w:val="auto"/>
          <w:sz w:val="24"/>
          <w:szCs w:val="24"/>
          <w:lang w:val="zh-TW"/>
        </w:rPr>
        <w:t xml:space="preserve"> </w:t>
      </w:r>
      <w:r>
        <w:rPr>
          <w:rFonts w:hint="eastAsia" w:ascii="宋体" w:hAnsi="宋体" w:eastAsia="宋体" w:cs="宋体"/>
          <w:color w:val="auto"/>
          <w:sz w:val="24"/>
          <w:szCs w:val="24"/>
          <w:lang w:val="zh-TW"/>
        </w:rPr>
        <w:t>乙方在接到甲方索赔通知书后</w:t>
      </w:r>
      <w:r>
        <w:rPr>
          <w:rFonts w:hint="eastAsia" w:ascii="宋体" w:hAnsi="宋体" w:eastAsia="宋体" w:cs="宋体"/>
          <w:color w:val="auto"/>
          <w:sz w:val="24"/>
          <w:szCs w:val="24"/>
        </w:rPr>
        <w:t>28日内</w:t>
      </w:r>
      <w:r>
        <w:rPr>
          <w:rFonts w:hint="eastAsia" w:ascii="宋体" w:hAnsi="宋体" w:eastAsia="宋体" w:cs="宋体"/>
          <w:color w:val="auto"/>
          <w:sz w:val="24"/>
          <w:szCs w:val="24"/>
          <w:lang w:val="zh-TW"/>
        </w:rPr>
        <w:t>到甲方指定银行帐户缴纳索赔金，否则，甲方有权在应付给乙方的款项中扣除相应款项。</w:t>
      </w:r>
    </w:p>
    <w:p>
      <w:pPr>
        <w:spacing w:line="360" w:lineRule="auto"/>
        <w:rPr>
          <w:b/>
          <w:sz w:val="24"/>
        </w:rPr>
      </w:pPr>
      <w:r>
        <w:rPr>
          <w:rFonts w:hint="eastAsia"/>
          <w:b/>
          <w:sz w:val="24"/>
        </w:rPr>
        <w:t>17.</w:t>
      </w:r>
      <w:r>
        <w:rPr>
          <w:b/>
          <w:sz w:val="24"/>
        </w:rPr>
        <w:t>反商业贿赂条款</w:t>
      </w:r>
    </w:p>
    <w:p>
      <w:pPr>
        <w:pStyle w:val="21"/>
        <w:spacing w:line="360" w:lineRule="auto"/>
        <w:ind w:right="84" w:rightChars="40" w:firstLine="480"/>
        <w:rPr>
          <w:sz w:val="24"/>
          <w:szCs w:val="24"/>
        </w:rPr>
      </w:pPr>
      <w:r>
        <w:rPr>
          <w:rFonts w:hint="eastAsia"/>
          <w:sz w:val="24"/>
          <w:szCs w:val="24"/>
        </w:rPr>
        <w:t>17.1双方均应严格遵守中国共产党的政策规定和国家有关法律法规及广东省委、省政府关于反商业贿赂和加强党风廉政建设的有关规定。</w:t>
      </w:r>
    </w:p>
    <w:p>
      <w:pPr>
        <w:pStyle w:val="21"/>
        <w:spacing w:line="360" w:lineRule="auto"/>
        <w:ind w:right="84" w:rightChars="40" w:firstLine="480"/>
        <w:rPr>
          <w:sz w:val="24"/>
          <w:szCs w:val="24"/>
        </w:rPr>
      </w:pPr>
      <w:r>
        <w:rPr>
          <w:rFonts w:hint="eastAsia"/>
          <w:sz w:val="24"/>
          <w:szCs w:val="24"/>
        </w:rPr>
        <w:t>17.2双方同意建立健全反商业贿赂和廉政制度，开展相关教育，设立反商业贿赂和廉政告示牌，公布举报电话，监督并认真查处违法违纪行为。</w:t>
      </w:r>
    </w:p>
    <w:p>
      <w:pPr>
        <w:pStyle w:val="21"/>
        <w:spacing w:line="360" w:lineRule="auto"/>
        <w:ind w:right="84" w:rightChars="40" w:firstLine="480"/>
        <w:rPr>
          <w:sz w:val="24"/>
          <w:szCs w:val="24"/>
        </w:rPr>
      </w:pPr>
      <w:r>
        <w:rPr>
          <w:rFonts w:hint="eastAsia"/>
          <w:sz w:val="24"/>
          <w:szCs w:val="24"/>
        </w:rPr>
        <w:t>17.3发现对方在业务活动中有违反商业贿赂和廉政规定的行为，一方有及时提醒对方纠正的权利和义务。</w:t>
      </w:r>
    </w:p>
    <w:p>
      <w:pPr>
        <w:pStyle w:val="21"/>
        <w:spacing w:line="360" w:lineRule="auto"/>
        <w:ind w:right="84" w:rightChars="40" w:firstLine="480"/>
        <w:rPr>
          <w:sz w:val="24"/>
          <w:szCs w:val="24"/>
        </w:rPr>
      </w:pPr>
      <w:r>
        <w:rPr>
          <w:rFonts w:hint="eastAsia"/>
          <w:sz w:val="24"/>
          <w:szCs w:val="24"/>
        </w:rPr>
        <w:t>17.4乙方应配合甲方与代建项目所在地检察机关同步开展预防工程建设职务犯罪工作。</w:t>
      </w:r>
    </w:p>
    <w:p>
      <w:pPr>
        <w:pStyle w:val="21"/>
        <w:spacing w:line="360" w:lineRule="auto"/>
        <w:ind w:right="84" w:rightChars="40" w:firstLine="480"/>
        <w:rPr>
          <w:sz w:val="24"/>
          <w:szCs w:val="24"/>
        </w:rPr>
      </w:pPr>
      <w:r>
        <w:rPr>
          <w:rFonts w:hint="eastAsia"/>
          <w:sz w:val="24"/>
          <w:szCs w:val="24"/>
        </w:rPr>
        <w:t>17.5除应遵守本章相应规定外，双方或其工作人员均应遵守以下规定：</w:t>
      </w:r>
    </w:p>
    <w:p>
      <w:pPr>
        <w:pStyle w:val="21"/>
        <w:spacing w:line="360" w:lineRule="auto"/>
        <w:ind w:right="84" w:rightChars="40" w:firstLine="480"/>
        <w:rPr>
          <w:sz w:val="24"/>
          <w:szCs w:val="24"/>
        </w:rPr>
      </w:pPr>
      <w:r>
        <w:rPr>
          <w:rFonts w:hint="eastAsia"/>
          <w:sz w:val="24"/>
          <w:szCs w:val="24"/>
        </w:rPr>
        <w:t>（1）不得参加对方安排的超标准宴请和娱乐活动；</w:t>
      </w:r>
    </w:p>
    <w:p>
      <w:pPr>
        <w:pStyle w:val="21"/>
        <w:spacing w:line="360" w:lineRule="auto"/>
        <w:ind w:right="84" w:rightChars="40" w:firstLine="480"/>
        <w:rPr>
          <w:sz w:val="24"/>
          <w:szCs w:val="24"/>
        </w:rPr>
      </w:pPr>
      <w:r>
        <w:rPr>
          <w:rFonts w:hint="eastAsia"/>
          <w:sz w:val="24"/>
          <w:szCs w:val="24"/>
        </w:rPr>
        <w:t>（2）不得接受对方提供的通讯工具、交通工具和高档办公用品等；</w:t>
      </w:r>
    </w:p>
    <w:p>
      <w:pPr>
        <w:pStyle w:val="21"/>
        <w:spacing w:line="360" w:lineRule="auto"/>
        <w:ind w:right="84" w:rightChars="40" w:firstLine="480"/>
        <w:rPr>
          <w:sz w:val="24"/>
          <w:szCs w:val="24"/>
        </w:rPr>
      </w:pPr>
      <w:r>
        <w:rPr>
          <w:rFonts w:hint="eastAsia"/>
          <w:sz w:val="24"/>
          <w:szCs w:val="24"/>
        </w:rPr>
        <w:t>（3）不得要求或者接受对方为其住房装修、婚丧嫁娶活动、配偶子女的工作安排以及出国出境、旅游等提供方便等；</w:t>
      </w:r>
    </w:p>
    <w:p>
      <w:pPr>
        <w:pStyle w:val="21"/>
        <w:spacing w:line="360" w:lineRule="auto"/>
        <w:ind w:right="84" w:rightChars="40" w:firstLine="480"/>
        <w:rPr>
          <w:sz w:val="24"/>
          <w:szCs w:val="24"/>
        </w:rPr>
      </w:pPr>
      <w:r>
        <w:rPr>
          <w:rFonts w:hint="eastAsia"/>
          <w:sz w:val="24"/>
          <w:szCs w:val="24"/>
        </w:rPr>
        <w:t>（4）不得从事与</w:t>
      </w:r>
      <w:r>
        <w:rPr>
          <w:rFonts w:hint="eastAsia"/>
          <w:sz w:val="24"/>
          <w:szCs w:val="24"/>
          <w:lang w:eastAsia="zh-Hans"/>
        </w:rPr>
        <w:t>施工建设</w:t>
      </w:r>
      <w:r>
        <w:rPr>
          <w:rFonts w:hint="eastAsia"/>
          <w:sz w:val="24"/>
          <w:szCs w:val="24"/>
        </w:rPr>
        <w:t>项目有关的材料设备供应、工程承包、劳务等活动，不得以配偶、子女名义从事上述活动；不得与有直接利益关系的单位就该项目的建设需要发生经济往来；</w:t>
      </w:r>
    </w:p>
    <w:p>
      <w:pPr>
        <w:pStyle w:val="21"/>
        <w:spacing w:line="360" w:lineRule="auto"/>
        <w:ind w:right="84" w:rightChars="40" w:firstLine="480"/>
        <w:rPr>
          <w:sz w:val="24"/>
        </w:rPr>
      </w:pPr>
      <w:r>
        <w:rPr>
          <w:rFonts w:hint="eastAsia"/>
          <w:sz w:val="24"/>
          <w:szCs w:val="24"/>
        </w:rPr>
        <w:t>（5）不得利用职权插手</w:t>
      </w:r>
      <w:r>
        <w:rPr>
          <w:rFonts w:hint="eastAsia"/>
          <w:sz w:val="24"/>
          <w:szCs w:val="24"/>
          <w:lang w:eastAsia="zh-Hans"/>
        </w:rPr>
        <w:t>施工建设</w:t>
      </w:r>
      <w:r>
        <w:rPr>
          <w:rFonts w:hint="eastAsia"/>
          <w:sz w:val="24"/>
          <w:szCs w:val="24"/>
        </w:rPr>
        <w:t>活动，不得以任何理由向对方推荐项目建设相关单位或推销材料，不得要求对方购买合同规定外的材料和设备。</w:t>
      </w:r>
    </w:p>
    <w:p>
      <w:pPr>
        <w:pStyle w:val="21"/>
        <w:spacing w:line="360" w:lineRule="auto"/>
        <w:ind w:right="84" w:rightChars="40" w:firstLine="480" w:firstLineChars="200"/>
        <w:rPr>
          <w:sz w:val="24"/>
        </w:rPr>
      </w:pPr>
      <w:r>
        <w:rPr>
          <w:rFonts w:hint="eastAsia"/>
          <w:sz w:val="24"/>
        </w:rPr>
        <w:t>17.6违反本章约定，除本合同已有约定外，应由有关部门依据有关规定给予党纪、政纪或组织处理；涉嫌犯罪的，移交司法机关追究刑事责任。</w:t>
      </w:r>
    </w:p>
    <w:p>
      <w:pPr>
        <w:snapToGrid w:val="0"/>
        <w:spacing w:line="360" w:lineRule="auto"/>
        <w:outlineLvl w:val="1"/>
        <w:rPr>
          <w:rFonts w:ascii="宋体" w:hAnsi="宋体" w:cs="宋体"/>
          <w:b/>
          <w:bCs/>
          <w:sz w:val="24"/>
          <w:u w:color="000000"/>
          <w:lang w:val="zh-TW"/>
        </w:rPr>
      </w:pPr>
      <w:r>
        <w:rPr>
          <w:rFonts w:hint="eastAsia" w:ascii="宋体" w:hAnsi="宋体" w:cs="宋体"/>
          <w:b/>
          <w:bCs/>
          <w:sz w:val="24"/>
          <w:u w:color="000000"/>
        </w:rPr>
        <w:t>三、</w:t>
      </w:r>
      <w:r>
        <w:rPr>
          <w:rFonts w:hint="eastAsia" w:ascii="宋体" w:hAnsi="宋体" w:cs="宋体"/>
          <w:b/>
          <w:bCs/>
          <w:sz w:val="24"/>
          <w:u w:color="000000"/>
          <w:lang w:val="zh-TW"/>
        </w:rPr>
        <w:t>争议解决</w:t>
      </w:r>
    </w:p>
    <w:p>
      <w:pPr>
        <w:spacing w:line="360" w:lineRule="auto"/>
        <w:rPr>
          <w:b/>
          <w:sz w:val="24"/>
        </w:rPr>
      </w:pPr>
      <w:r>
        <w:rPr>
          <w:rFonts w:hint="eastAsia"/>
          <w:b/>
          <w:sz w:val="24"/>
        </w:rPr>
        <w:t>18.协商</w:t>
      </w:r>
    </w:p>
    <w:p>
      <w:pPr>
        <w:snapToGrid w:val="0"/>
        <w:spacing w:line="360" w:lineRule="auto"/>
        <w:ind w:firstLine="480" w:firstLineChars="200"/>
        <w:jc w:val="left"/>
        <w:rPr>
          <w:rFonts w:ascii="宋体" w:hAnsi="Courier New"/>
          <w:sz w:val="24"/>
        </w:rPr>
      </w:pPr>
      <w:r>
        <w:rPr>
          <w:rFonts w:hint="eastAsia" w:ascii="宋体" w:hAnsi="Courier New"/>
          <w:sz w:val="24"/>
        </w:rPr>
        <w:t>双方应本着诚信原则协商解决彼此间的争议。</w:t>
      </w:r>
    </w:p>
    <w:p>
      <w:pPr>
        <w:spacing w:line="360" w:lineRule="auto"/>
        <w:rPr>
          <w:b/>
          <w:sz w:val="24"/>
        </w:rPr>
      </w:pPr>
      <w:r>
        <w:rPr>
          <w:rFonts w:hint="eastAsia"/>
          <w:b/>
          <w:sz w:val="24"/>
        </w:rPr>
        <w:t>19.诉讼</w:t>
      </w:r>
    </w:p>
    <w:p>
      <w:pPr>
        <w:spacing w:line="360" w:lineRule="auto"/>
        <w:ind w:firstLine="480" w:firstLineChars="200"/>
        <w:rPr>
          <w:b/>
        </w:rPr>
      </w:pPr>
      <w:bookmarkStart w:id="48" w:name="_Toc489865861"/>
      <w:bookmarkStart w:id="49" w:name="_Toc485394990"/>
      <w:bookmarkStart w:id="50" w:name="_Toc489236634"/>
      <w:r>
        <w:rPr>
          <w:rFonts w:hint="eastAsia" w:ascii="宋体" w:hAnsi="Courier New"/>
          <w:sz w:val="24"/>
          <w:szCs w:val="21"/>
        </w:rPr>
        <w:t>如果双方不能在14日内或双方商定的其他时间内解决本合同争议，可以依据本合同的协议书的规定解决。</w:t>
      </w:r>
    </w:p>
    <w:p>
      <w:pPr>
        <w:pStyle w:val="3"/>
        <w:sectPr>
          <w:pgSz w:w="11906" w:h="16838"/>
          <w:pgMar w:top="1276" w:right="1134" w:bottom="1134" w:left="1418" w:header="851" w:footer="851" w:gutter="0"/>
          <w:cols w:space="720" w:num="1"/>
        </w:sectPr>
      </w:pPr>
    </w:p>
    <w:p>
      <w:pPr>
        <w:pStyle w:val="92"/>
        <w:rPr>
          <w:rFonts w:ascii="宋体" w:hAnsi="宋体"/>
          <w:color w:val="auto"/>
          <w:sz w:val="32"/>
        </w:rPr>
      </w:pPr>
      <w:bookmarkStart w:id="51" w:name="_Toc19341"/>
      <w:bookmarkStart w:id="52" w:name="_Toc116230469"/>
      <w:bookmarkStart w:id="53" w:name="_Toc17663"/>
      <w:bookmarkStart w:id="54" w:name="_Toc2091"/>
      <w:bookmarkStart w:id="55" w:name="_Toc3640"/>
      <w:bookmarkStart w:id="56" w:name="_Toc14477"/>
      <w:bookmarkStart w:id="57" w:name="_Toc7910"/>
      <w:bookmarkStart w:id="58" w:name="_Toc3277"/>
      <w:bookmarkStart w:id="59" w:name="_Toc111036403"/>
      <w:bookmarkStart w:id="60" w:name="_Toc12920"/>
      <w:bookmarkStart w:id="61" w:name="_Toc60148179"/>
      <w:bookmarkStart w:id="62" w:name="_Toc15699"/>
      <w:r>
        <w:rPr>
          <w:rFonts w:hint="eastAsia"/>
          <w:color w:val="auto"/>
        </w:rPr>
        <w:t>第</w:t>
      </w:r>
      <w:r>
        <w:rPr>
          <w:rFonts w:hint="eastAsia"/>
          <w:color w:val="auto"/>
          <w:lang w:val="en-US"/>
        </w:rPr>
        <w:t>三</w:t>
      </w:r>
      <w:r>
        <w:rPr>
          <w:rFonts w:hint="eastAsia"/>
          <w:color w:val="auto"/>
        </w:rPr>
        <w:t>部分 项目管理</w:t>
      </w:r>
      <w:r>
        <w:rPr>
          <w:rFonts w:hint="eastAsia"/>
          <w:color w:val="auto"/>
          <w:lang w:val="en-US"/>
        </w:rPr>
        <w:t>专项</w:t>
      </w:r>
      <w:r>
        <w:rPr>
          <w:rFonts w:hint="eastAsia"/>
          <w:color w:val="auto"/>
        </w:rPr>
        <w:t>条款</w:t>
      </w:r>
      <w:bookmarkEnd w:id="51"/>
      <w:bookmarkEnd w:id="52"/>
      <w:bookmarkEnd w:id="53"/>
      <w:bookmarkEnd w:id="54"/>
      <w:bookmarkEnd w:id="55"/>
      <w:bookmarkEnd w:id="56"/>
      <w:bookmarkEnd w:id="57"/>
      <w:bookmarkEnd w:id="58"/>
    </w:p>
    <w:p>
      <w:pPr>
        <w:pStyle w:val="4"/>
        <w:spacing w:before="200" w:after="200" w:line="240" w:lineRule="auto"/>
        <w:rPr>
          <w:rFonts w:ascii="宋体" w:hAnsi="宋体"/>
          <w:szCs w:val="28"/>
        </w:rPr>
      </w:pPr>
      <w:bookmarkStart w:id="63" w:name="_Toc12000"/>
      <w:bookmarkStart w:id="64" w:name="_Toc16737"/>
      <w:bookmarkStart w:id="65" w:name="_Toc13398"/>
      <w:bookmarkStart w:id="66" w:name="_Toc8177"/>
      <w:bookmarkStart w:id="67" w:name="_Toc10773"/>
      <w:bookmarkStart w:id="68" w:name="_Toc11498"/>
      <w:bookmarkStart w:id="69" w:name="_Toc22620"/>
      <w:bookmarkStart w:id="70" w:name="_Toc27995"/>
      <w:r>
        <w:rPr>
          <w:rFonts w:hint="eastAsia" w:ascii="宋体" w:hAnsi="宋体"/>
          <w:szCs w:val="28"/>
        </w:rPr>
        <w:t>第一章 定义及解释</w:t>
      </w:r>
      <w:bookmarkEnd w:id="63"/>
      <w:bookmarkEnd w:id="64"/>
      <w:bookmarkEnd w:id="65"/>
      <w:bookmarkEnd w:id="66"/>
      <w:bookmarkEnd w:id="67"/>
      <w:bookmarkEnd w:id="68"/>
      <w:bookmarkEnd w:id="69"/>
      <w:bookmarkEnd w:id="70"/>
    </w:p>
    <w:p>
      <w:pPr>
        <w:spacing w:line="360" w:lineRule="auto"/>
        <w:ind w:firstLine="480" w:firstLineChars="200"/>
        <w:rPr>
          <w:rFonts w:ascii="宋体" w:hAnsi="宋体"/>
          <w:sz w:val="24"/>
        </w:rPr>
      </w:pPr>
      <w:r>
        <w:rPr>
          <w:rFonts w:hint="eastAsia" w:ascii="宋体" w:hAnsi="宋体"/>
          <w:sz w:val="24"/>
        </w:rPr>
        <w:t>下列名词和用语，在本合同中定义如下：</w:t>
      </w:r>
    </w:p>
    <w:p>
      <w:pPr>
        <w:spacing w:line="360" w:lineRule="auto"/>
        <w:ind w:firstLine="480" w:firstLineChars="200"/>
        <w:rPr>
          <w:rFonts w:ascii="宋体" w:hAnsi="宋体"/>
          <w:sz w:val="24"/>
        </w:rPr>
      </w:pPr>
      <w:r>
        <w:rPr>
          <w:rFonts w:hint="eastAsia" w:ascii="宋体" w:hAnsi="宋体"/>
          <w:sz w:val="24"/>
        </w:rPr>
        <w:t>1.1 “合同”是指与本工程相关的所有构成合同的文件，包括但不限于：合同协议书；合同条款；合同附件；补充与修正文件。</w:t>
      </w:r>
    </w:p>
    <w:p>
      <w:pPr>
        <w:spacing w:line="360" w:lineRule="auto"/>
        <w:ind w:firstLine="480" w:firstLineChars="200"/>
        <w:rPr>
          <w:rFonts w:ascii="宋体" w:hAnsi="宋体"/>
          <w:sz w:val="24"/>
        </w:rPr>
      </w:pPr>
      <w:r>
        <w:rPr>
          <w:rFonts w:hint="eastAsia" w:ascii="宋体" w:hAnsi="宋体"/>
          <w:sz w:val="24"/>
        </w:rPr>
        <w:t>1.2“服务”是指项目管理单位根据本合同所履行的服务。</w:t>
      </w:r>
    </w:p>
    <w:p>
      <w:pPr>
        <w:spacing w:line="360" w:lineRule="auto"/>
        <w:ind w:firstLine="480" w:firstLineChars="200"/>
        <w:rPr>
          <w:rFonts w:ascii="宋体" w:hAnsi="宋体"/>
          <w:sz w:val="24"/>
        </w:rPr>
      </w:pPr>
      <w:r>
        <w:rPr>
          <w:rFonts w:hint="eastAsia" w:ascii="宋体" w:hAnsi="宋体"/>
          <w:sz w:val="24"/>
        </w:rPr>
        <w:t>1.3 “工程”是指甲方委托项目管理单位实施建设管理的工程。</w:t>
      </w:r>
    </w:p>
    <w:p>
      <w:pPr>
        <w:spacing w:line="360" w:lineRule="auto"/>
        <w:ind w:firstLine="480" w:firstLineChars="200"/>
        <w:rPr>
          <w:rFonts w:ascii="宋体" w:hAnsi="宋体"/>
          <w:sz w:val="24"/>
        </w:rPr>
      </w:pPr>
      <w:r>
        <w:rPr>
          <w:rFonts w:hint="eastAsia" w:ascii="宋体" w:hAnsi="宋体"/>
          <w:sz w:val="24"/>
        </w:rPr>
        <w:t>1.4 “甲方”是指“广州市海珠区人民政府琶洲街道办事处”。</w:t>
      </w:r>
    </w:p>
    <w:p>
      <w:pPr>
        <w:spacing w:line="360" w:lineRule="auto"/>
        <w:ind w:firstLine="480" w:firstLineChars="200"/>
        <w:rPr>
          <w:rFonts w:ascii="宋体" w:hAnsi="宋体"/>
          <w:sz w:val="24"/>
        </w:rPr>
      </w:pPr>
      <w:r>
        <w:rPr>
          <w:rFonts w:hint="eastAsia" w:ascii="宋体" w:hAnsi="宋体"/>
          <w:sz w:val="24"/>
        </w:rPr>
        <w:t>1.5 “项目管理单位”是指接受甲方委托具体开展项目建设管理工作的单位主体。</w:t>
      </w:r>
    </w:p>
    <w:p>
      <w:pPr>
        <w:spacing w:line="360" w:lineRule="auto"/>
        <w:ind w:firstLine="480" w:firstLineChars="200"/>
        <w:rPr>
          <w:rFonts w:ascii="宋体" w:hAnsi="宋体"/>
          <w:sz w:val="24"/>
        </w:rPr>
      </w:pPr>
      <w:r>
        <w:rPr>
          <w:rFonts w:hint="eastAsia" w:ascii="宋体" w:hAnsi="宋体"/>
          <w:sz w:val="24"/>
        </w:rPr>
        <w:t>1.6 “项目管理服务经理”是指项目管理单位指定的全权代表派出方的具有相关工作经验的高级职员。</w:t>
      </w:r>
    </w:p>
    <w:p>
      <w:pPr>
        <w:spacing w:line="360" w:lineRule="auto"/>
        <w:ind w:firstLine="480" w:firstLineChars="200"/>
        <w:rPr>
          <w:rFonts w:ascii="宋体" w:hAnsi="宋体"/>
          <w:sz w:val="24"/>
        </w:rPr>
      </w:pPr>
      <w:r>
        <w:rPr>
          <w:rFonts w:hint="eastAsia" w:ascii="宋体" w:hAnsi="宋体"/>
          <w:sz w:val="24"/>
        </w:rPr>
        <w:t>1.7 “监理单位”是指本合同中所指的，作为一个独立的具有相应专业资格的公司，接受甲方和项目管理单位委托履行服务的施工监理等及其合法继承人或允许的受让人。</w:t>
      </w:r>
    </w:p>
    <w:p>
      <w:pPr>
        <w:spacing w:line="360" w:lineRule="auto"/>
        <w:ind w:firstLine="480" w:firstLineChars="200"/>
        <w:rPr>
          <w:rFonts w:ascii="宋体" w:hAnsi="宋体"/>
          <w:sz w:val="24"/>
        </w:rPr>
      </w:pPr>
      <w:r>
        <w:rPr>
          <w:rFonts w:hint="eastAsia" w:ascii="宋体" w:hAnsi="宋体"/>
          <w:sz w:val="24"/>
        </w:rPr>
        <w:t>1.8 “承包商”是指在合同中被工程某一部分选定作为承包商、制造商或供应商的任何当事人以及此当事人的合法继承人和允许的受让人。</w:t>
      </w:r>
    </w:p>
    <w:p>
      <w:pPr>
        <w:spacing w:line="360" w:lineRule="auto"/>
        <w:ind w:firstLine="480" w:firstLineChars="200"/>
        <w:rPr>
          <w:rFonts w:ascii="宋体" w:hAnsi="宋体"/>
          <w:sz w:val="24"/>
        </w:rPr>
      </w:pPr>
      <w:r>
        <w:rPr>
          <w:rFonts w:hint="eastAsia" w:ascii="宋体" w:hAnsi="宋体"/>
          <w:sz w:val="24"/>
        </w:rPr>
        <w:t>1.9 “一方”和“双方”是指甲方和项目管理单位。</w:t>
      </w:r>
    </w:p>
    <w:p>
      <w:pPr>
        <w:pStyle w:val="4"/>
        <w:spacing w:before="200" w:after="200" w:line="240" w:lineRule="auto"/>
        <w:rPr>
          <w:rFonts w:ascii="宋体" w:hAnsi="宋体"/>
          <w:szCs w:val="28"/>
        </w:rPr>
      </w:pPr>
      <w:bookmarkStart w:id="71" w:name="_Toc30374"/>
      <w:bookmarkStart w:id="72" w:name="_Toc18929"/>
      <w:bookmarkStart w:id="73" w:name="_Toc30778"/>
      <w:bookmarkStart w:id="74" w:name="_Toc22773"/>
      <w:bookmarkStart w:id="75" w:name="_Toc13783"/>
      <w:bookmarkStart w:id="76" w:name="_Toc3507"/>
      <w:bookmarkStart w:id="77" w:name="_Toc1343"/>
      <w:bookmarkStart w:id="78" w:name="_Toc17600"/>
      <w:r>
        <w:rPr>
          <w:rFonts w:ascii="宋体" w:hAnsi="宋体"/>
          <w:szCs w:val="28"/>
        </w:rPr>
        <w:t>第</w:t>
      </w:r>
      <w:r>
        <w:rPr>
          <w:rFonts w:hint="eastAsia" w:ascii="宋体" w:hAnsi="宋体"/>
          <w:szCs w:val="28"/>
        </w:rPr>
        <w:t>二章</w:t>
      </w:r>
      <w:r>
        <w:rPr>
          <w:rFonts w:ascii="宋体" w:hAnsi="宋体"/>
          <w:szCs w:val="28"/>
        </w:rPr>
        <w:t xml:space="preserve"> 本合同的</w:t>
      </w:r>
      <w:r>
        <w:rPr>
          <w:rFonts w:hint="eastAsia" w:ascii="宋体" w:hAnsi="宋体"/>
          <w:szCs w:val="28"/>
        </w:rPr>
        <w:t>项目管理服务</w:t>
      </w:r>
      <w:r>
        <w:rPr>
          <w:rFonts w:ascii="宋体" w:hAnsi="宋体"/>
          <w:szCs w:val="28"/>
        </w:rPr>
        <w:t>依据为：</w:t>
      </w:r>
      <w:bookmarkEnd w:id="71"/>
      <w:bookmarkEnd w:id="72"/>
      <w:bookmarkEnd w:id="73"/>
      <w:bookmarkEnd w:id="74"/>
      <w:bookmarkEnd w:id="75"/>
      <w:bookmarkEnd w:id="76"/>
      <w:bookmarkEnd w:id="77"/>
      <w:bookmarkEnd w:id="78"/>
    </w:p>
    <w:p>
      <w:pPr>
        <w:spacing w:line="360" w:lineRule="auto"/>
        <w:ind w:firstLine="480" w:firstLineChars="200"/>
        <w:rPr>
          <w:rFonts w:ascii="宋体" w:hAnsi="宋体"/>
          <w:sz w:val="24"/>
        </w:rPr>
      </w:pPr>
      <w:r>
        <w:rPr>
          <w:rFonts w:hint="eastAsia" w:ascii="宋体" w:hAnsi="宋体"/>
          <w:sz w:val="24"/>
        </w:rPr>
        <w:t>2.1《中华人民共和国建筑法》；</w:t>
      </w:r>
    </w:p>
    <w:p>
      <w:pPr>
        <w:spacing w:line="360" w:lineRule="auto"/>
        <w:ind w:firstLine="480" w:firstLineChars="200"/>
        <w:rPr>
          <w:rFonts w:ascii="宋体" w:hAnsi="宋体"/>
          <w:sz w:val="24"/>
        </w:rPr>
      </w:pPr>
      <w:r>
        <w:rPr>
          <w:rFonts w:hint="eastAsia" w:ascii="宋体" w:hAnsi="宋体"/>
          <w:sz w:val="24"/>
        </w:rPr>
        <w:t>2.2《中华人民共和国安全生产法》；</w:t>
      </w:r>
    </w:p>
    <w:p>
      <w:pPr>
        <w:spacing w:line="360" w:lineRule="auto"/>
        <w:ind w:firstLine="480" w:firstLineChars="200"/>
        <w:rPr>
          <w:rFonts w:ascii="宋体" w:hAnsi="宋体"/>
          <w:sz w:val="24"/>
        </w:rPr>
      </w:pPr>
      <w:r>
        <w:rPr>
          <w:rFonts w:hint="eastAsia" w:ascii="宋体" w:hAnsi="宋体"/>
          <w:sz w:val="24"/>
        </w:rPr>
        <w:t>2.3《建设工程质量管理条例》；</w:t>
      </w:r>
    </w:p>
    <w:p>
      <w:pPr>
        <w:spacing w:line="360" w:lineRule="auto"/>
        <w:ind w:firstLine="480" w:firstLineChars="200"/>
        <w:rPr>
          <w:rFonts w:ascii="宋体" w:hAnsi="宋体"/>
          <w:sz w:val="24"/>
        </w:rPr>
      </w:pPr>
      <w:r>
        <w:rPr>
          <w:rFonts w:hint="eastAsia" w:ascii="宋体" w:hAnsi="宋体"/>
          <w:sz w:val="24"/>
        </w:rPr>
        <w:t>2.4《建设工程安全生产管理条例》；</w:t>
      </w:r>
    </w:p>
    <w:p>
      <w:pPr>
        <w:spacing w:line="360" w:lineRule="auto"/>
        <w:ind w:firstLine="480" w:firstLineChars="200"/>
        <w:rPr>
          <w:rFonts w:ascii="宋体" w:hAnsi="宋体"/>
          <w:sz w:val="24"/>
        </w:rPr>
      </w:pPr>
      <w:r>
        <w:rPr>
          <w:rFonts w:hint="eastAsia" w:ascii="宋体" w:hAnsi="宋体"/>
          <w:sz w:val="24"/>
        </w:rPr>
        <w:t>2.5建设部《建筑市场诚信行为信息管理办法》；</w:t>
      </w:r>
    </w:p>
    <w:p>
      <w:pPr>
        <w:spacing w:line="360" w:lineRule="auto"/>
        <w:ind w:firstLine="480" w:firstLineChars="200"/>
        <w:rPr>
          <w:rFonts w:ascii="宋体" w:hAnsi="宋体"/>
          <w:sz w:val="24"/>
        </w:rPr>
      </w:pPr>
      <w:r>
        <w:rPr>
          <w:rFonts w:hint="eastAsia" w:ascii="宋体" w:hAnsi="宋体"/>
          <w:sz w:val="24"/>
        </w:rPr>
        <w:t>2.6建设部《关于落实建设工程安全生产监理责任的若干意见》（建市〔2006〕248号）；</w:t>
      </w:r>
    </w:p>
    <w:p>
      <w:pPr>
        <w:spacing w:line="360" w:lineRule="auto"/>
        <w:ind w:firstLine="480" w:firstLineChars="200"/>
        <w:rPr>
          <w:rFonts w:ascii="宋体" w:hAnsi="宋体"/>
          <w:sz w:val="24"/>
        </w:rPr>
      </w:pPr>
      <w:r>
        <w:rPr>
          <w:rFonts w:hint="eastAsia" w:ascii="宋体" w:hAnsi="宋体"/>
          <w:sz w:val="24"/>
        </w:rPr>
        <w:t>2.7广东省建设工程监理条例；</w:t>
      </w:r>
    </w:p>
    <w:p>
      <w:pPr>
        <w:spacing w:line="360" w:lineRule="auto"/>
        <w:ind w:firstLine="480" w:firstLineChars="200"/>
        <w:rPr>
          <w:rFonts w:ascii="宋体" w:hAnsi="宋体"/>
          <w:sz w:val="24"/>
        </w:rPr>
      </w:pPr>
      <w:r>
        <w:rPr>
          <w:rFonts w:hint="eastAsia" w:ascii="宋体" w:hAnsi="宋体"/>
          <w:sz w:val="24"/>
        </w:rPr>
        <w:t>2.8国家、地方和建设行业其他有关工程建设的法律、法规和规章或技术标准及其强制性条文；</w:t>
      </w:r>
    </w:p>
    <w:p>
      <w:pPr>
        <w:spacing w:line="360" w:lineRule="auto"/>
        <w:ind w:firstLine="480" w:firstLineChars="200"/>
        <w:rPr>
          <w:rFonts w:ascii="宋体" w:hAnsi="宋体"/>
          <w:sz w:val="24"/>
        </w:rPr>
      </w:pPr>
      <w:r>
        <w:rPr>
          <w:rFonts w:hint="eastAsia" w:ascii="宋体" w:hAnsi="宋体"/>
          <w:sz w:val="24"/>
        </w:rPr>
        <w:t>2.9经批准的工程建设项目设计文件及其他相关文件；</w:t>
      </w:r>
    </w:p>
    <w:p>
      <w:pPr>
        <w:spacing w:line="360" w:lineRule="auto"/>
        <w:ind w:firstLine="480" w:firstLineChars="200"/>
        <w:rPr>
          <w:rFonts w:ascii="宋体" w:hAnsi="宋体"/>
          <w:sz w:val="24"/>
        </w:rPr>
      </w:pPr>
      <w:r>
        <w:rPr>
          <w:rFonts w:hint="eastAsia" w:ascii="宋体" w:hAnsi="宋体"/>
          <w:sz w:val="24"/>
        </w:rPr>
        <w:t>2.10项目管理服务合同、监理合同、施工合同、检测合同、设备采购合同、质量监督书等合同文件。</w:t>
      </w:r>
    </w:p>
    <w:p>
      <w:pPr>
        <w:spacing w:line="360" w:lineRule="auto"/>
        <w:ind w:firstLine="480" w:firstLineChars="200"/>
        <w:rPr>
          <w:rFonts w:ascii="宋体" w:hAnsi="宋体"/>
          <w:sz w:val="24"/>
        </w:rPr>
      </w:pPr>
      <w:r>
        <w:rPr>
          <w:rFonts w:hint="eastAsia" w:ascii="宋体" w:hAnsi="宋体"/>
          <w:sz w:val="24"/>
        </w:rPr>
        <w:t>2.11中标单位项目管理投标文件。</w:t>
      </w:r>
    </w:p>
    <w:p>
      <w:pPr>
        <w:pStyle w:val="4"/>
        <w:spacing w:before="200" w:after="200" w:line="240" w:lineRule="auto"/>
        <w:rPr>
          <w:rFonts w:ascii="宋体" w:hAnsi="宋体"/>
          <w:szCs w:val="28"/>
        </w:rPr>
      </w:pPr>
      <w:bookmarkStart w:id="79" w:name="_Toc30754"/>
      <w:bookmarkStart w:id="80" w:name="_Toc27886"/>
      <w:bookmarkStart w:id="81" w:name="_Toc16922"/>
      <w:bookmarkStart w:id="82" w:name="_Toc10161"/>
      <w:bookmarkStart w:id="83" w:name="_Toc19349"/>
      <w:bookmarkStart w:id="84" w:name="_Toc23779"/>
      <w:bookmarkStart w:id="85" w:name="_Toc1775"/>
      <w:bookmarkStart w:id="86" w:name="_Toc4612"/>
      <w:r>
        <w:rPr>
          <w:rFonts w:hint="eastAsia" w:ascii="宋体" w:hAnsi="宋体"/>
          <w:szCs w:val="28"/>
        </w:rPr>
        <w:t>第三章 甲方的权利和义务</w:t>
      </w:r>
      <w:bookmarkEnd w:id="79"/>
      <w:bookmarkEnd w:id="80"/>
      <w:bookmarkEnd w:id="81"/>
      <w:bookmarkEnd w:id="82"/>
      <w:bookmarkEnd w:id="83"/>
      <w:bookmarkEnd w:id="84"/>
      <w:bookmarkEnd w:id="85"/>
      <w:bookmarkEnd w:id="86"/>
    </w:p>
    <w:p>
      <w:pPr>
        <w:spacing w:line="360" w:lineRule="auto"/>
        <w:ind w:firstLine="480" w:firstLineChars="200"/>
        <w:rPr>
          <w:rFonts w:ascii="宋体" w:hAnsi="宋体"/>
          <w:sz w:val="24"/>
        </w:rPr>
      </w:pPr>
      <w:r>
        <w:rPr>
          <w:rFonts w:hint="eastAsia" w:ascii="宋体" w:hAnsi="宋体"/>
          <w:sz w:val="24"/>
        </w:rPr>
        <w:t>3.1甲方有对项目管理单位根据本合同约定履行服务的监督和检查权。</w:t>
      </w:r>
    </w:p>
    <w:p>
      <w:pPr>
        <w:spacing w:line="360" w:lineRule="auto"/>
        <w:ind w:firstLine="480" w:firstLineChars="200"/>
        <w:rPr>
          <w:rFonts w:ascii="宋体" w:hAnsi="宋体"/>
          <w:sz w:val="24"/>
        </w:rPr>
      </w:pPr>
      <w:r>
        <w:rPr>
          <w:rFonts w:hint="eastAsia" w:ascii="宋体" w:hAnsi="宋体"/>
          <w:sz w:val="24"/>
        </w:rPr>
        <w:t>3.2甲方有对项目管理单位所做出违反合同约定的决定的否决权。</w:t>
      </w:r>
    </w:p>
    <w:p>
      <w:pPr>
        <w:spacing w:line="360" w:lineRule="auto"/>
        <w:ind w:firstLine="480" w:firstLineChars="200"/>
        <w:rPr>
          <w:rFonts w:ascii="宋体" w:hAnsi="宋体"/>
          <w:sz w:val="24"/>
        </w:rPr>
      </w:pPr>
      <w:r>
        <w:rPr>
          <w:rFonts w:hint="eastAsia" w:ascii="宋体" w:hAnsi="宋体"/>
          <w:sz w:val="24"/>
        </w:rPr>
        <w:t>3.3甲方有权对工程成本变化控制及处理程序等提出变更要求。</w:t>
      </w:r>
    </w:p>
    <w:p>
      <w:pPr>
        <w:spacing w:line="360" w:lineRule="auto"/>
        <w:ind w:firstLine="480" w:firstLineChars="200"/>
        <w:rPr>
          <w:rFonts w:ascii="宋体" w:hAnsi="宋体"/>
          <w:sz w:val="24"/>
        </w:rPr>
      </w:pPr>
      <w:r>
        <w:rPr>
          <w:rFonts w:hint="eastAsia" w:ascii="宋体" w:hAnsi="宋体"/>
          <w:sz w:val="24"/>
        </w:rPr>
        <w:t>3.4甲方可按合同规定，对项目管理单位进行监督和考核，对项目管理单位的违约行为进行处罚。</w:t>
      </w:r>
    </w:p>
    <w:p>
      <w:pPr>
        <w:spacing w:line="360" w:lineRule="auto"/>
        <w:ind w:firstLine="480" w:firstLineChars="200"/>
        <w:rPr>
          <w:rFonts w:ascii="宋体" w:hAnsi="宋体"/>
          <w:sz w:val="24"/>
        </w:rPr>
      </w:pPr>
      <w:r>
        <w:rPr>
          <w:rFonts w:hint="eastAsia" w:ascii="宋体" w:hAnsi="宋体"/>
          <w:sz w:val="24"/>
        </w:rPr>
        <w:t>3.5甲方有权要求项目管理单位提交建设管理工作周报与月报，以及工作范围内的专项报告，包括重大事项报告。</w:t>
      </w:r>
    </w:p>
    <w:p>
      <w:pPr>
        <w:spacing w:line="360" w:lineRule="auto"/>
        <w:ind w:firstLine="480" w:firstLineChars="200"/>
        <w:rPr>
          <w:rFonts w:ascii="宋体" w:hAnsi="宋体"/>
          <w:sz w:val="24"/>
        </w:rPr>
      </w:pPr>
      <w:r>
        <w:rPr>
          <w:rFonts w:hint="eastAsia" w:ascii="宋体" w:hAnsi="宋体"/>
          <w:sz w:val="24"/>
        </w:rPr>
        <w:t>3.6在日常工作中，甲方有权向项目管理单位了解工程进展情况，收集数据、资料，项目管理单位应积极配合，保证数据、资料的正确性和及时性。如项目管理单位不及时提供资料、办事不力、互相推诿者，甲方有权更换相关人员，因前述情况导致严重影响项目工程开展的，甲方有权单方面解除合同。</w:t>
      </w:r>
    </w:p>
    <w:p>
      <w:pPr>
        <w:spacing w:line="360" w:lineRule="auto"/>
        <w:ind w:firstLine="480" w:firstLineChars="200"/>
        <w:rPr>
          <w:rFonts w:ascii="宋体" w:hAnsi="宋体"/>
          <w:sz w:val="24"/>
        </w:rPr>
      </w:pPr>
      <w:r>
        <w:rPr>
          <w:rFonts w:hint="eastAsia" w:ascii="宋体" w:hAnsi="宋体"/>
          <w:sz w:val="24"/>
        </w:rPr>
        <w:t>3.7甲方有权对项目管理单位的日常项目建设管理工作进行必要的监督考核，并根据考核结果对项目管理单位进行奖罚，项目管理单位应积极配合，对检查出来的问题应按甲方要求的期限内整改，并及时提交整改报告。</w:t>
      </w:r>
    </w:p>
    <w:p>
      <w:pPr>
        <w:spacing w:line="360" w:lineRule="auto"/>
        <w:ind w:firstLine="480" w:firstLineChars="200"/>
        <w:rPr>
          <w:rFonts w:ascii="宋体" w:hAnsi="宋体"/>
          <w:sz w:val="24"/>
        </w:rPr>
      </w:pPr>
      <w:r>
        <w:rPr>
          <w:rFonts w:hint="eastAsia" w:ascii="宋体" w:hAnsi="宋体"/>
          <w:sz w:val="24"/>
        </w:rPr>
        <w:t>3.8如项目管理单位不按合同约定履行其职责，或履行合同不力而严重影响本合同的执行，或与承包商串通给甲方或工程造成损失的，甲方有权要求项目管理单位更换主要的相关人员，直到终止合同并要求项目管理单位承担相应的赔偿责任。</w:t>
      </w:r>
    </w:p>
    <w:p>
      <w:pPr>
        <w:spacing w:line="360" w:lineRule="auto"/>
        <w:ind w:firstLine="480" w:firstLineChars="200"/>
        <w:rPr>
          <w:rFonts w:ascii="宋体" w:hAnsi="宋体"/>
          <w:sz w:val="24"/>
        </w:rPr>
      </w:pPr>
      <w:r>
        <w:rPr>
          <w:rFonts w:hint="eastAsia" w:ascii="宋体" w:hAnsi="宋体"/>
          <w:sz w:val="24"/>
        </w:rPr>
        <w:t>3.9项目管理单位需事先征得甲方的同意才可以调换项目管理服务的主要负责人。</w:t>
      </w:r>
    </w:p>
    <w:p>
      <w:pPr>
        <w:spacing w:line="360" w:lineRule="auto"/>
        <w:ind w:firstLine="480" w:firstLineChars="200"/>
        <w:rPr>
          <w:rFonts w:ascii="宋体" w:hAnsi="宋体"/>
          <w:sz w:val="24"/>
        </w:rPr>
      </w:pPr>
      <w:r>
        <w:rPr>
          <w:rFonts w:hint="eastAsia" w:ascii="宋体" w:hAnsi="宋体"/>
          <w:sz w:val="24"/>
        </w:rPr>
        <w:t>3.10甲方应根据本合同的约定按时向项目管理单位支付服务报酬和其他有关费用。</w:t>
      </w:r>
    </w:p>
    <w:p>
      <w:pPr>
        <w:spacing w:line="360" w:lineRule="auto"/>
        <w:ind w:firstLine="480" w:firstLineChars="200"/>
        <w:rPr>
          <w:rFonts w:ascii="宋体" w:hAnsi="宋体"/>
          <w:sz w:val="24"/>
        </w:rPr>
      </w:pPr>
      <w:r>
        <w:rPr>
          <w:rFonts w:hint="eastAsia" w:ascii="宋体" w:hAnsi="宋体"/>
          <w:sz w:val="24"/>
        </w:rPr>
        <w:t>3.11甲方应在合同约定的时间内向项目管理单位提供与工程管理服务有关的资料。并按照本合同约定的工程竣工验收程序和要求保证工程正常交接。</w:t>
      </w:r>
    </w:p>
    <w:p>
      <w:pPr>
        <w:spacing w:line="360" w:lineRule="auto"/>
        <w:ind w:firstLine="480" w:firstLineChars="200"/>
        <w:rPr>
          <w:rFonts w:ascii="宋体" w:hAnsi="宋体"/>
          <w:sz w:val="24"/>
        </w:rPr>
      </w:pPr>
      <w:r>
        <w:rPr>
          <w:rFonts w:hint="eastAsia" w:ascii="宋体" w:hAnsi="宋体"/>
          <w:sz w:val="24"/>
        </w:rPr>
        <w:t>3.12为了保证本合同顺利执行，甲方应在合同约定的时间内就项目管理单位以书面形式提交的一切事宜做出书面答复。</w:t>
      </w:r>
    </w:p>
    <w:p>
      <w:pPr>
        <w:pStyle w:val="4"/>
        <w:spacing w:before="200" w:after="200" w:line="240" w:lineRule="auto"/>
        <w:rPr>
          <w:rFonts w:ascii="宋体" w:hAnsi="宋体"/>
          <w:szCs w:val="28"/>
        </w:rPr>
      </w:pPr>
      <w:bookmarkStart w:id="87" w:name="_Toc15068"/>
      <w:bookmarkStart w:id="88" w:name="_Toc10762"/>
      <w:bookmarkStart w:id="89" w:name="_Toc11296"/>
      <w:bookmarkStart w:id="90" w:name="_Toc20233"/>
      <w:bookmarkStart w:id="91" w:name="_Toc23814"/>
      <w:bookmarkStart w:id="92" w:name="_Toc12692"/>
      <w:bookmarkStart w:id="93" w:name="_Toc13518"/>
      <w:bookmarkStart w:id="94" w:name="_Toc11710"/>
      <w:r>
        <w:rPr>
          <w:rFonts w:hint="eastAsia" w:ascii="宋体" w:hAnsi="宋体"/>
          <w:szCs w:val="28"/>
        </w:rPr>
        <w:t xml:space="preserve">第四章 </w:t>
      </w:r>
      <w:r>
        <w:rPr>
          <w:rFonts w:ascii="宋体" w:hAnsi="宋体"/>
          <w:szCs w:val="28"/>
        </w:rPr>
        <w:t>项目</w:t>
      </w:r>
      <w:r>
        <w:rPr>
          <w:rFonts w:hint="eastAsia" w:ascii="宋体" w:hAnsi="宋体"/>
          <w:szCs w:val="28"/>
        </w:rPr>
        <w:t>管理</w:t>
      </w:r>
      <w:r>
        <w:rPr>
          <w:rFonts w:ascii="宋体" w:hAnsi="宋体"/>
          <w:szCs w:val="28"/>
        </w:rPr>
        <w:t>单位</w:t>
      </w:r>
      <w:r>
        <w:rPr>
          <w:rFonts w:hint="eastAsia" w:ascii="宋体" w:hAnsi="宋体"/>
          <w:szCs w:val="28"/>
        </w:rPr>
        <w:t>的权利和义务</w:t>
      </w:r>
      <w:bookmarkEnd w:id="87"/>
      <w:bookmarkEnd w:id="88"/>
      <w:bookmarkEnd w:id="89"/>
      <w:bookmarkEnd w:id="90"/>
      <w:bookmarkEnd w:id="91"/>
      <w:bookmarkEnd w:id="92"/>
      <w:bookmarkEnd w:id="93"/>
      <w:bookmarkEnd w:id="94"/>
    </w:p>
    <w:p>
      <w:pPr>
        <w:spacing w:line="360" w:lineRule="auto"/>
        <w:ind w:firstLine="480" w:firstLineChars="200"/>
        <w:rPr>
          <w:rFonts w:ascii="宋体" w:hAnsi="宋体"/>
          <w:sz w:val="24"/>
        </w:rPr>
      </w:pPr>
      <w:r>
        <w:rPr>
          <w:rFonts w:hint="eastAsia" w:ascii="宋体" w:hAnsi="宋体"/>
          <w:sz w:val="24"/>
        </w:rPr>
        <w:t>4.1项目管理单位有权在按合约履行各项义务无瑕疵的基础上获得合同约定的各项报酬。</w:t>
      </w:r>
    </w:p>
    <w:p>
      <w:pPr>
        <w:spacing w:line="360" w:lineRule="auto"/>
        <w:ind w:firstLine="480" w:firstLineChars="200"/>
        <w:rPr>
          <w:rFonts w:ascii="宋体" w:hAnsi="宋体"/>
          <w:sz w:val="24"/>
        </w:rPr>
      </w:pPr>
      <w:r>
        <w:rPr>
          <w:rFonts w:hint="eastAsia" w:ascii="宋体" w:hAnsi="宋体"/>
          <w:sz w:val="24"/>
        </w:rPr>
        <w:t>4.2项目管理单位有权要求甲方提供与履行合同有关的各项工程资料。</w:t>
      </w:r>
    </w:p>
    <w:p>
      <w:pPr>
        <w:spacing w:line="360" w:lineRule="auto"/>
        <w:ind w:firstLine="480" w:firstLineChars="200"/>
        <w:rPr>
          <w:rFonts w:ascii="宋体" w:hAnsi="宋体"/>
          <w:sz w:val="24"/>
        </w:rPr>
      </w:pPr>
      <w:r>
        <w:rPr>
          <w:rFonts w:hint="eastAsia" w:ascii="宋体" w:hAnsi="宋体"/>
          <w:sz w:val="24"/>
        </w:rPr>
        <w:t>4.3项目管理单位应根据本合同的要求和约定，认真负责履行甲方的委托服务和相应职责，在授权范围内代表甲方负责组织实施本工程的建设管理工作，按时向甲方交付符合施工合同约定质量等级的工程。</w:t>
      </w:r>
    </w:p>
    <w:p>
      <w:pPr>
        <w:spacing w:line="360" w:lineRule="auto"/>
        <w:ind w:firstLine="480" w:firstLineChars="200"/>
        <w:rPr>
          <w:rFonts w:ascii="宋体" w:hAnsi="宋体"/>
          <w:sz w:val="24"/>
        </w:rPr>
      </w:pPr>
      <w:r>
        <w:rPr>
          <w:rFonts w:hint="eastAsia" w:ascii="宋体" w:hAnsi="宋体"/>
          <w:sz w:val="24"/>
        </w:rPr>
        <w:t>4.4项目管理单位应认真地尽职和行使职权，并具有履行本合同所需的相关业务资格。</w:t>
      </w:r>
    </w:p>
    <w:p>
      <w:pPr>
        <w:spacing w:line="360" w:lineRule="auto"/>
        <w:ind w:firstLine="480" w:firstLineChars="200"/>
        <w:rPr>
          <w:rFonts w:ascii="宋体" w:hAnsi="宋体"/>
          <w:sz w:val="24"/>
        </w:rPr>
      </w:pPr>
      <w:r>
        <w:rPr>
          <w:rFonts w:hint="eastAsia" w:ascii="宋体" w:hAnsi="宋体"/>
          <w:sz w:val="24"/>
        </w:rPr>
        <w:t>4.5 项目管理单位负责做好与（包括但不限于）规划、国土、航道、港务、市政管理、电力管廊、环保、环卫、绿化等部门的协调工作以及迎接上级各部门的检查和考核的各项工作。</w:t>
      </w:r>
    </w:p>
    <w:p>
      <w:pPr>
        <w:spacing w:line="360" w:lineRule="auto"/>
        <w:ind w:firstLine="480" w:firstLineChars="200"/>
        <w:rPr>
          <w:rFonts w:ascii="宋体" w:hAnsi="宋体"/>
          <w:sz w:val="24"/>
        </w:rPr>
      </w:pPr>
      <w:r>
        <w:rPr>
          <w:rFonts w:hint="eastAsia" w:ascii="宋体" w:hAnsi="宋体"/>
          <w:sz w:val="24"/>
        </w:rPr>
        <w:t>4.6项目管理单位按本合同约定派出满足本工程服务需要的机构及人员，主要人员的资格应报甲方批准认可，向甲方报送委派的项目管理服务经理及其他派出人员（详见附件3）与工作计划，完成本合同所约定的委托服务各项业务。</w:t>
      </w:r>
    </w:p>
    <w:p>
      <w:pPr>
        <w:spacing w:line="360" w:lineRule="auto"/>
        <w:ind w:firstLine="480" w:firstLineChars="200"/>
        <w:rPr>
          <w:rFonts w:ascii="宋体" w:hAnsi="宋体"/>
          <w:sz w:val="24"/>
        </w:rPr>
      </w:pPr>
      <w:r>
        <w:rPr>
          <w:rFonts w:hint="eastAsia" w:ascii="宋体" w:hAnsi="宋体"/>
          <w:sz w:val="24"/>
        </w:rPr>
        <w:t>4.7在履行本合同期间，应按双方约定，定期向甲方报告有关工作情况。项目管理单位在事先征得甲方的同意下，可根据实际情况对本项目的管理人员进行适当的调整。</w:t>
      </w:r>
    </w:p>
    <w:p>
      <w:pPr>
        <w:spacing w:line="360" w:lineRule="auto"/>
        <w:ind w:firstLine="480" w:firstLineChars="200"/>
        <w:rPr>
          <w:rFonts w:ascii="宋体" w:hAnsi="宋体"/>
          <w:sz w:val="24"/>
        </w:rPr>
      </w:pPr>
      <w:r>
        <w:rPr>
          <w:rFonts w:hint="eastAsia" w:ascii="宋体" w:hAnsi="宋体"/>
          <w:sz w:val="24"/>
        </w:rPr>
        <w:t>4.8项目管理单位应根据甲方的要求，按有关主管部门批准的建设规模、设计标准和本工程的目标成本，组织工程的实施建设；并按照有关主管部门对建设项目的要求和规定，接受甲方委托，办理工程实施的有关手续，实行投资目标成本控制。</w:t>
      </w:r>
    </w:p>
    <w:p>
      <w:pPr>
        <w:spacing w:line="360" w:lineRule="auto"/>
        <w:ind w:firstLine="480" w:firstLineChars="200"/>
        <w:rPr>
          <w:rFonts w:ascii="宋体" w:hAnsi="宋体"/>
          <w:sz w:val="24"/>
        </w:rPr>
      </w:pPr>
      <w:r>
        <w:rPr>
          <w:rFonts w:hint="eastAsia" w:ascii="宋体" w:hAnsi="宋体"/>
          <w:sz w:val="24"/>
        </w:rPr>
        <w:t>4.9项目管理单位在项目建设管理中，对自身或承包商提出的变更事项如涉及工程投资、建设标准等问题的，应按甲方有关变更管理的规定和指引处理。如涉及工期、质量等重大问题的，应在充分维护甲方权益的基础上妥善处理，处理措施需同时报请甲方审核确认后实施。</w:t>
      </w:r>
    </w:p>
    <w:p>
      <w:pPr>
        <w:spacing w:line="360" w:lineRule="auto"/>
        <w:ind w:firstLine="480" w:firstLineChars="200"/>
        <w:rPr>
          <w:rFonts w:ascii="宋体" w:hAnsi="宋体"/>
          <w:sz w:val="24"/>
        </w:rPr>
      </w:pPr>
      <w:r>
        <w:rPr>
          <w:rFonts w:hint="eastAsia" w:ascii="宋体" w:hAnsi="宋体"/>
          <w:sz w:val="24"/>
        </w:rPr>
        <w:t>4.10如项目管理单位在报送各类报表、提供数据资料过程中有迟报、漏报、重报、错报现象，经核实确认后甲方有权对项目管理单位进行必要的经济处罚。</w:t>
      </w:r>
    </w:p>
    <w:p>
      <w:pPr>
        <w:spacing w:line="360" w:lineRule="auto"/>
        <w:ind w:firstLine="480" w:firstLineChars="200"/>
        <w:rPr>
          <w:rFonts w:ascii="宋体" w:hAnsi="宋体"/>
          <w:sz w:val="28"/>
          <w:szCs w:val="28"/>
        </w:rPr>
      </w:pPr>
      <w:r>
        <w:rPr>
          <w:rFonts w:hint="eastAsia" w:ascii="宋体" w:hAnsi="宋体"/>
          <w:sz w:val="24"/>
        </w:rPr>
        <w:t>4.11未征得甲方同意，不得泄露与本工程和本合同有关的所有资料</w:t>
      </w:r>
      <w:r>
        <w:rPr>
          <w:rFonts w:hint="eastAsia" w:ascii="宋体" w:hAnsi="宋体"/>
          <w:sz w:val="28"/>
          <w:szCs w:val="28"/>
        </w:rPr>
        <w:t>。</w:t>
      </w:r>
    </w:p>
    <w:p>
      <w:pPr>
        <w:pStyle w:val="4"/>
        <w:spacing w:before="200" w:after="200" w:line="240" w:lineRule="auto"/>
        <w:rPr>
          <w:rFonts w:ascii="宋体" w:hAnsi="宋体"/>
          <w:szCs w:val="28"/>
        </w:rPr>
      </w:pPr>
      <w:bookmarkStart w:id="95" w:name="_Toc29962"/>
      <w:bookmarkStart w:id="96" w:name="_Toc25387"/>
      <w:bookmarkStart w:id="97" w:name="_Toc12640"/>
      <w:bookmarkStart w:id="98" w:name="_Toc7477"/>
      <w:bookmarkStart w:id="99" w:name="_Toc16727"/>
      <w:bookmarkStart w:id="100" w:name="_Toc21737"/>
      <w:bookmarkStart w:id="101" w:name="_Toc12413"/>
      <w:bookmarkStart w:id="102" w:name="_Toc9635"/>
      <w:r>
        <w:rPr>
          <w:rFonts w:hint="eastAsia" w:ascii="宋体" w:hAnsi="宋体"/>
          <w:szCs w:val="28"/>
        </w:rPr>
        <w:t xml:space="preserve">第五章 </w:t>
      </w:r>
      <w:r>
        <w:rPr>
          <w:rFonts w:ascii="宋体" w:hAnsi="宋体"/>
          <w:szCs w:val="28"/>
        </w:rPr>
        <w:t>甲方</w:t>
      </w:r>
      <w:r>
        <w:rPr>
          <w:rFonts w:hint="eastAsia" w:ascii="宋体" w:hAnsi="宋体"/>
          <w:szCs w:val="28"/>
        </w:rPr>
        <w:t>的职责</w:t>
      </w:r>
      <w:bookmarkEnd w:id="95"/>
      <w:bookmarkEnd w:id="96"/>
      <w:bookmarkEnd w:id="97"/>
      <w:bookmarkEnd w:id="98"/>
      <w:bookmarkEnd w:id="99"/>
      <w:bookmarkEnd w:id="100"/>
      <w:bookmarkEnd w:id="101"/>
      <w:bookmarkEnd w:id="102"/>
    </w:p>
    <w:p>
      <w:pPr>
        <w:spacing w:line="360" w:lineRule="auto"/>
        <w:ind w:firstLine="480" w:firstLineChars="200"/>
        <w:rPr>
          <w:rFonts w:ascii="宋体" w:hAnsi="宋体"/>
          <w:sz w:val="24"/>
        </w:rPr>
      </w:pPr>
      <w:r>
        <w:rPr>
          <w:rFonts w:hint="eastAsia" w:ascii="宋体" w:hAnsi="宋体"/>
          <w:sz w:val="24"/>
        </w:rPr>
        <w:t>在本项目建设实施过程中，甲方应当积极配合与支持项目管理单位的工程管理工作。</w:t>
      </w:r>
    </w:p>
    <w:p>
      <w:pPr>
        <w:pStyle w:val="4"/>
        <w:spacing w:before="200" w:after="200" w:line="240" w:lineRule="auto"/>
        <w:rPr>
          <w:rFonts w:ascii="宋体" w:hAnsi="宋体"/>
          <w:szCs w:val="28"/>
        </w:rPr>
      </w:pPr>
      <w:bookmarkStart w:id="103" w:name="_Toc11078"/>
      <w:bookmarkStart w:id="104" w:name="_Toc26362"/>
      <w:bookmarkStart w:id="105" w:name="_Toc20105"/>
      <w:bookmarkStart w:id="106" w:name="_Toc26496"/>
      <w:bookmarkStart w:id="107" w:name="_Toc4919"/>
      <w:bookmarkStart w:id="108" w:name="_Toc2172"/>
      <w:bookmarkStart w:id="109" w:name="_Toc16289"/>
      <w:bookmarkStart w:id="110" w:name="_Toc3207"/>
      <w:r>
        <w:rPr>
          <w:rFonts w:hint="eastAsia" w:ascii="宋体" w:hAnsi="宋体"/>
          <w:szCs w:val="28"/>
        </w:rPr>
        <w:t>第六章 项目管理单位的职责</w:t>
      </w:r>
      <w:bookmarkEnd w:id="103"/>
      <w:bookmarkEnd w:id="104"/>
      <w:bookmarkEnd w:id="105"/>
      <w:bookmarkEnd w:id="106"/>
      <w:bookmarkEnd w:id="107"/>
      <w:bookmarkEnd w:id="108"/>
      <w:bookmarkEnd w:id="109"/>
      <w:bookmarkEnd w:id="110"/>
    </w:p>
    <w:p>
      <w:pPr>
        <w:spacing w:line="360" w:lineRule="auto"/>
        <w:ind w:firstLine="480" w:firstLineChars="200"/>
        <w:rPr>
          <w:rFonts w:ascii="宋体" w:hAnsi="宋体"/>
          <w:sz w:val="24"/>
        </w:rPr>
      </w:pPr>
      <w:r>
        <w:rPr>
          <w:rFonts w:hint="eastAsia" w:ascii="宋体" w:hAnsi="宋体"/>
          <w:sz w:val="24"/>
        </w:rPr>
        <w:t>项目管理单位应根据项目建设管理的相关要求，在正式接受甲方的委托至本合同规定的合同终止期限内，认真履行本章合同条款的职责和约定，具体负责本工程的建设管理。项目管理单位对本项目建设的进行总体管理，负责从合同签订起至项目竣工验收、竣工结算、财务决算且缺陷责任期满的统筹管理工作。包括但不限于：协调建设单位组织设计优化工作，申报各项报建审查手续；在项目实施阶段，进行设计管理、设备材料采购管理、施工管理、投资控制等工作，并对工程项目进行质量、进度、投资、合同、信息、安全等方面的有效统筹管理和控制，直到办理竣工验收手续、竣工结算、财务决算等实施过程中的建设管理工作及各种手续的报审管理工作、配合完成工程中涉及到规划、消防、环保、卫生防疫、质量安全、节能、交通的相关报批报建工作等。具体工作包含但不限以下内容：</w:t>
      </w:r>
    </w:p>
    <w:p>
      <w:pPr>
        <w:spacing w:line="360" w:lineRule="auto"/>
        <w:ind w:firstLine="482" w:firstLineChars="200"/>
        <w:rPr>
          <w:rFonts w:ascii="宋体" w:hAnsi="宋体"/>
          <w:b/>
          <w:bCs/>
          <w:sz w:val="24"/>
        </w:rPr>
      </w:pPr>
      <w:bookmarkStart w:id="111" w:name="_Toc5110"/>
      <w:bookmarkStart w:id="112" w:name="_Toc25590"/>
      <w:bookmarkStart w:id="113" w:name="_Toc26810"/>
      <w:bookmarkStart w:id="114" w:name="_Toc1923"/>
      <w:r>
        <w:rPr>
          <w:rFonts w:hint="eastAsia" w:ascii="宋体" w:hAnsi="宋体"/>
          <w:b/>
          <w:bCs/>
          <w:sz w:val="24"/>
        </w:rPr>
        <w:t>6.1 工程组织工作</w:t>
      </w:r>
      <w:bookmarkEnd w:id="111"/>
      <w:bookmarkEnd w:id="112"/>
      <w:bookmarkEnd w:id="113"/>
      <w:bookmarkEnd w:id="114"/>
    </w:p>
    <w:p>
      <w:pPr>
        <w:spacing w:line="360" w:lineRule="auto"/>
        <w:ind w:firstLine="480" w:firstLineChars="200"/>
        <w:rPr>
          <w:rFonts w:ascii="宋体" w:hAnsi="宋体"/>
          <w:sz w:val="24"/>
        </w:rPr>
      </w:pPr>
      <w:r>
        <w:rPr>
          <w:rFonts w:hint="eastAsia" w:ascii="宋体" w:hAnsi="宋体"/>
          <w:sz w:val="24"/>
        </w:rPr>
        <w:t>6.1.1协助甲方的立项工作。负责建设工程项目建议书、可行性研究报告的编制及组织相应的评审工作。</w:t>
      </w:r>
    </w:p>
    <w:p>
      <w:pPr>
        <w:spacing w:line="360" w:lineRule="auto"/>
        <w:ind w:firstLine="480" w:firstLineChars="200"/>
        <w:rPr>
          <w:rFonts w:ascii="宋体" w:hAnsi="宋体"/>
          <w:sz w:val="24"/>
        </w:rPr>
      </w:pPr>
      <w:r>
        <w:rPr>
          <w:rFonts w:hint="eastAsia" w:ascii="宋体" w:hAnsi="宋体"/>
          <w:sz w:val="24"/>
        </w:rPr>
        <w:t>6.1.2负责制定和完善工程建设总体计划及建设管理工作大纲。</w:t>
      </w:r>
    </w:p>
    <w:p>
      <w:pPr>
        <w:spacing w:line="360" w:lineRule="auto"/>
        <w:ind w:firstLine="480" w:firstLineChars="200"/>
        <w:rPr>
          <w:rFonts w:ascii="宋体" w:hAnsi="宋体"/>
          <w:sz w:val="24"/>
        </w:rPr>
      </w:pPr>
      <w:r>
        <w:rPr>
          <w:rFonts w:hint="eastAsia" w:ascii="宋体" w:hAnsi="宋体"/>
          <w:sz w:val="24"/>
        </w:rPr>
        <w:t>6.1.3负责制定工程设计工作管理规划和信息管理系统。</w:t>
      </w:r>
    </w:p>
    <w:p>
      <w:pPr>
        <w:spacing w:line="360" w:lineRule="auto"/>
        <w:ind w:firstLine="480" w:firstLineChars="200"/>
        <w:rPr>
          <w:rFonts w:ascii="宋体" w:hAnsi="宋体"/>
          <w:sz w:val="24"/>
        </w:rPr>
      </w:pPr>
      <w:r>
        <w:rPr>
          <w:rFonts w:hint="eastAsia" w:ascii="宋体" w:hAnsi="宋体"/>
          <w:sz w:val="24"/>
        </w:rPr>
        <w:t>6.1.4 负责制定整个项目过程的应急预案。</w:t>
      </w:r>
    </w:p>
    <w:p>
      <w:pPr>
        <w:spacing w:line="360" w:lineRule="auto"/>
        <w:ind w:firstLine="482" w:firstLineChars="200"/>
        <w:rPr>
          <w:rFonts w:ascii="宋体" w:hAnsi="宋体"/>
          <w:sz w:val="24"/>
        </w:rPr>
      </w:pPr>
      <w:bookmarkStart w:id="115" w:name="_Toc27954"/>
      <w:bookmarkStart w:id="116" w:name="_Toc30820"/>
      <w:bookmarkStart w:id="117" w:name="_Toc30516"/>
      <w:bookmarkStart w:id="118" w:name="_Toc27396"/>
      <w:r>
        <w:rPr>
          <w:rFonts w:hint="eastAsia" w:ascii="宋体" w:hAnsi="宋体"/>
          <w:b/>
          <w:bCs/>
          <w:sz w:val="24"/>
        </w:rPr>
        <w:t>6.2 工程前期阶段工作</w:t>
      </w:r>
      <w:bookmarkEnd w:id="115"/>
      <w:bookmarkEnd w:id="116"/>
      <w:bookmarkEnd w:id="117"/>
      <w:bookmarkEnd w:id="118"/>
    </w:p>
    <w:p>
      <w:pPr>
        <w:spacing w:line="360" w:lineRule="auto"/>
        <w:ind w:firstLine="480" w:firstLineChars="200"/>
        <w:rPr>
          <w:rFonts w:ascii="宋体" w:hAnsi="宋体"/>
          <w:sz w:val="24"/>
        </w:rPr>
      </w:pPr>
      <w:r>
        <w:rPr>
          <w:rFonts w:hint="eastAsia" w:ascii="宋体" w:hAnsi="宋体"/>
          <w:sz w:val="24"/>
        </w:rPr>
        <w:t>6.2.1负责协助工程用地并办理有关手续，向承建单位移交工程用地，并在工程建设中作为主要参与方开展需涉及到的协调和监管工作；配合工程实施所需的管线迁移及绿化临时迁移工作。</w:t>
      </w:r>
    </w:p>
    <w:p>
      <w:pPr>
        <w:spacing w:line="360" w:lineRule="auto"/>
        <w:ind w:firstLine="480" w:firstLineChars="200"/>
        <w:rPr>
          <w:rFonts w:ascii="宋体" w:hAnsi="宋体"/>
          <w:sz w:val="24"/>
        </w:rPr>
      </w:pPr>
      <w:r>
        <w:rPr>
          <w:rFonts w:hint="eastAsia" w:ascii="宋体" w:hAnsi="宋体"/>
          <w:sz w:val="24"/>
        </w:rPr>
        <w:t>6.2.2负责办理与工程建设实施所需的（包括但不限于）规划、国土、航道、港务、市政管理、电力管廊、环保、环卫、绿化等部门的报建、报批工作及组织施工图审查。</w:t>
      </w:r>
    </w:p>
    <w:p>
      <w:pPr>
        <w:spacing w:line="360" w:lineRule="auto"/>
        <w:ind w:firstLine="480" w:firstLineChars="200"/>
        <w:rPr>
          <w:rFonts w:ascii="宋体" w:hAnsi="宋体"/>
          <w:sz w:val="24"/>
        </w:rPr>
      </w:pPr>
      <w:r>
        <w:rPr>
          <w:rFonts w:hint="eastAsia" w:ascii="宋体" w:hAnsi="宋体"/>
          <w:sz w:val="24"/>
        </w:rPr>
        <w:t>6.2.3负责组织防洪评价及环境影响评价等有关前期论证工作；具体负责与有关部门的报批、协调及联络工作。</w:t>
      </w:r>
    </w:p>
    <w:p>
      <w:pPr>
        <w:spacing w:line="360" w:lineRule="auto"/>
        <w:ind w:firstLine="480" w:firstLineChars="200"/>
        <w:rPr>
          <w:rFonts w:ascii="宋体" w:hAnsi="宋体"/>
          <w:sz w:val="24"/>
        </w:rPr>
      </w:pPr>
      <w:r>
        <w:rPr>
          <w:rFonts w:hint="eastAsia" w:ascii="宋体" w:hAnsi="宋体"/>
          <w:sz w:val="24"/>
        </w:rPr>
        <w:t>6.2.4应有专人负责工程前期工作的日常管理，负责协调工程前期工作中各相关单位之间的关系。</w:t>
      </w:r>
    </w:p>
    <w:p>
      <w:pPr>
        <w:spacing w:line="360" w:lineRule="auto"/>
        <w:ind w:firstLine="480" w:firstLineChars="200"/>
        <w:rPr>
          <w:rFonts w:ascii="宋体" w:hAnsi="宋体"/>
          <w:sz w:val="24"/>
        </w:rPr>
      </w:pPr>
      <w:r>
        <w:rPr>
          <w:rFonts w:hint="eastAsia" w:ascii="宋体" w:hAnsi="宋体"/>
          <w:sz w:val="24"/>
        </w:rPr>
        <w:t>6.2.5 负责组织实施建设用地的勘测定界工作和办理合法用地手续。</w:t>
      </w:r>
    </w:p>
    <w:p>
      <w:pPr>
        <w:spacing w:line="360" w:lineRule="auto"/>
        <w:ind w:firstLine="480" w:firstLineChars="200"/>
        <w:rPr>
          <w:rFonts w:ascii="宋体" w:hAnsi="宋体"/>
          <w:sz w:val="24"/>
        </w:rPr>
      </w:pPr>
      <w:r>
        <w:rPr>
          <w:rFonts w:hint="eastAsia" w:ascii="宋体" w:hAnsi="宋体"/>
          <w:sz w:val="24"/>
        </w:rPr>
        <w:t>6.2.6 具体负责协调各种规划、国土报建等批复意见的信息交流与共享工作,以及协调工程前期工作中各相关单位之间的关系。</w:t>
      </w:r>
    </w:p>
    <w:p>
      <w:pPr>
        <w:spacing w:line="360" w:lineRule="auto"/>
        <w:ind w:firstLine="480" w:firstLineChars="200"/>
        <w:rPr>
          <w:rFonts w:ascii="宋体" w:hAnsi="宋体"/>
          <w:sz w:val="24"/>
        </w:rPr>
      </w:pPr>
      <w:r>
        <w:rPr>
          <w:rFonts w:hint="eastAsia" w:ascii="宋体" w:hAnsi="宋体"/>
          <w:sz w:val="24"/>
        </w:rPr>
        <w:t>6.2.7承接甲方另行委托的工作任务，具体工作内容和费用按规定另行签订合同予以明确。</w:t>
      </w:r>
    </w:p>
    <w:p>
      <w:pPr>
        <w:spacing w:line="360" w:lineRule="auto"/>
        <w:ind w:firstLine="482" w:firstLineChars="200"/>
        <w:rPr>
          <w:rFonts w:ascii="宋体" w:hAnsi="宋体"/>
          <w:b/>
          <w:bCs/>
          <w:sz w:val="24"/>
        </w:rPr>
      </w:pPr>
      <w:bookmarkStart w:id="119" w:name="_Toc11038"/>
      <w:bookmarkStart w:id="120" w:name="_Toc11680"/>
      <w:bookmarkStart w:id="121" w:name="_Toc20090"/>
      <w:bookmarkStart w:id="122" w:name="_Toc13952"/>
      <w:r>
        <w:rPr>
          <w:rFonts w:hint="eastAsia" w:ascii="宋体" w:hAnsi="宋体"/>
          <w:b/>
          <w:bCs/>
          <w:sz w:val="24"/>
        </w:rPr>
        <w:t>6.</w:t>
      </w:r>
      <w:r>
        <w:rPr>
          <w:rFonts w:ascii="宋体" w:hAnsi="宋体"/>
          <w:b/>
          <w:bCs/>
          <w:sz w:val="24"/>
        </w:rPr>
        <w:t>3</w:t>
      </w:r>
      <w:r>
        <w:rPr>
          <w:rFonts w:hint="eastAsia" w:ascii="宋体" w:hAnsi="宋体"/>
          <w:b/>
          <w:bCs/>
          <w:sz w:val="24"/>
        </w:rPr>
        <w:t xml:space="preserve"> 工程合同管理工作</w:t>
      </w:r>
      <w:bookmarkEnd w:id="119"/>
      <w:bookmarkEnd w:id="120"/>
      <w:bookmarkEnd w:id="121"/>
      <w:bookmarkEnd w:id="122"/>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3</w:t>
      </w:r>
      <w:r>
        <w:rPr>
          <w:rFonts w:hint="eastAsia" w:ascii="宋体" w:hAnsi="宋体"/>
          <w:sz w:val="24"/>
        </w:rPr>
        <w:t>.1项目管理单位对各类合同应负有管理、审核及跟踪协调的责任；要建立各类合同台帐，做好对合同核对工作，定时向甲方报送有关合同签订情况的报表。负责研究建立本工程的合同管理办法，并严格履行，使其发挥作用</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3</w:t>
      </w:r>
      <w:r>
        <w:rPr>
          <w:rFonts w:hint="eastAsia" w:ascii="宋体" w:hAnsi="宋体"/>
          <w:sz w:val="24"/>
        </w:rPr>
        <w:t>.2负责按甲方要求编制本合同涉及的各专业系统的设计、施工、监理、供货及其他相关的专业合同，维护甲方的合法利益，规避合同风险。</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3</w:t>
      </w:r>
      <w:r>
        <w:rPr>
          <w:rFonts w:hint="eastAsia" w:ascii="宋体" w:hAnsi="宋体"/>
          <w:sz w:val="24"/>
        </w:rPr>
        <w:t>.3负责提交合理的合同付款方式送甲方审批，审核签认付款凭证，要建立有效的支付台帐，定期主动与甲方方核对支付情况。</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3</w:t>
      </w:r>
      <w:r>
        <w:rPr>
          <w:rFonts w:hint="eastAsia" w:ascii="宋体" w:hAnsi="宋体"/>
          <w:sz w:val="24"/>
        </w:rPr>
        <w:t>.4跟踪和审查工程总投资的变动情况，并及时向甲方报告。</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3</w:t>
      </w:r>
      <w:r>
        <w:rPr>
          <w:rFonts w:hint="eastAsia" w:ascii="宋体" w:hAnsi="宋体"/>
          <w:sz w:val="24"/>
        </w:rPr>
        <w:t>.5协助甲方开展有关合同的谈判、履行、变更以及索赔等合同管理工作。</w:t>
      </w:r>
    </w:p>
    <w:p>
      <w:pPr>
        <w:spacing w:line="360" w:lineRule="auto"/>
        <w:ind w:firstLine="482" w:firstLineChars="200"/>
        <w:rPr>
          <w:rFonts w:ascii="宋体" w:hAnsi="宋体"/>
          <w:b/>
          <w:bCs/>
          <w:sz w:val="24"/>
        </w:rPr>
      </w:pPr>
      <w:bookmarkStart w:id="123" w:name="_Toc4149"/>
      <w:bookmarkStart w:id="124" w:name="_Toc6659"/>
      <w:bookmarkStart w:id="125" w:name="_Toc10044"/>
      <w:bookmarkStart w:id="126" w:name="_Toc25672"/>
      <w:r>
        <w:rPr>
          <w:rFonts w:hint="eastAsia" w:ascii="宋体" w:hAnsi="宋体"/>
          <w:b/>
          <w:bCs/>
          <w:sz w:val="24"/>
        </w:rPr>
        <w:t>6.</w:t>
      </w:r>
      <w:r>
        <w:rPr>
          <w:rFonts w:ascii="宋体" w:hAnsi="宋体"/>
          <w:b/>
          <w:bCs/>
          <w:sz w:val="24"/>
        </w:rPr>
        <w:t>4</w:t>
      </w:r>
      <w:r>
        <w:rPr>
          <w:rFonts w:hint="eastAsia" w:ascii="宋体" w:hAnsi="宋体"/>
          <w:b/>
          <w:bCs/>
          <w:sz w:val="24"/>
        </w:rPr>
        <w:t xml:space="preserve"> 工程设计阶段工作</w:t>
      </w:r>
      <w:bookmarkEnd w:id="123"/>
      <w:bookmarkEnd w:id="124"/>
      <w:bookmarkEnd w:id="125"/>
      <w:bookmarkEnd w:id="126"/>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.1负责对设计单位设计进度、设计质量的管理、监督与考核。</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.2负责审查勘察设计工作大纲。</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.3负责组织工程设计图纸的审查与评审及对设计方案进行优化，并组织工程设计单位根据工程设计评审意见，对工程设计文件进行优化修正。</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.4负责协助甲方组织工程设计单位对工程投资估算、工程概算和施工预算的编制进行审查和修正；积极配合甲方组织做好工程概算、预算和结算的工作。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.5负责本项目工程量的审核，负责出具工程技术规划与计量支付细则。</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.6协助甲方组织工程技术攻关和相关课题研究。</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.7负责工程设计文件（包括设计图纸、设计说明、工程概预算等）的规范管理工作。</w:t>
      </w:r>
    </w:p>
    <w:p>
      <w:pPr>
        <w:spacing w:line="360" w:lineRule="auto"/>
        <w:ind w:firstLine="480" w:firstLineChars="200"/>
        <w:rPr>
          <w:rFonts w:ascii="宋体" w:hAnsi="宋体"/>
          <w:color w:val="auto"/>
          <w:sz w:val="24"/>
          <w:highlight w:val="none"/>
        </w:rPr>
      </w:pPr>
      <w:r>
        <w:rPr>
          <w:rFonts w:hint="eastAsia" w:ascii="宋体" w:hAnsi="宋体"/>
          <w:sz w:val="24"/>
        </w:rPr>
        <w:t>6.</w:t>
      </w:r>
      <w:r>
        <w:rPr>
          <w:rFonts w:ascii="宋体" w:hAnsi="宋体"/>
          <w:sz w:val="24"/>
        </w:rPr>
        <w:t>4</w:t>
      </w:r>
      <w:r>
        <w:rPr>
          <w:rFonts w:hint="eastAsia" w:ascii="宋体" w:hAnsi="宋体"/>
          <w:sz w:val="24"/>
        </w:rPr>
        <w:t>.8</w:t>
      </w:r>
      <w:r>
        <w:rPr>
          <w:rFonts w:hint="eastAsia" w:ascii="宋体" w:hAnsi="宋体"/>
          <w:color w:val="auto"/>
          <w:sz w:val="24"/>
          <w:highlight w:val="none"/>
        </w:rPr>
        <w:t>负责工程设计、</w:t>
      </w:r>
      <w:r>
        <w:rPr>
          <w:rFonts w:hint="eastAsia" w:ascii="宋体" w:hAnsi="宋体"/>
          <w:color w:val="auto"/>
          <w:sz w:val="24"/>
          <w:highlight w:val="none"/>
          <w:lang w:eastAsia="zh-CN"/>
        </w:rPr>
        <w:t>图纸</w:t>
      </w:r>
      <w:r>
        <w:rPr>
          <w:rFonts w:hint="eastAsia" w:ascii="宋体" w:hAnsi="宋体"/>
          <w:color w:val="auto"/>
          <w:sz w:val="24"/>
          <w:highlight w:val="none"/>
        </w:rPr>
        <w:t>审查单位的</w:t>
      </w:r>
      <w:r>
        <w:rPr>
          <w:rFonts w:hint="eastAsia" w:ascii="宋体" w:hAnsi="宋体"/>
          <w:color w:val="auto"/>
          <w:sz w:val="24"/>
          <w:highlight w:val="none"/>
          <w:lang w:eastAsia="zh-CN"/>
        </w:rPr>
        <w:t>协调</w:t>
      </w:r>
      <w:r>
        <w:rPr>
          <w:rFonts w:hint="eastAsia" w:ascii="宋体" w:hAnsi="宋体"/>
          <w:color w:val="auto"/>
          <w:sz w:val="24"/>
          <w:highlight w:val="none"/>
        </w:rPr>
        <w:t>管理工作。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.9按甲方的要求负责项目规划报批、国土报批、环评报批等工作。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.10负责督促设计单位做好现场施工的配合，特别是设计人员现场到位的管理。</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4</w:t>
      </w:r>
      <w:r>
        <w:rPr>
          <w:rFonts w:hint="eastAsia" w:ascii="宋体" w:hAnsi="宋体"/>
          <w:sz w:val="24"/>
        </w:rPr>
        <w:t>.11负责督促设计单位对竣工验收的质量评估工作。</w:t>
      </w:r>
    </w:p>
    <w:p>
      <w:pPr>
        <w:spacing w:line="360" w:lineRule="auto"/>
        <w:ind w:firstLine="482" w:firstLineChars="200"/>
        <w:rPr>
          <w:rFonts w:ascii="宋体" w:hAnsi="宋体"/>
          <w:b/>
          <w:bCs/>
          <w:sz w:val="24"/>
        </w:rPr>
      </w:pPr>
      <w:bookmarkStart w:id="127" w:name="_Toc877"/>
      <w:bookmarkStart w:id="128" w:name="_Toc27654"/>
      <w:bookmarkStart w:id="129" w:name="_Toc12997"/>
      <w:bookmarkStart w:id="130" w:name="_Toc11166"/>
      <w:r>
        <w:rPr>
          <w:rFonts w:hint="eastAsia" w:ascii="宋体" w:hAnsi="宋体"/>
          <w:b/>
          <w:bCs/>
          <w:sz w:val="24"/>
        </w:rPr>
        <w:t>6.</w:t>
      </w:r>
      <w:r>
        <w:rPr>
          <w:rFonts w:ascii="宋体" w:hAnsi="宋体"/>
          <w:b/>
          <w:bCs/>
          <w:sz w:val="24"/>
        </w:rPr>
        <w:t>5</w:t>
      </w:r>
      <w:r>
        <w:rPr>
          <w:rFonts w:hint="eastAsia" w:ascii="宋体" w:hAnsi="宋体"/>
          <w:b/>
          <w:bCs/>
          <w:sz w:val="24"/>
        </w:rPr>
        <w:t xml:space="preserve"> 工程实施阶段工作</w:t>
      </w:r>
      <w:bookmarkEnd w:id="127"/>
      <w:bookmarkEnd w:id="128"/>
      <w:bookmarkEnd w:id="129"/>
      <w:bookmarkEnd w:id="130"/>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.1负责相应职责范围内工程实施阶段的投资控制。</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.1.1负责将工程建设成本控制在目标成本内，合同变更须严格按照政府和甲方的变更规定和指引处理；负责相应职责范围内工程变更设计管理。</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.1.2遵照甲方规定的付款手续和审批程序，负责工程量和工程款项支付的审核，并报甲方最终核定。向甲方提交的各项工程款申请支付表，应认真审核和核对，确保数据无误。</w:t>
      </w:r>
    </w:p>
    <w:p>
      <w:pPr>
        <w:tabs>
          <w:tab w:val="left" w:pos="7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1.3严格按照国家招标投标法，在发包人的监督下组织工程招标，择优选定勘察、设计、施工和主要材料设备供应单位。项目管理单位应按相关法律法规规定行使和履行合同的全部权利义务，切实保障工程质量、工程进度和施工安全，严格控制工程造价。</w:t>
      </w:r>
    </w:p>
    <w:p>
      <w:pPr>
        <w:tabs>
          <w:tab w:val="left" w:pos="7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.1.4在发包人的监督下，负责组织开展材料设备招标，保证所采购的材料设备符合设计和有关质量标准的要求。</w:t>
      </w:r>
    </w:p>
    <w:p>
      <w:pPr>
        <w:tabs>
          <w:tab w:val="left" w:pos="7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.1.5根据工程的节点要求,编制工程总用款计划和实施过程中的年、季、月用款计划，报发包人确认后，作为发包人筹集资金的计划依据。</w:t>
      </w:r>
    </w:p>
    <w:p>
      <w:pPr>
        <w:tabs>
          <w:tab w:val="left" w:pos="7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1.6根据发包人批准的工程施工进度计划，复核监理单位上报的施工单位当月完成经验收合格的工程量月报和下月用款报表（应细分各单项工程，并尽可能以工程合同为依据），并报发包人备案，作为每月应拨付工程款项的依据和下月的用款计划。</w:t>
      </w:r>
    </w:p>
    <w:p>
      <w:pPr>
        <w:tabs>
          <w:tab w:val="left" w:pos="720"/>
          <w:tab w:val="left" w:pos="13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1.7项目管理单位不得在施工过程中利用施工洽商或者补签其他协议随意变更建设规模、建设标准、建设内容和总投资额。因技术、水文、地质等原因必须进行设计变更的，应报发包人审批，具体设计变更审批程序应严格按发包人有关变更管理办法执行。所有临时追加用款事项按本条执行。</w:t>
      </w:r>
    </w:p>
    <w:p>
      <w:pPr>
        <w:tabs>
          <w:tab w:val="left" w:pos="720"/>
          <w:tab w:val="left" w:pos="13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.1.8在相关方提供有关资料后，负责编制年、季、月的投资完成报表、财务用款计划报表、固定资产投资统计基层基准表等工作。</w:t>
      </w:r>
    </w:p>
    <w:p>
      <w:pPr>
        <w:tabs>
          <w:tab w:val="left" w:pos="720"/>
          <w:tab w:val="left" w:pos="13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1.11工程竣工验收合格后二个月内，项目管理单位督促各负责单位报送的工程总结算书（要求把各部分工程项目分列清楚），报发包人并经批准后，由发包人在总结算书上签字盖章，作为本工程总结算的依据，办理结算手续，发包人按合同规定付清工程结算款余额。</w:t>
      </w:r>
    </w:p>
    <w:p>
      <w:pPr>
        <w:tabs>
          <w:tab w:val="left" w:pos="720"/>
          <w:tab w:val="left" w:pos="13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.1.12项目管理单位应严格控制施工过程的工程造价（包括但不限于工程签证和设计变更）。</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.1.13其他工程投资管理工作，包括但不限于资金监管等。</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.2负责工程实施阶段的进度、计划控制。</w:t>
      </w:r>
    </w:p>
    <w:p>
      <w:pPr>
        <w:spacing w:line="360" w:lineRule="auto"/>
        <w:ind w:firstLine="480" w:firstLineChars="200"/>
        <w:rPr>
          <w:rFonts w:ascii="宋体" w:hAnsi="宋体"/>
          <w:sz w:val="24"/>
        </w:rPr>
      </w:pPr>
      <w:r>
        <w:rPr>
          <w:rFonts w:hint="eastAsia" w:ascii="宋体" w:hAnsi="宋体"/>
          <w:sz w:val="24"/>
        </w:rPr>
        <w:t>制订工程建设计划和工作进度表，并在工程建设过程中不断加以完善、修正。指导和检查工程的进展情况和急需解决的问题，按计划组织实施，动态跟踪，及时纠偏，完成工程进度目标。</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.2.1</w:t>
      </w:r>
      <w:r>
        <w:rPr>
          <w:rFonts w:hint="eastAsia" w:ascii="宋体" w:hAnsi="宋体"/>
          <w:sz w:val="24"/>
          <w:szCs w:val="32"/>
        </w:rPr>
        <w:t>按照本合同和本项目施工合同中的工期约定，审查和调整监理单位上报的工程进度计划，包括总体计划及主要节点计划，分项分部计划和年度月度计划，报发包人审定。</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.2.2</w:t>
      </w:r>
      <w:r>
        <w:rPr>
          <w:rFonts w:hint="eastAsia" w:ascii="宋体" w:hAnsi="宋体"/>
          <w:sz w:val="24"/>
          <w:szCs w:val="32"/>
        </w:rPr>
        <w:t>严格按批准的计划进度管理，一旦达不到计划进度要求或发生进度拖期倾向，应在3日内向发包人报告查明原因，并采取有效措施予以补救，确保总工期不变和项目的如期完成。</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.2.3</w:t>
      </w:r>
      <w:r>
        <w:rPr>
          <w:rFonts w:hint="eastAsia" w:ascii="宋体" w:hAnsi="宋体"/>
          <w:sz w:val="24"/>
          <w:szCs w:val="32"/>
        </w:rPr>
        <w:t>定期组织召开工程协调会，及时分析、协调、平衡和调整工程进度，形成会议纪要，每月5日前向发包人提供上月有关进度的信息和存在的问题。</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.2.4</w:t>
      </w:r>
      <w:r>
        <w:rPr>
          <w:rFonts w:hint="eastAsia" w:ascii="宋体" w:hAnsi="宋体"/>
          <w:sz w:val="24"/>
          <w:szCs w:val="32"/>
        </w:rPr>
        <w:t>每月5日前向发包人、有关部门提供上月单位工程计划完成情况报表、工程计划报表和形象进度报表及建设动态。</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.2.5</w:t>
      </w:r>
      <w:r>
        <w:rPr>
          <w:rFonts w:hint="eastAsia" w:ascii="宋体" w:hAnsi="宋体"/>
          <w:sz w:val="24"/>
          <w:szCs w:val="32"/>
        </w:rPr>
        <w:t>监督监理单位的工作，协调安排各施工单位、配套单位及设备材料供应单位的施工衔接，组织有序的交叉施工。</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.2.6项目管理单位</w:t>
      </w:r>
      <w:r>
        <w:rPr>
          <w:rFonts w:hint="eastAsia" w:ascii="宋体" w:hAnsi="宋体"/>
          <w:sz w:val="24"/>
          <w:szCs w:val="32"/>
        </w:rPr>
        <w:t>有权根据工程施工合同执行情况发布开工令、停工令和复工令。上述命令下达前应通知发包人单位，命令下达后2个工作日内书面报告发包人单位。</w:t>
      </w:r>
    </w:p>
    <w:p>
      <w:pPr>
        <w:tabs>
          <w:tab w:val="left" w:pos="720"/>
        </w:tabs>
        <w:spacing w:line="360" w:lineRule="auto"/>
        <w:ind w:firstLine="480" w:firstLineChars="200"/>
        <w:rPr>
          <w:rFonts w:ascii="宋体" w:hAnsi="宋体"/>
          <w:sz w:val="24"/>
          <w:szCs w:val="32"/>
        </w:rPr>
      </w:pPr>
      <w:r>
        <w:rPr>
          <w:rFonts w:hint="eastAsia" w:ascii="宋体" w:hAnsi="宋体"/>
          <w:sz w:val="24"/>
        </w:rPr>
        <w:t>6.</w:t>
      </w:r>
      <w:r>
        <w:rPr>
          <w:rFonts w:ascii="宋体" w:hAnsi="宋体"/>
          <w:sz w:val="24"/>
        </w:rPr>
        <w:t>5</w:t>
      </w:r>
      <w:r>
        <w:rPr>
          <w:rFonts w:hint="eastAsia" w:ascii="宋体" w:hAnsi="宋体"/>
          <w:sz w:val="24"/>
        </w:rPr>
        <w:t>.2.7</w:t>
      </w:r>
      <w:r>
        <w:rPr>
          <w:rFonts w:hint="eastAsia" w:ascii="宋体" w:hAnsi="宋体"/>
          <w:sz w:val="24"/>
          <w:szCs w:val="32"/>
        </w:rPr>
        <w:t>其他工程进度管理工作。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.3负责工程实施阶段的质量、安全控制。</w:t>
      </w:r>
    </w:p>
    <w:p>
      <w:pPr>
        <w:spacing w:line="360" w:lineRule="auto"/>
        <w:ind w:firstLine="480" w:firstLineChars="200"/>
        <w:rPr>
          <w:rFonts w:ascii="宋体" w:hAnsi="宋体"/>
          <w:sz w:val="24"/>
        </w:rPr>
      </w:pPr>
      <w:r>
        <w:rPr>
          <w:rFonts w:hint="eastAsia" w:ascii="宋体" w:hAnsi="宋体"/>
          <w:sz w:val="24"/>
        </w:rPr>
        <w:t>按照国家和省市颁布的建筑管理条例和施工规范,以及对本项目建设标准、规范的要求，负责施工质量、材料设备质量及工程整体质量，建立质量保证体系，严格监督，确保工程质量达到合格。督促相关单位制定完善的质量、安全保证体系，并在工程实施过程中使之有效运转；完成合同约定的工程质量、安全目标，与工程质量、安全有关的全部工作均应处于受控状态。</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.3.1督促承包单位办理工程质量安全监督申报手续。</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.3.2配合工程质量安全监督机构开展工作。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.3.3积极配合与协助甲方办理工程受监手续。</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.3.4督促承包单位制定组织机构、有关人员的岗位责任制、工程质量控制程序和质量责任制落实等书面管理制度，并督促、检查承包单位落实执行。</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.3.5组织审查施工组织设计、监理大纲和监理细则。</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.3.6负责对各监理单位在工程建设过程中的监理质量进行控制，对监理工作制度的落实进行检查、监督。</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.3.7负责定期和不定期地对工程进行检查和检测，发现质量、安全问题必须2日内组织整改，每月5日前书面向发包人提供上月的工程质量、安全报告（重大问题及时专题报告）。</w:t>
      </w:r>
    </w:p>
    <w:p>
      <w:pPr>
        <w:spacing w:line="360" w:lineRule="auto"/>
        <w:ind w:firstLine="480" w:firstLineChars="200"/>
      </w:pPr>
      <w:r>
        <w:rPr>
          <w:rFonts w:hint="eastAsia" w:ascii="宋体" w:hAnsi="宋体"/>
          <w:sz w:val="24"/>
        </w:rPr>
        <w:t>6.</w:t>
      </w:r>
      <w:r>
        <w:rPr>
          <w:rFonts w:ascii="宋体" w:hAnsi="宋体"/>
          <w:sz w:val="24"/>
        </w:rPr>
        <w:t>5</w:t>
      </w:r>
      <w:r>
        <w:rPr>
          <w:rFonts w:hint="eastAsia" w:ascii="宋体" w:hAnsi="宋体"/>
          <w:sz w:val="24"/>
        </w:rPr>
        <w:t>.3.8对本工程质量负责，并在发生质量事故时及时查明原因和具体责任，报发包人备案，并组织事故处理方案的实施</w:t>
      </w:r>
      <w:r>
        <w:rPr>
          <w:rFonts w:hint="eastAsia" w:ascii="宋体" w:hAnsi="宋体"/>
          <w:sz w:val="24"/>
          <w:szCs w:val="32"/>
        </w:rPr>
        <w:t>。</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3.9负责对承包商施工过程中的质量进行全过程控制，加强对质量行为和质量责任制履行情况检查，加强对建设工程结构安全的质量检测和原材料的检测。对在工程实施中发现的质量问题，视情节轻重，对责任单位、责任人扣除工程款5000元至10万元的处罚。</w:t>
      </w:r>
    </w:p>
    <w:p>
      <w:pPr>
        <w:tabs>
          <w:tab w:val="left" w:pos="720"/>
          <w:tab w:val="left" w:pos="1320"/>
        </w:tabs>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.3.1</w:t>
      </w:r>
      <w:r>
        <w:rPr>
          <w:rFonts w:ascii="宋体" w:hAnsi="宋体"/>
          <w:sz w:val="24"/>
        </w:rPr>
        <w:t>0</w:t>
      </w:r>
      <w:r>
        <w:rPr>
          <w:rFonts w:hint="eastAsia" w:ascii="宋体" w:hAnsi="宋体"/>
          <w:sz w:val="24"/>
        </w:rPr>
        <w:t>如有事故发生，项目管理单位应积极参加事故调查，采取措施保护事故现场，按安全事故责任管理办法等有关规定及时向有关部门上报。</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.3.1</w:t>
      </w:r>
      <w:r>
        <w:rPr>
          <w:rFonts w:ascii="宋体" w:hAnsi="宋体"/>
          <w:sz w:val="24"/>
        </w:rPr>
        <w:t>1</w:t>
      </w:r>
      <w:r>
        <w:rPr>
          <w:rFonts w:hint="eastAsia" w:ascii="宋体" w:hAnsi="宋体"/>
          <w:sz w:val="24"/>
        </w:rPr>
        <w:t>项目实施期间的安全管理，由项目管理单位负责。</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.4负责召开有关工程会议，负责工程实施各参与或相关单位、部门（含施工、监理、设计、实施现场相关企事业单位、交通等）之间的协调管理工作。负责施工期间交通组织等协调工作，确保交通顺畅。</w:t>
      </w:r>
    </w:p>
    <w:p>
      <w:pPr>
        <w:spacing w:line="360" w:lineRule="auto"/>
        <w:ind w:firstLine="480" w:firstLineChars="200"/>
        <w:rPr>
          <w:rFonts w:ascii="宋体" w:hAnsi="宋体"/>
          <w:sz w:val="24"/>
        </w:rPr>
      </w:pPr>
      <w:r>
        <w:rPr>
          <w:rFonts w:hint="eastAsia" w:ascii="宋体" w:hAnsi="宋体"/>
          <w:sz w:val="24"/>
        </w:rPr>
        <w:t>要求每周组织召开例会，提交周报告；每月组织所有相关单位召开月度大会，提交月度报告。</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.5负责工程的知识和信息管理。</w:t>
      </w:r>
    </w:p>
    <w:p>
      <w:pPr>
        <w:spacing w:line="360" w:lineRule="auto"/>
        <w:ind w:firstLine="480" w:firstLineChars="200"/>
        <w:rPr>
          <w:rFonts w:ascii="宋体" w:hAnsi="宋体"/>
          <w:sz w:val="24"/>
        </w:rPr>
      </w:pPr>
      <w:r>
        <w:rPr>
          <w:rFonts w:hint="eastAsia" w:ascii="宋体" w:hAnsi="宋体"/>
          <w:sz w:val="24"/>
        </w:rPr>
        <w:t>在工程实施期间制定完善高效的工程建设信息的采集、分析、归纳、处理、共享、决策和反馈系统，以利于各方掌握最新的工程建设情况。工程实施后建立工程建设档案，为今后工作提供参考和决策依据。</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.6负责与其他建设工程交叉作业的协调管理，在工程实施期间，若本工程与其他工程在工作面上存在交叉、重叠问题时，项目管理单位应及时、主动协调各相关单位、部门之间的关系；管理好交叉施工中的工作。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.7设备采购管理的要求。</w:t>
      </w:r>
    </w:p>
    <w:p>
      <w:pPr>
        <w:spacing w:line="360" w:lineRule="auto"/>
        <w:ind w:firstLine="480" w:firstLineChars="200"/>
        <w:rPr>
          <w:rFonts w:ascii="宋体" w:hAnsi="宋体"/>
          <w:sz w:val="24"/>
        </w:rPr>
      </w:pPr>
      <w:r>
        <w:rPr>
          <w:rFonts w:hint="eastAsia" w:ascii="宋体" w:hAnsi="宋体"/>
          <w:sz w:val="24"/>
        </w:rPr>
        <w:t>设备采购工作的质量和效率关系到工程建设的质量、进度和投资。项目管理单位要认真总结研究以往工程建设管理过程中的有益经验，探索新思路、新举措，采取科学、严密的招标办法和措施，达到以经济合理的资金成本，高效、及时地采购到工程所需要的高标准、高质量的设备物资。</w:t>
      </w:r>
    </w:p>
    <w:p>
      <w:pPr>
        <w:spacing w:line="360" w:lineRule="auto"/>
        <w:ind w:firstLine="480" w:firstLineChars="200"/>
        <w:rPr>
          <w:rFonts w:ascii="宋体" w:hAnsi="宋体"/>
          <w:sz w:val="24"/>
        </w:rPr>
      </w:pPr>
      <w:r>
        <w:rPr>
          <w:rFonts w:hint="eastAsia" w:ascii="宋体" w:hAnsi="宋体"/>
          <w:sz w:val="24"/>
        </w:rPr>
        <w:t>设备采购的计划要与工程建设进度、设备性质、安装、调试、试运行的周期相适应，并努力遵循以下几条原则：同类设备合并原则；基础设备材料优先原则；非标准设备优先原则；不同类型设备尽可能分包处理原则；</w:t>
      </w:r>
    </w:p>
    <w:p>
      <w:pPr>
        <w:spacing w:line="360" w:lineRule="auto"/>
        <w:ind w:firstLine="480" w:firstLineChars="200"/>
        <w:rPr>
          <w:rFonts w:ascii="宋体" w:hAnsi="宋体"/>
          <w:sz w:val="24"/>
        </w:rPr>
      </w:pPr>
      <w:r>
        <w:rPr>
          <w:rFonts w:hint="eastAsia" w:ascii="宋体" w:hAnsi="宋体"/>
          <w:sz w:val="24"/>
        </w:rPr>
        <w:t>设备采购招标过程中要坚持有效竞争的原则，要做好广泛的市场调查研究工作，严格审查投标者资格，使投标竞争者在合格的信誉好的供应商之间进行。要坚持竞争性与可靠性相结合的原则，合理、统一地制订技术指标和标准。</w:t>
      </w:r>
    </w:p>
    <w:p>
      <w:pPr>
        <w:spacing w:line="360" w:lineRule="auto"/>
        <w:ind w:firstLine="482" w:firstLineChars="200"/>
        <w:rPr>
          <w:rFonts w:ascii="宋体" w:hAnsi="宋体"/>
          <w:sz w:val="24"/>
        </w:rPr>
      </w:pPr>
      <w:bookmarkStart w:id="131" w:name="_Toc17224"/>
      <w:bookmarkStart w:id="132" w:name="_Toc10302"/>
      <w:bookmarkStart w:id="133" w:name="_Toc20375"/>
      <w:bookmarkStart w:id="134" w:name="_Toc5180"/>
      <w:r>
        <w:rPr>
          <w:rFonts w:hint="eastAsia" w:ascii="宋体" w:hAnsi="宋体"/>
          <w:b/>
          <w:bCs/>
          <w:sz w:val="24"/>
        </w:rPr>
        <w:t>6.</w:t>
      </w:r>
      <w:r>
        <w:rPr>
          <w:rFonts w:ascii="宋体" w:hAnsi="宋体"/>
          <w:b/>
          <w:bCs/>
          <w:sz w:val="24"/>
        </w:rPr>
        <w:t>6</w:t>
      </w:r>
      <w:r>
        <w:rPr>
          <w:rFonts w:hint="eastAsia" w:ascii="宋体" w:hAnsi="宋体"/>
          <w:b/>
          <w:bCs/>
          <w:sz w:val="24"/>
        </w:rPr>
        <w:t xml:space="preserve"> 工程完工阶段的工作</w:t>
      </w:r>
      <w:bookmarkEnd w:id="131"/>
      <w:bookmarkEnd w:id="132"/>
      <w:bookmarkEnd w:id="133"/>
      <w:bookmarkEnd w:id="134"/>
    </w:p>
    <w:p>
      <w:pPr>
        <w:spacing w:line="360" w:lineRule="auto"/>
        <w:ind w:firstLine="480" w:firstLineChars="200"/>
        <w:rPr>
          <w:rFonts w:ascii="宋体" w:hAnsi="宋体"/>
          <w:sz w:val="24"/>
        </w:rPr>
      </w:pPr>
      <w:r>
        <w:rPr>
          <w:rFonts w:hint="eastAsia" w:ascii="宋体" w:hAnsi="宋体"/>
          <w:sz w:val="24"/>
        </w:rPr>
        <w:t>工程验收是全面检验工程建设是否符合设计要求和施工质量的重要环节，也是检查项目管理单位及其承包商合同履行情况的重要考核标准。</w:t>
      </w:r>
    </w:p>
    <w:p>
      <w:pPr>
        <w:spacing w:line="360" w:lineRule="auto"/>
        <w:ind w:firstLine="480" w:firstLineChars="200"/>
        <w:rPr>
          <w:rFonts w:ascii="宋体" w:hAnsi="宋体"/>
          <w:sz w:val="24"/>
        </w:rPr>
      </w:pPr>
      <w:r>
        <w:rPr>
          <w:rFonts w:hint="eastAsia" w:ascii="宋体" w:hAnsi="宋体"/>
          <w:sz w:val="24"/>
        </w:rPr>
        <w:t>项目管理单位是工程验收的主体单位，负责组织工程的各类验收，甲方认可项目管理单位的验收结果。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.1验收依据：</w:t>
      </w:r>
    </w:p>
    <w:p>
      <w:pPr>
        <w:spacing w:line="360" w:lineRule="auto"/>
        <w:ind w:firstLine="480" w:firstLineChars="200"/>
        <w:rPr>
          <w:rFonts w:ascii="宋体" w:hAnsi="宋体"/>
          <w:sz w:val="24"/>
        </w:rPr>
      </w:pPr>
      <w:r>
        <w:rPr>
          <w:rFonts w:hint="eastAsia" w:ascii="宋体" w:hAnsi="宋体"/>
          <w:sz w:val="24"/>
        </w:rPr>
        <w:t>按照国家、广东省、广州市及地区制定的有关验收规范与规定组织工程验收，包括但不限于批准的设计任务书、初步设计、施工图设计、设备技术说明书、施工承包合同、协议、现行的工程验收规范。</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.2验收程序：</w:t>
      </w:r>
    </w:p>
    <w:p>
      <w:pPr>
        <w:spacing w:line="360" w:lineRule="auto"/>
        <w:ind w:firstLine="480" w:firstLineChars="200"/>
        <w:rPr>
          <w:rFonts w:ascii="宋体" w:hAnsi="宋体"/>
          <w:sz w:val="24"/>
        </w:rPr>
      </w:pPr>
      <w:r>
        <w:rPr>
          <w:rFonts w:hint="eastAsia" w:ascii="宋体" w:hAnsi="宋体"/>
          <w:sz w:val="24"/>
        </w:rPr>
        <w:t>按照有关规范规程及地区制定的有关验收规定与程序组织工程验收。</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.3负责提交各类验收报告，办理验收的一切相关手续，并向验收备案部门备案。</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.4项目管理单位要确保完成合同中约定的各项内容，有关部门要求整改的质量问题由项目管理单位负责组织全部整改工作，使工程达到国家规定的验收标准。</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.5甩项工程：</w:t>
      </w:r>
    </w:p>
    <w:p>
      <w:pPr>
        <w:spacing w:line="360" w:lineRule="auto"/>
        <w:ind w:firstLine="480" w:firstLineChars="200"/>
        <w:rPr>
          <w:rFonts w:ascii="宋体" w:hAnsi="宋体"/>
          <w:sz w:val="24"/>
        </w:rPr>
      </w:pPr>
      <w:r>
        <w:rPr>
          <w:rFonts w:hint="eastAsia" w:ascii="宋体" w:hAnsi="宋体"/>
          <w:sz w:val="24"/>
        </w:rPr>
        <w:t>因各种原因，一些零星工程不能按时完成的，但不影响本工程的正常使用（或运营）时，经甲方批准，可同意对主体工程办理验收手续。项目管理单位应妥善处理甩项工程的继续实施与主体工程验收、使用（或运营）的关系，加强管理，限期完成。</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.6负责组织工程结算编制和送审工作。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.7 负责办理工程移交工作。</w:t>
      </w:r>
    </w:p>
    <w:p>
      <w:pPr>
        <w:spacing w:line="360" w:lineRule="auto"/>
        <w:ind w:firstLine="482" w:firstLineChars="200"/>
        <w:rPr>
          <w:rFonts w:ascii="宋体" w:hAnsi="宋体"/>
          <w:b/>
          <w:bCs/>
          <w:sz w:val="24"/>
        </w:rPr>
      </w:pPr>
      <w:bookmarkStart w:id="135" w:name="_Toc11210"/>
      <w:bookmarkStart w:id="136" w:name="_Toc23413"/>
      <w:bookmarkStart w:id="137" w:name="_Toc14083"/>
      <w:bookmarkStart w:id="138" w:name="_Toc12382"/>
      <w:r>
        <w:rPr>
          <w:rFonts w:hint="eastAsia" w:ascii="宋体" w:hAnsi="宋体"/>
          <w:b/>
          <w:bCs/>
          <w:sz w:val="24"/>
        </w:rPr>
        <w:t>6.</w:t>
      </w:r>
      <w:r>
        <w:rPr>
          <w:rFonts w:ascii="宋体" w:hAnsi="宋体"/>
          <w:b/>
          <w:bCs/>
          <w:sz w:val="24"/>
        </w:rPr>
        <w:t>7</w:t>
      </w:r>
      <w:r>
        <w:rPr>
          <w:rFonts w:hint="eastAsia" w:ascii="宋体" w:hAnsi="宋体"/>
          <w:b/>
          <w:bCs/>
          <w:sz w:val="24"/>
        </w:rPr>
        <w:t xml:space="preserve"> 工程完工后阶段的工作</w:t>
      </w:r>
      <w:bookmarkEnd w:id="135"/>
      <w:bookmarkEnd w:id="136"/>
      <w:bookmarkEnd w:id="137"/>
      <w:bookmarkEnd w:id="138"/>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.1协助甲方进行运营调试，确保工程安全、顺利地投入使用。</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.2作为国家规定的工程审计主体一方，应积极主动配合审计部门的工作，并承担合同约定的建设管理服务范围内的工程审计责任。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.3负责组织竣工财务结算编制和送审工作。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.4负责工程档案的编制与交付。</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.4.1项目管理单位应按照第6.8.4.5条的有关规定与要求，完整地收集、积累与本工程相关的技术文件资料，建立完整系统的工程档案，全面负责档案规定资料的管理、编制、验收及移交工作。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4.2项目管理单位应建立档案管理网络，落实档案管理人员。应有一名技术负责人分管档案工作；指定有责任心、懂专业技术的人员具体负责档案的收集、整理和归档工作；各设计、施工、设备供货单位应有专职档案管理人员。</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.4.3项目管理单位应制定出工程档案管理办法和实施措施，确保工程档案工作与工程建设进程同步，确保工程档案的完整性、准确性、真实性与系统性。</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.4.4项目管理单位应负责工程档案编制过程中的检查、督促和验交工作，负责工程档案的国家验收工作。</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.4.5项目管理单位应按《建设工程质量管理条例》（国务院令第714号）、《城市建设档案管理规定》（中华人民共和国住房和城乡建设部令第47号）、《建设工程文件归档整理规范》（</w:t>
      </w:r>
      <w:r>
        <w:rPr>
          <w:rFonts w:ascii="宋体" w:hAnsi="宋体"/>
          <w:sz w:val="24"/>
        </w:rPr>
        <w:t>GB/T 50328-2001</w:t>
      </w:r>
      <w:r>
        <w:rPr>
          <w:rFonts w:hint="eastAsia" w:ascii="宋体" w:hAnsi="宋体"/>
          <w:sz w:val="24"/>
        </w:rPr>
        <w:t>）、《广州市城市建设档案管理办法》（穗府[1996]87号）、《广州市建设工程档案编制指南》（试行，</w:t>
      </w:r>
      <w:r>
        <w:rPr>
          <w:rFonts w:ascii="宋体" w:hAnsi="宋体"/>
          <w:sz w:val="24"/>
        </w:rPr>
        <w:t>2002</w:t>
      </w:r>
      <w:r>
        <w:rPr>
          <w:rFonts w:hint="eastAsia" w:ascii="宋体" w:hAnsi="宋体"/>
          <w:sz w:val="24"/>
        </w:rPr>
        <w:t>年</w:t>
      </w:r>
      <w:r>
        <w:rPr>
          <w:rFonts w:ascii="宋体" w:hAnsi="宋体"/>
          <w:sz w:val="24"/>
        </w:rPr>
        <w:t xml:space="preserve"> 6</w:t>
      </w:r>
      <w:r>
        <w:rPr>
          <w:rFonts w:hint="eastAsia" w:ascii="宋体" w:hAnsi="宋体"/>
          <w:sz w:val="24"/>
        </w:rPr>
        <w:t>月）及广州市城建档案馆的相关要求，负责编制工程档案（原件）。应在规定竣工验收后的六个月内及时向广州市城建档案馆和甲方送交相应的工程档案。向甲方移交工程档案时应提供广州市城建档案馆的验收合格证明。</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4.6项目管理单位必须在与甲方签订本合同后一个月内，向甲方提交工程档案管理负责人、管理员名单和档案管理办法；并在设计、施工、设备供货合同签订后的一个月内提交中标单位的档案管理人员名单和实施办法。</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 xml:space="preserve">.5完成本工程建设和使用（或运营）的移交工作。 </w:t>
      </w:r>
    </w:p>
    <w:p>
      <w:pPr>
        <w:spacing w:line="360" w:lineRule="auto"/>
        <w:ind w:firstLine="482" w:firstLineChars="200"/>
        <w:rPr>
          <w:rFonts w:ascii="宋体" w:hAnsi="宋体"/>
          <w:sz w:val="24"/>
        </w:rPr>
      </w:pPr>
      <w:bookmarkStart w:id="139" w:name="_Toc11666"/>
      <w:bookmarkStart w:id="140" w:name="_Toc29752"/>
      <w:bookmarkStart w:id="141" w:name="_Toc17136"/>
      <w:bookmarkStart w:id="142" w:name="_Toc15582"/>
      <w:r>
        <w:rPr>
          <w:rFonts w:hint="eastAsia" w:ascii="宋体" w:hAnsi="宋体"/>
          <w:b/>
          <w:bCs/>
          <w:sz w:val="24"/>
        </w:rPr>
        <w:t>6.</w:t>
      </w:r>
      <w:r>
        <w:rPr>
          <w:rFonts w:ascii="宋体" w:hAnsi="宋体"/>
          <w:b/>
          <w:bCs/>
          <w:sz w:val="24"/>
        </w:rPr>
        <w:t>8</w:t>
      </w:r>
      <w:r>
        <w:rPr>
          <w:rFonts w:hint="eastAsia" w:ascii="宋体" w:hAnsi="宋体"/>
          <w:b/>
          <w:bCs/>
          <w:sz w:val="24"/>
        </w:rPr>
        <w:t xml:space="preserve"> 计划和统计工作</w:t>
      </w:r>
      <w:bookmarkEnd w:id="139"/>
      <w:bookmarkEnd w:id="140"/>
      <w:bookmarkEnd w:id="141"/>
      <w:bookmarkEnd w:id="142"/>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.1做好本工程所有资料的收集、保管、整理工作。对甲方所需的工程资料，项目管理单位乙方应及时提供，并对资料的真实性负责。</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.2按照规定的格式采用书面形式(附电子文档)向甲方报送与工程建设实施有关的信息与问题建议。建立工程建设的日常汇报制度。</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.3按有关部门要求，积极配合甲方编报有关计划统计报表和工程资料。</w:t>
      </w:r>
    </w:p>
    <w:p>
      <w:pPr>
        <w:spacing w:line="360" w:lineRule="auto"/>
        <w:ind w:firstLine="480" w:firstLineChars="200"/>
        <w:rPr>
          <w:rFonts w:ascii="宋体" w:hAnsi="宋体"/>
          <w:bCs/>
          <w:sz w:val="24"/>
        </w:rPr>
      </w:pPr>
      <w:r>
        <w:rPr>
          <w:rFonts w:hint="eastAsia" w:ascii="宋体" w:hAnsi="宋体"/>
          <w:bCs/>
          <w:sz w:val="24"/>
        </w:rPr>
        <w:t>6.</w:t>
      </w:r>
      <w:r>
        <w:rPr>
          <w:rFonts w:ascii="宋体" w:hAnsi="宋体"/>
          <w:bCs/>
          <w:sz w:val="24"/>
        </w:rPr>
        <w:t>8</w:t>
      </w:r>
      <w:r>
        <w:rPr>
          <w:rFonts w:hint="eastAsia" w:ascii="宋体" w:hAnsi="宋体"/>
          <w:bCs/>
          <w:sz w:val="24"/>
        </w:rPr>
        <w:t>.4向甲方提交的各项工程资料及工程款申请支付表，项目管理单位应认真审核和核对，确保资料和数据无误后再递交甲方。</w:t>
      </w:r>
    </w:p>
    <w:p>
      <w:pPr>
        <w:spacing w:line="360" w:lineRule="auto"/>
        <w:ind w:firstLine="482" w:firstLineChars="200"/>
        <w:rPr>
          <w:rFonts w:ascii="宋体" w:hAnsi="宋体"/>
          <w:b/>
          <w:bCs/>
          <w:sz w:val="24"/>
        </w:rPr>
      </w:pPr>
      <w:bookmarkStart w:id="143" w:name="_Toc1158"/>
      <w:bookmarkStart w:id="144" w:name="_Toc23005"/>
      <w:bookmarkStart w:id="145" w:name="_Toc28434"/>
      <w:bookmarkStart w:id="146" w:name="_Toc5147"/>
      <w:r>
        <w:rPr>
          <w:rFonts w:hint="eastAsia" w:ascii="宋体" w:hAnsi="宋体"/>
          <w:b/>
          <w:bCs/>
          <w:sz w:val="24"/>
        </w:rPr>
        <w:t>6.</w:t>
      </w:r>
      <w:r>
        <w:rPr>
          <w:rFonts w:ascii="宋体" w:hAnsi="宋体"/>
          <w:b/>
          <w:bCs/>
          <w:sz w:val="24"/>
        </w:rPr>
        <w:t>9</w:t>
      </w:r>
      <w:r>
        <w:rPr>
          <w:rFonts w:hint="eastAsia" w:ascii="宋体" w:hAnsi="宋体"/>
          <w:b/>
          <w:bCs/>
          <w:sz w:val="24"/>
        </w:rPr>
        <w:t xml:space="preserve"> 其它授权内容</w:t>
      </w:r>
      <w:bookmarkEnd w:id="143"/>
      <w:bookmarkEnd w:id="144"/>
      <w:bookmarkEnd w:id="145"/>
      <w:bookmarkEnd w:id="146"/>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.1在规定的工程保修期限内，负责检查工程质量状况，组织鉴定质量问题责任，督促责任单位维修。</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.2项目管理单位的服务报酬和相关工程建设资金的支付使用若要求社会审计，项目管理单位应积极配合审计部门的工作，并承担相应的审计责任。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3项目管理单位必须严格按照国家财务会计制度，协助发包人对本项目建设的财务活动实施会计核算和财务管理。协助发包人按照国家相关会计制度的要求，设置会计科目归集建设成本，真实、准确地反映本项目建设投资。</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.4甲方委托的其他工作。</w:t>
      </w:r>
    </w:p>
    <w:p>
      <w:pPr>
        <w:pStyle w:val="4"/>
        <w:spacing w:before="200" w:after="200" w:line="240" w:lineRule="auto"/>
        <w:rPr>
          <w:rFonts w:ascii="宋体" w:hAnsi="宋体"/>
          <w:szCs w:val="28"/>
        </w:rPr>
      </w:pPr>
      <w:bookmarkStart w:id="147" w:name="_Toc8646"/>
      <w:bookmarkStart w:id="148" w:name="_Toc5517"/>
      <w:bookmarkStart w:id="149" w:name="_Toc1312"/>
      <w:bookmarkStart w:id="150" w:name="_Toc20765"/>
      <w:bookmarkStart w:id="151" w:name="_Toc27858"/>
      <w:bookmarkStart w:id="152" w:name="_Toc7996"/>
      <w:bookmarkStart w:id="153" w:name="_Toc7679"/>
      <w:bookmarkStart w:id="154" w:name="_Toc6307"/>
      <w:r>
        <w:rPr>
          <w:rFonts w:hint="eastAsia" w:ascii="宋体" w:hAnsi="宋体"/>
          <w:szCs w:val="28"/>
        </w:rPr>
        <w:t xml:space="preserve">第七章 </w:t>
      </w:r>
      <w:bookmarkEnd w:id="147"/>
      <w:r>
        <w:rPr>
          <w:rFonts w:hint="eastAsia" w:ascii="宋体" w:hAnsi="宋体"/>
          <w:szCs w:val="28"/>
        </w:rPr>
        <w:t>项目管理费用及支付方式</w:t>
      </w:r>
      <w:bookmarkEnd w:id="148"/>
      <w:bookmarkEnd w:id="149"/>
      <w:bookmarkEnd w:id="150"/>
      <w:bookmarkEnd w:id="151"/>
      <w:bookmarkEnd w:id="152"/>
      <w:bookmarkEnd w:id="153"/>
      <w:bookmarkEnd w:id="154"/>
    </w:p>
    <w:p>
      <w:pPr>
        <w:spacing w:line="360" w:lineRule="auto"/>
        <w:ind w:firstLine="482" w:firstLineChars="200"/>
        <w:rPr>
          <w:rFonts w:ascii="宋体" w:hAnsi="宋体"/>
          <w:b/>
          <w:bCs/>
          <w:sz w:val="24"/>
        </w:rPr>
      </w:pPr>
      <w:bookmarkStart w:id="155" w:name="_Toc11602"/>
      <w:bookmarkStart w:id="156" w:name="_Toc17304"/>
      <w:bookmarkStart w:id="157" w:name="_Toc11677"/>
      <w:bookmarkStart w:id="158" w:name="_Toc1560"/>
      <w:r>
        <w:rPr>
          <w:rFonts w:hint="eastAsia" w:ascii="宋体" w:hAnsi="宋体"/>
          <w:b/>
          <w:bCs/>
          <w:sz w:val="24"/>
        </w:rPr>
        <w:t xml:space="preserve">7.1 </w:t>
      </w:r>
      <w:r>
        <w:rPr>
          <w:rFonts w:ascii="宋体" w:hAnsi="宋体"/>
          <w:b/>
          <w:bCs/>
          <w:sz w:val="24"/>
        </w:rPr>
        <w:t>项目管理服务正常服务酬金支付方法</w:t>
      </w:r>
      <w:bookmarkEnd w:id="155"/>
      <w:bookmarkEnd w:id="156"/>
      <w:bookmarkEnd w:id="157"/>
      <w:bookmarkEnd w:id="158"/>
    </w:p>
    <w:p>
      <w:pPr>
        <w:tabs>
          <w:tab w:val="left" w:pos="-540"/>
          <w:tab w:val="left" w:pos="720"/>
          <w:tab w:val="left" w:pos="1080"/>
          <w:tab w:val="left" w:pos="1418"/>
          <w:tab w:val="left" w:pos="1843"/>
        </w:tabs>
        <w:spacing w:line="360" w:lineRule="auto"/>
        <w:ind w:firstLine="480" w:firstLineChars="200"/>
        <w:rPr>
          <w:rFonts w:ascii="宋体" w:hAnsi="宋体"/>
          <w:sz w:val="24"/>
        </w:rPr>
      </w:pPr>
      <w:r>
        <w:rPr>
          <w:rFonts w:hint="eastAsia" w:ascii="宋体" w:hAnsi="宋体" w:cs="宋体"/>
          <w:bCs/>
          <w:sz w:val="24"/>
        </w:rPr>
        <w:t>工程</w:t>
      </w:r>
      <w:r>
        <w:rPr>
          <w:rFonts w:hint="eastAsia" w:ascii="宋体" w:hAnsi="宋体" w:cs="宋体"/>
          <w:sz w:val="24"/>
        </w:rPr>
        <w:t>项目管理费用为含税暂定总价，暂定含税合同价为</w:t>
      </w:r>
      <w:r>
        <w:rPr>
          <w:rFonts w:hint="eastAsia" w:ascii="宋体" w:hAnsi="宋体" w:cs="宋体"/>
          <w:sz w:val="24"/>
          <w:u w:val="single"/>
        </w:rPr>
        <w:t xml:space="preserve">      万元，（大写：人民币                   整），投标</w:t>
      </w:r>
      <w:r>
        <w:rPr>
          <w:rFonts w:hint="eastAsia" w:ascii="宋体" w:hAnsi="宋体" w:cs="宋体"/>
          <w:sz w:val="24"/>
        </w:rPr>
        <w:t>下浮率为</w:t>
      </w:r>
      <w:r>
        <w:rPr>
          <w:rFonts w:hint="eastAsia" w:ascii="宋体" w:hAnsi="宋体" w:cs="宋体"/>
          <w:sz w:val="24"/>
          <w:u w:val="single"/>
        </w:rPr>
        <w:t xml:space="preserve">      </w:t>
      </w:r>
      <w:r>
        <w:rPr>
          <w:rFonts w:hint="eastAsia" w:ascii="宋体" w:hAnsi="宋体" w:cs="宋体"/>
          <w:sz w:val="24"/>
        </w:rPr>
        <w:t>%。</w:t>
      </w:r>
      <w:r>
        <w:rPr>
          <w:rFonts w:hint="eastAsia" w:ascii="宋体" w:hAnsi="宋体"/>
          <w:sz w:val="24"/>
        </w:rPr>
        <w:t>支付方式如下：</w:t>
      </w:r>
    </w:p>
    <w:p>
      <w:pPr>
        <w:tabs>
          <w:tab w:val="left" w:pos="-540"/>
          <w:tab w:val="left" w:pos="720"/>
          <w:tab w:val="left" w:pos="1080"/>
          <w:tab w:val="left" w:pos="1418"/>
          <w:tab w:val="left" w:pos="1843"/>
        </w:tabs>
        <w:spacing w:line="360" w:lineRule="auto"/>
        <w:ind w:firstLine="480" w:firstLineChars="200"/>
        <w:rPr>
          <w:rFonts w:hint="eastAsia" w:ascii="宋体" w:hAnsi="宋体" w:cs="宋体"/>
          <w:sz w:val="24"/>
          <w:lang w:eastAsia="zh-CN"/>
        </w:rPr>
      </w:pPr>
      <w:r>
        <w:rPr>
          <w:rFonts w:hint="eastAsia" w:ascii="宋体" w:hAnsi="宋体" w:cs="宋体"/>
          <w:sz w:val="24"/>
        </w:rPr>
        <w:t>7.1.1本合同预付款：含税暂定总价的30%</w:t>
      </w:r>
      <w:r>
        <w:rPr>
          <w:rFonts w:hint="eastAsia" w:ascii="宋体" w:hAnsi="宋体" w:cs="宋体"/>
          <w:sz w:val="24"/>
          <w:lang w:eastAsia="zh-CN"/>
        </w:rPr>
        <w:t>。</w:t>
      </w:r>
    </w:p>
    <w:p>
      <w:pPr>
        <w:pStyle w:val="21"/>
        <w:spacing w:line="360" w:lineRule="auto"/>
        <w:ind w:firstLine="480" w:firstLineChars="200"/>
        <w:rPr>
          <w:rFonts w:hAnsi="宋体"/>
          <w:sz w:val="24"/>
        </w:rPr>
      </w:pPr>
      <w:r>
        <w:rPr>
          <w:rFonts w:hint="eastAsia" w:hAnsi="宋体" w:cs="仿宋"/>
          <w:sz w:val="24"/>
          <w:szCs w:val="24"/>
          <w:lang w:bidi="en-US"/>
        </w:rPr>
        <w:t>预付款在进度款中扣回，按下表操作∶</w:t>
      </w:r>
    </w:p>
    <w:tbl>
      <w:tblPr>
        <w:tblStyle w:val="42"/>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4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扣回预付款比例</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累计扣回预付款比例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r>
              <w:rPr>
                <w:rFonts w:hint="eastAsia" w:hAnsi="宋体" w:cs="仿宋"/>
                <w:sz w:val="24"/>
                <w:szCs w:val="24"/>
                <w:lang w:bidi="en-US"/>
              </w:rPr>
              <w:t>第一次申请进度款</w:t>
            </w: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35%</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r>
              <w:rPr>
                <w:rFonts w:hint="eastAsia" w:hAnsi="宋体" w:cs="仿宋"/>
                <w:sz w:val="24"/>
                <w:szCs w:val="24"/>
                <w:lang w:bidi="en-US"/>
              </w:rPr>
              <w:t>第二次申请进度款</w:t>
            </w: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35%</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r>
              <w:rPr>
                <w:rFonts w:hint="eastAsia" w:hAnsi="宋体" w:cs="仿宋"/>
                <w:sz w:val="24"/>
                <w:szCs w:val="24"/>
                <w:lang w:bidi="en-US"/>
              </w:rPr>
              <w:t>第三次申请进度款</w:t>
            </w: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30%</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100%</w:t>
            </w:r>
          </w:p>
        </w:tc>
      </w:tr>
    </w:tbl>
    <w:p>
      <w:pPr>
        <w:pStyle w:val="2"/>
        <w:rPr>
          <w:rFonts w:hint="eastAsia"/>
          <w:lang w:eastAsia="zh-CN"/>
        </w:rPr>
      </w:pPr>
    </w:p>
    <w:p>
      <w:pPr>
        <w:tabs>
          <w:tab w:val="left" w:pos="-540"/>
          <w:tab w:val="left" w:pos="720"/>
          <w:tab w:val="left" w:pos="1080"/>
          <w:tab w:val="left" w:pos="1418"/>
          <w:tab w:val="left" w:pos="184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7.1.2中期项目管理费按施工期每季度的季末进行申请，每期按</w:t>
      </w:r>
      <w:r>
        <w:rPr>
          <w:rFonts w:hint="eastAsia" w:ascii="宋体" w:hAnsi="仿宋" w:cs="仿宋"/>
          <w:color w:val="auto"/>
          <w:kern w:val="0"/>
          <w:sz w:val="24"/>
          <w:szCs w:val="32"/>
          <w:highlight w:val="none"/>
        </w:rPr>
        <w:t>发包人审定的</w:t>
      </w:r>
      <w:r>
        <w:rPr>
          <w:rFonts w:hint="eastAsia" w:ascii="宋体" w:hAnsi="仿宋" w:cs="仿宋"/>
          <w:color w:val="auto"/>
          <w:kern w:val="0"/>
          <w:sz w:val="24"/>
          <w:szCs w:val="32"/>
          <w:highlight w:val="none"/>
          <w:lang w:val="en-US" w:eastAsia="zh-Hans"/>
        </w:rPr>
        <w:t>承包商</w:t>
      </w:r>
      <w:r>
        <w:rPr>
          <w:rFonts w:hint="eastAsia" w:ascii="宋体" w:hAnsi="仿宋" w:cs="仿宋"/>
          <w:color w:val="auto"/>
          <w:kern w:val="0"/>
          <w:sz w:val="24"/>
          <w:szCs w:val="32"/>
          <w:highlight w:val="none"/>
        </w:rPr>
        <w:t>已完成工程</w:t>
      </w:r>
      <w:r>
        <w:rPr>
          <w:rFonts w:hint="eastAsia" w:ascii="宋体" w:hAnsi="仿宋" w:cs="仿宋"/>
          <w:color w:val="auto"/>
          <w:kern w:val="0"/>
          <w:sz w:val="24"/>
          <w:szCs w:val="32"/>
          <w:highlight w:val="none"/>
          <w:lang w:val="en-US" w:eastAsia="zh-Hans"/>
        </w:rPr>
        <w:t>造价</w:t>
      </w:r>
      <w:r>
        <w:rPr>
          <w:rFonts w:hint="eastAsia" w:ascii="宋体" w:hAnsi="仿宋" w:cs="仿宋"/>
          <w:color w:val="auto"/>
          <w:kern w:val="0"/>
          <w:sz w:val="24"/>
          <w:szCs w:val="32"/>
          <w:highlight w:val="none"/>
        </w:rPr>
        <w:t>占施工合同价（即按对应的广州市建设工程总承包合同的合同价分别计算）的百分比，</w:t>
      </w:r>
      <w:r>
        <w:rPr>
          <w:rFonts w:hint="eastAsia" w:ascii="宋体" w:hAnsi="宋体" w:cs="宋体"/>
          <w:color w:val="auto"/>
          <w:sz w:val="24"/>
          <w:highlight w:val="none"/>
        </w:rPr>
        <w:t>即每</w:t>
      </w:r>
      <w:r>
        <w:rPr>
          <w:rFonts w:hint="eastAsia" w:ascii="宋体" w:hAnsi="宋体" w:cs="宋体"/>
          <w:color w:val="auto"/>
          <w:sz w:val="24"/>
          <w:highlight w:val="none"/>
          <w:lang w:val="en-US" w:eastAsia="zh-Hans"/>
        </w:rPr>
        <w:t>季度</w:t>
      </w:r>
      <w:r>
        <w:rPr>
          <w:rFonts w:hint="eastAsia" w:ascii="宋体" w:hAnsi="宋体" w:cs="宋体"/>
          <w:color w:val="auto"/>
          <w:sz w:val="24"/>
          <w:highlight w:val="none"/>
        </w:rPr>
        <w:t>支付项目管理费=</w:t>
      </w:r>
      <w:r>
        <w:rPr>
          <w:rFonts w:hint="eastAsia" w:ascii="宋体" w:hAnsi="宋体" w:cs="宋体"/>
          <w:color w:val="auto"/>
          <w:sz w:val="24"/>
          <w:highlight w:val="none"/>
          <w:lang w:val="en-US" w:eastAsia="zh-Hans"/>
        </w:rPr>
        <w:t>承包商</w:t>
      </w:r>
      <w:r>
        <w:rPr>
          <w:rFonts w:hint="eastAsia" w:ascii="宋体" w:hAnsi="宋体" w:cs="宋体"/>
          <w:color w:val="auto"/>
          <w:sz w:val="24"/>
          <w:highlight w:val="none"/>
        </w:rPr>
        <w:t>完成当期合同工程</w:t>
      </w:r>
      <w:r>
        <w:rPr>
          <w:rFonts w:hint="eastAsia" w:ascii="宋体" w:hAnsi="宋体" w:cs="宋体"/>
          <w:color w:val="auto"/>
          <w:sz w:val="24"/>
          <w:highlight w:val="none"/>
          <w:lang w:val="en-US" w:eastAsia="zh-Hans"/>
        </w:rPr>
        <w:t>造价</w:t>
      </w:r>
      <w:r>
        <w:rPr>
          <w:rFonts w:hint="eastAsia" w:ascii="宋体" w:hAnsi="宋体" w:cs="宋体"/>
          <w:color w:val="auto"/>
          <w:sz w:val="24"/>
          <w:highlight w:val="none"/>
        </w:rPr>
        <w:t>占比</w:t>
      </w:r>
      <w:r>
        <w:rPr>
          <w:rFonts w:ascii="Arial" w:hAnsi="Arial" w:cs="Arial"/>
          <w:color w:val="auto"/>
          <w:sz w:val="24"/>
          <w:highlight w:val="none"/>
        </w:rPr>
        <w:t>×</w:t>
      </w:r>
      <w:r>
        <w:rPr>
          <w:rFonts w:hint="eastAsia" w:ascii="宋体" w:hAnsi="宋体" w:cs="宋体"/>
          <w:color w:val="auto"/>
          <w:sz w:val="24"/>
          <w:highlight w:val="none"/>
        </w:rPr>
        <w:t>80%</w:t>
      </w:r>
      <w:r>
        <w:rPr>
          <w:rFonts w:ascii="Arial" w:hAnsi="Arial" w:cs="Arial"/>
          <w:color w:val="auto"/>
          <w:sz w:val="24"/>
          <w:highlight w:val="none"/>
        </w:rPr>
        <w:t>×</w:t>
      </w:r>
      <w:r>
        <w:rPr>
          <w:rFonts w:hint="eastAsia" w:ascii="Arial" w:hAnsi="Arial" w:cs="Arial"/>
          <w:color w:val="auto"/>
          <w:sz w:val="24"/>
          <w:highlight w:val="none"/>
        </w:rPr>
        <w:t>项目管理费。</w:t>
      </w:r>
    </w:p>
    <w:p>
      <w:pPr>
        <w:tabs>
          <w:tab w:val="left" w:pos="-540"/>
          <w:tab w:val="left" w:pos="720"/>
          <w:tab w:val="left" w:pos="1080"/>
          <w:tab w:val="left" w:pos="1418"/>
          <w:tab w:val="left" w:pos="1843"/>
        </w:tabs>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7.1.3全部完工验收合格，</w:t>
      </w:r>
      <w:r>
        <w:rPr>
          <w:rFonts w:hint="eastAsia" w:ascii="宋体" w:hAnsi="宋体" w:cs="宋体"/>
          <w:color w:val="auto"/>
          <w:sz w:val="24"/>
          <w:highlight w:val="none"/>
          <w:lang w:eastAsia="zh-Hans"/>
        </w:rPr>
        <w:t>工程竣工备案完成</w:t>
      </w:r>
      <w:r>
        <w:rPr>
          <w:rFonts w:hint="eastAsia" w:ascii="宋体" w:hAnsi="宋体" w:cs="宋体"/>
          <w:color w:val="auto"/>
          <w:sz w:val="24"/>
          <w:highlight w:val="none"/>
        </w:rPr>
        <w:t>后且项目管理工作全部完成</w:t>
      </w:r>
      <w:r>
        <w:rPr>
          <w:rFonts w:hint="eastAsia" w:ascii="宋体" w:hAnsi="宋体" w:cs="宋体"/>
          <w:color w:val="auto"/>
          <w:sz w:val="24"/>
          <w:highlight w:val="none"/>
          <w:lang w:eastAsia="zh-Hans"/>
        </w:rPr>
        <w:t>，支付至合同价</w:t>
      </w:r>
      <w:r>
        <w:rPr>
          <w:rFonts w:ascii="宋体" w:hAnsi="宋体" w:cs="宋体"/>
          <w:color w:val="auto"/>
          <w:sz w:val="24"/>
          <w:highlight w:val="none"/>
          <w:lang w:eastAsia="zh-Hans"/>
        </w:rPr>
        <w:t>97%，</w:t>
      </w:r>
      <w:r>
        <w:rPr>
          <w:rFonts w:hint="eastAsia" w:ascii="宋体" w:hAnsi="宋体" w:cs="宋体"/>
          <w:color w:val="auto"/>
          <w:sz w:val="24"/>
          <w:highlight w:val="none"/>
        </w:rPr>
        <w:t>乙方结算完成且质保期满后3</w:t>
      </w:r>
      <w:r>
        <w:rPr>
          <w:rFonts w:ascii="宋体" w:hAnsi="宋体" w:cs="宋体"/>
          <w:color w:val="auto"/>
          <w:sz w:val="24"/>
          <w:highlight w:val="none"/>
        </w:rPr>
        <w:t>0</w:t>
      </w:r>
      <w:r>
        <w:rPr>
          <w:rFonts w:hint="eastAsia" w:ascii="宋体" w:hAnsi="宋体" w:cs="宋体"/>
          <w:color w:val="auto"/>
          <w:sz w:val="24"/>
          <w:highlight w:val="none"/>
        </w:rPr>
        <w:t>日内支付至合同结算价1</w:t>
      </w:r>
      <w:r>
        <w:rPr>
          <w:rFonts w:ascii="宋体" w:hAnsi="宋体" w:cs="宋体"/>
          <w:color w:val="auto"/>
          <w:sz w:val="24"/>
          <w:highlight w:val="none"/>
        </w:rPr>
        <w:t>00%</w:t>
      </w:r>
      <w:r>
        <w:rPr>
          <w:rFonts w:hint="eastAsia" w:ascii="宋体" w:hAnsi="宋体" w:cs="宋体"/>
          <w:color w:val="auto"/>
          <w:sz w:val="24"/>
          <w:highlight w:val="none"/>
        </w:rPr>
        <w:t>。乙方在申请服务费时应每次提供工程所在地税务机关开具有效的全额发票给甲方，甲方通过银行划账或支票方式支付款项。</w:t>
      </w:r>
    </w:p>
    <w:p>
      <w:pPr>
        <w:pStyle w:val="206"/>
        <w:numPr>
          <w:ilvl w:val="0"/>
          <w:numId w:val="0"/>
        </w:numPr>
        <w:spacing w:beforeLines="0" w:line="360" w:lineRule="auto"/>
        <w:ind w:firstLine="480" w:firstLineChars="200"/>
        <w:outlineLvl w:val="9"/>
        <w:rPr>
          <w:rFonts w:ascii="宋体" w:hAnsi="宋体" w:cs="仿宋_GB2312"/>
          <w:b w:val="0"/>
          <w:bCs/>
          <w:color w:val="auto"/>
          <w:sz w:val="24"/>
          <w:szCs w:val="24"/>
          <w:highlight w:val="none"/>
        </w:rPr>
      </w:pPr>
      <w:bookmarkStart w:id="159" w:name="_Toc13620"/>
      <w:bookmarkStart w:id="160" w:name="_Toc24222"/>
      <w:bookmarkStart w:id="161" w:name="_Toc3245"/>
      <w:bookmarkStart w:id="162" w:name="_Toc4122"/>
      <w:bookmarkStart w:id="163" w:name="_Toc17171"/>
      <w:bookmarkStart w:id="164" w:name="_Toc24896"/>
      <w:bookmarkStart w:id="165" w:name="_Toc6678"/>
      <w:r>
        <w:rPr>
          <w:rFonts w:hint="eastAsia" w:ascii="宋体" w:hAnsi="宋体" w:cs="仿宋_GB2312"/>
          <w:b w:val="0"/>
          <w:color w:val="auto"/>
          <w:sz w:val="24"/>
          <w:szCs w:val="24"/>
          <w:highlight w:val="none"/>
        </w:rPr>
        <w:t>7.1.4如因工程规模及范围变更时</w:t>
      </w:r>
      <w:r>
        <w:rPr>
          <w:rFonts w:hint="eastAsia" w:ascii="宋体" w:hAnsi="宋体" w:cs="仿宋_GB2312"/>
          <w:color w:val="auto"/>
          <w:sz w:val="24"/>
          <w:szCs w:val="24"/>
          <w:highlight w:val="none"/>
        </w:rPr>
        <w:t>，</w:t>
      </w:r>
      <w:r>
        <w:rPr>
          <w:rFonts w:hint="eastAsia" w:ascii="宋体" w:hAnsi="宋体" w:cs="仿宋_GB2312"/>
          <w:b w:val="0"/>
          <w:bCs/>
          <w:color w:val="auto"/>
          <w:sz w:val="24"/>
          <w:szCs w:val="24"/>
          <w:highlight w:val="none"/>
        </w:rPr>
        <w:t>合同总价相应调整，</w:t>
      </w:r>
      <w:r>
        <w:rPr>
          <w:rFonts w:hint="eastAsia" w:ascii="宋体" w:hAnsi="宋体" w:cs="仿宋_GB2312"/>
          <w:b w:val="0"/>
          <w:color w:val="auto"/>
          <w:sz w:val="24"/>
          <w:szCs w:val="24"/>
          <w:highlight w:val="none"/>
        </w:rPr>
        <w:t>项目管理服务费总价</w:t>
      </w:r>
      <w:r>
        <w:rPr>
          <w:rFonts w:hint="eastAsia" w:ascii="宋体" w:hAnsi="宋体" w:cs="仿宋_GB2312"/>
          <w:b w:val="0"/>
          <w:bCs/>
          <w:color w:val="auto"/>
          <w:sz w:val="24"/>
          <w:szCs w:val="24"/>
          <w:highlight w:val="none"/>
        </w:rPr>
        <w:t>应以建安工程费为基数，按中标项目管理费计费费率包干，建安工程费按实计算；结算项目管理费＝项目范围内工程的建安工程费结算总金额×中标项目管理费计费费率，中标项目管理费计费费率＝中标项目管理费金额÷招标时暂定的建安工程费金额×100%；本合同中标项目管理费计费费率为   %。</w:t>
      </w:r>
      <w:bookmarkEnd w:id="159"/>
      <w:bookmarkEnd w:id="160"/>
      <w:bookmarkEnd w:id="161"/>
      <w:bookmarkEnd w:id="162"/>
      <w:bookmarkEnd w:id="163"/>
      <w:bookmarkEnd w:id="164"/>
      <w:bookmarkEnd w:id="165"/>
    </w:p>
    <w:p>
      <w:pPr>
        <w:pStyle w:val="206"/>
        <w:numPr>
          <w:ilvl w:val="0"/>
          <w:numId w:val="0"/>
        </w:numPr>
        <w:tabs>
          <w:tab w:val="left" w:pos="720"/>
          <w:tab w:val="left" w:pos="1134"/>
        </w:tabs>
        <w:spacing w:beforeLines="0" w:line="360" w:lineRule="auto"/>
        <w:ind w:firstLine="480" w:firstLineChars="200"/>
        <w:outlineLvl w:val="9"/>
        <w:rPr>
          <w:rFonts w:ascii="宋体" w:hAnsi="宋体" w:cs="仿宋_GB2312"/>
          <w:b w:val="0"/>
          <w:bCs/>
          <w:sz w:val="24"/>
          <w:szCs w:val="24"/>
        </w:rPr>
      </w:pPr>
      <w:r>
        <w:rPr>
          <w:rFonts w:hint="eastAsia" w:ascii="宋体" w:hAnsi="宋体" w:cs="仿宋_GB2312"/>
          <w:b w:val="0"/>
          <w:bCs/>
          <w:sz w:val="24"/>
          <w:szCs w:val="24"/>
        </w:rPr>
        <w:t>7.1.5本合同所示金额的币种均为人民币。</w:t>
      </w:r>
    </w:p>
    <w:p>
      <w:pPr>
        <w:pStyle w:val="206"/>
        <w:numPr>
          <w:ilvl w:val="0"/>
          <w:numId w:val="0"/>
        </w:numPr>
        <w:spacing w:beforeLines="0" w:line="360" w:lineRule="auto"/>
        <w:ind w:firstLine="480" w:firstLineChars="200"/>
        <w:outlineLvl w:val="9"/>
        <w:rPr>
          <w:rFonts w:ascii="宋体" w:hAnsi="宋体" w:cs="仿宋_GB2312"/>
          <w:b w:val="0"/>
          <w:bCs/>
          <w:sz w:val="24"/>
          <w:szCs w:val="24"/>
        </w:rPr>
      </w:pPr>
      <w:bookmarkStart w:id="166" w:name="_Toc14764"/>
      <w:bookmarkStart w:id="167" w:name="_Toc10121"/>
      <w:bookmarkStart w:id="168" w:name="_Toc5154"/>
      <w:bookmarkStart w:id="169" w:name="_Toc116230472"/>
      <w:r>
        <w:rPr>
          <w:rFonts w:hint="eastAsia" w:ascii="宋体" w:hAnsi="宋体" w:cs="仿宋_GB2312"/>
          <w:b w:val="0"/>
          <w:bCs/>
          <w:sz w:val="24"/>
          <w:szCs w:val="24"/>
        </w:rPr>
        <w:t>7.2项目资金的拨付与使用</w:t>
      </w:r>
      <w:bookmarkEnd w:id="166"/>
      <w:bookmarkEnd w:id="167"/>
      <w:bookmarkEnd w:id="168"/>
      <w:bookmarkEnd w:id="169"/>
    </w:p>
    <w:p>
      <w:pPr>
        <w:pStyle w:val="206"/>
        <w:numPr>
          <w:ilvl w:val="0"/>
          <w:numId w:val="0"/>
        </w:numPr>
        <w:tabs>
          <w:tab w:val="left" w:pos="993"/>
        </w:tabs>
        <w:spacing w:beforeLines="0" w:line="360" w:lineRule="auto"/>
        <w:ind w:firstLine="480" w:firstLineChars="200"/>
        <w:outlineLvl w:val="9"/>
        <w:rPr>
          <w:rFonts w:ascii="宋体" w:hAnsi="宋体" w:cs="仿宋_GB2312"/>
          <w:b w:val="0"/>
          <w:bCs/>
          <w:sz w:val="24"/>
          <w:szCs w:val="24"/>
        </w:rPr>
      </w:pPr>
      <w:r>
        <w:rPr>
          <w:rFonts w:hint="eastAsia" w:ascii="宋体" w:hAnsi="宋体" w:cs="仿宋_GB2312"/>
          <w:b w:val="0"/>
          <w:bCs/>
          <w:sz w:val="24"/>
          <w:szCs w:val="24"/>
        </w:rPr>
        <w:t>7.2.1乙方负责编报项目总体进度计划及年度投资计划和季度、月度资金使用计划，资金拨付需凭项目勘察、设计、施工、监理、设备采购合同和相关单位的请款申请等文件，应在5个工作日内审核并签署意见，甲方审批后，由甲方按程序办理资金拨付手续，支付给相应单位。</w:t>
      </w:r>
    </w:p>
    <w:p>
      <w:pPr>
        <w:pStyle w:val="206"/>
        <w:numPr>
          <w:ilvl w:val="0"/>
          <w:numId w:val="0"/>
        </w:numPr>
        <w:tabs>
          <w:tab w:val="left" w:pos="993"/>
          <w:tab w:val="left" w:pos="1701"/>
        </w:tabs>
        <w:spacing w:beforeLines="0" w:line="360" w:lineRule="auto"/>
        <w:outlineLvl w:val="9"/>
        <w:rPr>
          <w:rFonts w:ascii="宋体" w:hAnsi="宋体" w:cs="仿宋_GB2312"/>
          <w:b w:val="0"/>
          <w:bCs/>
          <w:sz w:val="24"/>
          <w:szCs w:val="24"/>
        </w:rPr>
      </w:pPr>
      <w:r>
        <w:rPr>
          <w:rFonts w:hint="eastAsia" w:ascii="宋体" w:hAnsi="宋体" w:cs="仿宋_GB2312"/>
          <w:b w:val="0"/>
          <w:bCs/>
          <w:sz w:val="24"/>
          <w:szCs w:val="24"/>
        </w:rPr>
        <w:t>7.2.2根据项目建设的需要，工程前期发生的报建费、合同契证费等，由甲方直接支付。</w:t>
      </w:r>
    </w:p>
    <w:p>
      <w:pPr>
        <w:pStyle w:val="206"/>
        <w:numPr>
          <w:ilvl w:val="0"/>
          <w:numId w:val="0"/>
        </w:numPr>
        <w:tabs>
          <w:tab w:val="left" w:pos="1260"/>
        </w:tabs>
        <w:spacing w:beforeLines="0" w:line="360" w:lineRule="auto"/>
        <w:outlineLvl w:val="9"/>
        <w:rPr>
          <w:rFonts w:ascii="宋体" w:hAnsi="宋体" w:cs="宋体"/>
          <w:b w:val="0"/>
          <w:bCs/>
          <w:sz w:val="24"/>
        </w:rPr>
      </w:pPr>
      <w:r>
        <w:rPr>
          <w:rFonts w:hint="eastAsia" w:ascii="宋体" w:hAnsi="宋体" w:cs="仿宋_GB2312"/>
          <w:b w:val="0"/>
          <w:bCs/>
          <w:sz w:val="24"/>
          <w:szCs w:val="24"/>
        </w:rPr>
        <w:t>7.2.3项目管理服务人员的工资、基本养老保险费、基本医疗保险费、失业保险费，办公费、差旅交通费、劳动保护费、工具用具使用费、固定资</w:t>
      </w:r>
      <w:r>
        <w:rPr>
          <w:rFonts w:hint="eastAsia" w:ascii="宋体" w:hAnsi="宋体" w:cs="宋体"/>
          <w:b w:val="0"/>
          <w:bCs/>
          <w:sz w:val="24"/>
        </w:rPr>
        <w:t>产使用费、零星购置费、技术图书资料费、印花税、业务招待费、施工现场津贴和</w:t>
      </w:r>
      <w:r>
        <w:rPr>
          <w:rFonts w:ascii="宋体" w:hAnsi="宋体"/>
          <w:b w:val="0"/>
          <w:bCs/>
          <w:kern w:val="0"/>
          <w:sz w:val="24"/>
        </w:rPr>
        <w:t>人身意外伤害险</w:t>
      </w:r>
      <w:r>
        <w:rPr>
          <w:rFonts w:hint="eastAsia" w:ascii="宋体" w:hAnsi="宋体"/>
          <w:b w:val="0"/>
          <w:bCs/>
          <w:kern w:val="0"/>
          <w:sz w:val="24"/>
        </w:rPr>
        <w:t>、</w:t>
      </w:r>
      <w:r>
        <w:rPr>
          <w:rFonts w:ascii="宋体" w:hAnsi="宋体"/>
          <w:b w:val="0"/>
          <w:bCs/>
          <w:kern w:val="0"/>
          <w:sz w:val="24"/>
        </w:rPr>
        <w:t>第三者责任险</w:t>
      </w:r>
      <w:r>
        <w:rPr>
          <w:rFonts w:hint="eastAsia" w:ascii="宋体" w:hAnsi="宋体"/>
          <w:b w:val="0"/>
          <w:bCs/>
          <w:kern w:val="0"/>
          <w:sz w:val="24"/>
        </w:rPr>
        <w:t>及</w:t>
      </w:r>
      <w:r>
        <w:rPr>
          <w:rFonts w:hint="eastAsia" w:ascii="宋体" w:hAnsi="宋体" w:cs="宋体"/>
          <w:b w:val="0"/>
          <w:bCs/>
          <w:sz w:val="24"/>
        </w:rPr>
        <w:t>其他管理性质开支等</w:t>
      </w:r>
      <w:r>
        <w:rPr>
          <w:rFonts w:ascii="宋体" w:hAnsi="宋体"/>
          <w:b w:val="0"/>
          <w:bCs/>
          <w:kern w:val="0"/>
          <w:sz w:val="24"/>
        </w:rPr>
        <w:t>相关费用已包含在项目管理服务酬金内。</w:t>
      </w:r>
      <w:r>
        <w:rPr>
          <w:rFonts w:hint="eastAsia" w:ascii="宋体" w:hAnsi="宋体"/>
          <w:b w:val="0"/>
          <w:bCs/>
          <w:kern w:val="0"/>
          <w:sz w:val="24"/>
        </w:rPr>
        <w:t>但</w:t>
      </w:r>
      <w:r>
        <w:rPr>
          <w:rFonts w:hint="eastAsia" w:ascii="宋体" w:hAnsi="宋体" w:cs="宋体"/>
          <w:b w:val="0"/>
          <w:bCs/>
          <w:sz w:val="24"/>
        </w:rPr>
        <w:t>并不表明甲方与乙方工作人员建立了劳动关系或劳务关系，相关人员因本工程引起的任何纠纷与甲方无关，由乙方自行承担相关法律责任。</w:t>
      </w:r>
    </w:p>
    <w:p>
      <w:pPr>
        <w:spacing w:line="360" w:lineRule="auto"/>
        <w:ind w:firstLine="480" w:firstLineChars="200"/>
        <w:rPr>
          <w:rFonts w:ascii="宋体" w:hAnsi="宋体"/>
          <w:b/>
          <w:bCs/>
          <w:sz w:val="24"/>
        </w:rPr>
      </w:pPr>
      <w:bookmarkStart w:id="170" w:name="_Toc5938"/>
      <w:bookmarkStart w:id="171" w:name="_Toc3674"/>
      <w:r>
        <w:rPr>
          <w:rFonts w:hint="eastAsia" w:ascii="宋体" w:hAnsi="宋体"/>
          <w:bCs/>
          <w:sz w:val="24"/>
        </w:rPr>
        <w:t>7.2.4项目管理服务费的使用应符合相关规定，项目管理服务费包含了项目建设过程中发生的各类协调、检查考核及有关会议费用。</w:t>
      </w:r>
      <w:bookmarkEnd w:id="170"/>
      <w:bookmarkEnd w:id="171"/>
    </w:p>
    <w:p>
      <w:pPr>
        <w:spacing w:line="360" w:lineRule="auto"/>
        <w:ind w:firstLine="482" w:firstLineChars="200"/>
        <w:rPr>
          <w:rFonts w:ascii="宋体" w:hAnsi="宋体"/>
          <w:b/>
          <w:bCs/>
          <w:sz w:val="24"/>
        </w:rPr>
      </w:pPr>
      <w:bookmarkStart w:id="172" w:name="_Toc16377"/>
      <w:bookmarkStart w:id="173" w:name="_Toc964"/>
      <w:bookmarkStart w:id="174" w:name="_Toc16784"/>
      <w:bookmarkStart w:id="175" w:name="_Toc27289"/>
      <w:r>
        <w:rPr>
          <w:rFonts w:hint="eastAsia" w:ascii="宋体" w:hAnsi="宋体"/>
          <w:b/>
          <w:bCs/>
          <w:sz w:val="24"/>
        </w:rPr>
        <w:t xml:space="preserve">7.3 </w:t>
      </w:r>
      <w:r>
        <w:rPr>
          <w:rFonts w:ascii="宋体" w:hAnsi="宋体"/>
          <w:b/>
          <w:bCs/>
          <w:sz w:val="24"/>
        </w:rPr>
        <w:t>合同变更引起的项目管理服务酬金按以下方式调整：</w:t>
      </w:r>
      <w:bookmarkEnd w:id="172"/>
      <w:bookmarkEnd w:id="173"/>
      <w:bookmarkEnd w:id="174"/>
      <w:bookmarkEnd w:id="175"/>
    </w:p>
    <w:p>
      <w:pPr>
        <w:pStyle w:val="159"/>
        <w:spacing w:line="360" w:lineRule="auto"/>
        <w:ind w:firstLine="480" w:firstLineChars="200"/>
        <w:rPr>
          <w:rFonts w:ascii="宋体" w:hAnsi="宋体"/>
          <w:color w:val="auto"/>
          <w:kern w:val="0"/>
          <w:sz w:val="24"/>
          <w:highlight w:val="none"/>
        </w:rPr>
      </w:pPr>
      <w:r>
        <w:rPr>
          <w:rFonts w:hint="eastAsia" w:ascii="宋体" w:hAnsi="宋体"/>
          <w:kern w:val="0"/>
          <w:sz w:val="24"/>
        </w:rPr>
        <w:t>7.3.1 本项目采</w:t>
      </w:r>
      <w:r>
        <w:rPr>
          <w:rFonts w:hint="eastAsia" w:ascii="宋体" w:hAnsi="宋体"/>
          <w:color w:val="auto"/>
          <w:kern w:val="0"/>
          <w:sz w:val="24"/>
          <w:highlight w:val="none"/>
        </w:rPr>
        <w:t>用综合</w:t>
      </w:r>
      <w:r>
        <w:rPr>
          <w:rFonts w:hint="eastAsia" w:ascii="宋体" w:hAnsi="宋体"/>
          <w:color w:val="auto"/>
          <w:kern w:val="0"/>
          <w:sz w:val="24"/>
          <w:highlight w:val="none"/>
          <w:lang w:val="en-US" w:eastAsia="zh-Hans"/>
        </w:rPr>
        <w:t>费率</w:t>
      </w:r>
      <w:r>
        <w:rPr>
          <w:rFonts w:hint="eastAsia" w:ascii="宋体" w:hAnsi="宋体"/>
          <w:color w:val="auto"/>
          <w:kern w:val="0"/>
          <w:sz w:val="24"/>
          <w:highlight w:val="none"/>
        </w:rPr>
        <w:t>包干方式，项目管理服务费结算价=项目范围内工程的建安工程费结算总金额×中标项目管理费计费费率。</w:t>
      </w:r>
    </w:p>
    <w:p>
      <w:pPr>
        <w:pStyle w:val="159"/>
        <w:spacing w:line="360" w:lineRule="auto"/>
        <w:ind w:firstLine="480" w:firstLineChars="200"/>
        <w:rPr>
          <w:rFonts w:ascii="宋体" w:hAnsi="仿宋" w:cs="仿宋"/>
          <w:kern w:val="0"/>
          <w:sz w:val="24"/>
          <w:szCs w:val="32"/>
        </w:rPr>
      </w:pPr>
      <w:r>
        <w:rPr>
          <w:rFonts w:hint="eastAsia" w:ascii="宋体" w:hAnsi="仿宋" w:cs="仿宋"/>
          <w:color w:val="auto"/>
          <w:kern w:val="0"/>
          <w:sz w:val="24"/>
          <w:szCs w:val="32"/>
          <w:highlight w:val="none"/>
        </w:rPr>
        <w:t>7.3.2在本合同约定的服务范围内，当工程量增加、或设计变更、或设计规模变化时，</w:t>
      </w:r>
      <w:r>
        <w:rPr>
          <w:rFonts w:hint="eastAsia" w:ascii="宋体" w:hAnsi="宋体"/>
          <w:color w:val="auto"/>
          <w:sz w:val="24"/>
          <w:highlight w:val="none"/>
        </w:rPr>
        <w:t>项目管理单位</w:t>
      </w:r>
      <w:r>
        <w:rPr>
          <w:rFonts w:hint="eastAsia" w:ascii="宋体" w:hAnsi="仿宋" w:cs="仿宋"/>
          <w:color w:val="auto"/>
          <w:kern w:val="0"/>
          <w:sz w:val="24"/>
          <w:szCs w:val="32"/>
          <w:highlight w:val="none"/>
        </w:rPr>
        <w:t>工作的变化均应视为本合同约定的工作，本合同酬金</w:t>
      </w:r>
      <w:r>
        <w:rPr>
          <w:rFonts w:hint="eastAsia" w:ascii="宋体" w:hAnsi="仿宋" w:cs="仿宋"/>
          <w:color w:val="auto"/>
          <w:kern w:val="0"/>
          <w:sz w:val="24"/>
          <w:szCs w:val="32"/>
          <w:highlight w:val="none"/>
          <w:lang w:val="en-US" w:eastAsia="zh-Hans"/>
        </w:rPr>
        <w:t>费率</w:t>
      </w:r>
      <w:r>
        <w:rPr>
          <w:rFonts w:hint="eastAsia" w:ascii="宋体" w:hAnsi="仿宋" w:cs="仿宋"/>
          <w:color w:val="auto"/>
          <w:kern w:val="0"/>
          <w:sz w:val="24"/>
          <w:szCs w:val="32"/>
          <w:highlight w:val="none"/>
        </w:rPr>
        <w:t>不因此</w:t>
      </w:r>
      <w:r>
        <w:rPr>
          <w:rFonts w:hint="eastAsia" w:ascii="宋体" w:hAnsi="仿宋" w:cs="仿宋"/>
          <w:kern w:val="0"/>
          <w:sz w:val="24"/>
          <w:szCs w:val="32"/>
        </w:rPr>
        <w:t>而调整，双方另有约定的除外。</w:t>
      </w:r>
    </w:p>
    <w:p>
      <w:pPr>
        <w:pStyle w:val="159"/>
        <w:spacing w:line="360" w:lineRule="auto"/>
        <w:ind w:firstLine="480" w:firstLineChars="200"/>
        <w:rPr>
          <w:rFonts w:ascii="宋体" w:hAnsi="仿宋" w:cs="仿宋"/>
          <w:kern w:val="0"/>
          <w:sz w:val="24"/>
          <w:szCs w:val="32"/>
        </w:rPr>
      </w:pPr>
      <w:r>
        <w:rPr>
          <w:rFonts w:hint="eastAsia" w:ascii="宋体" w:hAnsi="仿宋" w:cs="仿宋"/>
          <w:kern w:val="0"/>
          <w:sz w:val="24"/>
          <w:szCs w:val="32"/>
        </w:rPr>
        <w:t>7.3.3在本合同约定的服务范围内，非因</w:t>
      </w:r>
      <w:r>
        <w:rPr>
          <w:rFonts w:hint="eastAsia" w:ascii="宋体" w:hAnsi="宋体"/>
          <w:sz w:val="24"/>
        </w:rPr>
        <w:t>项目管理单位</w:t>
      </w:r>
      <w:r>
        <w:rPr>
          <w:rFonts w:hint="eastAsia" w:ascii="宋体" w:hAnsi="仿宋" w:cs="仿宋"/>
          <w:kern w:val="0"/>
          <w:sz w:val="24"/>
          <w:szCs w:val="32"/>
        </w:rPr>
        <w:t>原因造成工程延期，致使服务期出现延长，承包人的责任期也应相应延长，本合同酬金总额不因服务期限延长而调整，双方另有约定的除外。</w:t>
      </w:r>
    </w:p>
    <w:p>
      <w:pPr>
        <w:spacing w:line="360" w:lineRule="auto"/>
        <w:ind w:firstLine="482" w:firstLineChars="200"/>
        <w:rPr>
          <w:rFonts w:ascii="宋体" w:hAnsi="宋体"/>
          <w:b/>
          <w:bCs/>
          <w:sz w:val="24"/>
        </w:rPr>
      </w:pPr>
      <w:bookmarkStart w:id="176" w:name="_Toc30912"/>
      <w:bookmarkStart w:id="177" w:name="_Toc24898"/>
      <w:bookmarkStart w:id="178" w:name="_Toc24299"/>
      <w:bookmarkStart w:id="179" w:name="_Toc24331"/>
      <w:r>
        <w:rPr>
          <w:rFonts w:hint="eastAsia" w:ascii="宋体" w:hAnsi="宋体"/>
          <w:b/>
          <w:bCs/>
          <w:sz w:val="24"/>
        </w:rPr>
        <w:t xml:space="preserve">7.4 </w:t>
      </w:r>
      <w:r>
        <w:rPr>
          <w:rFonts w:ascii="宋体" w:hAnsi="宋体"/>
          <w:b/>
          <w:bCs/>
          <w:sz w:val="24"/>
        </w:rPr>
        <w:t>合同非正常终止时，最终结算应支付的项目管理服务酬金按以下方式计算：</w:t>
      </w:r>
      <w:bookmarkEnd w:id="176"/>
      <w:bookmarkEnd w:id="177"/>
      <w:bookmarkEnd w:id="178"/>
      <w:bookmarkEnd w:id="179"/>
    </w:p>
    <w:p>
      <w:pPr>
        <w:pStyle w:val="159"/>
        <w:spacing w:line="360" w:lineRule="auto"/>
        <w:ind w:firstLine="836" w:firstLineChars="347"/>
        <w:rPr>
          <w:rFonts w:ascii="宋体" w:hAnsi="宋体"/>
          <w:b/>
          <w:sz w:val="24"/>
        </w:rPr>
      </w:pPr>
      <w:r>
        <w:rPr>
          <w:rFonts w:hint="eastAsia" w:ascii="宋体" w:hAnsi="宋体"/>
          <w:b/>
          <w:sz w:val="24"/>
        </w:rPr>
        <w:t>I</w:t>
      </w:r>
      <w:r>
        <w:rPr>
          <w:rFonts w:ascii="宋体" w:hAnsi="宋体"/>
          <w:b/>
          <w:sz w:val="24"/>
        </w:rPr>
        <w:t>＝</w:t>
      </w:r>
      <w:r>
        <w:rPr>
          <w:rFonts w:hint="eastAsia" w:ascii="宋体" w:hAnsi="宋体"/>
          <w:b/>
          <w:sz w:val="24"/>
        </w:rPr>
        <w:t>J</w:t>
      </w:r>
      <w:r>
        <w:rPr>
          <w:rFonts w:ascii="宋体" w:hAnsi="宋体"/>
          <w:b/>
          <w:sz w:val="24"/>
        </w:rPr>
        <w:t>－</w:t>
      </w:r>
      <w:r>
        <w:rPr>
          <w:rFonts w:hint="eastAsia" w:ascii="宋体" w:hAnsi="宋体"/>
          <w:b/>
          <w:sz w:val="24"/>
        </w:rPr>
        <w:t>K</w:t>
      </w:r>
      <w:r>
        <w:rPr>
          <w:rFonts w:ascii="宋体" w:hAnsi="宋体"/>
          <w:b/>
          <w:sz w:val="24"/>
        </w:rPr>
        <w:t>+</w:t>
      </w:r>
      <w:r>
        <w:rPr>
          <w:rFonts w:hint="eastAsia" w:ascii="宋体" w:hAnsi="宋体"/>
          <w:b/>
          <w:sz w:val="24"/>
        </w:rPr>
        <w:t>L</w:t>
      </w:r>
    </w:p>
    <w:p>
      <w:pPr>
        <w:pStyle w:val="159"/>
        <w:numPr>
          <w:ilvl w:val="0"/>
          <w:numId w:val="3"/>
        </w:numPr>
        <w:spacing w:line="360" w:lineRule="auto"/>
        <w:ind w:firstLine="480"/>
        <w:rPr>
          <w:rFonts w:ascii="宋体" w:hAnsi="宋体"/>
          <w:sz w:val="24"/>
        </w:rPr>
      </w:pPr>
      <w:r>
        <w:rPr>
          <w:rFonts w:ascii="宋体" w:hAnsi="宋体"/>
          <w:sz w:val="24"/>
        </w:rPr>
        <w:t>最终结算应支付的项目管理服务费（元）；</w:t>
      </w:r>
    </w:p>
    <w:p>
      <w:pPr>
        <w:pStyle w:val="159"/>
        <w:numPr>
          <w:ilvl w:val="0"/>
          <w:numId w:val="3"/>
        </w:numPr>
        <w:spacing w:line="360" w:lineRule="auto"/>
        <w:ind w:firstLine="480" w:firstLineChars="200"/>
        <w:rPr>
          <w:rFonts w:ascii="宋体" w:hAnsi="宋体"/>
          <w:sz w:val="24"/>
        </w:rPr>
      </w:pPr>
      <w:r>
        <w:rPr>
          <w:rFonts w:hint="eastAsia" w:ascii="宋体" w:hAnsi="宋体"/>
          <w:sz w:val="24"/>
        </w:rPr>
        <w:t>按第七章第第7.3条合同正常履行时应支付的</w:t>
      </w:r>
      <w:r>
        <w:rPr>
          <w:rFonts w:ascii="宋体" w:hAnsi="宋体"/>
          <w:sz w:val="24"/>
        </w:rPr>
        <w:t>项目管理服务服务酬金（元）；</w:t>
      </w:r>
    </w:p>
    <w:p>
      <w:pPr>
        <w:pStyle w:val="159"/>
        <w:numPr>
          <w:ilvl w:val="0"/>
          <w:numId w:val="3"/>
        </w:numPr>
        <w:spacing w:line="360" w:lineRule="auto"/>
        <w:ind w:firstLine="480" w:firstLineChars="200"/>
        <w:rPr>
          <w:rFonts w:ascii="宋体" w:hAnsi="宋体"/>
          <w:sz w:val="24"/>
        </w:rPr>
      </w:pPr>
      <w:r>
        <w:rPr>
          <w:rFonts w:ascii="宋体" w:hAnsi="宋体"/>
          <w:sz w:val="24"/>
        </w:rPr>
        <w:t>按合同约定项目管理服务人应向</w:t>
      </w:r>
      <w:r>
        <w:rPr>
          <w:rFonts w:hint="eastAsia" w:ascii="宋体" w:hAnsi="宋体"/>
          <w:sz w:val="24"/>
        </w:rPr>
        <w:t>甲方</w:t>
      </w:r>
      <w:r>
        <w:rPr>
          <w:rFonts w:ascii="宋体" w:hAnsi="宋体"/>
          <w:sz w:val="24"/>
        </w:rPr>
        <w:t>支付的违约金或赔偿金（元）；</w:t>
      </w:r>
    </w:p>
    <w:p>
      <w:pPr>
        <w:pStyle w:val="159"/>
        <w:numPr>
          <w:ilvl w:val="0"/>
          <w:numId w:val="3"/>
        </w:numPr>
        <w:spacing w:line="360" w:lineRule="auto"/>
        <w:ind w:firstLine="480" w:firstLineChars="200"/>
        <w:rPr>
          <w:rFonts w:ascii="宋体" w:hAnsi="宋体"/>
          <w:sz w:val="24"/>
        </w:rPr>
      </w:pPr>
      <w:r>
        <w:rPr>
          <w:rFonts w:ascii="宋体" w:hAnsi="宋体"/>
          <w:sz w:val="24"/>
        </w:rPr>
        <w:t>按合同约定</w:t>
      </w:r>
      <w:r>
        <w:rPr>
          <w:rFonts w:hint="eastAsia" w:ascii="宋体" w:hAnsi="宋体"/>
          <w:sz w:val="24"/>
        </w:rPr>
        <w:t>甲方</w:t>
      </w:r>
      <w:r>
        <w:rPr>
          <w:rFonts w:ascii="宋体" w:hAnsi="宋体"/>
          <w:sz w:val="24"/>
        </w:rPr>
        <w:t>应向项目管理服务人支付的违约金或赔偿金（元）。</w:t>
      </w:r>
    </w:p>
    <w:p>
      <w:pPr>
        <w:pStyle w:val="159"/>
        <w:tabs>
          <w:tab w:val="left" w:pos="360"/>
        </w:tabs>
        <w:spacing w:line="360" w:lineRule="auto"/>
        <w:ind w:firstLine="480" w:firstLineChars="200"/>
        <w:rPr>
          <w:rFonts w:ascii="宋体" w:hAnsi="宋体"/>
          <w:sz w:val="24"/>
        </w:rPr>
      </w:pPr>
      <w:r>
        <w:rPr>
          <w:rFonts w:hint="eastAsia" w:ascii="宋体" w:hAnsi="仿宋" w:cs="仿宋"/>
          <w:kern w:val="0"/>
          <w:sz w:val="24"/>
          <w:szCs w:val="32"/>
        </w:rPr>
        <w:t>7.4.1如在工程实施期间，因政策变化、规划调整或不可抗力等非承包人原因导致本合同无法继续履行的，则</w:t>
      </w:r>
      <w:r>
        <w:rPr>
          <w:rFonts w:hint="eastAsia" w:ascii="宋体" w:hAnsi="宋体"/>
          <w:sz w:val="24"/>
        </w:rPr>
        <w:t>项目管理单位</w:t>
      </w:r>
      <w:r>
        <w:rPr>
          <w:rFonts w:hint="eastAsia" w:ascii="宋体" w:hAnsi="仿宋" w:cs="仿宋"/>
          <w:kern w:val="0"/>
          <w:sz w:val="24"/>
          <w:szCs w:val="32"/>
        </w:rPr>
        <w:t>应积极配合发包人做好善后工作，按已实际完成的服务内容和本合同的相关约定结清酬金，</w:t>
      </w:r>
      <w:r>
        <w:rPr>
          <w:rFonts w:hint="eastAsia" w:ascii="宋体" w:hAnsi="宋体"/>
          <w:sz w:val="24"/>
        </w:rPr>
        <w:t>项目管理单位</w:t>
      </w:r>
      <w:r>
        <w:rPr>
          <w:rFonts w:hint="eastAsia" w:ascii="宋体" w:hAnsi="仿宋" w:cs="仿宋"/>
          <w:kern w:val="0"/>
          <w:sz w:val="24"/>
          <w:szCs w:val="32"/>
        </w:rPr>
        <w:t>不得要求额外的费用及任何形式的补偿。</w:t>
      </w:r>
    </w:p>
    <w:p>
      <w:pPr>
        <w:pStyle w:val="4"/>
        <w:spacing w:before="200" w:after="200" w:line="240" w:lineRule="auto"/>
        <w:rPr>
          <w:rFonts w:ascii="宋体" w:hAnsi="宋体"/>
          <w:szCs w:val="28"/>
        </w:rPr>
      </w:pPr>
      <w:bookmarkStart w:id="180" w:name="_Toc27565"/>
      <w:bookmarkStart w:id="181" w:name="_Toc4552"/>
      <w:bookmarkStart w:id="182" w:name="_Toc8475"/>
      <w:bookmarkStart w:id="183" w:name="_Toc17338"/>
      <w:bookmarkStart w:id="184" w:name="_Toc21262"/>
      <w:bookmarkStart w:id="185" w:name="_Toc398"/>
      <w:bookmarkStart w:id="186" w:name="_Toc23892"/>
      <w:bookmarkStart w:id="187" w:name="_Toc29660"/>
      <w:r>
        <w:rPr>
          <w:rFonts w:hint="eastAsia" w:ascii="宋体" w:hAnsi="宋体"/>
          <w:szCs w:val="28"/>
        </w:rPr>
        <w:t>第八章 项目建设管理的其他约定</w:t>
      </w:r>
      <w:bookmarkEnd w:id="180"/>
      <w:bookmarkEnd w:id="181"/>
      <w:bookmarkEnd w:id="182"/>
      <w:bookmarkEnd w:id="183"/>
      <w:bookmarkEnd w:id="184"/>
      <w:bookmarkEnd w:id="185"/>
      <w:bookmarkEnd w:id="186"/>
      <w:bookmarkEnd w:id="187"/>
    </w:p>
    <w:p>
      <w:pPr>
        <w:spacing w:line="360" w:lineRule="auto"/>
        <w:ind w:firstLine="482" w:firstLineChars="200"/>
        <w:rPr>
          <w:rFonts w:ascii="宋体" w:hAnsi="宋体"/>
          <w:sz w:val="24"/>
        </w:rPr>
      </w:pPr>
      <w:bookmarkStart w:id="188" w:name="_Toc23886"/>
      <w:bookmarkStart w:id="189" w:name="_Toc3494"/>
      <w:bookmarkStart w:id="190" w:name="_Toc24229"/>
      <w:bookmarkStart w:id="191" w:name="_Toc6384"/>
      <w:r>
        <w:rPr>
          <w:rFonts w:hint="eastAsia" w:ascii="宋体" w:hAnsi="宋体"/>
          <w:b/>
          <w:bCs/>
          <w:sz w:val="24"/>
        </w:rPr>
        <w:t>8.1 项目管理服务人员</w:t>
      </w:r>
      <w:bookmarkEnd w:id="188"/>
      <w:bookmarkEnd w:id="189"/>
      <w:bookmarkEnd w:id="190"/>
      <w:bookmarkEnd w:id="191"/>
    </w:p>
    <w:p>
      <w:pPr>
        <w:spacing w:line="360" w:lineRule="auto"/>
        <w:ind w:firstLine="480" w:firstLineChars="200"/>
        <w:rPr>
          <w:rFonts w:ascii="宋体" w:hAnsi="宋体"/>
          <w:sz w:val="24"/>
        </w:rPr>
      </w:pPr>
      <w:r>
        <w:rPr>
          <w:rFonts w:hint="eastAsia" w:ascii="宋体" w:hAnsi="宋体"/>
          <w:sz w:val="24"/>
        </w:rPr>
        <w:t>8.1.1项目负责人</w:t>
      </w:r>
    </w:p>
    <w:p>
      <w:pPr>
        <w:spacing w:line="360" w:lineRule="auto"/>
        <w:ind w:firstLine="480" w:firstLineChars="200"/>
        <w:rPr>
          <w:rFonts w:ascii="宋体" w:hAnsi="宋体"/>
          <w:sz w:val="24"/>
        </w:rPr>
      </w:pPr>
      <w:r>
        <w:rPr>
          <w:rFonts w:hint="eastAsia" w:ascii="宋体" w:hAnsi="宋体"/>
          <w:sz w:val="24"/>
        </w:rPr>
        <w:t>为了执行本合同，项目管理单位应指定一位具有相关工作经验作为本工程的项目负责人</w:t>
      </w:r>
      <w:r>
        <w:rPr>
          <w:rFonts w:hint="eastAsia"/>
        </w:rPr>
        <w:t>，</w:t>
      </w:r>
      <w:r>
        <w:rPr>
          <w:rFonts w:hint="eastAsia" w:ascii="宋体" w:hAnsi="宋体"/>
          <w:sz w:val="24"/>
        </w:rPr>
        <w:t>项目负责人应被视为已取得了充分的授权，并可全权代表所派出方（乙方）。</w:t>
      </w:r>
    </w:p>
    <w:p>
      <w:pPr>
        <w:spacing w:line="360" w:lineRule="auto"/>
        <w:ind w:firstLine="480" w:firstLineChars="200"/>
        <w:rPr>
          <w:rFonts w:ascii="宋体" w:hAnsi="宋体"/>
          <w:sz w:val="24"/>
        </w:rPr>
      </w:pPr>
      <w:r>
        <w:rPr>
          <w:rFonts w:hint="eastAsia" w:ascii="宋体" w:hAnsi="宋体"/>
          <w:sz w:val="24"/>
        </w:rPr>
        <w:t>8.1.2项目管理人员</w:t>
      </w:r>
    </w:p>
    <w:p>
      <w:pPr>
        <w:spacing w:line="360" w:lineRule="auto"/>
        <w:ind w:firstLine="480" w:firstLineChars="200"/>
        <w:rPr>
          <w:rFonts w:ascii="宋体" w:hAnsi="宋体"/>
          <w:sz w:val="24"/>
        </w:rPr>
      </w:pPr>
      <w:r>
        <w:rPr>
          <w:rFonts w:hint="eastAsia" w:ascii="宋体" w:hAnsi="宋体"/>
          <w:sz w:val="24"/>
        </w:rPr>
        <w:t>项目管理人员按投标时管理方案进行配置。</w:t>
      </w:r>
    </w:p>
    <w:p>
      <w:pPr>
        <w:spacing w:line="360" w:lineRule="auto"/>
        <w:ind w:firstLine="480" w:firstLineChars="200"/>
        <w:rPr>
          <w:rFonts w:ascii="宋体" w:hAnsi="宋体"/>
          <w:sz w:val="24"/>
        </w:rPr>
      </w:pPr>
      <w:bookmarkStart w:id="192" w:name="_Toc3214"/>
      <w:bookmarkStart w:id="193" w:name="_Toc10214"/>
      <w:bookmarkStart w:id="194" w:name="_Toc4679"/>
      <w:bookmarkStart w:id="195" w:name="_Toc28779"/>
      <w:r>
        <w:rPr>
          <w:rFonts w:hint="eastAsia" w:ascii="宋体" w:hAnsi="宋体"/>
          <w:sz w:val="24"/>
        </w:rPr>
        <w:t>8.1.3人员的更换</w:t>
      </w:r>
      <w:bookmarkEnd w:id="192"/>
      <w:bookmarkEnd w:id="193"/>
      <w:bookmarkEnd w:id="194"/>
      <w:bookmarkEnd w:id="195"/>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8.1.3.1项目管理单位应严格按照承诺中的项目管理服务架构表安排项目管理服务人员，确保人员到位，并且不得随意更换。如有必要更换，则需在事先征得甲方的同意后，项目管理单位应立即安排一位具有同等能力的人员来替换。</w:t>
      </w:r>
    </w:p>
    <w:p>
      <w:pPr>
        <w:spacing w:line="360" w:lineRule="auto"/>
        <w:ind w:firstLine="480" w:firstLineChars="200"/>
        <w:rPr>
          <w:rFonts w:ascii="宋体" w:hAnsi="宋体"/>
          <w:sz w:val="24"/>
        </w:rPr>
      </w:pPr>
      <w:r>
        <w:rPr>
          <w:rFonts w:hint="eastAsia" w:ascii="宋体" w:hAnsi="宋体"/>
          <w:sz w:val="24"/>
        </w:rPr>
        <w:t>8.1.3.2此类更换要求应以书面形式提出并申述正当的更换理由。</w:t>
      </w:r>
    </w:p>
    <w:p>
      <w:pPr>
        <w:spacing w:line="360" w:lineRule="auto"/>
        <w:ind w:firstLine="480" w:firstLineChars="200"/>
        <w:rPr>
          <w:rFonts w:ascii="宋体" w:hAnsi="宋体"/>
          <w:bCs/>
          <w:sz w:val="24"/>
        </w:rPr>
      </w:pPr>
      <w:r>
        <w:rPr>
          <w:rFonts w:hint="eastAsia" w:ascii="宋体" w:hAnsi="宋体"/>
          <w:sz w:val="24"/>
        </w:rPr>
        <w:t>项目管理服务人员投入按要求分阶段投入满足工程实际需求的项目管理及监理人员</w:t>
      </w:r>
      <w:r>
        <w:rPr>
          <w:rFonts w:hint="eastAsia" w:ascii="宋体" w:hAnsi="宋体"/>
          <w:bCs/>
          <w:sz w:val="24"/>
        </w:rPr>
        <w:t>。</w:t>
      </w:r>
    </w:p>
    <w:p>
      <w:pPr>
        <w:pStyle w:val="2"/>
        <w:spacing w:line="360" w:lineRule="auto"/>
        <w:rPr>
          <w:rFonts w:ascii="宋体" w:hAnsi="宋体"/>
          <w:bCs/>
          <w:sz w:val="24"/>
        </w:rPr>
      </w:pPr>
      <w:r>
        <w:rPr>
          <w:rFonts w:hint="eastAsia" w:ascii="宋体" w:hAnsi="宋体"/>
          <w:bCs/>
          <w:sz w:val="24"/>
        </w:rPr>
        <w:t>8.1.4人员的投入</w:t>
      </w:r>
    </w:p>
    <w:p>
      <w:pPr>
        <w:pStyle w:val="2"/>
        <w:spacing w:line="360" w:lineRule="auto"/>
        <w:rPr>
          <w:rFonts w:ascii="宋体" w:hAnsi="宋体"/>
          <w:sz w:val="24"/>
          <w:szCs w:val="24"/>
        </w:rPr>
      </w:pPr>
      <w:r>
        <w:rPr>
          <w:rFonts w:hint="eastAsia" w:ascii="宋体" w:hAnsi="宋体"/>
          <w:sz w:val="24"/>
          <w:szCs w:val="24"/>
          <w:lang w:eastAsia="zh-Hans"/>
        </w:rPr>
        <w:t>要求分阶段投入满足工程实际需求的项目管理人员</w:t>
      </w:r>
      <w:r>
        <w:rPr>
          <w:rFonts w:hint="eastAsia" w:ascii="宋体" w:hAnsi="宋体"/>
          <w:sz w:val="24"/>
          <w:szCs w:val="24"/>
        </w:rPr>
        <w:t>。</w:t>
      </w:r>
    </w:p>
    <w:p>
      <w:pPr>
        <w:spacing w:line="360" w:lineRule="auto"/>
        <w:ind w:firstLine="482" w:firstLineChars="200"/>
        <w:rPr>
          <w:rFonts w:ascii="宋体" w:hAnsi="宋体"/>
          <w:b/>
          <w:bCs/>
          <w:sz w:val="24"/>
        </w:rPr>
      </w:pPr>
      <w:bookmarkStart w:id="196" w:name="_Toc17944"/>
      <w:bookmarkStart w:id="197" w:name="_Toc22262"/>
      <w:bookmarkStart w:id="198" w:name="_Toc26651"/>
      <w:bookmarkStart w:id="199" w:name="_Toc10635"/>
      <w:r>
        <w:rPr>
          <w:rFonts w:hint="eastAsia" w:ascii="宋体" w:hAnsi="宋体"/>
          <w:b/>
          <w:bCs/>
          <w:sz w:val="24"/>
        </w:rPr>
        <w:t>8.2 工程保险</w:t>
      </w:r>
      <w:bookmarkEnd w:id="196"/>
      <w:bookmarkEnd w:id="197"/>
      <w:bookmarkEnd w:id="198"/>
      <w:bookmarkEnd w:id="199"/>
    </w:p>
    <w:p>
      <w:pPr>
        <w:spacing w:line="360" w:lineRule="auto"/>
        <w:ind w:firstLine="480" w:firstLineChars="200"/>
        <w:rPr>
          <w:rFonts w:ascii="宋体" w:hAnsi="宋体"/>
          <w:sz w:val="24"/>
        </w:rPr>
      </w:pPr>
      <w:r>
        <w:rPr>
          <w:rFonts w:hint="eastAsia" w:ascii="宋体" w:hAnsi="宋体"/>
          <w:sz w:val="24"/>
        </w:rPr>
        <w:t>8.2.1由甲方安排的工程保险</w:t>
      </w:r>
    </w:p>
    <w:p>
      <w:pPr>
        <w:spacing w:line="360" w:lineRule="auto"/>
        <w:ind w:firstLine="480" w:firstLineChars="200"/>
        <w:rPr>
          <w:rFonts w:ascii="宋体" w:hAnsi="宋体"/>
          <w:sz w:val="24"/>
        </w:rPr>
      </w:pPr>
      <w:r>
        <w:rPr>
          <w:rFonts w:hint="eastAsia" w:ascii="宋体" w:hAnsi="宋体"/>
          <w:sz w:val="24"/>
        </w:rPr>
        <w:t>针对工程实施的具体要求与特点，由甲方安排的工程保险应按甲方的实际指示要求进行投保，相关工程保险费用由甲方支付。</w:t>
      </w:r>
    </w:p>
    <w:p>
      <w:pPr>
        <w:spacing w:line="360" w:lineRule="auto"/>
        <w:ind w:firstLine="480" w:firstLineChars="200"/>
        <w:rPr>
          <w:rFonts w:ascii="宋体" w:hAnsi="宋体"/>
          <w:sz w:val="24"/>
        </w:rPr>
      </w:pPr>
      <w:bookmarkStart w:id="200" w:name="_Toc6390"/>
      <w:bookmarkStart w:id="201" w:name="_Toc27881"/>
      <w:bookmarkStart w:id="202" w:name="_Toc30867"/>
      <w:bookmarkStart w:id="203" w:name="_Toc245"/>
      <w:r>
        <w:rPr>
          <w:rFonts w:hint="eastAsia" w:ascii="宋体" w:hAnsi="宋体"/>
          <w:sz w:val="24"/>
        </w:rPr>
        <w:t>8.2.2由承包商安排的工程保险</w:t>
      </w:r>
      <w:bookmarkEnd w:id="200"/>
      <w:bookmarkEnd w:id="201"/>
      <w:bookmarkEnd w:id="202"/>
      <w:bookmarkEnd w:id="203"/>
    </w:p>
    <w:p>
      <w:pPr>
        <w:spacing w:line="360" w:lineRule="auto"/>
        <w:ind w:firstLine="720" w:firstLineChars="300"/>
        <w:rPr>
          <w:rFonts w:ascii="宋体" w:hAnsi="宋体"/>
          <w:sz w:val="24"/>
        </w:rPr>
      </w:pPr>
      <w:r>
        <w:rPr>
          <w:rFonts w:hint="eastAsia" w:ascii="宋体" w:hAnsi="宋体"/>
          <w:sz w:val="24"/>
        </w:rPr>
        <w:t>8.2.2.1工程施工承包商在工程中使用的工程设备、机械和机具的保险由工程承包商自行投保安排。</w:t>
      </w:r>
    </w:p>
    <w:p>
      <w:pPr>
        <w:spacing w:line="360" w:lineRule="auto"/>
        <w:ind w:firstLine="720" w:firstLineChars="300"/>
        <w:rPr>
          <w:rFonts w:ascii="宋体" w:hAnsi="宋体"/>
          <w:sz w:val="24"/>
        </w:rPr>
      </w:pPr>
      <w:r>
        <w:rPr>
          <w:rFonts w:hint="eastAsia" w:ascii="宋体" w:hAnsi="宋体"/>
          <w:sz w:val="24"/>
        </w:rPr>
        <w:t>8.2.2.2承包商所雇员工在工程实施期间的人身意外伤亡的保险由承包商自行安排投保。</w:t>
      </w:r>
    </w:p>
    <w:p>
      <w:pPr>
        <w:spacing w:line="360" w:lineRule="auto"/>
        <w:ind w:firstLine="720" w:firstLineChars="300"/>
        <w:rPr>
          <w:rFonts w:ascii="宋体" w:hAnsi="宋体"/>
          <w:sz w:val="24"/>
        </w:rPr>
      </w:pPr>
      <w:r>
        <w:rPr>
          <w:rFonts w:hint="eastAsia" w:ascii="宋体" w:hAnsi="宋体"/>
          <w:sz w:val="24"/>
        </w:rPr>
        <w:t>8.2.2.3承包商为工程提供的设备运输险由承包商自行安排投保。</w:t>
      </w:r>
    </w:p>
    <w:p>
      <w:pPr>
        <w:spacing w:line="360" w:lineRule="auto"/>
        <w:ind w:firstLine="720" w:firstLineChars="300"/>
        <w:rPr>
          <w:rFonts w:ascii="宋体" w:hAnsi="宋体"/>
          <w:sz w:val="24"/>
        </w:rPr>
      </w:pPr>
      <w:r>
        <w:rPr>
          <w:rFonts w:hint="eastAsia" w:ascii="宋体" w:hAnsi="宋体"/>
          <w:sz w:val="24"/>
        </w:rPr>
        <w:t>8.2.2.4工程设备承包商应为其供应本工程的设备投保，使其免受一切损失和损害；该项保险的最低限额不应低于全部重置(包括运至现场)价值。该项保险应保证每项设备运往现场过程中以及设备停留在现场或附近期间，均处于被保险之中。</w:t>
      </w:r>
    </w:p>
    <w:p>
      <w:pPr>
        <w:spacing w:line="360" w:lineRule="auto"/>
        <w:ind w:firstLine="720" w:firstLineChars="300"/>
        <w:rPr>
          <w:rFonts w:ascii="宋体" w:hAnsi="宋体"/>
          <w:sz w:val="24"/>
        </w:rPr>
      </w:pPr>
      <w:r>
        <w:rPr>
          <w:rFonts w:hint="eastAsia" w:ascii="宋体" w:hAnsi="宋体"/>
          <w:sz w:val="24"/>
        </w:rPr>
        <w:t>8.2.2.5项目管理单位督促承包商办理上述保险。</w:t>
      </w:r>
    </w:p>
    <w:p>
      <w:pPr>
        <w:spacing w:line="360" w:lineRule="auto"/>
        <w:ind w:firstLine="480" w:firstLineChars="200"/>
        <w:rPr>
          <w:rFonts w:ascii="宋体" w:hAnsi="宋体"/>
          <w:sz w:val="24"/>
        </w:rPr>
      </w:pPr>
      <w:r>
        <w:rPr>
          <w:rFonts w:hint="eastAsia" w:ascii="宋体" w:hAnsi="宋体"/>
          <w:sz w:val="24"/>
        </w:rPr>
        <w:t>8.2.3项目管理单位负责办理甲方安排投保的保险责任范围内事故的理赔手续，项目管理单位根据事故性质决定向承包商支付合理赔款的金额，实际支付金额与保险公司理赔金额的差额，用于冲抵建设成本。</w:t>
      </w:r>
    </w:p>
    <w:p>
      <w:pPr>
        <w:spacing w:line="360" w:lineRule="auto"/>
        <w:ind w:firstLine="480" w:firstLineChars="200"/>
        <w:rPr>
          <w:rFonts w:ascii="宋体" w:hAnsi="宋体"/>
          <w:sz w:val="24"/>
        </w:rPr>
      </w:pPr>
      <w:r>
        <w:rPr>
          <w:rFonts w:hint="eastAsia" w:ascii="宋体" w:hAnsi="宋体"/>
          <w:sz w:val="24"/>
        </w:rPr>
        <w:t>8.2.4 项目管理单位乙方因怠于要求保险公司理赔导致甲方遭受重大损失的，项目管理单位乙方应赔偿甲方因此造成的损失。</w:t>
      </w:r>
    </w:p>
    <w:p>
      <w:pPr>
        <w:spacing w:line="360" w:lineRule="auto"/>
        <w:ind w:firstLine="482" w:firstLineChars="200"/>
        <w:rPr>
          <w:rFonts w:ascii="宋体" w:hAnsi="宋体"/>
          <w:b/>
          <w:bCs/>
          <w:sz w:val="24"/>
        </w:rPr>
      </w:pPr>
      <w:bookmarkStart w:id="204" w:name="_Toc5765"/>
      <w:bookmarkStart w:id="205" w:name="_Toc23930"/>
      <w:bookmarkStart w:id="206" w:name="_Toc188"/>
      <w:bookmarkStart w:id="207" w:name="_Toc11246"/>
      <w:r>
        <w:rPr>
          <w:rFonts w:hint="eastAsia" w:ascii="宋体" w:hAnsi="宋体"/>
          <w:b/>
          <w:bCs/>
          <w:sz w:val="24"/>
        </w:rPr>
        <w:t>8.3 工程使用（或运营）</w:t>
      </w:r>
      <w:bookmarkEnd w:id="204"/>
      <w:bookmarkEnd w:id="205"/>
      <w:bookmarkEnd w:id="206"/>
      <w:bookmarkEnd w:id="207"/>
    </w:p>
    <w:p>
      <w:pPr>
        <w:spacing w:line="360" w:lineRule="auto"/>
        <w:ind w:firstLine="480" w:firstLineChars="200"/>
        <w:rPr>
          <w:rFonts w:ascii="宋体" w:hAnsi="宋体"/>
          <w:sz w:val="24"/>
        </w:rPr>
      </w:pPr>
      <w:r>
        <w:rPr>
          <w:rFonts w:hint="eastAsia" w:ascii="宋体" w:hAnsi="宋体"/>
          <w:sz w:val="24"/>
        </w:rPr>
        <w:t>在工程交付使用（或运营）的前，甲方应委托具有资质、能力、经验和业绩的使用（或运营）单位介入本工程的使用（或运营）前期准备工作。项目管理单位在工程正式移交前有责任和义务配合、协助受托的使用（或运营）单位做好使用（或运营）前期交接工作，并提供工作便利。</w:t>
      </w:r>
    </w:p>
    <w:p>
      <w:pPr>
        <w:pStyle w:val="4"/>
        <w:spacing w:before="200" w:after="200" w:line="240" w:lineRule="auto"/>
        <w:rPr>
          <w:rFonts w:ascii="宋体" w:hAnsi="宋体"/>
          <w:szCs w:val="28"/>
        </w:rPr>
      </w:pPr>
      <w:bookmarkStart w:id="208" w:name="_Toc11584"/>
      <w:bookmarkStart w:id="209" w:name="_Toc23101"/>
      <w:bookmarkStart w:id="210" w:name="_Toc29438"/>
      <w:bookmarkStart w:id="211" w:name="_Toc24620"/>
      <w:bookmarkStart w:id="212" w:name="_Toc32436"/>
      <w:bookmarkStart w:id="213" w:name="_Toc21627"/>
      <w:bookmarkStart w:id="214" w:name="_Toc21978"/>
      <w:bookmarkStart w:id="215" w:name="_Toc4142"/>
      <w:r>
        <w:rPr>
          <w:rFonts w:hint="eastAsia" w:ascii="宋体" w:hAnsi="宋体"/>
          <w:szCs w:val="28"/>
        </w:rPr>
        <w:t>第九章 合同一般规定</w:t>
      </w:r>
      <w:bookmarkEnd w:id="208"/>
      <w:bookmarkEnd w:id="209"/>
      <w:bookmarkEnd w:id="210"/>
      <w:bookmarkEnd w:id="211"/>
      <w:bookmarkEnd w:id="212"/>
      <w:bookmarkEnd w:id="213"/>
      <w:bookmarkEnd w:id="214"/>
      <w:bookmarkEnd w:id="215"/>
    </w:p>
    <w:p>
      <w:pPr>
        <w:spacing w:line="360" w:lineRule="auto"/>
        <w:ind w:firstLine="482" w:firstLineChars="200"/>
        <w:rPr>
          <w:rFonts w:ascii="宋体" w:hAnsi="宋体"/>
          <w:b/>
          <w:bCs/>
          <w:sz w:val="24"/>
        </w:rPr>
      </w:pPr>
      <w:bookmarkStart w:id="216" w:name="_Toc10176"/>
      <w:bookmarkStart w:id="217" w:name="_Toc27106"/>
      <w:bookmarkStart w:id="218" w:name="_Toc17323"/>
      <w:bookmarkStart w:id="219" w:name="_Toc6515"/>
      <w:r>
        <w:rPr>
          <w:rFonts w:hint="eastAsia" w:ascii="宋体" w:hAnsi="宋体"/>
          <w:b/>
          <w:bCs/>
          <w:sz w:val="24"/>
        </w:rPr>
        <w:t>9.1 一般规定</w:t>
      </w:r>
      <w:bookmarkEnd w:id="216"/>
      <w:bookmarkEnd w:id="217"/>
      <w:bookmarkEnd w:id="218"/>
      <w:bookmarkEnd w:id="219"/>
    </w:p>
    <w:p>
      <w:pPr>
        <w:spacing w:line="360" w:lineRule="auto"/>
        <w:ind w:firstLine="480" w:firstLineChars="200"/>
        <w:rPr>
          <w:rFonts w:ascii="宋体" w:hAnsi="宋体"/>
          <w:sz w:val="24"/>
        </w:rPr>
      </w:pPr>
      <w:r>
        <w:rPr>
          <w:rFonts w:hint="eastAsia" w:ascii="宋体" w:hAnsi="宋体"/>
          <w:sz w:val="24"/>
        </w:rPr>
        <w:t>9.1.1本合同文件使用中文（简体）书写、解释和说明。</w:t>
      </w:r>
    </w:p>
    <w:p>
      <w:pPr>
        <w:spacing w:line="360" w:lineRule="auto"/>
        <w:ind w:firstLine="480" w:firstLineChars="200"/>
        <w:rPr>
          <w:rFonts w:ascii="宋体" w:hAnsi="宋体"/>
          <w:sz w:val="24"/>
        </w:rPr>
      </w:pPr>
      <w:r>
        <w:rPr>
          <w:rFonts w:hint="eastAsia" w:ascii="宋体" w:hAnsi="宋体"/>
          <w:sz w:val="24"/>
        </w:rPr>
        <w:t>合同遵循的法律：中华人民共和国和广东省、广州市的有关法律、法规。</w:t>
      </w:r>
    </w:p>
    <w:p>
      <w:pPr>
        <w:spacing w:line="360" w:lineRule="auto"/>
        <w:ind w:firstLine="480" w:firstLineChars="200"/>
        <w:rPr>
          <w:rFonts w:ascii="宋体" w:hAnsi="宋体"/>
          <w:sz w:val="24"/>
        </w:rPr>
      </w:pPr>
      <w:r>
        <w:rPr>
          <w:rFonts w:hint="eastAsia" w:ascii="宋体" w:hAnsi="宋体"/>
          <w:sz w:val="24"/>
        </w:rPr>
        <w:t>合同规定的货币：人民币。</w:t>
      </w:r>
    </w:p>
    <w:p>
      <w:pPr>
        <w:spacing w:line="360" w:lineRule="auto"/>
        <w:ind w:firstLine="480" w:firstLineChars="200"/>
        <w:rPr>
          <w:rFonts w:ascii="宋体" w:hAnsi="宋体"/>
          <w:sz w:val="24"/>
        </w:rPr>
      </w:pPr>
      <w:r>
        <w:rPr>
          <w:rFonts w:hint="eastAsia" w:ascii="宋体" w:hAnsi="宋体"/>
          <w:sz w:val="24"/>
        </w:rPr>
        <w:t>9.1.2知识产权</w:t>
      </w:r>
    </w:p>
    <w:p>
      <w:pPr>
        <w:spacing w:line="360" w:lineRule="auto"/>
        <w:ind w:firstLine="720" w:firstLineChars="300"/>
        <w:rPr>
          <w:rFonts w:ascii="宋体" w:hAnsi="宋体"/>
          <w:sz w:val="24"/>
        </w:rPr>
      </w:pPr>
      <w:r>
        <w:rPr>
          <w:rFonts w:hint="eastAsia" w:ascii="宋体" w:hAnsi="宋体"/>
          <w:sz w:val="24"/>
        </w:rPr>
        <w:t>9.1.2.1各方对于由其编制的所有文件拥有版权，另一方有权为工程实施和预定的目的使用此类文件。</w:t>
      </w:r>
    </w:p>
    <w:p>
      <w:pPr>
        <w:spacing w:line="360" w:lineRule="auto"/>
        <w:ind w:firstLine="720" w:firstLineChars="300"/>
        <w:rPr>
          <w:rFonts w:ascii="宋体" w:hAnsi="宋体"/>
          <w:sz w:val="24"/>
        </w:rPr>
      </w:pPr>
      <w:r>
        <w:rPr>
          <w:rFonts w:hint="eastAsia" w:ascii="宋体" w:hAnsi="宋体"/>
          <w:sz w:val="24"/>
        </w:rPr>
        <w:t>9.1.2.2在合同履行过程中，如因工程建设需要进行技术开发的，由甲方作为技术开发的甲方或委托项目管理单位与研究开发单位签订技术开发合同并支付费用，有关知识产权由甲方和项目管理单位乙方与研究开发单位在合同中约定。</w:t>
      </w:r>
    </w:p>
    <w:p>
      <w:pPr>
        <w:spacing w:line="360" w:lineRule="auto"/>
        <w:ind w:firstLine="480" w:firstLineChars="200"/>
        <w:rPr>
          <w:rFonts w:ascii="宋体" w:hAnsi="宋体"/>
          <w:sz w:val="24"/>
        </w:rPr>
      </w:pPr>
      <w:bookmarkStart w:id="220" w:name="_Toc4746"/>
      <w:bookmarkStart w:id="221" w:name="_Toc8758"/>
      <w:bookmarkStart w:id="222" w:name="_Toc11191"/>
      <w:bookmarkStart w:id="223" w:name="_Toc2146"/>
      <w:r>
        <w:rPr>
          <w:rFonts w:hint="eastAsia" w:ascii="宋体" w:hAnsi="宋体"/>
          <w:sz w:val="24"/>
        </w:rPr>
        <w:t>9.1.3违约责任</w:t>
      </w:r>
      <w:bookmarkEnd w:id="220"/>
      <w:bookmarkEnd w:id="221"/>
      <w:bookmarkEnd w:id="222"/>
      <w:bookmarkEnd w:id="223"/>
    </w:p>
    <w:p>
      <w:pPr>
        <w:spacing w:line="360" w:lineRule="auto"/>
        <w:ind w:firstLine="480" w:firstLineChars="200"/>
        <w:rPr>
          <w:rFonts w:ascii="宋体" w:hAnsi="宋体"/>
          <w:sz w:val="24"/>
        </w:rPr>
      </w:pPr>
      <w:r>
        <w:rPr>
          <w:rFonts w:hint="eastAsia" w:ascii="宋体" w:hAnsi="宋体"/>
          <w:sz w:val="24"/>
        </w:rPr>
        <w:t>任何一方违反本合同规定的，应承担违约责任，并向守约方赔偿有关损失。</w:t>
      </w:r>
    </w:p>
    <w:p>
      <w:pPr>
        <w:spacing w:line="360" w:lineRule="auto"/>
        <w:ind w:firstLine="480" w:firstLineChars="200"/>
        <w:rPr>
          <w:rFonts w:ascii="宋体" w:hAnsi="宋体"/>
          <w:sz w:val="24"/>
        </w:rPr>
      </w:pPr>
      <w:bookmarkStart w:id="224" w:name="_Toc16421"/>
      <w:bookmarkStart w:id="225" w:name="_Toc13338"/>
      <w:bookmarkStart w:id="226" w:name="_Toc3776"/>
      <w:bookmarkStart w:id="227" w:name="_Toc24211"/>
      <w:r>
        <w:rPr>
          <w:rFonts w:hint="eastAsia" w:ascii="宋体" w:hAnsi="宋体"/>
          <w:sz w:val="24"/>
        </w:rPr>
        <w:t>9.1.4利益的冲突</w:t>
      </w:r>
      <w:bookmarkEnd w:id="224"/>
      <w:bookmarkEnd w:id="225"/>
      <w:bookmarkEnd w:id="226"/>
      <w:bookmarkEnd w:id="227"/>
    </w:p>
    <w:p>
      <w:pPr>
        <w:spacing w:line="360" w:lineRule="auto"/>
        <w:ind w:firstLine="720" w:firstLineChars="300"/>
        <w:rPr>
          <w:rFonts w:ascii="宋体" w:hAnsi="宋体"/>
          <w:sz w:val="24"/>
        </w:rPr>
      </w:pPr>
      <w:r>
        <w:rPr>
          <w:rFonts w:hint="eastAsia" w:ascii="宋体" w:hAnsi="宋体"/>
          <w:sz w:val="24"/>
        </w:rPr>
        <w:t>9.1.4.1除非得到甲方书面同意，项目管理单位及其职员不应获得也不应接受合同约定以外的与本工程有关的利益和报酬。</w:t>
      </w:r>
    </w:p>
    <w:p>
      <w:pPr>
        <w:spacing w:line="360" w:lineRule="auto"/>
        <w:ind w:firstLine="720" w:firstLineChars="300"/>
        <w:rPr>
          <w:rFonts w:ascii="宋体" w:hAnsi="宋体"/>
          <w:sz w:val="24"/>
        </w:rPr>
      </w:pPr>
      <w:r>
        <w:rPr>
          <w:rFonts w:hint="eastAsia" w:ascii="宋体" w:hAnsi="宋体"/>
          <w:sz w:val="24"/>
        </w:rPr>
        <w:t>9.1.4.2甲方或项目管理单位在履行合同过程中，不得泄露另一方申明的秘密，项目管理单位亦不得泄露第三方申明的秘密。</w:t>
      </w:r>
    </w:p>
    <w:p>
      <w:pPr>
        <w:spacing w:line="360" w:lineRule="auto"/>
        <w:ind w:firstLine="720" w:firstLineChars="300"/>
        <w:rPr>
          <w:rFonts w:ascii="宋体" w:hAnsi="宋体"/>
          <w:sz w:val="24"/>
        </w:rPr>
      </w:pPr>
      <w:r>
        <w:rPr>
          <w:rFonts w:hint="eastAsia" w:ascii="宋体" w:hAnsi="宋体"/>
          <w:sz w:val="24"/>
        </w:rPr>
        <w:t>9.1.4.3甲方或项目管理单位不得参与可能与合同中约定的另一方利益相冲突的任何活动。</w:t>
      </w:r>
    </w:p>
    <w:p>
      <w:pPr>
        <w:spacing w:line="360" w:lineRule="auto"/>
        <w:ind w:firstLine="480" w:firstLineChars="200"/>
        <w:rPr>
          <w:rFonts w:ascii="宋体" w:hAnsi="宋体"/>
          <w:sz w:val="24"/>
        </w:rPr>
      </w:pPr>
      <w:bookmarkStart w:id="228" w:name="_Toc21005"/>
      <w:bookmarkStart w:id="229" w:name="_Toc4118"/>
      <w:bookmarkStart w:id="230" w:name="_Toc19611"/>
      <w:bookmarkStart w:id="231" w:name="_Toc32539"/>
      <w:r>
        <w:rPr>
          <w:rFonts w:hint="eastAsia" w:ascii="宋体" w:hAnsi="宋体"/>
          <w:sz w:val="24"/>
        </w:rPr>
        <w:t>9.1.5通知</w:t>
      </w:r>
      <w:bookmarkEnd w:id="228"/>
      <w:bookmarkEnd w:id="229"/>
      <w:bookmarkEnd w:id="230"/>
      <w:bookmarkEnd w:id="231"/>
    </w:p>
    <w:p>
      <w:pPr>
        <w:spacing w:line="360" w:lineRule="auto"/>
        <w:ind w:firstLine="720" w:firstLineChars="300"/>
        <w:rPr>
          <w:rFonts w:ascii="宋体" w:hAnsi="宋体"/>
          <w:sz w:val="24"/>
        </w:rPr>
      </w:pPr>
      <w:r>
        <w:rPr>
          <w:rFonts w:hint="eastAsia" w:ascii="宋体" w:hAnsi="宋体"/>
          <w:sz w:val="24"/>
        </w:rPr>
        <w:t>9.1.5.1本合同的有关通知应采用书面的形式，并从在本合同写明的地点收到时生效。</w:t>
      </w:r>
    </w:p>
    <w:p>
      <w:pPr>
        <w:spacing w:line="360" w:lineRule="auto"/>
        <w:ind w:firstLine="720" w:firstLineChars="300"/>
        <w:rPr>
          <w:rFonts w:ascii="宋体" w:hAnsi="宋体"/>
          <w:sz w:val="24"/>
        </w:rPr>
      </w:pPr>
      <w:r>
        <w:rPr>
          <w:rFonts w:hint="eastAsia" w:ascii="宋体" w:hAnsi="宋体"/>
          <w:sz w:val="24"/>
        </w:rPr>
        <w:t>9.1.5.2一方在收到另一方的书面通知后，应根据通知中所述内容的紧急程度，在合理的期限内予以书面答复，除双方另有约定，一般不超过5个工作日。</w:t>
      </w:r>
    </w:p>
    <w:p>
      <w:pPr>
        <w:spacing w:line="360" w:lineRule="auto"/>
        <w:ind w:firstLine="480" w:firstLineChars="200"/>
        <w:rPr>
          <w:rFonts w:ascii="宋体" w:hAnsi="宋体"/>
          <w:sz w:val="24"/>
        </w:rPr>
      </w:pPr>
      <w:r>
        <w:rPr>
          <w:rFonts w:hint="eastAsia" w:ascii="宋体" w:hAnsi="宋体"/>
          <w:sz w:val="24"/>
        </w:rPr>
        <w:t>9.1.6 双方之间的任何通知、公函、指示、同意、批准、证明、办法或决定，除另有说明者外，均应采取书面形式，并按照商定的方式送达并取得收据证明，且不应被无故扣压或拖延。书面形式指的是任何手写、打字或印刷资料，包括商定的电子传送文件。</w:t>
      </w:r>
    </w:p>
    <w:p>
      <w:pPr>
        <w:spacing w:line="360" w:lineRule="auto"/>
        <w:ind w:firstLine="480" w:firstLineChars="200"/>
        <w:rPr>
          <w:rFonts w:ascii="宋体" w:hAnsi="宋体"/>
          <w:sz w:val="24"/>
        </w:rPr>
      </w:pPr>
      <w:bookmarkStart w:id="232" w:name="_Toc25844"/>
      <w:bookmarkStart w:id="233" w:name="_Toc10446"/>
      <w:r>
        <w:rPr>
          <w:rFonts w:hint="eastAsia" w:ascii="宋体" w:hAnsi="宋体"/>
          <w:sz w:val="24"/>
        </w:rPr>
        <w:t>9.1.7不可抗力</w:t>
      </w:r>
      <w:bookmarkEnd w:id="232"/>
      <w:bookmarkEnd w:id="233"/>
    </w:p>
    <w:p>
      <w:pPr>
        <w:spacing w:line="360" w:lineRule="auto"/>
        <w:ind w:firstLine="720" w:firstLineChars="300"/>
        <w:rPr>
          <w:rFonts w:ascii="宋体" w:hAnsi="宋体"/>
          <w:sz w:val="24"/>
        </w:rPr>
      </w:pPr>
      <w:r>
        <w:rPr>
          <w:rFonts w:hint="eastAsia" w:ascii="宋体" w:hAnsi="宋体"/>
          <w:sz w:val="24"/>
        </w:rPr>
        <w:t>9.1.7.1本合同“不可抗力”指不能预见、不能避免并不能克服的客观情况。</w:t>
      </w:r>
    </w:p>
    <w:p>
      <w:pPr>
        <w:spacing w:line="360" w:lineRule="auto"/>
        <w:ind w:firstLine="720" w:firstLineChars="300"/>
        <w:rPr>
          <w:rFonts w:ascii="宋体" w:hAnsi="宋体"/>
          <w:sz w:val="24"/>
        </w:rPr>
      </w:pPr>
      <w:r>
        <w:rPr>
          <w:rFonts w:hint="eastAsia" w:ascii="宋体" w:hAnsi="宋体"/>
          <w:sz w:val="24"/>
        </w:rPr>
        <w:t>9.1.7.2因不可抗力不能履约合同的，根据不可抗力的影响，部分或者全部免除责任，但法律另有规定的除外。</w:t>
      </w:r>
    </w:p>
    <w:p>
      <w:pPr>
        <w:spacing w:line="360" w:lineRule="auto"/>
        <w:ind w:firstLine="720" w:firstLineChars="300"/>
        <w:rPr>
          <w:rFonts w:ascii="宋体" w:hAnsi="宋体"/>
          <w:sz w:val="24"/>
        </w:rPr>
      </w:pPr>
      <w:r>
        <w:rPr>
          <w:rFonts w:hint="eastAsia" w:ascii="宋体" w:hAnsi="宋体"/>
          <w:sz w:val="24"/>
        </w:rPr>
        <w:t>9.1.7.3一方延迟履行后发生不可抗力的，不能免除相应责任。</w:t>
      </w:r>
    </w:p>
    <w:p>
      <w:pPr>
        <w:spacing w:line="360" w:lineRule="auto"/>
        <w:ind w:firstLine="720" w:firstLineChars="300"/>
        <w:rPr>
          <w:rFonts w:ascii="宋体" w:hAnsi="宋体"/>
          <w:sz w:val="24"/>
        </w:rPr>
      </w:pPr>
      <w:r>
        <w:rPr>
          <w:rFonts w:hint="eastAsia" w:ascii="宋体" w:hAnsi="宋体"/>
          <w:sz w:val="24"/>
        </w:rPr>
        <w:t>9.1.7.4一方因不可抗力不能履行合同的，应当及时通知对方，以减轻可能给对方造成的损失，并应当在合理期限内提供证明。</w:t>
      </w:r>
    </w:p>
    <w:p>
      <w:pPr>
        <w:spacing w:line="360" w:lineRule="auto"/>
        <w:ind w:firstLine="480" w:firstLineChars="200"/>
        <w:rPr>
          <w:rFonts w:ascii="宋体" w:hAnsi="宋体"/>
          <w:sz w:val="24"/>
        </w:rPr>
      </w:pPr>
      <w:bookmarkStart w:id="234" w:name="_Toc22824"/>
      <w:bookmarkStart w:id="235" w:name="_Toc20717"/>
      <w:r>
        <w:rPr>
          <w:rFonts w:hint="eastAsia" w:ascii="宋体" w:hAnsi="宋体"/>
          <w:sz w:val="24"/>
        </w:rPr>
        <w:t>9.1.8履约担保</w:t>
      </w:r>
      <w:bookmarkEnd w:id="234"/>
      <w:bookmarkEnd w:id="235"/>
    </w:p>
    <w:p>
      <w:pPr>
        <w:spacing w:line="360" w:lineRule="auto"/>
        <w:ind w:firstLine="458" w:firstLineChars="191"/>
        <w:rPr>
          <w:rFonts w:ascii="宋体" w:hAnsi="宋体"/>
          <w:sz w:val="24"/>
        </w:rPr>
      </w:pPr>
      <w:bookmarkStart w:id="236" w:name="_Toc24472"/>
      <w:bookmarkStart w:id="237" w:name="_Toc27602"/>
      <w:bookmarkStart w:id="238" w:name="_Toc30169"/>
      <w:bookmarkStart w:id="239" w:name="_Toc28656"/>
      <w:r>
        <w:rPr>
          <w:rFonts w:hint="eastAsia" w:ascii="宋体" w:hAnsi="宋体"/>
          <w:sz w:val="24"/>
        </w:rPr>
        <w:t>本项目不需要乙方提供履约担保。</w:t>
      </w:r>
      <w:bookmarkEnd w:id="236"/>
      <w:bookmarkEnd w:id="237"/>
      <w:bookmarkEnd w:id="238"/>
    </w:p>
    <w:bookmarkEnd w:id="239"/>
    <w:p>
      <w:pPr>
        <w:spacing w:line="360" w:lineRule="auto"/>
        <w:ind w:firstLine="482" w:firstLineChars="200"/>
        <w:rPr>
          <w:rFonts w:ascii="宋体" w:hAnsi="宋体"/>
          <w:sz w:val="24"/>
        </w:rPr>
      </w:pPr>
      <w:bookmarkStart w:id="240" w:name="_Toc31766"/>
      <w:bookmarkStart w:id="241" w:name="_Toc5620"/>
      <w:bookmarkStart w:id="242" w:name="_Toc20211"/>
      <w:bookmarkStart w:id="243" w:name="_Toc23683"/>
      <w:r>
        <w:rPr>
          <w:rFonts w:hint="eastAsia" w:ascii="宋体" w:hAnsi="宋体"/>
          <w:b/>
          <w:bCs/>
          <w:sz w:val="24"/>
        </w:rPr>
        <w:t>9.2 合同的生效、开始和完成、变更与终止</w:t>
      </w:r>
      <w:bookmarkEnd w:id="240"/>
      <w:bookmarkEnd w:id="241"/>
      <w:bookmarkEnd w:id="242"/>
      <w:bookmarkEnd w:id="243"/>
    </w:p>
    <w:p>
      <w:pPr>
        <w:spacing w:line="360" w:lineRule="auto"/>
        <w:ind w:firstLine="458" w:firstLineChars="191"/>
        <w:rPr>
          <w:rFonts w:ascii="宋体" w:hAnsi="宋体"/>
          <w:sz w:val="24"/>
        </w:rPr>
      </w:pPr>
      <w:r>
        <w:rPr>
          <w:rFonts w:hint="eastAsia" w:ascii="宋体" w:hAnsi="宋体"/>
          <w:sz w:val="24"/>
        </w:rPr>
        <w:t>9.2.1合同生效</w:t>
      </w:r>
    </w:p>
    <w:p>
      <w:pPr>
        <w:spacing w:line="360" w:lineRule="auto"/>
        <w:rPr>
          <w:rFonts w:ascii="宋体" w:hAnsi="宋体"/>
          <w:sz w:val="24"/>
        </w:rPr>
      </w:pPr>
      <w:r>
        <w:rPr>
          <w:rFonts w:hint="eastAsia" w:ascii="宋体" w:hAnsi="宋体"/>
          <w:sz w:val="24"/>
        </w:rPr>
        <w:t xml:space="preserve">    本合同自双方代表签字盖章起正式生效。</w:t>
      </w:r>
    </w:p>
    <w:p>
      <w:pPr>
        <w:spacing w:line="360" w:lineRule="auto"/>
        <w:ind w:firstLine="458" w:firstLineChars="191"/>
        <w:rPr>
          <w:rFonts w:ascii="宋体" w:hAnsi="宋体"/>
          <w:sz w:val="24"/>
        </w:rPr>
      </w:pPr>
      <w:r>
        <w:rPr>
          <w:rFonts w:hint="eastAsia" w:ascii="宋体" w:hAnsi="宋体"/>
          <w:sz w:val="24"/>
        </w:rPr>
        <w:t>9.2.2合同开始和完成</w:t>
      </w:r>
    </w:p>
    <w:p>
      <w:pPr>
        <w:spacing w:line="360" w:lineRule="auto"/>
        <w:ind w:firstLine="458" w:firstLineChars="191"/>
        <w:rPr>
          <w:rFonts w:ascii="宋体" w:hAnsi="宋体"/>
          <w:sz w:val="24"/>
        </w:rPr>
      </w:pPr>
      <w:r>
        <w:rPr>
          <w:rFonts w:hint="eastAsia" w:ascii="宋体" w:hAnsi="宋体"/>
          <w:sz w:val="24"/>
        </w:rPr>
        <w:t>除根据合同的有关约定可延期外，服务必须在合同所规定的时间或期限内开始和完成。</w:t>
      </w:r>
    </w:p>
    <w:p>
      <w:pPr>
        <w:spacing w:line="360" w:lineRule="auto"/>
        <w:ind w:firstLine="458" w:firstLineChars="191"/>
        <w:rPr>
          <w:rFonts w:ascii="宋体" w:hAnsi="宋体"/>
          <w:sz w:val="24"/>
        </w:rPr>
      </w:pPr>
      <w:r>
        <w:rPr>
          <w:rFonts w:hint="eastAsia" w:ascii="宋体" w:hAnsi="宋体"/>
          <w:sz w:val="24"/>
        </w:rPr>
        <w:t>9.2.3合同变更</w:t>
      </w:r>
    </w:p>
    <w:p>
      <w:pPr>
        <w:spacing w:line="360" w:lineRule="auto"/>
        <w:ind w:firstLine="458" w:firstLineChars="191"/>
        <w:rPr>
          <w:rFonts w:ascii="宋体" w:hAnsi="宋体"/>
          <w:sz w:val="24"/>
        </w:rPr>
      </w:pPr>
      <w:r>
        <w:rPr>
          <w:rFonts w:hint="eastAsia" w:ascii="宋体" w:hAnsi="宋体"/>
          <w:sz w:val="24"/>
        </w:rPr>
        <w:t>经双方协商同意，可对本合同进行书面变更或修正补充。</w:t>
      </w:r>
    </w:p>
    <w:p>
      <w:pPr>
        <w:spacing w:line="360" w:lineRule="auto"/>
        <w:ind w:firstLine="458" w:firstLineChars="191"/>
        <w:rPr>
          <w:rFonts w:ascii="宋体" w:hAnsi="宋体"/>
          <w:sz w:val="24"/>
        </w:rPr>
      </w:pPr>
      <w:r>
        <w:rPr>
          <w:rFonts w:hint="eastAsia" w:ascii="宋体" w:hAnsi="宋体"/>
          <w:sz w:val="24"/>
        </w:rPr>
        <w:t>9.2.4合同终止</w:t>
      </w:r>
    </w:p>
    <w:p>
      <w:pPr>
        <w:spacing w:line="360" w:lineRule="auto"/>
        <w:ind w:firstLine="458" w:firstLineChars="191"/>
        <w:rPr>
          <w:rFonts w:ascii="宋体" w:hAnsi="宋体"/>
          <w:sz w:val="24"/>
        </w:rPr>
      </w:pPr>
      <w:r>
        <w:rPr>
          <w:rFonts w:hint="eastAsia" w:ascii="宋体" w:hAnsi="宋体"/>
          <w:sz w:val="24"/>
        </w:rPr>
        <w:t>本合同的终止不应损害或影响各方应有的权利或索赔以及责任。</w:t>
      </w:r>
    </w:p>
    <w:p>
      <w:pPr>
        <w:spacing w:line="360" w:lineRule="auto"/>
        <w:ind w:firstLine="458" w:firstLineChars="191"/>
        <w:rPr>
          <w:rFonts w:ascii="宋体" w:hAnsi="宋体"/>
          <w:sz w:val="24"/>
        </w:rPr>
      </w:pPr>
      <w:r>
        <w:rPr>
          <w:rFonts w:hint="eastAsia" w:ascii="宋体" w:hAnsi="宋体"/>
          <w:sz w:val="24"/>
        </w:rPr>
        <w:t>9.2.5撤销、暂停或终止</w:t>
      </w:r>
    </w:p>
    <w:p>
      <w:pPr>
        <w:spacing w:line="360" w:lineRule="auto"/>
        <w:ind w:firstLine="480" w:firstLineChars="200"/>
        <w:rPr>
          <w:rFonts w:ascii="宋体" w:hAnsi="宋体"/>
          <w:sz w:val="24"/>
        </w:rPr>
      </w:pPr>
      <w:r>
        <w:rPr>
          <w:rFonts w:hint="eastAsia" w:ascii="宋体" w:hAnsi="宋体"/>
          <w:sz w:val="24"/>
        </w:rPr>
        <w:t>9.2.5.1甲方的通知</w:t>
      </w:r>
    </w:p>
    <w:p>
      <w:pPr>
        <w:spacing w:line="360" w:lineRule="auto"/>
        <w:ind w:firstLine="480" w:firstLineChars="200"/>
        <w:rPr>
          <w:rFonts w:ascii="宋体" w:hAnsi="宋体"/>
          <w:sz w:val="24"/>
        </w:rPr>
      </w:pPr>
      <w:r>
        <w:rPr>
          <w:rFonts w:hint="eastAsia" w:ascii="宋体" w:hAnsi="宋体"/>
          <w:sz w:val="24"/>
        </w:rPr>
        <w:t>9.2.5.1.1至少在10天前甲方可通知项目管理单位暂停全部或部分服务或终止本合同，项目管理单位应立即对停止服务且将支出减到最小的事宜做出安排，甲方应对因此给项目管理单位造成的损失进行赔偿。</w:t>
      </w:r>
    </w:p>
    <w:p>
      <w:pPr>
        <w:spacing w:line="360" w:lineRule="auto"/>
        <w:ind w:firstLine="480" w:firstLineChars="200"/>
        <w:rPr>
          <w:rFonts w:ascii="宋体" w:hAnsi="宋体"/>
          <w:sz w:val="24"/>
        </w:rPr>
      </w:pPr>
      <w:r>
        <w:rPr>
          <w:rFonts w:hint="eastAsia" w:ascii="宋体" w:hAnsi="宋体"/>
          <w:sz w:val="24"/>
        </w:rPr>
        <w:t>9.2.5.1.2如果甲方认为项目管理单位没有正当理由而未履行其合同义务时，可通知项目管理单位并说明发出该通知的原因。如果在10天内甲方未收到答复，则甲方可以选择发出进一步的通知，或选择直接书面通知项目管理单位解除本合同，自书面通知达到之日起生效，但若甲方选择发送进一步的通知应在甲方第一个通知发出后15天内发出。</w:t>
      </w:r>
    </w:p>
    <w:p>
      <w:pPr>
        <w:spacing w:line="360" w:lineRule="auto"/>
        <w:ind w:firstLine="480" w:firstLineChars="200"/>
        <w:rPr>
          <w:rFonts w:ascii="宋体" w:hAnsi="宋体"/>
          <w:sz w:val="24"/>
        </w:rPr>
      </w:pPr>
      <w:r>
        <w:rPr>
          <w:rFonts w:hint="eastAsia" w:ascii="宋体" w:hAnsi="宋体"/>
          <w:sz w:val="24"/>
        </w:rPr>
        <w:t>9.2.5.2项目管理单位的通知</w:t>
      </w:r>
    </w:p>
    <w:p>
      <w:pPr>
        <w:spacing w:line="360" w:lineRule="auto"/>
        <w:ind w:firstLine="480" w:firstLineChars="200"/>
        <w:rPr>
          <w:rFonts w:ascii="宋体" w:hAnsi="宋体"/>
          <w:sz w:val="24"/>
        </w:rPr>
      </w:pPr>
      <w:r>
        <w:rPr>
          <w:rFonts w:hint="eastAsia" w:ascii="宋体" w:hAnsi="宋体"/>
          <w:sz w:val="24"/>
        </w:rPr>
        <w:t>在下列9.2.5.2.1、9.2.5.2.2情况下，当项目管理单位向甲方发出通知15天后，项目管理单位可发出进一步的通知，在进一步通知发出45天后，项目管理单位有权终止本合同。</w:t>
      </w:r>
    </w:p>
    <w:p>
      <w:pPr>
        <w:spacing w:line="360" w:lineRule="auto"/>
        <w:ind w:firstLine="480" w:firstLineChars="200"/>
        <w:rPr>
          <w:rFonts w:ascii="宋体" w:hAnsi="宋体"/>
          <w:sz w:val="24"/>
        </w:rPr>
      </w:pPr>
      <w:r>
        <w:rPr>
          <w:rFonts w:hint="eastAsia" w:ascii="宋体" w:hAnsi="宋体"/>
          <w:sz w:val="24"/>
        </w:rPr>
        <w:t>9.2.5.2.1甲方在未提出书面异议的情况下违约逾期付款超过30天；</w:t>
      </w:r>
    </w:p>
    <w:p>
      <w:pPr>
        <w:spacing w:line="360" w:lineRule="auto"/>
        <w:ind w:firstLine="480" w:firstLineChars="200"/>
        <w:rPr>
          <w:rFonts w:ascii="宋体" w:hAnsi="宋体"/>
          <w:sz w:val="24"/>
        </w:rPr>
      </w:pPr>
      <w:r>
        <w:rPr>
          <w:rFonts w:hint="eastAsia" w:ascii="宋体" w:hAnsi="宋体"/>
          <w:sz w:val="24"/>
        </w:rPr>
        <w:t>9.2.5.2.2根据合同有关约定，甲方违约造成服务暂停且暂停期限超过182天。</w:t>
      </w:r>
    </w:p>
    <w:p>
      <w:pPr>
        <w:spacing w:line="360" w:lineRule="auto"/>
        <w:ind w:firstLine="480" w:firstLineChars="200"/>
        <w:rPr>
          <w:rFonts w:ascii="宋体" w:hAnsi="宋体"/>
          <w:sz w:val="24"/>
        </w:rPr>
      </w:pPr>
      <w:r>
        <w:rPr>
          <w:rFonts w:hint="eastAsia" w:ascii="宋体" w:hAnsi="宋体"/>
          <w:sz w:val="24"/>
        </w:rPr>
        <w:t>9.2.5.3 合同撤销、暂停或终止引起的本合同甲方管理费等相关费用变动的支付原则，由合同双方友好协商予以解决。合同提前解除或非正常终止的，自解除或终止后  日内，甲方办理结算并按双方确认的结算金额向项目管理单位支付项目管理服务费，已完工验收及未完工的工程项目均由项目管理单位乙方移交给甲方，相应合同项下的项目管理单位乙方的权利义务均转由甲方承担。</w:t>
      </w:r>
    </w:p>
    <w:p>
      <w:pPr>
        <w:spacing w:line="360" w:lineRule="auto"/>
        <w:ind w:firstLine="482" w:firstLineChars="200"/>
        <w:rPr>
          <w:rFonts w:ascii="宋体" w:hAnsi="宋体"/>
          <w:sz w:val="24"/>
        </w:rPr>
      </w:pPr>
      <w:bookmarkStart w:id="244" w:name="_Toc26085"/>
      <w:bookmarkStart w:id="245" w:name="_Toc22882"/>
      <w:bookmarkStart w:id="246" w:name="_Toc8233"/>
      <w:bookmarkStart w:id="247" w:name="_Toc2831"/>
      <w:r>
        <w:rPr>
          <w:rFonts w:hint="eastAsia" w:ascii="宋体" w:hAnsi="宋体"/>
          <w:b/>
          <w:bCs/>
          <w:sz w:val="24"/>
        </w:rPr>
        <w:t>9.3 争议的解决</w:t>
      </w:r>
      <w:bookmarkEnd w:id="244"/>
      <w:bookmarkEnd w:id="245"/>
      <w:bookmarkEnd w:id="246"/>
      <w:bookmarkEnd w:id="247"/>
    </w:p>
    <w:p>
      <w:pPr>
        <w:spacing w:line="360" w:lineRule="auto"/>
        <w:ind w:firstLine="480" w:firstLineChars="200"/>
        <w:rPr>
          <w:rFonts w:ascii="宋体" w:hAnsi="宋体"/>
          <w:b/>
          <w:bCs/>
          <w:sz w:val="24"/>
        </w:rPr>
      </w:pPr>
      <w:r>
        <w:rPr>
          <w:rFonts w:hint="eastAsia" w:ascii="宋体" w:hAnsi="宋体"/>
          <w:sz w:val="24"/>
        </w:rPr>
        <w:t>双方在履行本合同的过程中如发生争议，应通过友好协商予以解决，如协商不成，任何一方均可向工程所在地有管辖权的法院提起诉讼。</w:t>
      </w:r>
    </w:p>
    <w:p>
      <w:pPr>
        <w:pStyle w:val="4"/>
        <w:spacing w:before="200" w:after="200" w:line="240" w:lineRule="auto"/>
        <w:rPr>
          <w:rFonts w:ascii="宋体" w:hAnsi="宋体"/>
          <w:szCs w:val="28"/>
        </w:rPr>
      </w:pPr>
      <w:bookmarkStart w:id="248" w:name="_Toc9587"/>
      <w:bookmarkStart w:id="249" w:name="_Toc7552"/>
      <w:bookmarkStart w:id="250" w:name="_Toc6516"/>
      <w:bookmarkStart w:id="251" w:name="_Toc3323"/>
      <w:bookmarkStart w:id="252" w:name="_Toc14302"/>
      <w:bookmarkStart w:id="253" w:name="_Toc20240"/>
      <w:bookmarkStart w:id="254" w:name="_Toc991"/>
      <w:bookmarkStart w:id="255" w:name="_Toc17443"/>
      <w:r>
        <w:rPr>
          <w:rFonts w:hint="eastAsia" w:ascii="宋体" w:hAnsi="宋体"/>
          <w:szCs w:val="28"/>
        </w:rPr>
        <w:t>第十章 违约处理</w:t>
      </w:r>
      <w:bookmarkEnd w:id="248"/>
      <w:bookmarkEnd w:id="249"/>
      <w:bookmarkEnd w:id="250"/>
      <w:bookmarkEnd w:id="251"/>
      <w:bookmarkEnd w:id="252"/>
      <w:bookmarkEnd w:id="253"/>
      <w:bookmarkEnd w:id="254"/>
      <w:bookmarkEnd w:id="255"/>
    </w:p>
    <w:p>
      <w:pPr>
        <w:spacing w:line="360" w:lineRule="auto"/>
        <w:ind w:firstLine="482" w:firstLineChars="200"/>
        <w:rPr>
          <w:rFonts w:ascii="宋体" w:hAnsi="宋体" w:cs="仿宋_GB2312"/>
          <w:sz w:val="24"/>
        </w:rPr>
      </w:pPr>
      <w:r>
        <w:rPr>
          <w:rFonts w:hint="eastAsia" w:ascii="宋体" w:hAnsi="宋体"/>
          <w:b/>
          <w:sz w:val="24"/>
        </w:rPr>
        <w:t>10.1</w:t>
      </w:r>
      <w:r>
        <w:rPr>
          <w:rFonts w:ascii="宋体" w:hAnsi="宋体"/>
          <w:sz w:val="24"/>
        </w:rPr>
        <w:t xml:space="preserve"> </w:t>
      </w:r>
      <w:r>
        <w:rPr>
          <w:rFonts w:hint="eastAsia" w:ascii="宋体" w:hAnsi="宋体" w:cs="仿宋_GB2312"/>
          <w:sz w:val="24"/>
        </w:rPr>
        <w:t>双方均应按照本合同的规定履行各自的义务，违反规定的一方应当向对方承担相应的违约责任。</w:t>
      </w:r>
    </w:p>
    <w:p>
      <w:pPr>
        <w:spacing w:line="360" w:lineRule="auto"/>
        <w:ind w:firstLine="482" w:firstLineChars="200"/>
        <w:rPr>
          <w:rFonts w:ascii="宋体" w:hAnsi="宋体"/>
          <w:b/>
          <w:sz w:val="24"/>
        </w:rPr>
      </w:pPr>
      <w:r>
        <w:rPr>
          <w:rFonts w:hint="eastAsia" w:ascii="宋体" w:hAnsi="宋体"/>
          <w:b/>
          <w:sz w:val="24"/>
        </w:rPr>
        <w:t xml:space="preserve">10.2 </w:t>
      </w:r>
      <w:r>
        <w:rPr>
          <w:rFonts w:hint="eastAsia" w:ascii="宋体" w:hAnsi="宋体" w:cs="仿宋_GB2312"/>
          <w:sz w:val="24"/>
          <w:lang w:val="zh-CN" w:bidi="zh-CN"/>
        </w:rPr>
        <w:t>甲方发现乙方存在违法违规和违反项目管理服务合同约定的行为，经甲方催告后仍未在甲方要求的期限内改正的，甲方有权解除合同。</w:t>
      </w:r>
    </w:p>
    <w:p>
      <w:pPr>
        <w:spacing w:line="360" w:lineRule="auto"/>
        <w:ind w:firstLine="482" w:firstLineChars="200"/>
        <w:rPr>
          <w:rFonts w:ascii="宋体" w:hAnsi="宋体"/>
          <w:sz w:val="24"/>
        </w:rPr>
      </w:pPr>
      <w:r>
        <w:rPr>
          <w:rFonts w:hint="eastAsia" w:ascii="宋体" w:hAnsi="宋体"/>
          <w:b/>
          <w:sz w:val="24"/>
        </w:rPr>
        <w:t>10.3</w:t>
      </w:r>
      <w:r>
        <w:rPr>
          <w:rFonts w:ascii="宋体" w:hAnsi="宋体"/>
          <w:sz w:val="24"/>
        </w:rPr>
        <w:t xml:space="preserve"> 项目管理单位违约，应支付给</w:t>
      </w:r>
      <w:r>
        <w:rPr>
          <w:rFonts w:hint="eastAsia" w:ascii="宋体" w:hAnsi="宋体"/>
          <w:sz w:val="24"/>
        </w:rPr>
        <w:t>甲方</w:t>
      </w:r>
      <w:r>
        <w:rPr>
          <w:rFonts w:ascii="宋体" w:hAnsi="宋体"/>
          <w:sz w:val="24"/>
        </w:rPr>
        <w:t>违约金。</w:t>
      </w:r>
    </w:p>
    <w:p>
      <w:pPr>
        <w:spacing w:line="360" w:lineRule="auto"/>
        <w:ind w:firstLine="480" w:firstLineChars="200"/>
        <w:rPr>
          <w:rFonts w:ascii="宋体" w:hAnsi="宋体" w:cs="仿宋"/>
          <w:sz w:val="24"/>
        </w:rPr>
      </w:pPr>
      <w:r>
        <w:rPr>
          <w:rFonts w:ascii="宋体" w:hAnsi="宋体"/>
          <w:sz w:val="24"/>
        </w:rPr>
        <w:t>违约金的支付采取扣减项目管理服务服务酬金的方式，</w:t>
      </w:r>
      <w:r>
        <w:rPr>
          <w:rFonts w:hint="eastAsia" w:ascii="宋体" w:hAnsi="宋体"/>
          <w:sz w:val="24"/>
        </w:rPr>
        <w:t>同时给甲方造成损失，由项目管理单位负责赔偿</w:t>
      </w:r>
      <w:r>
        <w:rPr>
          <w:rFonts w:ascii="宋体" w:hAnsi="宋体"/>
          <w:sz w:val="24"/>
        </w:rPr>
        <w:t>，赔偿金为直接经济损失。</w:t>
      </w:r>
    </w:p>
    <w:p>
      <w:pPr>
        <w:pStyle w:val="38"/>
        <w:spacing w:before="0" w:beforeAutospacing="0" w:after="0" w:afterAutospacing="0" w:line="360" w:lineRule="auto"/>
        <w:ind w:firstLine="480" w:firstLineChars="200"/>
        <w:rPr>
          <w:rFonts w:cs="Calibri"/>
          <w:color w:val="auto"/>
          <w:kern w:val="2"/>
          <w:sz w:val="24"/>
          <w:szCs w:val="24"/>
        </w:rPr>
      </w:pPr>
      <w:r>
        <w:rPr>
          <w:rFonts w:hint="eastAsia" w:cs="Calibri"/>
          <w:color w:val="auto"/>
          <w:kern w:val="2"/>
          <w:sz w:val="24"/>
          <w:szCs w:val="24"/>
        </w:rPr>
        <w:t>10.3.1</w:t>
      </w:r>
      <w:r>
        <w:rPr>
          <w:color w:val="auto"/>
          <w:sz w:val="24"/>
        </w:rPr>
        <w:t>项目管理单位</w:t>
      </w:r>
      <w:r>
        <w:rPr>
          <w:rFonts w:hint="eastAsia" w:cs="Calibri"/>
          <w:color w:val="auto"/>
          <w:kern w:val="2"/>
          <w:sz w:val="24"/>
          <w:szCs w:val="24"/>
        </w:rPr>
        <w:t>不得随意更换、专项工作负责人。未经甲方批准擅自更换项目负责人、专项工作负责人，乙方承担违约金</w:t>
      </w:r>
      <w:r>
        <w:rPr>
          <w:rFonts w:cs="Calibri"/>
          <w:color w:val="auto"/>
          <w:kern w:val="2"/>
          <w:sz w:val="24"/>
          <w:szCs w:val="24"/>
        </w:rPr>
        <w:t>1</w:t>
      </w:r>
      <w:r>
        <w:rPr>
          <w:rFonts w:hint="eastAsia" w:cs="Calibri"/>
          <w:color w:val="auto"/>
          <w:kern w:val="2"/>
          <w:sz w:val="24"/>
          <w:szCs w:val="24"/>
        </w:rPr>
        <w:t>万元/次。本合同另有约定的除外</w:t>
      </w:r>
      <w:r>
        <w:rPr>
          <w:rFonts w:hint="eastAsia"/>
          <w:color w:val="auto"/>
          <w:sz w:val="24"/>
          <w:szCs w:val="24"/>
        </w:rPr>
        <w:t>。</w:t>
      </w:r>
    </w:p>
    <w:p>
      <w:pPr>
        <w:pStyle w:val="38"/>
        <w:spacing w:before="0" w:beforeAutospacing="0" w:after="0" w:afterAutospacing="0" w:line="360" w:lineRule="auto"/>
        <w:ind w:firstLine="480" w:firstLineChars="200"/>
        <w:rPr>
          <w:rFonts w:cs="Calibri"/>
          <w:color w:val="auto"/>
          <w:kern w:val="2"/>
          <w:sz w:val="24"/>
          <w:szCs w:val="24"/>
        </w:rPr>
      </w:pPr>
      <w:r>
        <w:rPr>
          <w:rFonts w:hint="eastAsia" w:cs="Calibri"/>
          <w:color w:val="auto"/>
          <w:kern w:val="2"/>
          <w:sz w:val="24"/>
          <w:szCs w:val="24"/>
        </w:rPr>
        <w:t>10.3.2项目负责人应专职在岗，不得擅自离岗。施工过程中，经甲方检查发现项目负责人擅自离开施工现场的，甲方将书面告知限期整改。限期未整改完成的，</w:t>
      </w:r>
      <w:r>
        <w:rPr>
          <w:color w:val="auto"/>
          <w:sz w:val="24"/>
        </w:rPr>
        <w:t>项目管理单位</w:t>
      </w:r>
      <w:r>
        <w:rPr>
          <w:rFonts w:hint="eastAsia" w:cs="Calibri"/>
          <w:color w:val="auto"/>
          <w:kern w:val="2"/>
          <w:sz w:val="24"/>
          <w:szCs w:val="24"/>
        </w:rPr>
        <w:t>承担违约金</w:t>
      </w:r>
      <w:r>
        <w:rPr>
          <w:rFonts w:cs="Calibri"/>
          <w:color w:val="auto"/>
          <w:kern w:val="2"/>
          <w:sz w:val="24"/>
          <w:szCs w:val="24"/>
        </w:rPr>
        <w:t>3000</w:t>
      </w:r>
      <w:r>
        <w:rPr>
          <w:rFonts w:hint="eastAsia" w:cs="Calibri"/>
          <w:color w:val="auto"/>
          <w:kern w:val="2"/>
          <w:sz w:val="24"/>
          <w:szCs w:val="24"/>
        </w:rPr>
        <w:t>元/次。本合同另有约定的除外。</w:t>
      </w:r>
    </w:p>
    <w:p>
      <w:pPr>
        <w:pStyle w:val="38"/>
        <w:spacing w:before="0" w:beforeAutospacing="0" w:after="0" w:afterAutospacing="0" w:line="360" w:lineRule="auto"/>
        <w:ind w:firstLine="480" w:firstLineChars="200"/>
        <w:rPr>
          <w:rFonts w:cs="Calibri"/>
          <w:color w:val="auto"/>
          <w:kern w:val="2"/>
          <w:sz w:val="24"/>
          <w:szCs w:val="24"/>
        </w:rPr>
      </w:pPr>
      <w:r>
        <w:rPr>
          <w:rFonts w:hint="eastAsia" w:cs="Calibri"/>
          <w:color w:val="auto"/>
          <w:kern w:val="2"/>
          <w:sz w:val="24"/>
          <w:szCs w:val="24"/>
        </w:rPr>
        <w:t>10.3.3</w:t>
      </w:r>
      <w:r>
        <w:rPr>
          <w:color w:val="auto"/>
          <w:sz w:val="24"/>
        </w:rPr>
        <w:t>项目管理单位</w:t>
      </w:r>
      <w:r>
        <w:rPr>
          <w:rFonts w:hint="eastAsia" w:cs="Calibri"/>
          <w:color w:val="auto"/>
          <w:kern w:val="2"/>
          <w:sz w:val="24"/>
          <w:szCs w:val="24"/>
        </w:rPr>
        <w:t>未能按合同约定投入人员或投入人员工作不称职，经甲方检查发现的，甲方将书面告知限期整改,</w:t>
      </w:r>
      <w:r>
        <w:rPr>
          <w:color w:val="auto"/>
          <w:sz w:val="24"/>
        </w:rPr>
        <w:t>项目管理单位</w:t>
      </w:r>
      <w:r>
        <w:rPr>
          <w:rFonts w:hint="eastAsia" w:cs="Calibri"/>
          <w:color w:val="auto"/>
          <w:kern w:val="2"/>
          <w:sz w:val="24"/>
          <w:szCs w:val="24"/>
        </w:rPr>
        <w:t>应按期整改；</w:t>
      </w:r>
      <w:r>
        <w:rPr>
          <w:color w:val="auto"/>
          <w:sz w:val="24"/>
        </w:rPr>
        <w:t>项目管理单位</w:t>
      </w:r>
      <w:r>
        <w:rPr>
          <w:rFonts w:hint="eastAsia" w:cs="Calibri"/>
          <w:color w:val="auto"/>
          <w:kern w:val="2"/>
          <w:sz w:val="24"/>
          <w:szCs w:val="24"/>
        </w:rPr>
        <w:t>未在期限内整改或整改后再次出现类似情况的，甲方有权要求更换人员，且</w:t>
      </w:r>
      <w:r>
        <w:rPr>
          <w:color w:val="auto"/>
          <w:sz w:val="24"/>
        </w:rPr>
        <w:t>项目管理单位</w:t>
      </w:r>
      <w:r>
        <w:rPr>
          <w:rFonts w:hint="eastAsia" w:cs="Calibri"/>
          <w:color w:val="auto"/>
          <w:kern w:val="2"/>
          <w:sz w:val="24"/>
          <w:szCs w:val="24"/>
        </w:rPr>
        <w:t>须承担违约金</w:t>
      </w:r>
      <w:r>
        <w:rPr>
          <w:rFonts w:hint="eastAsia" w:cs="Calibri"/>
          <w:color w:val="FF0000"/>
          <w:kern w:val="2"/>
          <w:sz w:val="24"/>
          <w:szCs w:val="24"/>
        </w:rPr>
        <w:t>3万元/次</w:t>
      </w:r>
      <w:r>
        <w:rPr>
          <w:rFonts w:hint="eastAsia" w:cs="Calibri"/>
          <w:color w:val="auto"/>
          <w:kern w:val="2"/>
          <w:sz w:val="24"/>
          <w:szCs w:val="24"/>
        </w:rPr>
        <w:t>。</w:t>
      </w:r>
      <w:r>
        <w:rPr>
          <w:rFonts w:cs="宋体"/>
          <w:color w:val="auto"/>
          <w:sz w:val="24"/>
          <w:szCs w:val="24"/>
        </w:rPr>
        <w:t>本</w:t>
      </w:r>
      <w:r>
        <w:rPr>
          <w:rFonts w:hint="eastAsia" w:cs="宋体"/>
          <w:color w:val="auto"/>
          <w:sz w:val="24"/>
          <w:szCs w:val="24"/>
        </w:rPr>
        <w:t>合同</w:t>
      </w:r>
      <w:r>
        <w:rPr>
          <w:rFonts w:cs="宋体"/>
          <w:color w:val="auto"/>
          <w:sz w:val="24"/>
          <w:szCs w:val="24"/>
        </w:rPr>
        <w:t>另有约定的除外</w:t>
      </w:r>
      <w:r>
        <w:rPr>
          <w:rFonts w:hint="eastAsia"/>
          <w:color w:val="auto"/>
          <w:sz w:val="24"/>
          <w:szCs w:val="24"/>
        </w:rPr>
        <w:t>。</w:t>
      </w:r>
    </w:p>
    <w:p>
      <w:pPr>
        <w:pStyle w:val="38"/>
        <w:spacing w:before="0" w:beforeAutospacing="0" w:after="0" w:afterAutospacing="0" w:line="360" w:lineRule="auto"/>
        <w:ind w:firstLine="480" w:firstLineChars="200"/>
        <w:rPr>
          <w:rFonts w:cs="Calibri"/>
          <w:color w:val="auto"/>
          <w:kern w:val="2"/>
          <w:sz w:val="24"/>
          <w:szCs w:val="24"/>
        </w:rPr>
      </w:pPr>
      <w:r>
        <w:rPr>
          <w:rFonts w:hint="eastAsia" w:cs="Calibri"/>
          <w:color w:val="auto"/>
          <w:kern w:val="2"/>
          <w:sz w:val="24"/>
          <w:szCs w:val="24"/>
        </w:rPr>
        <w:t>10.3.4</w:t>
      </w:r>
      <w:r>
        <w:rPr>
          <w:color w:val="auto"/>
          <w:sz w:val="24"/>
        </w:rPr>
        <w:t>项目管理单位</w:t>
      </w:r>
      <w:r>
        <w:rPr>
          <w:rFonts w:hint="eastAsia" w:cs="Calibri"/>
          <w:color w:val="auto"/>
          <w:kern w:val="2"/>
          <w:sz w:val="24"/>
          <w:szCs w:val="24"/>
        </w:rPr>
        <w:t>应设立专职安全管理人员，督促参建单位建立安全生产保障体系，将安全责任制度落实到人。</w:t>
      </w:r>
      <w:r>
        <w:rPr>
          <w:color w:val="auto"/>
          <w:sz w:val="24"/>
        </w:rPr>
        <w:t>项目管理单位</w:t>
      </w:r>
      <w:r>
        <w:rPr>
          <w:rFonts w:hint="eastAsia" w:cs="Calibri"/>
          <w:color w:val="auto"/>
          <w:kern w:val="2"/>
          <w:sz w:val="24"/>
          <w:szCs w:val="24"/>
        </w:rPr>
        <w:t>应定期或不定期组织安全文明施工大检查，并将检查结果向发包人报告。参建单位对安全隐患整改不力或文明施工投入不足、不符合要求的，</w:t>
      </w:r>
      <w:r>
        <w:rPr>
          <w:color w:val="auto"/>
          <w:sz w:val="24"/>
        </w:rPr>
        <w:t>项目管理单位</w:t>
      </w:r>
      <w:r>
        <w:rPr>
          <w:rFonts w:hint="eastAsia" w:cs="Calibri"/>
          <w:color w:val="auto"/>
          <w:kern w:val="2"/>
          <w:sz w:val="24"/>
          <w:szCs w:val="24"/>
        </w:rPr>
        <w:t>未及时发现、不督促参建单位进行整改，不作及时处理，不及时向甲方报告，被甲方发现后，甲方将书面告知限期整改,</w:t>
      </w:r>
      <w:r>
        <w:rPr>
          <w:color w:val="auto"/>
          <w:sz w:val="24"/>
        </w:rPr>
        <w:t>项目管理单位</w:t>
      </w:r>
      <w:r>
        <w:rPr>
          <w:rFonts w:hint="eastAsia" w:cs="Calibri"/>
          <w:color w:val="auto"/>
          <w:kern w:val="2"/>
          <w:sz w:val="24"/>
          <w:szCs w:val="24"/>
        </w:rPr>
        <w:t>应采取积极补救措施督促参建单位按期整改。在相关部门组织的安全生产检查中，被发现存在严重的安全隐患的，施工场地被评为不合格工地，或被新闻媒体曝光造成不良影响的，</w:t>
      </w:r>
      <w:r>
        <w:rPr>
          <w:color w:val="auto"/>
          <w:sz w:val="24"/>
        </w:rPr>
        <w:t>项目管理单位</w:t>
      </w:r>
      <w:r>
        <w:rPr>
          <w:rFonts w:hint="eastAsia" w:cs="Calibri"/>
          <w:color w:val="auto"/>
          <w:kern w:val="2"/>
          <w:sz w:val="24"/>
          <w:szCs w:val="24"/>
        </w:rPr>
        <w:t>除应采取措施消除相关影响外，还应书面通报；若发生安全生产事故的，除按国家相关法律法规规定由相关行政主管部门处罚外，视情节严重程度，甲方有权解除合同。</w:t>
      </w:r>
    </w:p>
    <w:p>
      <w:pPr>
        <w:pStyle w:val="38"/>
        <w:spacing w:before="0" w:beforeAutospacing="0" w:after="0" w:afterAutospacing="0" w:line="360" w:lineRule="auto"/>
        <w:ind w:firstLine="480" w:firstLineChars="200"/>
        <w:rPr>
          <w:rFonts w:cs="Calibri"/>
          <w:color w:val="auto"/>
          <w:kern w:val="2"/>
          <w:sz w:val="24"/>
          <w:szCs w:val="24"/>
        </w:rPr>
      </w:pPr>
      <w:r>
        <w:rPr>
          <w:rFonts w:hint="eastAsia" w:cs="Calibri"/>
          <w:color w:val="auto"/>
          <w:kern w:val="2"/>
          <w:sz w:val="24"/>
          <w:szCs w:val="24"/>
        </w:rPr>
        <w:t>10.3.5合同履行过程中，甲方有权根据项目实际情况发函约见</w:t>
      </w:r>
      <w:r>
        <w:rPr>
          <w:color w:val="auto"/>
          <w:sz w:val="24"/>
        </w:rPr>
        <w:t>项目管理单位</w:t>
      </w:r>
      <w:r>
        <w:rPr>
          <w:rFonts w:hint="eastAsia" w:cs="Calibri"/>
          <w:color w:val="auto"/>
          <w:kern w:val="2"/>
          <w:sz w:val="24"/>
          <w:szCs w:val="24"/>
        </w:rPr>
        <w:t>的法定代表人，确保工程按要求推进。</w:t>
      </w:r>
    </w:p>
    <w:p>
      <w:pPr>
        <w:pStyle w:val="38"/>
        <w:spacing w:before="0" w:beforeAutospacing="0" w:after="0" w:afterAutospacing="0" w:line="360" w:lineRule="auto"/>
        <w:ind w:firstLine="480" w:firstLineChars="200"/>
        <w:rPr>
          <w:rFonts w:cs="Calibri"/>
          <w:color w:val="auto"/>
          <w:kern w:val="2"/>
          <w:sz w:val="24"/>
          <w:szCs w:val="24"/>
        </w:rPr>
      </w:pPr>
      <w:r>
        <w:rPr>
          <w:rFonts w:hint="eastAsia" w:cs="Calibri"/>
          <w:color w:val="auto"/>
          <w:kern w:val="2"/>
          <w:sz w:val="24"/>
          <w:szCs w:val="24"/>
        </w:rPr>
        <w:t>10.3.6</w:t>
      </w:r>
      <w:r>
        <w:rPr>
          <w:color w:val="auto"/>
          <w:sz w:val="24"/>
        </w:rPr>
        <w:t>项目管理单位</w:t>
      </w:r>
      <w:r>
        <w:rPr>
          <w:rFonts w:hint="eastAsia" w:cs="Calibri"/>
          <w:color w:val="auto"/>
          <w:kern w:val="2"/>
          <w:sz w:val="24"/>
          <w:szCs w:val="24"/>
        </w:rPr>
        <w:t>应当对合同成果质量负相应的</w:t>
      </w:r>
      <w:r>
        <w:rPr>
          <w:rFonts w:hint="eastAsia" w:cs="Calibri"/>
          <w:color w:val="auto"/>
          <w:kern w:val="2"/>
          <w:sz w:val="24"/>
          <w:szCs w:val="24"/>
          <w:lang w:eastAsia="zh-CN"/>
        </w:rPr>
        <w:t>管理</w:t>
      </w:r>
      <w:r>
        <w:rPr>
          <w:rFonts w:hint="eastAsia" w:cs="Calibri"/>
          <w:color w:val="auto"/>
          <w:kern w:val="2"/>
          <w:sz w:val="24"/>
          <w:szCs w:val="24"/>
        </w:rPr>
        <w:t>责任，对玩忽职守、徇私舞弊、贪污受贿的人员和机构，由建设行政主管部门依法给予暂停或者吊销其审查资格，并处以相应的经济处罚。当现场有重大质量、安全、进度等问题，项目管理单位及监理单位应承担连带责任，同时造成甲方损失的，由</w:t>
      </w:r>
      <w:r>
        <w:rPr>
          <w:color w:val="auto"/>
          <w:sz w:val="24"/>
        </w:rPr>
        <w:t>项目管理单位</w:t>
      </w:r>
      <w:r>
        <w:rPr>
          <w:rFonts w:hint="eastAsia" w:cs="Calibri"/>
          <w:color w:val="auto"/>
          <w:kern w:val="2"/>
          <w:sz w:val="24"/>
          <w:szCs w:val="24"/>
        </w:rPr>
        <w:t>承担赔偿责任。构成犯罪的，依法追究其刑事责任。</w:t>
      </w:r>
    </w:p>
    <w:p>
      <w:pPr>
        <w:pStyle w:val="38"/>
        <w:spacing w:before="0" w:beforeAutospacing="0" w:after="0" w:afterAutospacing="0" w:line="360" w:lineRule="auto"/>
        <w:ind w:firstLine="480" w:firstLineChars="200"/>
        <w:rPr>
          <w:rFonts w:cs="Calibri"/>
          <w:snapToGrid w:val="0"/>
          <w:color w:val="auto"/>
          <w:sz w:val="24"/>
          <w:szCs w:val="24"/>
        </w:rPr>
      </w:pPr>
      <w:r>
        <w:rPr>
          <w:rFonts w:hint="eastAsia" w:cs="Calibri"/>
          <w:color w:val="auto"/>
          <w:kern w:val="2"/>
          <w:sz w:val="24"/>
          <w:szCs w:val="24"/>
        </w:rPr>
        <w:t>10.3.7其他违约行为。</w:t>
      </w:r>
    </w:p>
    <w:p>
      <w:pPr>
        <w:pStyle w:val="38"/>
        <w:spacing w:beforeAutospacing="0" w:afterAutospacing="0" w:line="360" w:lineRule="auto"/>
        <w:ind w:firstLine="480" w:firstLineChars="200"/>
        <w:rPr>
          <w:color w:val="auto"/>
          <w:sz w:val="24"/>
          <w:szCs w:val="24"/>
        </w:rPr>
      </w:pPr>
      <w:r>
        <w:rPr>
          <w:rFonts w:hint="eastAsia" w:cs="Calibri"/>
          <w:snapToGrid w:val="0"/>
          <w:color w:val="auto"/>
          <w:sz w:val="24"/>
          <w:szCs w:val="24"/>
        </w:rPr>
        <w:t>10.3.8本项目建设管理方面的违约责任按甲方制定的建设管理单位相关管理办法执行，如合同存续期间相关文件有所更新，按最新文件执行。</w:t>
      </w:r>
    </w:p>
    <w:p>
      <w:pPr>
        <w:tabs>
          <w:tab w:val="left" w:pos="720"/>
          <w:tab w:val="left" w:pos="900"/>
        </w:tabs>
        <w:spacing w:line="360" w:lineRule="auto"/>
        <w:ind w:firstLine="480" w:firstLineChars="200"/>
        <w:rPr>
          <w:rFonts w:ascii="宋体" w:hAnsi="宋体"/>
          <w:sz w:val="24"/>
        </w:rPr>
      </w:pPr>
      <w:r>
        <w:rPr>
          <w:rFonts w:hint="eastAsia" w:ascii="宋体" w:hAnsi="宋体" w:cs="Calibri"/>
          <w:snapToGrid w:val="0"/>
          <w:kern w:val="0"/>
          <w:sz w:val="24"/>
        </w:rPr>
        <w:t>10.3.9被各级政府和行政主管部门认定为不良行为，未积极整改，对建设管理工作造成影响的，</w:t>
      </w:r>
      <w:r>
        <w:rPr>
          <w:rFonts w:ascii="宋体" w:hAnsi="宋体"/>
          <w:sz w:val="24"/>
        </w:rPr>
        <w:t>项目管理单位</w:t>
      </w:r>
      <w:r>
        <w:rPr>
          <w:rFonts w:hint="eastAsia" w:cs="Calibri"/>
          <w:sz w:val="24"/>
        </w:rPr>
        <w:t>承担违约金1万元/次</w:t>
      </w:r>
      <w:r>
        <w:rPr>
          <w:rFonts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10.3.10有以下行为的，</w:t>
      </w:r>
      <w:r>
        <w:rPr>
          <w:rFonts w:ascii="宋体" w:hAnsi="宋体"/>
          <w:sz w:val="24"/>
        </w:rPr>
        <w:t>项目管理单位</w:t>
      </w:r>
      <w:r>
        <w:rPr>
          <w:rFonts w:hint="eastAsia" w:cs="Calibri"/>
          <w:sz w:val="24"/>
        </w:rPr>
        <w:t>承担违约金</w:t>
      </w:r>
      <w:r>
        <w:rPr>
          <w:rFonts w:cs="Calibri"/>
          <w:sz w:val="24"/>
        </w:rPr>
        <w:t>1</w:t>
      </w:r>
      <w:r>
        <w:rPr>
          <w:rFonts w:hint="eastAsia" w:cs="Calibri"/>
          <w:sz w:val="24"/>
        </w:rPr>
        <w:t>千元/次</w:t>
      </w:r>
      <w:r>
        <w:rPr>
          <w:rFonts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（1）</w:t>
      </w:r>
      <w:r>
        <w:rPr>
          <w:rFonts w:ascii="宋体" w:hAnsi="宋体"/>
          <w:sz w:val="24"/>
        </w:rPr>
        <w:t>工程开工前未向</w:t>
      </w:r>
      <w:r>
        <w:rPr>
          <w:rFonts w:hint="eastAsia" w:ascii="宋体" w:hAnsi="宋体"/>
          <w:sz w:val="24"/>
        </w:rPr>
        <w:t>甲方</w:t>
      </w:r>
      <w:r>
        <w:rPr>
          <w:rFonts w:ascii="宋体" w:hAnsi="宋体"/>
          <w:sz w:val="24"/>
        </w:rPr>
        <w:t>报送符合实际和规定要求的</w:t>
      </w:r>
      <w:r>
        <w:rPr>
          <w:rFonts w:hint="eastAsia" w:ascii="宋体" w:hAnsi="宋体"/>
          <w:sz w:val="24"/>
        </w:rPr>
        <w:t>项目</w:t>
      </w:r>
      <w:r>
        <w:rPr>
          <w:rFonts w:ascii="宋体" w:hAnsi="宋体"/>
          <w:sz w:val="24"/>
        </w:rPr>
        <w:t>建设管理</w:t>
      </w:r>
      <w:r>
        <w:rPr>
          <w:rFonts w:hint="eastAsia" w:ascii="宋体" w:hAnsi="宋体"/>
          <w:sz w:val="24"/>
        </w:rPr>
        <w:t>工作大纲</w:t>
      </w:r>
      <w:r>
        <w:rPr>
          <w:rFonts w:ascii="宋体" w:hAnsi="宋体"/>
          <w:sz w:val="24"/>
        </w:rPr>
        <w:t>和可操作的</w:t>
      </w:r>
      <w:r>
        <w:rPr>
          <w:rFonts w:hint="eastAsia" w:ascii="宋体" w:hAnsi="宋体"/>
          <w:sz w:val="24"/>
        </w:rPr>
        <w:t>项目</w:t>
      </w:r>
      <w:r>
        <w:rPr>
          <w:rFonts w:ascii="宋体" w:hAnsi="宋体"/>
          <w:sz w:val="24"/>
        </w:rPr>
        <w:t>建设管理</w:t>
      </w:r>
      <w:r>
        <w:rPr>
          <w:rFonts w:hint="eastAsia" w:ascii="宋体" w:hAnsi="宋体"/>
          <w:sz w:val="24"/>
        </w:rPr>
        <w:t>工作</w:t>
      </w:r>
      <w:r>
        <w:rPr>
          <w:rFonts w:ascii="宋体" w:hAnsi="宋体"/>
          <w:sz w:val="24"/>
        </w:rPr>
        <w:t>细则的；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（2）</w:t>
      </w:r>
      <w:r>
        <w:rPr>
          <w:rFonts w:ascii="宋体" w:hAnsi="宋体"/>
          <w:sz w:val="24"/>
        </w:rPr>
        <w:t>未按甲方要求时间推进开发报建管理工作，延迟达到合同工期1/20或5天及以上的；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（3）</w:t>
      </w:r>
      <w:r>
        <w:rPr>
          <w:rFonts w:ascii="宋体" w:hAnsi="宋体"/>
          <w:sz w:val="24"/>
        </w:rPr>
        <w:t>发现</w:t>
      </w:r>
      <w:r>
        <w:rPr>
          <w:rFonts w:hint="eastAsia" w:ascii="宋体" w:hAnsi="宋体"/>
          <w:sz w:val="24"/>
        </w:rPr>
        <w:t>施工人</w:t>
      </w:r>
      <w:r>
        <w:rPr>
          <w:rFonts w:ascii="宋体" w:hAnsi="宋体"/>
          <w:sz w:val="24"/>
        </w:rPr>
        <w:t>工期、质量、安全、进度、变更、档案管理、环保、工程保修等方面存在问题或其他违反</w:t>
      </w:r>
      <w:r>
        <w:rPr>
          <w:rFonts w:hint="eastAsia" w:ascii="宋体" w:hAnsi="宋体"/>
          <w:sz w:val="24"/>
        </w:rPr>
        <w:t>施工</w:t>
      </w:r>
      <w:r>
        <w:rPr>
          <w:rFonts w:ascii="宋体" w:hAnsi="宋体"/>
          <w:sz w:val="24"/>
        </w:rPr>
        <w:t>合同的行为，未及时依法依规和按照施工合同</w:t>
      </w:r>
      <w:r>
        <w:rPr>
          <w:rFonts w:hint="eastAsia" w:ascii="宋体" w:hAnsi="宋体"/>
          <w:sz w:val="24"/>
        </w:rPr>
        <w:t>、监理合同</w:t>
      </w:r>
      <w:r>
        <w:rPr>
          <w:rFonts w:ascii="宋体" w:hAnsi="宋体"/>
          <w:sz w:val="24"/>
        </w:rPr>
        <w:t>和</w:t>
      </w:r>
      <w:r>
        <w:rPr>
          <w:rFonts w:hint="eastAsia" w:ascii="宋体" w:hAnsi="宋体"/>
          <w:sz w:val="24"/>
        </w:rPr>
        <w:t>项目管理服务</w:t>
      </w:r>
      <w:r>
        <w:rPr>
          <w:rFonts w:ascii="宋体" w:hAnsi="宋体"/>
          <w:sz w:val="24"/>
        </w:rPr>
        <w:t>合同文件进行处理的；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（4）</w:t>
      </w:r>
      <w:r>
        <w:rPr>
          <w:rFonts w:ascii="宋体" w:hAnsi="宋体"/>
          <w:sz w:val="24"/>
        </w:rPr>
        <w:t>项目管理单位人员空岗或巡视不到位的；项目管理单位越权审批的；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（5）</w:t>
      </w:r>
      <w:r>
        <w:rPr>
          <w:rFonts w:ascii="宋体" w:hAnsi="宋体"/>
          <w:sz w:val="24"/>
        </w:rPr>
        <w:t>未按规定或</w:t>
      </w:r>
      <w:r>
        <w:rPr>
          <w:rFonts w:hint="eastAsia" w:ascii="宋体" w:hAnsi="宋体"/>
          <w:sz w:val="24"/>
        </w:rPr>
        <w:t>甲方</w:t>
      </w:r>
      <w:r>
        <w:rPr>
          <w:rFonts w:ascii="宋体" w:hAnsi="宋体"/>
          <w:sz w:val="24"/>
        </w:rPr>
        <w:t>要求报送</w:t>
      </w:r>
      <w:r>
        <w:rPr>
          <w:rFonts w:hint="eastAsia" w:ascii="宋体" w:hAnsi="宋体"/>
          <w:sz w:val="24"/>
        </w:rPr>
        <w:t>项目</w:t>
      </w:r>
      <w:r>
        <w:rPr>
          <w:rFonts w:ascii="宋体" w:hAnsi="宋体"/>
          <w:sz w:val="24"/>
        </w:rPr>
        <w:t>建设管理月报及其他相关材料的；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（6）</w:t>
      </w:r>
      <w:r>
        <w:rPr>
          <w:rFonts w:ascii="宋体" w:hAnsi="宋体"/>
          <w:sz w:val="24"/>
        </w:rPr>
        <w:t>未按规定进行档案资料的收集、整理、归档、移交的；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（7）</w:t>
      </w:r>
      <w:r>
        <w:rPr>
          <w:rFonts w:ascii="宋体" w:hAnsi="宋体"/>
          <w:sz w:val="24"/>
        </w:rPr>
        <w:t>未按承诺和合同及时选派满足建设管理工作要求的</w:t>
      </w:r>
      <w:r>
        <w:rPr>
          <w:rFonts w:hint="eastAsia" w:ascii="宋体" w:hAnsi="宋体"/>
          <w:sz w:val="24"/>
        </w:rPr>
        <w:t>项目管理服务经理、项目管理服务</w:t>
      </w:r>
      <w:r>
        <w:rPr>
          <w:rFonts w:ascii="宋体" w:hAnsi="宋体"/>
          <w:sz w:val="24"/>
        </w:rPr>
        <w:t>工程师、</w:t>
      </w:r>
      <w:r>
        <w:rPr>
          <w:rFonts w:hint="eastAsia" w:ascii="宋体" w:hAnsi="宋体"/>
          <w:sz w:val="24"/>
        </w:rPr>
        <w:t>项目管理服务员、</w:t>
      </w:r>
      <w:r>
        <w:rPr>
          <w:rFonts w:ascii="宋体" w:hAnsi="宋体"/>
          <w:sz w:val="24"/>
        </w:rPr>
        <w:t>安全员、</w:t>
      </w:r>
      <w:r>
        <w:rPr>
          <w:rFonts w:hint="eastAsia" w:ascii="宋体" w:hAnsi="宋体"/>
          <w:sz w:val="24"/>
        </w:rPr>
        <w:t>资料</w:t>
      </w:r>
      <w:r>
        <w:rPr>
          <w:rFonts w:ascii="宋体" w:hAnsi="宋体"/>
          <w:sz w:val="24"/>
        </w:rPr>
        <w:t>员等组建项目建设管理机构，进驻现场的</w:t>
      </w:r>
      <w:r>
        <w:rPr>
          <w:rFonts w:hint="eastAsia"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（8）</w:t>
      </w:r>
      <w:r>
        <w:rPr>
          <w:rFonts w:ascii="宋体" w:hAnsi="宋体"/>
          <w:sz w:val="24"/>
        </w:rPr>
        <w:t>项目管理单位</w:t>
      </w:r>
      <w:r>
        <w:rPr>
          <w:rFonts w:hint="eastAsia" w:ascii="宋体" w:hAnsi="宋体"/>
          <w:sz w:val="24"/>
        </w:rPr>
        <w:t>人</w:t>
      </w:r>
      <w:r>
        <w:rPr>
          <w:rFonts w:ascii="宋体" w:hAnsi="宋体"/>
          <w:sz w:val="24"/>
        </w:rPr>
        <w:t>员无相应岗位证书的</w:t>
      </w:r>
      <w:r>
        <w:rPr>
          <w:rFonts w:hint="eastAsia"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（9）</w:t>
      </w:r>
      <w:r>
        <w:rPr>
          <w:rFonts w:ascii="宋体" w:hAnsi="宋体"/>
          <w:sz w:val="24"/>
        </w:rPr>
        <w:t>项目管理单位人员和常规检测设备不满足相关项目建设管理需要的；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（10）</w:t>
      </w:r>
      <w:r>
        <w:rPr>
          <w:rFonts w:ascii="宋体" w:hAnsi="宋体"/>
          <w:sz w:val="24"/>
        </w:rPr>
        <w:t>未</w:t>
      </w:r>
      <w:r>
        <w:rPr>
          <w:rFonts w:hint="eastAsia" w:ascii="宋体" w:hAnsi="宋体"/>
          <w:sz w:val="24"/>
        </w:rPr>
        <w:t>督促监理单位</w:t>
      </w:r>
      <w:r>
        <w:rPr>
          <w:rFonts w:ascii="宋体" w:hAnsi="宋体"/>
          <w:sz w:val="24"/>
        </w:rPr>
        <w:t>按规定进行旁站</w:t>
      </w:r>
      <w:r>
        <w:rPr>
          <w:rFonts w:hint="eastAsia" w:ascii="宋体" w:hAnsi="宋体"/>
          <w:sz w:val="24"/>
        </w:rPr>
        <w:t>监理或督促不力</w:t>
      </w:r>
      <w:r>
        <w:rPr>
          <w:rFonts w:ascii="宋体" w:hAnsi="宋体"/>
          <w:sz w:val="24"/>
        </w:rPr>
        <w:t>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（11）</w:t>
      </w:r>
      <w:r>
        <w:rPr>
          <w:rFonts w:ascii="宋体" w:hAnsi="宋体"/>
          <w:sz w:val="24"/>
        </w:rPr>
        <w:t>未</w:t>
      </w:r>
      <w:r>
        <w:rPr>
          <w:rFonts w:hint="eastAsia" w:ascii="宋体" w:hAnsi="宋体"/>
          <w:sz w:val="24"/>
        </w:rPr>
        <w:t>督促监理单位</w:t>
      </w:r>
      <w:r>
        <w:rPr>
          <w:rFonts w:ascii="宋体" w:hAnsi="宋体"/>
          <w:sz w:val="24"/>
        </w:rPr>
        <w:t>对施工组织设计中的安全技术措施或者专项施工方案进行审查和督促落实的</w:t>
      </w:r>
    </w:p>
    <w:p>
      <w:pPr>
        <w:tabs>
          <w:tab w:val="left" w:pos="720"/>
          <w:tab w:val="left" w:pos="1080"/>
        </w:tabs>
        <w:spacing w:line="360" w:lineRule="auto"/>
        <w:ind w:firstLine="480" w:firstLineChars="200"/>
        <w:rPr>
          <w:rFonts w:ascii="宋体" w:hAnsi="宋体"/>
          <w:sz w:val="24"/>
        </w:rPr>
      </w:pPr>
      <w:r>
        <w:rPr>
          <w:rFonts w:hint="eastAsia" w:ascii="宋体" w:hAnsi="宋体"/>
          <w:sz w:val="24"/>
        </w:rPr>
        <w:t>10.3.11</w:t>
      </w:r>
      <w:r>
        <w:rPr>
          <w:rFonts w:ascii="宋体" w:hAnsi="宋体"/>
          <w:sz w:val="24"/>
        </w:rPr>
        <w:t>拒签</w:t>
      </w:r>
      <w:r>
        <w:rPr>
          <w:rFonts w:hint="eastAsia" w:ascii="宋体" w:hAnsi="宋体"/>
          <w:sz w:val="24"/>
        </w:rPr>
        <w:t>甲方</w:t>
      </w:r>
      <w:r>
        <w:rPr>
          <w:rFonts w:ascii="宋体" w:hAnsi="宋体"/>
          <w:sz w:val="24"/>
        </w:rPr>
        <w:t>文件或拒绝执行</w:t>
      </w:r>
      <w:r>
        <w:rPr>
          <w:rFonts w:hint="eastAsia" w:ascii="宋体" w:hAnsi="宋体"/>
          <w:sz w:val="24"/>
        </w:rPr>
        <w:t>甲方</w:t>
      </w:r>
      <w:r>
        <w:rPr>
          <w:rFonts w:ascii="宋体" w:hAnsi="宋体"/>
          <w:sz w:val="24"/>
        </w:rPr>
        <w:t>已经生效的指令（危及生命财产安全的指令除外）的</w:t>
      </w:r>
      <w:r>
        <w:rPr>
          <w:rFonts w:hint="eastAsia" w:ascii="宋体" w:hAnsi="宋体"/>
          <w:sz w:val="24"/>
        </w:rPr>
        <w:t>，</w:t>
      </w:r>
      <w:r>
        <w:rPr>
          <w:rFonts w:ascii="宋体" w:hAnsi="宋体"/>
          <w:sz w:val="24"/>
        </w:rPr>
        <w:t>项目管理单位</w:t>
      </w:r>
      <w:r>
        <w:rPr>
          <w:rFonts w:hint="eastAsia" w:cs="Calibri"/>
          <w:sz w:val="24"/>
        </w:rPr>
        <w:t>承担违约金</w:t>
      </w:r>
      <w:r>
        <w:rPr>
          <w:rFonts w:cs="Calibri"/>
          <w:sz w:val="24"/>
        </w:rPr>
        <w:t>1</w:t>
      </w:r>
      <w:r>
        <w:rPr>
          <w:rFonts w:hint="eastAsia" w:cs="Calibri"/>
          <w:sz w:val="24"/>
        </w:rPr>
        <w:t>万元/次</w:t>
      </w:r>
      <w:r>
        <w:rPr>
          <w:rFonts w:ascii="宋体" w:hAnsi="宋体"/>
          <w:sz w:val="24"/>
        </w:rPr>
        <w:t>。</w:t>
      </w:r>
    </w:p>
    <w:p>
      <w:pPr>
        <w:tabs>
          <w:tab w:val="left" w:pos="720"/>
          <w:tab w:val="left" w:pos="900"/>
        </w:tabs>
        <w:spacing w:line="360" w:lineRule="auto"/>
        <w:ind w:firstLine="480" w:firstLineChars="200"/>
        <w:rPr>
          <w:rFonts w:ascii="宋体" w:hAnsi="宋体"/>
          <w:sz w:val="24"/>
        </w:rPr>
      </w:pPr>
      <w:r>
        <w:rPr>
          <w:rFonts w:hint="eastAsia" w:ascii="宋体" w:hAnsi="宋体"/>
          <w:sz w:val="24"/>
        </w:rPr>
        <w:t>10.3.12</w:t>
      </w:r>
      <w:r>
        <w:rPr>
          <w:rFonts w:ascii="宋体" w:hAnsi="宋体"/>
          <w:sz w:val="24"/>
        </w:rPr>
        <w:t>发现质量和安全事故隐患未及时要求</w:t>
      </w:r>
      <w:r>
        <w:rPr>
          <w:rFonts w:hint="eastAsia" w:ascii="宋体" w:hAnsi="宋体"/>
          <w:sz w:val="24"/>
        </w:rPr>
        <w:t>监理人和</w:t>
      </w:r>
      <w:r>
        <w:rPr>
          <w:rFonts w:ascii="宋体" w:hAnsi="宋体"/>
          <w:sz w:val="24"/>
        </w:rPr>
        <w:t>承包人整改或者暂时停止施工</w:t>
      </w:r>
      <w:r>
        <w:rPr>
          <w:rFonts w:hint="eastAsia" w:ascii="宋体" w:hAnsi="宋体"/>
          <w:sz w:val="24"/>
        </w:rPr>
        <w:t>，导致发生严重事故</w:t>
      </w:r>
      <w:r>
        <w:rPr>
          <w:rFonts w:ascii="宋体" w:hAnsi="宋体"/>
          <w:sz w:val="24"/>
        </w:rPr>
        <w:t>的</w:t>
      </w:r>
      <w:r>
        <w:rPr>
          <w:rFonts w:hint="eastAsia" w:ascii="宋体" w:hAnsi="宋体"/>
          <w:sz w:val="24"/>
        </w:rPr>
        <w:t>，</w:t>
      </w:r>
      <w:r>
        <w:rPr>
          <w:rFonts w:ascii="宋体" w:hAnsi="宋体"/>
          <w:sz w:val="24"/>
        </w:rPr>
        <w:t>项目管理单位</w:t>
      </w:r>
      <w:r>
        <w:rPr>
          <w:rFonts w:hint="eastAsia" w:cs="Calibri"/>
          <w:sz w:val="24"/>
        </w:rPr>
        <w:t>承担违约金1万元/次</w:t>
      </w:r>
      <w:r>
        <w:rPr>
          <w:rFonts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10.3.13有以下行为的，</w:t>
      </w:r>
      <w:r>
        <w:rPr>
          <w:rFonts w:ascii="宋体" w:hAnsi="宋体"/>
          <w:sz w:val="24"/>
        </w:rPr>
        <w:t>项目管理单位</w:t>
      </w:r>
      <w:r>
        <w:rPr>
          <w:rFonts w:hint="eastAsia" w:cs="Calibri"/>
          <w:sz w:val="24"/>
        </w:rPr>
        <w:t>承担违约金</w:t>
      </w:r>
      <w:r>
        <w:rPr>
          <w:rFonts w:cs="Calibri"/>
          <w:sz w:val="24"/>
        </w:rPr>
        <w:t>5000</w:t>
      </w:r>
      <w:r>
        <w:rPr>
          <w:rFonts w:hint="eastAsia" w:cs="Calibri"/>
          <w:sz w:val="24"/>
        </w:rPr>
        <w:t>元/次</w:t>
      </w:r>
      <w:r>
        <w:rPr>
          <w:rFonts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（1）</w:t>
      </w:r>
      <w:r>
        <w:rPr>
          <w:rFonts w:ascii="宋体" w:hAnsi="宋体"/>
          <w:sz w:val="24"/>
        </w:rPr>
        <w:t>利用工作便利与承包人以及建筑材料、建筑构配件和设备供应单位串通，谋取不正当利益的</w:t>
      </w:r>
      <w:r>
        <w:rPr>
          <w:rFonts w:hint="eastAsia"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（2）</w:t>
      </w:r>
      <w:r>
        <w:rPr>
          <w:rFonts w:ascii="宋体" w:hAnsi="宋体"/>
          <w:sz w:val="24"/>
        </w:rPr>
        <w:t>隐瞒有关情况、拒绝提供材料或者提供虚假材料的；项目管理单位人员利用执（从）业上的便利，索取或者收受</w:t>
      </w:r>
      <w:r>
        <w:rPr>
          <w:rFonts w:hint="eastAsia" w:ascii="宋体" w:hAnsi="宋体"/>
          <w:sz w:val="24"/>
        </w:rPr>
        <w:t>设计人、监理人、</w:t>
      </w:r>
      <w:r>
        <w:rPr>
          <w:rFonts w:ascii="宋体" w:hAnsi="宋体"/>
          <w:sz w:val="24"/>
        </w:rPr>
        <w:t>承包人以及建筑材料、建筑构配件和设备供应单位财物的；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（3）</w:t>
      </w:r>
      <w:r>
        <w:rPr>
          <w:rFonts w:ascii="宋体" w:hAnsi="宋体"/>
          <w:sz w:val="24"/>
        </w:rPr>
        <w:t>项目管理单位人员与</w:t>
      </w:r>
      <w:r>
        <w:rPr>
          <w:rFonts w:hint="eastAsia" w:ascii="宋体" w:hAnsi="宋体"/>
          <w:sz w:val="24"/>
        </w:rPr>
        <w:t>设计人、监理人、</w:t>
      </w:r>
      <w:r>
        <w:rPr>
          <w:rFonts w:ascii="宋体" w:hAnsi="宋体"/>
          <w:sz w:val="24"/>
        </w:rPr>
        <w:t>承包人以及建筑材料、建筑构配件和设备供应单位串通，谋取不正当利益的；</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（4）</w:t>
      </w:r>
      <w:r>
        <w:rPr>
          <w:rFonts w:ascii="宋体" w:hAnsi="宋体"/>
          <w:sz w:val="24"/>
        </w:rPr>
        <w:t>项目管理单位人员非法泄露本工程应当保守的秘密的；项目管理单位人员故意刁难</w:t>
      </w:r>
      <w:r>
        <w:rPr>
          <w:rFonts w:hint="eastAsia" w:ascii="宋体" w:hAnsi="宋体"/>
          <w:sz w:val="24"/>
        </w:rPr>
        <w:t>设计人、监理人、</w:t>
      </w:r>
      <w:r>
        <w:rPr>
          <w:rFonts w:ascii="宋体" w:hAnsi="宋体"/>
          <w:sz w:val="24"/>
        </w:rPr>
        <w:t>承包人，以谋取私利的</w:t>
      </w:r>
      <w:r>
        <w:rPr>
          <w:rFonts w:hint="eastAsia" w:ascii="宋体" w:hAnsi="宋体"/>
          <w:sz w:val="24"/>
        </w:rPr>
        <w:t>；</w:t>
      </w:r>
    </w:p>
    <w:p>
      <w:pPr>
        <w:tabs>
          <w:tab w:val="left" w:pos="720"/>
          <w:tab w:val="left" w:pos="900"/>
          <w:tab w:val="left" w:pos="1080"/>
        </w:tabs>
        <w:spacing w:line="360" w:lineRule="auto"/>
        <w:ind w:firstLine="480" w:firstLineChars="200"/>
        <w:rPr>
          <w:rFonts w:ascii="宋体" w:hAnsi="宋体"/>
          <w:sz w:val="24"/>
        </w:rPr>
      </w:pPr>
      <w:r>
        <w:rPr>
          <w:rFonts w:hint="eastAsia" w:ascii="宋体" w:hAnsi="宋体"/>
          <w:sz w:val="24"/>
        </w:rPr>
        <w:t>（5）</w:t>
      </w:r>
      <w:r>
        <w:rPr>
          <w:rFonts w:ascii="宋体" w:hAnsi="宋体"/>
          <w:sz w:val="24"/>
        </w:rPr>
        <w:t>违法违规违纪行为被审计、稽查、纪检、监察等部门确认但未被问责的，或发生一般举报投诉并被确认有效的</w:t>
      </w:r>
      <w:r>
        <w:rPr>
          <w:rFonts w:hint="eastAsia" w:ascii="宋体" w:hAnsi="宋体"/>
          <w:sz w:val="24"/>
        </w:rPr>
        <w:t>，</w:t>
      </w:r>
    </w:p>
    <w:p>
      <w:pPr>
        <w:tabs>
          <w:tab w:val="left" w:pos="720"/>
          <w:tab w:val="left" w:pos="900"/>
        </w:tabs>
        <w:spacing w:line="360" w:lineRule="auto"/>
        <w:ind w:firstLine="480" w:firstLineChars="200"/>
        <w:rPr>
          <w:rFonts w:ascii="宋体" w:hAnsi="宋体"/>
          <w:sz w:val="24"/>
        </w:rPr>
      </w:pPr>
      <w:r>
        <w:rPr>
          <w:rFonts w:hint="eastAsia" w:ascii="宋体" w:hAnsi="宋体"/>
          <w:sz w:val="24"/>
        </w:rPr>
        <w:t>10.3.16有以下行为的，</w:t>
      </w:r>
      <w:r>
        <w:rPr>
          <w:rFonts w:hint="eastAsia" w:cs="Calibri"/>
          <w:sz w:val="24"/>
        </w:rPr>
        <w:t>承包人承担违约金</w:t>
      </w:r>
      <w:r>
        <w:rPr>
          <w:rFonts w:cs="Calibri"/>
          <w:sz w:val="24"/>
        </w:rPr>
        <w:t>3</w:t>
      </w:r>
      <w:r>
        <w:rPr>
          <w:rFonts w:hint="eastAsia" w:cs="Calibri"/>
          <w:sz w:val="24"/>
        </w:rPr>
        <w:t>万元/次</w:t>
      </w:r>
      <w:r>
        <w:rPr>
          <w:rFonts w:ascii="宋体" w:hAnsi="宋体"/>
          <w:sz w:val="24"/>
        </w:rPr>
        <w:t>。</w:t>
      </w:r>
    </w:p>
    <w:p>
      <w:pPr>
        <w:tabs>
          <w:tab w:val="left" w:pos="720"/>
          <w:tab w:val="left" w:pos="900"/>
        </w:tabs>
        <w:spacing w:line="360" w:lineRule="auto"/>
        <w:ind w:firstLine="480" w:firstLineChars="200"/>
        <w:rPr>
          <w:rFonts w:ascii="宋体" w:hAnsi="宋体"/>
          <w:sz w:val="24"/>
        </w:rPr>
      </w:pPr>
      <w:r>
        <w:rPr>
          <w:rFonts w:hint="eastAsia" w:ascii="宋体" w:hAnsi="宋体"/>
          <w:sz w:val="24"/>
        </w:rPr>
        <w:t>（1）</w:t>
      </w:r>
      <w:r>
        <w:rPr>
          <w:rFonts w:ascii="宋体" w:hAnsi="宋体"/>
          <w:sz w:val="24"/>
        </w:rPr>
        <w:t>允许其他单位或者个人以</w:t>
      </w:r>
      <w:r>
        <w:rPr>
          <w:rFonts w:hint="eastAsia" w:ascii="宋体" w:hAnsi="宋体"/>
          <w:sz w:val="24"/>
        </w:rPr>
        <w:t>本单位</w:t>
      </w:r>
      <w:r>
        <w:rPr>
          <w:rFonts w:ascii="宋体" w:hAnsi="宋体"/>
          <w:sz w:val="24"/>
        </w:rPr>
        <w:t>名义承揽工程</w:t>
      </w:r>
      <w:r>
        <w:rPr>
          <w:rFonts w:hint="eastAsia" w:ascii="宋体" w:hAnsi="宋体"/>
          <w:sz w:val="24"/>
        </w:rPr>
        <w:t>建设</w:t>
      </w:r>
      <w:r>
        <w:rPr>
          <w:rFonts w:ascii="宋体" w:hAnsi="宋体"/>
          <w:sz w:val="24"/>
        </w:rPr>
        <w:t>项目建设管理业务的；</w:t>
      </w:r>
    </w:p>
    <w:p>
      <w:pPr>
        <w:tabs>
          <w:tab w:val="left" w:pos="720"/>
          <w:tab w:val="left" w:pos="900"/>
        </w:tabs>
        <w:spacing w:line="360" w:lineRule="auto"/>
        <w:ind w:firstLine="480" w:firstLineChars="200"/>
        <w:rPr>
          <w:rFonts w:ascii="宋体" w:hAnsi="宋体"/>
          <w:sz w:val="24"/>
        </w:rPr>
      </w:pPr>
      <w:r>
        <w:rPr>
          <w:rFonts w:hint="eastAsia" w:ascii="宋体" w:hAnsi="宋体"/>
          <w:sz w:val="24"/>
        </w:rPr>
        <w:t>（2）</w:t>
      </w:r>
      <w:r>
        <w:rPr>
          <w:rFonts w:ascii="宋体" w:hAnsi="宋体"/>
          <w:sz w:val="24"/>
        </w:rPr>
        <w:t>经</w:t>
      </w:r>
      <w:r>
        <w:rPr>
          <w:rFonts w:hint="eastAsia" w:ascii="宋体" w:hAnsi="宋体"/>
          <w:sz w:val="24"/>
        </w:rPr>
        <w:t>甲方</w:t>
      </w:r>
      <w:r>
        <w:rPr>
          <w:rFonts w:ascii="宋体" w:hAnsi="宋体"/>
          <w:sz w:val="24"/>
        </w:rPr>
        <w:t>对项目管理单位进行资质复核审查，所提交的资料无效、有虚假情况或不满足资质条件的；</w:t>
      </w:r>
    </w:p>
    <w:p>
      <w:pPr>
        <w:tabs>
          <w:tab w:val="left" w:pos="720"/>
          <w:tab w:val="left" w:pos="900"/>
        </w:tabs>
        <w:spacing w:line="360" w:lineRule="auto"/>
        <w:ind w:firstLine="480" w:firstLineChars="200"/>
        <w:rPr>
          <w:rFonts w:ascii="宋体" w:hAnsi="宋体"/>
          <w:sz w:val="24"/>
        </w:rPr>
      </w:pPr>
      <w:r>
        <w:rPr>
          <w:rFonts w:hint="eastAsia" w:ascii="宋体" w:hAnsi="宋体"/>
          <w:sz w:val="24"/>
        </w:rPr>
        <w:t>（3）</w:t>
      </w:r>
      <w:r>
        <w:rPr>
          <w:rFonts w:ascii="宋体" w:hAnsi="宋体"/>
          <w:sz w:val="24"/>
        </w:rPr>
        <w:t>与</w:t>
      </w:r>
      <w:r>
        <w:rPr>
          <w:rFonts w:hint="eastAsia" w:ascii="宋体" w:hAnsi="宋体"/>
          <w:sz w:val="24"/>
        </w:rPr>
        <w:t>设计人、</w:t>
      </w:r>
      <w:r>
        <w:rPr>
          <w:rFonts w:ascii="宋体" w:hAnsi="宋体"/>
          <w:sz w:val="24"/>
        </w:rPr>
        <w:t>承包人以及建筑材料、建筑构配件和设备供应单位有隶属关系或者其他利害关系，</w:t>
      </w:r>
      <w:r>
        <w:rPr>
          <w:rFonts w:hint="eastAsia" w:ascii="宋体" w:hAnsi="宋体"/>
          <w:sz w:val="24"/>
        </w:rPr>
        <w:t>未能秉持公正原则开展</w:t>
      </w:r>
      <w:r>
        <w:rPr>
          <w:rFonts w:ascii="宋体" w:hAnsi="宋体"/>
          <w:sz w:val="24"/>
        </w:rPr>
        <w:t>本项工程</w:t>
      </w:r>
      <w:r>
        <w:rPr>
          <w:rFonts w:hint="eastAsia" w:ascii="宋体" w:hAnsi="宋体"/>
          <w:sz w:val="24"/>
        </w:rPr>
        <w:t>项目</w:t>
      </w:r>
      <w:r>
        <w:rPr>
          <w:rFonts w:ascii="宋体" w:hAnsi="宋体"/>
          <w:sz w:val="24"/>
        </w:rPr>
        <w:t>建设管理业务的；</w:t>
      </w:r>
    </w:p>
    <w:p>
      <w:pPr>
        <w:tabs>
          <w:tab w:val="left" w:pos="720"/>
          <w:tab w:val="left" w:pos="900"/>
        </w:tabs>
        <w:spacing w:line="360" w:lineRule="auto"/>
        <w:ind w:firstLine="480" w:firstLineChars="200"/>
        <w:rPr>
          <w:rFonts w:ascii="宋体" w:hAnsi="宋体"/>
          <w:sz w:val="24"/>
        </w:rPr>
      </w:pPr>
      <w:r>
        <w:rPr>
          <w:rFonts w:hint="eastAsia" w:ascii="宋体" w:hAnsi="宋体"/>
          <w:sz w:val="24"/>
        </w:rPr>
        <w:t>（4）</w:t>
      </w:r>
      <w:r>
        <w:rPr>
          <w:rFonts w:ascii="宋体" w:hAnsi="宋体"/>
          <w:sz w:val="24"/>
        </w:rPr>
        <w:t>工程发生质量</w:t>
      </w:r>
      <w:r>
        <w:rPr>
          <w:rFonts w:hint="eastAsia" w:ascii="宋体" w:hAnsi="宋体"/>
          <w:sz w:val="24"/>
        </w:rPr>
        <w:t>和安全生产</w:t>
      </w:r>
      <w:r>
        <w:rPr>
          <w:rFonts w:ascii="宋体" w:hAnsi="宋体"/>
          <w:sz w:val="24"/>
        </w:rPr>
        <w:t>事故隐瞒不报、谎报或者拖延报告的；</w:t>
      </w:r>
    </w:p>
    <w:p>
      <w:pPr>
        <w:tabs>
          <w:tab w:val="left" w:pos="720"/>
          <w:tab w:val="left" w:pos="900"/>
        </w:tabs>
        <w:spacing w:line="360" w:lineRule="auto"/>
        <w:ind w:firstLine="456" w:firstLineChars="200"/>
        <w:rPr>
          <w:rFonts w:ascii="宋体" w:hAnsi="宋体"/>
          <w:sz w:val="24"/>
        </w:rPr>
      </w:pPr>
      <w:r>
        <w:rPr>
          <w:rFonts w:hint="eastAsia" w:ascii="宋体" w:hAnsi="宋体"/>
          <w:spacing w:val="-6"/>
          <w:sz w:val="24"/>
        </w:rPr>
        <w:t>（5）</w:t>
      </w:r>
      <w:r>
        <w:rPr>
          <w:rFonts w:ascii="宋体" w:hAnsi="宋体"/>
          <w:spacing w:val="-6"/>
          <w:sz w:val="24"/>
        </w:rPr>
        <w:t>因项目管理单位人员过错或管理不力，造成</w:t>
      </w:r>
      <w:r>
        <w:rPr>
          <w:rFonts w:hint="eastAsia" w:ascii="宋体" w:hAnsi="宋体"/>
          <w:spacing w:val="-6"/>
          <w:sz w:val="24"/>
        </w:rPr>
        <w:t>重大的</w:t>
      </w:r>
      <w:r>
        <w:rPr>
          <w:rFonts w:ascii="宋体" w:hAnsi="宋体"/>
          <w:spacing w:val="-6"/>
          <w:sz w:val="24"/>
        </w:rPr>
        <w:t>质量事故、安全生产事故、环境污染事故的；</w:t>
      </w:r>
      <w:r>
        <w:rPr>
          <w:rFonts w:ascii="宋体" w:hAnsi="宋体"/>
          <w:sz w:val="24"/>
        </w:rPr>
        <w:t>将不合格的工程、建筑材料、建筑构配件和设备按照合格签字的；</w:t>
      </w:r>
    </w:p>
    <w:p>
      <w:pPr>
        <w:tabs>
          <w:tab w:val="left" w:pos="720"/>
          <w:tab w:val="left" w:pos="900"/>
        </w:tabs>
        <w:spacing w:line="360" w:lineRule="auto"/>
        <w:ind w:firstLine="480" w:firstLineChars="200"/>
        <w:sectPr>
          <w:pgSz w:w="11906" w:h="16838"/>
          <w:pgMar w:top="1276" w:right="1134" w:bottom="1134" w:left="1418" w:header="851" w:footer="851" w:gutter="0"/>
          <w:cols w:space="720" w:num="1"/>
        </w:sectPr>
      </w:pPr>
      <w:r>
        <w:rPr>
          <w:rFonts w:hint="eastAsia" w:ascii="宋体" w:hAnsi="宋体"/>
          <w:sz w:val="24"/>
        </w:rPr>
        <w:t>（6）</w:t>
      </w:r>
      <w:r>
        <w:rPr>
          <w:rFonts w:ascii="宋体" w:hAnsi="宋体"/>
          <w:sz w:val="24"/>
        </w:rPr>
        <w:t>蓄意损害</w:t>
      </w:r>
      <w:r>
        <w:rPr>
          <w:rFonts w:hint="eastAsia" w:ascii="宋体" w:hAnsi="宋体"/>
          <w:sz w:val="24"/>
        </w:rPr>
        <w:t>甲方</w:t>
      </w:r>
      <w:r>
        <w:rPr>
          <w:rFonts w:ascii="宋体" w:hAnsi="宋体"/>
          <w:sz w:val="24"/>
        </w:rPr>
        <w:t>或</w:t>
      </w:r>
      <w:r>
        <w:rPr>
          <w:rFonts w:hint="eastAsia" w:ascii="宋体" w:hAnsi="宋体"/>
          <w:sz w:val="24"/>
        </w:rPr>
        <w:t>设计人、监理人、</w:t>
      </w:r>
      <w:r>
        <w:rPr>
          <w:rFonts w:ascii="宋体" w:hAnsi="宋体"/>
          <w:sz w:val="24"/>
        </w:rPr>
        <w:t>承包人利益的；与</w:t>
      </w:r>
      <w:r>
        <w:rPr>
          <w:rFonts w:hint="eastAsia" w:ascii="宋体" w:hAnsi="宋体"/>
          <w:sz w:val="24"/>
        </w:rPr>
        <w:t>设计人、监理人、</w:t>
      </w:r>
      <w:r>
        <w:rPr>
          <w:rFonts w:ascii="宋体" w:hAnsi="宋体"/>
          <w:sz w:val="24"/>
        </w:rPr>
        <w:t>承包人串通，弄虚作假，降低工程质量或骗取建设资金的</w:t>
      </w:r>
      <w:r>
        <w:rPr>
          <w:rFonts w:hint="eastAsia" w:ascii="宋体" w:hAnsi="宋体"/>
          <w:sz w:val="24"/>
        </w:rPr>
        <w:t>，</w:t>
      </w:r>
    </w:p>
    <w:p>
      <w:pPr>
        <w:pStyle w:val="92"/>
        <w:spacing w:before="0" w:after="0"/>
        <w:ind w:left="0" w:firstLine="0"/>
        <w:rPr>
          <w:color w:val="auto"/>
        </w:rPr>
      </w:pPr>
      <w:r>
        <w:rPr>
          <w:color w:val="auto"/>
        </w:rPr>
        <w:t>第</w:t>
      </w:r>
      <w:r>
        <w:rPr>
          <w:rFonts w:hint="eastAsia"/>
          <w:color w:val="auto"/>
          <w:lang w:val="en-US"/>
        </w:rPr>
        <w:t>四</w:t>
      </w:r>
      <w:r>
        <w:rPr>
          <w:color w:val="auto"/>
        </w:rPr>
        <w:t>部分</w:t>
      </w:r>
      <w:r>
        <w:rPr>
          <w:rFonts w:hint="eastAsia"/>
          <w:color w:val="auto"/>
        </w:rPr>
        <w:t xml:space="preserve"> </w:t>
      </w:r>
      <w:r>
        <w:rPr>
          <w:color w:val="auto"/>
        </w:rPr>
        <w:t>工程监理</w:t>
      </w:r>
      <w:bookmarkEnd w:id="48"/>
      <w:bookmarkEnd w:id="49"/>
      <w:bookmarkEnd w:id="50"/>
      <w:r>
        <w:rPr>
          <w:color w:val="auto"/>
        </w:rPr>
        <w:t>专项条款</w:t>
      </w:r>
      <w:bookmarkEnd w:id="59"/>
      <w:bookmarkEnd w:id="60"/>
      <w:bookmarkEnd w:id="61"/>
      <w:bookmarkEnd w:id="62"/>
    </w:p>
    <w:p>
      <w:pPr>
        <w:spacing w:line="360" w:lineRule="auto"/>
        <w:jc w:val="left"/>
        <w:outlineLvl w:val="1"/>
        <w:rPr>
          <w:rFonts w:ascii="宋体" w:hAnsi="宋体" w:cs="宋体"/>
          <w:b/>
          <w:sz w:val="24"/>
        </w:rPr>
      </w:pPr>
      <w:bookmarkStart w:id="256" w:name="_Toc111036404"/>
      <w:bookmarkStart w:id="257" w:name="_Toc489865862"/>
      <w:bookmarkStart w:id="258" w:name="_Toc489236635"/>
      <w:r>
        <w:rPr>
          <w:rFonts w:hint="eastAsia" w:ascii="宋体" w:hAnsi="宋体" w:cs="宋体"/>
          <w:b/>
          <w:sz w:val="24"/>
        </w:rPr>
        <w:t>一、基本权利义务</w:t>
      </w:r>
      <w:bookmarkEnd w:id="256"/>
    </w:p>
    <w:p>
      <w:pPr>
        <w:spacing w:line="360" w:lineRule="auto"/>
        <w:outlineLvl w:val="2"/>
        <w:rPr>
          <w:rFonts w:ascii="宋体" w:hAnsi="宋体" w:cs="宋体"/>
          <w:b/>
          <w:sz w:val="24"/>
        </w:rPr>
      </w:pPr>
      <w:r>
        <w:rPr>
          <w:rFonts w:hint="eastAsia" w:ascii="宋体" w:hAnsi="宋体" w:cs="宋体"/>
          <w:b/>
          <w:sz w:val="24"/>
        </w:rPr>
        <w:t>1.甲方的义务</w:t>
      </w:r>
    </w:p>
    <w:p>
      <w:pPr>
        <w:spacing w:line="360" w:lineRule="auto"/>
        <w:ind w:firstLine="480" w:firstLineChars="200"/>
        <w:jc w:val="left"/>
        <w:rPr>
          <w:rFonts w:ascii="宋体" w:hAnsi="宋体" w:cs="宋体"/>
          <w:sz w:val="24"/>
        </w:rPr>
      </w:pPr>
      <w:r>
        <w:rPr>
          <w:rFonts w:hint="eastAsia" w:ascii="宋体" w:hAnsi="宋体" w:cs="宋体"/>
          <w:sz w:val="24"/>
        </w:rPr>
        <w:t>1.1 告知</w:t>
      </w:r>
    </w:p>
    <w:p>
      <w:pPr>
        <w:spacing w:line="360" w:lineRule="auto"/>
        <w:ind w:firstLine="480" w:firstLineChars="200"/>
        <w:jc w:val="left"/>
        <w:rPr>
          <w:rFonts w:ascii="宋体" w:hAnsi="宋体" w:cs="宋体"/>
          <w:sz w:val="24"/>
        </w:rPr>
      </w:pPr>
      <w:r>
        <w:rPr>
          <w:rFonts w:hint="eastAsia" w:ascii="宋体" w:hAnsi="宋体" w:cs="宋体"/>
          <w:sz w:val="24"/>
        </w:rPr>
        <w:t>甲方应在甲方与承包人签订的合同中明确乙方、总监理工程师和授予项目监理机构的权限。如有变更，应及时通知承包人。</w:t>
      </w:r>
    </w:p>
    <w:p>
      <w:pPr>
        <w:spacing w:line="360" w:lineRule="auto"/>
        <w:ind w:firstLine="480" w:firstLineChars="200"/>
        <w:jc w:val="left"/>
        <w:rPr>
          <w:rFonts w:ascii="宋体" w:hAnsi="宋体" w:cs="宋体"/>
          <w:sz w:val="24"/>
        </w:rPr>
      </w:pPr>
      <w:r>
        <w:rPr>
          <w:rFonts w:hint="eastAsia" w:ascii="宋体" w:hAnsi="宋体" w:cs="宋体"/>
          <w:sz w:val="24"/>
        </w:rPr>
        <w:t>1.2 提供资料</w:t>
      </w:r>
    </w:p>
    <w:p>
      <w:pPr>
        <w:spacing w:line="360" w:lineRule="auto"/>
        <w:ind w:firstLine="480" w:firstLineChars="200"/>
        <w:jc w:val="left"/>
        <w:rPr>
          <w:rFonts w:ascii="宋体" w:hAnsi="宋体" w:cs="宋体"/>
          <w:sz w:val="24"/>
        </w:rPr>
      </w:pPr>
      <w:r>
        <w:rPr>
          <w:rFonts w:hint="eastAsia" w:ascii="宋体" w:hAnsi="宋体" w:cs="宋体"/>
          <w:sz w:val="24"/>
        </w:rPr>
        <w:t>甲方应无偿向乙方提供工程有关的资料。在本合同履行过程中，甲方应及时向乙方提供最新的与工程有关的资料。</w:t>
      </w:r>
    </w:p>
    <w:p>
      <w:pPr>
        <w:spacing w:line="360" w:lineRule="auto"/>
        <w:ind w:firstLine="480" w:firstLineChars="200"/>
        <w:jc w:val="left"/>
        <w:rPr>
          <w:rFonts w:ascii="宋体" w:hAnsi="宋体" w:cs="宋体"/>
          <w:sz w:val="24"/>
        </w:rPr>
      </w:pPr>
      <w:r>
        <w:rPr>
          <w:rFonts w:hint="eastAsia" w:ascii="宋体" w:hAnsi="宋体" w:cs="宋体"/>
          <w:sz w:val="24"/>
        </w:rPr>
        <w:t>1.3 提供工作条件</w:t>
      </w:r>
    </w:p>
    <w:p>
      <w:pPr>
        <w:spacing w:line="360" w:lineRule="auto"/>
        <w:ind w:firstLine="480" w:firstLineChars="200"/>
        <w:jc w:val="left"/>
        <w:rPr>
          <w:rFonts w:ascii="宋体" w:hAnsi="宋体" w:cs="宋体"/>
          <w:sz w:val="24"/>
        </w:rPr>
      </w:pPr>
      <w:r>
        <w:rPr>
          <w:rFonts w:hint="eastAsia" w:ascii="宋体" w:hAnsi="宋体" w:cs="宋体"/>
          <w:sz w:val="24"/>
        </w:rPr>
        <w:t>甲方应为乙方完成监理与相关服务提供必要的条件。</w:t>
      </w:r>
    </w:p>
    <w:p>
      <w:pPr>
        <w:spacing w:line="360" w:lineRule="auto"/>
        <w:ind w:firstLine="480" w:firstLineChars="200"/>
        <w:jc w:val="left"/>
        <w:rPr>
          <w:rFonts w:ascii="宋体" w:hAnsi="宋体" w:cs="宋体"/>
          <w:sz w:val="24"/>
        </w:rPr>
      </w:pPr>
      <w:r>
        <w:rPr>
          <w:rFonts w:hint="eastAsia" w:ascii="宋体" w:hAnsi="宋体" w:cs="宋体"/>
          <w:sz w:val="24"/>
        </w:rPr>
        <w:t>1.3.1 甲方提供房屋、设备，供乙方工作使用时为无偿使用。</w:t>
      </w:r>
    </w:p>
    <w:p>
      <w:pPr>
        <w:spacing w:line="360" w:lineRule="auto"/>
        <w:ind w:firstLine="480" w:firstLineChars="200"/>
        <w:jc w:val="left"/>
        <w:rPr>
          <w:rFonts w:ascii="宋体" w:hAnsi="宋体" w:cs="宋体"/>
          <w:sz w:val="24"/>
        </w:rPr>
      </w:pPr>
      <w:r>
        <w:rPr>
          <w:rFonts w:hint="eastAsia" w:ascii="宋体" w:hAnsi="宋体" w:cs="宋体"/>
          <w:sz w:val="24"/>
        </w:rPr>
        <w:t>1.3.2 甲方应负责协调工程建设中所有外部关系，为乙方履行本合同提供必要的外部条件。</w:t>
      </w:r>
    </w:p>
    <w:p>
      <w:pPr>
        <w:spacing w:line="360" w:lineRule="auto"/>
        <w:ind w:firstLine="480" w:firstLineChars="200"/>
        <w:jc w:val="left"/>
        <w:rPr>
          <w:rFonts w:ascii="宋体" w:hAnsi="宋体" w:cs="宋体"/>
          <w:sz w:val="24"/>
        </w:rPr>
      </w:pPr>
      <w:r>
        <w:rPr>
          <w:rFonts w:hint="eastAsia" w:ascii="宋体" w:hAnsi="宋体" w:cs="宋体"/>
          <w:sz w:val="24"/>
        </w:rPr>
        <w:t>甲方应授权一名熟悉工程情况的代表，负责与乙方联系。甲方应在双方签订本合同后7日内，将甲方代表的姓名和职责书面告知乙方。当甲方更换甲方代表时，应提前7日通知乙方。</w:t>
      </w:r>
    </w:p>
    <w:p>
      <w:pPr>
        <w:spacing w:line="360" w:lineRule="auto"/>
        <w:ind w:firstLine="480" w:firstLineChars="200"/>
        <w:jc w:val="left"/>
        <w:rPr>
          <w:rFonts w:ascii="宋体" w:hAnsi="宋体" w:cs="宋体"/>
          <w:sz w:val="24"/>
        </w:rPr>
      </w:pPr>
      <w:r>
        <w:rPr>
          <w:rFonts w:hint="eastAsia" w:ascii="宋体" w:hAnsi="宋体" w:cs="宋体"/>
          <w:sz w:val="24"/>
        </w:rPr>
        <w:t>1.5 甲方意见或要求</w:t>
      </w:r>
    </w:p>
    <w:p>
      <w:pPr>
        <w:spacing w:line="360" w:lineRule="auto"/>
        <w:ind w:firstLine="480" w:firstLineChars="200"/>
        <w:jc w:val="left"/>
        <w:rPr>
          <w:rFonts w:ascii="宋体" w:hAnsi="宋体" w:cs="宋体"/>
          <w:sz w:val="24"/>
        </w:rPr>
      </w:pPr>
      <w:r>
        <w:rPr>
          <w:rFonts w:hint="eastAsia" w:ascii="宋体" w:hAnsi="宋体" w:cs="宋体"/>
          <w:sz w:val="24"/>
        </w:rPr>
        <w:t>在本合同约定的监理与相关服务工作范围内，甲方对承包人的任何意见或要求应通知乙方，由乙方向承包人发出相应指令。</w:t>
      </w:r>
    </w:p>
    <w:p>
      <w:pPr>
        <w:spacing w:line="360" w:lineRule="auto"/>
        <w:ind w:firstLine="480" w:firstLineChars="200"/>
        <w:jc w:val="left"/>
        <w:rPr>
          <w:rFonts w:ascii="宋体" w:hAnsi="宋体" w:cs="宋体"/>
          <w:sz w:val="24"/>
        </w:rPr>
      </w:pPr>
      <w:r>
        <w:rPr>
          <w:rFonts w:hint="eastAsia" w:ascii="宋体" w:hAnsi="宋体" w:cs="宋体"/>
          <w:sz w:val="24"/>
        </w:rPr>
        <w:t>1.6 答复</w:t>
      </w:r>
    </w:p>
    <w:p>
      <w:pPr>
        <w:spacing w:line="360" w:lineRule="auto"/>
        <w:ind w:firstLine="480" w:firstLineChars="200"/>
        <w:jc w:val="left"/>
        <w:rPr>
          <w:rFonts w:ascii="宋体" w:hAnsi="宋体" w:cs="宋体"/>
          <w:sz w:val="24"/>
        </w:rPr>
      </w:pPr>
      <w:r>
        <w:rPr>
          <w:rFonts w:hint="eastAsia" w:ascii="宋体" w:hAnsi="宋体" w:cs="宋体"/>
          <w:sz w:val="24"/>
        </w:rPr>
        <w:t>甲方同意在7个工作日内，对乙方书面提交并要求做出决定的事宜给予书面答复。逾期未答复的，视为甲方认可。</w:t>
      </w:r>
    </w:p>
    <w:p>
      <w:pPr>
        <w:spacing w:line="360" w:lineRule="auto"/>
        <w:ind w:firstLine="480" w:firstLineChars="200"/>
        <w:jc w:val="left"/>
        <w:rPr>
          <w:rFonts w:ascii="宋体" w:hAnsi="宋体" w:cs="宋体"/>
          <w:sz w:val="24"/>
        </w:rPr>
      </w:pPr>
      <w:r>
        <w:rPr>
          <w:rFonts w:hint="eastAsia" w:ascii="宋体" w:hAnsi="宋体" w:cs="宋体"/>
          <w:sz w:val="24"/>
        </w:rPr>
        <w:t>1.7 支付</w:t>
      </w:r>
    </w:p>
    <w:p>
      <w:pPr>
        <w:spacing w:line="360" w:lineRule="auto"/>
        <w:ind w:firstLine="480" w:firstLineChars="200"/>
        <w:jc w:val="left"/>
        <w:rPr>
          <w:rFonts w:ascii="宋体" w:hAnsi="宋体" w:cs="宋体"/>
          <w:sz w:val="24"/>
        </w:rPr>
      </w:pPr>
      <w:r>
        <w:rPr>
          <w:rFonts w:hint="eastAsia" w:ascii="宋体" w:hAnsi="宋体" w:cs="宋体"/>
          <w:sz w:val="24"/>
        </w:rPr>
        <w:t>按本合同相关约定向乙方支付监理服务费。</w:t>
      </w:r>
    </w:p>
    <w:p>
      <w:pPr>
        <w:spacing w:line="360" w:lineRule="auto"/>
        <w:outlineLvl w:val="2"/>
        <w:rPr>
          <w:rFonts w:ascii="宋体" w:hAnsi="宋体" w:cs="宋体"/>
          <w:b/>
          <w:sz w:val="24"/>
        </w:rPr>
      </w:pPr>
      <w:r>
        <w:rPr>
          <w:rFonts w:hint="eastAsia" w:ascii="宋体" w:hAnsi="宋体" w:cs="宋体"/>
          <w:b/>
          <w:sz w:val="24"/>
        </w:rPr>
        <w:t>2.乙方的义务</w:t>
      </w:r>
    </w:p>
    <w:p>
      <w:pPr>
        <w:spacing w:line="360" w:lineRule="auto"/>
        <w:ind w:firstLine="480" w:firstLineChars="200"/>
        <w:jc w:val="left"/>
        <w:rPr>
          <w:rFonts w:ascii="宋体" w:hAnsi="宋体" w:cs="宋体"/>
          <w:sz w:val="24"/>
        </w:rPr>
      </w:pPr>
      <w:r>
        <w:rPr>
          <w:rFonts w:hint="eastAsia" w:ascii="宋体" w:hAnsi="宋体" w:cs="宋体"/>
          <w:sz w:val="24"/>
        </w:rPr>
        <w:t>2.1 监理工作内容包括：</w:t>
      </w:r>
    </w:p>
    <w:p>
      <w:pPr>
        <w:spacing w:line="360" w:lineRule="auto"/>
        <w:ind w:firstLine="480" w:firstLineChars="200"/>
        <w:jc w:val="left"/>
        <w:rPr>
          <w:rFonts w:ascii="宋体" w:hAnsi="宋体" w:cs="宋体"/>
          <w:sz w:val="24"/>
        </w:rPr>
      </w:pPr>
      <w:r>
        <w:rPr>
          <w:rFonts w:hint="eastAsia" w:ascii="宋体" w:hAnsi="宋体" w:cs="宋体"/>
          <w:sz w:val="24"/>
        </w:rPr>
        <w:t>（1）根据有关规定和监理工作需要，编制监理文件；</w:t>
      </w:r>
    </w:p>
    <w:p>
      <w:pPr>
        <w:spacing w:line="360" w:lineRule="auto"/>
        <w:ind w:firstLine="480" w:firstLineChars="200"/>
        <w:jc w:val="left"/>
        <w:rPr>
          <w:rFonts w:ascii="宋体" w:hAnsi="宋体" w:cs="宋体"/>
          <w:sz w:val="24"/>
        </w:rPr>
      </w:pPr>
      <w:r>
        <w:rPr>
          <w:rFonts w:hint="eastAsia" w:ascii="宋体" w:hAnsi="宋体" w:cs="宋体"/>
          <w:sz w:val="24"/>
        </w:rPr>
        <w:t>（2）熟悉工程设计文件，并参加由甲方主持的图纸会审和设计交底会议；</w:t>
      </w:r>
    </w:p>
    <w:p>
      <w:pPr>
        <w:spacing w:line="360" w:lineRule="auto"/>
        <w:ind w:firstLine="480" w:firstLineChars="200"/>
        <w:jc w:val="left"/>
        <w:rPr>
          <w:rFonts w:ascii="宋体" w:hAnsi="宋体" w:cs="宋体"/>
          <w:sz w:val="24"/>
        </w:rPr>
      </w:pPr>
      <w:r>
        <w:rPr>
          <w:rFonts w:hint="eastAsia" w:ascii="宋体" w:hAnsi="宋体" w:cs="宋体"/>
          <w:sz w:val="24"/>
        </w:rPr>
        <w:t>（3）参加由甲方主持的第一次工地会议；主持监理例会并根据工程需要主持或参加专题会议；</w:t>
      </w:r>
    </w:p>
    <w:p>
      <w:pPr>
        <w:spacing w:line="360" w:lineRule="auto"/>
        <w:ind w:firstLine="480" w:firstLineChars="200"/>
        <w:jc w:val="left"/>
        <w:rPr>
          <w:rFonts w:ascii="宋体" w:hAnsi="宋体" w:cs="宋体"/>
          <w:sz w:val="24"/>
        </w:rPr>
      </w:pPr>
      <w:r>
        <w:rPr>
          <w:rFonts w:hint="eastAsia" w:ascii="宋体" w:hAnsi="宋体" w:cs="宋体"/>
          <w:sz w:val="24"/>
        </w:rPr>
        <w:t>（4）审查施工承包人提交的施工组织设计，重点审查其中的质量安全技术措施、专项施工方案、用工实名管理等专项施工方案与工程建设强制性标准的符合性；</w:t>
      </w:r>
    </w:p>
    <w:p>
      <w:pPr>
        <w:adjustRightInd w:val="0"/>
        <w:snapToGrid w:val="0"/>
        <w:spacing w:line="560" w:lineRule="exact"/>
        <w:ind w:firstLine="645"/>
        <w:jc w:val="left"/>
        <w:rPr>
          <w:rFonts w:ascii="宋体" w:hAnsi="宋体" w:cs="宋体"/>
          <w:sz w:val="24"/>
        </w:rPr>
      </w:pPr>
      <w:r>
        <w:rPr>
          <w:rFonts w:hint="eastAsia" w:ascii="宋体" w:hAnsi="宋体" w:cs="宋体"/>
          <w:sz w:val="24"/>
        </w:rPr>
        <w:t>（5）检查施工承包人工程质量、安全生产管理制度及组织机构和人员资格；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这些情况进行监督管理。对施工单位未按规定落实实名管理工作的，发出监理通知单，要求其限期整改。对施工企业逾期未整改的，向建设单位和负责该工程监管工作的住房城乡建设主管部门报告。</w:t>
      </w:r>
    </w:p>
    <w:p>
      <w:pPr>
        <w:spacing w:line="360" w:lineRule="auto"/>
        <w:ind w:firstLine="480" w:firstLineChars="200"/>
        <w:jc w:val="left"/>
        <w:rPr>
          <w:rFonts w:ascii="宋体" w:hAnsi="宋体" w:cs="宋体"/>
          <w:sz w:val="24"/>
        </w:rPr>
      </w:pPr>
      <w:r>
        <w:rPr>
          <w:rFonts w:hint="eastAsia" w:ascii="宋体" w:hAnsi="宋体" w:cs="宋体"/>
          <w:sz w:val="24"/>
        </w:rPr>
        <w:t>（6）检查施工承包人专职安全生产管理人员的配备情况；</w:t>
      </w:r>
    </w:p>
    <w:p>
      <w:pPr>
        <w:spacing w:line="360" w:lineRule="auto"/>
        <w:ind w:firstLine="480" w:firstLineChars="200"/>
        <w:jc w:val="left"/>
        <w:rPr>
          <w:rFonts w:ascii="宋体" w:hAnsi="宋体" w:cs="宋体"/>
          <w:sz w:val="24"/>
        </w:rPr>
      </w:pPr>
      <w:r>
        <w:rPr>
          <w:rFonts w:hint="eastAsia" w:ascii="宋体" w:hAnsi="宋体" w:cs="宋体"/>
          <w:sz w:val="24"/>
        </w:rPr>
        <w:t>（7）审查施工承包人提交的施工进度计划，核查承包人对施工进度计划的调整；</w:t>
      </w:r>
    </w:p>
    <w:p>
      <w:pPr>
        <w:spacing w:line="360" w:lineRule="auto"/>
        <w:ind w:firstLine="480" w:firstLineChars="200"/>
        <w:jc w:val="left"/>
        <w:rPr>
          <w:rFonts w:ascii="宋体" w:hAnsi="宋体" w:cs="宋体"/>
          <w:sz w:val="24"/>
        </w:rPr>
      </w:pPr>
      <w:r>
        <w:rPr>
          <w:rFonts w:hint="eastAsia" w:ascii="宋体" w:hAnsi="宋体" w:cs="宋体"/>
          <w:sz w:val="24"/>
        </w:rPr>
        <w:t>（8）检查施工承包人的试验室；</w:t>
      </w:r>
    </w:p>
    <w:p>
      <w:pPr>
        <w:spacing w:line="360" w:lineRule="auto"/>
        <w:ind w:firstLine="480" w:firstLineChars="200"/>
        <w:jc w:val="left"/>
        <w:rPr>
          <w:rFonts w:ascii="宋体" w:hAnsi="宋体" w:cs="宋体"/>
          <w:sz w:val="24"/>
        </w:rPr>
      </w:pPr>
      <w:r>
        <w:rPr>
          <w:rFonts w:hint="eastAsia" w:ascii="宋体" w:hAnsi="宋体" w:cs="宋体"/>
          <w:sz w:val="24"/>
        </w:rPr>
        <w:t>（9）审核施工分包人资质条件；</w:t>
      </w:r>
    </w:p>
    <w:p>
      <w:pPr>
        <w:spacing w:line="360" w:lineRule="auto"/>
        <w:ind w:firstLine="480" w:firstLineChars="200"/>
        <w:jc w:val="left"/>
        <w:rPr>
          <w:rFonts w:ascii="宋体" w:hAnsi="宋体" w:cs="宋体"/>
          <w:sz w:val="24"/>
        </w:rPr>
      </w:pPr>
      <w:r>
        <w:rPr>
          <w:rFonts w:hint="eastAsia" w:ascii="宋体" w:hAnsi="宋体" w:cs="宋体"/>
          <w:sz w:val="24"/>
        </w:rPr>
        <w:t>（10）查验施工承包人的施工测量放线成果；</w:t>
      </w:r>
    </w:p>
    <w:p>
      <w:pPr>
        <w:spacing w:line="360" w:lineRule="auto"/>
        <w:ind w:firstLine="480" w:firstLineChars="200"/>
        <w:jc w:val="left"/>
        <w:rPr>
          <w:rFonts w:ascii="宋体" w:hAnsi="宋体" w:cs="宋体"/>
          <w:sz w:val="24"/>
        </w:rPr>
      </w:pPr>
      <w:r>
        <w:rPr>
          <w:rFonts w:hint="eastAsia" w:ascii="宋体" w:hAnsi="宋体" w:cs="宋体"/>
          <w:sz w:val="24"/>
        </w:rPr>
        <w:t>（11）审查工程开工条件，对条件具备的签发开工令；</w:t>
      </w:r>
    </w:p>
    <w:p>
      <w:pPr>
        <w:spacing w:line="360" w:lineRule="auto"/>
        <w:ind w:firstLine="480" w:firstLineChars="200"/>
        <w:jc w:val="left"/>
        <w:rPr>
          <w:rFonts w:ascii="宋体" w:hAnsi="宋体" w:cs="宋体"/>
          <w:sz w:val="24"/>
        </w:rPr>
      </w:pPr>
      <w:r>
        <w:rPr>
          <w:rFonts w:hint="eastAsia" w:ascii="宋体" w:hAnsi="宋体" w:cs="宋体"/>
          <w:sz w:val="24"/>
        </w:rPr>
        <w:t>（12）审查施工承包人报送的工程材料、构配件、设备质量证明文件的有效性和符合性，并按规定对用于工程的材料采取平行检验或见证取样方式进行抽检；</w:t>
      </w:r>
    </w:p>
    <w:p>
      <w:pPr>
        <w:spacing w:line="360" w:lineRule="auto"/>
        <w:ind w:firstLine="480" w:firstLineChars="200"/>
        <w:jc w:val="left"/>
        <w:rPr>
          <w:rFonts w:ascii="宋体" w:hAnsi="宋体" w:cs="宋体"/>
          <w:sz w:val="24"/>
        </w:rPr>
      </w:pPr>
      <w:r>
        <w:rPr>
          <w:rFonts w:hint="eastAsia" w:ascii="宋体" w:hAnsi="宋体" w:cs="宋体"/>
          <w:sz w:val="24"/>
        </w:rPr>
        <w:t>（13）审核施工承包人提交的工程款支付申请，签发或出具工程款支付意见，并报甲方审核、批准；</w:t>
      </w:r>
    </w:p>
    <w:p>
      <w:pPr>
        <w:spacing w:line="360" w:lineRule="auto"/>
        <w:ind w:firstLine="480" w:firstLineChars="200"/>
        <w:jc w:val="left"/>
        <w:rPr>
          <w:rFonts w:ascii="宋体" w:hAnsi="宋体" w:cs="宋体"/>
          <w:sz w:val="24"/>
        </w:rPr>
      </w:pPr>
      <w:r>
        <w:rPr>
          <w:rFonts w:hint="eastAsia" w:ascii="宋体" w:hAnsi="宋体" w:cs="宋体"/>
          <w:sz w:val="24"/>
        </w:rPr>
        <w:t>（14）在巡视、旁站和检验过程中，发现工程质量、施工安全存在事故隐患的，要求施工承包人整改并报甲方；</w:t>
      </w:r>
    </w:p>
    <w:p>
      <w:pPr>
        <w:spacing w:line="360" w:lineRule="auto"/>
        <w:ind w:firstLine="480" w:firstLineChars="200"/>
        <w:jc w:val="left"/>
        <w:rPr>
          <w:rFonts w:ascii="宋体" w:hAnsi="宋体" w:cs="宋体"/>
          <w:sz w:val="24"/>
        </w:rPr>
      </w:pPr>
      <w:r>
        <w:rPr>
          <w:rFonts w:hint="eastAsia" w:ascii="宋体" w:hAnsi="宋体" w:cs="宋体"/>
          <w:sz w:val="24"/>
        </w:rPr>
        <w:t>（15）经甲方同意，签发工程暂停令和复工令；</w:t>
      </w:r>
    </w:p>
    <w:p>
      <w:pPr>
        <w:spacing w:line="360" w:lineRule="auto"/>
        <w:ind w:firstLine="480" w:firstLineChars="200"/>
        <w:jc w:val="left"/>
        <w:rPr>
          <w:rFonts w:ascii="宋体" w:hAnsi="宋体" w:cs="宋体"/>
          <w:sz w:val="24"/>
        </w:rPr>
      </w:pPr>
      <w:r>
        <w:rPr>
          <w:rFonts w:hint="eastAsia" w:ascii="宋体" w:hAnsi="宋体" w:cs="宋体"/>
          <w:sz w:val="24"/>
        </w:rPr>
        <w:t>（16）审查施工承包人提交的采用新材料、新工艺、新技术、新设备的论证材料及相关验收标准；</w:t>
      </w:r>
    </w:p>
    <w:p>
      <w:pPr>
        <w:spacing w:line="360" w:lineRule="auto"/>
        <w:ind w:firstLine="480" w:firstLineChars="200"/>
        <w:jc w:val="left"/>
        <w:rPr>
          <w:rFonts w:ascii="宋体" w:hAnsi="宋体" w:cs="宋体"/>
          <w:sz w:val="24"/>
        </w:rPr>
      </w:pPr>
      <w:r>
        <w:rPr>
          <w:rFonts w:hint="eastAsia" w:ascii="宋体" w:hAnsi="宋体" w:cs="宋体"/>
          <w:sz w:val="24"/>
        </w:rPr>
        <w:t>（17）验收隐蔽工程、分部分项工程；</w:t>
      </w:r>
    </w:p>
    <w:p>
      <w:pPr>
        <w:spacing w:line="360" w:lineRule="auto"/>
        <w:ind w:firstLine="480" w:firstLineChars="200"/>
        <w:jc w:val="left"/>
        <w:rPr>
          <w:rFonts w:ascii="宋体" w:hAnsi="宋体" w:cs="宋体"/>
          <w:sz w:val="24"/>
        </w:rPr>
      </w:pPr>
      <w:r>
        <w:rPr>
          <w:rFonts w:hint="eastAsia" w:ascii="宋体" w:hAnsi="宋体" w:cs="宋体"/>
          <w:sz w:val="24"/>
        </w:rPr>
        <w:t>（18）审查施工承包人提交的工程变更申请，协调处理施工进度调整、费用索赔、合同争议等事项；</w:t>
      </w:r>
    </w:p>
    <w:p>
      <w:pPr>
        <w:spacing w:line="360" w:lineRule="auto"/>
        <w:ind w:firstLine="480" w:firstLineChars="200"/>
        <w:jc w:val="left"/>
        <w:rPr>
          <w:rFonts w:ascii="宋体" w:hAnsi="宋体" w:cs="宋体"/>
          <w:sz w:val="24"/>
        </w:rPr>
      </w:pPr>
      <w:r>
        <w:rPr>
          <w:rFonts w:hint="eastAsia" w:ascii="宋体" w:hAnsi="宋体" w:cs="宋体"/>
          <w:sz w:val="24"/>
        </w:rPr>
        <w:t>（19）审查施工承包人提交的竣工验收申请，编写工程质量评估报告；</w:t>
      </w:r>
    </w:p>
    <w:p>
      <w:pPr>
        <w:spacing w:line="360" w:lineRule="auto"/>
        <w:ind w:firstLine="480" w:firstLineChars="200"/>
        <w:jc w:val="left"/>
        <w:rPr>
          <w:rFonts w:ascii="宋体" w:hAnsi="宋体" w:cs="宋体"/>
          <w:sz w:val="24"/>
        </w:rPr>
      </w:pPr>
      <w:r>
        <w:rPr>
          <w:rFonts w:hint="eastAsia" w:ascii="宋体" w:hAnsi="宋体" w:cs="宋体"/>
          <w:sz w:val="24"/>
        </w:rPr>
        <w:t>（20）参加工程竣工验收，签署竣工验收意见；</w:t>
      </w:r>
    </w:p>
    <w:p>
      <w:pPr>
        <w:spacing w:line="360" w:lineRule="auto"/>
        <w:ind w:firstLine="480" w:firstLineChars="200"/>
        <w:jc w:val="left"/>
        <w:rPr>
          <w:rFonts w:ascii="宋体" w:hAnsi="宋体" w:cs="宋体"/>
          <w:sz w:val="24"/>
        </w:rPr>
      </w:pPr>
      <w:r>
        <w:rPr>
          <w:rFonts w:hint="eastAsia" w:ascii="宋体" w:hAnsi="宋体" w:cs="宋体"/>
          <w:sz w:val="24"/>
        </w:rPr>
        <w:t>（21）审查施工承包人提交的竣工结算申请并报甲方；</w:t>
      </w:r>
    </w:p>
    <w:p>
      <w:pPr>
        <w:spacing w:line="360" w:lineRule="auto"/>
        <w:ind w:firstLine="480" w:firstLineChars="200"/>
        <w:jc w:val="left"/>
        <w:rPr>
          <w:rFonts w:ascii="宋体" w:hAnsi="宋体" w:cs="宋体"/>
          <w:sz w:val="24"/>
        </w:rPr>
      </w:pPr>
      <w:r>
        <w:rPr>
          <w:rFonts w:hint="eastAsia" w:ascii="宋体" w:hAnsi="宋体" w:cs="宋体"/>
          <w:sz w:val="24"/>
        </w:rPr>
        <w:t>（22）编制、整理工程监理归档文件并报甲方。</w:t>
      </w:r>
    </w:p>
    <w:p>
      <w:pPr>
        <w:spacing w:line="360" w:lineRule="auto"/>
        <w:ind w:firstLine="480" w:firstLineChars="200"/>
        <w:jc w:val="left"/>
        <w:rPr>
          <w:rFonts w:ascii="宋体" w:hAnsi="宋体" w:cs="宋体"/>
          <w:sz w:val="24"/>
        </w:rPr>
      </w:pPr>
      <w:r>
        <w:rPr>
          <w:rFonts w:hint="eastAsia" w:ascii="宋体" w:hAnsi="宋体" w:cs="宋体"/>
          <w:sz w:val="24"/>
        </w:rPr>
        <w:t>2.2 监理与相关服务依据</w:t>
      </w:r>
    </w:p>
    <w:p>
      <w:pPr>
        <w:spacing w:line="360" w:lineRule="auto"/>
        <w:ind w:firstLine="480" w:firstLineChars="200"/>
        <w:jc w:val="left"/>
        <w:rPr>
          <w:rFonts w:ascii="宋体" w:hAnsi="宋体" w:cs="宋体"/>
          <w:sz w:val="24"/>
        </w:rPr>
      </w:pPr>
      <w:r>
        <w:rPr>
          <w:rFonts w:hint="eastAsia" w:ascii="宋体" w:hAnsi="宋体" w:cs="宋体"/>
          <w:sz w:val="24"/>
        </w:rPr>
        <w:t>2.2.1 监理依据包括：</w:t>
      </w:r>
    </w:p>
    <w:p>
      <w:pPr>
        <w:spacing w:line="360" w:lineRule="auto"/>
        <w:ind w:firstLine="480" w:firstLineChars="200"/>
        <w:jc w:val="left"/>
        <w:rPr>
          <w:rFonts w:ascii="宋体" w:hAnsi="宋体" w:cs="宋体"/>
          <w:sz w:val="24"/>
        </w:rPr>
      </w:pPr>
      <w:r>
        <w:rPr>
          <w:rFonts w:hint="eastAsia" w:ascii="宋体" w:hAnsi="宋体" w:cs="宋体"/>
          <w:sz w:val="24"/>
        </w:rPr>
        <w:t>（1）适用的法律、行政法规及部门规章；</w:t>
      </w:r>
    </w:p>
    <w:p>
      <w:pPr>
        <w:spacing w:line="360" w:lineRule="auto"/>
        <w:ind w:firstLine="480" w:firstLineChars="200"/>
        <w:jc w:val="left"/>
        <w:rPr>
          <w:rFonts w:ascii="宋体" w:hAnsi="宋体" w:cs="宋体"/>
          <w:sz w:val="24"/>
        </w:rPr>
      </w:pPr>
      <w:r>
        <w:rPr>
          <w:rFonts w:hint="eastAsia" w:ascii="宋体" w:hAnsi="宋体" w:cs="宋体"/>
          <w:sz w:val="24"/>
        </w:rPr>
        <w:t>（2）与工程有关的标准；</w:t>
      </w:r>
    </w:p>
    <w:p>
      <w:pPr>
        <w:spacing w:line="360" w:lineRule="auto"/>
        <w:ind w:firstLine="480" w:firstLineChars="200"/>
        <w:jc w:val="left"/>
        <w:rPr>
          <w:rFonts w:ascii="宋体" w:hAnsi="宋体" w:cs="宋体"/>
          <w:sz w:val="24"/>
        </w:rPr>
      </w:pPr>
      <w:r>
        <w:rPr>
          <w:rFonts w:hint="eastAsia" w:ascii="宋体" w:hAnsi="宋体" w:cs="宋体"/>
          <w:sz w:val="24"/>
        </w:rPr>
        <w:t>（3）工程设计及有关文件；</w:t>
      </w:r>
    </w:p>
    <w:p>
      <w:pPr>
        <w:spacing w:line="360" w:lineRule="auto"/>
        <w:ind w:firstLine="480" w:firstLineChars="200"/>
        <w:jc w:val="left"/>
        <w:rPr>
          <w:rFonts w:ascii="宋体" w:hAnsi="宋体" w:cs="宋体"/>
          <w:sz w:val="24"/>
        </w:rPr>
      </w:pPr>
      <w:r>
        <w:rPr>
          <w:rFonts w:hint="eastAsia" w:ascii="宋体" w:hAnsi="宋体" w:cs="宋体"/>
          <w:sz w:val="24"/>
        </w:rPr>
        <w:t>（4）本合同及甲方与第三方签订的与实施工程有关的其他合同。</w:t>
      </w:r>
    </w:p>
    <w:p>
      <w:pPr>
        <w:spacing w:line="360" w:lineRule="auto"/>
        <w:ind w:firstLine="480" w:firstLineChars="200"/>
        <w:jc w:val="left"/>
        <w:rPr>
          <w:rFonts w:ascii="宋体" w:hAnsi="宋体" w:cs="宋体"/>
          <w:sz w:val="24"/>
        </w:rPr>
      </w:pPr>
      <w:r>
        <w:rPr>
          <w:rFonts w:hint="eastAsia" w:ascii="宋体" w:hAnsi="宋体" w:cs="宋体"/>
          <w:sz w:val="24"/>
        </w:rPr>
        <w:t>双方根据工程的行业和地域特点，在专用条件中具体约定监理依据。</w:t>
      </w:r>
    </w:p>
    <w:p>
      <w:pPr>
        <w:spacing w:line="360" w:lineRule="auto"/>
        <w:ind w:firstLine="480" w:firstLineChars="200"/>
        <w:jc w:val="left"/>
        <w:rPr>
          <w:rFonts w:ascii="宋体" w:hAnsi="宋体" w:cs="宋体"/>
        </w:rPr>
      </w:pPr>
      <w:r>
        <w:rPr>
          <w:rFonts w:hint="eastAsia" w:ascii="宋体" w:hAnsi="宋体" w:cs="宋体"/>
          <w:sz w:val="24"/>
        </w:rPr>
        <w:t>2.2.2 相关服务依据在专用条件中约定。</w:t>
      </w:r>
    </w:p>
    <w:p>
      <w:pPr>
        <w:spacing w:line="360" w:lineRule="auto"/>
        <w:ind w:firstLine="480" w:firstLineChars="200"/>
        <w:jc w:val="left"/>
        <w:rPr>
          <w:rFonts w:ascii="宋体" w:hAnsi="宋体" w:cs="宋体"/>
          <w:sz w:val="24"/>
        </w:rPr>
      </w:pPr>
      <w:r>
        <w:rPr>
          <w:rFonts w:hint="eastAsia" w:ascii="宋体" w:hAnsi="宋体" w:cs="宋体"/>
          <w:sz w:val="24"/>
        </w:rPr>
        <w:t>2.3项目监理机构和人员</w:t>
      </w:r>
    </w:p>
    <w:p>
      <w:pPr>
        <w:spacing w:line="360" w:lineRule="auto"/>
        <w:ind w:firstLine="480" w:firstLineChars="200"/>
        <w:jc w:val="left"/>
        <w:rPr>
          <w:rFonts w:ascii="宋体" w:hAnsi="宋体" w:cs="宋体"/>
          <w:sz w:val="24"/>
        </w:rPr>
      </w:pPr>
      <w:r>
        <w:rPr>
          <w:rFonts w:hint="eastAsia" w:ascii="宋体" w:hAnsi="宋体" w:cs="宋体"/>
          <w:sz w:val="24"/>
        </w:rPr>
        <w:t>（1）乙方应组建满足工作需要的项目监理机构，配备必要的检测设备。项目监理机构的主要人员应具有相应的资格条件。</w:t>
      </w:r>
    </w:p>
    <w:p>
      <w:pPr>
        <w:spacing w:line="360" w:lineRule="auto"/>
        <w:ind w:firstLine="480" w:firstLineChars="200"/>
        <w:jc w:val="left"/>
        <w:rPr>
          <w:rFonts w:ascii="宋体" w:hAnsi="宋体" w:cs="宋体"/>
          <w:sz w:val="24"/>
        </w:rPr>
      </w:pPr>
      <w:r>
        <w:rPr>
          <w:rFonts w:hint="eastAsia" w:ascii="宋体" w:hAnsi="宋体" w:cs="宋体"/>
          <w:sz w:val="24"/>
        </w:rPr>
        <w:t>（2）本合同履行过程中，总监理工程师及重要岗位人员应保持相对稳定，以保证监理工作正常进行。</w:t>
      </w:r>
    </w:p>
    <w:p>
      <w:pPr>
        <w:spacing w:line="360" w:lineRule="auto"/>
        <w:ind w:firstLine="480" w:firstLineChars="200"/>
        <w:jc w:val="left"/>
        <w:rPr>
          <w:rFonts w:ascii="宋体" w:hAnsi="宋体" w:cs="宋体"/>
          <w:sz w:val="24"/>
        </w:rPr>
      </w:pPr>
      <w:r>
        <w:rPr>
          <w:rFonts w:hint="eastAsia" w:ascii="宋体" w:hAnsi="宋体" w:cs="宋体"/>
          <w:sz w:val="24"/>
        </w:rPr>
        <w:t>（3）乙方可根据工程进展和工作需要调整项目监理机构人员。乙方更换总监理工程师时，应提前7日向甲方书面报告，经甲方同意后方可更换；乙方更换项目监理机构其他乙方人员，应以相当资质与能力的人员替换，并通知甲方。</w:t>
      </w:r>
    </w:p>
    <w:p>
      <w:pPr>
        <w:spacing w:line="360" w:lineRule="auto"/>
        <w:ind w:firstLine="480" w:firstLineChars="200"/>
        <w:jc w:val="left"/>
        <w:rPr>
          <w:rFonts w:ascii="宋体" w:hAnsi="宋体" w:cs="宋体"/>
          <w:sz w:val="24"/>
        </w:rPr>
      </w:pPr>
      <w:r>
        <w:rPr>
          <w:rFonts w:hint="eastAsia" w:ascii="宋体" w:hAnsi="宋体" w:cs="宋体"/>
          <w:sz w:val="24"/>
        </w:rPr>
        <w:t>（4） 乙方应及时更换有下列情形之一的乙方人员：</w:t>
      </w:r>
    </w:p>
    <w:p>
      <w:pPr>
        <w:spacing w:line="360" w:lineRule="auto"/>
        <w:ind w:firstLine="720" w:firstLineChars="300"/>
        <w:jc w:val="left"/>
        <w:rPr>
          <w:rFonts w:ascii="宋体" w:hAnsi="宋体" w:cs="宋体"/>
          <w:sz w:val="24"/>
        </w:rPr>
      </w:pPr>
      <w:r>
        <w:rPr>
          <w:rFonts w:hint="eastAsia" w:ascii="宋体" w:hAnsi="宋体" w:cs="宋体"/>
          <w:sz w:val="24"/>
        </w:rPr>
        <w:t>①严重过失行为的；</w:t>
      </w:r>
    </w:p>
    <w:p>
      <w:pPr>
        <w:spacing w:line="360" w:lineRule="auto"/>
        <w:ind w:firstLine="720" w:firstLineChars="300"/>
        <w:jc w:val="left"/>
        <w:rPr>
          <w:rFonts w:ascii="宋体" w:hAnsi="宋体" w:cs="宋体"/>
          <w:sz w:val="24"/>
        </w:rPr>
      </w:pPr>
      <w:r>
        <w:rPr>
          <w:rFonts w:hint="eastAsia" w:ascii="宋体" w:hAnsi="宋体" w:cs="宋体"/>
          <w:sz w:val="24"/>
        </w:rPr>
        <w:t>②有违法行为不能履行职责的；</w:t>
      </w:r>
    </w:p>
    <w:p>
      <w:pPr>
        <w:spacing w:line="360" w:lineRule="auto"/>
        <w:ind w:firstLine="720" w:firstLineChars="300"/>
        <w:jc w:val="left"/>
        <w:rPr>
          <w:rFonts w:ascii="宋体" w:hAnsi="宋体" w:cs="宋体"/>
          <w:sz w:val="24"/>
        </w:rPr>
      </w:pPr>
      <w:r>
        <w:rPr>
          <w:rFonts w:hint="eastAsia" w:ascii="宋体" w:hAnsi="宋体" w:cs="宋体"/>
          <w:sz w:val="24"/>
        </w:rPr>
        <w:t>③涉嫌犯罪的；</w:t>
      </w:r>
    </w:p>
    <w:p>
      <w:pPr>
        <w:spacing w:line="360" w:lineRule="auto"/>
        <w:ind w:firstLine="720" w:firstLineChars="300"/>
        <w:jc w:val="left"/>
        <w:rPr>
          <w:rFonts w:ascii="宋体" w:hAnsi="宋体" w:cs="宋体"/>
          <w:sz w:val="24"/>
        </w:rPr>
      </w:pPr>
      <w:r>
        <w:rPr>
          <w:rFonts w:hint="eastAsia" w:ascii="宋体" w:hAnsi="宋体" w:cs="宋体"/>
          <w:sz w:val="24"/>
        </w:rPr>
        <w:t>④不能胜任岗位职责的；</w:t>
      </w:r>
    </w:p>
    <w:p>
      <w:pPr>
        <w:spacing w:line="360" w:lineRule="auto"/>
        <w:ind w:firstLine="720" w:firstLineChars="300"/>
        <w:jc w:val="left"/>
        <w:rPr>
          <w:rFonts w:ascii="宋体" w:hAnsi="宋体" w:cs="宋体"/>
          <w:sz w:val="24"/>
        </w:rPr>
      </w:pPr>
      <w:r>
        <w:rPr>
          <w:rFonts w:hint="eastAsia" w:ascii="宋体" w:hAnsi="宋体" w:cs="宋体"/>
          <w:sz w:val="24"/>
        </w:rPr>
        <w:t>⑤严重违反职业道德的；</w:t>
      </w:r>
    </w:p>
    <w:p>
      <w:pPr>
        <w:spacing w:line="360" w:lineRule="auto"/>
        <w:ind w:firstLine="720" w:firstLineChars="300"/>
        <w:jc w:val="left"/>
        <w:rPr>
          <w:rFonts w:ascii="宋体" w:hAnsi="宋体" w:cs="宋体"/>
          <w:sz w:val="24"/>
        </w:rPr>
      </w:pPr>
      <w:r>
        <w:rPr>
          <w:rFonts w:hint="eastAsia" w:ascii="宋体" w:hAnsi="宋体" w:cs="宋体"/>
          <w:sz w:val="24"/>
        </w:rPr>
        <w:t>⑥专用条件约定的其他情形。</w:t>
      </w:r>
    </w:p>
    <w:p>
      <w:pPr>
        <w:spacing w:line="360" w:lineRule="auto"/>
        <w:ind w:firstLine="480" w:firstLineChars="200"/>
        <w:jc w:val="left"/>
        <w:rPr>
          <w:rFonts w:ascii="宋体" w:hAnsi="宋体" w:cs="宋体"/>
          <w:sz w:val="24"/>
        </w:rPr>
      </w:pPr>
      <w:r>
        <w:rPr>
          <w:rFonts w:hint="eastAsia" w:ascii="宋体" w:hAnsi="宋体" w:cs="宋体"/>
          <w:sz w:val="24"/>
        </w:rPr>
        <w:t>（5）甲方在可提供充分材料证明乙方监理人员不能胜任本职工作的情况下，可要求乙方更换相关项目监理机构人员。</w:t>
      </w:r>
    </w:p>
    <w:p>
      <w:pPr>
        <w:spacing w:line="360" w:lineRule="auto"/>
        <w:ind w:firstLine="480" w:firstLineChars="200"/>
        <w:jc w:val="left"/>
        <w:rPr>
          <w:rFonts w:ascii="宋体" w:hAnsi="宋体" w:cs="宋体"/>
          <w:sz w:val="24"/>
        </w:rPr>
      </w:pPr>
      <w:r>
        <w:rPr>
          <w:rFonts w:hint="eastAsia" w:ascii="宋体" w:hAnsi="宋体" w:cs="宋体"/>
          <w:sz w:val="24"/>
        </w:rPr>
        <w:t>2.4 履行职责</w:t>
      </w:r>
    </w:p>
    <w:p>
      <w:pPr>
        <w:spacing w:line="360" w:lineRule="auto"/>
        <w:ind w:firstLine="480" w:firstLineChars="200"/>
        <w:jc w:val="left"/>
        <w:rPr>
          <w:rFonts w:ascii="宋体" w:hAnsi="宋体" w:cs="宋体"/>
          <w:sz w:val="24"/>
        </w:rPr>
      </w:pPr>
      <w:r>
        <w:rPr>
          <w:rFonts w:hint="eastAsia" w:ascii="宋体" w:hAnsi="宋体" w:cs="宋体"/>
          <w:sz w:val="24"/>
        </w:rPr>
        <w:t>乙方应遵循职业道德准则和行为规范，严格按照法律法规、工程建设有关标准及本合同履行职责。</w:t>
      </w:r>
    </w:p>
    <w:p>
      <w:pPr>
        <w:spacing w:line="360" w:lineRule="auto"/>
        <w:ind w:firstLine="480" w:firstLineChars="200"/>
        <w:jc w:val="left"/>
        <w:rPr>
          <w:rFonts w:ascii="宋体" w:hAnsi="宋体" w:cs="宋体"/>
          <w:sz w:val="24"/>
        </w:rPr>
      </w:pPr>
      <w:r>
        <w:rPr>
          <w:rFonts w:hint="eastAsia" w:ascii="宋体" w:hAnsi="宋体" w:cs="宋体"/>
          <w:sz w:val="24"/>
        </w:rPr>
        <w:t>（1）在监理与相关服务范围内，甲方和承包人提出的意见和要求，乙方应及时提出处理意见。当甲方与承包人之间发生合同争议时，乙方应协助甲方、承包人协商解决。</w:t>
      </w:r>
    </w:p>
    <w:p>
      <w:pPr>
        <w:spacing w:line="360" w:lineRule="auto"/>
        <w:ind w:firstLine="480" w:firstLineChars="200"/>
        <w:jc w:val="left"/>
        <w:rPr>
          <w:rFonts w:ascii="宋体" w:hAnsi="宋体" w:cs="宋体"/>
          <w:sz w:val="24"/>
        </w:rPr>
      </w:pPr>
      <w:r>
        <w:rPr>
          <w:rFonts w:hint="eastAsia" w:ascii="宋体" w:hAnsi="宋体" w:cs="宋体"/>
          <w:sz w:val="24"/>
        </w:rPr>
        <w:t>（2）当甲方与承包人之间的合同争议提交仲裁机构仲裁或人民法院审理时，乙方应配合甲方提供必要的证明资料。</w:t>
      </w:r>
    </w:p>
    <w:p>
      <w:pPr>
        <w:spacing w:line="360" w:lineRule="auto"/>
        <w:ind w:firstLine="480" w:firstLineChars="200"/>
        <w:jc w:val="left"/>
        <w:rPr>
          <w:rFonts w:ascii="宋体" w:hAnsi="宋体" w:cs="宋体"/>
          <w:sz w:val="24"/>
        </w:rPr>
      </w:pPr>
      <w:r>
        <w:rPr>
          <w:rFonts w:hint="eastAsia" w:ascii="宋体" w:hAnsi="宋体" w:cs="宋体"/>
          <w:sz w:val="24"/>
        </w:rPr>
        <w:t>（3）乙方下述约定的授权范围内，处理甲方与承包人所签订合同的变更事宜。如果变更超过授权范围，应以书面形式报甲方批准。</w:t>
      </w:r>
    </w:p>
    <w:p>
      <w:pPr>
        <w:spacing w:line="360" w:lineRule="auto"/>
        <w:ind w:firstLine="480" w:firstLineChars="200"/>
        <w:jc w:val="left"/>
        <w:rPr>
          <w:rFonts w:ascii="宋体" w:hAnsi="宋体" w:cs="宋体"/>
          <w:sz w:val="24"/>
        </w:rPr>
      </w:pPr>
      <w:r>
        <w:rPr>
          <w:rFonts w:hint="eastAsia" w:ascii="宋体" w:hAnsi="宋体" w:cs="宋体"/>
          <w:sz w:val="24"/>
        </w:rPr>
        <w:t>①在紧急情况下，为了保护财产和人身安全，乙方所发出的指令未能事先报甲方批准时，应在发出指令后的24小时内以书面形式报甲方。</w:t>
      </w:r>
    </w:p>
    <w:p>
      <w:pPr>
        <w:spacing w:line="360" w:lineRule="auto"/>
        <w:ind w:firstLine="480" w:firstLineChars="200"/>
        <w:jc w:val="left"/>
        <w:rPr>
          <w:rFonts w:ascii="宋体" w:hAnsi="宋体" w:cs="宋体"/>
          <w:sz w:val="24"/>
        </w:rPr>
      </w:pPr>
      <w:r>
        <w:rPr>
          <w:rFonts w:hint="eastAsia" w:ascii="宋体" w:hAnsi="宋体" w:cs="宋体"/>
          <w:sz w:val="24"/>
        </w:rPr>
        <w:t>②对乙方的授权范围：凡涉及工程变更、工程量增减、议价、索赔、处理事故、改变工期、改变技术标准、改变重大施工方案等及一切有关费用的问题，均需与甲方共同商定，报甲方批准。</w:t>
      </w:r>
    </w:p>
    <w:p>
      <w:pPr>
        <w:spacing w:line="360" w:lineRule="auto"/>
        <w:ind w:firstLine="480" w:firstLineChars="200"/>
        <w:jc w:val="left"/>
        <w:rPr>
          <w:rFonts w:ascii="宋体" w:hAnsi="宋体" w:cs="宋体"/>
          <w:sz w:val="24"/>
        </w:rPr>
      </w:pPr>
      <w:r>
        <w:rPr>
          <w:rFonts w:hint="eastAsia" w:ascii="宋体" w:hAnsi="宋体" w:cs="宋体"/>
          <w:sz w:val="24"/>
        </w:rPr>
        <w:t>（6）除专项条款另有约定外，乙方发现承包人的人员不能胜任本职工作的，有权要求承包人予以调换。</w:t>
      </w:r>
    </w:p>
    <w:p>
      <w:pPr>
        <w:spacing w:line="360" w:lineRule="auto"/>
        <w:ind w:firstLine="480" w:firstLineChars="200"/>
        <w:jc w:val="left"/>
        <w:rPr>
          <w:rFonts w:ascii="宋体" w:hAnsi="宋体" w:cs="宋体"/>
          <w:sz w:val="24"/>
        </w:rPr>
      </w:pPr>
      <w:r>
        <w:rPr>
          <w:rFonts w:hint="eastAsia" w:ascii="宋体" w:hAnsi="宋体" w:cs="宋体"/>
          <w:sz w:val="24"/>
        </w:rPr>
        <w:t>（7）提交报告</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乙方应提交报告的种类(包括监理规划、监理月报)、要求、时间和份数：施工期间每月30日前提交监理月报</w:t>
      </w:r>
      <w:r>
        <w:rPr>
          <w:rFonts w:hint="eastAsia" w:ascii="宋体" w:hAnsi="宋体" w:cs="宋体"/>
          <w:sz w:val="24"/>
          <w:u w:val="single"/>
        </w:rPr>
        <w:t xml:space="preserve">  1  </w:t>
      </w:r>
      <w:r>
        <w:rPr>
          <w:rFonts w:hint="eastAsia" w:ascii="宋体" w:hAnsi="宋体" w:cs="宋体"/>
          <w:sz w:val="24"/>
        </w:rPr>
        <w:t>份 。</w:t>
      </w:r>
    </w:p>
    <w:p>
      <w:pPr>
        <w:spacing w:line="360" w:lineRule="auto"/>
        <w:ind w:firstLine="480" w:firstLineChars="200"/>
        <w:jc w:val="left"/>
        <w:rPr>
          <w:rFonts w:ascii="宋体" w:hAnsi="宋体" w:cs="宋体"/>
          <w:sz w:val="24"/>
        </w:rPr>
      </w:pPr>
      <w:r>
        <w:rPr>
          <w:rFonts w:hint="eastAsia" w:ascii="宋体" w:hAnsi="宋体" w:cs="宋体"/>
          <w:sz w:val="24"/>
        </w:rPr>
        <w:t>（8）文件资料</w:t>
      </w:r>
    </w:p>
    <w:p>
      <w:pPr>
        <w:spacing w:line="360" w:lineRule="auto"/>
        <w:ind w:firstLine="480" w:firstLineChars="200"/>
        <w:jc w:val="left"/>
        <w:rPr>
          <w:rFonts w:ascii="宋体" w:hAnsi="宋体" w:cs="宋体"/>
          <w:sz w:val="24"/>
        </w:rPr>
      </w:pPr>
      <w:r>
        <w:rPr>
          <w:rFonts w:hint="eastAsia" w:ascii="宋体" w:hAnsi="宋体" w:cs="宋体"/>
          <w:sz w:val="24"/>
        </w:rPr>
        <w:t>在本合同履行期内，乙方应在现场保留工作所用的图纸、报告及记录监理工作的相关文件。工程竣工后，应当按照档案管理规定将监理有关文件归档。</w:t>
      </w:r>
    </w:p>
    <w:p>
      <w:pPr>
        <w:spacing w:line="360" w:lineRule="auto"/>
        <w:ind w:firstLine="480" w:firstLineChars="200"/>
        <w:jc w:val="left"/>
        <w:rPr>
          <w:rFonts w:ascii="宋体" w:hAnsi="宋体" w:cs="宋体"/>
          <w:sz w:val="24"/>
        </w:rPr>
      </w:pPr>
      <w:r>
        <w:rPr>
          <w:rFonts w:hint="eastAsia" w:ascii="宋体" w:hAnsi="宋体" w:cs="宋体"/>
          <w:sz w:val="24"/>
        </w:rPr>
        <w:t>（9）使用甲方的财产</w:t>
      </w:r>
    </w:p>
    <w:p>
      <w:pPr>
        <w:spacing w:line="360" w:lineRule="auto"/>
        <w:ind w:firstLine="480" w:firstLineChars="200"/>
        <w:jc w:val="left"/>
        <w:rPr>
          <w:rFonts w:ascii="宋体" w:hAnsi="宋体" w:cs="宋体"/>
          <w:sz w:val="24"/>
        </w:rPr>
      </w:pPr>
      <w:r>
        <w:rPr>
          <w:rFonts w:hint="eastAsia" w:ascii="宋体" w:hAnsi="宋体" w:cs="宋体"/>
          <w:sz w:val="24"/>
        </w:rPr>
        <w:t>乙方无偿使用甲方提供的房屋、设备属于甲方的财产，乙方应妥善使用和保管，在本合同终止时将这些房屋、设备的清单及设备返还给甲方。</w:t>
      </w:r>
    </w:p>
    <w:p>
      <w:pPr>
        <w:spacing w:line="360" w:lineRule="auto"/>
        <w:ind w:firstLine="480" w:firstLineChars="200"/>
        <w:jc w:val="left"/>
        <w:rPr>
          <w:rFonts w:ascii="宋体" w:hAnsi="宋体" w:cs="宋体"/>
          <w:sz w:val="24"/>
          <w:u w:val="single"/>
        </w:rPr>
      </w:pPr>
      <w:r>
        <w:rPr>
          <w:rFonts w:hint="eastAsia" w:ascii="宋体" w:hAnsi="宋体" w:cs="宋体"/>
          <w:sz w:val="24"/>
        </w:rPr>
        <w:t>乙方应在本合同终止后7日内移交甲方无偿提供的房屋、设备，移交的时间和方式为：</w:t>
      </w:r>
      <w:r>
        <w:rPr>
          <w:rFonts w:hint="eastAsia" w:ascii="宋体" w:hAnsi="宋体" w:cs="宋体"/>
          <w:sz w:val="24"/>
          <w:u w:val="single"/>
        </w:rPr>
        <w:t>现场移交。</w:t>
      </w:r>
    </w:p>
    <w:p>
      <w:pPr>
        <w:spacing w:line="360" w:lineRule="auto"/>
        <w:outlineLvl w:val="2"/>
        <w:rPr>
          <w:rFonts w:ascii="宋体" w:hAnsi="宋体" w:cs="宋体"/>
          <w:b/>
          <w:sz w:val="24"/>
        </w:rPr>
      </w:pPr>
      <w:r>
        <w:rPr>
          <w:rFonts w:hint="eastAsia" w:ascii="宋体" w:hAnsi="宋体" w:cs="宋体"/>
          <w:b/>
          <w:sz w:val="24"/>
        </w:rPr>
        <w:t>3.甲方的权利</w:t>
      </w:r>
    </w:p>
    <w:p>
      <w:pPr>
        <w:spacing w:line="360" w:lineRule="auto"/>
        <w:ind w:firstLine="480" w:firstLineChars="200"/>
        <w:jc w:val="left"/>
        <w:rPr>
          <w:rFonts w:ascii="宋体" w:hAnsi="宋体" w:cs="宋体"/>
          <w:sz w:val="24"/>
        </w:rPr>
      </w:pPr>
      <w:r>
        <w:rPr>
          <w:rFonts w:hint="eastAsia" w:ascii="宋体" w:hAnsi="宋体" w:cs="宋体"/>
          <w:sz w:val="24"/>
        </w:rPr>
        <w:t>3.1甲方有对工程规模、设计标准、规划设计、生产工艺设计和设计使用功能要求的认定权，以及对工程设计变更的审批权。</w:t>
      </w:r>
    </w:p>
    <w:p>
      <w:pPr>
        <w:spacing w:line="360" w:lineRule="auto"/>
        <w:ind w:firstLine="480" w:firstLineChars="200"/>
        <w:jc w:val="left"/>
        <w:rPr>
          <w:rFonts w:ascii="宋体" w:hAnsi="宋体" w:cs="宋体"/>
          <w:sz w:val="24"/>
        </w:rPr>
      </w:pPr>
      <w:r>
        <w:rPr>
          <w:rFonts w:hint="eastAsia" w:ascii="宋体" w:hAnsi="宋体" w:cs="宋体"/>
          <w:sz w:val="24"/>
        </w:rPr>
        <w:t>3.2乙方调换总监理工程师须事先经甲方同意。</w:t>
      </w:r>
    </w:p>
    <w:p>
      <w:pPr>
        <w:spacing w:line="360" w:lineRule="auto"/>
        <w:ind w:firstLine="480" w:firstLineChars="200"/>
        <w:jc w:val="left"/>
        <w:rPr>
          <w:rFonts w:ascii="宋体" w:hAnsi="宋体" w:cs="宋体"/>
          <w:sz w:val="24"/>
        </w:rPr>
      </w:pPr>
      <w:r>
        <w:rPr>
          <w:rFonts w:hint="eastAsia" w:ascii="宋体" w:hAnsi="宋体" w:cs="宋体"/>
          <w:sz w:val="24"/>
        </w:rPr>
        <w:t>3.3甲方有权要求乙方提交监理工作月报及监理业务范围内的专项报告。</w:t>
      </w:r>
    </w:p>
    <w:p>
      <w:pPr>
        <w:spacing w:line="360" w:lineRule="auto"/>
        <w:ind w:firstLine="480" w:firstLineChars="200"/>
        <w:jc w:val="left"/>
        <w:rPr>
          <w:rFonts w:ascii="宋体" w:hAnsi="宋体" w:cs="宋体"/>
          <w:sz w:val="24"/>
        </w:rPr>
      </w:pPr>
      <w:r>
        <w:rPr>
          <w:rFonts w:hint="eastAsia" w:ascii="宋体" w:hAnsi="宋体" w:cs="宋体"/>
          <w:sz w:val="24"/>
        </w:rPr>
        <w:t>3.4当甲方发现乙方人员不按监理合同履行监理职责，或与承包人串通给甲方或工程造成损失的，甲方有权要求乙方更换监理人员，直到终止合同并要求乙方承担相应的赔偿责任或连带赔偿责任。</w:t>
      </w:r>
    </w:p>
    <w:p>
      <w:pPr>
        <w:spacing w:line="360" w:lineRule="auto"/>
        <w:outlineLvl w:val="2"/>
        <w:rPr>
          <w:rFonts w:ascii="宋体" w:hAnsi="宋体" w:cs="宋体"/>
          <w:b/>
          <w:sz w:val="24"/>
        </w:rPr>
      </w:pPr>
      <w:r>
        <w:rPr>
          <w:rFonts w:hint="eastAsia" w:ascii="宋体" w:hAnsi="宋体" w:cs="宋体"/>
          <w:b/>
          <w:sz w:val="24"/>
        </w:rPr>
        <w:t>4.乙方的权利</w:t>
      </w:r>
    </w:p>
    <w:p>
      <w:pPr>
        <w:spacing w:line="360" w:lineRule="auto"/>
        <w:ind w:firstLine="480" w:firstLineChars="200"/>
        <w:jc w:val="left"/>
        <w:rPr>
          <w:rFonts w:ascii="宋体" w:hAnsi="宋体" w:cs="宋体"/>
          <w:sz w:val="24"/>
        </w:rPr>
      </w:pPr>
      <w:r>
        <w:rPr>
          <w:rFonts w:hint="eastAsia" w:ascii="宋体" w:hAnsi="宋体" w:cs="宋体"/>
          <w:sz w:val="24"/>
        </w:rPr>
        <w:t>4.1经甲方同意选择工程分包设计单位、工程分包人。</w:t>
      </w:r>
    </w:p>
    <w:p>
      <w:pPr>
        <w:spacing w:line="360" w:lineRule="auto"/>
        <w:ind w:firstLine="480" w:firstLineChars="200"/>
        <w:jc w:val="left"/>
        <w:rPr>
          <w:rFonts w:ascii="宋体" w:hAnsi="宋体" w:cs="宋体"/>
          <w:sz w:val="24"/>
        </w:rPr>
      </w:pPr>
      <w:r>
        <w:rPr>
          <w:rFonts w:hint="eastAsia" w:ascii="宋体" w:hAnsi="宋体" w:cs="宋体"/>
          <w:sz w:val="24"/>
        </w:rPr>
        <w:t>4.2对工程建设有关事项包括工程规模、设计标准、规划设计、生产工艺设计和使用功能要求，向甲方的建议权。</w:t>
      </w:r>
    </w:p>
    <w:p>
      <w:pPr>
        <w:spacing w:line="360" w:lineRule="auto"/>
        <w:ind w:firstLine="480" w:firstLineChars="200"/>
        <w:jc w:val="left"/>
        <w:rPr>
          <w:rFonts w:ascii="宋体" w:hAnsi="宋体" w:cs="宋体"/>
          <w:sz w:val="24"/>
        </w:rPr>
      </w:pPr>
      <w:r>
        <w:rPr>
          <w:rFonts w:hint="eastAsia" w:ascii="宋体" w:hAnsi="宋体" w:cs="宋体"/>
          <w:sz w:val="24"/>
        </w:rPr>
        <w:t>4.3对工程设计中的技术问题，按照安全和优化的原则，向设计人提出建议；如果拟提出的建议可能会提高工程造价，或延长工期，应当事先征得甲方的同意。当发现工程设计不符合国家颁布的建设工程质量标准或设计合同约定的质量标准时，乙方应当书面报告甲方并要求设计人更正。</w:t>
      </w:r>
    </w:p>
    <w:p>
      <w:pPr>
        <w:spacing w:line="360" w:lineRule="auto"/>
        <w:ind w:firstLine="480" w:firstLineChars="200"/>
        <w:jc w:val="left"/>
        <w:rPr>
          <w:rFonts w:ascii="宋体" w:hAnsi="宋体" w:cs="宋体"/>
          <w:sz w:val="24"/>
        </w:rPr>
      </w:pPr>
      <w:r>
        <w:rPr>
          <w:rFonts w:hint="eastAsia" w:ascii="宋体" w:hAnsi="宋体" w:cs="宋体"/>
          <w:sz w:val="24"/>
        </w:rPr>
        <w:t>4.4审批工程施工组织设计和技术方案，按照保质量、保工期和降低成本的原则，向承包人提出建议，并向甲方提出书面报告；如果由于拟提出的建议会提高工程造价、延长工期，应当事先取得甲方的同意。</w:t>
      </w:r>
    </w:p>
    <w:p>
      <w:pPr>
        <w:spacing w:line="360" w:lineRule="auto"/>
        <w:ind w:firstLine="480" w:firstLineChars="200"/>
        <w:jc w:val="left"/>
        <w:rPr>
          <w:rFonts w:ascii="宋体" w:hAnsi="宋体" w:cs="宋体"/>
          <w:sz w:val="24"/>
        </w:rPr>
      </w:pPr>
      <w:r>
        <w:rPr>
          <w:rFonts w:hint="eastAsia" w:ascii="宋体" w:hAnsi="宋体" w:cs="宋体"/>
          <w:sz w:val="24"/>
        </w:rPr>
        <w:t>4.5主持工程建设有关协作单位的组织协调，重要协调事项应当事先向甲方报告。</w:t>
      </w:r>
    </w:p>
    <w:p>
      <w:pPr>
        <w:spacing w:line="360" w:lineRule="auto"/>
        <w:ind w:firstLine="480" w:firstLineChars="200"/>
        <w:jc w:val="left"/>
        <w:rPr>
          <w:rFonts w:ascii="宋体" w:hAnsi="宋体" w:cs="宋体"/>
          <w:sz w:val="24"/>
        </w:rPr>
      </w:pPr>
      <w:r>
        <w:rPr>
          <w:rFonts w:hint="eastAsia" w:ascii="宋体" w:hAnsi="宋体" w:cs="宋体"/>
          <w:sz w:val="24"/>
        </w:rPr>
        <w:t>4.6征得甲方同意，乙方有权发布开工令、停工令、复工令，但应当事先向甲方报告。如在紧急情况下未能事先报告时，则应在24小时内向甲方做出书面报告。</w:t>
      </w:r>
    </w:p>
    <w:p>
      <w:pPr>
        <w:spacing w:line="360" w:lineRule="auto"/>
        <w:ind w:firstLine="480" w:firstLineChars="200"/>
        <w:jc w:val="left"/>
        <w:rPr>
          <w:rFonts w:ascii="宋体" w:hAnsi="宋体" w:cs="宋体"/>
          <w:sz w:val="24"/>
        </w:rPr>
      </w:pPr>
      <w:r>
        <w:rPr>
          <w:rFonts w:hint="eastAsia" w:ascii="宋体" w:hAnsi="宋体" w:cs="宋体"/>
          <w:sz w:val="24"/>
        </w:rPr>
        <w:t>4.7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auto"/>
        <w:ind w:firstLine="480" w:firstLineChars="200"/>
        <w:jc w:val="left"/>
        <w:rPr>
          <w:rFonts w:ascii="宋体" w:hAnsi="宋体" w:cs="宋体"/>
          <w:sz w:val="24"/>
        </w:rPr>
      </w:pPr>
      <w:r>
        <w:rPr>
          <w:rFonts w:hint="eastAsia" w:ascii="宋体" w:hAnsi="宋体" w:cs="宋体"/>
          <w:sz w:val="24"/>
        </w:rPr>
        <w:t>4.8工程施工进度的检查、监督权，以及工程实际竣工日期提前或超过工程施工合同规定的竣工期限的签认权。</w:t>
      </w:r>
    </w:p>
    <w:p>
      <w:pPr>
        <w:spacing w:line="360" w:lineRule="auto"/>
        <w:ind w:firstLine="480" w:firstLineChars="200"/>
        <w:jc w:val="left"/>
        <w:rPr>
          <w:rFonts w:ascii="宋体" w:hAnsi="宋体" w:cs="宋体"/>
          <w:sz w:val="24"/>
        </w:rPr>
      </w:pPr>
      <w:r>
        <w:rPr>
          <w:rFonts w:hint="eastAsia" w:ascii="宋体" w:hAnsi="宋体" w:cs="宋体"/>
          <w:sz w:val="24"/>
        </w:rPr>
        <w:t>4.9在工程施工合同约定的工程价格范围内，工程款支付的审核和签认权，以及工程结算的复核确认权与否决权。未经总监理工程师签字确认，甲方不支付工程款。</w:t>
      </w:r>
    </w:p>
    <w:p>
      <w:pPr>
        <w:spacing w:line="360" w:lineRule="auto"/>
        <w:jc w:val="left"/>
        <w:outlineLvl w:val="1"/>
        <w:rPr>
          <w:rFonts w:ascii="宋体" w:hAnsi="宋体" w:cs="宋体"/>
          <w:b/>
          <w:sz w:val="24"/>
        </w:rPr>
      </w:pPr>
      <w:bookmarkStart w:id="259" w:name="_Toc111036405"/>
      <w:r>
        <w:rPr>
          <w:rFonts w:hint="eastAsia" w:ascii="宋体" w:hAnsi="宋体" w:cs="宋体"/>
          <w:b/>
          <w:sz w:val="24"/>
        </w:rPr>
        <w:t>二、专项条款</w:t>
      </w:r>
      <w:bookmarkEnd w:id="259"/>
    </w:p>
    <w:p>
      <w:pPr>
        <w:spacing w:line="360" w:lineRule="auto"/>
        <w:rPr>
          <w:rFonts w:ascii="宋体" w:hAnsi="宋体" w:cs="宋体"/>
          <w:b/>
          <w:sz w:val="24"/>
        </w:rPr>
      </w:pPr>
      <w:r>
        <w:rPr>
          <w:rFonts w:hint="eastAsia" w:ascii="宋体" w:hAnsi="宋体" w:cs="宋体"/>
          <w:b/>
          <w:sz w:val="24"/>
        </w:rPr>
        <w:t>5.监理依据包括：</w:t>
      </w:r>
    </w:p>
    <w:p>
      <w:pPr>
        <w:spacing w:line="360" w:lineRule="auto"/>
        <w:ind w:firstLine="480" w:firstLineChars="200"/>
        <w:rPr>
          <w:rFonts w:ascii="宋体" w:hAnsi="宋体" w:cs="宋体"/>
          <w:sz w:val="24"/>
        </w:rPr>
      </w:pPr>
      <w:r>
        <w:rPr>
          <w:rFonts w:hint="eastAsia" w:ascii="宋体" w:hAnsi="宋体" w:cs="宋体"/>
          <w:sz w:val="24"/>
        </w:rPr>
        <w:t>(1)国家和地方现行的有关工程建设及建设监理的法律、法规、规范性文件、技术规范及标准。</w:t>
      </w:r>
    </w:p>
    <w:p>
      <w:pPr>
        <w:spacing w:line="360" w:lineRule="auto"/>
        <w:ind w:firstLine="480" w:firstLineChars="200"/>
        <w:rPr>
          <w:rFonts w:ascii="宋体" w:hAnsi="宋体" w:cs="宋体"/>
          <w:sz w:val="24"/>
        </w:rPr>
      </w:pPr>
      <w:r>
        <w:rPr>
          <w:rFonts w:hint="eastAsia" w:ascii="宋体" w:hAnsi="宋体" w:cs="宋体"/>
          <w:sz w:val="24"/>
        </w:rPr>
        <w:t>(2)《建设工程监理规范》（GB/T50319—2013）。</w:t>
      </w:r>
    </w:p>
    <w:p>
      <w:pPr>
        <w:spacing w:line="360" w:lineRule="auto"/>
        <w:ind w:firstLine="480" w:firstLineChars="200"/>
        <w:rPr>
          <w:rFonts w:ascii="宋体" w:hAnsi="宋体" w:cs="宋体"/>
          <w:sz w:val="24"/>
        </w:rPr>
      </w:pPr>
      <w:r>
        <w:rPr>
          <w:rFonts w:hint="eastAsia" w:ascii="宋体" w:hAnsi="宋体" w:cs="宋体"/>
          <w:sz w:val="24"/>
        </w:rPr>
        <w:t>(3)国家和地方现行的建设工程质量评定标准、设计及施工验收规范。</w:t>
      </w:r>
    </w:p>
    <w:p>
      <w:pPr>
        <w:spacing w:line="360" w:lineRule="auto"/>
        <w:ind w:firstLine="480" w:firstLineChars="200"/>
        <w:rPr>
          <w:rFonts w:ascii="宋体" w:hAnsi="宋体" w:cs="宋体"/>
          <w:sz w:val="24"/>
        </w:rPr>
      </w:pPr>
      <w:r>
        <w:rPr>
          <w:rFonts w:hint="eastAsia" w:ascii="宋体" w:hAnsi="宋体" w:cs="宋体"/>
          <w:sz w:val="24"/>
        </w:rPr>
        <w:t>(4)政府批准的计划立项、规划要点、设计要点及有关文件。</w:t>
      </w:r>
    </w:p>
    <w:p>
      <w:pPr>
        <w:spacing w:line="360" w:lineRule="auto"/>
        <w:ind w:firstLine="480" w:firstLineChars="200"/>
        <w:rPr>
          <w:rFonts w:ascii="宋体" w:hAnsi="宋体" w:cs="宋体"/>
          <w:sz w:val="24"/>
        </w:rPr>
      </w:pPr>
      <w:r>
        <w:rPr>
          <w:rFonts w:hint="eastAsia" w:ascii="宋体" w:hAnsi="宋体" w:cs="宋体"/>
          <w:sz w:val="24"/>
        </w:rPr>
        <w:t>(5)经批准的施工图纸及说明，以及经图纸会审确定的修改设计通知书。</w:t>
      </w:r>
    </w:p>
    <w:p>
      <w:pPr>
        <w:spacing w:line="360" w:lineRule="auto"/>
        <w:ind w:firstLine="480" w:firstLineChars="200"/>
        <w:rPr>
          <w:rFonts w:ascii="宋体" w:hAnsi="宋体" w:cs="宋体"/>
          <w:sz w:val="24"/>
        </w:rPr>
      </w:pPr>
      <w:r>
        <w:rPr>
          <w:rFonts w:hint="eastAsia" w:ascii="宋体" w:hAnsi="宋体" w:cs="宋体"/>
          <w:sz w:val="24"/>
        </w:rPr>
        <w:t>(6)本工程的设计、施工、安装、招投标文件及合同。</w:t>
      </w:r>
    </w:p>
    <w:p>
      <w:pPr>
        <w:spacing w:line="360" w:lineRule="auto"/>
        <w:ind w:firstLine="480" w:firstLineChars="200"/>
        <w:rPr>
          <w:rFonts w:ascii="宋体" w:hAnsi="宋体" w:cs="宋体"/>
          <w:sz w:val="24"/>
        </w:rPr>
      </w:pPr>
      <w:r>
        <w:rPr>
          <w:rFonts w:hint="eastAsia" w:ascii="宋体" w:hAnsi="宋体" w:cs="宋体"/>
          <w:sz w:val="24"/>
        </w:rPr>
        <w:t>(7)甲方发出的有关本工程建设的指令。</w:t>
      </w:r>
    </w:p>
    <w:p>
      <w:pPr>
        <w:spacing w:line="360" w:lineRule="auto"/>
        <w:ind w:firstLine="480" w:firstLineChars="200"/>
        <w:rPr>
          <w:rFonts w:ascii="宋体" w:hAnsi="宋体" w:cs="宋体"/>
          <w:sz w:val="24"/>
        </w:rPr>
      </w:pPr>
      <w:r>
        <w:rPr>
          <w:rFonts w:hint="eastAsia" w:ascii="宋体" w:hAnsi="宋体" w:cs="宋体"/>
          <w:sz w:val="24"/>
        </w:rPr>
        <w:t>(8)甲方制定的有关本工程建设的规定和办法。</w:t>
      </w:r>
    </w:p>
    <w:p>
      <w:pPr>
        <w:spacing w:line="360" w:lineRule="auto"/>
        <w:rPr>
          <w:rFonts w:ascii="宋体" w:hAnsi="宋体" w:cs="宋体"/>
          <w:b/>
          <w:sz w:val="24"/>
        </w:rPr>
      </w:pPr>
      <w:r>
        <w:rPr>
          <w:rFonts w:hint="eastAsia" w:ascii="宋体" w:hAnsi="宋体" w:cs="宋体"/>
          <w:b/>
          <w:sz w:val="24"/>
        </w:rPr>
        <w:t>6. 相关服务依据包括：</w:t>
      </w:r>
    </w:p>
    <w:p>
      <w:pPr>
        <w:spacing w:line="360" w:lineRule="auto"/>
        <w:ind w:firstLine="480" w:firstLineChars="200"/>
        <w:rPr>
          <w:rFonts w:ascii="宋体" w:hAnsi="宋体" w:cs="宋体"/>
          <w:sz w:val="24"/>
        </w:rPr>
      </w:pPr>
      <w:r>
        <w:rPr>
          <w:rFonts w:hint="eastAsia" w:ascii="宋体" w:hAnsi="宋体" w:cs="宋体"/>
          <w:sz w:val="24"/>
        </w:rPr>
        <w:t>(1)监理合同；</w:t>
      </w:r>
    </w:p>
    <w:p>
      <w:pPr>
        <w:spacing w:line="360" w:lineRule="auto"/>
        <w:ind w:firstLine="480" w:firstLineChars="200"/>
        <w:rPr>
          <w:rFonts w:ascii="宋体" w:hAnsi="宋体" w:cs="宋体"/>
          <w:sz w:val="24"/>
        </w:rPr>
      </w:pPr>
      <w:r>
        <w:rPr>
          <w:rFonts w:hint="eastAsia" w:ascii="宋体" w:hAnsi="宋体" w:cs="宋体"/>
          <w:sz w:val="24"/>
        </w:rPr>
        <w:t>(2)甲乙双方签订的有关合同文件；</w:t>
      </w:r>
    </w:p>
    <w:p>
      <w:pPr>
        <w:spacing w:line="360" w:lineRule="auto"/>
        <w:ind w:firstLine="480" w:firstLineChars="200"/>
        <w:rPr>
          <w:rFonts w:ascii="宋体" w:hAnsi="宋体" w:cs="宋体"/>
          <w:sz w:val="24"/>
        </w:rPr>
      </w:pPr>
      <w:r>
        <w:rPr>
          <w:rFonts w:hint="eastAsia" w:ascii="宋体" w:hAnsi="宋体" w:cs="宋体"/>
          <w:sz w:val="24"/>
        </w:rPr>
        <w:t>(3)本工程监理实施方案（监理规划、监理细则等），监理管理办法及有关文件；</w:t>
      </w:r>
    </w:p>
    <w:p>
      <w:pPr>
        <w:spacing w:line="360" w:lineRule="auto"/>
        <w:ind w:firstLine="480" w:firstLineChars="200"/>
        <w:rPr>
          <w:rFonts w:ascii="宋体" w:hAnsi="宋体" w:cs="宋体"/>
          <w:sz w:val="24"/>
        </w:rPr>
      </w:pPr>
      <w:r>
        <w:rPr>
          <w:rFonts w:hint="eastAsia" w:ascii="宋体" w:hAnsi="宋体" w:cs="宋体"/>
          <w:sz w:val="24"/>
        </w:rPr>
        <w:t>(4)合同指定使用的技术规范、工程质量检验评定标准、试验规程等；</w:t>
      </w:r>
    </w:p>
    <w:p>
      <w:pPr>
        <w:spacing w:line="360" w:lineRule="auto"/>
        <w:ind w:firstLine="480" w:firstLineChars="200"/>
        <w:rPr>
          <w:rFonts w:ascii="宋体" w:hAnsi="宋体" w:cs="宋体"/>
          <w:sz w:val="24"/>
        </w:rPr>
      </w:pPr>
      <w:r>
        <w:rPr>
          <w:rFonts w:hint="eastAsia" w:ascii="宋体" w:hAnsi="宋体" w:cs="宋体"/>
          <w:sz w:val="24"/>
        </w:rPr>
        <w:t>(5)国家、广东省有关部门颁布的有关法律、法规等；</w:t>
      </w:r>
    </w:p>
    <w:p>
      <w:pPr>
        <w:spacing w:line="360" w:lineRule="auto"/>
        <w:ind w:firstLine="480" w:firstLineChars="200"/>
        <w:rPr>
          <w:rFonts w:ascii="宋体" w:hAnsi="宋体" w:cs="宋体"/>
          <w:sz w:val="24"/>
        </w:rPr>
      </w:pPr>
      <w:r>
        <w:rPr>
          <w:rFonts w:hint="eastAsia" w:ascii="宋体" w:hAnsi="宋体" w:cs="宋体"/>
          <w:sz w:val="24"/>
        </w:rPr>
        <w:t>(6)本工程实施过程中，甲方与乙方组织召开或参加的有关会议纪要函电及其文字记录，监理工程师批准的各种图纸、指令等；</w:t>
      </w:r>
    </w:p>
    <w:p>
      <w:pPr>
        <w:spacing w:line="360" w:lineRule="auto"/>
        <w:ind w:firstLine="480" w:firstLineChars="200"/>
        <w:rPr>
          <w:rFonts w:ascii="宋体" w:hAnsi="宋体" w:cs="宋体"/>
          <w:sz w:val="24"/>
        </w:rPr>
      </w:pPr>
      <w:r>
        <w:rPr>
          <w:rFonts w:hint="eastAsia" w:ascii="宋体" w:hAnsi="宋体" w:cs="宋体"/>
          <w:sz w:val="24"/>
        </w:rPr>
        <w:t>(7)其它。</w:t>
      </w:r>
    </w:p>
    <w:p>
      <w:pPr>
        <w:spacing w:line="360" w:lineRule="auto"/>
        <w:rPr>
          <w:rFonts w:ascii="宋体" w:hAnsi="宋体" w:cs="宋体"/>
          <w:b/>
          <w:sz w:val="24"/>
        </w:rPr>
      </w:pPr>
      <w:r>
        <w:rPr>
          <w:rFonts w:hint="eastAsia" w:ascii="宋体" w:hAnsi="宋体" w:cs="宋体"/>
          <w:b/>
          <w:sz w:val="24"/>
        </w:rPr>
        <w:t>7. 监理酬金支付</w:t>
      </w:r>
    </w:p>
    <w:p>
      <w:pPr>
        <w:spacing w:line="360" w:lineRule="auto"/>
        <w:ind w:firstLine="480" w:firstLineChars="200"/>
        <w:rPr>
          <w:rFonts w:ascii="宋体" w:hAnsi="宋体" w:cs="宋体"/>
          <w:sz w:val="24"/>
        </w:rPr>
      </w:pPr>
      <w:r>
        <w:rPr>
          <w:rFonts w:hint="eastAsia" w:ascii="宋体" w:hAnsi="宋体" w:cs="宋体"/>
          <w:sz w:val="24"/>
        </w:rPr>
        <w:t>7.1监理酬金支付方式：</w:t>
      </w:r>
    </w:p>
    <w:p>
      <w:pPr>
        <w:pStyle w:val="93"/>
        <w:tabs>
          <w:tab w:val="left" w:pos="851"/>
        </w:tabs>
        <w:spacing w:line="360" w:lineRule="auto"/>
        <w:ind w:firstLine="480" w:firstLineChars="200"/>
        <w:rPr>
          <w:rStyle w:val="100"/>
          <w:rFonts w:ascii="宋体" w:hAnsi="宋体"/>
          <w:color w:val="auto"/>
          <w:sz w:val="24"/>
        </w:rPr>
      </w:pPr>
      <w:r>
        <w:rPr>
          <w:rFonts w:hint="eastAsia" w:ascii="宋体" w:hAnsi="宋体" w:cs="宋体"/>
          <w:color w:val="auto"/>
          <w:sz w:val="24"/>
        </w:rPr>
        <w:t>7.1.1</w:t>
      </w:r>
      <w:r>
        <w:rPr>
          <w:rStyle w:val="100"/>
          <w:rFonts w:ascii="宋体" w:hAnsi="宋体"/>
          <w:color w:val="auto"/>
          <w:sz w:val="24"/>
        </w:rPr>
        <w:t>暂定监理服务计价收费额为</w:t>
      </w:r>
      <w:r>
        <w:rPr>
          <w:rStyle w:val="100"/>
          <w:rFonts w:hint="eastAsia" w:ascii="宋体" w:hAnsi="宋体"/>
          <w:color w:val="auto"/>
          <w:sz w:val="24"/>
          <w:u w:val="single"/>
        </w:rPr>
        <w:t xml:space="preserve"> </w:t>
      </w:r>
      <w:r>
        <w:rPr>
          <w:rStyle w:val="100"/>
          <w:rFonts w:ascii="宋体" w:hAnsi="宋体"/>
          <w:color w:val="auto"/>
          <w:sz w:val="24"/>
          <w:u w:val="single"/>
        </w:rPr>
        <w:t xml:space="preserve">    </w:t>
      </w:r>
      <w:r>
        <w:rPr>
          <w:rStyle w:val="100"/>
          <w:rFonts w:hint="eastAsia" w:ascii="宋体" w:hAnsi="宋体"/>
          <w:color w:val="auto"/>
          <w:sz w:val="24"/>
          <w:u w:val="single"/>
        </w:rPr>
        <w:t xml:space="preserve"> </w:t>
      </w:r>
      <w:r>
        <w:rPr>
          <w:rStyle w:val="100"/>
          <w:rFonts w:ascii="宋体" w:hAnsi="宋体"/>
          <w:color w:val="auto"/>
          <w:sz w:val="24"/>
        </w:rPr>
        <w:t>万元，施工监理费暂定合同</w:t>
      </w:r>
      <w:r>
        <w:rPr>
          <w:rStyle w:val="100"/>
          <w:rFonts w:hint="eastAsia" w:ascii="宋体" w:hAnsi="宋体"/>
          <w:color w:val="auto"/>
          <w:sz w:val="24"/>
        </w:rPr>
        <w:t>含税</w:t>
      </w:r>
      <w:r>
        <w:rPr>
          <w:rStyle w:val="100"/>
          <w:rFonts w:ascii="宋体" w:hAnsi="宋体"/>
          <w:color w:val="auto"/>
          <w:sz w:val="24"/>
        </w:rPr>
        <w:t>价为</w:t>
      </w:r>
      <w:r>
        <w:rPr>
          <w:rStyle w:val="100"/>
          <w:rFonts w:hint="eastAsia" w:ascii="宋体" w:hAnsi="宋体"/>
          <w:color w:val="auto"/>
          <w:sz w:val="24"/>
          <w:u w:val="single"/>
        </w:rPr>
        <w:t xml:space="preserve"> </w:t>
      </w:r>
      <w:r>
        <w:rPr>
          <w:rStyle w:val="100"/>
          <w:rFonts w:ascii="宋体" w:hAnsi="宋体"/>
          <w:color w:val="auto"/>
          <w:sz w:val="24"/>
          <w:u w:val="single"/>
        </w:rPr>
        <w:t xml:space="preserve">  </w:t>
      </w:r>
      <w:r>
        <w:rPr>
          <w:rStyle w:val="100"/>
          <w:rFonts w:hint="eastAsia" w:ascii="宋体" w:hAnsi="宋体"/>
          <w:color w:val="auto"/>
          <w:sz w:val="24"/>
          <w:u w:val="single"/>
        </w:rPr>
        <w:t xml:space="preserve">  </w:t>
      </w:r>
      <w:r>
        <w:rPr>
          <w:rStyle w:val="100"/>
          <w:rFonts w:ascii="宋体" w:hAnsi="宋体"/>
          <w:color w:val="auto"/>
          <w:sz w:val="24"/>
        </w:rPr>
        <w:t>万元</w:t>
      </w:r>
      <w:r>
        <w:rPr>
          <w:rStyle w:val="100"/>
          <w:rFonts w:hint="eastAsia" w:ascii="宋体" w:hAnsi="宋体"/>
          <w:color w:val="auto"/>
          <w:sz w:val="24"/>
        </w:rPr>
        <w:t xml:space="preserve">（大写：人民币 </w:t>
      </w:r>
      <w:r>
        <w:rPr>
          <w:rStyle w:val="100"/>
          <w:rFonts w:ascii="宋体" w:hAnsi="宋体"/>
          <w:color w:val="auto"/>
          <w:sz w:val="24"/>
        </w:rPr>
        <w:t xml:space="preserve">    </w:t>
      </w:r>
      <w:r>
        <w:rPr>
          <w:rStyle w:val="100"/>
          <w:rFonts w:hint="eastAsia" w:ascii="宋体" w:hAnsi="宋体"/>
          <w:color w:val="auto"/>
          <w:sz w:val="24"/>
        </w:rPr>
        <w:t>），其中税率</w:t>
      </w:r>
      <w:r>
        <w:rPr>
          <w:rStyle w:val="100"/>
          <w:rFonts w:ascii="宋体" w:hAnsi="宋体"/>
          <w:color w:val="auto"/>
          <w:sz w:val="24"/>
        </w:rPr>
        <w:t xml:space="preserve">  </w:t>
      </w:r>
      <w:r>
        <w:rPr>
          <w:rStyle w:val="100"/>
          <w:rFonts w:hint="eastAsia" w:ascii="宋体" w:hAnsi="宋体"/>
          <w:color w:val="auto"/>
          <w:sz w:val="24"/>
        </w:rPr>
        <w:t xml:space="preserve">%，税费（大写） </w:t>
      </w:r>
      <w:r>
        <w:rPr>
          <w:rStyle w:val="100"/>
          <w:rFonts w:ascii="宋体" w:hAnsi="宋体"/>
          <w:color w:val="auto"/>
          <w:sz w:val="24"/>
        </w:rPr>
        <w:t xml:space="preserve">  </w:t>
      </w:r>
      <w:r>
        <w:rPr>
          <w:rStyle w:val="100"/>
          <w:rFonts w:hint="eastAsia" w:ascii="宋体" w:hAnsi="宋体"/>
          <w:color w:val="auto"/>
          <w:sz w:val="24"/>
        </w:rPr>
        <w:t xml:space="preserve">  （￥</w:t>
      </w:r>
      <w:r>
        <w:rPr>
          <w:rStyle w:val="100"/>
          <w:rFonts w:ascii="宋体" w:hAnsi="宋体"/>
          <w:color w:val="auto"/>
          <w:sz w:val="24"/>
        </w:rPr>
        <w:t xml:space="preserve">    </w:t>
      </w:r>
      <w:r>
        <w:rPr>
          <w:rStyle w:val="100"/>
          <w:rFonts w:hint="eastAsia" w:ascii="宋体" w:hAnsi="宋体"/>
          <w:color w:val="auto"/>
          <w:sz w:val="24"/>
        </w:rPr>
        <w:t xml:space="preserve">元），不含税总价为（大写） </w:t>
      </w:r>
      <w:r>
        <w:rPr>
          <w:rStyle w:val="100"/>
          <w:rFonts w:ascii="宋体" w:hAnsi="宋体"/>
          <w:color w:val="auto"/>
          <w:sz w:val="24"/>
        </w:rPr>
        <w:t xml:space="preserve">         </w:t>
      </w:r>
      <w:r>
        <w:rPr>
          <w:rStyle w:val="100"/>
          <w:rFonts w:hint="eastAsia" w:ascii="宋体" w:hAnsi="宋体"/>
          <w:color w:val="auto"/>
          <w:sz w:val="24"/>
        </w:rPr>
        <w:t>（￥</w:t>
      </w:r>
      <w:r>
        <w:rPr>
          <w:rStyle w:val="100"/>
          <w:rFonts w:ascii="宋体" w:hAnsi="宋体"/>
          <w:color w:val="auto"/>
          <w:sz w:val="24"/>
        </w:rPr>
        <w:t xml:space="preserve">         </w:t>
      </w:r>
      <w:r>
        <w:rPr>
          <w:rStyle w:val="100"/>
          <w:rFonts w:hint="eastAsia" w:ascii="宋体" w:hAnsi="宋体"/>
          <w:color w:val="auto"/>
          <w:sz w:val="24"/>
        </w:rPr>
        <w:t>元）。</w:t>
      </w:r>
    </w:p>
    <w:p>
      <w:pPr>
        <w:spacing w:line="360" w:lineRule="auto"/>
        <w:ind w:firstLine="480" w:firstLineChars="200"/>
        <w:rPr>
          <w:rStyle w:val="100"/>
          <w:rFonts w:ascii="宋体" w:hAnsi="宋体"/>
          <w:sz w:val="24"/>
        </w:rPr>
      </w:pPr>
      <w:r>
        <w:rPr>
          <w:rStyle w:val="100"/>
          <w:rFonts w:ascii="宋体" w:hAnsi="宋体"/>
          <w:sz w:val="24"/>
        </w:rPr>
        <w:t>按国家发改委、建设部关于印发《建设工程监理与相关服务收费管理规定》的通知（发改价格[2007]670号）的规定</w:t>
      </w:r>
      <w:r>
        <w:rPr>
          <w:rStyle w:val="100"/>
          <w:rFonts w:hint="eastAsia" w:ascii="宋体" w:hAnsi="宋体"/>
          <w:sz w:val="24"/>
        </w:rPr>
        <w:t>及</w:t>
      </w:r>
      <w:r>
        <w:rPr>
          <w:rStyle w:val="100"/>
          <w:rFonts w:ascii="宋体" w:hAnsi="宋体"/>
          <w:sz w:val="24"/>
        </w:rPr>
        <w:t>下浮</w:t>
      </w:r>
      <w:r>
        <w:rPr>
          <w:rFonts w:ascii="宋体" w:hAnsi="宋体"/>
          <w:sz w:val="24"/>
        </w:rPr>
        <w:t>率</w:t>
      </w:r>
      <w:r>
        <w:rPr>
          <w:rFonts w:ascii="宋体" w:hAnsi="宋体"/>
          <w:sz w:val="24"/>
          <w:u w:val="single"/>
        </w:rPr>
        <w:t xml:space="preserve">     </w:t>
      </w:r>
      <w:r>
        <w:rPr>
          <w:rFonts w:hint="eastAsia" w:ascii="宋体" w:hAnsi="宋体"/>
          <w:sz w:val="24"/>
        </w:rPr>
        <w:t>%</w:t>
      </w:r>
      <w:r>
        <w:rPr>
          <w:rStyle w:val="100"/>
          <w:rFonts w:ascii="宋体" w:hAnsi="宋体"/>
          <w:sz w:val="24"/>
        </w:rPr>
        <w:t>计算。计费公式如下：</w:t>
      </w:r>
    </w:p>
    <w:p>
      <w:pPr>
        <w:spacing w:line="360" w:lineRule="auto"/>
        <w:ind w:firstLine="480" w:firstLineChars="200"/>
        <w:rPr>
          <w:rStyle w:val="100"/>
          <w:rFonts w:ascii="宋体" w:hAnsi="宋体"/>
          <w:sz w:val="24"/>
        </w:rPr>
      </w:pPr>
      <w:r>
        <w:rPr>
          <w:rFonts w:hint="eastAsia" w:ascii="宋体" w:hAnsi="宋体"/>
          <w:sz w:val="24"/>
        </w:rPr>
        <w:t>即：监理服务费结算价</w:t>
      </w:r>
      <w:r>
        <w:rPr>
          <w:rFonts w:ascii="宋体" w:hAnsi="宋体"/>
          <w:sz w:val="24"/>
        </w:rPr>
        <w:t>=施工监理服务收费基价</w:t>
      </w:r>
      <w:r>
        <w:rPr>
          <w:rFonts w:hint="eastAsia" w:ascii="宋体" w:hAnsi="宋体"/>
          <w:sz w:val="24"/>
        </w:rPr>
        <w:t>（以竣工验收合格工程的建筑安装工程费的结算价为监理服务计价收费额）</w:t>
      </w:r>
      <w:r>
        <w:rPr>
          <w:rFonts w:ascii="宋体" w:hAnsi="宋体"/>
          <w:sz w:val="24"/>
        </w:rPr>
        <w:t>×专业调整系数×工程复杂程度调整系数×高程调整系数×</w:t>
      </w:r>
      <w:r>
        <w:rPr>
          <w:rFonts w:hint="eastAsia" w:ascii="宋体" w:hAnsi="宋体"/>
          <w:sz w:val="24"/>
        </w:rPr>
        <w:t>（1－中标下浮率</w:t>
      </w:r>
      <w:r>
        <w:rPr>
          <w:rStyle w:val="100"/>
          <w:rFonts w:ascii="宋体" w:hAnsi="宋体"/>
          <w:sz w:val="24"/>
          <w:u w:val="single"/>
        </w:rPr>
        <w:t xml:space="preserve">    </w:t>
      </w:r>
      <w:r>
        <w:rPr>
          <w:rFonts w:hint="eastAsia" w:ascii="宋体" w:hAnsi="宋体"/>
          <w:sz w:val="24"/>
          <w:u w:val="single"/>
        </w:rPr>
        <w:t>%）</w:t>
      </w:r>
    </w:p>
    <w:p>
      <w:pPr>
        <w:spacing w:line="360" w:lineRule="auto"/>
        <w:ind w:firstLine="480" w:firstLineChars="200"/>
      </w:pPr>
      <w:r>
        <w:rPr>
          <w:rStyle w:val="100"/>
          <w:rFonts w:ascii="宋体" w:hAnsi="宋体"/>
          <w:sz w:val="24"/>
        </w:rPr>
        <w:t>调整系数如下：①专业调整系数为</w:t>
      </w:r>
      <w:r>
        <w:rPr>
          <w:rStyle w:val="100"/>
          <w:rFonts w:ascii="宋体" w:hAnsi="宋体"/>
          <w:sz w:val="24"/>
          <w:u w:val="single"/>
        </w:rPr>
        <w:t xml:space="preserve"> </w:t>
      </w:r>
      <w:r>
        <w:rPr>
          <w:rStyle w:val="100"/>
          <w:rFonts w:hint="eastAsia" w:ascii="宋体" w:hAnsi="宋体"/>
          <w:sz w:val="24"/>
          <w:u w:val="single"/>
        </w:rPr>
        <w:t xml:space="preserve"> </w:t>
      </w:r>
      <w:r>
        <w:rPr>
          <w:rStyle w:val="100"/>
          <w:rFonts w:ascii="宋体" w:hAnsi="宋体"/>
          <w:sz w:val="24"/>
          <w:u w:val="single"/>
        </w:rPr>
        <w:t xml:space="preserve">    </w:t>
      </w:r>
      <w:r>
        <w:rPr>
          <w:rStyle w:val="100"/>
          <w:rFonts w:ascii="宋体" w:hAnsi="宋体"/>
          <w:sz w:val="24"/>
        </w:rPr>
        <w:t>；②工程复杂程度调整系数为</w:t>
      </w:r>
      <w:r>
        <w:rPr>
          <w:rStyle w:val="100"/>
          <w:rFonts w:ascii="宋体" w:hAnsi="宋体"/>
          <w:sz w:val="24"/>
          <w:u w:val="single"/>
        </w:rPr>
        <w:t xml:space="preserve">     </w:t>
      </w:r>
      <w:r>
        <w:rPr>
          <w:rStyle w:val="100"/>
          <w:rFonts w:ascii="宋体" w:hAnsi="宋体"/>
          <w:sz w:val="24"/>
        </w:rPr>
        <w:t>；③高程调整系数为</w:t>
      </w:r>
      <w:r>
        <w:rPr>
          <w:rStyle w:val="100"/>
          <w:rFonts w:ascii="宋体" w:hAnsi="宋体"/>
          <w:sz w:val="24"/>
          <w:u w:val="single"/>
        </w:rPr>
        <w:t xml:space="preserve">     </w:t>
      </w:r>
      <w:r>
        <w:rPr>
          <w:rStyle w:val="100"/>
          <w:rFonts w:ascii="宋体" w:hAnsi="宋体"/>
          <w:sz w:val="24"/>
        </w:rPr>
        <w:t>；中标下浮率为</w:t>
      </w:r>
      <w:r>
        <w:rPr>
          <w:rStyle w:val="100"/>
          <w:rFonts w:hint="eastAsia" w:ascii="宋体" w:hAnsi="宋体"/>
          <w:sz w:val="24"/>
        </w:rPr>
        <w:t xml:space="preserve"> </w:t>
      </w:r>
      <w:r>
        <w:rPr>
          <w:rStyle w:val="100"/>
          <w:rFonts w:ascii="宋体" w:hAnsi="宋体"/>
          <w:sz w:val="24"/>
        </w:rPr>
        <w:t xml:space="preserve">   </w:t>
      </w:r>
      <w:r>
        <w:rPr>
          <w:rStyle w:val="100"/>
          <w:rFonts w:ascii="宋体" w:hAnsi="宋体"/>
          <w:sz w:val="24"/>
          <w:u w:val="single"/>
        </w:rPr>
        <w:t xml:space="preserve"> %</w:t>
      </w:r>
      <w:r>
        <w:rPr>
          <w:rStyle w:val="100"/>
          <w:rFonts w:ascii="宋体" w:hAnsi="宋体"/>
          <w:sz w:val="24"/>
        </w:rPr>
        <w:t>。</w:t>
      </w:r>
    </w:p>
    <w:p>
      <w:pPr>
        <w:tabs>
          <w:tab w:val="left" w:pos="480"/>
          <w:tab w:val="left" w:pos="1080"/>
          <w:tab w:val="left" w:pos="1134"/>
        </w:tabs>
        <w:adjustRightInd w:val="0"/>
        <w:snapToGrid w:val="0"/>
        <w:spacing w:line="360" w:lineRule="auto"/>
        <w:ind w:firstLine="480" w:firstLineChars="200"/>
        <w:rPr>
          <w:rFonts w:ascii="宋体" w:hAnsi="宋体" w:cs="宋体"/>
          <w:sz w:val="24"/>
        </w:rPr>
      </w:pPr>
      <w:r>
        <w:rPr>
          <w:rFonts w:hint="eastAsia" w:ascii="宋体" w:hAnsi="宋体" w:cs="宋体"/>
          <w:sz w:val="24"/>
        </w:rPr>
        <w:t>7.1.2支付方式：按</w:t>
      </w:r>
      <w:r>
        <w:rPr>
          <w:rFonts w:hint="eastAsia" w:ascii="宋体" w:hAnsi="宋体"/>
          <w:sz w:val="24"/>
        </w:rPr>
        <w:t>季</w:t>
      </w:r>
      <w:r>
        <w:rPr>
          <w:rFonts w:hint="eastAsia" w:ascii="宋体" w:hAnsi="宋体" w:cs="宋体"/>
          <w:sz w:val="24"/>
        </w:rPr>
        <w:t>度支付，每季末支付：</w:t>
      </w:r>
    </w:p>
    <w:p>
      <w:pPr>
        <w:pStyle w:val="41"/>
        <w:numPr>
          <w:ilvl w:val="0"/>
          <w:numId w:val="4"/>
        </w:numPr>
        <w:spacing w:after="0" w:line="360" w:lineRule="auto"/>
        <w:ind w:firstLine="240"/>
        <w:rPr>
          <w:rFonts w:ascii="宋体" w:hAnsi="宋体"/>
          <w:sz w:val="24"/>
        </w:rPr>
      </w:pPr>
      <w:r>
        <w:rPr>
          <w:rFonts w:hint="eastAsia" w:ascii="宋体" w:hAnsi="宋体"/>
          <w:sz w:val="24"/>
        </w:rPr>
        <w:t>本合同签订之日起</w:t>
      </w:r>
      <w:r>
        <w:rPr>
          <w:rFonts w:hint="eastAsia" w:ascii="宋体" w:hAnsi="宋体"/>
          <w:sz w:val="24"/>
          <w:u w:val="single"/>
        </w:rPr>
        <w:t>30</w:t>
      </w:r>
      <w:r>
        <w:rPr>
          <w:rFonts w:hint="eastAsia" w:ascii="宋体" w:hAnsi="宋体"/>
          <w:sz w:val="24"/>
        </w:rPr>
        <w:t>日内支付暂定合同总金额3</w:t>
      </w:r>
      <w:r>
        <w:rPr>
          <w:rFonts w:ascii="宋体" w:hAnsi="宋体"/>
          <w:sz w:val="24"/>
        </w:rPr>
        <w:t>0</w:t>
      </w:r>
      <w:r>
        <w:rPr>
          <w:rFonts w:hint="eastAsia" w:ascii="宋体" w:hAnsi="宋体"/>
          <w:sz w:val="24"/>
          <w:u w:val="single"/>
        </w:rPr>
        <w:t>%</w:t>
      </w:r>
      <w:r>
        <w:rPr>
          <w:rFonts w:hint="eastAsia" w:ascii="宋体" w:hAnsi="宋体"/>
          <w:sz w:val="24"/>
        </w:rPr>
        <w:t>的监理费预付款。</w:t>
      </w:r>
    </w:p>
    <w:p>
      <w:pPr>
        <w:pStyle w:val="21"/>
        <w:spacing w:line="360" w:lineRule="auto"/>
        <w:ind w:firstLine="480" w:firstLineChars="200"/>
        <w:rPr>
          <w:rFonts w:hAnsi="宋体"/>
          <w:sz w:val="24"/>
        </w:rPr>
      </w:pPr>
      <w:r>
        <w:rPr>
          <w:rFonts w:hint="eastAsia" w:hAnsi="宋体" w:cs="仿宋"/>
          <w:sz w:val="24"/>
          <w:szCs w:val="24"/>
          <w:lang w:bidi="en-US"/>
        </w:rPr>
        <w:t>预付款在进度款中扣回，按下表操作∶</w:t>
      </w:r>
    </w:p>
    <w:tbl>
      <w:tblPr>
        <w:tblStyle w:val="42"/>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4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扣回预付款比例</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累计扣回预付款比例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r>
              <w:rPr>
                <w:rFonts w:hint="eastAsia" w:hAnsi="宋体" w:cs="仿宋"/>
                <w:sz w:val="24"/>
                <w:szCs w:val="24"/>
                <w:lang w:bidi="en-US"/>
              </w:rPr>
              <w:t>第一次申请进度款</w:t>
            </w: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35%</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r>
              <w:rPr>
                <w:rFonts w:hint="eastAsia" w:hAnsi="宋体" w:cs="仿宋"/>
                <w:sz w:val="24"/>
                <w:szCs w:val="24"/>
                <w:lang w:bidi="en-US"/>
              </w:rPr>
              <w:t>第二次申请进度款</w:t>
            </w: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35%</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pPr>
              <w:pStyle w:val="21"/>
              <w:spacing w:line="360" w:lineRule="auto"/>
              <w:jc w:val="center"/>
              <w:rPr>
                <w:rFonts w:hAnsi="宋体" w:cs="仿宋"/>
                <w:sz w:val="24"/>
                <w:szCs w:val="24"/>
                <w:lang w:bidi="en-US"/>
              </w:rPr>
            </w:pPr>
            <w:r>
              <w:rPr>
                <w:rFonts w:hint="eastAsia" w:hAnsi="宋体" w:cs="仿宋"/>
                <w:sz w:val="24"/>
                <w:szCs w:val="24"/>
                <w:lang w:bidi="en-US"/>
              </w:rPr>
              <w:t>第三次申请进度款</w:t>
            </w:r>
          </w:p>
        </w:tc>
        <w:tc>
          <w:tcPr>
            <w:tcW w:w="2400" w:type="dxa"/>
          </w:tcPr>
          <w:p>
            <w:pPr>
              <w:pStyle w:val="21"/>
              <w:spacing w:line="360" w:lineRule="auto"/>
              <w:jc w:val="center"/>
              <w:rPr>
                <w:rFonts w:hAnsi="宋体" w:cs="仿宋"/>
                <w:sz w:val="24"/>
                <w:szCs w:val="24"/>
                <w:lang w:bidi="en-US"/>
              </w:rPr>
            </w:pPr>
            <w:r>
              <w:rPr>
                <w:rFonts w:hint="eastAsia" w:hAnsi="宋体" w:cs="仿宋"/>
                <w:sz w:val="24"/>
                <w:szCs w:val="24"/>
                <w:lang w:bidi="en-US"/>
              </w:rPr>
              <w:t>30%</w:t>
            </w:r>
          </w:p>
        </w:tc>
        <w:tc>
          <w:tcPr>
            <w:tcW w:w="2835" w:type="dxa"/>
          </w:tcPr>
          <w:p>
            <w:pPr>
              <w:pStyle w:val="21"/>
              <w:spacing w:line="360" w:lineRule="auto"/>
              <w:jc w:val="center"/>
              <w:rPr>
                <w:rFonts w:hAnsi="宋体" w:cs="仿宋"/>
                <w:sz w:val="24"/>
                <w:szCs w:val="24"/>
                <w:lang w:bidi="en-US"/>
              </w:rPr>
            </w:pPr>
            <w:r>
              <w:rPr>
                <w:rFonts w:hint="eastAsia" w:hAnsi="宋体" w:cs="仿宋"/>
                <w:sz w:val="24"/>
                <w:szCs w:val="24"/>
                <w:lang w:bidi="en-US"/>
              </w:rPr>
              <w:t>100%</w:t>
            </w:r>
          </w:p>
        </w:tc>
      </w:tr>
    </w:tbl>
    <w:p>
      <w:pPr>
        <w:widowControl/>
        <w:tabs>
          <w:tab w:val="left" w:pos="851"/>
        </w:tabs>
        <w:spacing w:line="360" w:lineRule="auto"/>
        <w:ind w:firstLine="240" w:firstLineChars="100"/>
        <w:jc w:val="left"/>
        <w:rPr>
          <w:rFonts w:ascii="宋体" w:hAnsi="宋体"/>
          <w:sz w:val="24"/>
          <w:lang w:bidi="ar"/>
        </w:rPr>
      </w:pPr>
      <w:r>
        <w:rPr>
          <w:rFonts w:hint="eastAsia" w:ascii="宋体" w:hAnsi="宋体"/>
          <w:sz w:val="24"/>
          <w:lang w:bidi="ar"/>
        </w:rPr>
        <w:t>（2）监理费进度款支付方式：</w:t>
      </w:r>
    </w:p>
    <w:p>
      <w:pPr>
        <w:tabs>
          <w:tab w:val="left" w:pos="851"/>
        </w:tabs>
        <w:spacing w:line="360" w:lineRule="auto"/>
        <w:ind w:firstLine="240" w:firstLineChars="100"/>
        <w:rPr>
          <w:rFonts w:ascii="宋体" w:hAnsi="宋体"/>
          <w:sz w:val="24"/>
        </w:rPr>
      </w:pPr>
      <w:r>
        <w:rPr>
          <w:rFonts w:hint="eastAsia" w:ascii="宋体" w:hAnsi="宋体"/>
          <w:sz w:val="24"/>
          <w:lang w:val="zh-CN"/>
        </w:rPr>
        <w:t>监理</w:t>
      </w:r>
      <w:r>
        <w:rPr>
          <w:rFonts w:hint="eastAsia" w:ascii="宋体" w:hAnsi="宋体"/>
          <w:sz w:val="24"/>
        </w:rPr>
        <w:t>费进度款</w:t>
      </w:r>
      <w:r>
        <w:rPr>
          <w:rFonts w:hint="eastAsia" w:ascii="宋体" w:hAnsi="宋体"/>
          <w:sz w:val="24"/>
          <w:lang w:val="zh-CN"/>
        </w:rPr>
        <w:t>＝监理范围内</w:t>
      </w:r>
      <w:r>
        <w:rPr>
          <w:rFonts w:hint="eastAsia" w:ascii="宋体" w:hAnsi="宋体"/>
          <w:sz w:val="24"/>
        </w:rPr>
        <w:t>本季度建设工程总承包单位</w:t>
      </w:r>
      <w:r>
        <w:rPr>
          <w:rFonts w:hint="eastAsia" w:ascii="宋体" w:hAnsi="宋体"/>
          <w:sz w:val="24"/>
          <w:lang w:val="zh-CN"/>
        </w:rPr>
        <w:t>已完成产值÷</w:t>
      </w:r>
      <w:r>
        <w:rPr>
          <w:rFonts w:hint="eastAsia" w:ascii="宋体" w:hAnsi="宋体"/>
          <w:sz w:val="24"/>
        </w:rPr>
        <w:t>建设工程总承包施工合同签约金额</w:t>
      </w:r>
      <w:r>
        <w:rPr>
          <w:rFonts w:hint="eastAsia" w:ascii="宋体" w:hAnsi="宋体"/>
          <w:sz w:val="24"/>
          <w:lang w:val="zh-CN"/>
        </w:rPr>
        <w:t>*监理</w:t>
      </w:r>
      <w:r>
        <w:rPr>
          <w:rFonts w:hint="eastAsia" w:ascii="宋体" w:hAnsi="宋体"/>
          <w:sz w:val="24"/>
        </w:rPr>
        <w:t>合同</w:t>
      </w:r>
      <w:r>
        <w:rPr>
          <w:rFonts w:hint="eastAsia" w:ascii="宋体" w:hAnsi="宋体"/>
          <w:sz w:val="24"/>
          <w:lang w:val="zh-CN"/>
        </w:rPr>
        <w:t>暂定</w:t>
      </w:r>
      <w:r>
        <w:rPr>
          <w:rFonts w:hint="eastAsia" w:ascii="宋体" w:hAnsi="宋体"/>
          <w:sz w:val="24"/>
        </w:rPr>
        <w:t>合同</w:t>
      </w:r>
      <w:r>
        <w:rPr>
          <w:rFonts w:hint="eastAsia" w:ascii="宋体" w:hAnsi="宋体"/>
          <w:sz w:val="24"/>
          <w:lang w:val="zh-CN"/>
        </w:rPr>
        <w:t>总额*8</w:t>
      </w:r>
      <w:r>
        <w:rPr>
          <w:rFonts w:hint="eastAsia" w:ascii="宋体" w:hAnsi="宋体"/>
          <w:sz w:val="24"/>
        </w:rPr>
        <w:t>0</w:t>
      </w:r>
      <w:r>
        <w:rPr>
          <w:rFonts w:hint="eastAsia" w:ascii="宋体" w:hAnsi="宋体"/>
          <w:sz w:val="24"/>
          <w:lang w:val="zh-CN"/>
        </w:rPr>
        <w:t>%；</w:t>
      </w:r>
    </w:p>
    <w:p>
      <w:pPr>
        <w:widowControl/>
        <w:tabs>
          <w:tab w:val="left" w:pos="851"/>
        </w:tabs>
        <w:spacing w:line="360" w:lineRule="auto"/>
        <w:ind w:firstLine="240" w:firstLineChars="100"/>
        <w:jc w:val="left"/>
        <w:rPr>
          <w:rFonts w:ascii="宋体" w:hAnsi="宋体"/>
          <w:sz w:val="24"/>
        </w:rPr>
      </w:pPr>
      <w:r>
        <w:rPr>
          <w:rFonts w:hint="eastAsia" w:ascii="宋体" w:hAnsi="宋体"/>
          <w:sz w:val="24"/>
          <w:lang w:bidi="ar"/>
        </w:rPr>
        <w:t xml:space="preserve">（3）各阶段监理费支付限额 </w:t>
      </w:r>
      <w:r>
        <w:rPr>
          <w:rFonts w:ascii="宋体" w:hAnsi="宋体"/>
          <w:sz w:val="24"/>
          <w:lang w:bidi="ar"/>
        </w:rPr>
        <w:t>：</w:t>
      </w:r>
    </w:p>
    <w:p>
      <w:pPr>
        <w:widowControl/>
        <w:tabs>
          <w:tab w:val="left" w:pos="851"/>
        </w:tabs>
        <w:spacing w:line="360" w:lineRule="auto"/>
        <w:ind w:firstLine="480" w:firstLineChars="200"/>
        <w:jc w:val="left"/>
        <w:rPr>
          <w:rFonts w:ascii="宋体" w:hAnsi="宋体"/>
          <w:sz w:val="24"/>
        </w:rPr>
      </w:pPr>
      <w:r>
        <w:rPr>
          <w:rFonts w:ascii="宋体" w:hAnsi="宋体" w:cs="Calibri"/>
          <w:sz w:val="24"/>
          <w:lang w:bidi="ar"/>
        </w:rPr>
        <w:t>①</w:t>
      </w:r>
      <w:r>
        <w:rPr>
          <w:rFonts w:hint="eastAsia" w:ascii="宋体" w:hAnsi="宋体"/>
          <w:sz w:val="24"/>
          <w:lang w:bidi="ar"/>
        </w:rPr>
        <w:t>工程完工并完成初验后支付至</w:t>
      </w:r>
      <w:r>
        <w:rPr>
          <w:rStyle w:val="100"/>
          <w:rFonts w:ascii="宋体" w:hAnsi="宋体"/>
          <w:sz w:val="24"/>
        </w:rPr>
        <w:t>监理费暂定合同</w:t>
      </w:r>
      <w:r>
        <w:rPr>
          <w:rStyle w:val="100"/>
          <w:rFonts w:hint="eastAsia" w:ascii="宋体" w:hAnsi="宋体"/>
          <w:sz w:val="24"/>
        </w:rPr>
        <w:t>含税</w:t>
      </w:r>
      <w:r>
        <w:rPr>
          <w:rStyle w:val="100"/>
          <w:rFonts w:ascii="宋体" w:hAnsi="宋体"/>
          <w:sz w:val="24"/>
        </w:rPr>
        <w:t>价</w:t>
      </w:r>
      <w:r>
        <w:rPr>
          <w:rFonts w:hint="eastAsia" w:ascii="宋体" w:hAnsi="宋体"/>
          <w:sz w:val="24"/>
          <w:lang w:bidi="ar"/>
        </w:rPr>
        <w:t>的 85%，并扣除违约金及罚款。（具体支付金额=</w:t>
      </w:r>
      <w:r>
        <w:rPr>
          <w:rStyle w:val="100"/>
          <w:rFonts w:ascii="宋体" w:hAnsi="宋体"/>
          <w:sz w:val="24"/>
        </w:rPr>
        <w:t>监理费暂定合同</w:t>
      </w:r>
      <w:r>
        <w:rPr>
          <w:rStyle w:val="100"/>
          <w:rFonts w:hint="eastAsia" w:ascii="宋体" w:hAnsi="宋体"/>
          <w:sz w:val="24"/>
        </w:rPr>
        <w:t>含税</w:t>
      </w:r>
      <w:r>
        <w:rPr>
          <w:rStyle w:val="100"/>
          <w:rFonts w:ascii="宋体" w:hAnsi="宋体"/>
          <w:sz w:val="24"/>
        </w:rPr>
        <w:t>价</w:t>
      </w:r>
      <w:r>
        <w:rPr>
          <w:rFonts w:hint="eastAsia" w:ascii="宋体" w:hAnsi="宋体"/>
          <w:sz w:val="24"/>
          <w:lang w:bidi="ar"/>
        </w:rPr>
        <w:t xml:space="preserve">85%-已支付金额-违约金及罚款总额） </w:t>
      </w:r>
    </w:p>
    <w:p>
      <w:pPr>
        <w:widowControl/>
        <w:tabs>
          <w:tab w:val="left" w:pos="851"/>
        </w:tabs>
        <w:spacing w:line="360" w:lineRule="auto"/>
        <w:ind w:firstLine="480" w:firstLineChars="200"/>
        <w:jc w:val="left"/>
        <w:rPr>
          <w:rFonts w:ascii="宋体" w:hAnsi="宋体"/>
          <w:sz w:val="24"/>
          <w:lang w:bidi="ar"/>
        </w:rPr>
      </w:pPr>
      <w:r>
        <w:rPr>
          <w:rFonts w:hint="eastAsia" w:ascii="宋体" w:hAnsi="宋体" w:cs="Calibri"/>
          <w:sz w:val="24"/>
          <w:lang w:bidi="ar"/>
        </w:rPr>
        <w:t>②</w:t>
      </w:r>
      <w:r>
        <w:rPr>
          <w:rFonts w:hint="eastAsia" w:ascii="宋体" w:hAnsi="宋体"/>
          <w:sz w:val="24"/>
        </w:rPr>
        <w:t>监理费结算经终审部门审定后，监理费付款至对应终审结算价的97%，保留金为终审结算价的3％。监理单位在质量保修期阶段的违约金在保留金中扣除，保留金的剩余部分在竣工验收合格满两年、承包人完成全部保修项目及工程结算评审完成后28日内无息付清</w:t>
      </w:r>
      <w:r>
        <w:rPr>
          <w:rFonts w:hint="eastAsia" w:ascii="宋体" w:hAnsi="宋体"/>
          <w:sz w:val="24"/>
          <w:lang w:bidi="ar"/>
        </w:rPr>
        <w:t>。</w:t>
      </w:r>
    </w:p>
    <w:p>
      <w:pPr>
        <w:ind w:firstLine="480" w:firstLineChars="200"/>
        <w:rPr>
          <w:rFonts w:ascii="宋体" w:hAnsi="宋体" w:cs="Calibri"/>
          <w:sz w:val="24"/>
          <w:lang w:bidi="ar"/>
        </w:rPr>
      </w:pPr>
      <w:r>
        <w:rPr>
          <w:rFonts w:hint="eastAsia" w:ascii="宋体" w:hAnsi="宋体" w:cs="Calibri"/>
          <w:sz w:val="24"/>
          <w:lang w:bidi="ar"/>
        </w:rPr>
        <w:t>③监理服务的附加工作酬金支付：按本合同工程监理专项条款8.2执行。</w:t>
      </w:r>
    </w:p>
    <w:p>
      <w:pPr>
        <w:spacing w:line="360" w:lineRule="auto"/>
        <w:ind w:firstLine="480" w:firstLineChars="200"/>
        <w:rPr>
          <w:rFonts w:ascii="宋体" w:hAnsi="宋体" w:cs="宋体"/>
          <w:sz w:val="24"/>
        </w:rPr>
      </w:pPr>
      <w:r>
        <w:rPr>
          <w:rFonts w:hint="eastAsia" w:ascii="宋体" w:hAnsi="宋体" w:cs="宋体"/>
          <w:sz w:val="24"/>
        </w:rPr>
        <w:t>7.2监理酬金的结算：</w:t>
      </w:r>
    </w:p>
    <w:p>
      <w:pPr>
        <w:spacing w:line="360" w:lineRule="auto"/>
        <w:ind w:firstLine="480" w:firstLineChars="200"/>
        <w:rPr>
          <w:rFonts w:ascii="宋体" w:hAnsi="宋体" w:cs="宋体"/>
          <w:sz w:val="24"/>
        </w:rPr>
      </w:pPr>
      <w:r>
        <w:rPr>
          <w:rFonts w:hint="eastAsia" w:ascii="宋体" w:hAnsi="宋体" w:cs="宋体"/>
          <w:sz w:val="24"/>
        </w:rPr>
        <w:t>7.2.1 本工程的监理费，</w:t>
      </w:r>
      <w:r>
        <w:rPr>
          <w:rFonts w:cs="宋体"/>
        </w:rPr>
        <w:t>以</w:t>
      </w:r>
      <w:r>
        <w:rPr>
          <w:rFonts w:hint="eastAsia" w:ascii="宋体" w:hAnsi="宋体" w:cs="宋体"/>
          <w:sz w:val="24"/>
        </w:rPr>
        <w:t>竣工验收合格工程的建筑安装工程费的结算价为监理服务计价收费额。</w:t>
      </w:r>
    </w:p>
    <w:p>
      <w:pPr>
        <w:spacing w:line="360" w:lineRule="auto"/>
        <w:ind w:firstLine="480" w:firstLineChars="200"/>
        <w:rPr>
          <w:rFonts w:ascii="宋体" w:hAnsi="宋体" w:cs="宋体"/>
          <w:sz w:val="24"/>
        </w:rPr>
      </w:pPr>
      <w:r>
        <w:rPr>
          <w:rFonts w:hint="eastAsia" w:ascii="宋体" w:hAnsi="宋体" w:cs="宋体"/>
          <w:sz w:val="24"/>
        </w:rPr>
        <w:t>7.3支付申请：</w:t>
      </w:r>
    </w:p>
    <w:p>
      <w:pPr>
        <w:spacing w:line="360" w:lineRule="auto"/>
        <w:ind w:firstLine="480" w:firstLineChars="200"/>
        <w:rPr>
          <w:rFonts w:ascii="宋体" w:hAnsi="宋体" w:cs="仿宋_GB2312"/>
          <w:b/>
          <w:bCs/>
          <w:sz w:val="24"/>
        </w:rPr>
      </w:pPr>
      <w:r>
        <w:rPr>
          <w:rFonts w:hint="eastAsia" w:ascii="宋体" w:hAnsi="宋体" w:cs="宋体"/>
          <w:sz w:val="24"/>
        </w:rPr>
        <w:t>乙方应在本合同约定的每次应付款时间的15日前，向甲方提交支付申请及当期应支付款项的合格发票。支付申请书应当说明当期应付款总额，并列出当期应支付的款项及其金额。</w:t>
      </w:r>
    </w:p>
    <w:p>
      <w:pPr>
        <w:pStyle w:val="2"/>
      </w:pPr>
    </w:p>
    <w:p>
      <w:pPr>
        <w:spacing w:line="360" w:lineRule="auto"/>
        <w:rPr>
          <w:rFonts w:ascii="宋体" w:hAnsi="宋体" w:cs="宋体"/>
          <w:sz w:val="24"/>
        </w:rPr>
      </w:pPr>
      <w:r>
        <w:rPr>
          <w:rFonts w:hint="eastAsia" w:ascii="宋体" w:hAnsi="宋体" w:cs="宋体"/>
          <w:b/>
          <w:sz w:val="24"/>
        </w:rPr>
        <w:t>8. 监理业务变更</w:t>
      </w:r>
    </w:p>
    <w:p>
      <w:pPr>
        <w:spacing w:line="360" w:lineRule="auto"/>
        <w:ind w:firstLine="480" w:firstLineChars="200"/>
        <w:rPr>
          <w:rFonts w:ascii="宋体" w:hAnsi="宋体" w:cs="宋体"/>
          <w:sz w:val="24"/>
        </w:rPr>
      </w:pPr>
      <w:r>
        <w:rPr>
          <w:rFonts w:hint="eastAsia" w:ascii="宋体" w:hAnsi="宋体" w:cs="宋体"/>
          <w:sz w:val="24"/>
        </w:rPr>
        <w:t xml:space="preserve">8.1 除不可抗力外，因甲方原因导致本监理服务期限延长时，附加工作酬金按甲方需求派驻相关技术服务人员，派驻人员费用按《建设工程监理与相关服务收费管理规定》（发改价格[2007]670号）或双方协商计取，即监理服务的附加工作酬金=期限延长时间（日）×相关职称等级的工日费用标准（元/日）×相关职称等级的服务人员数量*（1-中标下浮率）。 </w:t>
      </w:r>
    </w:p>
    <w:p>
      <w:pPr>
        <w:spacing w:line="360" w:lineRule="auto"/>
        <w:ind w:firstLine="480" w:firstLineChars="200"/>
        <w:rPr>
          <w:rFonts w:ascii="宋体" w:hAnsi="宋体" w:cs="宋体"/>
          <w:sz w:val="24"/>
        </w:rPr>
      </w:pPr>
      <w:r>
        <w:rPr>
          <w:rFonts w:hint="eastAsia" w:ascii="宋体" w:hAnsi="宋体" w:cs="宋体"/>
          <w:sz w:val="24"/>
        </w:rPr>
        <w:t>8.2监理服务的附加工作酬金支付：每季度支付一次。</w:t>
      </w:r>
    </w:p>
    <w:p>
      <w:pPr>
        <w:spacing w:line="360" w:lineRule="auto"/>
        <w:rPr>
          <w:rFonts w:ascii="宋体" w:hAnsi="宋体" w:cs="宋体"/>
          <w:b/>
          <w:sz w:val="24"/>
        </w:rPr>
      </w:pPr>
      <w:r>
        <w:rPr>
          <w:rFonts w:hint="eastAsia" w:ascii="宋体" w:hAnsi="宋体" w:cs="宋体"/>
          <w:b/>
          <w:sz w:val="24"/>
        </w:rPr>
        <w:t>9.监理单位人员：</w:t>
      </w:r>
    </w:p>
    <w:p>
      <w:pPr>
        <w:spacing w:line="360" w:lineRule="auto"/>
        <w:ind w:firstLine="480" w:firstLineChars="200"/>
        <w:rPr>
          <w:rFonts w:ascii="宋体" w:hAnsi="宋体" w:cs="宋体"/>
          <w:sz w:val="24"/>
        </w:rPr>
      </w:pPr>
      <w:r>
        <w:rPr>
          <w:rFonts w:hint="eastAsia" w:ascii="宋体" w:hAnsi="宋体" w:cs="宋体"/>
          <w:sz w:val="24"/>
        </w:rPr>
        <w:t>9.1监理单位派驻到工程所在地履行监理服务的监理单位人员，必须能够适应监理合同规定的监理服务工作。监理单位项目总监代表为：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pStyle w:val="2"/>
        <w:spacing w:line="360" w:lineRule="auto"/>
        <w:rPr>
          <w:rFonts w:ascii="宋体" w:hAnsi="宋体"/>
          <w:bCs/>
          <w:sz w:val="24"/>
        </w:rPr>
      </w:pPr>
      <w:r>
        <w:rPr>
          <w:rFonts w:hint="eastAsia" w:ascii="宋体" w:hAnsi="宋体"/>
          <w:bCs/>
          <w:sz w:val="24"/>
        </w:rPr>
        <w:t>9.2人员的投入</w:t>
      </w:r>
    </w:p>
    <w:p>
      <w:pPr>
        <w:pStyle w:val="2"/>
        <w:spacing w:line="360" w:lineRule="auto"/>
      </w:pPr>
      <w:r>
        <w:rPr>
          <w:rFonts w:hint="eastAsia" w:ascii="宋体" w:hAnsi="宋体"/>
          <w:sz w:val="24"/>
          <w:szCs w:val="24"/>
          <w:lang w:eastAsia="zh-Hans"/>
        </w:rPr>
        <w:t>要求分阶段投入满足工程实际需求的监理人员</w:t>
      </w:r>
      <w:r>
        <w:rPr>
          <w:rFonts w:hint="eastAsia" w:ascii="宋体" w:hAnsi="宋体"/>
          <w:sz w:val="24"/>
          <w:szCs w:val="24"/>
        </w:rPr>
        <w:t>。</w:t>
      </w:r>
    </w:p>
    <w:p>
      <w:pPr>
        <w:spacing w:line="360" w:lineRule="auto"/>
        <w:rPr>
          <w:rFonts w:ascii="宋体" w:hAnsi="宋体" w:cs="宋体"/>
          <w:b/>
          <w:sz w:val="24"/>
        </w:rPr>
      </w:pPr>
      <w:r>
        <w:rPr>
          <w:rFonts w:hint="eastAsia" w:ascii="宋体" w:hAnsi="宋体" w:cs="宋体"/>
          <w:b/>
          <w:sz w:val="24"/>
        </w:rPr>
        <w:t>10.监理范围：</w:t>
      </w:r>
    </w:p>
    <w:p>
      <w:pPr>
        <w:spacing w:line="360" w:lineRule="auto"/>
        <w:ind w:firstLine="480" w:firstLineChars="200"/>
        <w:rPr>
          <w:rFonts w:ascii="宋体" w:hAnsi="宋体" w:cs="宋体"/>
          <w:sz w:val="24"/>
        </w:rPr>
      </w:pPr>
      <w:r>
        <w:rPr>
          <w:rFonts w:hint="eastAsia" w:ascii="宋体" w:hAnsi="宋体" w:cs="宋体"/>
          <w:sz w:val="24"/>
        </w:rPr>
        <w:t>10.1本项目的施工图纸所包含的内容及招标过程中所发出的相关文件所包含的全部内容为准，包括但不限于以下范围：</w:t>
      </w:r>
    </w:p>
    <w:p>
      <w:pPr>
        <w:spacing w:line="360" w:lineRule="auto"/>
        <w:ind w:firstLine="480" w:firstLineChars="200"/>
        <w:rPr>
          <w:rFonts w:ascii="宋体" w:hAnsi="宋体" w:cs="宋体"/>
          <w:sz w:val="24"/>
        </w:rPr>
      </w:pPr>
      <w:r>
        <w:rPr>
          <w:rFonts w:hint="eastAsia" w:ascii="宋体" w:hAnsi="宋体" w:cs="宋体"/>
          <w:sz w:val="24"/>
        </w:rPr>
        <w:t>（1）施工准备阶段、施工阶段、工程收尾阶段、工程质量保修阶段的质量控制、职业健康安全及环境监督管理、投资控制、进度控制、设备材料控制、合同管理、信息管理、组织协调等监理工作以及地质详勘的旁站监理和设备安装及调试监理等相关服务。</w:t>
      </w:r>
    </w:p>
    <w:p>
      <w:pPr>
        <w:spacing w:line="360" w:lineRule="auto"/>
        <w:ind w:firstLine="480" w:firstLineChars="200"/>
        <w:rPr>
          <w:rFonts w:ascii="宋体" w:hAnsi="宋体" w:cs="宋体"/>
          <w:sz w:val="24"/>
        </w:rPr>
      </w:pPr>
      <w:r>
        <w:rPr>
          <w:rFonts w:hint="eastAsia" w:ascii="宋体" w:hAnsi="宋体" w:cs="宋体"/>
          <w:sz w:val="24"/>
        </w:rPr>
        <w:t>（2）施工过程中所发生工程质量检测、基坑检测和监测、沉降观测、节能检测、专题研讨会，以及其他为本工程建设需要所发生的服务类项目的监理。</w:t>
      </w:r>
    </w:p>
    <w:p>
      <w:pPr>
        <w:spacing w:line="360" w:lineRule="auto"/>
        <w:ind w:firstLine="480" w:firstLineChars="200"/>
        <w:rPr>
          <w:rFonts w:ascii="宋体" w:hAnsi="宋体" w:cs="宋体"/>
          <w:sz w:val="24"/>
          <w:u w:val="single"/>
        </w:rPr>
      </w:pPr>
      <w:r>
        <w:rPr>
          <w:rFonts w:hint="eastAsia" w:ascii="宋体" w:hAnsi="宋体" w:cs="宋体"/>
          <w:sz w:val="24"/>
        </w:rPr>
        <w:t xml:space="preserve">（3）按建设单位的要求提前进场参与开工前期的准备和筹划工作，协助建设单位制定工程管理办法、各参建方职责及有关事务性工作等。                          </w:t>
      </w:r>
    </w:p>
    <w:p>
      <w:pPr>
        <w:spacing w:line="360" w:lineRule="auto"/>
        <w:rPr>
          <w:rFonts w:ascii="宋体" w:hAnsi="宋体" w:cs="宋体"/>
          <w:b/>
          <w:sz w:val="24"/>
        </w:rPr>
      </w:pPr>
      <w:r>
        <w:rPr>
          <w:rFonts w:hint="eastAsia" w:ascii="宋体" w:hAnsi="宋体" w:cs="宋体"/>
          <w:b/>
          <w:sz w:val="24"/>
        </w:rPr>
        <w:t>11.违约责任</w:t>
      </w:r>
    </w:p>
    <w:p>
      <w:pPr>
        <w:spacing w:line="360" w:lineRule="auto"/>
        <w:ind w:firstLine="240" w:firstLineChars="100"/>
        <w:rPr>
          <w:rFonts w:ascii="宋体" w:hAnsi="宋体" w:cs="宋体"/>
          <w:sz w:val="24"/>
        </w:rPr>
      </w:pPr>
      <w:r>
        <w:rPr>
          <w:rFonts w:hint="eastAsia" w:ascii="宋体" w:hAnsi="宋体" w:cs="宋体"/>
          <w:sz w:val="24"/>
        </w:rPr>
        <w:t>11.1甲方的违约责任</w:t>
      </w:r>
    </w:p>
    <w:p>
      <w:pPr>
        <w:spacing w:line="360" w:lineRule="auto"/>
        <w:ind w:firstLine="480" w:firstLineChars="200"/>
        <w:jc w:val="left"/>
        <w:rPr>
          <w:rFonts w:ascii="宋体" w:hAnsi="宋体" w:cs="宋体"/>
          <w:sz w:val="24"/>
        </w:rPr>
      </w:pPr>
      <w:r>
        <w:rPr>
          <w:rFonts w:hint="eastAsia" w:ascii="宋体" w:hAnsi="宋体" w:cs="宋体"/>
          <w:sz w:val="24"/>
        </w:rPr>
        <w:t>（1）甲方违反本合同约定造成乙方损失的，甲方应予以赔偿。</w:t>
      </w:r>
    </w:p>
    <w:p>
      <w:pPr>
        <w:pStyle w:val="304"/>
        <w:spacing w:line="360" w:lineRule="auto"/>
        <w:rPr>
          <w:rFonts w:ascii="宋体" w:hAnsi="宋体" w:cs="宋体"/>
          <w:sz w:val="24"/>
        </w:rPr>
      </w:pPr>
      <w:r>
        <w:rPr>
          <w:rFonts w:hint="eastAsia" w:ascii="宋体" w:hAnsi="宋体" w:cs="宋体"/>
        </w:rPr>
        <w:t xml:space="preserve">     （2）</w:t>
      </w:r>
      <w:r>
        <w:rPr>
          <w:rFonts w:hint="eastAsia" w:ascii="宋体" w:hAnsi="宋体" w:cs="宋体"/>
          <w:sz w:val="24"/>
        </w:rPr>
        <w:t>甲方向乙方的索赔不成立时，应赔偿乙方由此引起的费用。</w:t>
      </w:r>
    </w:p>
    <w:p>
      <w:pPr>
        <w:spacing w:line="360" w:lineRule="auto"/>
        <w:ind w:firstLine="480" w:firstLineChars="200"/>
        <w:jc w:val="left"/>
        <w:rPr>
          <w:rFonts w:ascii="宋体" w:hAnsi="宋体" w:cs="宋体"/>
          <w:sz w:val="24"/>
        </w:rPr>
      </w:pPr>
      <w:r>
        <w:rPr>
          <w:rFonts w:hint="eastAsia" w:ascii="宋体" w:hAnsi="宋体" w:cs="宋体"/>
          <w:sz w:val="24"/>
        </w:rPr>
        <w:t>（3）甲方未能按期支付酬金超过28日，应按约定支付逾期付款利息。</w:t>
      </w:r>
    </w:p>
    <w:p>
      <w:pPr>
        <w:spacing w:line="360" w:lineRule="auto"/>
        <w:ind w:firstLine="480" w:firstLineChars="200"/>
        <w:jc w:val="left"/>
        <w:rPr>
          <w:rFonts w:ascii="宋体" w:hAnsi="宋体" w:cs="宋体"/>
          <w:sz w:val="24"/>
        </w:rPr>
      </w:pPr>
      <w:r>
        <w:rPr>
          <w:rFonts w:hint="eastAsia" w:ascii="宋体" w:hAnsi="宋体" w:cs="宋体"/>
          <w:sz w:val="24"/>
        </w:rPr>
        <w:t>（4）甲方逾期付款利息按下列方法确定：</w:t>
      </w:r>
    </w:p>
    <w:p>
      <w:pPr>
        <w:spacing w:line="360" w:lineRule="auto"/>
        <w:ind w:firstLine="480" w:firstLineChars="200"/>
        <w:jc w:val="left"/>
        <w:rPr>
          <w:rFonts w:ascii="宋体" w:hAnsi="宋体" w:cs="宋体"/>
          <w:sz w:val="24"/>
        </w:rPr>
      </w:pPr>
      <w:r>
        <w:rPr>
          <w:rFonts w:hint="eastAsia" w:ascii="宋体" w:hAnsi="宋体" w:cs="宋体"/>
          <w:sz w:val="24"/>
        </w:rPr>
        <w:t xml:space="preserve"> 逾期付款利息＝当期应付未付款金额×同期银行贷款基准利率×拖延支付天数。</w:t>
      </w:r>
    </w:p>
    <w:p>
      <w:pPr>
        <w:spacing w:line="360" w:lineRule="auto"/>
        <w:ind w:firstLine="240" w:firstLineChars="100"/>
        <w:jc w:val="left"/>
        <w:rPr>
          <w:rFonts w:ascii="宋体" w:hAnsi="宋体" w:cs="宋体"/>
          <w:sz w:val="24"/>
        </w:rPr>
      </w:pPr>
      <w:r>
        <w:rPr>
          <w:rFonts w:hint="eastAsia" w:ascii="宋体" w:hAnsi="宋体" w:cs="宋体"/>
          <w:sz w:val="24"/>
        </w:rPr>
        <w:t>11.2乙方的违约责任</w:t>
      </w:r>
    </w:p>
    <w:p>
      <w:pPr>
        <w:spacing w:line="360" w:lineRule="auto"/>
        <w:ind w:firstLine="480" w:firstLineChars="200"/>
        <w:jc w:val="left"/>
        <w:rPr>
          <w:rFonts w:ascii="宋体" w:hAnsi="宋体" w:cs="宋体"/>
          <w:sz w:val="24"/>
        </w:rPr>
      </w:pPr>
      <w:r>
        <w:rPr>
          <w:rFonts w:hint="eastAsia" w:ascii="宋体" w:hAnsi="宋体" w:cs="宋体"/>
          <w:sz w:val="24"/>
        </w:rPr>
        <w:t>（1）因乙方违反本合同约定给甲方造成损失的，乙方应当赔偿甲方损失。</w:t>
      </w:r>
    </w:p>
    <w:p>
      <w:pPr>
        <w:spacing w:line="360" w:lineRule="auto"/>
        <w:ind w:firstLine="480" w:firstLineChars="200"/>
        <w:jc w:val="left"/>
        <w:rPr>
          <w:rFonts w:ascii="宋体" w:hAnsi="宋体" w:cs="宋体"/>
          <w:sz w:val="24"/>
        </w:rPr>
      </w:pPr>
      <w:r>
        <w:rPr>
          <w:rFonts w:hint="eastAsia" w:ascii="宋体" w:hAnsi="宋体" w:cs="宋体"/>
          <w:sz w:val="24"/>
        </w:rPr>
        <w:t>（2）乙方未审查承包人报送的施工组织设计（方案），导致施工组织混乱的，需承担一般违约责任一次。非乙方原因的除外。</w:t>
      </w:r>
    </w:p>
    <w:p>
      <w:pPr>
        <w:spacing w:line="360" w:lineRule="auto"/>
        <w:ind w:firstLine="480" w:firstLineChars="200"/>
        <w:jc w:val="left"/>
        <w:rPr>
          <w:rFonts w:ascii="宋体" w:hAnsi="宋体" w:cs="宋体"/>
          <w:sz w:val="24"/>
        </w:rPr>
      </w:pPr>
      <w:r>
        <w:rPr>
          <w:rFonts w:hint="eastAsia" w:ascii="宋体" w:hAnsi="宋体" w:cs="宋体"/>
          <w:sz w:val="24"/>
        </w:rPr>
        <w:t>（3）监理人员不按经甲方批准的监理计划进场履行监理职责的，需承担一般违约责任一次。</w:t>
      </w:r>
    </w:p>
    <w:p>
      <w:pPr>
        <w:spacing w:line="360" w:lineRule="auto"/>
        <w:ind w:firstLine="480" w:firstLineChars="200"/>
        <w:jc w:val="left"/>
        <w:rPr>
          <w:rFonts w:ascii="宋体" w:hAnsi="宋体" w:cs="宋体"/>
          <w:sz w:val="24"/>
        </w:rPr>
      </w:pPr>
      <w:r>
        <w:rPr>
          <w:rFonts w:hint="eastAsia" w:ascii="宋体" w:hAnsi="宋体" w:cs="宋体"/>
          <w:sz w:val="24"/>
        </w:rPr>
        <w:t>（4）总监理工程师及其他监理工程师、监理人员不履行监理职责、怠于履行职责、违反监理规范或本合同，情节严重的，应甲方要求，必须进行更换。</w:t>
      </w:r>
    </w:p>
    <w:p>
      <w:pPr>
        <w:spacing w:line="360" w:lineRule="auto"/>
        <w:ind w:firstLine="480" w:firstLineChars="200"/>
        <w:jc w:val="left"/>
        <w:rPr>
          <w:rFonts w:ascii="宋体" w:hAnsi="宋体" w:cs="宋体"/>
          <w:sz w:val="24"/>
        </w:rPr>
      </w:pPr>
      <w:r>
        <w:rPr>
          <w:rFonts w:hint="eastAsia" w:ascii="宋体" w:hAnsi="宋体" w:cs="宋体"/>
          <w:sz w:val="24"/>
        </w:rPr>
        <w:t>11.3除外责任</w:t>
      </w:r>
    </w:p>
    <w:p>
      <w:pPr>
        <w:spacing w:line="360" w:lineRule="auto"/>
        <w:ind w:firstLine="480" w:firstLineChars="200"/>
        <w:jc w:val="left"/>
        <w:rPr>
          <w:rFonts w:ascii="宋体" w:hAnsi="宋体" w:cs="宋体"/>
          <w:sz w:val="24"/>
        </w:rPr>
      </w:pPr>
      <w:r>
        <w:rPr>
          <w:rFonts w:hint="eastAsia" w:ascii="宋体" w:hAnsi="宋体" w:cs="宋体"/>
          <w:sz w:val="24"/>
        </w:rPr>
        <w:t>因非乙方的原因，且乙方无过错，发生工程质量事故、安全事故、工期延误等造成的损失，乙方不承担赔偿责任。</w:t>
      </w:r>
    </w:p>
    <w:p>
      <w:pPr>
        <w:spacing w:line="360" w:lineRule="auto"/>
        <w:ind w:firstLine="480" w:firstLineChars="200"/>
        <w:jc w:val="left"/>
        <w:rPr>
          <w:rFonts w:ascii="宋体" w:hAnsi="宋体" w:cs="宋体"/>
          <w:sz w:val="24"/>
        </w:rPr>
      </w:pPr>
      <w:r>
        <w:rPr>
          <w:rFonts w:hint="eastAsia" w:ascii="宋体" w:hAnsi="宋体" w:cs="宋体"/>
          <w:sz w:val="24"/>
        </w:rPr>
        <w:t>因不可抗力导致本合同全部或部分不能履行时，双方各自承担其因此而造成的损失、损害。</w:t>
      </w:r>
    </w:p>
    <w:p>
      <w:pPr>
        <w:spacing w:line="360" w:lineRule="auto"/>
        <w:ind w:firstLine="480" w:firstLineChars="200"/>
        <w:jc w:val="left"/>
        <w:rPr>
          <w:rFonts w:ascii="宋体" w:hAnsi="宋体" w:cs="宋体"/>
          <w:sz w:val="24"/>
        </w:rPr>
      </w:pPr>
      <w:r>
        <w:rPr>
          <w:rFonts w:hint="eastAsia" w:ascii="宋体" w:hAnsi="宋体" w:cs="宋体"/>
          <w:sz w:val="24"/>
        </w:rPr>
        <w:t>11.4</w:t>
      </w:r>
      <w:r>
        <w:rPr>
          <w:rFonts w:hint="eastAsia" w:ascii="宋体" w:hAnsi="宋体" w:cs="宋体"/>
          <w:sz w:val="24"/>
          <w:lang w:val="zh-TW"/>
        </w:rPr>
        <w:t>第三人造成的违约</w:t>
      </w:r>
    </w:p>
    <w:p>
      <w:pPr>
        <w:spacing w:line="360" w:lineRule="auto"/>
        <w:ind w:firstLine="480" w:firstLineChars="200"/>
        <w:jc w:val="left"/>
        <w:rPr>
          <w:rFonts w:ascii="宋体" w:hAnsi="宋体" w:cs="宋体"/>
          <w:sz w:val="24"/>
          <w:lang w:val="zh-TW"/>
        </w:rPr>
      </w:pPr>
      <w:r>
        <w:rPr>
          <w:rFonts w:hint="eastAsia" w:ascii="宋体" w:hAnsi="宋体" w:cs="宋体"/>
          <w:sz w:val="24"/>
          <w:lang w:val="zh-TW"/>
        </w:rPr>
        <w:t>在履行合同过程中，一方当事人因第三人的原因造成违约的，应当向对方当事人承担违约责任。一方当事人和第三人之间的纠纷，依照法律规定或者按照约定解决。</w:t>
      </w:r>
    </w:p>
    <w:p>
      <w:pPr>
        <w:spacing w:line="360" w:lineRule="auto"/>
        <w:outlineLvl w:val="1"/>
        <w:rPr>
          <w:rFonts w:ascii="宋体" w:hAnsi="宋体" w:cs="宋体"/>
          <w:b/>
          <w:kern w:val="0"/>
          <w:sz w:val="24"/>
        </w:rPr>
      </w:pPr>
      <w:r>
        <w:rPr>
          <w:rFonts w:hint="eastAsia" w:ascii="宋体" w:hAnsi="宋体" w:cs="宋体"/>
          <w:b/>
          <w:sz w:val="24"/>
        </w:rPr>
        <w:t>三、 补充条款</w:t>
      </w:r>
    </w:p>
    <w:p>
      <w:pPr>
        <w:spacing w:line="360" w:lineRule="auto"/>
        <w:ind w:firstLine="480" w:firstLineChars="200"/>
        <w:rPr>
          <w:rFonts w:ascii="宋体" w:hAnsi="宋体" w:cs="宋体"/>
          <w:sz w:val="24"/>
        </w:rPr>
      </w:pPr>
      <w:r>
        <w:rPr>
          <w:rFonts w:hint="eastAsia" w:ascii="宋体" w:hAnsi="宋体" w:cs="宋体"/>
          <w:sz w:val="24"/>
        </w:rPr>
        <w:t>1.就监理单位书面提交并要求作出决定的一切事宜建设单位应在规定时间内作出书面决定。若因建设单位未履行该约定而导致本工程产生的一切不良后果，其责任由建设单位承担。</w:t>
      </w:r>
    </w:p>
    <w:p>
      <w:pPr>
        <w:spacing w:line="360" w:lineRule="auto"/>
        <w:ind w:firstLine="480" w:firstLineChars="200"/>
        <w:rPr>
          <w:rFonts w:ascii="宋体" w:hAnsi="宋体" w:cs="宋体"/>
          <w:sz w:val="24"/>
        </w:rPr>
      </w:pPr>
      <w:r>
        <w:rPr>
          <w:rFonts w:hint="eastAsia" w:ascii="宋体" w:hAnsi="宋体" w:cs="宋体"/>
          <w:sz w:val="24"/>
        </w:rPr>
        <w:t>2.本合同自双方签字盖章之日起生效，至工程竣工验收合格交付使用之日本合同即终止。在项目施工期间，如工期延长或停工缓建，但工程未通过验收，监理人不得终止合同，监理人应继续按合同提供服务。延期监理报酬按本合同第三部分 工程监理专项条款</w:t>
      </w:r>
    </w:p>
    <w:p>
      <w:pPr>
        <w:spacing w:line="360" w:lineRule="auto"/>
        <w:ind w:firstLine="480"/>
        <w:rPr>
          <w:rFonts w:ascii="宋体" w:hAnsi="宋体" w:cs="宋体"/>
          <w:sz w:val="24"/>
        </w:rPr>
      </w:pPr>
      <w:r>
        <w:rPr>
          <w:rFonts w:hint="eastAsia" w:ascii="宋体" w:hAnsi="宋体" w:cs="宋体"/>
          <w:sz w:val="24"/>
        </w:rPr>
        <w:t>3.为保证建设项目有序、规范和顺利进行，监理单位应主动支持建设单位工作，对建设单位的指令和书面通知，无正当理由拒不执行，按违约处理。</w:t>
      </w:r>
    </w:p>
    <w:p>
      <w:pPr>
        <w:widowControl/>
        <w:spacing w:line="360" w:lineRule="auto"/>
        <w:ind w:firstLine="480" w:firstLineChars="200"/>
        <w:jc w:val="left"/>
        <w:rPr>
          <w:rFonts w:ascii="宋体" w:hAnsi="宋体" w:cs="宋体"/>
          <w:sz w:val="24"/>
        </w:rPr>
      </w:pPr>
      <w:r>
        <w:rPr>
          <w:rFonts w:hint="eastAsia" w:ascii="宋体" w:hAnsi="宋体" w:cs="宋体"/>
          <w:sz w:val="24"/>
        </w:rPr>
        <w:t>4.监理单位应按承诺建立组织架构、派驻足够符合岗位条件的监理工程师和投入设备。</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5.监理单位必须加强监理工程师职业操守教育，本项目监理工程师需遵守监理工程师职业道德守则，并严格遵守以下规定：</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1）禁止向建设单位及承包人推销材料、设备，或采用具有倾向性、排他性的工作方式进行变相推销；</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2）禁止与承包人串通，对不合格材料、产品用于本工程和不合格工程通过验收；</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3）禁止与承包人串通，对材料用量、工程量进行虚假签认；</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4）禁止与承包人串通，不合理提高施工难度及增加材料用量，以增加工程造价。</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5）禁止接受承包人的请吃送礼，或变相受礼；</w:t>
      </w:r>
    </w:p>
    <w:p>
      <w:pPr>
        <w:widowControl/>
        <w:tabs>
          <w:tab w:val="left" w:pos="2760"/>
        </w:tabs>
        <w:spacing w:line="360" w:lineRule="auto"/>
        <w:ind w:firstLine="480" w:firstLineChars="200"/>
        <w:jc w:val="left"/>
        <w:rPr>
          <w:rFonts w:ascii="宋体" w:hAnsi="宋体" w:cs="宋体"/>
          <w:sz w:val="24"/>
        </w:rPr>
      </w:pPr>
      <w:r>
        <w:rPr>
          <w:rFonts w:hint="eastAsia" w:ascii="宋体" w:hAnsi="宋体" w:cs="宋体"/>
          <w:sz w:val="24"/>
        </w:rPr>
        <w:t>6）禁止向承包人介绍分包人；</w:t>
      </w:r>
    </w:p>
    <w:p>
      <w:pPr>
        <w:spacing w:line="360" w:lineRule="auto"/>
        <w:ind w:firstLine="480" w:firstLineChars="200"/>
      </w:pPr>
      <w:r>
        <w:rPr>
          <w:rFonts w:hint="eastAsia" w:ascii="宋体" w:hAnsi="宋体" w:cs="宋体"/>
          <w:sz w:val="24"/>
        </w:rPr>
        <w:t>7）禁止故意刁难承包人以谋取私利，损害建设单位的合法利益。</w:t>
      </w:r>
    </w:p>
    <w:p>
      <w:pPr>
        <w:spacing w:line="360" w:lineRule="auto"/>
        <w:rPr>
          <w:b/>
          <w:sz w:val="24"/>
        </w:rPr>
        <w:sectPr>
          <w:pgSz w:w="11906" w:h="16838"/>
          <w:pgMar w:top="1276" w:right="1134" w:bottom="1134" w:left="1418" w:header="851" w:footer="851" w:gutter="0"/>
          <w:cols w:space="720" w:num="1"/>
        </w:sectPr>
      </w:pPr>
    </w:p>
    <w:bookmarkEnd w:id="257"/>
    <w:bookmarkEnd w:id="258"/>
    <w:p>
      <w:pPr>
        <w:spacing w:line="360" w:lineRule="auto"/>
        <w:ind w:firstLine="484" w:firstLineChars="202"/>
        <w:rPr>
          <w:sz w:val="24"/>
          <w:u w:val="single"/>
        </w:rPr>
      </w:pPr>
      <w:bookmarkStart w:id="260" w:name="_Toc2281"/>
      <w:bookmarkStart w:id="261" w:name="_Toc9606"/>
      <w:bookmarkStart w:id="262" w:name="_Toc60148188"/>
      <w:bookmarkStart w:id="263" w:name="_Toc233794104"/>
      <w:bookmarkStart w:id="264" w:name="_Toc485394974"/>
    </w:p>
    <w:bookmarkEnd w:id="260"/>
    <w:bookmarkEnd w:id="261"/>
    <w:bookmarkEnd w:id="262"/>
    <w:p>
      <w:pPr>
        <w:shd w:val="clear" w:color="auto" w:fill="FFFFFF"/>
        <w:snapToGrid w:val="0"/>
        <w:spacing w:line="360" w:lineRule="auto"/>
        <w:jc w:val="left"/>
      </w:pPr>
      <w:r>
        <w:rPr>
          <w:rFonts w:ascii="宋体" w:hAnsi="宋体"/>
          <w:sz w:val="24"/>
        </w:rPr>
        <w:br w:type="page"/>
      </w:r>
      <w:r>
        <w:rPr>
          <w:rFonts w:hint="eastAsia" w:ascii="宋体" w:hAnsi="宋体"/>
          <w:sz w:val="24"/>
        </w:rPr>
        <w:t>（</w:t>
      </w:r>
      <w:r>
        <w:rPr>
          <w:rFonts w:hint="eastAsia" w:ascii="宋体" w:hAnsi="宋体" w:cs="宋体"/>
          <w:sz w:val="24"/>
        </w:rPr>
        <w:t>以下无正文）</w:t>
      </w:r>
    </w:p>
    <w:p>
      <w:pPr>
        <w:tabs>
          <w:tab w:val="left" w:pos="5400"/>
        </w:tabs>
        <w:spacing w:line="360" w:lineRule="auto"/>
        <w:outlineLvl w:val="0"/>
        <w:rPr>
          <w:rFonts w:ascii="宋体" w:hAnsi="宋体" w:cs="宋体"/>
          <w:sz w:val="24"/>
        </w:rPr>
      </w:pPr>
      <w:r>
        <w:rPr>
          <w:rFonts w:hint="eastAsia" w:ascii="宋体" w:hAnsi="宋体" w:cs="宋体"/>
          <w:sz w:val="24"/>
        </w:rPr>
        <w:t>附件1.廉政合同</w:t>
      </w:r>
    </w:p>
    <w:p>
      <w:pPr>
        <w:tabs>
          <w:tab w:val="left" w:pos="5400"/>
        </w:tabs>
        <w:spacing w:line="360" w:lineRule="auto"/>
        <w:outlineLvl w:val="0"/>
        <w:rPr>
          <w:rFonts w:ascii="宋体" w:hAnsi="宋体" w:cs="宋体"/>
          <w:sz w:val="24"/>
        </w:rPr>
      </w:pPr>
      <w:r>
        <w:rPr>
          <w:rFonts w:hint="eastAsia" w:ascii="宋体" w:hAnsi="宋体" w:cs="宋体"/>
          <w:sz w:val="24"/>
        </w:rPr>
        <w:t>附件2.委托书/中标通知书</w:t>
      </w:r>
    </w:p>
    <w:p>
      <w:pPr>
        <w:tabs>
          <w:tab w:val="left" w:pos="5400"/>
        </w:tabs>
        <w:spacing w:line="360" w:lineRule="auto"/>
        <w:outlineLvl w:val="0"/>
        <w:rPr>
          <w:rFonts w:ascii="宋体" w:hAnsi="宋体" w:cs="宋体"/>
          <w:sz w:val="24"/>
        </w:rPr>
      </w:pPr>
      <w:r>
        <w:rPr>
          <w:rFonts w:hint="eastAsia" w:ascii="宋体" w:hAnsi="宋体" w:cs="宋体"/>
          <w:sz w:val="24"/>
        </w:rPr>
        <w:t>附件3.项目管理服务人员</w:t>
      </w:r>
      <w:bookmarkStart w:id="267" w:name="_GoBack"/>
      <w:bookmarkEnd w:id="267"/>
      <w:r>
        <w:rPr>
          <w:rFonts w:hint="eastAsia" w:ascii="宋体" w:hAnsi="宋体" w:cs="宋体"/>
          <w:sz w:val="24"/>
        </w:rPr>
        <w:t>一览表</w:t>
      </w:r>
    </w:p>
    <w:p>
      <w:pPr>
        <w:spacing w:line="360" w:lineRule="auto"/>
        <w:outlineLvl w:val="0"/>
        <w:rPr>
          <w:rFonts w:ascii="宋体" w:hAnsi="宋体" w:cs="宋体"/>
          <w:sz w:val="24"/>
        </w:rPr>
      </w:pPr>
      <w:r>
        <w:rPr>
          <w:rFonts w:hint="eastAsia" w:ascii="宋体" w:hAnsi="宋体" w:cs="宋体"/>
          <w:sz w:val="24"/>
        </w:rPr>
        <w:t>附件4.</w:t>
      </w:r>
      <w:r>
        <w:rPr>
          <w:rFonts w:hint="eastAsia" w:ascii="宋体" w:hAnsi="宋体" w:cs="宋体"/>
          <w:bCs/>
          <w:sz w:val="24"/>
        </w:rPr>
        <w:t>项目监理机构人员架构表</w:t>
      </w:r>
    </w:p>
    <w:p>
      <w:pPr>
        <w:pStyle w:val="304"/>
        <w:spacing w:line="360" w:lineRule="auto"/>
        <w:rPr>
          <w:rFonts w:ascii="宋体" w:hAnsi="宋体" w:cs="宋体"/>
          <w:sz w:val="24"/>
        </w:rPr>
      </w:pPr>
    </w:p>
    <w:p>
      <w:pPr>
        <w:spacing w:line="360" w:lineRule="auto"/>
        <w:sectPr>
          <w:pgSz w:w="11906" w:h="16838"/>
          <w:pgMar w:top="1276" w:right="1134" w:bottom="1134" w:left="1418" w:header="851" w:footer="851" w:gutter="0"/>
          <w:cols w:space="720" w:num="1"/>
        </w:sectPr>
      </w:pPr>
      <w:bookmarkStart w:id="265" w:name="_Hlk509845342"/>
      <w:bookmarkStart w:id="266" w:name="_Toc133913586"/>
    </w:p>
    <w:p>
      <w:pPr>
        <w:tabs>
          <w:tab w:val="left" w:pos="5400"/>
        </w:tabs>
        <w:spacing w:line="360" w:lineRule="auto"/>
        <w:jc w:val="left"/>
        <w:outlineLvl w:val="0"/>
        <w:rPr>
          <w:rFonts w:ascii="仿宋_GB2312" w:hAnsi="宋体" w:eastAsia="仿宋_GB2312"/>
          <w:kern w:val="0"/>
          <w:sz w:val="32"/>
          <w:szCs w:val="32"/>
        </w:rPr>
      </w:pPr>
      <w:r>
        <w:rPr>
          <w:rFonts w:hint="eastAsia" w:ascii="仿宋_GB2312" w:hAnsi="宋体" w:eastAsia="仿宋_GB2312"/>
          <w:kern w:val="0"/>
          <w:sz w:val="24"/>
          <w:szCs w:val="30"/>
        </w:rPr>
        <w:t>附件1：</w:t>
      </w:r>
    </w:p>
    <w:p>
      <w:pPr>
        <w:tabs>
          <w:tab w:val="left" w:pos="5400"/>
        </w:tabs>
        <w:spacing w:line="360" w:lineRule="auto"/>
        <w:jc w:val="center"/>
        <w:rPr>
          <w:rFonts w:ascii="宋体" w:hAnsi="宋体" w:cs="宋体"/>
          <w:b/>
          <w:sz w:val="32"/>
          <w:szCs w:val="32"/>
        </w:rPr>
      </w:pPr>
      <w:r>
        <w:rPr>
          <w:rFonts w:hint="eastAsia" w:ascii="宋体" w:hAnsi="宋体" w:cs="宋体"/>
          <w:b/>
          <w:sz w:val="32"/>
          <w:szCs w:val="32"/>
        </w:rPr>
        <w:t>廉 政 合 同</w:t>
      </w:r>
    </w:p>
    <w:p>
      <w:pPr>
        <w:tabs>
          <w:tab w:val="left" w:pos="5400"/>
        </w:tabs>
        <w:spacing w:line="360" w:lineRule="auto"/>
        <w:rPr>
          <w:rFonts w:ascii="宋体" w:hAnsi="宋体" w:cs="宋体"/>
          <w:sz w:val="24"/>
        </w:rPr>
      </w:pPr>
    </w:p>
    <w:p>
      <w:pPr>
        <w:pStyle w:val="329"/>
        <w:adjustRightInd w:val="0"/>
        <w:snapToGrid w:val="0"/>
        <w:spacing w:line="360" w:lineRule="auto"/>
        <w:ind w:left="495" w:hanging="495"/>
        <w:rPr>
          <w:sz w:val="24"/>
          <w:szCs w:val="24"/>
          <w:u w:val="single"/>
        </w:rPr>
      </w:pPr>
      <w:r>
        <w:rPr>
          <w:rFonts w:hint="eastAsia" w:ascii="宋体" w:hAnsi="宋体"/>
          <w:sz w:val="24"/>
          <w:szCs w:val="24"/>
        </w:rPr>
        <w:t>工程项目名称：</w:t>
      </w:r>
      <w:r>
        <w:rPr>
          <w:rFonts w:hint="eastAsia" w:ascii="宋体" w:hAnsi="宋体"/>
          <w:sz w:val="24"/>
          <w:szCs w:val="24"/>
          <w:u w:val="single"/>
        </w:rPr>
        <w:t xml:space="preserve">                               </w:t>
      </w:r>
      <w:r>
        <w:rPr>
          <w:sz w:val="24"/>
          <w:szCs w:val="24"/>
          <w:u w:val="single"/>
        </w:rPr>
        <w:t xml:space="preserve"> </w:t>
      </w:r>
    </w:p>
    <w:p>
      <w:pPr>
        <w:pStyle w:val="329"/>
        <w:adjustRightInd w:val="0"/>
        <w:snapToGrid w:val="0"/>
        <w:spacing w:line="360" w:lineRule="auto"/>
        <w:rPr>
          <w:rFonts w:ascii="宋体" w:hAnsi="宋体"/>
          <w:sz w:val="24"/>
          <w:szCs w:val="24"/>
        </w:rPr>
      </w:pPr>
      <w:r>
        <w:rPr>
          <w:rFonts w:hint="eastAsia" w:ascii="宋体" w:hAnsi="宋体"/>
          <w:sz w:val="24"/>
          <w:szCs w:val="24"/>
        </w:rPr>
        <w:t>工程项目地址：</w:t>
      </w:r>
      <w:r>
        <w:rPr>
          <w:rFonts w:hint="eastAsia" w:ascii="宋体" w:hAnsi="宋体"/>
          <w:sz w:val="24"/>
          <w:szCs w:val="24"/>
          <w:u w:val="single"/>
        </w:rPr>
        <w:t xml:space="preserve"> </w:t>
      </w:r>
      <w:r>
        <w:rPr>
          <w:rFonts w:ascii="宋体" w:hAnsi="宋体"/>
          <w:sz w:val="24"/>
          <w:szCs w:val="24"/>
          <w:u w:val="single"/>
        </w:rPr>
        <w:t xml:space="preserve">                               </w:t>
      </w:r>
    </w:p>
    <w:p>
      <w:pPr>
        <w:pStyle w:val="329"/>
        <w:adjustRightInd w:val="0"/>
        <w:snapToGrid w:val="0"/>
        <w:spacing w:line="360" w:lineRule="auto"/>
        <w:rPr>
          <w:rFonts w:ascii="宋体" w:hAnsi="宋体"/>
          <w:sz w:val="24"/>
          <w:szCs w:val="24"/>
        </w:rPr>
      </w:pPr>
      <w:r>
        <w:rPr>
          <w:rFonts w:hint="eastAsia" w:ascii="宋体" w:hAnsi="宋体"/>
          <w:sz w:val="24"/>
          <w:szCs w:val="24"/>
        </w:rPr>
        <w:t>发包人：</w:t>
      </w:r>
      <w:r>
        <w:rPr>
          <w:rFonts w:ascii="宋体" w:hAnsi="宋体"/>
          <w:sz w:val="24"/>
          <w:szCs w:val="24"/>
          <w:u w:val="single"/>
        </w:rPr>
        <w:t xml:space="preserve">                                      </w:t>
      </w:r>
    </w:p>
    <w:p>
      <w:pPr>
        <w:pStyle w:val="330"/>
        <w:snapToGrid w:val="0"/>
        <w:spacing w:line="360" w:lineRule="auto"/>
        <w:rPr>
          <w:rFonts w:ascii="宋体" w:hAnsi="宋体"/>
          <w:sz w:val="24"/>
          <w:szCs w:val="24"/>
          <w:u w:val="single"/>
        </w:rPr>
      </w:pPr>
      <w:r>
        <w:rPr>
          <w:rFonts w:hint="eastAsia" w:ascii="宋体" w:hAnsi="宋体" w:cs="宋体"/>
          <w:sz w:val="24"/>
          <w:szCs w:val="24"/>
        </w:rPr>
        <w:t>承包人</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5400"/>
        </w:tabs>
        <w:spacing w:line="360" w:lineRule="auto"/>
        <w:ind w:firstLine="480" w:firstLineChars="200"/>
        <w:rPr>
          <w:rFonts w:ascii="宋体" w:hAnsi="宋体" w:cs="宋体"/>
          <w:sz w:val="24"/>
        </w:rPr>
      </w:pPr>
      <w:r>
        <w:rPr>
          <w:rFonts w:hint="eastAsia" w:ascii="宋体" w:hAnsi="宋体" w:cs="宋体"/>
          <w:sz w:val="24"/>
        </w:rPr>
        <w:t>根据国家、省工程建设和廉政建设的有关规定，为做好合同工程的廉政建设，保证工程质量与施工安全，提高建设资金的有效使用和投资效益，建设单位、项目管理单位和工程监理单位就加强合同工程的廉政建设，订立本合同。</w:t>
      </w:r>
    </w:p>
    <w:p>
      <w:pPr>
        <w:tabs>
          <w:tab w:val="left" w:pos="5400"/>
        </w:tabs>
        <w:spacing w:line="360" w:lineRule="auto"/>
        <w:ind w:firstLine="482" w:firstLineChars="200"/>
        <w:rPr>
          <w:rFonts w:ascii="宋体" w:hAnsi="宋体" w:cs="宋体"/>
          <w:b/>
          <w:sz w:val="24"/>
        </w:rPr>
      </w:pPr>
      <w:r>
        <w:rPr>
          <w:rFonts w:hint="eastAsia" w:ascii="宋体" w:hAnsi="宋体" w:cs="宋体"/>
          <w:b/>
          <w:sz w:val="24"/>
        </w:rPr>
        <w:t>1  双方权利和义务</w:t>
      </w:r>
    </w:p>
    <w:p>
      <w:pPr>
        <w:tabs>
          <w:tab w:val="left" w:pos="5400"/>
        </w:tabs>
        <w:spacing w:line="360" w:lineRule="auto"/>
        <w:ind w:firstLine="480" w:firstLineChars="200"/>
        <w:rPr>
          <w:rFonts w:ascii="宋体" w:hAnsi="宋体" w:cs="宋体"/>
          <w:sz w:val="24"/>
        </w:rPr>
      </w:pPr>
      <w:r>
        <w:rPr>
          <w:rFonts w:hint="eastAsia" w:ascii="宋体" w:hAnsi="宋体" w:cs="宋体"/>
          <w:sz w:val="24"/>
        </w:rPr>
        <w:t>1.1  严格遵守国家有关法律法规的规定。</w:t>
      </w:r>
    </w:p>
    <w:p>
      <w:pPr>
        <w:tabs>
          <w:tab w:val="left" w:pos="5400"/>
        </w:tabs>
        <w:spacing w:line="360" w:lineRule="auto"/>
        <w:ind w:firstLine="480" w:firstLineChars="200"/>
        <w:rPr>
          <w:rFonts w:ascii="宋体" w:hAnsi="宋体" w:cs="宋体"/>
          <w:sz w:val="24"/>
        </w:rPr>
      </w:pPr>
      <w:r>
        <w:rPr>
          <w:rFonts w:hint="eastAsia" w:ascii="宋体" w:hAnsi="宋体" w:cs="宋体"/>
          <w:sz w:val="24"/>
        </w:rPr>
        <w:t>1.2  严格执行一切合同文件，自觉按合同办事。</w:t>
      </w:r>
    </w:p>
    <w:p>
      <w:pPr>
        <w:tabs>
          <w:tab w:val="left" w:pos="5400"/>
        </w:tabs>
        <w:spacing w:line="360" w:lineRule="auto"/>
        <w:ind w:firstLine="480" w:firstLineChars="200"/>
        <w:rPr>
          <w:rFonts w:ascii="宋体" w:hAnsi="宋体" w:cs="宋体"/>
          <w:sz w:val="24"/>
        </w:rPr>
      </w:pPr>
      <w:r>
        <w:rPr>
          <w:rFonts w:hint="eastAsia" w:ascii="宋体" w:hAnsi="宋体" w:cs="宋体"/>
          <w:sz w:val="24"/>
        </w:rPr>
        <w:t>1.3  双方的业务活动坚持公平、公开、公正和诚信的原则（法律认定的商业秘密和合同文件另有规定除外），不得损害国家和集体利益，不得违反工程建设管理规章制度。</w:t>
      </w:r>
    </w:p>
    <w:p>
      <w:pPr>
        <w:tabs>
          <w:tab w:val="left" w:pos="5400"/>
        </w:tabs>
        <w:spacing w:line="360" w:lineRule="auto"/>
        <w:ind w:firstLine="480" w:firstLineChars="200"/>
        <w:rPr>
          <w:rFonts w:ascii="宋体" w:hAnsi="宋体" w:cs="宋体"/>
          <w:sz w:val="24"/>
        </w:rPr>
      </w:pPr>
      <w:r>
        <w:rPr>
          <w:rFonts w:hint="eastAsia" w:ascii="宋体" w:hAnsi="宋体" w:cs="宋体"/>
          <w:sz w:val="24"/>
        </w:rPr>
        <w:t>1.4  建立健全廉政制度，开展廉政教育，设立廉政告示牌，公布举报电话，监督并认真查处违法违纪行为。</w:t>
      </w:r>
    </w:p>
    <w:p>
      <w:pPr>
        <w:tabs>
          <w:tab w:val="left" w:pos="5400"/>
        </w:tabs>
        <w:spacing w:line="360" w:lineRule="auto"/>
        <w:ind w:firstLine="480" w:firstLineChars="200"/>
        <w:rPr>
          <w:rFonts w:ascii="宋体" w:hAnsi="宋体" w:cs="宋体"/>
          <w:sz w:val="24"/>
        </w:rPr>
      </w:pPr>
      <w:r>
        <w:rPr>
          <w:rFonts w:hint="eastAsia" w:ascii="宋体" w:hAnsi="宋体" w:cs="宋体"/>
          <w:sz w:val="24"/>
        </w:rPr>
        <w:t>1.5  发现对方在业务活动中有违反廉政建设规定的行为，应及时给予提醒和纠正。</w:t>
      </w:r>
    </w:p>
    <w:p>
      <w:pPr>
        <w:tabs>
          <w:tab w:val="left" w:pos="5400"/>
        </w:tabs>
        <w:spacing w:line="360" w:lineRule="auto"/>
        <w:ind w:firstLine="480" w:firstLineChars="200"/>
        <w:rPr>
          <w:rFonts w:ascii="宋体" w:hAnsi="宋体" w:cs="宋体"/>
          <w:bCs/>
          <w:sz w:val="24"/>
        </w:rPr>
      </w:pPr>
      <w:r>
        <w:rPr>
          <w:rFonts w:hint="eastAsia" w:ascii="宋体" w:hAnsi="宋体" w:cs="宋体"/>
          <w:sz w:val="24"/>
        </w:rPr>
        <w:t>1.6  发现对方严重违反合同的行为，有向其上级部门举报、建议给予处理并要求告知处理结果的权利。</w:t>
      </w:r>
    </w:p>
    <w:p>
      <w:pPr>
        <w:tabs>
          <w:tab w:val="left" w:pos="5400"/>
        </w:tabs>
        <w:spacing w:line="360" w:lineRule="auto"/>
        <w:ind w:firstLine="482" w:firstLineChars="200"/>
        <w:rPr>
          <w:rFonts w:ascii="宋体" w:hAnsi="宋体" w:cs="宋体"/>
          <w:b/>
          <w:sz w:val="24"/>
        </w:rPr>
      </w:pPr>
      <w:r>
        <w:rPr>
          <w:rFonts w:hint="eastAsia" w:ascii="宋体" w:hAnsi="宋体" w:cs="宋体"/>
          <w:b/>
          <w:sz w:val="24"/>
        </w:rPr>
        <w:t>2  建设单位义务</w:t>
      </w:r>
    </w:p>
    <w:p>
      <w:pPr>
        <w:tabs>
          <w:tab w:val="left" w:pos="5400"/>
        </w:tabs>
        <w:spacing w:line="360" w:lineRule="auto"/>
        <w:ind w:firstLine="480" w:firstLineChars="200"/>
        <w:rPr>
          <w:rFonts w:ascii="宋体" w:hAnsi="宋体" w:cs="宋体"/>
          <w:sz w:val="24"/>
        </w:rPr>
      </w:pPr>
      <w:r>
        <w:rPr>
          <w:rFonts w:hint="eastAsia" w:ascii="宋体" w:hAnsi="宋体" w:cs="宋体"/>
          <w:sz w:val="24"/>
        </w:rPr>
        <w:t xml:space="preserve">2.1  </w:t>
      </w:r>
      <w:r>
        <w:rPr>
          <w:rFonts w:hint="eastAsia" w:ascii="宋体" w:hAnsi="宋体" w:cs="宋体"/>
          <w:bCs/>
          <w:sz w:val="24"/>
        </w:rPr>
        <w:t>建设单位</w:t>
      </w:r>
      <w:r>
        <w:rPr>
          <w:rFonts w:hint="eastAsia" w:ascii="宋体" w:hAnsi="宋体" w:cs="宋体"/>
          <w:sz w:val="24"/>
        </w:rPr>
        <w:t>及其工作人员不得索要或接受监理单位的礼金、有价证券和贵重物品，不得在监理单位报销任何应由</w:t>
      </w:r>
      <w:r>
        <w:rPr>
          <w:rFonts w:hint="eastAsia" w:ascii="宋体" w:hAnsi="宋体" w:cs="宋体"/>
          <w:bCs/>
          <w:sz w:val="24"/>
        </w:rPr>
        <w:t>建设单位</w:t>
      </w:r>
      <w:r>
        <w:rPr>
          <w:rFonts w:hint="eastAsia" w:ascii="宋体" w:hAnsi="宋体" w:cs="宋体"/>
          <w:sz w:val="24"/>
        </w:rPr>
        <w:t>或工作人员个人支付的费用等。</w:t>
      </w:r>
    </w:p>
    <w:p>
      <w:pPr>
        <w:tabs>
          <w:tab w:val="left" w:pos="5400"/>
        </w:tabs>
        <w:spacing w:line="360" w:lineRule="auto"/>
        <w:ind w:firstLine="480" w:firstLineChars="200"/>
        <w:rPr>
          <w:rFonts w:ascii="宋体" w:hAnsi="宋体" w:cs="宋体"/>
          <w:sz w:val="24"/>
        </w:rPr>
      </w:pPr>
      <w:r>
        <w:rPr>
          <w:rFonts w:hint="eastAsia" w:ascii="宋体" w:hAnsi="宋体" w:cs="宋体"/>
          <w:sz w:val="24"/>
        </w:rPr>
        <w:t xml:space="preserve">2.2  </w:t>
      </w:r>
      <w:r>
        <w:rPr>
          <w:rFonts w:hint="eastAsia" w:ascii="宋体" w:hAnsi="宋体" w:cs="宋体"/>
          <w:bCs/>
          <w:sz w:val="24"/>
        </w:rPr>
        <w:t>建设单位</w:t>
      </w:r>
      <w:r>
        <w:rPr>
          <w:rFonts w:hint="eastAsia" w:ascii="宋体" w:hAnsi="宋体" w:cs="宋体"/>
          <w:sz w:val="24"/>
        </w:rPr>
        <w:t>及其工作人员不得参加监理单位安排的宴请（工作餐除外）和娱乐活动；不得接受监理单位提供的通讯工具、交通工具和高档办公用品等。</w:t>
      </w:r>
    </w:p>
    <w:p>
      <w:pPr>
        <w:tabs>
          <w:tab w:val="left" w:pos="5400"/>
        </w:tabs>
        <w:spacing w:line="360" w:lineRule="auto"/>
        <w:ind w:firstLine="480" w:firstLineChars="200"/>
        <w:rPr>
          <w:rFonts w:ascii="宋体" w:hAnsi="宋体" w:cs="宋体"/>
          <w:sz w:val="24"/>
        </w:rPr>
      </w:pPr>
      <w:r>
        <w:rPr>
          <w:rFonts w:hint="eastAsia" w:ascii="宋体" w:hAnsi="宋体" w:cs="宋体"/>
          <w:sz w:val="24"/>
        </w:rPr>
        <w:t xml:space="preserve">2.3  </w:t>
      </w:r>
      <w:r>
        <w:rPr>
          <w:rFonts w:hint="eastAsia" w:ascii="宋体" w:hAnsi="宋体" w:cs="宋体"/>
          <w:bCs/>
          <w:sz w:val="24"/>
        </w:rPr>
        <w:t>建设单位</w:t>
      </w:r>
      <w:r>
        <w:rPr>
          <w:rFonts w:hint="eastAsia" w:ascii="宋体" w:hAnsi="宋体" w:cs="宋体"/>
          <w:sz w:val="24"/>
        </w:rPr>
        <w:t>及其工作人员不得要求或者接受监理单位为其住房装修、婚丧嫁娶活动、配偶子女的工作安排以及出国出境、旅游等提供方便等。</w:t>
      </w:r>
    </w:p>
    <w:p>
      <w:pPr>
        <w:tabs>
          <w:tab w:val="left" w:pos="5400"/>
        </w:tabs>
        <w:spacing w:line="360" w:lineRule="auto"/>
        <w:ind w:firstLine="480" w:firstLineChars="200"/>
        <w:rPr>
          <w:rFonts w:ascii="宋体" w:hAnsi="宋体" w:cs="宋体"/>
          <w:sz w:val="24"/>
        </w:rPr>
      </w:pPr>
      <w:r>
        <w:rPr>
          <w:rFonts w:hint="eastAsia" w:ascii="宋体" w:hAnsi="宋体" w:cs="宋体"/>
          <w:sz w:val="24"/>
        </w:rPr>
        <w:t xml:space="preserve">2.4  </w:t>
      </w:r>
      <w:r>
        <w:rPr>
          <w:rFonts w:hint="eastAsia" w:ascii="宋体" w:hAnsi="宋体" w:cs="宋体"/>
          <w:bCs/>
          <w:sz w:val="24"/>
        </w:rPr>
        <w:t>建设单位</w:t>
      </w:r>
      <w:r>
        <w:rPr>
          <w:rFonts w:hint="eastAsia" w:ascii="宋体" w:hAnsi="宋体" w:cs="宋体"/>
          <w:sz w:val="24"/>
        </w:rPr>
        <w:t>及其工作人员及其配偶、子女不得从事与建设管理单位有关的工程材料设备供应、工程分包、劳务等经济活动。</w:t>
      </w:r>
    </w:p>
    <w:p>
      <w:pPr>
        <w:tabs>
          <w:tab w:val="left" w:pos="5400"/>
        </w:tabs>
        <w:spacing w:line="360" w:lineRule="auto"/>
        <w:ind w:firstLine="480" w:firstLineChars="200"/>
        <w:rPr>
          <w:rFonts w:ascii="宋体" w:hAnsi="宋体" w:cs="宋体"/>
          <w:sz w:val="24"/>
        </w:rPr>
      </w:pPr>
      <w:r>
        <w:rPr>
          <w:rFonts w:hint="eastAsia" w:ascii="宋体" w:hAnsi="宋体" w:cs="宋体"/>
          <w:sz w:val="24"/>
        </w:rPr>
        <w:t xml:space="preserve">2.5  </w:t>
      </w:r>
      <w:r>
        <w:rPr>
          <w:rFonts w:hint="eastAsia" w:ascii="宋体" w:hAnsi="宋体" w:cs="宋体"/>
          <w:bCs/>
          <w:sz w:val="24"/>
        </w:rPr>
        <w:t>建设单位</w:t>
      </w:r>
      <w:r>
        <w:rPr>
          <w:rFonts w:hint="eastAsia" w:ascii="宋体" w:hAnsi="宋体" w:cs="宋体"/>
          <w:sz w:val="24"/>
        </w:rPr>
        <w:t>及其工作人员不得以任何理由向监理单位推荐分包单位或推销材料，不得要求监理单位购买合同约定外的材料和设备。</w:t>
      </w:r>
    </w:p>
    <w:p>
      <w:pPr>
        <w:tabs>
          <w:tab w:val="left" w:pos="5400"/>
        </w:tabs>
        <w:spacing w:line="360" w:lineRule="auto"/>
        <w:ind w:firstLine="480" w:firstLineChars="200"/>
        <w:rPr>
          <w:rFonts w:ascii="宋体" w:hAnsi="宋体" w:cs="宋体"/>
          <w:bCs/>
          <w:sz w:val="24"/>
        </w:rPr>
      </w:pPr>
      <w:r>
        <w:rPr>
          <w:rFonts w:hint="eastAsia" w:ascii="宋体" w:hAnsi="宋体" w:cs="宋体"/>
          <w:sz w:val="24"/>
        </w:rPr>
        <w:t xml:space="preserve">2.6  </w:t>
      </w:r>
      <w:r>
        <w:rPr>
          <w:rFonts w:hint="eastAsia" w:ascii="宋体" w:hAnsi="宋体" w:cs="宋体"/>
          <w:bCs/>
          <w:sz w:val="24"/>
        </w:rPr>
        <w:t>建设单位</w:t>
      </w:r>
      <w:r>
        <w:rPr>
          <w:rFonts w:hint="eastAsia" w:ascii="宋体" w:hAnsi="宋体" w:cs="宋体"/>
          <w:sz w:val="24"/>
        </w:rPr>
        <w:t>及其工作人员要秉公办事，不准营私舞弊，不准利用职权从事各种个人有偿中介活动和安排个人施工队伍。</w:t>
      </w:r>
    </w:p>
    <w:p>
      <w:pPr>
        <w:tabs>
          <w:tab w:val="left" w:pos="5400"/>
        </w:tabs>
        <w:spacing w:line="360" w:lineRule="auto"/>
        <w:ind w:firstLine="482" w:firstLineChars="200"/>
        <w:rPr>
          <w:rFonts w:ascii="宋体" w:hAnsi="宋体" w:cs="宋体"/>
          <w:b/>
          <w:sz w:val="24"/>
        </w:rPr>
      </w:pPr>
      <w:r>
        <w:rPr>
          <w:rFonts w:hint="eastAsia" w:ascii="宋体" w:hAnsi="宋体" w:cs="宋体"/>
          <w:b/>
          <w:sz w:val="24"/>
        </w:rPr>
        <w:t>3  项目管理及工程监理单位义务</w:t>
      </w:r>
    </w:p>
    <w:p>
      <w:pPr>
        <w:tabs>
          <w:tab w:val="left" w:pos="5400"/>
        </w:tabs>
        <w:spacing w:line="360" w:lineRule="auto"/>
        <w:ind w:firstLine="480" w:firstLineChars="200"/>
        <w:rPr>
          <w:rFonts w:ascii="宋体" w:hAnsi="宋体" w:cs="宋体"/>
          <w:sz w:val="24"/>
        </w:rPr>
      </w:pPr>
      <w:r>
        <w:rPr>
          <w:rFonts w:hint="eastAsia" w:ascii="宋体" w:hAnsi="宋体" w:cs="宋体"/>
          <w:sz w:val="24"/>
        </w:rPr>
        <w:t>3.1  项目管理及工程监理单位不得以任何理由向</w:t>
      </w:r>
      <w:r>
        <w:rPr>
          <w:rFonts w:hint="eastAsia" w:ascii="宋体" w:hAnsi="宋体" w:cs="宋体"/>
          <w:bCs/>
          <w:sz w:val="24"/>
        </w:rPr>
        <w:t>建设单位</w:t>
      </w:r>
      <w:r>
        <w:rPr>
          <w:rFonts w:hint="eastAsia" w:ascii="宋体" w:hAnsi="宋体" w:cs="宋体"/>
          <w:sz w:val="24"/>
        </w:rPr>
        <w:t>及其工作人员行贿或馈赠礼金、有价证券、贵重礼品。</w:t>
      </w:r>
    </w:p>
    <w:p>
      <w:pPr>
        <w:tabs>
          <w:tab w:val="left" w:pos="5400"/>
        </w:tabs>
        <w:spacing w:line="360" w:lineRule="auto"/>
        <w:ind w:firstLine="480" w:firstLineChars="200"/>
        <w:rPr>
          <w:rFonts w:ascii="宋体" w:hAnsi="宋体" w:cs="宋体"/>
          <w:sz w:val="24"/>
        </w:rPr>
      </w:pPr>
      <w:r>
        <w:rPr>
          <w:rFonts w:hint="eastAsia" w:ascii="宋体" w:hAnsi="宋体" w:cs="宋体"/>
          <w:sz w:val="24"/>
        </w:rPr>
        <w:t>3.2  项目管理及工程监理单位不得以任何名义为</w:t>
      </w:r>
      <w:r>
        <w:rPr>
          <w:rFonts w:hint="eastAsia" w:ascii="宋体" w:hAnsi="宋体" w:cs="宋体"/>
          <w:bCs/>
          <w:sz w:val="24"/>
        </w:rPr>
        <w:t>建设单位</w:t>
      </w:r>
      <w:r>
        <w:rPr>
          <w:rFonts w:hint="eastAsia" w:ascii="宋体" w:hAnsi="宋体" w:cs="宋体"/>
          <w:sz w:val="24"/>
        </w:rPr>
        <w:t>及其工作人员报销应由建设管理单位或工作人员个人支付的任何费用。</w:t>
      </w:r>
    </w:p>
    <w:p>
      <w:pPr>
        <w:tabs>
          <w:tab w:val="left" w:pos="5400"/>
        </w:tabs>
        <w:spacing w:line="360" w:lineRule="auto"/>
        <w:ind w:firstLine="480" w:firstLineChars="200"/>
        <w:rPr>
          <w:rFonts w:ascii="宋体" w:hAnsi="宋体" w:cs="宋体"/>
          <w:sz w:val="24"/>
        </w:rPr>
      </w:pPr>
      <w:r>
        <w:rPr>
          <w:rFonts w:hint="eastAsia" w:ascii="宋体" w:hAnsi="宋体" w:cs="宋体"/>
          <w:sz w:val="24"/>
        </w:rPr>
        <w:t>3.3  项目管理及工程监理单位不得以任何理由安排</w:t>
      </w:r>
      <w:r>
        <w:rPr>
          <w:rFonts w:hint="eastAsia" w:ascii="宋体" w:hAnsi="宋体" w:cs="宋体"/>
          <w:bCs/>
          <w:sz w:val="24"/>
        </w:rPr>
        <w:t>建设单位</w:t>
      </w:r>
      <w:r>
        <w:rPr>
          <w:rFonts w:hint="eastAsia" w:ascii="宋体" w:hAnsi="宋体" w:cs="宋体"/>
          <w:sz w:val="24"/>
        </w:rPr>
        <w:t>及其工作人员参加宴请（工作餐除外）及娱乐活动。</w:t>
      </w:r>
    </w:p>
    <w:p>
      <w:pPr>
        <w:tabs>
          <w:tab w:val="left" w:pos="5400"/>
        </w:tabs>
        <w:spacing w:line="360" w:lineRule="auto"/>
        <w:ind w:firstLine="480" w:firstLineChars="200"/>
        <w:rPr>
          <w:rFonts w:ascii="宋体" w:hAnsi="宋体" w:cs="宋体"/>
          <w:bCs/>
          <w:sz w:val="24"/>
        </w:rPr>
      </w:pPr>
      <w:r>
        <w:rPr>
          <w:rFonts w:hint="eastAsia" w:ascii="宋体" w:hAnsi="宋体" w:cs="宋体"/>
          <w:sz w:val="24"/>
        </w:rPr>
        <w:t>3.4  项目管理及工程监理单位不得为</w:t>
      </w:r>
      <w:r>
        <w:rPr>
          <w:rFonts w:hint="eastAsia" w:ascii="宋体" w:hAnsi="宋体" w:cs="宋体"/>
          <w:bCs/>
          <w:sz w:val="24"/>
        </w:rPr>
        <w:t>建设单位</w:t>
      </w:r>
      <w:r>
        <w:rPr>
          <w:rFonts w:hint="eastAsia" w:ascii="宋体" w:hAnsi="宋体" w:cs="宋体"/>
          <w:sz w:val="24"/>
        </w:rPr>
        <w:t>购置或提供高档通讯工具和高档办公用品等。</w:t>
      </w:r>
    </w:p>
    <w:p>
      <w:pPr>
        <w:tabs>
          <w:tab w:val="left" w:pos="5400"/>
        </w:tabs>
        <w:spacing w:line="360" w:lineRule="auto"/>
        <w:ind w:firstLine="482" w:firstLineChars="200"/>
        <w:rPr>
          <w:rFonts w:ascii="宋体" w:hAnsi="宋体" w:cs="宋体"/>
          <w:b/>
          <w:sz w:val="24"/>
        </w:rPr>
      </w:pPr>
      <w:r>
        <w:rPr>
          <w:rFonts w:hint="eastAsia" w:ascii="宋体" w:hAnsi="宋体" w:cs="宋体"/>
          <w:b/>
          <w:sz w:val="24"/>
        </w:rPr>
        <w:t>4  违约责任</w:t>
      </w:r>
    </w:p>
    <w:p>
      <w:pPr>
        <w:tabs>
          <w:tab w:val="left" w:pos="5400"/>
        </w:tabs>
        <w:spacing w:line="360" w:lineRule="auto"/>
        <w:ind w:firstLine="480" w:firstLineChars="200"/>
        <w:rPr>
          <w:rFonts w:ascii="宋体" w:hAnsi="宋体" w:cs="宋体"/>
          <w:sz w:val="24"/>
        </w:rPr>
      </w:pPr>
      <w:r>
        <w:rPr>
          <w:rFonts w:hint="eastAsia" w:ascii="宋体" w:hAnsi="宋体" w:cs="宋体"/>
          <w:sz w:val="24"/>
        </w:rPr>
        <w:t xml:space="preserve">4.1  </w:t>
      </w:r>
      <w:r>
        <w:rPr>
          <w:rFonts w:hint="eastAsia" w:ascii="宋体" w:hAnsi="宋体" w:cs="宋体"/>
          <w:bCs/>
          <w:sz w:val="24"/>
        </w:rPr>
        <w:t>建设单位</w:t>
      </w:r>
      <w:r>
        <w:rPr>
          <w:rFonts w:hint="eastAsia" w:ascii="宋体" w:hAnsi="宋体" w:cs="宋体"/>
          <w:sz w:val="24"/>
        </w:rPr>
        <w:t>及其工作人员违反本合同第1条和第2条规定，应依据有关规定给予廉政建设规定的处分；涉嫌犯罪的，移交司法机关追究刑事责任；给项目管理及工程监理单位造成经济损失的，应予赔偿。</w:t>
      </w:r>
    </w:p>
    <w:p>
      <w:pPr>
        <w:tabs>
          <w:tab w:val="left" w:pos="5400"/>
        </w:tabs>
        <w:spacing w:line="360" w:lineRule="auto"/>
        <w:ind w:firstLine="480" w:firstLineChars="200"/>
        <w:rPr>
          <w:rFonts w:ascii="宋体" w:hAnsi="宋体" w:cs="宋体"/>
          <w:sz w:val="24"/>
        </w:rPr>
      </w:pPr>
      <w:r>
        <w:rPr>
          <w:rFonts w:hint="eastAsia" w:ascii="宋体" w:hAnsi="宋体" w:cs="宋体"/>
          <w:sz w:val="24"/>
        </w:rPr>
        <w:t>4.2  项目管理及工程监理单位及其工作人员违反本合同第1条和第3条规定，应依据有关规定给予廉政建设规定的处分；给</w:t>
      </w:r>
      <w:r>
        <w:rPr>
          <w:rFonts w:hint="eastAsia" w:ascii="宋体" w:hAnsi="宋体" w:cs="宋体"/>
          <w:bCs/>
          <w:sz w:val="24"/>
        </w:rPr>
        <w:t>建设单位</w:t>
      </w:r>
      <w:r>
        <w:rPr>
          <w:rFonts w:hint="eastAsia" w:ascii="宋体" w:hAnsi="宋体" w:cs="宋体"/>
          <w:sz w:val="24"/>
        </w:rPr>
        <w:t>造成经济损失的，应予赔偿；情节严重的，由建设主管部门给予监理单位一至三年内不得进入工程建设市场的处罚。</w:t>
      </w:r>
    </w:p>
    <w:p>
      <w:pPr>
        <w:tabs>
          <w:tab w:val="left" w:pos="5400"/>
        </w:tabs>
        <w:spacing w:line="360" w:lineRule="auto"/>
        <w:ind w:firstLine="482" w:firstLineChars="200"/>
        <w:rPr>
          <w:rFonts w:ascii="宋体" w:hAnsi="宋体" w:cs="宋体"/>
          <w:b/>
          <w:bCs/>
          <w:sz w:val="24"/>
        </w:rPr>
      </w:pPr>
      <w:r>
        <w:rPr>
          <w:rFonts w:hint="eastAsia" w:ascii="宋体" w:hAnsi="宋体" w:cs="宋体"/>
          <w:b/>
          <w:bCs/>
          <w:sz w:val="24"/>
        </w:rPr>
        <w:t>5  双方约定</w:t>
      </w:r>
    </w:p>
    <w:p>
      <w:pPr>
        <w:tabs>
          <w:tab w:val="left" w:pos="5400"/>
        </w:tabs>
        <w:spacing w:line="360" w:lineRule="auto"/>
        <w:ind w:firstLine="480" w:firstLineChars="200"/>
        <w:rPr>
          <w:rFonts w:ascii="宋体" w:hAnsi="宋体" w:cs="宋体"/>
          <w:sz w:val="24"/>
        </w:rPr>
      </w:pPr>
      <w:r>
        <w:rPr>
          <w:rFonts w:hint="eastAsia" w:ascii="宋体" w:hAnsi="宋体" w:cs="宋体"/>
          <w:sz w:val="24"/>
        </w:rPr>
        <w:t>本合同由双方或其上级部门负责监督执行，并由双方或其上级部门相互约请对本合同执行情况进行检查。</w:t>
      </w:r>
    </w:p>
    <w:p>
      <w:pPr>
        <w:tabs>
          <w:tab w:val="left" w:pos="5400"/>
        </w:tabs>
        <w:spacing w:line="360" w:lineRule="auto"/>
        <w:ind w:firstLine="482" w:firstLineChars="200"/>
        <w:rPr>
          <w:rFonts w:ascii="宋体" w:hAnsi="宋体" w:cs="宋体"/>
          <w:b/>
          <w:sz w:val="24"/>
        </w:rPr>
      </w:pPr>
      <w:r>
        <w:rPr>
          <w:rFonts w:hint="eastAsia" w:ascii="宋体" w:hAnsi="宋体" w:cs="宋体"/>
          <w:b/>
          <w:sz w:val="24"/>
        </w:rPr>
        <w:t>6  合同生效</w:t>
      </w:r>
    </w:p>
    <w:p>
      <w:pPr>
        <w:tabs>
          <w:tab w:val="left" w:pos="5400"/>
        </w:tabs>
        <w:spacing w:line="360" w:lineRule="auto"/>
        <w:ind w:firstLine="480" w:firstLineChars="200"/>
        <w:rPr>
          <w:rFonts w:ascii="宋体" w:hAnsi="宋体" w:cs="宋体"/>
          <w:bCs/>
          <w:sz w:val="24"/>
        </w:rPr>
      </w:pPr>
      <w:r>
        <w:rPr>
          <w:rFonts w:hint="eastAsia" w:ascii="宋体" w:hAnsi="宋体" w:cs="宋体"/>
          <w:sz w:val="24"/>
        </w:rPr>
        <w:t>本合同的有效期，自双方签署之日起至该工程竣工验收合格之日止。</w:t>
      </w:r>
    </w:p>
    <w:p>
      <w:pPr>
        <w:tabs>
          <w:tab w:val="left" w:pos="5400"/>
        </w:tabs>
        <w:spacing w:line="360" w:lineRule="auto"/>
        <w:ind w:firstLine="482" w:firstLineChars="200"/>
        <w:rPr>
          <w:rFonts w:ascii="宋体" w:hAnsi="宋体" w:cs="宋体"/>
          <w:b/>
          <w:sz w:val="24"/>
        </w:rPr>
      </w:pPr>
      <w:r>
        <w:rPr>
          <w:rFonts w:hint="eastAsia" w:ascii="宋体" w:hAnsi="宋体" w:cs="宋体"/>
          <w:b/>
          <w:sz w:val="24"/>
        </w:rPr>
        <w:t>7  合同法律效力</w:t>
      </w:r>
    </w:p>
    <w:p>
      <w:pPr>
        <w:tabs>
          <w:tab w:val="left" w:pos="5400"/>
        </w:tabs>
        <w:spacing w:line="360" w:lineRule="auto"/>
        <w:ind w:firstLine="480" w:firstLineChars="200"/>
        <w:rPr>
          <w:rFonts w:ascii="宋体" w:hAnsi="宋体" w:cs="宋体"/>
          <w:sz w:val="24"/>
        </w:rPr>
      </w:pPr>
      <w:r>
        <w:rPr>
          <w:rFonts w:hint="eastAsia" w:ascii="宋体" w:hAnsi="宋体" w:cs="宋体"/>
          <w:sz w:val="24"/>
        </w:rPr>
        <w:t>本合同作为</w:t>
      </w:r>
      <w:r>
        <w:rPr>
          <w:rFonts w:hint="eastAsia" w:ascii="宋体" w:hAnsi="宋体" w:cs="宋体"/>
          <w:sz w:val="24"/>
          <w:u w:val="single"/>
        </w:rPr>
        <w:t>琶洲街黄埔古村古港提升工程项目管理及工程监理</w:t>
      </w:r>
      <w:r>
        <w:rPr>
          <w:rFonts w:hint="eastAsia" w:ascii="宋体" w:hAnsi="宋体" w:cs="宋体"/>
          <w:sz w:val="24"/>
        </w:rPr>
        <w:t>合同的附件，与琶洲街黄埔古村古港提升工程项目管理及工程监理合同具有同等的法律效力，经双方签署后生效。</w:t>
      </w:r>
    </w:p>
    <w:p>
      <w:pPr>
        <w:tabs>
          <w:tab w:val="left" w:pos="5400"/>
        </w:tabs>
        <w:spacing w:line="360" w:lineRule="auto"/>
        <w:ind w:firstLine="480" w:firstLineChars="200"/>
        <w:rPr>
          <w:rFonts w:ascii="宋体" w:hAnsi="宋体" w:cs="宋体"/>
          <w:sz w:val="24"/>
        </w:rPr>
      </w:pPr>
      <w:r>
        <w:rPr>
          <w:rFonts w:ascii="宋体" w:hAnsi="宋体" w:cs="宋体"/>
          <w:sz w:val="24"/>
        </w:rPr>
        <w:br w:type="page"/>
      </w:r>
      <w:r>
        <w:rPr>
          <w:rFonts w:ascii="宋体" w:hAnsi="宋体" w:cs="宋体"/>
          <w:sz w:val="24"/>
        </w:rPr>
        <w:t>（</w:t>
      </w:r>
      <w:r>
        <w:rPr>
          <w:rFonts w:hint="eastAsia" w:ascii="宋体" w:hAnsi="宋体" w:cs="宋体"/>
          <w:sz w:val="24"/>
        </w:rPr>
        <w:t>以下无正文）</w:t>
      </w:r>
    </w:p>
    <w:p>
      <w:pPr>
        <w:tabs>
          <w:tab w:val="left" w:pos="5400"/>
        </w:tabs>
        <w:spacing w:line="360" w:lineRule="auto"/>
        <w:rPr>
          <w:rFonts w:ascii="宋体" w:hAnsi="宋体" w:cs="宋体"/>
          <w:sz w:val="24"/>
        </w:rPr>
      </w:pPr>
    </w:p>
    <w:p>
      <w:pPr>
        <w:tabs>
          <w:tab w:val="left" w:pos="5400"/>
        </w:tabs>
        <w:spacing w:line="360" w:lineRule="auto"/>
        <w:rPr>
          <w:rFonts w:ascii="宋体" w:hAnsi="宋体" w:cs="宋体"/>
          <w:sz w:val="24"/>
        </w:rPr>
      </w:pPr>
      <w:r>
        <w:rPr>
          <w:rFonts w:hint="eastAsia" w:ascii="宋体" w:hAnsi="宋体" w:cs="宋体"/>
          <w:sz w:val="24"/>
        </w:rPr>
        <w:t>发包人：广州市海珠区人民政府琶洲街道办事处</w:t>
      </w:r>
      <w:r>
        <w:rPr>
          <w:rFonts w:hint="eastAsia" w:ascii="宋体" w:hAnsi="宋体"/>
          <w:sz w:val="24"/>
        </w:rPr>
        <w:t xml:space="preserve"> </w:t>
      </w:r>
      <w:r>
        <w:rPr>
          <w:rFonts w:hint="eastAsia" w:ascii="宋体" w:hAnsi="宋体" w:cs="宋体"/>
          <w:sz w:val="24"/>
        </w:rPr>
        <w:t xml:space="preserve">(公章)          </w:t>
      </w:r>
    </w:p>
    <w:p>
      <w:pPr>
        <w:spacing w:line="360" w:lineRule="auto"/>
        <w:rPr>
          <w:rFonts w:ascii="宋体" w:hAnsi="宋体" w:cs="宋体"/>
          <w:snapToGrid w:val="0"/>
          <w:sz w:val="24"/>
        </w:rPr>
      </w:pPr>
      <w:r>
        <w:rPr>
          <w:rFonts w:hint="eastAsia" w:ascii="宋体" w:hAnsi="宋体" w:cs="宋体"/>
          <w:sz w:val="24"/>
        </w:rPr>
        <w:t>地址：</w:t>
      </w:r>
    </w:p>
    <w:p>
      <w:pPr>
        <w:tabs>
          <w:tab w:val="left" w:pos="5400"/>
        </w:tabs>
        <w:spacing w:line="360" w:lineRule="auto"/>
        <w:rPr>
          <w:rFonts w:ascii="宋体" w:hAnsi="宋体" w:cs="宋体"/>
          <w:sz w:val="24"/>
        </w:rPr>
      </w:pPr>
      <w:r>
        <w:rPr>
          <w:rFonts w:hint="eastAsia" w:ascii="宋体" w:hAnsi="宋体" w:cs="宋体"/>
          <w:sz w:val="24"/>
        </w:rPr>
        <w:t xml:space="preserve">法定代表人：       </w:t>
      </w:r>
    </w:p>
    <w:p>
      <w:pPr>
        <w:tabs>
          <w:tab w:val="left" w:pos="5400"/>
        </w:tabs>
        <w:spacing w:line="360" w:lineRule="auto"/>
        <w:rPr>
          <w:rFonts w:ascii="宋体" w:hAnsi="宋体" w:cs="宋体"/>
          <w:sz w:val="24"/>
        </w:rPr>
      </w:pPr>
      <w:r>
        <w:rPr>
          <w:rFonts w:hint="eastAsia" w:ascii="宋体" w:hAnsi="宋体" w:cs="宋体"/>
          <w:sz w:val="24"/>
        </w:rPr>
        <w:t>授权代理人：</w:t>
      </w:r>
    </w:p>
    <w:p>
      <w:pPr>
        <w:tabs>
          <w:tab w:val="left" w:pos="5400"/>
        </w:tabs>
        <w:spacing w:line="360" w:lineRule="auto"/>
        <w:rPr>
          <w:rFonts w:ascii="宋体" w:hAnsi="宋体" w:cs="宋体"/>
          <w:sz w:val="24"/>
        </w:rPr>
      </w:pPr>
      <w:r>
        <w:rPr>
          <w:rFonts w:hint="eastAsia" w:ascii="宋体" w:hAnsi="宋体" w:cs="宋体"/>
          <w:sz w:val="24"/>
        </w:rPr>
        <w:t xml:space="preserve">日期：     </w:t>
      </w:r>
    </w:p>
    <w:p>
      <w:pPr>
        <w:pStyle w:val="304"/>
        <w:spacing w:line="360" w:lineRule="auto"/>
      </w:pPr>
    </w:p>
    <w:p>
      <w:pPr>
        <w:spacing w:line="360" w:lineRule="auto"/>
        <w:rPr>
          <w:rFonts w:ascii="宋体" w:hAnsi="宋体" w:cs="宋体"/>
          <w:snapToGrid w:val="0"/>
          <w:sz w:val="24"/>
        </w:rPr>
      </w:pPr>
      <w:r>
        <w:rPr>
          <w:rFonts w:hint="eastAsia" w:ascii="宋体" w:hAnsi="宋体" w:cs="宋体"/>
          <w:snapToGrid w:val="0"/>
          <w:sz w:val="24"/>
        </w:rPr>
        <w:t>承包人：</w:t>
      </w:r>
      <w:r>
        <w:rPr>
          <w:rFonts w:hint="eastAsia" w:ascii="宋体" w:hAnsi="宋体" w:cs="宋体"/>
          <w:sz w:val="24"/>
        </w:rPr>
        <w:t xml:space="preserve"> </w:t>
      </w:r>
      <w:r>
        <w:rPr>
          <w:rFonts w:ascii="宋体" w:hAnsi="宋体" w:cs="宋体"/>
          <w:sz w:val="24"/>
        </w:rPr>
        <w:t xml:space="preserve">          </w:t>
      </w:r>
      <w:r>
        <w:rPr>
          <w:rFonts w:hint="eastAsia" w:ascii="宋体" w:hAnsi="宋体" w:cs="宋体"/>
          <w:snapToGrid w:val="0"/>
          <w:sz w:val="24"/>
        </w:rPr>
        <w:t>（公章）</w:t>
      </w:r>
    </w:p>
    <w:p>
      <w:pPr>
        <w:spacing w:line="360" w:lineRule="auto"/>
        <w:rPr>
          <w:rFonts w:ascii="宋体" w:hAnsi="宋体" w:cs="宋体"/>
          <w:snapToGrid w:val="0"/>
          <w:sz w:val="24"/>
        </w:rPr>
      </w:pPr>
      <w:r>
        <w:rPr>
          <w:rFonts w:hint="eastAsia" w:ascii="宋体" w:hAnsi="宋体" w:cs="宋体"/>
          <w:snapToGrid w:val="0"/>
          <w:sz w:val="24"/>
        </w:rPr>
        <w:t xml:space="preserve">通讯地址： </w:t>
      </w:r>
      <w:r>
        <w:rPr>
          <w:rFonts w:ascii="宋体" w:hAnsi="宋体" w:cs="宋体"/>
          <w:snapToGrid w:val="0"/>
          <w:sz w:val="24"/>
        </w:rPr>
        <w:t xml:space="preserve">                  </w:t>
      </w:r>
    </w:p>
    <w:p>
      <w:pPr>
        <w:spacing w:line="360" w:lineRule="auto"/>
        <w:rPr>
          <w:rFonts w:ascii="宋体" w:hAnsi="宋体" w:cs="宋体"/>
          <w:snapToGrid w:val="0"/>
          <w:sz w:val="24"/>
        </w:rPr>
      </w:pPr>
      <w:r>
        <w:rPr>
          <w:rFonts w:hint="eastAsia" w:ascii="宋体" w:hAnsi="宋体" w:cs="宋体"/>
          <w:snapToGrid w:val="0"/>
          <w:sz w:val="24"/>
        </w:rPr>
        <w:t>法定代表人：</w:t>
      </w:r>
    </w:p>
    <w:p>
      <w:pPr>
        <w:spacing w:line="360" w:lineRule="auto"/>
        <w:rPr>
          <w:rFonts w:ascii="宋体" w:hAnsi="宋体" w:cs="宋体"/>
          <w:snapToGrid w:val="0"/>
          <w:sz w:val="24"/>
        </w:rPr>
      </w:pPr>
      <w:r>
        <w:rPr>
          <w:rFonts w:hint="eastAsia" w:ascii="宋体" w:hAnsi="宋体" w:cs="宋体"/>
          <w:snapToGrid w:val="0"/>
          <w:sz w:val="24"/>
        </w:rPr>
        <w:t>签约代表：</w:t>
      </w:r>
    </w:p>
    <w:p>
      <w:pPr>
        <w:pStyle w:val="2"/>
        <w:ind w:firstLine="0"/>
      </w:pPr>
      <w:r>
        <w:rPr>
          <w:rFonts w:hint="eastAsia" w:ascii="宋体" w:hAnsi="宋体" w:cs="宋体"/>
          <w:sz w:val="24"/>
        </w:rPr>
        <w:t xml:space="preserve">日期： </w:t>
      </w:r>
    </w:p>
    <w:p>
      <w:pPr>
        <w:pStyle w:val="304"/>
        <w:spacing w:line="360" w:lineRule="auto"/>
        <w:rPr>
          <w:rFonts w:ascii="宋体" w:hAnsi="宋体" w:cs="宋体"/>
          <w:snapToGrid w:val="0"/>
          <w:sz w:val="24"/>
        </w:rPr>
      </w:pPr>
    </w:p>
    <w:p>
      <w:pPr>
        <w:pStyle w:val="304"/>
        <w:spacing w:line="360" w:lineRule="auto"/>
        <w:ind w:firstLine="480" w:firstLineChars="200"/>
        <w:rPr>
          <w:rFonts w:ascii="宋体" w:hAnsi="宋体" w:cs="宋体"/>
          <w:snapToGrid w:val="0"/>
          <w:sz w:val="24"/>
        </w:rPr>
      </w:pPr>
    </w:p>
    <w:p>
      <w:pPr>
        <w:pStyle w:val="304"/>
        <w:spacing w:line="360" w:lineRule="auto"/>
        <w:ind w:firstLine="480" w:firstLineChars="200"/>
        <w:rPr>
          <w:rFonts w:ascii="宋体" w:hAnsi="宋体" w:cs="宋体"/>
          <w:snapToGrid w:val="0"/>
          <w:sz w:val="24"/>
        </w:rPr>
      </w:pPr>
    </w:p>
    <w:p>
      <w:pPr>
        <w:pStyle w:val="304"/>
        <w:spacing w:line="360" w:lineRule="auto"/>
      </w:pPr>
    </w:p>
    <w:p>
      <w:pPr>
        <w:tabs>
          <w:tab w:val="left" w:pos="5400"/>
        </w:tabs>
        <w:spacing w:line="360" w:lineRule="auto"/>
        <w:outlineLvl w:val="0"/>
        <w:rPr>
          <w:rFonts w:ascii="仿宋_GB2312" w:hAnsi="宋体" w:eastAsia="仿宋_GB2312"/>
          <w:b/>
          <w:kern w:val="0"/>
          <w:sz w:val="24"/>
          <w:szCs w:val="30"/>
        </w:rPr>
      </w:pPr>
      <w:r>
        <w:rPr>
          <w:rFonts w:ascii="仿宋_GB2312" w:hAnsi="宋体" w:eastAsia="仿宋_GB2312"/>
          <w:b/>
          <w:kern w:val="0"/>
          <w:sz w:val="24"/>
          <w:szCs w:val="30"/>
        </w:rPr>
        <w:br w:type="page"/>
      </w:r>
      <w:r>
        <w:rPr>
          <w:rFonts w:hint="eastAsia" w:ascii="仿宋_GB2312" w:hAnsi="宋体" w:eastAsia="仿宋_GB2312"/>
          <w:b/>
          <w:kern w:val="0"/>
          <w:sz w:val="24"/>
          <w:szCs w:val="30"/>
        </w:rPr>
        <w:t>附件2：</w:t>
      </w:r>
    </w:p>
    <w:p>
      <w:pPr>
        <w:tabs>
          <w:tab w:val="left" w:pos="5400"/>
        </w:tabs>
        <w:spacing w:line="360" w:lineRule="auto"/>
        <w:jc w:val="center"/>
        <w:rPr>
          <w:rFonts w:ascii="宋体" w:hAnsi="宋体" w:cs="宋体"/>
          <w:b/>
          <w:sz w:val="32"/>
          <w:szCs w:val="32"/>
        </w:rPr>
      </w:pPr>
      <w:r>
        <w:rPr>
          <w:rFonts w:hint="eastAsia" w:ascii="宋体" w:hAnsi="宋体" w:cs="宋体"/>
          <w:b/>
          <w:sz w:val="32"/>
          <w:szCs w:val="32"/>
        </w:rPr>
        <w:t>中标通知书</w:t>
      </w:r>
    </w:p>
    <w:p>
      <w:pPr>
        <w:pStyle w:val="304"/>
        <w:spacing w:line="360" w:lineRule="auto"/>
      </w:pPr>
    </w:p>
    <w:p>
      <w:pPr>
        <w:tabs>
          <w:tab w:val="left" w:pos="5400"/>
        </w:tabs>
        <w:spacing w:line="360" w:lineRule="auto"/>
        <w:outlineLvl w:val="0"/>
        <w:rPr>
          <w:rFonts w:ascii="宋体" w:hAnsi="宋体" w:cs="宋体"/>
          <w:b/>
          <w:sz w:val="32"/>
          <w:szCs w:val="32"/>
        </w:rPr>
      </w:pPr>
      <w:r>
        <w:rPr>
          <w:rFonts w:ascii="仿宋_GB2312" w:hAnsi="宋体" w:eastAsia="仿宋_GB2312"/>
          <w:kern w:val="0"/>
          <w:sz w:val="24"/>
          <w:szCs w:val="30"/>
        </w:rPr>
        <w:br w:type="page"/>
      </w:r>
      <w:r>
        <w:rPr>
          <w:rFonts w:hint="eastAsia" w:ascii="仿宋_GB2312" w:hAnsi="宋体" w:eastAsia="仿宋_GB2312"/>
          <w:b/>
          <w:kern w:val="0"/>
          <w:sz w:val="24"/>
          <w:szCs w:val="30"/>
        </w:rPr>
        <w:t>附件3：</w:t>
      </w:r>
    </w:p>
    <w:p>
      <w:pPr>
        <w:tabs>
          <w:tab w:val="left" w:pos="5400"/>
        </w:tabs>
        <w:snapToGrid w:val="0"/>
        <w:spacing w:line="360" w:lineRule="auto"/>
        <w:ind w:firstLine="2570" w:firstLineChars="800"/>
        <w:textAlignment w:val="baseline"/>
        <w:rPr>
          <w:rStyle w:val="100"/>
          <w:rFonts w:ascii="宋体" w:hAnsi="宋体"/>
          <w:b/>
          <w:sz w:val="32"/>
          <w:szCs w:val="32"/>
        </w:rPr>
      </w:pPr>
      <w:r>
        <w:rPr>
          <w:rStyle w:val="100"/>
          <w:rFonts w:hint="eastAsia" w:ascii="宋体" w:hAnsi="宋体"/>
          <w:b/>
          <w:sz w:val="32"/>
          <w:szCs w:val="32"/>
        </w:rPr>
        <w:t>项目管理</w:t>
      </w:r>
      <w:r>
        <w:rPr>
          <w:rStyle w:val="100"/>
          <w:rFonts w:ascii="宋体" w:hAnsi="宋体"/>
          <w:b/>
          <w:sz w:val="32"/>
          <w:szCs w:val="32"/>
        </w:rPr>
        <w:t>服务</w:t>
      </w:r>
      <w:r>
        <w:rPr>
          <w:rStyle w:val="100"/>
          <w:rFonts w:hint="eastAsia" w:ascii="宋体" w:hAnsi="宋体"/>
          <w:b/>
          <w:sz w:val="32"/>
          <w:szCs w:val="32"/>
        </w:rPr>
        <w:t>人员</w:t>
      </w:r>
      <w:r>
        <w:rPr>
          <w:rStyle w:val="100"/>
          <w:rFonts w:ascii="宋体" w:hAnsi="宋体"/>
          <w:b/>
          <w:sz w:val="32"/>
          <w:szCs w:val="32"/>
        </w:rPr>
        <w:t>一览表</w:t>
      </w:r>
    </w:p>
    <w:tbl>
      <w:tblPr>
        <w:tblStyle w:val="42"/>
        <w:tblW w:w="94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260"/>
        <w:gridCol w:w="1980"/>
        <w:gridCol w:w="2360"/>
        <w:gridCol w:w="1200"/>
        <w:gridCol w:w="1002"/>
        <w:gridCol w:w="1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r>
              <w:rPr>
                <w:rStyle w:val="100"/>
                <w:b/>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r>
              <w:rPr>
                <w:rStyle w:val="100"/>
                <w:b/>
              </w:rPr>
              <w:t>姓名</w:t>
            </w: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r>
              <w:rPr>
                <w:rStyle w:val="100"/>
                <w:b/>
              </w:rPr>
              <w:t>在本项目的职位</w:t>
            </w:r>
          </w:p>
        </w:tc>
        <w:tc>
          <w:tcPr>
            <w:tcW w:w="23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b/>
                <w:sz w:val="24"/>
              </w:rPr>
            </w:pPr>
            <w:r>
              <w:rPr>
                <w:rFonts w:hint="eastAsia" w:ascii="宋体" w:hAnsi="宋体" w:cs="宋体"/>
                <w:b/>
                <w:spacing w:val="-7"/>
                <w:sz w:val="24"/>
              </w:rPr>
              <w:t>执业资格证书（或上岗</w:t>
            </w:r>
          </w:p>
          <w:p>
            <w:pPr>
              <w:snapToGrid w:val="0"/>
              <w:spacing w:line="360" w:lineRule="auto"/>
              <w:jc w:val="center"/>
              <w:textAlignment w:val="baseline"/>
              <w:rPr>
                <w:rStyle w:val="100"/>
                <w:b/>
              </w:rPr>
            </w:pPr>
            <w:r>
              <w:rPr>
                <w:rFonts w:hint="eastAsia" w:ascii="宋体" w:hAnsi="宋体" w:cs="宋体"/>
                <w:b/>
                <w:spacing w:val="-7"/>
                <w:sz w:val="24"/>
              </w:rPr>
              <w:t>证书）名称</w:t>
            </w:r>
          </w:p>
        </w:tc>
        <w:tc>
          <w:tcPr>
            <w:tcW w:w="12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r>
              <w:rPr>
                <w:rStyle w:val="100"/>
                <w:b/>
              </w:rPr>
              <w:t>专业</w:t>
            </w: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r>
              <w:rPr>
                <w:rStyle w:val="100"/>
                <w:rFonts w:hint="eastAsia"/>
                <w:b/>
              </w:rPr>
              <w:t>职称</w:t>
            </w: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r>
              <w:rPr>
                <w:rStyle w:val="100"/>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1</w:t>
            </w:r>
          </w:p>
        </w:tc>
        <w:tc>
          <w:tcPr>
            <w:tcW w:w="12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b/>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b/>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b/>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2</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pacing w:val="20"/>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3</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4</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5</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6</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7</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8</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9</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10</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11</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12</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13</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r>
              <w:rPr>
                <w:rStyle w:val="100"/>
                <w:rFonts w:hint="eastAsia" w:ascii="宋体" w:hAnsi="宋体" w:cs="宋体"/>
                <w:sz w:val="24"/>
              </w:rPr>
              <w:t>14</w:t>
            </w:r>
          </w:p>
        </w:tc>
        <w:tc>
          <w:tcPr>
            <w:tcW w:w="12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Fonts w:ascii="宋体" w:hAnsi="宋体" w:cs="宋体"/>
                <w:sz w:val="24"/>
              </w:rPr>
            </w:pPr>
          </w:p>
        </w:tc>
        <w:tc>
          <w:tcPr>
            <w:tcW w:w="236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tabs>
                <w:tab w:val="left" w:pos="11160"/>
              </w:tabs>
              <w:spacing w:line="360" w:lineRule="auto"/>
              <w:ind w:left="-84" w:leftChars="-40" w:right="-94" w:rightChars="-45"/>
              <w:jc w:val="center"/>
              <w:rPr>
                <w:rFonts w:ascii="宋体" w:hAnsi="宋体" w:cs="宋体"/>
                <w:sz w:val="24"/>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c>
          <w:tcPr>
            <w:tcW w:w="100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baseline"/>
              <w:rPr>
                <w:rStyle w:val="100"/>
              </w:rPr>
            </w:pPr>
          </w:p>
        </w:tc>
      </w:tr>
    </w:tbl>
    <w:p>
      <w:pPr>
        <w:tabs>
          <w:tab w:val="left" w:pos="5400"/>
        </w:tabs>
        <w:snapToGrid w:val="0"/>
        <w:spacing w:line="360" w:lineRule="auto"/>
        <w:textAlignment w:val="baseline"/>
        <w:rPr>
          <w:rStyle w:val="100"/>
          <w:rFonts w:ascii="仿宋_GB2312" w:hAnsi="宋体" w:eastAsia="仿宋_GB2312"/>
          <w:sz w:val="24"/>
        </w:rPr>
      </w:pPr>
    </w:p>
    <w:bookmarkEnd w:id="265"/>
    <w:p>
      <w:pPr>
        <w:tabs>
          <w:tab w:val="left" w:pos="5400"/>
        </w:tabs>
        <w:spacing w:line="360" w:lineRule="auto"/>
        <w:rPr>
          <w:rFonts w:ascii="宋体" w:hAnsi="宋体"/>
          <w:spacing w:val="2"/>
          <w:position w:val="2"/>
          <w:sz w:val="24"/>
        </w:rPr>
      </w:pPr>
    </w:p>
    <w:p>
      <w:pPr>
        <w:tabs>
          <w:tab w:val="left" w:pos="5400"/>
        </w:tabs>
        <w:spacing w:line="360" w:lineRule="auto"/>
        <w:ind w:firstLine="2570" w:firstLineChars="800"/>
        <w:rPr>
          <w:rFonts w:ascii="宋体" w:hAnsi="宋体" w:cs="宋体"/>
          <w:b/>
          <w:sz w:val="32"/>
          <w:szCs w:val="32"/>
        </w:rPr>
      </w:pPr>
    </w:p>
    <w:p>
      <w:pPr>
        <w:tabs>
          <w:tab w:val="left" w:pos="5400"/>
        </w:tabs>
        <w:spacing w:line="360" w:lineRule="auto"/>
        <w:rPr>
          <w:rFonts w:ascii="仿宋_GB2312" w:hAnsi="宋体" w:eastAsia="仿宋_GB2312"/>
          <w:sz w:val="24"/>
        </w:rPr>
      </w:pPr>
    </w:p>
    <w:p>
      <w:pPr>
        <w:spacing w:line="360" w:lineRule="auto"/>
        <w:rPr>
          <w:rFonts w:ascii="宋体" w:hAnsi="宋体"/>
          <w:spacing w:val="2"/>
          <w:position w:val="2"/>
          <w:sz w:val="24"/>
        </w:rPr>
      </w:pPr>
    </w:p>
    <w:p>
      <w:pPr>
        <w:pStyle w:val="304"/>
        <w:spacing w:line="360" w:lineRule="auto"/>
      </w:pPr>
    </w:p>
    <w:p>
      <w:pPr>
        <w:spacing w:line="360" w:lineRule="auto"/>
        <w:rPr>
          <w:rFonts w:ascii="宋体" w:hAnsi="宋体"/>
          <w:spacing w:val="2"/>
          <w:position w:val="2"/>
          <w:sz w:val="24"/>
        </w:rPr>
        <w:sectPr>
          <w:pgSz w:w="11906" w:h="16838"/>
          <w:pgMar w:top="1276" w:right="1134" w:bottom="1134" w:left="1418" w:header="851" w:footer="851" w:gutter="0"/>
          <w:cols w:space="720" w:num="1"/>
        </w:sectPr>
      </w:pPr>
    </w:p>
    <w:p>
      <w:pPr>
        <w:tabs>
          <w:tab w:val="left" w:pos="5400"/>
        </w:tabs>
        <w:spacing w:line="360" w:lineRule="auto"/>
        <w:outlineLvl w:val="0"/>
        <w:rPr>
          <w:rFonts w:ascii="仿宋_GB2312" w:hAnsi="宋体" w:eastAsia="仿宋_GB2312"/>
          <w:b/>
          <w:kern w:val="0"/>
          <w:sz w:val="24"/>
          <w:szCs w:val="30"/>
        </w:rPr>
      </w:pPr>
      <w:r>
        <w:rPr>
          <w:rFonts w:hint="eastAsia" w:ascii="仿宋_GB2312" w:hAnsi="宋体" w:eastAsia="仿宋_GB2312"/>
          <w:b/>
          <w:kern w:val="0"/>
          <w:sz w:val="24"/>
          <w:szCs w:val="30"/>
        </w:rPr>
        <w:t>附件4：</w:t>
      </w:r>
    </w:p>
    <w:p>
      <w:pPr>
        <w:tabs>
          <w:tab w:val="left" w:pos="5400"/>
        </w:tabs>
        <w:spacing w:line="360" w:lineRule="auto"/>
        <w:jc w:val="center"/>
        <w:rPr>
          <w:rFonts w:ascii="宋体" w:hAnsi="宋体"/>
          <w:b/>
          <w:sz w:val="24"/>
        </w:rPr>
      </w:pPr>
      <w:r>
        <w:rPr>
          <w:rFonts w:hint="eastAsia" w:ascii="宋体" w:hAnsi="宋体" w:cs="宋体"/>
          <w:b/>
          <w:sz w:val="32"/>
          <w:szCs w:val="32"/>
        </w:rPr>
        <w:t>项目监理机构人员架构表</w:t>
      </w:r>
    </w:p>
    <w:tbl>
      <w:tblPr>
        <w:tblStyle w:val="4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417"/>
        <w:gridCol w:w="212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工程名称</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u w:val="single"/>
              </w:rPr>
            </w:pPr>
            <w:r>
              <w:rPr>
                <w:rFonts w:hint="eastAsia" w:ascii="宋体" w:hAnsi="宋体" w:cs="宋体"/>
                <w:sz w:val="24"/>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工程类别</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项目总监</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现场安全负责人</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93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rPr>
            </w:pPr>
            <w:r>
              <w:rPr>
                <w:rFonts w:hint="eastAsia" w:ascii="宋体" w:hAnsi="宋体" w:cs="宋体"/>
                <w:sz w:val="24"/>
              </w:rPr>
              <w:t>监 理 人 员 （共</w:t>
            </w:r>
            <w:r>
              <w:rPr>
                <w:rFonts w:ascii="宋体" w:hAnsi="宋体" w:cs="宋体"/>
                <w:sz w:val="24"/>
              </w:rPr>
              <w:t xml:space="preserve">   </w:t>
            </w:r>
            <w:r>
              <w:rPr>
                <w:rFonts w:hint="eastAsia" w:ascii="宋体" w:hAnsi="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姓名</w:t>
            </w:r>
          </w:p>
        </w:tc>
        <w:tc>
          <w:tcPr>
            <w:tcW w:w="3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岗位职务</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职称</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3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rPr>
            </w:pPr>
          </w:p>
        </w:tc>
      </w:tr>
      <w:bookmarkEnd w:id="263"/>
      <w:bookmarkEnd w:id="264"/>
      <w:bookmarkEnd w:id="266"/>
    </w:tbl>
    <w:p>
      <w:pPr>
        <w:tabs>
          <w:tab w:val="left" w:pos="5400"/>
        </w:tabs>
        <w:spacing w:line="360" w:lineRule="auto"/>
        <w:rPr>
          <w:rFonts w:ascii="宋体" w:hAnsi="Courier New"/>
          <w:sz w:val="24"/>
          <w:szCs w:val="21"/>
        </w:rPr>
      </w:pPr>
    </w:p>
    <w:sectPr>
      <w:endnotePr>
        <w:numFmt w:val="decimal"/>
      </w:endnotePr>
      <w:pgSz w:w="11907" w:h="16840"/>
      <w:pgMar w:top="1440" w:right="1588" w:bottom="1440" w:left="1089" w:header="851" w:footer="907" w:gutter="113"/>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877D328-67DB-4871-926E-4D85F2A88ECE}"/>
  </w:font>
  <w:font w:name="黑体">
    <w:panose1 w:val="02010609060101010101"/>
    <w:charset w:val="86"/>
    <w:family w:val="auto"/>
    <w:pitch w:val="default"/>
    <w:sig w:usb0="800002BF" w:usb1="38CF7CFA" w:usb2="00000016" w:usb3="00000000" w:csb0="00040001" w:csb1="00000000"/>
    <w:embedRegular r:id="rId2" w:fontKey="{546463A4-CC58-46F5-8DC2-4292D0479C72}"/>
  </w:font>
  <w:font w:name="Courier New">
    <w:panose1 w:val="02070309020205020404"/>
    <w:charset w:val="01"/>
    <w:family w:val="modern"/>
    <w:pitch w:val="default"/>
    <w:sig w:usb0="E0002AFF" w:usb1="C0007843" w:usb2="00000009" w:usb3="00000000" w:csb0="400001FF" w:csb1="FFFF0000"/>
    <w:embedRegular r:id="rId3" w:fontKey="{EDF0390A-C119-4053-80A3-EE36D52FABC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4" w:fontKey="{2E8F05AD-2851-4D3B-A838-674008E0A42F}"/>
  </w:font>
  <w:font w:name="仿宋_GB2312">
    <w:altName w:val="仿宋"/>
    <w:panose1 w:val="00000000000000000000"/>
    <w:charset w:val="86"/>
    <w:family w:val="modern"/>
    <w:pitch w:val="default"/>
    <w:sig w:usb0="00000000" w:usb1="00000000" w:usb2="00000010" w:usb3="00000000" w:csb0="00040000" w:csb1="00000000"/>
    <w:embedRegular r:id="rId5" w:fontKey="{B226E431-7212-4D57-82B5-D8696CC0D73E}"/>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8C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Times New Roman Bold">
    <w:altName w:val="Times New Roman"/>
    <w:panose1 w:val="02020603050405020304"/>
    <w:charset w:val="00"/>
    <w:family w:val="auto"/>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0000000000000000000"/>
    <w:charset w:val="00"/>
    <w:family w:val="swiss"/>
    <w:pitch w:val="default"/>
    <w:sig w:usb0="00000000" w:usb1="00000000" w:usb2="00000000" w:usb3="00000000" w:csb0="00000000" w:csb1="00000000"/>
  </w:font>
  <w:font w:name="Arial Bold">
    <w:altName w:val="Arial"/>
    <w:panose1 w:val="020B0604020202020204"/>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Adobe 宋体 Std L">
    <w:altName w:val="宋体"/>
    <w:panose1 w:val="00000000000000000000"/>
    <w:charset w:val="00"/>
    <w:family w:val="roman"/>
    <w:pitch w:val="default"/>
    <w:sig w:usb0="00000000" w:usb1="00000000" w:usb2="00000016" w:usb3="00000000" w:csb0="00060007" w:csb1="00000000"/>
  </w:font>
  <w:font w:name="华文中宋">
    <w:panose1 w:val="02010600040101010101"/>
    <w:charset w:val="86"/>
    <w:family w:val="auto"/>
    <w:pitch w:val="default"/>
    <w:sig w:usb0="00000287" w:usb1="080F0000" w:usb2="00000000" w:usb3="00000000" w:csb0="0004009F" w:csb1="DFD70000"/>
    <w:embedRegular r:id="rId6" w:fontKey="{01CF651A-F8C8-41E9-96BE-2DD07FD9BEE5}"/>
  </w:font>
  <w:font w:name="Calisto MT">
    <w:panose1 w:val="02040603050505030304"/>
    <w:charset w:val="00"/>
    <w:family w:val="roman"/>
    <w:pitch w:val="default"/>
    <w:sig w:usb0="00000003" w:usb1="00000000" w:usb2="00000000" w:usb3="00000000" w:csb0="20000001" w:csb1="00000000"/>
  </w:font>
  <w:font w:name="小标宋">
    <w:altName w:val="Arial Unicode MS"/>
    <w:panose1 w:val="00000000000000000000"/>
    <w:charset w:val="86"/>
    <w:family w:val="script"/>
    <w:pitch w:val="default"/>
    <w:sig w:usb0="00000000" w:usb1="00000000" w:usb2="00000010" w:usb3="00000000" w:csb0="00040000" w:csb1="00000000"/>
    <w:embedRegular r:id="rId7" w:fontKey="{F96FEEB5-4483-4DCD-A104-22B99874FB39}"/>
  </w:font>
  <w:font w:name="等线">
    <w:panose1 w:val="02010600030101010101"/>
    <w:charset w:val="86"/>
    <w:family w:val="auto"/>
    <w:pitch w:val="default"/>
    <w:sig w:usb0="A00002BF" w:usb1="38CF7CFA" w:usb2="00000016" w:usb3="00000000" w:csb0="0004000F" w:csb1="00000000"/>
    <w:embedRegular r:id="rId8" w:fontKey="{AFECC566-583B-4F28-9F72-EDC3793BA5DD}"/>
  </w:font>
  <w:font w:name="仿宋">
    <w:panose1 w:val="02010609060101010101"/>
    <w:charset w:val="86"/>
    <w:family w:val="modern"/>
    <w:pitch w:val="default"/>
    <w:sig w:usb0="800002BF" w:usb1="38CF7CFA" w:usb2="00000016" w:usb3="00000000" w:csb0="00040001" w:csb1="00000000"/>
    <w:embedRegular r:id="rId9" w:fontKey="{E6C0402C-B13E-4869-8260-A93F271E76AB}"/>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28</w:t>
    </w:r>
    <w:r>
      <w:fldChar w:fldCharType="end"/>
    </w:r>
  </w:p>
  <w:p>
    <w:pPr>
      <w:pStyle w:val="27"/>
      <w:framePr w:wrap="around" w:vAnchor="text" w:hAnchor="margin" w:xAlign="center" w:y="1"/>
      <w:rPr>
        <w:rStyle w:val="46"/>
      </w:rP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napToGrid w:val="0"/>
      <w:ind w:left="2430" w:hanging="2430" w:hangingChars="1350"/>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2126B"/>
    <w:multiLevelType w:val="singleLevel"/>
    <w:tmpl w:val="DF22126B"/>
    <w:lvl w:ilvl="0" w:tentative="0">
      <w:start w:val="1"/>
      <w:numFmt w:val="decimal"/>
      <w:suff w:val="nothing"/>
      <w:lvlText w:val="（%1）"/>
      <w:lvlJc w:val="left"/>
    </w:lvl>
  </w:abstractNum>
  <w:abstractNum w:abstractNumId="1">
    <w:nsid w:val="07A20295"/>
    <w:multiLevelType w:val="multilevel"/>
    <w:tmpl w:val="07A20295"/>
    <w:lvl w:ilvl="0" w:tentative="0">
      <w:start w:val="1"/>
      <w:numFmt w:val="chineseCountingThousand"/>
      <w:pStyle w:val="206"/>
      <w:lvlText w:val="第%1条"/>
      <w:lvlJc w:val="left"/>
      <w:pPr>
        <w:ind w:left="142" w:firstLine="0"/>
      </w:pPr>
      <w:rPr>
        <w:rFonts w:hint="eastAsia"/>
      </w:rPr>
    </w:lvl>
    <w:lvl w:ilvl="1" w:tentative="0">
      <w:start w:val="1"/>
      <w:numFmt w:val="decimal"/>
      <w:isLgl/>
      <w:lvlText w:val="%1.%2"/>
      <w:lvlJc w:val="left"/>
      <w:pPr>
        <w:ind w:left="280" w:firstLine="0"/>
      </w:pPr>
      <w:rPr>
        <w:rFonts w:hint="default"/>
        <w:b/>
        <w:bCs/>
      </w:rPr>
    </w:lvl>
    <w:lvl w:ilvl="2" w:tentative="0">
      <w:start w:val="1"/>
      <w:numFmt w:val="decimal"/>
      <w:isLg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BDC07E7"/>
    <w:multiLevelType w:val="multilevel"/>
    <w:tmpl w:val="1BDC07E7"/>
    <w:lvl w:ilvl="0" w:tentative="0">
      <w:start w:val="9"/>
      <w:numFmt w:val="upperLetter"/>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C655A7E"/>
    <w:multiLevelType w:val="multilevel"/>
    <w:tmpl w:val="2C655A7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mViOTkxNWE3YWZiZGMxODdiNmM4MzM1NjkyYzQifQ=="/>
  </w:docVars>
  <w:rsids>
    <w:rsidRoot w:val="00172A27"/>
    <w:rsid w:val="00000D88"/>
    <w:rsid w:val="00001E2F"/>
    <w:rsid w:val="0000222C"/>
    <w:rsid w:val="00002F75"/>
    <w:rsid w:val="00003082"/>
    <w:rsid w:val="000031D1"/>
    <w:rsid w:val="00003AAA"/>
    <w:rsid w:val="0000454C"/>
    <w:rsid w:val="00005051"/>
    <w:rsid w:val="000053CA"/>
    <w:rsid w:val="000057B1"/>
    <w:rsid w:val="00007B2C"/>
    <w:rsid w:val="00007F82"/>
    <w:rsid w:val="00010106"/>
    <w:rsid w:val="000107D2"/>
    <w:rsid w:val="00010871"/>
    <w:rsid w:val="000109E3"/>
    <w:rsid w:val="00010BD7"/>
    <w:rsid w:val="00010FD0"/>
    <w:rsid w:val="0001208E"/>
    <w:rsid w:val="000120B3"/>
    <w:rsid w:val="0001238E"/>
    <w:rsid w:val="000125CD"/>
    <w:rsid w:val="000127A2"/>
    <w:rsid w:val="0001297F"/>
    <w:rsid w:val="000133FA"/>
    <w:rsid w:val="00013877"/>
    <w:rsid w:val="0001394C"/>
    <w:rsid w:val="000140E1"/>
    <w:rsid w:val="00014C57"/>
    <w:rsid w:val="0001562B"/>
    <w:rsid w:val="00015748"/>
    <w:rsid w:val="000169B8"/>
    <w:rsid w:val="00017F2D"/>
    <w:rsid w:val="00021373"/>
    <w:rsid w:val="000215D7"/>
    <w:rsid w:val="0002294D"/>
    <w:rsid w:val="00022DB5"/>
    <w:rsid w:val="000230D2"/>
    <w:rsid w:val="00023682"/>
    <w:rsid w:val="00023806"/>
    <w:rsid w:val="00024251"/>
    <w:rsid w:val="00024C85"/>
    <w:rsid w:val="00025FE4"/>
    <w:rsid w:val="00026E5C"/>
    <w:rsid w:val="00027B0D"/>
    <w:rsid w:val="00027C81"/>
    <w:rsid w:val="00030142"/>
    <w:rsid w:val="00030671"/>
    <w:rsid w:val="0003168B"/>
    <w:rsid w:val="00031ED7"/>
    <w:rsid w:val="00031F6D"/>
    <w:rsid w:val="00032119"/>
    <w:rsid w:val="000321B1"/>
    <w:rsid w:val="00033006"/>
    <w:rsid w:val="000345E8"/>
    <w:rsid w:val="000348D3"/>
    <w:rsid w:val="00035014"/>
    <w:rsid w:val="000369AF"/>
    <w:rsid w:val="0004038B"/>
    <w:rsid w:val="00040A75"/>
    <w:rsid w:val="00041B95"/>
    <w:rsid w:val="0004229B"/>
    <w:rsid w:val="0004497A"/>
    <w:rsid w:val="00045017"/>
    <w:rsid w:val="00045917"/>
    <w:rsid w:val="00045A33"/>
    <w:rsid w:val="00046163"/>
    <w:rsid w:val="0004688B"/>
    <w:rsid w:val="00046926"/>
    <w:rsid w:val="00046DE7"/>
    <w:rsid w:val="00047C88"/>
    <w:rsid w:val="00050CB8"/>
    <w:rsid w:val="00050E32"/>
    <w:rsid w:val="0005216A"/>
    <w:rsid w:val="000523F9"/>
    <w:rsid w:val="00052D9E"/>
    <w:rsid w:val="0005494A"/>
    <w:rsid w:val="00054E09"/>
    <w:rsid w:val="0005611D"/>
    <w:rsid w:val="00056255"/>
    <w:rsid w:val="00056D6B"/>
    <w:rsid w:val="000573ED"/>
    <w:rsid w:val="00057625"/>
    <w:rsid w:val="000604B2"/>
    <w:rsid w:val="00060D42"/>
    <w:rsid w:val="0006213E"/>
    <w:rsid w:val="000623DD"/>
    <w:rsid w:val="00064B6E"/>
    <w:rsid w:val="000654BE"/>
    <w:rsid w:val="000654D6"/>
    <w:rsid w:val="00066D1A"/>
    <w:rsid w:val="00070031"/>
    <w:rsid w:val="0007039B"/>
    <w:rsid w:val="0007091C"/>
    <w:rsid w:val="00071231"/>
    <w:rsid w:val="00071984"/>
    <w:rsid w:val="000719C0"/>
    <w:rsid w:val="00072BD9"/>
    <w:rsid w:val="0007348E"/>
    <w:rsid w:val="000739A7"/>
    <w:rsid w:val="00073C76"/>
    <w:rsid w:val="00073FB8"/>
    <w:rsid w:val="0007510B"/>
    <w:rsid w:val="0007560D"/>
    <w:rsid w:val="00075F52"/>
    <w:rsid w:val="000766F7"/>
    <w:rsid w:val="00080285"/>
    <w:rsid w:val="00081462"/>
    <w:rsid w:val="00081B27"/>
    <w:rsid w:val="00081D86"/>
    <w:rsid w:val="00081FD5"/>
    <w:rsid w:val="0008264C"/>
    <w:rsid w:val="00083A2F"/>
    <w:rsid w:val="0008553D"/>
    <w:rsid w:val="000871C0"/>
    <w:rsid w:val="000905A1"/>
    <w:rsid w:val="000908B0"/>
    <w:rsid w:val="000908B6"/>
    <w:rsid w:val="00090FEB"/>
    <w:rsid w:val="00091127"/>
    <w:rsid w:val="00091F06"/>
    <w:rsid w:val="00092052"/>
    <w:rsid w:val="000925DD"/>
    <w:rsid w:val="000928BB"/>
    <w:rsid w:val="00092E97"/>
    <w:rsid w:val="00095659"/>
    <w:rsid w:val="00095FA1"/>
    <w:rsid w:val="00096EC9"/>
    <w:rsid w:val="000A0FDB"/>
    <w:rsid w:val="000A10E6"/>
    <w:rsid w:val="000A3FA1"/>
    <w:rsid w:val="000A43E5"/>
    <w:rsid w:val="000A43FC"/>
    <w:rsid w:val="000A45F6"/>
    <w:rsid w:val="000A5A8C"/>
    <w:rsid w:val="000A615F"/>
    <w:rsid w:val="000B0B4E"/>
    <w:rsid w:val="000B1840"/>
    <w:rsid w:val="000B2094"/>
    <w:rsid w:val="000B2A13"/>
    <w:rsid w:val="000B4ACC"/>
    <w:rsid w:val="000B5370"/>
    <w:rsid w:val="000B5403"/>
    <w:rsid w:val="000B5B1E"/>
    <w:rsid w:val="000B5E56"/>
    <w:rsid w:val="000B625F"/>
    <w:rsid w:val="000B6315"/>
    <w:rsid w:val="000B64BE"/>
    <w:rsid w:val="000B7BA4"/>
    <w:rsid w:val="000C1BF0"/>
    <w:rsid w:val="000C1C38"/>
    <w:rsid w:val="000C32C1"/>
    <w:rsid w:val="000C34C4"/>
    <w:rsid w:val="000C37D3"/>
    <w:rsid w:val="000C3903"/>
    <w:rsid w:val="000C3BDA"/>
    <w:rsid w:val="000C5D80"/>
    <w:rsid w:val="000C70E9"/>
    <w:rsid w:val="000C7BF5"/>
    <w:rsid w:val="000D1261"/>
    <w:rsid w:val="000D2172"/>
    <w:rsid w:val="000D415C"/>
    <w:rsid w:val="000D41C3"/>
    <w:rsid w:val="000D4D0C"/>
    <w:rsid w:val="000D554F"/>
    <w:rsid w:val="000D6B04"/>
    <w:rsid w:val="000D7269"/>
    <w:rsid w:val="000D7A0C"/>
    <w:rsid w:val="000E2B13"/>
    <w:rsid w:val="000E352B"/>
    <w:rsid w:val="000E38A2"/>
    <w:rsid w:val="000E44A0"/>
    <w:rsid w:val="000E4E7C"/>
    <w:rsid w:val="000E5536"/>
    <w:rsid w:val="000E5A68"/>
    <w:rsid w:val="000E5D69"/>
    <w:rsid w:val="000E6973"/>
    <w:rsid w:val="000E6F45"/>
    <w:rsid w:val="000F0F10"/>
    <w:rsid w:val="000F14C0"/>
    <w:rsid w:val="000F2E39"/>
    <w:rsid w:val="000F2F1B"/>
    <w:rsid w:val="000F43F1"/>
    <w:rsid w:val="000F45B8"/>
    <w:rsid w:val="000F57DE"/>
    <w:rsid w:val="000F57E4"/>
    <w:rsid w:val="000F5AF1"/>
    <w:rsid w:val="000F68FA"/>
    <w:rsid w:val="000F6E61"/>
    <w:rsid w:val="000F72D5"/>
    <w:rsid w:val="000F7D3C"/>
    <w:rsid w:val="00100082"/>
    <w:rsid w:val="001029BC"/>
    <w:rsid w:val="00103078"/>
    <w:rsid w:val="00103D53"/>
    <w:rsid w:val="00104BF1"/>
    <w:rsid w:val="00104DBE"/>
    <w:rsid w:val="00104E8C"/>
    <w:rsid w:val="00105021"/>
    <w:rsid w:val="00105255"/>
    <w:rsid w:val="001054DF"/>
    <w:rsid w:val="00106493"/>
    <w:rsid w:val="00106EC9"/>
    <w:rsid w:val="00111F7A"/>
    <w:rsid w:val="00112077"/>
    <w:rsid w:val="0011296D"/>
    <w:rsid w:val="001129DB"/>
    <w:rsid w:val="00113436"/>
    <w:rsid w:val="001134B1"/>
    <w:rsid w:val="0011479B"/>
    <w:rsid w:val="001155C7"/>
    <w:rsid w:val="00116A68"/>
    <w:rsid w:val="00116BF0"/>
    <w:rsid w:val="00117317"/>
    <w:rsid w:val="00117733"/>
    <w:rsid w:val="00117FBD"/>
    <w:rsid w:val="001202FE"/>
    <w:rsid w:val="00121063"/>
    <w:rsid w:val="00122263"/>
    <w:rsid w:val="00122D0A"/>
    <w:rsid w:val="00122F0B"/>
    <w:rsid w:val="001258F2"/>
    <w:rsid w:val="001267D8"/>
    <w:rsid w:val="001274D0"/>
    <w:rsid w:val="001306D5"/>
    <w:rsid w:val="001317B5"/>
    <w:rsid w:val="00131C5D"/>
    <w:rsid w:val="001323B6"/>
    <w:rsid w:val="00132AD4"/>
    <w:rsid w:val="001337AC"/>
    <w:rsid w:val="00133CA2"/>
    <w:rsid w:val="00134BB7"/>
    <w:rsid w:val="00134F33"/>
    <w:rsid w:val="00135384"/>
    <w:rsid w:val="00135664"/>
    <w:rsid w:val="001360F4"/>
    <w:rsid w:val="00136865"/>
    <w:rsid w:val="00136FD6"/>
    <w:rsid w:val="00137327"/>
    <w:rsid w:val="00140A73"/>
    <w:rsid w:val="00140B0E"/>
    <w:rsid w:val="00140C04"/>
    <w:rsid w:val="00140C5C"/>
    <w:rsid w:val="00141516"/>
    <w:rsid w:val="001419D2"/>
    <w:rsid w:val="00142168"/>
    <w:rsid w:val="0014232E"/>
    <w:rsid w:val="001435BC"/>
    <w:rsid w:val="00143A22"/>
    <w:rsid w:val="001463E7"/>
    <w:rsid w:val="001472C9"/>
    <w:rsid w:val="001478BC"/>
    <w:rsid w:val="00147F7C"/>
    <w:rsid w:val="001512B4"/>
    <w:rsid w:val="001538A3"/>
    <w:rsid w:val="0015418B"/>
    <w:rsid w:val="00154452"/>
    <w:rsid w:val="00155164"/>
    <w:rsid w:val="00155672"/>
    <w:rsid w:val="001579DF"/>
    <w:rsid w:val="00157EE8"/>
    <w:rsid w:val="00161CEC"/>
    <w:rsid w:val="0016388B"/>
    <w:rsid w:val="00163F6C"/>
    <w:rsid w:val="00164111"/>
    <w:rsid w:val="00164262"/>
    <w:rsid w:val="00164400"/>
    <w:rsid w:val="0016504E"/>
    <w:rsid w:val="001651BD"/>
    <w:rsid w:val="00165709"/>
    <w:rsid w:val="00167236"/>
    <w:rsid w:val="001702F2"/>
    <w:rsid w:val="00170A95"/>
    <w:rsid w:val="00172006"/>
    <w:rsid w:val="001723C3"/>
    <w:rsid w:val="0017289F"/>
    <w:rsid w:val="00172A27"/>
    <w:rsid w:val="00173972"/>
    <w:rsid w:val="00174E6E"/>
    <w:rsid w:val="00175201"/>
    <w:rsid w:val="0017522B"/>
    <w:rsid w:val="00175B3A"/>
    <w:rsid w:val="0018018E"/>
    <w:rsid w:val="001805B5"/>
    <w:rsid w:val="00181776"/>
    <w:rsid w:val="00182836"/>
    <w:rsid w:val="00183B6A"/>
    <w:rsid w:val="001849B3"/>
    <w:rsid w:val="0018527F"/>
    <w:rsid w:val="001869A1"/>
    <w:rsid w:val="00186A38"/>
    <w:rsid w:val="00187680"/>
    <w:rsid w:val="001879D7"/>
    <w:rsid w:val="00187FBC"/>
    <w:rsid w:val="0019069F"/>
    <w:rsid w:val="00190B6F"/>
    <w:rsid w:val="0019166C"/>
    <w:rsid w:val="001930D2"/>
    <w:rsid w:val="00194402"/>
    <w:rsid w:val="00194579"/>
    <w:rsid w:val="001947CD"/>
    <w:rsid w:val="001A0421"/>
    <w:rsid w:val="001A1139"/>
    <w:rsid w:val="001A1ABC"/>
    <w:rsid w:val="001A1B75"/>
    <w:rsid w:val="001A1DBB"/>
    <w:rsid w:val="001A294F"/>
    <w:rsid w:val="001A2DDB"/>
    <w:rsid w:val="001A2E69"/>
    <w:rsid w:val="001A41D8"/>
    <w:rsid w:val="001A4486"/>
    <w:rsid w:val="001A44A5"/>
    <w:rsid w:val="001A47C2"/>
    <w:rsid w:val="001A4D0E"/>
    <w:rsid w:val="001A4E2A"/>
    <w:rsid w:val="001A56BC"/>
    <w:rsid w:val="001A5FD7"/>
    <w:rsid w:val="001A62EA"/>
    <w:rsid w:val="001A6311"/>
    <w:rsid w:val="001A6C7B"/>
    <w:rsid w:val="001A7308"/>
    <w:rsid w:val="001A74FE"/>
    <w:rsid w:val="001A7889"/>
    <w:rsid w:val="001A7C3E"/>
    <w:rsid w:val="001B050F"/>
    <w:rsid w:val="001B167D"/>
    <w:rsid w:val="001B1AC1"/>
    <w:rsid w:val="001B226D"/>
    <w:rsid w:val="001B2B15"/>
    <w:rsid w:val="001B2DEA"/>
    <w:rsid w:val="001B33B1"/>
    <w:rsid w:val="001B3DB1"/>
    <w:rsid w:val="001B427B"/>
    <w:rsid w:val="001B4497"/>
    <w:rsid w:val="001B4B0E"/>
    <w:rsid w:val="001B4C11"/>
    <w:rsid w:val="001B5483"/>
    <w:rsid w:val="001B567D"/>
    <w:rsid w:val="001B5CBC"/>
    <w:rsid w:val="001B63A7"/>
    <w:rsid w:val="001B7146"/>
    <w:rsid w:val="001B7E29"/>
    <w:rsid w:val="001B7E3C"/>
    <w:rsid w:val="001C0079"/>
    <w:rsid w:val="001C01AD"/>
    <w:rsid w:val="001C239D"/>
    <w:rsid w:val="001C318D"/>
    <w:rsid w:val="001C3C7D"/>
    <w:rsid w:val="001C3ED1"/>
    <w:rsid w:val="001C49F5"/>
    <w:rsid w:val="001C4F8F"/>
    <w:rsid w:val="001C5619"/>
    <w:rsid w:val="001C587F"/>
    <w:rsid w:val="001C5ADE"/>
    <w:rsid w:val="001C5F8E"/>
    <w:rsid w:val="001C6334"/>
    <w:rsid w:val="001C7FFC"/>
    <w:rsid w:val="001D0C08"/>
    <w:rsid w:val="001D209D"/>
    <w:rsid w:val="001D26D5"/>
    <w:rsid w:val="001D2FE0"/>
    <w:rsid w:val="001D3D02"/>
    <w:rsid w:val="001D3F1E"/>
    <w:rsid w:val="001D5583"/>
    <w:rsid w:val="001D5850"/>
    <w:rsid w:val="001D59A9"/>
    <w:rsid w:val="001D5B3A"/>
    <w:rsid w:val="001D706F"/>
    <w:rsid w:val="001D7F4C"/>
    <w:rsid w:val="001E08F7"/>
    <w:rsid w:val="001E0AB3"/>
    <w:rsid w:val="001E11DB"/>
    <w:rsid w:val="001E2426"/>
    <w:rsid w:val="001E31C0"/>
    <w:rsid w:val="001E3957"/>
    <w:rsid w:val="001E3A96"/>
    <w:rsid w:val="001E3F43"/>
    <w:rsid w:val="001E432B"/>
    <w:rsid w:val="001E4592"/>
    <w:rsid w:val="001E4767"/>
    <w:rsid w:val="001E4A4F"/>
    <w:rsid w:val="001E56DB"/>
    <w:rsid w:val="001E5E26"/>
    <w:rsid w:val="001F08FC"/>
    <w:rsid w:val="001F13AA"/>
    <w:rsid w:val="001F1C8D"/>
    <w:rsid w:val="001F2B26"/>
    <w:rsid w:val="001F33E3"/>
    <w:rsid w:val="001F3765"/>
    <w:rsid w:val="001F42EA"/>
    <w:rsid w:val="001F593E"/>
    <w:rsid w:val="001F63FD"/>
    <w:rsid w:val="001F6646"/>
    <w:rsid w:val="001F72DB"/>
    <w:rsid w:val="001F7377"/>
    <w:rsid w:val="001F7B0F"/>
    <w:rsid w:val="001F7D17"/>
    <w:rsid w:val="001F7F87"/>
    <w:rsid w:val="0020025B"/>
    <w:rsid w:val="00200375"/>
    <w:rsid w:val="002018DC"/>
    <w:rsid w:val="002052C0"/>
    <w:rsid w:val="00205441"/>
    <w:rsid w:val="00205CC7"/>
    <w:rsid w:val="00206ADF"/>
    <w:rsid w:val="0020726C"/>
    <w:rsid w:val="00207DA9"/>
    <w:rsid w:val="00207F53"/>
    <w:rsid w:val="002100E6"/>
    <w:rsid w:val="0021028B"/>
    <w:rsid w:val="002118B7"/>
    <w:rsid w:val="00211AF1"/>
    <w:rsid w:val="002121D7"/>
    <w:rsid w:val="00212481"/>
    <w:rsid w:val="00212D67"/>
    <w:rsid w:val="002131D1"/>
    <w:rsid w:val="00213F86"/>
    <w:rsid w:val="00214649"/>
    <w:rsid w:val="002148CC"/>
    <w:rsid w:val="00215E1A"/>
    <w:rsid w:val="0021607C"/>
    <w:rsid w:val="002162A7"/>
    <w:rsid w:val="00217DDC"/>
    <w:rsid w:val="00217E70"/>
    <w:rsid w:val="0022041A"/>
    <w:rsid w:val="002208AD"/>
    <w:rsid w:val="00220C19"/>
    <w:rsid w:val="00220D4A"/>
    <w:rsid w:val="00222009"/>
    <w:rsid w:val="002226FC"/>
    <w:rsid w:val="00223103"/>
    <w:rsid w:val="002243BB"/>
    <w:rsid w:val="00224D1B"/>
    <w:rsid w:val="00224F8C"/>
    <w:rsid w:val="002250B3"/>
    <w:rsid w:val="00226974"/>
    <w:rsid w:val="00226A72"/>
    <w:rsid w:val="00226E1C"/>
    <w:rsid w:val="0022706D"/>
    <w:rsid w:val="00227154"/>
    <w:rsid w:val="002275C5"/>
    <w:rsid w:val="00227CAF"/>
    <w:rsid w:val="002305B1"/>
    <w:rsid w:val="00230910"/>
    <w:rsid w:val="00230B3A"/>
    <w:rsid w:val="00231076"/>
    <w:rsid w:val="00231078"/>
    <w:rsid w:val="00231D6C"/>
    <w:rsid w:val="00232D79"/>
    <w:rsid w:val="002337D9"/>
    <w:rsid w:val="0023409B"/>
    <w:rsid w:val="002351B0"/>
    <w:rsid w:val="002358F5"/>
    <w:rsid w:val="00235A1D"/>
    <w:rsid w:val="00236262"/>
    <w:rsid w:val="002368B4"/>
    <w:rsid w:val="00236ED3"/>
    <w:rsid w:val="00237125"/>
    <w:rsid w:val="002400B6"/>
    <w:rsid w:val="00240C86"/>
    <w:rsid w:val="00241286"/>
    <w:rsid w:val="002412EA"/>
    <w:rsid w:val="002418F7"/>
    <w:rsid w:val="00242AB4"/>
    <w:rsid w:val="002437EA"/>
    <w:rsid w:val="00243A6E"/>
    <w:rsid w:val="00243E4C"/>
    <w:rsid w:val="0024575A"/>
    <w:rsid w:val="002459E2"/>
    <w:rsid w:val="002467C9"/>
    <w:rsid w:val="00246C56"/>
    <w:rsid w:val="002474A3"/>
    <w:rsid w:val="002478B4"/>
    <w:rsid w:val="00247965"/>
    <w:rsid w:val="00247C94"/>
    <w:rsid w:val="00250983"/>
    <w:rsid w:val="00253896"/>
    <w:rsid w:val="00253EAE"/>
    <w:rsid w:val="00254181"/>
    <w:rsid w:val="00254BD4"/>
    <w:rsid w:val="00254F1C"/>
    <w:rsid w:val="00255070"/>
    <w:rsid w:val="0025529F"/>
    <w:rsid w:val="00255C5F"/>
    <w:rsid w:val="00255D96"/>
    <w:rsid w:val="00257B82"/>
    <w:rsid w:val="00257C13"/>
    <w:rsid w:val="0026050F"/>
    <w:rsid w:val="00260C14"/>
    <w:rsid w:val="00260FA0"/>
    <w:rsid w:val="00262AB6"/>
    <w:rsid w:val="00263270"/>
    <w:rsid w:val="0026372E"/>
    <w:rsid w:val="0026397D"/>
    <w:rsid w:val="002639C4"/>
    <w:rsid w:val="00266DE9"/>
    <w:rsid w:val="0026781D"/>
    <w:rsid w:val="002706B8"/>
    <w:rsid w:val="00270D2C"/>
    <w:rsid w:val="00270F57"/>
    <w:rsid w:val="00270FD2"/>
    <w:rsid w:val="00271B2A"/>
    <w:rsid w:val="00271F9D"/>
    <w:rsid w:val="0027250D"/>
    <w:rsid w:val="00273A51"/>
    <w:rsid w:val="00274695"/>
    <w:rsid w:val="00274B68"/>
    <w:rsid w:val="00274B69"/>
    <w:rsid w:val="00274BD0"/>
    <w:rsid w:val="0027545C"/>
    <w:rsid w:val="0027573B"/>
    <w:rsid w:val="00275786"/>
    <w:rsid w:val="00275E70"/>
    <w:rsid w:val="002769A6"/>
    <w:rsid w:val="00277BC1"/>
    <w:rsid w:val="00280350"/>
    <w:rsid w:val="00280460"/>
    <w:rsid w:val="00280CBA"/>
    <w:rsid w:val="00280CDD"/>
    <w:rsid w:val="00281AAB"/>
    <w:rsid w:val="00282E9D"/>
    <w:rsid w:val="00284B7E"/>
    <w:rsid w:val="002855C8"/>
    <w:rsid w:val="0028660B"/>
    <w:rsid w:val="002879CD"/>
    <w:rsid w:val="00290754"/>
    <w:rsid w:val="002913AE"/>
    <w:rsid w:val="00291C68"/>
    <w:rsid w:val="00292DBF"/>
    <w:rsid w:val="002941FF"/>
    <w:rsid w:val="00295999"/>
    <w:rsid w:val="002968F9"/>
    <w:rsid w:val="00296A26"/>
    <w:rsid w:val="00297001"/>
    <w:rsid w:val="002A04C8"/>
    <w:rsid w:val="002A169D"/>
    <w:rsid w:val="002A1893"/>
    <w:rsid w:val="002A2671"/>
    <w:rsid w:val="002A2747"/>
    <w:rsid w:val="002A30C1"/>
    <w:rsid w:val="002A3A3E"/>
    <w:rsid w:val="002A3E98"/>
    <w:rsid w:val="002A41FF"/>
    <w:rsid w:val="002A47D0"/>
    <w:rsid w:val="002A4BBB"/>
    <w:rsid w:val="002A696B"/>
    <w:rsid w:val="002A7012"/>
    <w:rsid w:val="002B01C4"/>
    <w:rsid w:val="002B0654"/>
    <w:rsid w:val="002B0DA1"/>
    <w:rsid w:val="002B1279"/>
    <w:rsid w:val="002B1FE8"/>
    <w:rsid w:val="002B2726"/>
    <w:rsid w:val="002B3E30"/>
    <w:rsid w:val="002B42A3"/>
    <w:rsid w:val="002B61D0"/>
    <w:rsid w:val="002B62BA"/>
    <w:rsid w:val="002B6979"/>
    <w:rsid w:val="002B7143"/>
    <w:rsid w:val="002B7510"/>
    <w:rsid w:val="002B7F80"/>
    <w:rsid w:val="002C0695"/>
    <w:rsid w:val="002C1648"/>
    <w:rsid w:val="002C183D"/>
    <w:rsid w:val="002C2991"/>
    <w:rsid w:val="002C2DD2"/>
    <w:rsid w:val="002C496C"/>
    <w:rsid w:val="002C5D5B"/>
    <w:rsid w:val="002C7500"/>
    <w:rsid w:val="002D02F0"/>
    <w:rsid w:val="002D0565"/>
    <w:rsid w:val="002D0FB0"/>
    <w:rsid w:val="002D1307"/>
    <w:rsid w:val="002D1B17"/>
    <w:rsid w:val="002D2CB0"/>
    <w:rsid w:val="002D2F4E"/>
    <w:rsid w:val="002D3165"/>
    <w:rsid w:val="002D328B"/>
    <w:rsid w:val="002D3294"/>
    <w:rsid w:val="002D399C"/>
    <w:rsid w:val="002D3BE1"/>
    <w:rsid w:val="002D431A"/>
    <w:rsid w:val="002D5581"/>
    <w:rsid w:val="002D78BF"/>
    <w:rsid w:val="002D7BBB"/>
    <w:rsid w:val="002E0E2E"/>
    <w:rsid w:val="002E1527"/>
    <w:rsid w:val="002E3F03"/>
    <w:rsid w:val="002E4A2E"/>
    <w:rsid w:val="002E4C5C"/>
    <w:rsid w:val="002E4D61"/>
    <w:rsid w:val="002E56FB"/>
    <w:rsid w:val="002E5769"/>
    <w:rsid w:val="002E6DE9"/>
    <w:rsid w:val="002E7E67"/>
    <w:rsid w:val="002F0150"/>
    <w:rsid w:val="002F046C"/>
    <w:rsid w:val="002F09E5"/>
    <w:rsid w:val="002F1358"/>
    <w:rsid w:val="002F172D"/>
    <w:rsid w:val="002F1B33"/>
    <w:rsid w:val="002F1DCE"/>
    <w:rsid w:val="002F2163"/>
    <w:rsid w:val="002F3593"/>
    <w:rsid w:val="002F461F"/>
    <w:rsid w:val="002F5FFA"/>
    <w:rsid w:val="002F63A4"/>
    <w:rsid w:val="00301631"/>
    <w:rsid w:val="00301DFC"/>
    <w:rsid w:val="00303CDE"/>
    <w:rsid w:val="003049FB"/>
    <w:rsid w:val="00304B34"/>
    <w:rsid w:val="00306B25"/>
    <w:rsid w:val="00306B77"/>
    <w:rsid w:val="003078C6"/>
    <w:rsid w:val="0031085C"/>
    <w:rsid w:val="00311382"/>
    <w:rsid w:val="003114C0"/>
    <w:rsid w:val="00311FD0"/>
    <w:rsid w:val="0031200C"/>
    <w:rsid w:val="00313287"/>
    <w:rsid w:val="0031469E"/>
    <w:rsid w:val="0031473C"/>
    <w:rsid w:val="0031492E"/>
    <w:rsid w:val="00314968"/>
    <w:rsid w:val="0031594C"/>
    <w:rsid w:val="00315A38"/>
    <w:rsid w:val="00315DED"/>
    <w:rsid w:val="00316490"/>
    <w:rsid w:val="00317061"/>
    <w:rsid w:val="0031710A"/>
    <w:rsid w:val="00317752"/>
    <w:rsid w:val="00317CDD"/>
    <w:rsid w:val="00320123"/>
    <w:rsid w:val="00321224"/>
    <w:rsid w:val="003219E4"/>
    <w:rsid w:val="00321F9C"/>
    <w:rsid w:val="0032274E"/>
    <w:rsid w:val="00322912"/>
    <w:rsid w:val="0032338C"/>
    <w:rsid w:val="003237FD"/>
    <w:rsid w:val="00323AA9"/>
    <w:rsid w:val="00323E1E"/>
    <w:rsid w:val="003242BD"/>
    <w:rsid w:val="00324FE4"/>
    <w:rsid w:val="003259E5"/>
    <w:rsid w:val="0032623E"/>
    <w:rsid w:val="003262F1"/>
    <w:rsid w:val="00327B46"/>
    <w:rsid w:val="00330A81"/>
    <w:rsid w:val="003310A6"/>
    <w:rsid w:val="0033139D"/>
    <w:rsid w:val="0033169C"/>
    <w:rsid w:val="003339C9"/>
    <w:rsid w:val="00334575"/>
    <w:rsid w:val="0033498D"/>
    <w:rsid w:val="00334A87"/>
    <w:rsid w:val="00334BED"/>
    <w:rsid w:val="00334E00"/>
    <w:rsid w:val="00335557"/>
    <w:rsid w:val="00335AB6"/>
    <w:rsid w:val="003369EF"/>
    <w:rsid w:val="00336FDD"/>
    <w:rsid w:val="0033736F"/>
    <w:rsid w:val="00337381"/>
    <w:rsid w:val="00340528"/>
    <w:rsid w:val="00341322"/>
    <w:rsid w:val="00341666"/>
    <w:rsid w:val="00341C52"/>
    <w:rsid w:val="00341F8D"/>
    <w:rsid w:val="00344D35"/>
    <w:rsid w:val="00344F98"/>
    <w:rsid w:val="00345003"/>
    <w:rsid w:val="003455D7"/>
    <w:rsid w:val="00345A4D"/>
    <w:rsid w:val="00346042"/>
    <w:rsid w:val="00347F67"/>
    <w:rsid w:val="00351D08"/>
    <w:rsid w:val="00352032"/>
    <w:rsid w:val="00354C23"/>
    <w:rsid w:val="00354F00"/>
    <w:rsid w:val="00356594"/>
    <w:rsid w:val="00356730"/>
    <w:rsid w:val="00356D0F"/>
    <w:rsid w:val="00356D1E"/>
    <w:rsid w:val="00357007"/>
    <w:rsid w:val="00360888"/>
    <w:rsid w:val="00360E4D"/>
    <w:rsid w:val="0036121B"/>
    <w:rsid w:val="003623EA"/>
    <w:rsid w:val="003634D1"/>
    <w:rsid w:val="00363A40"/>
    <w:rsid w:val="00363B1A"/>
    <w:rsid w:val="00363E9B"/>
    <w:rsid w:val="00364A0B"/>
    <w:rsid w:val="00364AE5"/>
    <w:rsid w:val="0036691A"/>
    <w:rsid w:val="00366EFA"/>
    <w:rsid w:val="00367023"/>
    <w:rsid w:val="003706D6"/>
    <w:rsid w:val="00370B20"/>
    <w:rsid w:val="00371805"/>
    <w:rsid w:val="003736B8"/>
    <w:rsid w:val="00373F21"/>
    <w:rsid w:val="00374FBC"/>
    <w:rsid w:val="0037504F"/>
    <w:rsid w:val="0037583B"/>
    <w:rsid w:val="0037628C"/>
    <w:rsid w:val="0037690C"/>
    <w:rsid w:val="00376E75"/>
    <w:rsid w:val="003774BF"/>
    <w:rsid w:val="0038001F"/>
    <w:rsid w:val="003806D0"/>
    <w:rsid w:val="00380D18"/>
    <w:rsid w:val="003818D4"/>
    <w:rsid w:val="00381D06"/>
    <w:rsid w:val="00383032"/>
    <w:rsid w:val="003831C7"/>
    <w:rsid w:val="003834B8"/>
    <w:rsid w:val="003845FD"/>
    <w:rsid w:val="00384C69"/>
    <w:rsid w:val="00386BC0"/>
    <w:rsid w:val="00386BC7"/>
    <w:rsid w:val="00386D4C"/>
    <w:rsid w:val="003874A4"/>
    <w:rsid w:val="00387F22"/>
    <w:rsid w:val="0039062D"/>
    <w:rsid w:val="00391FB7"/>
    <w:rsid w:val="0039274B"/>
    <w:rsid w:val="00392E70"/>
    <w:rsid w:val="003934C8"/>
    <w:rsid w:val="0039376B"/>
    <w:rsid w:val="003948DC"/>
    <w:rsid w:val="00395FFE"/>
    <w:rsid w:val="00396581"/>
    <w:rsid w:val="00396EE5"/>
    <w:rsid w:val="00397738"/>
    <w:rsid w:val="003A01FC"/>
    <w:rsid w:val="003A1367"/>
    <w:rsid w:val="003A1D19"/>
    <w:rsid w:val="003A288A"/>
    <w:rsid w:val="003A2B16"/>
    <w:rsid w:val="003A2FFC"/>
    <w:rsid w:val="003A3313"/>
    <w:rsid w:val="003A38AA"/>
    <w:rsid w:val="003A3BA4"/>
    <w:rsid w:val="003A3C6F"/>
    <w:rsid w:val="003A3F5A"/>
    <w:rsid w:val="003A489F"/>
    <w:rsid w:val="003A4CF0"/>
    <w:rsid w:val="003A5307"/>
    <w:rsid w:val="003A541E"/>
    <w:rsid w:val="003A594C"/>
    <w:rsid w:val="003A5C55"/>
    <w:rsid w:val="003A5D0B"/>
    <w:rsid w:val="003A6170"/>
    <w:rsid w:val="003A6264"/>
    <w:rsid w:val="003A62F4"/>
    <w:rsid w:val="003A7F94"/>
    <w:rsid w:val="003B0275"/>
    <w:rsid w:val="003B054A"/>
    <w:rsid w:val="003B05BC"/>
    <w:rsid w:val="003B1AD1"/>
    <w:rsid w:val="003B2017"/>
    <w:rsid w:val="003B23F0"/>
    <w:rsid w:val="003B4157"/>
    <w:rsid w:val="003B4766"/>
    <w:rsid w:val="003B61FD"/>
    <w:rsid w:val="003B72E6"/>
    <w:rsid w:val="003B7A31"/>
    <w:rsid w:val="003C0908"/>
    <w:rsid w:val="003C0E1C"/>
    <w:rsid w:val="003C3390"/>
    <w:rsid w:val="003C48C7"/>
    <w:rsid w:val="003C5245"/>
    <w:rsid w:val="003C5290"/>
    <w:rsid w:val="003C5D35"/>
    <w:rsid w:val="003C60D8"/>
    <w:rsid w:val="003C741E"/>
    <w:rsid w:val="003C785F"/>
    <w:rsid w:val="003D04E6"/>
    <w:rsid w:val="003D0849"/>
    <w:rsid w:val="003D1D90"/>
    <w:rsid w:val="003D3FF1"/>
    <w:rsid w:val="003D4250"/>
    <w:rsid w:val="003D45C8"/>
    <w:rsid w:val="003D5502"/>
    <w:rsid w:val="003D5A03"/>
    <w:rsid w:val="003D6977"/>
    <w:rsid w:val="003D6DC8"/>
    <w:rsid w:val="003D7694"/>
    <w:rsid w:val="003E1A8D"/>
    <w:rsid w:val="003E3925"/>
    <w:rsid w:val="003E50B5"/>
    <w:rsid w:val="003E5FB1"/>
    <w:rsid w:val="003E6693"/>
    <w:rsid w:val="003E6DB0"/>
    <w:rsid w:val="003E73F1"/>
    <w:rsid w:val="003E7CD8"/>
    <w:rsid w:val="003F017E"/>
    <w:rsid w:val="003F0352"/>
    <w:rsid w:val="003F0B7A"/>
    <w:rsid w:val="003F24B3"/>
    <w:rsid w:val="003F2FD1"/>
    <w:rsid w:val="003F35E2"/>
    <w:rsid w:val="003F3AAB"/>
    <w:rsid w:val="003F3D35"/>
    <w:rsid w:val="003F3F90"/>
    <w:rsid w:val="003F5E8E"/>
    <w:rsid w:val="0040033F"/>
    <w:rsid w:val="00400B3D"/>
    <w:rsid w:val="00404200"/>
    <w:rsid w:val="00404E55"/>
    <w:rsid w:val="004055F7"/>
    <w:rsid w:val="00405AAF"/>
    <w:rsid w:val="00406760"/>
    <w:rsid w:val="0040687A"/>
    <w:rsid w:val="004072B8"/>
    <w:rsid w:val="004079DF"/>
    <w:rsid w:val="00407BF0"/>
    <w:rsid w:val="0041049B"/>
    <w:rsid w:val="0041055C"/>
    <w:rsid w:val="00410901"/>
    <w:rsid w:val="00411A00"/>
    <w:rsid w:val="0041364E"/>
    <w:rsid w:val="00413C59"/>
    <w:rsid w:val="00414546"/>
    <w:rsid w:val="00415C5F"/>
    <w:rsid w:val="00416CBB"/>
    <w:rsid w:val="004170AB"/>
    <w:rsid w:val="00417926"/>
    <w:rsid w:val="00417B80"/>
    <w:rsid w:val="00417ED0"/>
    <w:rsid w:val="00420752"/>
    <w:rsid w:val="00421183"/>
    <w:rsid w:val="00421DB7"/>
    <w:rsid w:val="00423988"/>
    <w:rsid w:val="00423C0F"/>
    <w:rsid w:val="0042410E"/>
    <w:rsid w:val="004246F1"/>
    <w:rsid w:val="0042475D"/>
    <w:rsid w:val="00424AF5"/>
    <w:rsid w:val="00424C4E"/>
    <w:rsid w:val="004255B3"/>
    <w:rsid w:val="004256B5"/>
    <w:rsid w:val="00426F20"/>
    <w:rsid w:val="00427039"/>
    <w:rsid w:val="00430B56"/>
    <w:rsid w:val="00430CC7"/>
    <w:rsid w:val="004325F1"/>
    <w:rsid w:val="00433DB1"/>
    <w:rsid w:val="00433FE1"/>
    <w:rsid w:val="00434F77"/>
    <w:rsid w:val="00435A57"/>
    <w:rsid w:val="00435DED"/>
    <w:rsid w:val="004360E7"/>
    <w:rsid w:val="0043612B"/>
    <w:rsid w:val="00436C49"/>
    <w:rsid w:val="004378FA"/>
    <w:rsid w:val="00437E4E"/>
    <w:rsid w:val="00437FA3"/>
    <w:rsid w:val="004405B3"/>
    <w:rsid w:val="00440869"/>
    <w:rsid w:val="00440DF6"/>
    <w:rsid w:val="00441203"/>
    <w:rsid w:val="004430FF"/>
    <w:rsid w:val="00445354"/>
    <w:rsid w:val="00447753"/>
    <w:rsid w:val="00447E56"/>
    <w:rsid w:val="004506F5"/>
    <w:rsid w:val="004507EF"/>
    <w:rsid w:val="00450C26"/>
    <w:rsid w:val="00450D57"/>
    <w:rsid w:val="00450DEA"/>
    <w:rsid w:val="004526F9"/>
    <w:rsid w:val="0045356D"/>
    <w:rsid w:val="004539D1"/>
    <w:rsid w:val="00453AD3"/>
    <w:rsid w:val="0045497A"/>
    <w:rsid w:val="00454EDE"/>
    <w:rsid w:val="0045514F"/>
    <w:rsid w:val="00455629"/>
    <w:rsid w:val="00456948"/>
    <w:rsid w:val="00456F3F"/>
    <w:rsid w:val="00457D68"/>
    <w:rsid w:val="00460093"/>
    <w:rsid w:val="004604B2"/>
    <w:rsid w:val="004607C8"/>
    <w:rsid w:val="00461091"/>
    <w:rsid w:val="00461129"/>
    <w:rsid w:val="00461697"/>
    <w:rsid w:val="00461817"/>
    <w:rsid w:val="00461A36"/>
    <w:rsid w:val="00461BA1"/>
    <w:rsid w:val="00462064"/>
    <w:rsid w:val="00462BF5"/>
    <w:rsid w:val="00462D55"/>
    <w:rsid w:val="004640EB"/>
    <w:rsid w:val="004649D9"/>
    <w:rsid w:val="00464D2C"/>
    <w:rsid w:val="00465258"/>
    <w:rsid w:val="004654F9"/>
    <w:rsid w:val="00466FBB"/>
    <w:rsid w:val="00467167"/>
    <w:rsid w:val="0046756F"/>
    <w:rsid w:val="00467A3F"/>
    <w:rsid w:val="004700C6"/>
    <w:rsid w:val="0047023C"/>
    <w:rsid w:val="004703B2"/>
    <w:rsid w:val="00470532"/>
    <w:rsid w:val="00471E6B"/>
    <w:rsid w:val="004730E2"/>
    <w:rsid w:val="00473867"/>
    <w:rsid w:val="00473CB7"/>
    <w:rsid w:val="0047422A"/>
    <w:rsid w:val="004760AE"/>
    <w:rsid w:val="00476663"/>
    <w:rsid w:val="00476ED8"/>
    <w:rsid w:val="00476FF0"/>
    <w:rsid w:val="00481387"/>
    <w:rsid w:val="004836B3"/>
    <w:rsid w:val="0048373F"/>
    <w:rsid w:val="00483BAD"/>
    <w:rsid w:val="004843FB"/>
    <w:rsid w:val="004873E7"/>
    <w:rsid w:val="00487443"/>
    <w:rsid w:val="004901AA"/>
    <w:rsid w:val="00490414"/>
    <w:rsid w:val="004904A7"/>
    <w:rsid w:val="004906E7"/>
    <w:rsid w:val="004916C0"/>
    <w:rsid w:val="00491E3A"/>
    <w:rsid w:val="0049211D"/>
    <w:rsid w:val="004922DA"/>
    <w:rsid w:val="0049263A"/>
    <w:rsid w:val="00492A13"/>
    <w:rsid w:val="00493B99"/>
    <w:rsid w:val="00494C4D"/>
    <w:rsid w:val="00496787"/>
    <w:rsid w:val="00496DD5"/>
    <w:rsid w:val="00496F7D"/>
    <w:rsid w:val="004974A5"/>
    <w:rsid w:val="00497FE5"/>
    <w:rsid w:val="004A044A"/>
    <w:rsid w:val="004A0ACB"/>
    <w:rsid w:val="004A3A8F"/>
    <w:rsid w:val="004A4854"/>
    <w:rsid w:val="004A4D8F"/>
    <w:rsid w:val="004A56D0"/>
    <w:rsid w:val="004A58A5"/>
    <w:rsid w:val="004A5E94"/>
    <w:rsid w:val="004A6B9B"/>
    <w:rsid w:val="004A7DF4"/>
    <w:rsid w:val="004B1B71"/>
    <w:rsid w:val="004B4CD5"/>
    <w:rsid w:val="004B5751"/>
    <w:rsid w:val="004B7C89"/>
    <w:rsid w:val="004C0F13"/>
    <w:rsid w:val="004C14DC"/>
    <w:rsid w:val="004C1945"/>
    <w:rsid w:val="004C1F16"/>
    <w:rsid w:val="004C2796"/>
    <w:rsid w:val="004C27B2"/>
    <w:rsid w:val="004C393F"/>
    <w:rsid w:val="004C4100"/>
    <w:rsid w:val="004C586D"/>
    <w:rsid w:val="004C71B7"/>
    <w:rsid w:val="004D0457"/>
    <w:rsid w:val="004D0B43"/>
    <w:rsid w:val="004D1334"/>
    <w:rsid w:val="004D137D"/>
    <w:rsid w:val="004D1E21"/>
    <w:rsid w:val="004D35CD"/>
    <w:rsid w:val="004D3897"/>
    <w:rsid w:val="004D3C21"/>
    <w:rsid w:val="004D3C51"/>
    <w:rsid w:val="004D469D"/>
    <w:rsid w:val="004D5066"/>
    <w:rsid w:val="004D5803"/>
    <w:rsid w:val="004D6979"/>
    <w:rsid w:val="004D726F"/>
    <w:rsid w:val="004D75AD"/>
    <w:rsid w:val="004D771B"/>
    <w:rsid w:val="004E042D"/>
    <w:rsid w:val="004E0730"/>
    <w:rsid w:val="004E0780"/>
    <w:rsid w:val="004E07B8"/>
    <w:rsid w:val="004E0E84"/>
    <w:rsid w:val="004E1053"/>
    <w:rsid w:val="004E1803"/>
    <w:rsid w:val="004E1D02"/>
    <w:rsid w:val="004E301F"/>
    <w:rsid w:val="004E3169"/>
    <w:rsid w:val="004E38F0"/>
    <w:rsid w:val="004E46F2"/>
    <w:rsid w:val="004E472F"/>
    <w:rsid w:val="004E674D"/>
    <w:rsid w:val="004E6B38"/>
    <w:rsid w:val="004F00D8"/>
    <w:rsid w:val="004F01D4"/>
    <w:rsid w:val="004F07F5"/>
    <w:rsid w:val="004F1735"/>
    <w:rsid w:val="004F1EAE"/>
    <w:rsid w:val="004F2624"/>
    <w:rsid w:val="004F2696"/>
    <w:rsid w:val="004F27F6"/>
    <w:rsid w:val="004F28F6"/>
    <w:rsid w:val="004F2FBA"/>
    <w:rsid w:val="004F31D4"/>
    <w:rsid w:val="004F444D"/>
    <w:rsid w:val="004F467E"/>
    <w:rsid w:val="004F5F59"/>
    <w:rsid w:val="004F6E23"/>
    <w:rsid w:val="004F7C42"/>
    <w:rsid w:val="0050004B"/>
    <w:rsid w:val="0050103F"/>
    <w:rsid w:val="00501181"/>
    <w:rsid w:val="0050246A"/>
    <w:rsid w:val="005030B4"/>
    <w:rsid w:val="00506D13"/>
    <w:rsid w:val="005075B3"/>
    <w:rsid w:val="00507979"/>
    <w:rsid w:val="00511650"/>
    <w:rsid w:val="005116DE"/>
    <w:rsid w:val="005121FF"/>
    <w:rsid w:val="005126FE"/>
    <w:rsid w:val="00513B25"/>
    <w:rsid w:val="00513B8E"/>
    <w:rsid w:val="00514217"/>
    <w:rsid w:val="00514B05"/>
    <w:rsid w:val="005170DF"/>
    <w:rsid w:val="005174C4"/>
    <w:rsid w:val="0052090C"/>
    <w:rsid w:val="0052174D"/>
    <w:rsid w:val="0052227A"/>
    <w:rsid w:val="00522680"/>
    <w:rsid w:val="00522D7D"/>
    <w:rsid w:val="005231DC"/>
    <w:rsid w:val="00523EBF"/>
    <w:rsid w:val="0052445D"/>
    <w:rsid w:val="0052508C"/>
    <w:rsid w:val="00525D33"/>
    <w:rsid w:val="0052621D"/>
    <w:rsid w:val="0052635A"/>
    <w:rsid w:val="0052677B"/>
    <w:rsid w:val="00526B05"/>
    <w:rsid w:val="00527973"/>
    <w:rsid w:val="0053010D"/>
    <w:rsid w:val="00530C8E"/>
    <w:rsid w:val="00530CB9"/>
    <w:rsid w:val="0053131C"/>
    <w:rsid w:val="005319EA"/>
    <w:rsid w:val="00531A4A"/>
    <w:rsid w:val="005336A4"/>
    <w:rsid w:val="0053414C"/>
    <w:rsid w:val="005357C5"/>
    <w:rsid w:val="005359C2"/>
    <w:rsid w:val="00536649"/>
    <w:rsid w:val="00536958"/>
    <w:rsid w:val="00536C18"/>
    <w:rsid w:val="00536ED3"/>
    <w:rsid w:val="00537348"/>
    <w:rsid w:val="005373C3"/>
    <w:rsid w:val="00537B11"/>
    <w:rsid w:val="00537EF4"/>
    <w:rsid w:val="00540071"/>
    <w:rsid w:val="00540487"/>
    <w:rsid w:val="00540ADE"/>
    <w:rsid w:val="0054112C"/>
    <w:rsid w:val="0054199C"/>
    <w:rsid w:val="00541F8E"/>
    <w:rsid w:val="0054388A"/>
    <w:rsid w:val="005443D2"/>
    <w:rsid w:val="005448F7"/>
    <w:rsid w:val="00544E34"/>
    <w:rsid w:val="005453C2"/>
    <w:rsid w:val="00545593"/>
    <w:rsid w:val="00546BC1"/>
    <w:rsid w:val="00546C23"/>
    <w:rsid w:val="00547401"/>
    <w:rsid w:val="00552400"/>
    <w:rsid w:val="00552697"/>
    <w:rsid w:val="00553FB9"/>
    <w:rsid w:val="00554182"/>
    <w:rsid w:val="00556701"/>
    <w:rsid w:val="00556710"/>
    <w:rsid w:val="00556E8D"/>
    <w:rsid w:val="005578E1"/>
    <w:rsid w:val="005579CE"/>
    <w:rsid w:val="00560E34"/>
    <w:rsid w:val="00560FCE"/>
    <w:rsid w:val="00561099"/>
    <w:rsid w:val="0056127F"/>
    <w:rsid w:val="00561379"/>
    <w:rsid w:val="00561591"/>
    <w:rsid w:val="005630D6"/>
    <w:rsid w:val="005637E5"/>
    <w:rsid w:val="005652EB"/>
    <w:rsid w:val="0056555C"/>
    <w:rsid w:val="005664F8"/>
    <w:rsid w:val="00567D29"/>
    <w:rsid w:val="0057022A"/>
    <w:rsid w:val="005714BD"/>
    <w:rsid w:val="00572632"/>
    <w:rsid w:val="005726AE"/>
    <w:rsid w:val="00572BE3"/>
    <w:rsid w:val="00573A54"/>
    <w:rsid w:val="0057423A"/>
    <w:rsid w:val="00574473"/>
    <w:rsid w:val="0057555E"/>
    <w:rsid w:val="005757EF"/>
    <w:rsid w:val="00575A64"/>
    <w:rsid w:val="00576154"/>
    <w:rsid w:val="00576BB3"/>
    <w:rsid w:val="00577610"/>
    <w:rsid w:val="005817D7"/>
    <w:rsid w:val="00581E70"/>
    <w:rsid w:val="005823F1"/>
    <w:rsid w:val="005824AD"/>
    <w:rsid w:val="00582539"/>
    <w:rsid w:val="005827EA"/>
    <w:rsid w:val="00582CFF"/>
    <w:rsid w:val="005832C5"/>
    <w:rsid w:val="005851B1"/>
    <w:rsid w:val="00585B62"/>
    <w:rsid w:val="00587A0F"/>
    <w:rsid w:val="00587A3F"/>
    <w:rsid w:val="00587A53"/>
    <w:rsid w:val="00587DBE"/>
    <w:rsid w:val="00590E5A"/>
    <w:rsid w:val="0059145D"/>
    <w:rsid w:val="0059202D"/>
    <w:rsid w:val="0059236E"/>
    <w:rsid w:val="00592F88"/>
    <w:rsid w:val="00593271"/>
    <w:rsid w:val="0059361B"/>
    <w:rsid w:val="0059394E"/>
    <w:rsid w:val="00594525"/>
    <w:rsid w:val="00594899"/>
    <w:rsid w:val="00594DF5"/>
    <w:rsid w:val="00597A3C"/>
    <w:rsid w:val="00597BCA"/>
    <w:rsid w:val="00597C22"/>
    <w:rsid w:val="005A0116"/>
    <w:rsid w:val="005A0C94"/>
    <w:rsid w:val="005A0F96"/>
    <w:rsid w:val="005A12E6"/>
    <w:rsid w:val="005A18F0"/>
    <w:rsid w:val="005A24DA"/>
    <w:rsid w:val="005A3410"/>
    <w:rsid w:val="005A3872"/>
    <w:rsid w:val="005A3B40"/>
    <w:rsid w:val="005A3C97"/>
    <w:rsid w:val="005A4188"/>
    <w:rsid w:val="005A576B"/>
    <w:rsid w:val="005A5CA3"/>
    <w:rsid w:val="005A6078"/>
    <w:rsid w:val="005A6FD9"/>
    <w:rsid w:val="005A793F"/>
    <w:rsid w:val="005A7C59"/>
    <w:rsid w:val="005B0144"/>
    <w:rsid w:val="005B01C0"/>
    <w:rsid w:val="005B1B9A"/>
    <w:rsid w:val="005B1BCC"/>
    <w:rsid w:val="005B2566"/>
    <w:rsid w:val="005B2821"/>
    <w:rsid w:val="005B2A4C"/>
    <w:rsid w:val="005B2D0E"/>
    <w:rsid w:val="005B4983"/>
    <w:rsid w:val="005B5EA0"/>
    <w:rsid w:val="005B6FEC"/>
    <w:rsid w:val="005B739F"/>
    <w:rsid w:val="005C0189"/>
    <w:rsid w:val="005C1609"/>
    <w:rsid w:val="005C22B3"/>
    <w:rsid w:val="005C2A1D"/>
    <w:rsid w:val="005C2C81"/>
    <w:rsid w:val="005C3833"/>
    <w:rsid w:val="005C4882"/>
    <w:rsid w:val="005C6E3C"/>
    <w:rsid w:val="005D1501"/>
    <w:rsid w:val="005D1AC7"/>
    <w:rsid w:val="005D1AEB"/>
    <w:rsid w:val="005D2648"/>
    <w:rsid w:val="005D29B6"/>
    <w:rsid w:val="005D3219"/>
    <w:rsid w:val="005D3C1A"/>
    <w:rsid w:val="005D402D"/>
    <w:rsid w:val="005D4F16"/>
    <w:rsid w:val="005D5DAC"/>
    <w:rsid w:val="005D6B6B"/>
    <w:rsid w:val="005D6EFE"/>
    <w:rsid w:val="005D70B8"/>
    <w:rsid w:val="005D7181"/>
    <w:rsid w:val="005E09A5"/>
    <w:rsid w:val="005E1039"/>
    <w:rsid w:val="005E1074"/>
    <w:rsid w:val="005E1866"/>
    <w:rsid w:val="005E1B23"/>
    <w:rsid w:val="005E3199"/>
    <w:rsid w:val="005E35BF"/>
    <w:rsid w:val="005E3766"/>
    <w:rsid w:val="005E3B08"/>
    <w:rsid w:val="005E4616"/>
    <w:rsid w:val="005E4F6D"/>
    <w:rsid w:val="005E57DC"/>
    <w:rsid w:val="005E597D"/>
    <w:rsid w:val="005E5BAA"/>
    <w:rsid w:val="005E65FF"/>
    <w:rsid w:val="005E6BCB"/>
    <w:rsid w:val="005E7147"/>
    <w:rsid w:val="005E7C12"/>
    <w:rsid w:val="005E7D0A"/>
    <w:rsid w:val="005F0245"/>
    <w:rsid w:val="005F135D"/>
    <w:rsid w:val="005F183A"/>
    <w:rsid w:val="005F19B6"/>
    <w:rsid w:val="005F19F7"/>
    <w:rsid w:val="005F1CC5"/>
    <w:rsid w:val="005F2CBD"/>
    <w:rsid w:val="005F320F"/>
    <w:rsid w:val="005F5B22"/>
    <w:rsid w:val="005F5FE2"/>
    <w:rsid w:val="005F664F"/>
    <w:rsid w:val="005F6F9D"/>
    <w:rsid w:val="005F7889"/>
    <w:rsid w:val="00600B72"/>
    <w:rsid w:val="00600BDC"/>
    <w:rsid w:val="00602844"/>
    <w:rsid w:val="00602F2D"/>
    <w:rsid w:val="00602FB5"/>
    <w:rsid w:val="00603452"/>
    <w:rsid w:val="00603EA1"/>
    <w:rsid w:val="0060582F"/>
    <w:rsid w:val="006064FC"/>
    <w:rsid w:val="006069C7"/>
    <w:rsid w:val="00606CAC"/>
    <w:rsid w:val="00610007"/>
    <w:rsid w:val="00610421"/>
    <w:rsid w:val="00610510"/>
    <w:rsid w:val="0061137F"/>
    <w:rsid w:val="00612031"/>
    <w:rsid w:val="00612444"/>
    <w:rsid w:val="0061251E"/>
    <w:rsid w:val="006128C5"/>
    <w:rsid w:val="00612A08"/>
    <w:rsid w:val="0061317E"/>
    <w:rsid w:val="00615353"/>
    <w:rsid w:val="00615FC4"/>
    <w:rsid w:val="006169B6"/>
    <w:rsid w:val="00621C8A"/>
    <w:rsid w:val="00622A09"/>
    <w:rsid w:val="00622AC4"/>
    <w:rsid w:val="00622C45"/>
    <w:rsid w:val="00622CF1"/>
    <w:rsid w:val="0062321C"/>
    <w:rsid w:val="0062353F"/>
    <w:rsid w:val="00623618"/>
    <w:rsid w:val="00623BCF"/>
    <w:rsid w:val="00623FF8"/>
    <w:rsid w:val="0062559C"/>
    <w:rsid w:val="00626001"/>
    <w:rsid w:val="0062656F"/>
    <w:rsid w:val="006270A2"/>
    <w:rsid w:val="00627174"/>
    <w:rsid w:val="006275D6"/>
    <w:rsid w:val="00627B8F"/>
    <w:rsid w:val="00630B88"/>
    <w:rsid w:val="00630DA8"/>
    <w:rsid w:val="00632090"/>
    <w:rsid w:val="006322B8"/>
    <w:rsid w:val="0063323B"/>
    <w:rsid w:val="00634535"/>
    <w:rsid w:val="00634A13"/>
    <w:rsid w:val="00634B77"/>
    <w:rsid w:val="00634E30"/>
    <w:rsid w:val="00635517"/>
    <w:rsid w:val="00635A59"/>
    <w:rsid w:val="0063636B"/>
    <w:rsid w:val="006408FC"/>
    <w:rsid w:val="00640D95"/>
    <w:rsid w:val="00640E17"/>
    <w:rsid w:val="00641DB9"/>
    <w:rsid w:val="00641FD0"/>
    <w:rsid w:val="00642D97"/>
    <w:rsid w:val="006431AA"/>
    <w:rsid w:val="00643276"/>
    <w:rsid w:val="00643FD7"/>
    <w:rsid w:val="006443FF"/>
    <w:rsid w:val="006448ED"/>
    <w:rsid w:val="0064491C"/>
    <w:rsid w:val="006449C1"/>
    <w:rsid w:val="00644AD0"/>
    <w:rsid w:val="00645D21"/>
    <w:rsid w:val="00645ECC"/>
    <w:rsid w:val="006466AA"/>
    <w:rsid w:val="00646DA0"/>
    <w:rsid w:val="00651537"/>
    <w:rsid w:val="00651777"/>
    <w:rsid w:val="00651909"/>
    <w:rsid w:val="00652B2A"/>
    <w:rsid w:val="00653A05"/>
    <w:rsid w:val="00653E78"/>
    <w:rsid w:val="00654776"/>
    <w:rsid w:val="006554F8"/>
    <w:rsid w:val="00656B19"/>
    <w:rsid w:val="0065734F"/>
    <w:rsid w:val="00657887"/>
    <w:rsid w:val="00657AB3"/>
    <w:rsid w:val="00657B67"/>
    <w:rsid w:val="00660D3F"/>
    <w:rsid w:val="0066122C"/>
    <w:rsid w:val="00663A99"/>
    <w:rsid w:val="00665F15"/>
    <w:rsid w:val="00666AA1"/>
    <w:rsid w:val="00666F2B"/>
    <w:rsid w:val="00670256"/>
    <w:rsid w:val="00670B23"/>
    <w:rsid w:val="00670D9E"/>
    <w:rsid w:val="00671146"/>
    <w:rsid w:val="00671B6E"/>
    <w:rsid w:val="00671CA0"/>
    <w:rsid w:val="006728CF"/>
    <w:rsid w:val="00675D35"/>
    <w:rsid w:val="00675EAF"/>
    <w:rsid w:val="00676A07"/>
    <w:rsid w:val="00677600"/>
    <w:rsid w:val="00680407"/>
    <w:rsid w:val="006808C7"/>
    <w:rsid w:val="00680AF5"/>
    <w:rsid w:val="00680B88"/>
    <w:rsid w:val="00683189"/>
    <w:rsid w:val="00683236"/>
    <w:rsid w:val="00684EC8"/>
    <w:rsid w:val="006850B6"/>
    <w:rsid w:val="006855F0"/>
    <w:rsid w:val="00685F1E"/>
    <w:rsid w:val="006866A5"/>
    <w:rsid w:val="00690870"/>
    <w:rsid w:val="00691653"/>
    <w:rsid w:val="0069241C"/>
    <w:rsid w:val="00693195"/>
    <w:rsid w:val="00693C0E"/>
    <w:rsid w:val="006948B3"/>
    <w:rsid w:val="00695732"/>
    <w:rsid w:val="00696CB5"/>
    <w:rsid w:val="00697606"/>
    <w:rsid w:val="00697F4A"/>
    <w:rsid w:val="006A0989"/>
    <w:rsid w:val="006A1D36"/>
    <w:rsid w:val="006A3B38"/>
    <w:rsid w:val="006A3FAE"/>
    <w:rsid w:val="006A4119"/>
    <w:rsid w:val="006A4240"/>
    <w:rsid w:val="006A4D62"/>
    <w:rsid w:val="006A5354"/>
    <w:rsid w:val="006A5DAA"/>
    <w:rsid w:val="006A6011"/>
    <w:rsid w:val="006A602B"/>
    <w:rsid w:val="006A79C0"/>
    <w:rsid w:val="006A7ABE"/>
    <w:rsid w:val="006B0545"/>
    <w:rsid w:val="006B22D8"/>
    <w:rsid w:val="006B33FC"/>
    <w:rsid w:val="006B34BE"/>
    <w:rsid w:val="006B3D7D"/>
    <w:rsid w:val="006B43BB"/>
    <w:rsid w:val="006B44C2"/>
    <w:rsid w:val="006B4618"/>
    <w:rsid w:val="006B5330"/>
    <w:rsid w:val="006B5EF2"/>
    <w:rsid w:val="006B677D"/>
    <w:rsid w:val="006B6A7A"/>
    <w:rsid w:val="006B6FBE"/>
    <w:rsid w:val="006B75E8"/>
    <w:rsid w:val="006C0267"/>
    <w:rsid w:val="006C1B50"/>
    <w:rsid w:val="006C1FA4"/>
    <w:rsid w:val="006C2692"/>
    <w:rsid w:val="006C3A3D"/>
    <w:rsid w:val="006C3AA6"/>
    <w:rsid w:val="006C3AB3"/>
    <w:rsid w:val="006C4088"/>
    <w:rsid w:val="006C438D"/>
    <w:rsid w:val="006C472F"/>
    <w:rsid w:val="006C5700"/>
    <w:rsid w:val="006C60DA"/>
    <w:rsid w:val="006C69FC"/>
    <w:rsid w:val="006D00B3"/>
    <w:rsid w:val="006D0C73"/>
    <w:rsid w:val="006D0DAE"/>
    <w:rsid w:val="006D145F"/>
    <w:rsid w:val="006D1909"/>
    <w:rsid w:val="006D1EE5"/>
    <w:rsid w:val="006D2AB4"/>
    <w:rsid w:val="006D2E07"/>
    <w:rsid w:val="006D2F72"/>
    <w:rsid w:val="006D326B"/>
    <w:rsid w:val="006D5108"/>
    <w:rsid w:val="006D6F77"/>
    <w:rsid w:val="006D7FAC"/>
    <w:rsid w:val="006E03C5"/>
    <w:rsid w:val="006E08F7"/>
    <w:rsid w:val="006E0A8B"/>
    <w:rsid w:val="006E1611"/>
    <w:rsid w:val="006E17BB"/>
    <w:rsid w:val="006E3003"/>
    <w:rsid w:val="006E336A"/>
    <w:rsid w:val="006E3C11"/>
    <w:rsid w:val="006E3FC9"/>
    <w:rsid w:val="006E4357"/>
    <w:rsid w:val="006E4D41"/>
    <w:rsid w:val="006E546C"/>
    <w:rsid w:val="006E5929"/>
    <w:rsid w:val="006E5C20"/>
    <w:rsid w:val="006F3410"/>
    <w:rsid w:val="006F3FF7"/>
    <w:rsid w:val="006F5579"/>
    <w:rsid w:val="006F5FF6"/>
    <w:rsid w:val="006F6483"/>
    <w:rsid w:val="007002C3"/>
    <w:rsid w:val="0070197C"/>
    <w:rsid w:val="00701B5D"/>
    <w:rsid w:val="00702957"/>
    <w:rsid w:val="00702C0C"/>
    <w:rsid w:val="00703039"/>
    <w:rsid w:val="00703396"/>
    <w:rsid w:val="0070375E"/>
    <w:rsid w:val="007039D0"/>
    <w:rsid w:val="00703E3D"/>
    <w:rsid w:val="00704A2B"/>
    <w:rsid w:val="00704A9C"/>
    <w:rsid w:val="00704A9F"/>
    <w:rsid w:val="00705BF7"/>
    <w:rsid w:val="007071E0"/>
    <w:rsid w:val="00707704"/>
    <w:rsid w:val="00707770"/>
    <w:rsid w:val="0071067B"/>
    <w:rsid w:val="00710FFE"/>
    <w:rsid w:val="00711ADE"/>
    <w:rsid w:val="00711B1D"/>
    <w:rsid w:val="007121E1"/>
    <w:rsid w:val="00713335"/>
    <w:rsid w:val="007135D1"/>
    <w:rsid w:val="00714321"/>
    <w:rsid w:val="00714F26"/>
    <w:rsid w:val="007161BB"/>
    <w:rsid w:val="007162E1"/>
    <w:rsid w:val="0071698D"/>
    <w:rsid w:val="00722198"/>
    <w:rsid w:val="007236D0"/>
    <w:rsid w:val="00724913"/>
    <w:rsid w:val="00725925"/>
    <w:rsid w:val="00726751"/>
    <w:rsid w:val="00726B52"/>
    <w:rsid w:val="00726B57"/>
    <w:rsid w:val="0072774A"/>
    <w:rsid w:val="007279A3"/>
    <w:rsid w:val="0073010A"/>
    <w:rsid w:val="0073160A"/>
    <w:rsid w:val="00731A74"/>
    <w:rsid w:val="0073241B"/>
    <w:rsid w:val="00732D90"/>
    <w:rsid w:val="00732E0E"/>
    <w:rsid w:val="00733440"/>
    <w:rsid w:val="00734550"/>
    <w:rsid w:val="00734F3C"/>
    <w:rsid w:val="007352AC"/>
    <w:rsid w:val="00736E00"/>
    <w:rsid w:val="007406C6"/>
    <w:rsid w:val="007422F2"/>
    <w:rsid w:val="00742F2B"/>
    <w:rsid w:val="00744148"/>
    <w:rsid w:val="00745354"/>
    <w:rsid w:val="00745D0D"/>
    <w:rsid w:val="0074710B"/>
    <w:rsid w:val="0074750E"/>
    <w:rsid w:val="00750001"/>
    <w:rsid w:val="00750B01"/>
    <w:rsid w:val="007510F9"/>
    <w:rsid w:val="00751B9E"/>
    <w:rsid w:val="007530F6"/>
    <w:rsid w:val="0075384E"/>
    <w:rsid w:val="0075496E"/>
    <w:rsid w:val="00755ECE"/>
    <w:rsid w:val="0075656D"/>
    <w:rsid w:val="00756E19"/>
    <w:rsid w:val="007577DC"/>
    <w:rsid w:val="00762457"/>
    <w:rsid w:val="00762A7E"/>
    <w:rsid w:val="00762CFA"/>
    <w:rsid w:val="00762D15"/>
    <w:rsid w:val="00762F2F"/>
    <w:rsid w:val="00763849"/>
    <w:rsid w:val="00764D60"/>
    <w:rsid w:val="00764F57"/>
    <w:rsid w:val="00765F20"/>
    <w:rsid w:val="00766CF3"/>
    <w:rsid w:val="007676A8"/>
    <w:rsid w:val="007678C6"/>
    <w:rsid w:val="00767A39"/>
    <w:rsid w:val="00767ED3"/>
    <w:rsid w:val="0077171D"/>
    <w:rsid w:val="007719C2"/>
    <w:rsid w:val="00773469"/>
    <w:rsid w:val="00773769"/>
    <w:rsid w:val="00773B02"/>
    <w:rsid w:val="007768EF"/>
    <w:rsid w:val="0077694D"/>
    <w:rsid w:val="00776A70"/>
    <w:rsid w:val="00780344"/>
    <w:rsid w:val="007805DD"/>
    <w:rsid w:val="00781B23"/>
    <w:rsid w:val="00781E2E"/>
    <w:rsid w:val="00781E9E"/>
    <w:rsid w:val="007863A4"/>
    <w:rsid w:val="007864E3"/>
    <w:rsid w:val="007869BF"/>
    <w:rsid w:val="0078767F"/>
    <w:rsid w:val="00787BB1"/>
    <w:rsid w:val="00790124"/>
    <w:rsid w:val="00793A67"/>
    <w:rsid w:val="00795A9D"/>
    <w:rsid w:val="00797868"/>
    <w:rsid w:val="007A0600"/>
    <w:rsid w:val="007A0A23"/>
    <w:rsid w:val="007A0BE8"/>
    <w:rsid w:val="007A1638"/>
    <w:rsid w:val="007A1B3B"/>
    <w:rsid w:val="007A2193"/>
    <w:rsid w:val="007A2479"/>
    <w:rsid w:val="007A29DA"/>
    <w:rsid w:val="007A2F31"/>
    <w:rsid w:val="007A3D79"/>
    <w:rsid w:val="007A4E00"/>
    <w:rsid w:val="007A51BB"/>
    <w:rsid w:val="007A5C92"/>
    <w:rsid w:val="007A6B81"/>
    <w:rsid w:val="007B0040"/>
    <w:rsid w:val="007B0152"/>
    <w:rsid w:val="007B045F"/>
    <w:rsid w:val="007B2397"/>
    <w:rsid w:val="007B276B"/>
    <w:rsid w:val="007B2B05"/>
    <w:rsid w:val="007B318B"/>
    <w:rsid w:val="007B46BB"/>
    <w:rsid w:val="007B5666"/>
    <w:rsid w:val="007B653C"/>
    <w:rsid w:val="007B6623"/>
    <w:rsid w:val="007B6680"/>
    <w:rsid w:val="007B68F9"/>
    <w:rsid w:val="007B6DC7"/>
    <w:rsid w:val="007B7141"/>
    <w:rsid w:val="007B73E0"/>
    <w:rsid w:val="007B7825"/>
    <w:rsid w:val="007B7ADE"/>
    <w:rsid w:val="007C04A0"/>
    <w:rsid w:val="007C05E7"/>
    <w:rsid w:val="007C27BB"/>
    <w:rsid w:val="007C2908"/>
    <w:rsid w:val="007C379B"/>
    <w:rsid w:val="007C4292"/>
    <w:rsid w:val="007C4EFA"/>
    <w:rsid w:val="007C52AA"/>
    <w:rsid w:val="007C5E26"/>
    <w:rsid w:val="007C73C1"/>
    <w:rsid w:val="007D08CE"/>
    <w:rsid w:val="007D13AB"/>
    <w:rsid w:val="007D1C64"/>
    <w:rsid w:val="007D1C6B"/>
    <w:rsid w:val="007D2060"/>
    <w:rsid w:val="007D29D0"/>
    <w:rsid w:val="007D2ACD"/>
    <w:rsid w:val="007D32D2"/>
    <w:rsid w:val="007D3826"/>
    <w:rsid w:val="007D46C0"/>
    <w:rsid w:val="007D4F5A"/>
    <w:rsid w:val="007D5A39"/>
    <w:rsid w:val="007D5D0D"/>
    <w:rsid w:val="007D5D80"/>
    <w:rsid w:val="007D6BD1"/>
    <w:rsid w:val="007D7538"/>
    <w:rsid w:val="007D77C8"/>
    <w:rsid w:val="007E0093"/>
    <w:rsid w:val="007E0BD5"/>
    <w:rsid w:val="007E1CBE"/>
    <w:rsid w:val="007E1DCE"/>
    <w:rsid w:val="007E1E7F"/>
    <w:rsid w:val="007E2458"/>
    <w:rsid w:val="007E3D8A"/>
    <w:rsid w:val="007E52A9"/>
    <w:rsid w:val="007E61C7"/>
    <w:rsid w:val="007E6CB9"/>
    <w:rsid w:val="007E7406"/>
    <w:rsid w:val="007E7E0F"/>
    <w:rsid w:val="007F0184"/>
    <w:rsid w:val="007F34E9"/>
    <w:rsid w:val="007F5F69"/>
    <w:rsid w:val="007F67C3"/>
    <w:rsid w:val="007F67D5"/>
    <w:rsid w:val="007F6E5D"/>
    <w:rsid w:val="007F7220"/>
    <w:rsid w:val="007F7975"/>
    <w:rsid w:val="00800EE8"/>
    <w:rsid w:val="008014F1"/>
    <w:rsid w:val="008021A6"/>
    <w:rsid w:val="008022E1"/>
    <w:rsid w:val="008026B4"/>
    <w:rsid w:val="008030CB"/>
    <w:rsid w:val="00804831"/>
    <w:rsid w:val="00804DE2"/>
    <w:rsid w:val="0080511E"/>
    <w:rsid w:val="0080575B"/>
    <w:rsid w:val="00806214"/>
    <w:rsid w:val="00806D34"/>
    <w:rsid w:val="00806E90"/>
    <w:rsid w:val="00807A97"/>
    <w:rsid w:val="00807C60"/>
    <w:rsid w:val="00807D8B"/>
    <w:rsid w:val="00810572"/>
    <w:rsid w:val="00810BDD"/>
    <w:rsid w:val="00811213"/>
    <w:rsid w:val="0081190C"/>
    <w:rsid w:val="008123DD"/>
    <w:rsid w:val="00812745"/>
    <w:rsid w:val="00812D20"/>
    <w:rsid w:val="0081355B"/>
    <w:rsid w:val="00813568"/>
    <w:rsid w:val="00813A49"/>
    <w:rsid w:val="00813BE6"/>
    <w:rsid w:val="008144F9"/>
    <w:rsid w:val="00814740"/>
    <w:rsid w:val="00814837"/>
    <w:rsid w:val="00814D0D"/>
    <w:rsid w:val="00814DCF"/>
    <w:rsid w:val="008150C1"/>
    <w:rsid w:val="00815193"/>
    <w:rsid w:val="0081572A"/>
    <w:rsid w:val="0081654F"/>
    <w:rsid w:val="008209A5"/>
    <w:rsid w:val="00821AA0"/>
    <w:rsid w:val="00822383"/>
    <w:rsid w:val="00823027"/>
    <w:rsid w:val="0082375C"/>
    <w:rsid w:val="00823B47"/>
    <w:rsid w:val="0082743C"/>
    <w:rsid w:val="008316BB"/>
    <w:rsid w:val="00831EF4"/>
    <w:rsid w:val="00831FEE"/>
    <w:rsid w:val="008321FF"/>
    <w:rsid w:val="0083328E"/>
    <w:rsid w:val="00833AEF"/>
    <w:rsid w:val="00834C75"/>
    <w:rsid w:val="00835293"/>
    <w:rsid w:val="00835340"/>
    <w:rsid w:val="00835AAD"/>
    <w:rsid w:val="00836EEC"/>
    <w:rsid w:val="008372B6"/>
    <w:rsid w:val="00837A57"/>
    <w:rsid w:val="00837B3B"/>
    <w:rsid w:val="0084008D"/>
    <w:rsid w:val="00840A28"/>
    <w:rsid w:val="00840C49"/>
    <w:rsid w:val="008415E0"/>
    <w:rsid w:val="00841ED7"/>
    <w:rsid w:val="008443F5"/>
    <w:rsid w:val="0084448C"/>
    <w:rsid w:val="008444D3"/>
    <w:rsid w:val="008453C3"/>
    <w:rsid w:val="00846173"/>
    <w:rsid w:val="00846838"/>
    <w:rsid w:val="008472E5"/>
    <w:rsid w:val="0084779E"/>
    <w:rsid w:val="00850AE5"/>
    <w:rsid w:val="0085145A"/>
    <w:rsid w:val="0085197E"/>
    <w:rsid w:val="00851A2D"/>
    <w:rsid w:val="00851BC5"/>
    <w:rsid w:val="008527D6"/>
    <w:rsid w:val="00852869"/>
    <w:rsid w:val="0085305A"/>
    <w:rsid w:val="00856D2A"/>
    <w:rsid w:val="00857164"/>
    <w:rsid w:val="00857569"/>
    <w:rsid w:val="00861166"/>
    <w:rsid w:val="00861AAF"/>
    <w:rsid w:val="00862825"/>
    <w:rsid w:val="00864439"/>
    <w:rsid w:val="00864D02"/>
    <w:rsid w:val="00864F70"/>
    <w:rsid w:val="0086578F"/>
    <w:rsid w:val="00865D60"/>
    <w:rsid w:val="00866897"/>
    <w:rsid w:val="00867C47"/>
    <w:rsid w:val="008701FA"/>
    <w:rsid w:val="0087104F"/>
    <w:rsid w:val="00871A46"/>
    <w:rsid w:val="008722A7"/>
    <w:rsid w:val="0087307E"/>
    <w:rsid w:val="00874B1B"/>
    <w:rsid w:val="008755D4"/>
    <w:rsid w:val="00875ABE"/>
    <w:rsid w:val="00877718"/>
    <w:rsid w:val="00877946"/>
    <w:rsid w:val="00877A49"/>
    <w:rsid w:val="00880BEB"/>
    <w:rsid w:val="00880C02"/>
    <w:rsid w:val="0088151E"/>
    <w:rsid w:val="008825D1"/>
    <w:rsid w:val="00882AC1"/>
    <w:rsid w:val="00882F30"/>
    <w:rsid w:val="00883FCA"/>
    <w:rsid w:val="00884823"/>
    <w:rsid w:val="008851B7"/>
    <w:rsid w:val="008859E3"/>
    <w:rsid w:val="00885D03"/>
    <w:rsid w:val="00886BAF"/>
    <w:rsid w:val="00887B34"/>
    <w:rsid w:val="00891AE9"/>
    <w:rsid w:val="008932D7"/>
    <w:rsid w:val="00893E0D"/>
    <w:rsid w:val="008946DE"/>
    <w:rsid w:val="00894A1E"/>
    <w:rsid w:val="0089596B"/>
    <w:rsid w:val="00895FCE"/>
    <w:rsid w:val="00896217"/>
    <w:rsid w:val="00896CB1"/>
    <w:rsid w:val="008A16C7"/>
    <w:rsid w:val="008A1BF4"/>
    <w:rsid w:val="008A1F49"/>
    <w:rsid w:val="008A20A1"/>
    <w:rsid w:val="008A3CDD"/>
    <w:rsid w:val="008A3E35"/>
    <w:rsid w:val="008A4A98"/>
    <w:rsid w:val="008A5851"/>
    <w:rsid w:val="008A5974"/>
    <w:rsid w:val="008A5F31"/>
    <w:rsid w:val="008A642A"/>
    <w:rsid w:val="008A657D"/>
    <w:rsid w:val="008A7880"/>
    <w:rsid w:val="008A7902"/>
    <w:rsid w:val="008A7BAD"/>
    <w:rsid w:val="008B01C5"/>
    <w:rsid w:val="008B0AEA"/>
    <w:rsid w:val="008B0C24"/>
    <w:rsid w:val="008B0E91"/>
    <w:rsid w:val="008B10C3"/>
    <w:rsid w:val="008B2725"/>
    <w:rsid w:val="008B29C1"/>
    <w:rsid w:val="008B2DB7"/>
    <w:rsid w:val="008B34E3"/>
    <w:rsid w:val="008B42C4"/>
    <w:rsid w:val="008B4711"/>
    <w:rsid w:val="008B5213"/>
    <w:rsid w:val="008B5EE7"/>
    <w:rsid w:val="008B6805"/>
    <w:rsid w:val="008B699A"/>
    <w:rsid w:val="008B73DD"/>
    <w:rsid w:val="008B7873"/>
    <w:rsid w:val="008B7B95"/>
    <w:rsid w:val="008B7F17"/>
    <w:rsid w:val="008C03BE"/>
    <w:rsid w:val="008C05B0"/>
    <w:rsid w:val="008C0A1C"/>
    <w:rsid w:val="008C1EE5"/>
    <w:rsid w:val="008C23B0"/>
    <w:rsid w:val="008C3487"/>
    <w:rsid w:val="008C4388"/>
    <w:rsid w:val="008C4901"/>
    <w:rsid w:val="008C4F40"/>
    <w:rsid w:val="008C5672"/>
    <w:rsid w:val="008C59DB"/>
    <w:rsid w:val="008C5B69"/>
    <w:rsid w:val="008C6377"/>
    <w:rsid w:val="008C6B6F"/>
    <w:rsid w:val="008C6BC3"/>
    <w:rsid w:val="008C7458"/>
    <w:rsid w:val="008C7C07"/>
    <w:rsid w:val="008D00A2"/>
    <w:rsid w:val="008D0CF3"/>
    <w:rsid w:val="008D0F04"/>
    <w:rsid w:val="008D140F"/>
    <w:rsid w:val="008D220D"/>
    <w:rsid w:val="008D2458"/>
    <w:rsid w:val="008D5AF8"/>
    <w:rsid w:val="008D5C5E"/>
    <w:rsid w:val="008D6B2B"/>
    <w:rsid w:val="008D701E"/>
    <w:rsid w:val="008E0EB3"/>
    <w:rsid w:val="008E1317"/>
    <w:rsid w:val="008E1968"/>
    <w:rsid w:val="008E321F"/>
    <w:rsid w:val="008E4911"/>
    <w:rsid w:val="008E5B12"/>
    <w:rsid w:val="008E6565"/>
    <w:rsid w:val="008E7F06"/>
    <w:rsid w:val="008F0329"/>
    <w:rsid w:val="008F065D"/>
    <w:rsid w:val="008F0D73"/>
    <w:rsid w:val="008F1781"/>
    <w:rsid w:val="008F2AB4"/>
    <w:rsid w:val="008F2F55"/>
    <w:rsid w:val="008F3420"/>
    <w:rsid w:val="008F3AEA"/>
    <w:rsid w:val="008F3C26"/>
    <w:rsid w:val="008F4FD9"/>
    <w:rsid w:val="008F583B"/>
    <w:rsid w:val="009021C9"/>
    <w:rsid w:val="009022A5"/>
    <w:rsid w:val="00903550"/>
    <w:rsid w:val="00904087"/>
    <w:rsid w:val="00904C87"/>
    <w:rsid w:val="00904EE1"/>
    <w:rsid w:val="00905BD7"/>
    <w:rsid w:val="00906853"/>
    <w:rsid w:val="00907047"/>
    <w:rsid w:val="00907572"/>
    <w:rsid w:val="009108FE"/>
    <w:rsid w:val="009116E0"/>
    <w:rsid w:val="009136CD"/>
    <w:rsid w:val="00913B8B"/>
    <w:rsid w:val="00913C41"/>
    <w:rsid w:val="00913F90"/>
    <w:rsid w:val="009158C7"/>
    <w:rsid w:val="00916385"/>
    <w:rsid w:val="00916466"/>
    <w:rsid w:val="009164C9"/>
    <w:rsid w:val="009171CD"/>
    <w:rsid w:val="00917503"/>
    <w:rsid w:val="00917FC4"/>
    <w:rsid w:val="00920145"/>
    <w:rsid w:val="0092016E"/>
    <w:rsid w:val="00920753"/>
    <w:rsid w:val="00922B4A"/>
    <w:rsid w:val="00923125"/>
    <w:rsid w:val="00924595"/>
    <w:rsid w:val="00925226"/>
    <w:rsid w:val="0092581E"/>
    <w:rsid w:val="00926773"/>
    <w:rsid w:val="00927710"/>
    <w:rsid w:val="00927B3E"/>
    <w:rsid w:val="00927DFC"/>
    <w:rsid w:val="00930B6F"/>
    <w:rsid w:val="00930BDB"/>
    <w:rsid w:val="0093144B"/>
    <w:rsid w:val="00932042"/>
    <w:rsid w:val="00932C76"/>
    <w:rsid w:val="0093339A"/>
    <w:rsid w:val="00933497"/>
    <w:rsid w:val="009341D0"/>
    <w:rsid w:val="00935339"/>
    <w:rsid w:val="00936364"/>
    <w:rsid w:val="0093677A"/>
    <w:rsid w:val="009371F9"/>
    <w:rsid w:val="00937BC9"/>
    <w:rsid w:val="00937F13"/>
    <w:rsid w:val="0094037C"/>
    <w:rsid w:val="0094075D"/>
    <w:rsid w:val="00940D4F"/>
    <w:rsid w:val="00941336"/>
    <w:rsid w:val="00942729"/>
    <w:rsid w:val="00942B3F"/>
    <w:rsid w:val="00943BAA"/>
    <w:rsid w:val="009451DC"/>
    <w:rsid w:val="00946781"/>
    <w:rsid w:val="009504FE"/>
    <w:rsid w:val="00951584"/>
    <w:rsid w:val="00951710"/>
    <w:rsid w:val="00952927"/>
    <w:rsid w:val="00952B17"/>
    <w:rsid w:val="00953494"/>
    <w:rsid w:val="00953CB4"/>
    <w:rsid w:val="00955232"/>
    <w:rsid w:val="00955997"/>
    <w:rsid w:val="009572CC"/>
    <w:rsid w:val="009613DD"/>
    <w:rsid w:val="0096191E"/>
    <w:rsid w:val="00961E54"/>
    <w:rsid w:val="0096303B"/>
    <w:rsid w:val="009631A0"/>
    <w:rsid w:val="009643A7"/>
    <w:rsid w:val="0096503A"/>
    <w:rsid w:val="009656AB"/>
    <w:rsid w:val="00967378"/>
    <w:rsid w:val="00967795"/>
    <w:rsid w:val="0097017B"/>
    <w:rsid w:val="009716C5"/>
    <w:rsid w:val="00971FD0"/>
    <w:rsid w:val="009721E1"/>
    <w:rsid w:val="00972A58"/>
    <w:rsid w:val="00973253"/>
    <w:rsid w:val="00973D1D"/>
    <w:rsid w:val="00973FE9"/>
    <w:rsid w:val="009741C1"/>
    <w:rsid w:val="009746C3"/>
    <w:rsid w:val="009749E3"/>
    <w:rsid w:val="00975181"/>
    <w:rsid w:val="0097541F"/>
    <w:rsid w:val="00975AD8"/>
    <w:rsid w:val="0097643C"/>
    <w:rsid w:val="00977586"/>
    <w:rsid w:val="0097760F"/>
    <w:rsid w:val="0098017B"/>
    <w:rsid w:val="009801DB"/>
    <w:rsid w:val="009808D8"/>
    <w:rsid w:val="00980B4A"/>
    <w:rsid w:val="00981927"/>
    <w:rsid w:val="00983569"/>
    <w:rsid w:val="00983AD5"/>
    <w:rsid w:val="009850AB"/>
    <w:rsid w:val="00986332"/>
    <w:rsid w:val="0098677D"/>
    <w:rsid w:val="00986F92"/>
    <w:rsid w:val="00991425"/>
    <w:rsid w:val="0099291A"/>
    <w:rsid w:val="00992A36"/>
    <w:rsid w:val="009933D0"/>
    <w:rsid w:val="009942F9"/>
    <w:rsid w:val="009948E6"/>
    <w:rsid w:val="00994B3C"/>
    <w:rsid w:val="0099516F"/>
    <w:rsid w:val="00995577"/>
    <w:rsid w:val="00995A4C"/>
    <w:rsid w:val="009A00F6"/>
    <w:rsid w:val="009A075F"/>
    <w:rsid w:val="009A07C9"/>
    <w:rsid w:val="009A33FB"/>
    <w:rsid w:val="009A3CB4"/>
    <w:rsid w:val="009A3D38"/>
    <w:rsid w:val="009A465B"/>
    <w:rsid w:val="009A53C6"/>
    <w:rsid w:val="009A73E2"/>
    <w:rsid w:val="009A7B92"/>
    <w:rsid w:val="009B0DB9"/>
    <w:rsid w:val="009B0F86"/>
    <w:rsid w:val="009B159B"/>
    <w:rsid w:val="009B16E1"/>
    <w:rsid w:val="009B2CCE"/>
    <w:rsid w:val="009B398C"/>
    <w:rsid w:val="009B3CF4"/>
    <w:rsid w:val="009B47F8"/>
    <w:rsid w:val="009B4853"/>
    <w:rsid w:val="009B4D51"/>
    <w:rsid w:val="009B5854"/>
    <w:rsid w:val="009B58AA"/>
    <w:rsid w:val="009B6CA7"/>
    <w:rsid w:val="009B70F2"/>
    <w:rsid w:val="009C0055"/>
    <w:rsid w:val="009C108F"/>
    <w:rsid w:val="009C124F"/>
    <w:rsid w:val="009C1360"/>
    <w:rsid w:val="009C193C"/>
    <w:rsid w:val="009C1968"/>
    <w:rsid w:val="009C5072"/>
    <w:rsid w:val="009C5775"/>
    <w:rsid w:val="009C5AD8"/>
    <w:rsid w:val="009C6B08"/>
    <w:rsid w:val="009D25E1"/>
    <w:rsid w:val="009D267F"/>
    <w:rsid w:val="009D273B"/>
    <w:rsid w:val="009D2BA9"/>
    <w:rsid w:val="009D3561"/>
    <w:rsid w:val="009D365E"/>
    <w:rsid w:val="009D395B"/>
    <w:rsid w:val="009D3AD9"/>
    <w:rsid w:val="009D3DDA"/>
    <w:rsid w:val="009D5A6B"/>
    <w:rsid w:val="009D668C"/>
    <w:rsid w:val="009D7B77"/>
    <w:rsid w:val="009E1296"/>
    <w:rsid w:val="009E19EB"/>
    <w:rsid w:val="009E1A89"/>
    <w:rsid w:val="009E26F8"/>
    <w:rsid w:val="009E2F78"/>
    <w:rsid w:val="009E2FF4"/>
    <w:rsid w:val="009E3BCB"/>
    <w:rsid w:val="009E57D9"/>
    <w:rsid w:val="009E58DD"/>
    <w:rsid w:val="009E5F1E"/>
    <w:rsid w:val="009E6648"/>
    <w:rsid w:val="009E7325"/>
    <w:rsid w:val="009F084A"/>
    <w:rsid w:val="009F27A0"/>
    <w:rsid w:val="009F28BE"/>
    <w:rsid w:val="009F3734"/>
    <w:rsid w:val="009F37A6"/>
    <w:rsid w:val="009F3A98"/>
    <w:rsid w:val="009F4684"/>
    <w:rsid w:val="009F4C9D"/>
    <w:rsid w:val="009F5336"/>
    <w:rsid w:val="009F61F6"/>
    <w:rsid w:val="009F67D8"/>
    <w:rsid w:val="009F7693"/>
    <w:rsid w:val="009F7F9E"/>
    <w:rsid w:val="00A004F3"/>
    <w:rsid w:val="00A00BFC"/>
    <w:rsid w:val="00A013D3"/>
    <w:rsid w:val="00A0325E"/>
    <w:rsid w:val="00A032E1"/>
    <w:rsid w:val="00A03689"/>
    <w:rsid w:val="00A03B06"/>
    <w:rsid w:val="00A03FC9"/>
    <w:rsid w:val="00A0405F"/>
    <w:rsid w:val="00A04279"/>
    <w:rsid w:val="00A04B6B"/>
    <w:rsid w:val="00A06E46"/>
    <w:rsid w:val="00A07ED3"/>
    <w:rsid w:val="00A106A3"/>
    <w:rsid w:val="00A11279"/>
    <w:rsid w:val="00A11464"/>
    <w:rsid w:val="00A11536"/>
    <w:rsid w:val="00A11C1F"/>
    <w:rsid w:val="00A1283A"/>
    <w:rsid w:val="00A12F59"/>
    <w:rsid w:val="00A131CE"/>
    <w:rsid w:val="00A13AB4"/>
    <w:rsid w:val="00A13FD2"/>
    <w:rsid w:val="00A1432E"/>
    <w:rsid w:val="00A15161"/>
    <w:rsid w:val="00A154CB"/>
    <w:rsid w:val="00A157EC"/>
    <w:rsid w:val="00A168DA"/>
    <w:rsid w:val="00A16C1C"/>
    <w:rsid w:val="00A1735B"/>
    <w:rsid w:val="00A17635"/>
    <w:rsid w:val="00A17C5D"/>
    <w:rsid w:val="00A201F6"/>
    <w:rsid w:val="00A20F84"/>
    <w:rsid w:val="00A210AC"/>
    <w:rsid w:val="00A21190"/>
    <w:rsid w:val="00A21861"/>
    <w:rsid w:val="00A21899"/>
    <w:rsid w:val="00A21BD4"/>
    <w:rsid w:val="00A22479"/>
    <w:rsid w:val="00A2299E"/>
    <w:rsid w:val="00A2431B"/>
    <w:rsid w:val="00A25ADC"/>
    <w:rsid w:val="00A25BDF"/>
    <w:rsid w:val="00A267B8"/>
    <w:rsid w:val="00A26D02"/>
    <w:rsid w:val="00A30DA9"/>
    <w:rsid w:val="00A31193"/>
    <w:rsid w:val="00A320B6"/>
    <w:rsid w:val="00A3392B"/>
    <w:rsid w:val="00A35050"/>
    <w:rsid w:val="00A36211"/>
    <w:rsid w:val="00A365E3"/>
    <w:rsid w:val="00A422DE"/>
    <w:rsid w:val="00A436AD"/>
    <w:rsid w:val="00A44653"/>
    <w:rsid w:val="00A450EE"/>
    <w:rsid w:val="00A475BA"/>
    <w:rsid w:val="00A504C7"/>
    <w:rsid w:val="00A50D54"/>
    <w:rsid w:val="00A51B86"/>
    <w:rsid w:val="00A52F8D"/>
    <w:rsid w:val="00A537B9"/>
    <w:rsid w:val="00A537F2"/>
    <w:rsid w:val="00A55222"/>
    <w:rsid w:val="00A5526B"/>
    <w:rsid w:val="00A56A47"/>
    <w:rsid w:val="00A579B8"/>
    <w:rsid w:val="00A57F52"/>
    <w:rsid w:val="00A6154C"/>
    <w:rsid w:val="00A61E3F"/>
    <w:rsid w:val="00A62C30"/>
    <w:rsid w:val="00A63623"/>
    <w:rsid w:val="00A638A5"/>
    <w:rsid w:val="00A6419F"/>
    <w:rsid w:val="00A643AF"/>
    <w:rsid w:val="00A64DAB"/>
    <w:rsid w:val="00A6724A"/>
    <w:rsid w:val="00A70BEC"/>
    <w:rsid w:val="00A70D62"/>
    <w:rsid w:val="00A70E88"/>
    <w:rsid w:val="00A717EA"/>
    <w:rsid w:val="00A71B3C"/>
    <w:rsid w:val="00A71C02"/>
    <w:rsid w:val="00A71C75"/>
    <w:rsid w:val="00A71D95"/>
    <w:rsid w:val="00A7289E"/>
    <w:rsid w:val="00A728DE"/>
    <w:rsid w:val="00A72CBF"/>
    <w:rsid w:val="00A7321A"/>
    <w:rsid w:val="00A73B42"/>
    <w:rsid w:val="00A73F95"/>
    <w:rsid w:val="00A74DA5"/>
    <w:rsid w:val="00A75161"/>
    <w:rsid w:val="00A75396"/>
    <w:rsid w:val="00A76E2C"/>
    <w:rsid w:val="00A7706B"/>
    <w:rsid w:val="00A77F92"/>
    <w:rsid w:val="00A801BC"/>
    <w:rsid w:val="00A80DBD"/>
    <w:rsid w:val="00A83D43"/>
    <w:rsid w:val="00A83E60"/>
    <w:rsid w:val="00A83F1F"/>
    <w:rsid w:val="00A8476B"/>
    <w:rsid w:val="00A84E77"/>
    <w:rsid w:val="00A85013"/>
    <w:rsid w:val="00A8586B"/>
    <w:rsid w:val="00A85E9B"/>
    <w:rsid w:val="00A86322"/>
    <w:rsid w:val="00A863CF"/>
    <w:rsid w:val="00A863EE"/>
    <w:rsid w:val="00A87053"/>
    <w:rsid w:val="00A90276"/>
    <w:rsid w:val="00A90486"/>
    <w:rsid w:val="00A91B6D"/>
    <w:rsid w:val="00A931FA"/>
    <w:rsid w:val="00A9339D"/>
    <w:rsid w:val="00A94694"/>
    <w:rsid w:val="00A95680"/>
    <w:rsid w:val="00A9574A"/>
    <w:rsid w:val="00A96403"/>
    <w:rsid w:val="00A9646B"/>
    <w:rsid w:val="00A97E4C"/>
    <w:rsid w:val="00AA07EA"/>
    <w:rsid w:val="00AA13E7"/>
    <w:rsid w:val="00AA1AC7"/>
    <w:rsid w:val="00AA1B8D"/>
    <w:rsid w:val="00AA27AE"/>
    <w:rsid w:val="00AA31DD"/>
    <w:rsid w:val="00AA3640"/>
    <w:rsid w:val="00AA40E4"/>
    <w:rsid w:val="00AA4651"/>
    <w:rsid w:val="00AA50A7"/>
    <w:rsid w:val="00AA516F"/>
    <w:rsid w:val="00AA5ED4"/>
    <w:rsid w:val="00AA6059"/>
    <w:rsid w:val="00AA6273"/>
    <w:rsid w:val="00AA6358"/>
    <w:rsid w:val="00AA664F"/>
    <w:rsid w:val="00AA7D46"/>
    <w:rsid w:val="00AA7D9F"/>
    <w:rsid w:val="00AA7F8E"/>
    <w:rsid w:val="00AB0097"/>
    <w:rsid w:val="00AB1981"/>
    <w:rsid w:val="00AB2E7B"/>
    <w:rsid w:val="00AB3043"/>
    <w:rsid w:val="00AB3938"/>
    <w:rsid w:val="00AB3CE5"/>
    <w:rsid w:val="00AB3D34"/>
    <w:rsid w:val="00AB4B01"/>
    <w:rsid w:val="00AB5DA3"/>
    <w:rsid w:val="00AB5F55"/>
    <w:rsid w:val="00AB77AE"/>
    <w:rsid w:val="00AC1388"/>
    <w:rsid w:val="00AC35FB"/>
    <w:rsid w:val="00AC42A3"/>
    <w:rsid w:val="00AC5C38"/>
    <w:rsid w:val="00AC635A"/>
    <w:rsid w:val="00AC66A5"/>
    <w:rsid w:val="00AC69E5"/>
    <w:rsid w:val="00AC79E2"/>
    <w:rsid w:val="00AD0009"/>
    <w:rsid w:val="00AD193F"/>
    <w:rsid w:val="00AD1BCD"/>
    <w:rsid w:val="00AD2112"/>
    <w:rsid w:val="00AD21E9"/>
    <w:rsid w:val="00AD4900"/>
    <w:rsid w:val="00AD631B"/>
    <w:rsid w:val="00AE0383"/>
    <w:rsid w:val="00AE1412"/>
    <w:rsid w:val="00AE1AE2"/>
    <w:rsid w:val="00AE2F3F"/>
    <w:rsid w:val="00AE31EF"/>
    <w:rsid w:val="00AE32B5"/>
    <w:rsid w:val="00AE3D4E"/>
    <w:rsid w:val="00AE3F47"/>
    <w:rsid w:val="00AE4B6B"/>
    <w:rsid w:val="00AE505B"/>
    <w:rsid w:val="00AE5739"/>
    <w:rsid w:val="00AE7D85"/>
    <w:rsid w:val="00AF138A"/>
    <w:rsid w:val="00AF2037"/>
    <w:rsid w:val="00AF3B56"/>
    <w:rsid w:val="00AF3BE4"/>
    <w:rsid w:val="00AF42DC"/>
    <w:rsid w:val="00AF48B0"/>
    <w:rsid w:val="00AF62AF"/>
    <w:rsid w:val="00AF68D2"/>
    <w:rsid w:val="00AF6D6F"/>
    <w:rsid w:val="00AF6DFB"/>
    <w:rsid w:val="00AF7098"/>
    <w:rsid w:val="00B00946"/>
    <w:rsid w:val="00B00E5C"/>
    <w:rsid w:val="00B01B76"/>
    <w:rsid w:val="00B0204B"/>
    <w:rsid w:val="00B02264"/>
    <w:rsid w:val="00B024D4"/>
    <w:rsid w:val="00B02E95"/>
    <w:rsid w:val="00B0349C"/>
    <w:rsid w:val="00B04495"/>
    <w:rsid w:val="00B05027"/>
    <w:rsid w:val="00B0528D"/>
    <w:rsid w:val="00B0545D"/>
    <w:rsid w:val="00B07A82"/>
    <w:rsid w:val="00B07C65"/>
    <w:rsid w:val="00B10091"/>
    <w:rsid w:val="00B103DB"/>
    <w:rsid w:val="00B11B71"/>
    <w:rsid w:val="00B13622"/>
    <w:rsid w:val="00B14695"/>
    <w:rsid w:val="00B14E3F"/>
    <w:rsid w:val="00B1546C"/>
    <w:rsid w:val="00B15C2D"/>
    <w:rsid w:val="00B16901"/>
    <w:rsid w:val="00B16A82"/>
    <w:rsid w:val="00B17EB0"/>
    <w:rsid w:val="00B20A18"/>
    <w:rsid w:val="00B216A3"/>
    <w:rsid w:val="00B22333"/>
    <w:rsid w:val="00B23261"/>
    <w:rsid w:val="00B23516"/>
    <w:rsid w:val="00B23A0B"/>
    <w:rsid w:val="00B2454B"/>
    <w:rsid w:val="00B26437"/>
    <w:rsid w:val="00B26F9E"/>
    <w:rsid w:val="00B27215"/>
    <w:rsid w:val="00B2724F"/>
    <w:rsid w:val="00B27AD7"/>
    <w:rsid w:val="00B30141"/>
    <w:rsid w:val="00B302CB"/>
    <w:rsid w:val="00B30346"/>
    <w:rsid w:val="00B30783"/>
    <w:rsid w:val="00B30F34"/>
    <w:rsid w:val="00B314AE"/>
    <w:rsid w:val="00B3160D"/>
    <w:rsid w:val="00B32672"/>
    <w:rsid w:val="00B332E8"/>
    <w:rsid w:val="00B33DD1"/>
    <w:rsid w:val="00B34EFA"/>
    <w:rsid w:val="00B36784"/>
    <w:rsid w:val="00B367A0"/>
    <w:rsid w:val="00B37403"/>
    <w:rsid w:val="00B406CB"/>
    <w:rsid w:val="00B41019"/>
    <w:rsid w:val="00B41214"/>
    <w:rsid w:val="00B41379"/>
    <w:rsid w:val="00B42463"/>
    <w:rsid w:val="00B42960"/>
    <w:rsid w:val="00B43377"/>
    <w:rsid w:val="00B44381"/>
    <w:rsid w:val="00B44F9A"/>
    <w:rsid w:val="00B453A9"/>
    <w:rsid w:val="00B4585F"/>
    <w:rsid w:val="00B45A3A"/>
    <w:rsid w:val="00B45BC1"/>
    <w:rsid w:val="00B46ED6"/>
    <w:rsid w:val="00B47ADB"/>
    <w:rsid w:val="00B51B75"/>
    <w:rsid w:val="00B524CA"/>
    <w:rsid w:val="00B535EF"/>
    <w:rsid w:val="00B54069"/>
    <w:rsid w:val="00B552FE"/>
    <w:rsid w:val="00B55DEA"/>
    <w:rsid w:val="00B56BC8"/>
    <w:rsid w:val="00B573D6"/>
    <w:rsid w:val="00B57BD8"/>
    <w:rsid w:val="00B6046E"/>
    <w:rsid w:val="00B609BB"/>
    <w:rsid w:val="00B60A03"/>
    <w:rsid w:val="00B6288C"/>
    <w:rsid w:val="00B63AB6"/>
    <w:rsid w:val="00B63CB9"/>
    <w:rsid w:val="00B63E69"/>
    <w:rsid w:val="00B65E59"/>
    <w:rsid w:val="00B66068"/>
    <w:rsid w:val="00B66BE6"/>
    <w:rsid w:val="00B674A1"/>
    <w:rsid w:val="00B67884"/>
    <w:rsid w:val="00B7090E"/>
    <w:rsid w:val="00B7148C"/>
    <w:rsid w:val="00B7181F"/>
    <w:rsid w:val="00B721EF"/>
    <w:rsid w:val="00B72421"/>
    <w:rsid w:val="00B729EB"/>
    <w:rsid w:val="00B734CC"/>
    <w:rsid w:val="00B738A5"/>
    <w:rsid w:val="00B73902"/>
    <w:rsid w:val="00B73B9D"/>
    <w:rsid w:val="00B74396"/>
    <w:rsid w:val="00B7499F"/>
    <w:rsid w:val="00B754EF"/>
    <w:rsid w:val="00B76AF1"/>
    <w:rsid w:val="00B77D02"/>
    <w:rsid w:val="00B77EBE"/>
    <w:rsid w:val="00B8017D"/>
    <w:rsid w:val="00B80938"/>
    <w:rsid w:val="00B80A38"/>
    <w:rsid w:val="00B81359"/>
    <w:rsid w:val="00B81D1A"/>
    <w:rsid w:val="00B82457"/>
    <w:rsid w:val="00B83D8F"/>
    <w:rsid w:val="00B85066"/>
    <w:rsid w:val="00B86740"/>
    <w:rsid w:val="00B87252"/>
    <w:rsid w:val="00B87506"/>
    <w:rsid w:val="00B87633"/>
    <w:rsid w:val="00B87ACC"/>
    <w:rsid w:val="00B87BCD"/>
    <w:rsid w:val="00B9032A"/>
    <w:rsid w:val="00B907A5"/>
    <w:rsid w:val="00B90FDF"/>
    <w:rsid w:val="00B91F55"/>
    <w:rsid w:val="00B9262C"/>
    <w:rsid w:val="00B92C31"/>
    <w:rsid w:val="00B931CD"/>
    <w:rsid w:val="00B9445F"/>
    <w:rsid w:val="00B94BC6"/>
    <w:rsid w:val="00B94FC0"/>
    <w:rsid w:val="00B95018"/>
    <w:rsid w:val="00B95667"/>
    <w:rsid w:val="00B95C5B"/>
    <w:rsid w:val="00B968AD"/>
    <w:rsid w:val="00B969DD"/>
    <w:rsid w:val="00B97636"/>
    <w:rsid w:val="00BA0A5A"/>
    <w:rsid w:val="00BA12D5"/>
    <w:rsid w:val="00BA29EC"/>
    <w:rsid w:val="00BA2D73"/>
    <w:rsid w:val="00BA34ED"/>
    <w:rsid w:val="00BA42BD"/>
    <w:rsid w:val="00BA4A83"/>
    <w:rsid w:val="00BA57BB"/>
    <w:rsid w:val="00BA5D02"/>
    <w:rsid w:val="00BA6AD0"/>
    <w:rsid w:val="00BA7244"/>
    <w:rsid w:val="00BA7A93"/>
    <w:rsid w:val="00BA7C4C"/>
    <w:rsid w:val="00BA7F0B"/>
    <w:rsid w:val="00BB0199"/>
    <w:rsid w:val="00BB0432"/>
    <w:rsid w:val="00BB15C4"/>
    <w:rsid w:val="00BB226B"/>
    <w:rsid w:val="00BB35F8"/>
    <w:rsid w:val="00BB39A9"/>
    <w:rsid w:val="00BB3C47"/>
    <w:rsid w:val="00BB4DD8"/>
    <w:rsid w:val="00BB5E08"/>
    <w:rsid w:val="00BB6994"/>
    <w:rsid w:val="00BB6B99"/>
    <w:rsid w:val="00BB6E51"/>
    <w:rsid w:val="00BB75BA"/>
    <w:rsid w:val="00BB7F72"/>
    <w:rsid w:val="00BC0730"/>
    <w:rsid w:val="00BC0E76"/>
    <w:rsid w:val="00BC18F3"/>
    <w:rsid w:val="00BC1968"/>
    <w:rsid w:val="00BC1CFF"/>
    <w:rsid w:val="00BC208E"/>
    <w:rsid w:val="00BC3682"/>
    <w:rsid w:val="00BC382B"/>
    <w:rsid w:val="00BC3AB5"/>
    <w:rsid w:val="00BC435F"/>
    <w:rsid w:val="00BC6092"/>
    <w:rsid w:val="00BC75F6"/>
    <w:rsid w:val="00BD0932"/>
    <w:rsid w:val="00BD2D7D"/>
    <w:rsid w:val="00BD369C"/>
    <w:rsid w:val="00BD3C52"/>
    <w:rsid w:val="00BD4B97"/>
    <w:rsid w:val="00BD4C6B"/>
    <w:rsid w:val="00BD517B"/>
    <w:rsid w:val="00BD6B8C"/>
    <w:rsid w:val="00BD75B7"/>
    <w:rsid w:val="00BE01A7"/>
    <w:rsid w:val="00BE04CB"/>
    <w:rsid w:val="00BE0C2F"/>
    <w:rsid w:val="00BE13D6"/>
    <w:rsid w:val="00BE2101"/>
    <w:rsid w:val="00BE2157"/>
    <w:rsid w:val="00BE27FA"/>
    <w:rsid w:val="00BE3A6D"/>
    <w:rsid w:val="00BE42FF"/>
    <w:rsid w:val="00BE4A73"/>
    <w:rsid w:val="00BE72F2"/>
    <w:rsid w:val="00BE7DBC"/>
    <w:rsid w:val="00BF0BD2"/>
    <w:rsid w:val="00BF0D80"/>
    <w:rsid w:val="00BF10CC"/>
    <w:rsid w:val="00BF10FB"/>
    <w:rsid w:val="00BF1929"/>
    <w:rsid w:val="00BF1AD2"/>
    <w:rsid w:val="00BF247D"/>
    <w:rsid w:val="00BF2772"/>
    <w:rsid w:val="00BF44F5"/>
    <w:rsid w:val="00BF4B8B"/>
    <w:rsid w:val="00BF4BB3"/>
    <w:rsid w:val="00BF50D6"/>
    <w:rsid w:val="00BF5505"/>
    <w:rsid w:val="00BF6A8E"/>
    <w:rsid w:val="00BF713B"/>
    <w:rsid w:val="00BF7515"/>
    <w:rsid w:val="00BF7EE6"/>
    <w:rsid w:val="00C0017F"/>
    <w:rsid w:val="00C00F7A"/>
    <w:rsid w:val="00C03EE3"/>
    <w:rsid w:val="00C04395"/>
    <w:rsid w:val="00C05214"/>
    <w:rsid w:val="00C05998"/>
    <w:rsid w:val="00C06211"/>
    <w:rsid w:val="00C06E49"/>
    <w:rsid w:val="00C06EB9"/>
    <w:rsid w:val="00C10032"/>
    <w:rsid w:val="00C10AC8"/>
    <w:rsid w:val="00C10D1B"/>
    <w:rsid w:val="00C10E76"/>
    <w:rsid w:val="00C1152B"/>
    <w:rsid w:val="00C1203F"/>
    <w:rsid w:val="00C1240A"/>
    <w:rsid w:val="00C1248E"/>
    <w:rsid w:val="00C12602"/>
    <w:rsid w:val="00C13C68"/>
    <w:rsid w:val="00C1711C"/>
    <w:rsid w:val="00C20133"/>
    <w:rsid w:val="00C20255"/>
    <w:rsid w:val="00C223E1"/>
    <w:rsid w:val="00C225CF"/>
    <w:rsid w:val="00C22FC6"/>
    <w:rsid w:val="00C24365"/>
    <w:rsid w:val="00C2447F"/>
    <w:rsid w:val="00C24777"/>
    <w:rsid w:val="00C24962"/>
    <w:rsid w:val="00C24ABE"/>
    <w:rsid w:val="00C24DE0"/>
    <w:rsid w:val="00C25B93"/>
    <w:rsid w:val="00C271E2"/>
    <w:rsid w:val="00C27AA3"/>
    <w:rsid w:val="00C27FF3"/>
    <w:rsid w:val="00C30404"/>
    <w:rsid w:val="00C30C1C"/>
    <w:rsid w:val="00C30CE0"/>
    <w:rsid w:val="00C31383"/>
    <w:rsid w:val="00C31E79"/>
    <w:rsid w:val="00C32687"/>
    <w:rsid w:val="00C32A46"/>
    <w:rsid w:val="00C332EA"/>
    <w:rsid w:val="00C3415D"/>
    <w:rsid w:val="00C34A6F"/>
    <w:rsid w:val="00C34AD3"/>
    <w:rsid w:val="00C350F6"/>
    <w:rsid w:val="00C3598A"/>
    <w:rsid w:val="00C35E6C"/>
    <w:rsid w:val="00C3625A"/>
    <w:rsid w:val="00C36875"/>
    <w:rsid w:val="00C37DB6"/>
    <w:rsid w:val="00C37F59"/>
    <w:rsid w:val="00C419A4"/>
    <w:rsid w:val="00C41F98"/>
    <w:rsid w:val="00C426FC"/>
    <w:rsid w:val="00C4373C"/>
    <w:rsid w:val="00C4424D"/>
    <w:rsid w:val="00C445B1"/>
    <w:rsid w:val="00C44D83"/>
    <w:rsid w:val="00C44F52"/>
    <w:rsid w:val="00C45A8E"/>
    <w:rsid w:val="00C45E4E"/>
    <w:rsid w:val="00C479E5"/>
    <w:rsid w:val="00C47AB1"/>
    <w:rsid w:val="00C47E65"/>
    <w:rsid w:val="00C50217"/>
    <w:rsid w:val="00C52166"/>
    <w:rsid w:val="00C521DB"/>
    <w:rsid w:val="00C52828"/>
    <w:rsid w:val="00C52B37"/>
    <w:rsid w:val="00C53A61"/>
    <w:rsid w:val="00C5524D"/>
    <w:rsid w:val="00C5560C"/>
    <w:rsid w:val="00C55A21"/>
    <w:rsid w:val="00C55C03"/>
    <w:rsid w:val="00C56355"/>
    <w:rsid w:val="00C5786D"/>
    <w:rsid w:val="00C57AF4"/>
    <w:rsid w:val="00C57BEB"/>
    <w:rsid w:val="00C6286E"/>
    <w:rsid w:val="00C63A25"/>
    <w:rsid w:val="00C644D9"/>
    <w:rsid w:val="00C655BC"/>
    <w:rsid w:val="00C66258"/>
    <w:rsid w:val="00C67BA9"/>
    <w:rsid w:val="00C67C13"/>
    <w:rsid w:val="00C67E2C"/>
    <w:rsid w:val="00C70C11"/>
    <w:rsid w:val="00C711BC"/>
    <w:rsid w:val="00C7289F"/>
    <w:rsid w:val="00C72932"/>
    <w:rsid w:val="00C730B4"/>
    <w:rsid w:val="00C73B46"/>
    <w:rsid w:val="00C745FC"/>
    <w:rsid w:val="00C753CD"/>
    <w:rsid w:val="00C760CB"/>
    <w:rsid w:val="00C76C5E"/>
    <w:rsid w:val="00C76E74"/>
    <w:rsid w:val="00C77E8F"/>
    <w:rsid w:val="00C800E1"/>
    <w:rsid w:val="00C82559"/>
    <w:rsid w:val="00C828F3"/>
    <w:rsid w:val="00C829BF"/>
    <w:rsid w:val="00C82AF5"/>
    <w:rsid w:val="00C83061"/>
    <w:rsid w:val="00C8348F"/>
    <w:rsid w:val="00C83858"/>
    <w:rsid w:val="00C83BCA"/>
    <w:rsid w:val="00C848A2"/>
    <w:rsid w:val="00C85540"/>
    <w:rsid w:val="00C85671"/>
    <w:rsid w:val="00C85DAA"/>
    <w:rsid w:val="00C861FF"/>
    <w:rsid w:val="00C86E24"/>
    <w:rsid w:val="00C87A63"/>
    <w:rsid w:val="00C87AD7"/>
    <w:rsid w:val="00C87B46"/>
    <w:rsid w:val="00C87EEC"/>
    <w:rsid w:val="00C90BB7"/>
    <w:rsid w:val="00C9191E"/>
    <w:rsid w:val="00C91C73"/>
    <w:rsid w:val="00C92721"/>
    <w:rsid w:val="00C929DD"/>
    <w:rsid w:val="00C93DC6"/>
    <w:rsid w:val="00C94445"/>
    <w:rsid w:val="00C945E7"/>
    <w:rsid w:val="00C954A4"/>
    <w:rsid w:val="00C96066"/>
    <w:rsid w:val="00C967CC"/>
    <w:rsid w:val="00CA03AC"/>
    <w:rsid w:val="00CA10E1"/>
    <w:rsid w:val="00CA24D9"/>
    <w:rsid w:val="00CA2810"/>
    <w:rsid w:val="00CA28FC"/>
    <w:rsid w:val="00CA2D13"/>
    <w:rsid w:val="00CA30C2"/>
    <w:rsid w:val="00CA3198"/>
    <w:rsid w:val="00CA3580"/>
    <w:rsid w:val="00CA38CD"/>
    <w:rsid w:val="00CA483A"/>
    <w:rsid w:val="00CA484E"/>
    <w:rsid w:val="00CA49AF"/>
    <w:rsid w:val="00CA5773"/>
    <w:rsid w:val="00CA5AC8"/>
    <w:rsid w:val="00CA5F3A"/>
    <w:rsid w:val="00CA6F1A"/>
    <w:rsid w:val="00CA7283"/>
    <w:rsid w:val="00CA75B1"/>
    <w:rsid w:val="00CA7A3F"/>
    <w:rsid w:val="00CA7A6F"/>
    <w:rsid w:val="00CB0B4A"/>
    <w:rsid w:val="00CB2289"/>
    <w:rsid w:val="00CB2C3C"/>
    <w:rsid w:val="00CB2DA2"/>
    <w:rsid w:val="00CB2DD5"/>
    <w:rsid w:val="00CB3E30"/>
    <w:rsid w:val="00CB45A5"/>
    <w:rsid w:val="00CB494E"/>
    <w:rsid w:val="00CB522E"/>
    <w:rsid w:val="00CC0B4C"/>
    <w:rsid w:val="00CC1AE7"/>
    <w:rsid w:val="00CC45FE"/>
    <w:rsid w:val="00CC4B8D"/>
    <w:rsid w:val="00CC5BBA"/>
    <w:rsid w:val="00CC5EF0"/>
    <w:rsid w:val="00CC6204"/>
    <w:rsid w:val="00CC6BAD"/>
    <w:rsid w:val="00CC6CEC"/>
    <w:rsid w:val="00CC7EE1"/>
    <w:rsid w:val="00CD0044"/>
    <w:rsid w:val="00CD117B"/>
    <w:rsid w:val="00CD29A3"/>
    <w:rsid w:val="00CD32A1"/>
    <w:rsid w:val="00CD3E6A"/>
    <w:rsid w:val="00CD3FE2"/>
    <w:rsid w:val="00CD479A"/>
    <w:rsid w:val="00CD506A"/>
    <w:rsid w:val="00CD57A6"/>
    <w:rsid w:val="00CD5CE5"/>
    <w:rsid w:val="00CD5D75"/>
    <w:rsid w:val="00CD6D89"/>
    <w:rsid w:val="00CD784C"/>
    <w:rsid w:val="00CD7F7B"/>
    <w:rsid w:val="00CE0331"/>
    <w:rsid w:val="00CE0900"/>
    <w:rsid w:val="00CE0B6C"/>
    <w:rsid w:val="00CE1A0A"/>
    <w:rsid w:val="00CE1E88"/>
    <w:rsid w:val="00CE22FE"/>
    <w:rsid w:val="00CE3F04"/>
    <w:rsid w:val="00CE409E"/>
    <w:rsid w:val="00CE4E62"/>
    <w:rsid w:val="00CE5361"/>
    <w:rsid w:val="00CE6DDE"/>
    <w:rsid w:val="00CE6F9C"/>
    <w:rsid w:val="00CE71ED"/>
    <w:rsid w:val="00CE792F"/>
    <w:rsid w:val="00CF07EA"/>
    <w:rsid w:val="00CF08E3"/>
    <w:rsid w:val="00CF0DC3"/>
    <w:rsid w:val="00CF1DB5"/>
    <w:rsid w:val="00CF3644"/>
    <w:rsid w:val="00CF3DE1"/>
    <w:rsid w:val="00CF453A"/>
    <w:rsid w:val="00CF51DE"/>
    <w:rsid w:val="00CF54B7"/>
    <w:rsid w:val="00CF655C"/>
    <w:rsid w:val="00CF6757"/>
    <w:rsid w:val="00CF6ED6"/>
    <w:rsid w:val="00CF7395"/>
    <w:rsid w:val="00CF7781"/>
    <w:rsid w:val="00CF7E15"/>
    <w:rsid w:val="00D00C4A"/>
    <w:rsid w:val="00D00D5E"/>
    <w:rsid w:val="00D0199A"/>
    <w:rsid w:val="00D01D62"/>
    <w:rsid w:val="00D02620"/>
    <w:rsid w:val="00D02896"/>
    <w:rsid w:val="00D02F79"/>
    <w:rsid w:val="00D03F48"/>
    <w:rsid w:val="00D048A7"/>
    <w:rsid w:val="00D04EFB"/>
    <w:rsid w:val="00D050BE"/>
    <w:rsid w:val="00D0568A"/>
    <w:rsid w:val="00D07001"/>
    <w:rsid w:val="00D0708E"/>
    <w:rsid w:val="00D117B4"/>
    <w:rsid w:val="00D1350E"/>
    <w:rsid w:val="00D13718"/>
    <w:rsid w:val="00D14593"/>
    <w:rsid w:val="00D147E1"/>
    <w:rsid w:val="00D14DAE"/>
    <w:rsid w:val="00D15586"/>
    <w:rsid w:val="00D160C4"/>
    <w:rsid w:val="00D163FF"/>
    <w:rsid w:val="00D17A4A"/>
    <w:rsid w:val="00D2051C"/>
    <w:rsid w:val="00D20B46"/>
    <w:rsid w:val="00D21B60"/>
    <w:rsid w:val="00D224EA"/>
    <w:rsid w:val="00D239C2"/>
    <w:rsid w:val="00D23A7D"/>
    <w:rsid w:val="00D23CA8"/>
    <w:rsid w:val="00D23DE6"/>
    <w:rsid w:val="00D24139"/>
    <w:rsid w:val="00D249C8"/>
    <w:rsid w:val="00D25138"/>
    <w:rsid w:val="00D26EC6"/>
    <w:rsid w:val="00D27090"/>
    <w:rsid w:val="00D27907"/>
    <w:rsid w:val="00D30413"/>
    <w:rsid w:val="00D306CC"/>
    <w:rsid w:val="00D309B4"/>
    <w:rsid w:val="00D32902"/>
    <w:rsid w:val="00D32DFC"/>
    <w:rsid w:val="00D33D4A"/>
    <w:rsid w:val="00D340DC"/>
    <w:rsid w:val="00D34C7B"/>
    <w:rsid w:val="00D35230"/>
    <w:rsid w:val="00D3532F"/>
    <w:rsid w:val="00D354E5"/>
    <w:rsid w:val="00D358CD"/>
    <w:rsid w:val="00D35B4E"/>
    <w:rsid w:val="00D36570"/>
    <w:rsid w:val="00D37C78"/>
    <w:rsid w:val="00D419A4"/>
    <w:rsid w:val="00D41B48"/>
    <w:rsid w:val="00D424DD"/>
    <w:rsid w:val="00D4280A"/>
    <w:rsid w:val="00D42D81"/>
    <w:rsid w:val="00D43FB5"/>
    <w:rsid w:val="00D44A06"/>
    <w:rsid w:val="00D45B65"/>
    <w:rsid w:val="00D45C1C"/>
    <w:rsid w:val="00D47449"/>
    <w:rsid w:val="00D474BE"/>
    <w:rsid w:val="00D50303"/>
    <w:rsid w:val="00D50FC3"/>
    <w:rsid w:val="00D524AE"/>
    <w:rsid w:val="00D52AF3"/>
    <w:rsid w:val="00D53325"/>
    <w:rsid w:val="00D53AF2"/>
    <w:rsid w:val="00D54398"/>
    <w:rsid w:val="00D56D8E"/>
    <w:rsid w:val="00D57F25"/>
    <w:rsid w:val="00D60754"/>
    <w:rsid w:val="00D60E5E"/>
    <w:rsid w:val="00D64269"/>
    <w:rsid w:val="00D65292"/>
    <w:rsid w:val="00D6565D"/>
    <w:rsid w:val="00D707A9"/>
    <w:rsid w:val="00D70B63"/>
    <w:rsid w:val="00D715E0"/>
    <w:rsid w:val="00D716B1"/>
    <w:rsid w:val="00D71FD3"/>
    <w:rsid w:val="00D72908"/>
    <w:rsid w:val="00D7398F"/>
    <w:rsid w:val="00D74A1E"/>
    <w:rsid w:val="00D74F49"/>
    <w:rsid w:val="00D75AAC"/>
    <w:rsid w:val="00D75AC9"/>
    <w:rsid w:val="00D75F74"/>
    <w:rsid w:val="00D765A8"/>
    <w:rsid w:val="00D76967"/>
    <w:rsid w:val="00D77729"/>
    <w:rsid w:val="00D77B06"/>
    <w:rsid w:val="00D804C3"/>
    <w:rsid w:val="00D8216F"/>
    <w:rsid w:val="00D82D9D"/>
    <w:rsid w:val="00D8345C"/>
    <w:rsid w:val="00D83A8A"/>
    <w:rsid w:val="00D849AE"/>
    <w:rsid w:val="00D84FEA"/>
    <w:rsid w:val="00D853A6"/>
    <w:rsid w:val="00D85513"/>
    <w:rsid w:val="00D8586E"/>
    <w:rsid w:val="00D85E85"/>
    <w:rsid w:val="00D86119"/>
    <w:rsid w:val="00D8691E"/>
    <w:rsid w:val="00D86D8A"/>
    <w:rsid w:val="00D8751D"/>
    <w:rsid w:val="00D8783C"/>
    <w:rsid w:val="00D87949"/>
    <w:rsid w:val="00D87ACF"/>
    <w:rsid w:val="00D87D3A"/>
    <w:rsid w:val="00D901DC"/>
    <w:rsid w:val="00D91DF5"/>
    <w:rsid w:val="00D91E90"/>
    <w:rsid w:val="00D9208F"/>
    <w:rsid w:val="00D9228F"/>
    <w:rsid w:val="00D9368F"/>
    <w:rsid w:val="00D93BBB"/>
    <w:rsid w:val="00D94388"/>
    <w:rsid w:val="00D94B71"/>
    <w:rsid w:val="00D953CC"/>
    <w:rsid w:val="00D958EE"/>
    <w:rsid w:val="00D95A14"/>
    <w:rsid w:val="00D96318"/>
    <w:rsid w:val="00D963C3"/>
    <w:rsid w:val="00D96E22"/>
    <w:rsid w:val="00D978E4"/>
    <w:rsid w:val="00DA1E92"/>
    <w:rsid w:val="00DA1ED0"/>
    <w:rsid w:val="00DA21C3"/>
    <w:rsid w:val="00DA254F"/>
    <w:rsid w:val="00DA2765"/>
    <w:rsid w:val="00DA37F7"/>
    <w:rsid w:val="00DA3925"/>
    <w:rsid w:val="00DA3AAE"/>
    <w:rsid w:val="00DA3D2B"/>
    <w:rsid w:val="00DA40F9"/>
    <w:rsid w:val="00DA40FA"/>
    <w:rsid w:val="00DA5ABE"/>
    <w:rsid w:val="00DA63C7"/>
    <w:rsid w:val="00DA679B"/>
    <w:rsid w:val="00DA74D8"/>
    <w:rsid w:val="00DB0954"/>
    <w:rsid w:val="00DB0C60"/>
    <w:rsid w:val="00DB1EA2"/>
    <w:rsid w:val="00DB3142"/>
    <w:rsid w:val="00DB3260"/>
    <w:rsid w:val="00DB3E10"/>
    <w:rsid w:val="00DB61E4"/>
    <w:rsid w:val="00DB7036"/>
    <w:rsid w:val="00DC0E26"/>
    <w:rsid w:val="00DC1B54"/>
    <w:rsid w:val="00DC43C0"/>
    <w:rsid w:val="00DC6DFF"/>
    <w:rsid w:val="00DC6EE9"/>
    <w:rsid w:val="00DC737E"/>
    <w:rsid w:val="00DD0679"/>
    <w:rsid w:val="00DD0901"/>
    <w:rsid w:val="00DD2D68"/>
    <w:rsid w:val="00DD3088"/>
    <w:rsid w:val="00DD33AB"/>
    <w:rsid w:val="00DD37D4"/>
    <w:rsid w:val="00DD3C59"/>
    <w:rsid w:val="00DD3E3E"/>
    <w:rsid w:val="00DD4047"/>
    <w:rsid w:val="00DD44D8"/>
    <w:rsid w:val="00DD4A58"/>
    <w:rsid w:val="00DD4AA3"/>
    <w:rsid w:val="00DD4C7A"/>
    <w:rsid w:val="00DD5CFB"/>
    <w:rsid w:val="00DE054C"/>
    <w:rsid w:val="00DE1D50"/>
    <w:rsid w:val="00DE21AB"/>
    <w:rsid w:val="00DE2E57"/>
    <w:rsid w:val="00DE30FB"/>
    <w:rsid w:val="00DE3EE8"/>
    <w:rsid w:val="00DE57CD"/>
    <w:rsid w:val="00DE69AB"/>
    <w:rsid w:val="00DE7039"/>
    <w:rsid w:val="00DE7100"/>
    <w:rsid w:val="00DE7157"/>
    <w:rsid w:val="00DE74A3"/>
    <w:rsid w:val="00DF059B"/>
    <w:rsid w:val="00DF07F2"/>
    <w:rsid w:val="00DF15DA"/>
    <w:rsid w:val="00DF1DAA"/>
    <w:rsid w:val="00DF4D09"/>
    <w:rsid w:val="00DF5747"/>
    <w:rsid w:val="00DF5755"/>
    <w:rsid w:val="00DF5A83"/>
    <w:rsid w:val="00DF5F44"/>
    <w:rsid w:val="00DF6396"/>
    <w:rsid w:val="00DF6A1A"/>
    <w:rsid w:val="00DF6B63"/>
    <w:rsid w:val="00DF6C55"/>
    <w:rsid w:val="00DF6DD5"/>
    <w:rsid w:val="00DF7374"/>
    <w:rsid w:val="00DF77E5"/>
    <w:rsid w:val="00E01AF4"/>
    <w:rsid w:val="00E02275"/>
    <w:rsid w:val="00E02562"/>
    <w:rsid w:val="00E03AA1"/>
    <w:rsid w:val="00E0400E"/>
    <w:rsid w:val="00E04168"/>
    <w:rsid w:val="00E0493D"/>
    <w:rsid w:val="00E05140"/>
    <w:rsid w:val="00E05748"/>
    <w:rsid w:val="00E0584F"/>
    <w:rsid w:val="00E05EF9"/>
    <w:rsid w:val="00E063AA"/>
    <w:rsid w:val="00E06E02"/>
    <w:rsid w:val="00E0723C"/>
    <w:rsid w:val="00E074E0"/>
    <w:rsid w:val="00E07F91"/>
    <w:rsid w:val="00E10139"/>
    <w:rsid w:val="00E10EA7"/>
    <w:rsid w:val="00E11333"/>
    <w:rsid w:val="00E1137A"/>
    <w:rsid w:val="00E11A68"/>
    <w:rsid w:val="00E11EFF"/>
    <w:rsid w:val="00E12791"/>
    <w:rsid w:val="00E12D7E"/>
    <w:rsid w:val="00E14BD5"/>
    <w:rsid w:val="00E15066"/>
    <w:rsid w:val="00E150A0"/>
    <w:rsid w:val="00E16629"/>
    <w:rsid w:val="00E1689C"/>
    <w:rsid w:val="00E16A15"/>
    <w:rsid w:val="00E17414"/>
    <w:rsid w:val="00E2002D"/>
    <w:rsid w:val="00E20398"/>
    <w:rsid w:val="00E20818"/>
    <w:rsid w:val="00E209F6"/>
    <w:rsid w:val="00E21225"/>
    <w:rsid w:val="00E21C88"/>
    <w:rsid w:val="00E22312"/>
    <w:rsid w:val="00E22CEA"/>
    <w:rsid w:val="00E242E9"/>
    <w:rsid w:val="00E24EE1"/>
    <w:rsid w:val="00E25225"/>
    <w:rsid w:val="00E2528E"/>
    <w:rsid w:val="00E2767B"/>
    <w:rsid w:val="00E27BA8"/>
    <w:rsid w:val="00E27C3E"/>
    <w:rsid w:val="00E30557"/>
    <w:rsid w:val="00E3108D"/>
    <w:rsid w:val="00E3161D"/>
    <w:rsid w:val="00E31840"/>
    <w:rsid w:val="00E32891"/>
    <w:rsid w:val="00E32EA6"/>
    <w:rsid w:val="00E33614"/>
    <w:rsid w:val="00E33F80"/>
    <w:rsid w:val="00E34B96"/>
    <w:rsid w:val="00E34FF7"/>
    <w:rsid w:val="00E362BB"/>
    <w:rsid w:val="00E36503"/>
    <w:rsid w:val="00E37448"/>
    <w:rsid w:val="00E40B5A"/>
    <w:rsid w:val="00E40C6A"/>
    <w:rsid w:val="00E40C82"/>
    <w:rsid w:val="00E4241C"/>
    <w:rsid w:val="00E42B6C"/>
    <w:rsid w:val="00E42D68"/>
    <w:rsid w:val="00E43030"/>
    <w:rsid w:val="00E43B77"/>
    <w:rsid w:val="00E449B1"/>
    <w:rsid w:val="00E44CE2"/>
    <w:rsid w:val="00E46D42"/>
    <w:rsid w:val="00E51008"/>
    <w:rsid w:val="00E513D7"/>
    <w:rsid w:val="00E51B96"/>
    <w:rsid w:val="00E52AA3"/>
    <w:rsid w:val="00E52E6D"/>
    <w:rsid w:val="00E54B52"/>
    <w:rsid w:val="00E55163"/>
    <w:rsid w:val="00E56A0C"/>
    <w:rsid w:val="00E56EC9"/>
    <w:rsid w:val="00E57897"/>
    <w:rsid w:val="00E60A3E"/>
    <w:rsid w:val="00E61231"/>
    <w:rsid w:val="00E618E7"/>
    <w:rsid w:val="00E62282"/>
    <w:rsid w:val="00E635D9"/>
    <w:rsid w:val="00E63BC6"/>
    <w:rsid w:val="00E640E8"/>
    <w:rsid w:val="00E64858"/>
    <w:rsid w:val="00E65943"/>
    <w:rsid w:val="00E65DE3"/>
    <w:rsid w:val="00E6638A"/>
    <w:rsid w:val="00E67C32"/>
    <w:rsid w:val="00E67D33"/>
    <w:rsid w:val="00E67F65"/>
    <w:rsid w:val="00E70F29"/>
    <w:rsid w:val="00E718D4"/>
    <w:rsid w:val="00E71A5A"/>
    <w:rsid w:val="00E71CB6"/>
    <w:rsid w:val="00E75C3A"/>
    <w:rsid w:val="00E766AC"/>
    <w:rsid w:val="00E76D12"/>
    <w:rsid w:val="00E77DD3"/>
    <w:rsid w:val="00E80D6E"/>
    <w:rsid w:val="00E80E49"/>
    <w:rsid w:val="00E81BCD"/>
    <w:rsid w:val="00E829FF"/>
    <w:rsid w:val="00E82D7A"/>
    <w:rsid w:val="00E8428F"/>
    <w:rsid w:val="00E84380"/>
    <w:rsid w:val="00E85035"/>
    <w:rsid w:val="00E87B94"/>
    <w:rsid w:val="00E905E4"/>
    <w:rsid w:val="00E9080D"/>
    <w:rsid w:val="00E913CC"/>
    <w:rsid w:val="00E91847"/>
    <w:rsid w:val="00E91900"/>
    <w:rsid w:val="00E91E90"/>
    <w:rsid w:val="00E92D03"/>
    <w:rsid w:val="00E93349"/>
    <w:rsid w:val="00E93A66"/>
    <w:rsid w:val="00E95491"/>
    <w:rsid w:val="00E963AE"/>
    <w:rsid w:val="00E97281"/>
    <w:rsid w:val="00EA16FF"/>
    <w:rsid w:val="00EA1CBC"/>
    <w:rsid w:val="00EA23AE"/>
    <w:rsid w:val="00EA25C6"/>
    <w:rsid w:val="00EA2748"/>
    <w:rsid w:val="00EA2D49"/>
    <w:rsid w:val="00EA2E7C"/>
    <w:rsid w:val="00EA3109"/>
    <w:rsid w:val="00EA4645"/>
    <w:rsid w:val="00EA48B8"/>
    <w:rsid w:val="00EA5393"/>
    <w:rsid w:val="00EA59A8"/>
    <w:rsid w:val="00EA5FF2"/>
    <w:rsid w:val="00EA646C"/>
    <w:rsid w:val="00EA687C"/>
    <w:rsid w:val="00EB02E0"/>
    <w:rsid w:val="00EB0550"/>
    <w:rsid w:val="00EB0E1B"/>
    <w:rsid w:val="00EB1F35"/>
    <w:rsid w:val="00EB394D"/>
    <w:rsid w:val="00EB3AF4"/>
    <w:rsid w:val="00EB5128"/>
    <w:rsid w:val="00EB5382"/>
    <w:rsid w:val="00EB5429"/>
    <w:rsid w:val="00EB5562"/>
    <w:rsid w:val="00EB65D3"/>
    <w:rsid w:val="00EB6E9E"/>
    <w:rsid w:val="00EB7F34"/>
    <w:rsid w:val="00EB7FE8"/>
    <w:rsid w:val="00EC168E"/>
    <w:rsid w:val="00EC2248"/>
    <w:rsid w:val="00EC2EF8"/>
    <w:rsid w:val="00EC34E5"/>
    <w:rsid w:val="00EC4883"/>
    <w:rsid w:val="00EC4FD9"/>
    <w:rsid w:val="00EC579C"/>
    <w:rsid w:val="00EC5DFF"/>
    <w:rsid w:val="00EC5EE2"/>
    <w:rsid w:val="00EC6191"/>
    <w:rsid w:val="00EC6B5A"/>
    <w:rsid w:val="00EC6DA2"/>
    <w:rsid w:val="00EC7F8F"/>
    <w:rsid w:val="00ED04FD"/>
    <w:rsid w:val="00ED05CA"/>
    <w:rsid w:val="00ED06FF"/>
    <w:rsid w:val="00ED07BF"/>
    <w:rsid w:val="00ED143A"/>
    <w:rsid w:val="00ED2A39"/>
    <w:rsid w:val="00ED2C8F"/>
    <w:rsid w:val="00ED4646"/>
    <w:rsid w:val="00ED4A42"/>
    <w:rsid w:val="00ED4D1B"/>
    <w:rsid w:val="00ED504D"/>
    <w:rsid w:val="00ED5AC1"/>
    <w:rsid w:val="00ED6478"/>
    <w:rsid w:val="00ED64D1"/>
    <w:rsid w:val="00ED6592"/>
    <w:rsid w:val="00ED7B3C"/>
    <w:rsid w:val="00ED7F7F"/>
    <w:rsid w:val="00EE0763"/>
    <w:rsid w:val="00EE0D0D"/>
    <w:rsid w:val="00EE1169"/>
    <w:rsid w:val="00EE305F"/>
    <w:rsid w:val="00EE331C"/>
    <w:rsid w:val="00EE3F07"/>
    <w:rsid w:val="00EE40B6"/>
    <w:rsid w:val="00EE6A20"/>
    <w:rsid w:val="00EE77B6"/>
    <w:rsid w:val="00EF0954"/>
    <w:rsid w:val="00EF169A"/>
    <w:rsid w:val="00EF26D7"/>
    <w:rsid w:val="00EF48BF"/>
    <w:rsid w:val="00EF4948"/>
    <w:rsid w:val="00EF554F"/>
    <w:rsid w:val="00EF5CBE"/>
    <w:rsid w:val="00EF602F"/>
    <w:rsid w:val="00EF647A"/>
    <w:rsid w:val="00EF6A32"/>
    <w:rsid w:val="00EF72DD"/>
    <w:rsid w:val="00F006B2"/>
    <w:rsid w:val="00F00A27"/>
    <w:rsid w:val="00F01271"/>
    <w:rsid w:val="00F01B4E"/>
    <w:rsid w:val="00F02AFC"/>
    <w:rsid w:val="00F03397"/>
    <w:rsid w:val="00F04667"/>
    <w:rsid w:val="00F0471D"/>
    <w:rsid w:val="00F04BFA"/>
    <w:rsid w:val="00F05ED2"/>
    <w:rsid w:val="00F061D2"/>
    <w:rsid w:val="00F06E75"/>
    <w:rsid w:val="00F07B9C"/>
    <w:rsid w:val="00F07F01"/>
    <w:rsid w:val="00F12196"/>
    <w:rsid w:val="00F1254B"/>
    <w:rsid w:val="00F12C81"/>
    <w:rsid w:val="00F13FA4"/>
    <w:rsid w:val="00F146A5"/>
    <w:rsid w:val="00F14788"/>
    <w:rsid w:val="00F15DB7"/>
    <w:rsid w:val="00F17787"/>
    <w:rsid w:val="00F17E78"/>
    <w:rsid w:val="00F20C63"/>
    <w:rsid w:val="00F211E1"/>
    <w:rsid w:val="00F21684"/>
    <w:rsid w:val="00F21E92"/>
    <w:rsid w:val="00F221FB"/>
    <w:rsid w:val="00F22D2B"/>
    <w:rsid w:val="00F24C13"/>
    <w:rsid w:val="00F24FCE"/>
    <w:rsid w:val="00F2598F"/>
    <w:rsid w:val="00F25EC0"/>
    <w:rsid w:val="00F2732C"/>
    <w:rsid w:val="00F2749D"/>
    <w:rsid w:val="00F277D2"/>
    <w:rsid w:val="00F27B48"/>
    <w:rsid w:val="00F300C8"/>
    <w:rsid w:val="00F3082E"/>
    <w:rsid w:val="00F30AE8"/>
    <w:rsid w:val="00F31554"/>
    <w:rsid w:val="00F31EB4"/>
    <w:rsid w:val="00F330B0"/>
    <w:rsid w:val="00F33D07"/>
    <w:rsid w:val="00F3433A"/>
    <w:rsid w:val="00F343EF"/>
    <w:rsid w:val="00F405B4"/>
    <w:rsid w:val="00F40919"/>
    <w:rsid w:val="00F41109"/>
    <w:rsid w:val="00F41B51"/>
    <w:rsid w:val="00F41C1F"/>
    <w:rsid w:val="00F420A2"/>
    <w:rsid w:val="00F4377B"/>
    <w:rsid w:val="00F43986"/>
    <w:rsid w:val="00F440B7"/>
    <w:rsid w:val="00F44D4F"/>
    <w:rsid w:val="00F4568E"/>
    <w:rsid w:val="00F46AAD"/>
    <w:rsid w:val="00F479EF"/>
    <w:rsid w:val="00F47F54"/>
    <w:rsid w:val="00F5037E"/>
    <w:rsid w:val="00F505E5"/>
    <w:rsid w:val="00F50C11"/>
    <w:rsid w:val="00F510D8"/>
    <w:rsid w:val="00F51D66"/>
    <w:rsid w:val="00F524BE"/>
    <w:rsid w:val="00F53F8B"/>
    <w:rsid w:val="00F542E8"/>
    <w:rsid w:val="00F54AC0"/>
    <w:rsid w:val="00F54CDC"/>
    <w:rsid w:val="00F54F76"/>
    <w:rsid w:val="00F573CB"/>
    <w:rsid w:val="00F57E45"/>
    <w:rsid w:val="00F60027"/>
    <w:rsid w:val="00F60DB6"/>
    <w:rsid w:val="00F61B14"/>
    <w:rsid w:val="00F620B7"/>
    <w:rsid w:val="00F63324"/>
    <w:rsid w:val="00F6366B"/>
    <w:rsid w:val="00F63CF9"/>
    <w:rsid w:val="00F63D3E"/>
    <w:rsid w:val="00F63DB3"/>
    <w:rsid w:val="00F654A0"/>
    <w:rsid w:val="00F6559C"/>
    <w:rsid w:val="00F65942"/>
    <w:rsid w:val="00F66532"/>
    <w:rsid w:val="00F66944"/>
    <w:rsid w:val="00F66A6E"/>
    <w:rsid w:val="00F66D27"/>
    <w:rsid w:val="00F67376"/>
    <w:rsid w:val="00F67C41"/>
    <w:rsid w:val="00F67F8C"/>
    <w:rsid w:val="00F70010"/>
    <w:rsid w:val="00F71386"/>
    <w:rsid w:val="00F71727"/>
    <w:rsid w:val="00F71C03"/>
    <w:rsid w:val="00F726C8"/>
    <w:rsid w:val="00F72ABA"/>
    <w:rsid w:val="00F74510"/>
    <w:rsid w:val="00F75104"/>
    <w:rsid w:val="00F75427"/>
    <w:rsid w:val="00F761E4"/>
    <w:rsid w:val="00F76825"/>
    <w:rsid w:val="00F77502"/>
    <w:rsid w:val="00F776A9"/>
    <w:rsid w:val="00F77E3F"/>
    <w:rsid w:val="00F80CDF"/>
    <w:rsid w:val="00F81309"/>
    <w:rsid w:val="00F831C9"/>
    <w:rsid w:val="00F83BA8"/>
    <w:rsid w:val="00F84A12"/>
    <w:rsid w:val="00F852EF"/>
    <w:rsid w:val="00F87C24"/>
    <w:rsid w:val="00F90100"/>
    <w:rsid w:val="00F909EB"/>
    <w:rsid w:val="00F92B3E"/>
    <w:rsid w:val="00F9333C"/>
    <w:rsid w:val="00F9337C"/>
    <w:rsid w:val="00F9409E"/>
    <w:rsid w:val="00F944AD"/>
    <w:rsid w:val="00F94AAC"/>
    <w:rsid w:val="00F94B3A"/>
    <w:rsid w:val="00F94D51"/>
    <w:rsid w:val="00F95794"/>
    <w:rsid w:val="00F95B26"/>
    <w:rsid w:val="00F95B58"/>
    <w:rsid w:val="00F961DC"/>
    <w:rsid w:val="00F96395"/>
    <w:rsid w:val="00F96B3E"/>
    <w:rsid w:val="00FA02A3"/>
    <w:rsid w:val="00FA0BB7"/>
    <w:rsid w:val="00FA0C7E"/>
    <w:rsid w:val="00FA1764"/>
    <w:rsid w:val="00FA19D5"/>
    <w:rsid w:val="00FA1DF1"/>
    <w:rsid w:val="00FA2546"/>
    <w:rsid w:val="00FA33B0"/>
    <w:rsid w:val="00FA3A35"/>
    <w:rsid w:val="00FA3CCA"/>
    <w:rsid w:val="00FA421D"/>
    <w:rsid w:val="00FA7DD5"/>
    <w:rsid w:val="00FB0660"/>
    <w:rsid w:val="00FB0765"/>
    <w:rsid w:val="00FB0A62"/>
    <w:rsid w:val="00FB14CC"/>
    <w:rsid w:val="00FB191B"/>
    <w:rsid w:val="00FB2B83"/>
    <w:rsid w:val="00FB2C8E"/>
    <w:rsid w:val="00FB33E7"/>
    <w:rsid w:val="00FB39E3"/>
    <w:rsid w:val="00FB430E"/>
    <w:rsid w:val="00FB44BA"/>
    <w:rsid w:val="00FB4AD7"/>
    <w:rsid w:val="00FB62A6"/>
    <w:rsid w:val="00FB6C25"/>
    <w:rsid w:val="00FB7257"/>
    <w:rsid w:val="00FC048C"/>
    <w:rsid w:val="00FC0CFB"/>
    <w:rsid w:val="00FC114A"/>
    <w:rsid w:val="00FC1595"/>
    <w:rsid w:val="00FC2006"/>
    <w:rsid w:val="00FC285A"/>
    <w:rsid w:val="00FC34A7"/>
    <w:rsid w:val="00FC35C9"/>
    <w:rsid w:val="00FC3A65"/>
    <w:rsid w:val="00FC3ADD"/>
    <w:rsid w:val="00FC3C67"/>
    <w:rsid w:val="00FC47D9"/>
    <w:rsid w:val="00FC58B9"/>
    <w:rsid w:val="00FC5D24"/>
    <w:rsid w:val="00FC6435"/>
    <w:rsid w:val="00FC686C"/>
    <w:rsid w:val="00FC6F3F"/>
    <w:rsid w:val="00FD12C4"/>
    <w:rsid w:val="00FD13B3"/>
    <w:rsid w:val="00FD179B"/>
    <w:rsid w:val="00FD1CD0"/>
    <w:rsid w:val="00FD1E4A"/>
    <w:rsid w:val="00FD2A8E"/>
    <w:rsid w:val="00FD3305"/>
    <w:rsid w:val="00FD3706"/>
    <w:rsid w:val="00FD40F4"/>
    <w:rsid w:val="00FD5EBC"/>
    <w:rsid w:val="00FE0404"/>
    <w:rsid w:val="00FE0B4A"/>
    <w:rsid w:val="00FE1107"/>
    <w:rsid w:val="00FE20D7"/>
    <w:rsid w:val="00FE2E78"/>
    <w:rsid w:val="00FE353B"/>
    <w:rsid w:val="00FE4C2C"/>
    <w:rsid w:val="00FE6005"/>
    <w:rsid w:val="00FE7391"/>
    <w:rsid w:val="00FE75B4"/>
    <w:rsid w:val="00FE7B7D"/>
    <w:rsid w:val="00FE7C4D"/>
    <w:rsid w:val="00FF13DA"/>
    <w:rsid w:val="00FF3968"/>
    <w:rsid w:val="00FF40A1"/>
    <w:rsid w:val="00FF4F50"/>
    <w:rsid w:val="00FF58F7"/>
    <w:rsid w:val="00FF5C34"/>
    <w:rsid w:val="00FF663F"/>
    <w:rsid w:val="00FF68A0"/>
    <w:rsid w:val="01CC5EE4"/>
    <w:rsid w:val="021C09B8"/>
    <w:rsid w:val="02562A30"/>
    <w:rsid w:val="03232F66"/>
    <w:rsid w:val="03C356AC"/>
    <w:rsid w:val="03CB7C27"/>
    <w:rsid w:val="03DD047D"/>
    <w:rsid w:val="03F86E27"/>
    <w:rsid w:val="0423653B"/>
    <w:rsid w:val="04857846"/>
    <w:rsid w:val="04BB3D6A"/>
    <w:rsid w:val="05614B95"/>
    <w:rsid w:val="05AC7206"/>
    <w:rsid w:val="05C23E60"/>
    <w:rsid w:val="05DA723C"/>
    <w:rsid w:val="0670738A"/>
    <w:rsid w:val="06957B72"/>
    <w:rsid w:val="06D975FA"/>
    <w:rsid w:val="083D5445"/>
    <w:rsid w:val="086D2960"/>
    <w:rsid w:val="08D278B4"/>
    <w:rsid w:val="094D363C"/>
    <w:rsid w:val="09842DFE"/>
    <w:rsid w:val="0990226B"/>
    <w:rsid w:val="0A2F2189"/>
    <w:rsid w:val="0A3125D4"/>
    <w:rsid w:val="0AF37043"/>
    <w:rsid w:val="0B131968"/>
    <w:rsid w:val="0B374855"/>
    <w:rsid w:val="0B673C1B"/>
    <w:rsid w:val="0B91799E"/>
    <w:rsid w:val="0BCB0B79"/>
    <w:rsid w:val="0BCC3467"/>
    <w:rsid w:val="0C6F12DC"/>
    <w:rsid w:val="0CC3669B"/>
    <w:rsid w:val="0CE7026F"/>
    <w:rsid w:val="0EBE41AD"/>
    <w:rsid w:val="0F0C2DE0"/>
    <w:rsid w:val="0F840E97"/>
    <w:rsid w:val="0F972BF5"/>
    <w:rsid w:val="0FA55D78"/>
    <w:rsid w:val="0FCC4C5E"/>
    <w:rsid w:val="0FF7084A"/>
    <w:rsid w:val="10331486"/>
    <w:rsid w:val="103A011B"/>
    <w:rsid w:val="10467E22"/>
    <w:rsid w:val="107A0040"/>
    <w:rsid w:val="10D2785A"/>
    <w:rsid w:val="10DD3085"/>
    <w:rsid w:val="11032181"/>
    <w:rsid w:val="11323C0A"/>
    <w:rsid w:val="11387978"/>
    <w:rsid w:val="11FD2960"/>
    <w:rsid w:val="122356AC"/>
    <w:rsid w:val="123D1460"/>
    <w:rsid w:val="1274760A"/>
    <w:rsid w:val="13372C8B"/>
    <w:rsid w:val="135C062C"/>
    <w:rsid w:val="13E34345"/>
    <w:rsid w:val="14043967"/>
    <w:rsid w:val="14157792"/>
    <w:rsid w:val="14957220"/>
    <w:rsid w:val="14CD48D7"/>
    <w:rsid w:val="156D77D7"/>
    <w:rsid w:val="15CF0743"/>
    <w:rsid w:val="165F4988"/>
    <w:rsid w:val="16784D82"/>
    <w:rsid w:val="17071095"/>
    <w:rsid w:val="180948C1"/>
    <w:rsid w:val="18B77717"/>
    <w:rsid w:val="18BE612E"/>
    <w:rsid w:val="18D50EAF"/>
    <w:rsid w:val="19B740EA"/>
    <w:rsid w:val="19EA1EEA"/>
    <w:rsid w:val="1A371203"/>
    <w:rsid w:val="1A3E52A8"/>
    <w:rsid w:val="1A591CCC"/>
    <w:rsid w:val="1B121DC3"/>
    <w:rsid w:val="1B446EB9"/>
    <w:rsid w:val="1B482A74"/>
    <w:rsid w:val="1BAB1643"/>
    <w:rsid w:val="1BF956CF"/>
    <w:rsid w:val="1BFB15A2"/>
    <w:rsid w:val="1C246FE5"/>
    <w:rsid w:val="1C2D7E63"/>
    <w:rsid w:val="1CC85E7B"/>
    <w:rsid w:val="1D857EC7"/>
    <w:rsid w:val="1D9371E2"/>
    <w:rsid w:val="1DB4379F"/>
    <w:rsid w:val="1E0756EA"/>
    <w:rsid w:val="1E14513C"/>
    <w:rsid w:val="1E637EE1"/>
    <w:rsid w:val="1E89744D"/>
    <w:rsid w:val="1EDD6057"/>
    <w:rsid w:val="1F230D93"/>
    <w:rsid w:val="1FEE2309"/>
    <w:rsid w:val="200A73AE"/>
    <w:rsid w:val="20227147"/>
    <w:rsid w:val="20C10EBC"/>
    <w:rsid w:val="21AD6104"/>
    <w:rsid w:val="21DE4C9D"/>
    <w:rsid w:val="22A93330"/>
    <w:rsid w:val="22F80403"/>
    <w:rsid w:val="235573FE"/>
    <w:rsid w:val="24657709"/>
    <w:rsid w:val="246D556E"/>
    <w:rsid w:val="265A39F5"/>
    <w:rsid w:val="26B01FE5"/>
    <w:rsid w:val="26EF7817"/>
    <w:rsid w:val="283B1669"/>
    <w:rsid w:val="2849237C"/>
    <w:rsid w:val="28774E18"/>
    <w:rsid w:val="28A571AB"/>
    <w:rsid w:val="28D362A5"/>
    <w:rsid w:val="291644FD"/>
    <w:rsid w:val="29D61EAF"/>
    <w:rsid w:val="29DC4565"/>
    <w:rsid w:val="2A0C6602"/>
    <w:rsid w:val="2A815EB6"/>
    <w:rsid w:val="2AD744C3"/>
    <w:rsid w:val="2C447DCC"/>
    <w:rsid w:val="2CFA60B2"/>
    <w:rsid w:val="2D166CF1"/>
    <w:rsid w:val="2D557ED6"/>
    <w:rsid w:val="2D7D36C2"/>
    <w:rsid w:val="2D886914"/>
    <w:rsid w:val="2E1D7762"/>
    <w:rsid w:val="2E3F466F"/>
    <w:rsid w:val="2E4D1F5E"/>
    <w:rsid w:val="2E6271AC"/>
    <w:rsid w:val="2E73290F"/>
    <w:rsid w:val="2EB1685F"/>
    <w:rsid w:val="2FA12BA2"/>
    <w:rsid w:val="302651E9"/>
    <w:rsid w:val="305E74DA"/>
    <w:rsid w:val="30883CEF"/>
    <w:rsid w:val="30962280"/>
    <w:rsid w:val="319D572D"/>
    <w:rsid w:val="31A72A44"/>
    <w:rsid w:val="31B735F5"/>
    <w:rsid w:val="32712DDF"/>
    <w:rsid w:val="32C12060"/>
    <w:rsid w:val="331B7775"/>
    <w:rsid w:val="334374A8"/>
    <w:rsid w:val="336775A2"/>
    <w:rsid w:val="33F17659"/>
    <w:rsid w:val="342B49D5"/>
    <w:rsid w:val="3437510E"/>
    <w:rsid w:val="34A13FAA"/>
    <w:rsid w:val="34B53F2A"/>
    <w:rsid w:val="34EA582A"/>
    <w:rsid w:val="351B5014"/>
    <w:rsid w:val="353A2FDE"/>
    <w:rsid w:val="35702132"/>
    <w:rsid w:val="357E666B"/>
    <w:rsid w:val="361E10D7"/>
    <w:rsid w:val="371E2636"/>
    <w:rsid w:val="37543E02"/>
    <w:rsid w:val="37772C4E"/>
    <w:rsid w:val="381E0582"/>
    <w:rsid w:val="383102CA"/>
    <w:rsid w:val="38460215"/>
    <w:rsid w:val="38881BBE"/>
    <w:rsid w:val="38F65478"/>
    <w:rsid w:val="392E0A6A"/>
    <w:rsid w:val="3933030F"/>
    <w:rsid w:val="39BD2FD7"/>
    <w:rsid w:val="39CB28E7"/>
    <w:rsid w:val="3AB3431B"/>
    <w:rsid w:val="3B050944"/>
    <w:rsid w:val="3BC56401"/>
    <w:rsid w:val="3C10010D"/>
    <w:rsid w:val="3C144A2B"/>
    <w:rsid w:val="3CB0792C"/>
    <w:rsid w:val="3CCE7B79"/>
    <w:rsid w:val="3CE37E1F"/>
    <w:rsid w:val="3D352BF6"/>
    <w:rsid w:val="3D833998"/>
    <w:rsid w:val="3D837E9A"/>
    <w:rsid w:val="3D8F1D44"/>
    <w:rsid w:val="3D9C7F00"/>
    <w:rsid w:val="3DBA6920"/>
    <w:rsid w:val="3DC8530F"/>
    <w:rsid w:val="3DD71F89"/>
    <w:rsid w:val="3DFD17EE"/>
    <w:rsid w:val="3E574458"/>
    <w:rsid w:val="3E7762B4"/>
    <w:rsid w:val="3EC81291"/>
    <w:rsid w:val="3EF51797"/>
    <w:rsid w:val="400C6E6C"/>
    <w:rsid w:val="405A3395"/>
    <w:rsid w:val="408626CB"/>
    <w:rsid w:val="408E0788"/>
    <w:rsid w:val="40A7559A"/>
    <w:rsid w:val="40CA064A"/>
    <w:rsid w:val="40CD7FB1"/>
    <w:rsid w:val="40D75342"/>
    <w:rsid w:val="411C3CA6"/>
    <w:rsid w:val="41470E51"/>
    <w:rsid w:val="415C258B"/>
    <w:rsid w:val="416741BF"/>
    <w:rsid w:val="41681036"/>
    <w:rsid w:val="41950219"/>
    <w:rsid w:val="424216F4"/>
    <w:rsid w:val="4372554A"/>
    <w:rsid w:val="4425449A"/>
    <w:rsid w:val="44D2622E"/>
    <w:rsid w:val="44D918AD"/>
    <w:rsid w:val="45384687"/>
    <w:rsid w:val="455F7793"/>
    <w:rsid w:val="46BE2457"/>
    <w:rsid w:val="471F3588"/>
    <w:rsid w:val="47C06F97"/>
    <w:rsid w:val="47C3254A"/>
    <w:rsid w:val="47EA4B19"/>
    <w:rsid w:val="48A47D01"/>
    <w:rsid w:val="48BB4C52"/>
    <w:rsid w:val="494D4EA7"/>
    <w:rsid w:val="499132DE"/>
    <w:rsid w:val="4A327BCB"/>
    <w:rsid w:val="4A5B6607"/>
    <w:rsid w:val="4A9A73C7"/>
    <w:rsid w:val="4AB71D83"/>
    <w:rsid w:val="4AEF2E6B"/>
    <w:rsid w:val="4B1D4033"/>
    <w:rsid w:val="4B316FA1"/>
    <w:rsid w:val="4B4D138D"/>
    <w:rsid w:val="4C2E5E15"/>
    <w:rsid w:val="4D3A1520"/>
    <w:rsid w:val="4DEC63BF"/>
    <w:rsid w:val="4E345482"/>
    <w:rsid w:val="4E4A4786"/>
    <w:rsid w:val="4E867D18"/>
    <w:rsid w:val="4EDA651C"/>
    <w:rsid w:val="4F1F4787"/>
    <w:rsid w:val="4F534BF8"/>
    <w:rsid w:val="4F5E390B"/>
    <w:rsid w:val="511E74B2"/>
    <w:rsid w:val="51E579F2"/>
    <w:rsid w:val="51FC60E2"/>
    <w:rsid w:val="5254097C"/>
    <w:rsid w:val="534053B7"/>
    <w:rsid w:val="53BE4E78"/>
    <w:rsid w:val="540D704A"/>
    <w:rsid w:val="5449281E"/>
    <w:rsid w:val="552F56E3"/>
    <w:rsid w:val="55426DC7"/>
    <w:rsid w:val="5574255C"/>
    <w:rsid w:val="55A15A3F"/>
    <w:rsid w:val="56453925"/>
    <w:rsid w:val="56627BFB"/>
    <w:rsid w:val="56DA01AE"/>
    <w:rsid w:val="56DF0B7F"/>
    <w:rsid w:val="5738361D"/>
    <w:rsid w:val="578B3933"/>
    <w:rsid w:val="57B8376D"/>
    <w:rsid w:val="57D119AB"/>
    <w:rsid w:val="57F124AD"/>
    <w:rsid w:val="59515C71"/>
    <w:rsid w:val="596D6C83"/>
    <w:rsid w:val="59C71BA4"/>
    <w:rsid w:val="59D52E10"/>
    <w:rsid w:val="5A883A53"/>
    <w:rsid w:val="5BA47BA8"/>
    <w:rsid w:val="5BF5107E"/>
    <w:rsid w:val="5D2A6564"/>
    <w:rsid w:val="5D4704C0"/>
    <w:rsid w:val="5E0D398F"/>
    <w:rsid w:val="5E3B74E5"/>
    <w:rsid w:val="5E5836B4"/>
    <w:rsid w:val="5E6123E4"/>
    <w:rsid w:val="5E6A4286"/>
    <w:rsid w:val="5EF37781"/>
    <w:rsid w:val="5F1F565E"/>
    <w:rsid w:val="5F4211D7"/>
    <w:rsid w:val="5F5D22C0"/>
    <w:rsid w:val="5FD56917"/>
    <w:rsid w:val="60287A31"/>
    <w:rsid w:val="607C573F"/>
    <w:rsid w:val="61C94AD0"/>
    <w:rsid w:val="62347AB9"/>
    <w:rsid w:val="627460C7"/>
    <w:rsid w:val="62BB3BA8"/>
    <w:rsid w:val="62C7552D"/>
    <w:rsid w:val="63770981"/>
    <w:rsid w:val="638A59B5"/>
    <w:rsid w:val="63AF389A"/>
    <w:rsid w:val="63E906FA"/>
    <w:rsid w:val="64BD1FE9"/>
    <w:rsid w:val="65ED4C85"/>
    <w:rsid w:val="660705F2"/>
    <w:rsid w:val="66180498"/>
    <w:rsid w:val="66641318"/>
    <w:rsid w:val="66AB2843"/>
    <w:rsid w:val="66B73699"/>
    <w:rsid w:val="66F40B92"/>
    <w:rsid w:val="66F72ADF"/>
    <w:rsid w:val="670B3FDD"/>
    <w:rsid w:val="67277FC8"/>
    <w:rsid w:val="678D7CC4"/>
    <w:rsid w:val="68576524"/>
    <w:rsid w:val="6904369F"/>
    <w:rsid w:val="694038E9"/>
    <w:rsid w:val="69C17EAC"/>
    <w:rsid w:val="6A347CD6"/>
    <w:rsid w:val="6AAB3448"/>
    <w:rsid w:val="6ABF6BA9"/>
    <w:rsid w:val="6B8A5718"/>
    <w:rsid w:val="6C2C0D1D"/>
    <w:rsid w:val="6C455B6E"/>
    <w:rsid w:val="6C8C6B30"/>
    <w:rsid w:val="6CA86F65"/>
    <w:rsid w:val="6D120F19"/>
    <w:rsid w:val="6D2A27C9"/>
    <w:rsid w:val="6D4A12E4"/>
    <w:rsid w:val="6D67524C"/>
    <w:rsid w:val="6DB60AFD"/>
    <w:rsid w:val="6EDB5649"/>
    <w:rsid w:val="6F274DDA"/>
    <w:rsid w:val="6F320288"/>
    <w:rsid w:val="6F64241D"/>
    <w:rsid w:val="6FA00244"/>
    <w:rsid w:val="6FA0420C"/>
    <w:rsid w:val="6FF73105"/>
    <w:rsid w:val="70272298"/>
    <w:rsid w:val="70331B72"/>
    <w:rsid w:val="70C60266"/>
    <w:rsid w:val="7190467F"/>
    <w:rsid w:val="71E55255"/>
    <w:rsid w:val="71F33D8C"/>
    <w:rsid w:val="71FEA026"/>
    <w:rsid w:val="722B16E1"/>
    <w:rsid w:val="72551A93"/>
    <w:rsid w:val="72C046A1"/>
    <w:rsid w:val="72D33318"/>
    <w:rsid w:val="73223D39"/>
    <w:rsid w:val="73583EE9"/>
    <w:rsid w:val="73BC6B02"/>
    <w:rsid w:val="75716C4C"/>
    <w:rsid w:val="75BB02C0"/>
    <w:rsid w:val="75D33F07"/>
    <w:rsid w:val="76361B24"/>
    <w:rsid w:val="765E5E9E"/>
    <w:rsid w:val="76C95BFA"/>
    <w:rsid w:val="76DB6B9E"/>
    <w:rsid w:val="76F93DF0"/>
    <w:rsid w:val="77592CE3"/>
    <w:rsid w:val="775A5D7E"/>
    <w:rsid w:val="77DA5D1D"/>
    <w:rsid w:val="77DB0A0B"/>
    <w:rsid w:val="78CB4582"/>
    <w:rsid w:val="79732C6E"/>
    <w:rsid w:val="79C54ED9"/>
    <w:rsid w:val="79D220D7"/>
    <w:rsid w:val="7A163FAA"/>
    <w:rsid w:val="7A48502D"/>
    <w:rsid w:val="7A7E296E"/>
    <w:rsid w:val="7ADB277A"/>
    <w:rsid w:val="7B1E09D1"/>
    <w:rsid w:val="7C791E4D"/>
    <w:rsid w:val="7CF40C2C"/>
    <w:rsid w:val="7CFE5F63"/>
    <w:rsid w:val="7DC827D7"/>
    <w:rsid w:val="7DF270E2"/>
    <w:rsid w:val="7DF5B809"/>
    <w:rsid w:val="7E765D97"/>
    <w:rsid w:val="7E7C1E36"/>
    <w:rsid w:val="7EFF8351"/>
    <w:rsid w:val="7F200856"/>
    <w:rsid w:val="7F79689E"/>
    <w:rsid w:val="7FC25AE4"/>
    <w:rsid w:val="7FCA7E0D"/>
    <w:rsid w:val="7FFB3FEE"/>
    <w:rsid w:val="9CFBB32A"/>
    <w:rsid w:val="A75EF0A8"/>
    <w:rsid w:val="EF94074A"/>
    <w:rsid w:val="FCDD379E"/>
    <w:rsid w:val="FE8F680C"/>
    <w:rsid w:val="FECF7B82"/>
    <w:rsid w:val="FF6B41C3"/>
    <w:rsid w:val="FFF7BE84"/>
    <w:rsid w:val="FFFF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rFonts w:ascii="Arial" w:hAnsi="Arial"/>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Arial" w:hAnsi="Arial"/>
      <w:b/>
      <w:bCs/>
      <w:sz w:val="28"/>
      <w:szCs w:val="32"/>
    </w:rPr>
  </w:style>
  <w:style w:type="paragraph" w:styleId="5">
    <w:name w:val="heading 3"/>
    <w:basedOn w:val="1"/>
    <w:next w:val="1"/>
    <w:qFormat/>
    <w:uiPriority w:val="0"/>
    <w:pPr>
      <w:keepNext/>
      <w:keepLines/>
      <w:spacing w:before="260" w:after="260" w:line="416" w:lineRule="auto"/>
      <w:outlineLvl w:val="2"/>
    </w:pPr>
    <w:rPr>
      <w:b/>
      <w:bCs/>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8">
    <w:name w:val="toc 7"/>
    <w:basedOn w:val="1"/>
    <w:next w:val="1"/>
    <w:qFormat/>
    <w:uiPriority w:val="39"/>
    <w:pPr>
      <w:ind w:left="2520" w:leftChars="1200"/>
    </w:pPr>
  </w:style>
  <w:style w:type="paragraph" w:styleId="9">
    <w:name w:val="caption"/>
    <w:basedOn w:val="1"/>
    <w:next w:val="1"/>
    <w:qFormat/>
    <w:uiPriority w:val="0"/>
    <w:pPr>
      <w:spacing w:before="152" w:after="160" w:line="312" w:lineRule="atLeast"/>
    </w:pPr>
    <w:rPr>
      <w:rFonts w:ascii="Arial" w:hAnsi="Arial" w:eastAsia="黑体" w:cs="Arial"/>
      <w:color w:val="000000"/>
      <w:kern w:val="0"/>
      <w:szCs w:val="20"/>
    </w:rPr>
  </w:style>
  <w:style w:type="paragraph" w:styleId="10">
    <w:name w:val="List Bullet"/>
    <w:basedOn w:val="1"/>
    <w:qFormat/>
    <w:uiPriority w:val="0"/>
    <w:pPr>
      <w:tabs>
        <w:tab w:val="left" w:pos="360"/>
      </w:tabs>
      <w:ind w:left="360" w:hanging="360"/>
      <w:contextualSpacing/>
    </w:pPr>
  </w:style>
  <w:style w:type="paragraph" w:styleId="11">
    <w:name w:val="Document Map"/>
    <w:basedOn w:val="1"/>
    <w:link w:val="54"/>
    <w:qFormat/>
    <w:uiPriority w:val="0"/>
    <w:pPr>
      <w:shd w:val="clear" w:color="auto" w:fill="000080"/>
    </w:pPr>
  </w:style>
  <w:style w:type="paragraph" w:styleId="12">
    <w:name w:val="annotation text"/>
    <w:basedOn w:val="1"/>
    <w:link w:val="55"/>
    <w:qFormat/>
    <w:uiPriority w:val="99"/>
    <w:pPr>
      <w:jc w:val="left"/>
    </w:pPr>
  </w:style>
  <w:style w:type="paragraph" w:styleId="13">
    <w:name w:val="index 6"/>
    <w:basedOn w:val="1"/>
    <w:next w:val="1"/>
    <w:qFormat/>
    <w:uiPriority w:val="0"/>
    <w:pPr>
      <w:ind w:left="1000" w:leftChars="1000"/>
    </w:pPr>
  </w:style>
  <w:style w:type="paragraph" w:styleId="14">
    <w:name w:val="Body Text 3"/>
    <w:basedOn w:val="1"/>
    <w:qFormat/>
    <w:uiPriority w:val="0"/>
    <w:pPr>
      <w:spacing w:line="560" w:lineRule="exact"/>
    </w:pPr>
    <w:rPr>
      <w:rFonts w:ascii="仿宋_GB2312" w:eastAsia="仿宋_GB2312"/>
      <w:sz w:val="26"/>
    </w:rPr>
  </w:style>
  <w:style w:type="paragraph" w:styleId="15">
    <w:name w:val="Body Text"/>
    <w:basedOn w:val="1"/>
    <w:next w:val="1"/>
    <w:link w:val="56"/>
    <w:qFormat/>
    <w:uiPriority w:val="0"/>
    <w:rPr>
      <w:rFonts w:ascii="仿宋_GB2312" w:eastAsia="仿宋_GB2312"/>
      <w:sz w:val="28"/>
    </w:rPr>
  </w:style>
  <w:style w:type="paragraph" w:styleId="16">
    <w:name w:val="Body Text Indent"/>
    <w:basedOn w:val="1"/>
    <w:link w:val="57"/>
    <w:qFormat/>
    <w:uiPriority w:val="0"/>
    <w:pPr>
      <w:spacing w:line="440" w:lineRule="exact"/>
      <w:ind w:firstLine="488" w:firstLineChars="200"/>
    </w:pPr>
    <w:rPr>
      <w:rFonts w:ascii="仿宋_GB2312" w:eastAsia="仿宋_GB2312"/>
      <w:spacing w:val="7"/>
      <w:sz w:val="23"/>
    </w:rPr>
  </w:style>
  <w:style w:type="paragraph" w:styleId="17">
    <w:name w:val="List 2"/>
    <w:basedOn w:val="1"/>
    <w:qFormat/>
    <w:uiPriority w:val="0"/>
    <w:pPr>
      <w:ind w:left="840" w:hanging="420"/>
    </w:pPr>
    <w:rPr>
      <w:szCs w:val="20"/>
    </w:rPr>
  </w:style>
  <w:style w:type="paragraph" w:styleId="18">
    <w:name w:val="Block Text"/>
    <w:basedOn w:val="1"/>
    <w:qFormat/>
    <w:uiPriority w:val="0"/>
    <w:pPr>
      <w:adjustRightInd w:val="0"/>
      <w:ind w:left="420" w:right="33"/>
      <w:jc w:val="left"/>
      <w:textAlignment w:val="baseline"/>
    </w:pPr>
    <w:rPr>
      <w:kern w:val="0"/>
      <w:sz w:val="24"/>
      <w:szCs w:val="20"/>
    </w:rPr>
  </w:style>
  <w:style w:type="paragraph" w:styleId="19">
    <w:name w:val="toc 5"/>
    <w:basedOn w:val="1"/>
    <w:next w:val="1"/>
    <w:unhideWhenUsed/>
    <w:qFormat/>
    <w:uiPriority w:val="39"/>
    <w:pPr>
      <w:spacing w:line="312" w:lineRule="atLeast"/>
      <w:ind w:left="840"/>
      <w:jc w:val="left"/>
    </w:pPr>
    <w:rPr>
      <w:rFonts w:ascii="Calibri" w:hAnsi="Calibri" w:cs="宋体"/>
      <w:color w:val="000000"/>
      <w:kern w:val="0"/>
      <w:sz w:val="18"/>
      <w:szCs w:val="18"/>
    </w:rPr>
  </w:style>
  <w:style w:type="paragraph" w:styleId="20">
    <w:name w:val="toc 3"/>
    <w:basedOn w:val="1"/>
    <w:next w:val="1"/>
    <w:qFormat/>
    <w:uiPriority w:val="39"/>
    <w:pPr>
      <w:ind w:left="840" w:leftChars="400"/>
    </w:pPr>
  </w:style>
  <w:style w:type="paragraph" w:styleId="21">
    <w:name w:val="Plain Text"/>
    <w:basedOn w:val="1"/>
    <w:link w:val="58"/>
    <w:qFormat/>
    <w:uiPriority w:val="0"/>
    <w:rPr>
      <w:rFonts w:ascii="宋体" w:hAnsi="Courier New"/>
      <w:szCs w:val="21"/>
    </w:rPr>
  </w:style>
  <w:style w:type="paragraph" w:styleId="22">
    <w:name w:val="toc 8"/>
    <w:basedOn w:val="1"/>
    <w:next w:val="1"/>
    <w:unhideWhenUsed/>
    <w:qFormat/>
    <w:uiPriority w:val="39"/>
    <w:pPr>
      <w:spacing w:line="312" w:lineRule="atLeast"/>
      <w:ind w:left="1470"/>
      <w:jc w:val="left"/>
    </w:pPr>
    <w:rPr>
      <w:rFonts w:ascii="Calibri" w:hAnsi="Calibri" w:cs="宋体"/>
      <w:color w:val="000000"/>
      <w:kern w:val="0"/>
      <w:sz w:val="18"/>
      <w:szCs w:val="18"/>
    </w:rPr>
  </w:style>
  <w:style w:type="paragraph" w:styleId="23">
    <w:name w:val="Date"/>
    <w:basedOn w:val="1"/>
    <w:next w:val="1"/>
    <w:link w:val="59"/>
    <w:qFormat/>
    <w:uiPriority w:val="0"/>
    <w:rPr>
      <w:rFonts w:eastAsia="黑体"/>
      <w:sz w:val="28"/>
      <w:szCs w:val="20"/>
    </w:rPr>
  </w:style>
  <w:style w:type="paragraph" w:styleId="24">
    <w:name w:val="Body Text Indent 2"/>
    <w:basedOn w:val="1"/>
    <w:link w:val="60"/>
    <w:qFormat/>
    <w:uiPriority w:val="0"/>
    <w:pPr>
      <w:spacing w:line="440" w:lineRule="exact"/>
      <w:ind w:firstLine="555"/>
    </w:pPr>
    <w:rPr>
      <w:rFonts w:ascii="仿宋_GB2312" w:eastAsia="仿宋_GB2312"/>
      <w:spacing w:val="5"/>
      <w:sz w:val="23"/>
    </w:rPr>
  </w:style>
  <w:style w:type="paragraph" w:styleId="25">
    <w:name w:val="endnote text"/>
    <w:basedOn w:val="1"/>
    <w:link w:val="61"/>
    <w:qFormat/>
    <w:uiPriority w:val="0"/>
    <w:pPr>
      <w:snapToGrid w:val="0"/>
      <w:jc w:val="left"/>
    </w:pPr>
    <w:rPr>
      <w:kern w:val="0"/>
      <w:sz w:val="20"/>
    </w:rPr>
  </w:style>
  <w:style w:type="paragraph" w:styleId="26">
    <w:name w:val="Balloon Text"/>
    <w:basedOn w:val="1"/>
    <w:link w:val="62"/>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cs="宋体"/>
      <w:snapToGrid w:val="0"/>
      <w:kern w:val="0"/>
      <w:sz w:val="24"/>
      <w:szCs w:val="32"/>
    </w:rPr>
  </w:style>
  <w:style w:type="paragraph" w:styleId="30">
    <w:name w:val="toc 4"/>
    <w:basedOn w:val="1"/>
    <w:next w:val="1"/>
    <w:unhideWhenUsed/>
    <w:qFormat/>
    <w:uiPriority w:val="39"/>
    <w:pPr>
      <w:spacing w:line="312" w:lineRule="atLeast"/>
      <w:ind w:left="630"/>
      <w:jc w:val="left"/>
    </w:pPr>
    <w:rPr>
      <w:rFonts w:ascii="Calibri" w:hAnsi="Calibri" w:cs="宋体"/>
      <w:color w:val="000000"/>
      <w:kern w:val="0"/>
      <w:sz w:val="18"/>
      <w:szCs w:val="18"/>
    </w:rPr>
  </w:style>
  <w:style w:type="paragraph" w:styleId="31">
    <w:name w:val="Subtitle"/>
    <w:basedOn w:val="1"/>
    <w:next w:val="1"/>
    <w:link w:val="65"/>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unhideWhenUsed/>
    <w:qFormat/>
    <w:uiPriority w:val="39"/>
    <w:pPr>
      <w:spacing w:line="312" w:lineRule="atLeast"/>
      <w:ind w:left="1050"/>
      <w:jc w:val="left"/>
    </w:pPr>
    <w:rPr>
      <w:rFonts w:ascii="Calibri" w:hAnsi="Calibri" w:cs="宋体"/>
      <w:color w:val="000000"/>
      <w:kern w:val="0"/>
      <w:sz w:val="18"/>
      <w:szCs w:val="18"/>
    </w:rPr>
  </w:style>
  <w:style w:type="paragraph" w:styleId="33">
    <w:name w:val="Body Text Indent 3"/>
    <w:basedOn w:val="1"/>
    <w:link w:val="66"/>
    <w:qFormat/>
    <w:uiPriority w:val="0"/>
    <w:pPr>
      <w:spacing w:line="460" w:lineRule="atLeast"/>
      <w:ind w:firstLine="570"/>
    </w:pPr>
    <w:rPr>
      <w:rFonts w:ascii="仿宋_GB2312" w:eastAsia="仿宋_GB2312"/>
      <w:bCs/>
      <w:spacing w:val="24"/>
      <w:sz w:val="23"/>
    </w:rPr>
  </w:style>
  <w:style w:type="paragraph" w:styleId="34">
    <w:name w:val="toc 2"/>
    <w:basedOn w:val="1"/>
    <w:next w:val="1"/>
    <w:qFormat/>
    <w:uiPriority w:val="39"/>
    <w:pPr>
      <w:spacing w:line="360" w:lineRule="auto"/>
      <w:ind w:left="420" w:leftChars="200" w:firstLine="280" w:firstLineChars="100"/>
    </w:pPr>
    <w:rPr>
      <w:rFonts w:cs="宋体"/>
      <w:snapToGrid w:val="0"/>
      <w:kern w:val="0"/>
      <w:sz w:val="24"/>
      <w:szCs w:val="32"/>
    </w:rPr>
  </w:style>
  <w:style w:type="paragraph" w:styleId="35">
    <w:name w:val="toc 9"/>
    <w:basedOn w:val="1"/>
    <w:next w:val="1"/>
    <w:unhideWhenUsed/>
    <w:qFormat/>
    <w:uiPriority w:val="39"/>
    <w:pPr>
      <w:spacing w:line="312" w:lineRule="atLeast"/>
      <w:ind w:left="1680"/>
      <w:jc w:val="left"/>
    </w:pPr>
    <w:rPr>
      <w:rFonts w:ascii="Calibri" w:hAnsi="Calibri" w:cs="宋体"/>
      <w:color w:val="000000"/>
      <w:kern w:val="0"/>
      <w:sz w:val="18"/>
      <w:szCs w:val="18"/>
    </w:rPr>
  </w:style>
  <w:style w:type="paragraph" w:styleId="36">
    <w:name w:val="Body Text 2"/>
    <w:basedOn w:val="1"/>
    <w:link w:val="67"/>
    <w:qFormat/>
    <w:uiPriority w:val="0"/>
    <w:rPr>
      <w:sz w:val="44"/>
    </w:rPr>
  </w:style>
  <w:style w:type="paragraph" w:styleId="37">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next w:val="1"/>
    <w:qFormat/>
    <w:uiPriority w:val="0"/>
    <w:pPr>
      <w:widowControl/>
      <w:spacing w:before="100" w:beforeAutospacing="1" w:after="100" w:afterAutospacing="1" w:line="440" w:lineRule="atLeast"/>
      <w:jc w:val="left"/>
    </w:pPr>
    <w:rPr>
      <w:rFonts w:ascii="宋体" w:hAnsi="宋体"/>
      <w:color w:val="000000"/>
      <w:kern w:val="0"/>
      <w:sz w:val="30"/>
      <w:szCs w:val="30"/>
    </w:rPr>
  </w:style>
  <w:style w:type="paragraph" w:styleId="39">
    <w:name w:val="Title"/>
    <w:basedOn w:val="1"/>
    <w:link w:val="69"/>
    <w:qFormat/>
    <w:uiPriority w:val="0"/>
    <w:pPr>
      <w:spacing w:before="120" w:after="60"/>
      <w:jc w:val="center"/>
    </w:pPr>
    <w:rPr>
      <w:rFonts w:ascii="Arial" w:hAnsi="Arial"/>
      <w:b/>
      <w:sz w:val="28"/>
    </w:rPr>
  </w:style>
  <w:style w:type="paragraph" w:styleId="40">
    <w:name w:val="annotation subject"/>
    <w:basedOn w:val="12"/>
    <w:next w:val="12"/>
    <w:link w:val="70"/>
    <w:qFormat/>
    <w:uiPriority w:val="0"/>
    <w:rPr>
      <w:b/>
      <w:bCs/>
    </w:rPr>
  </w:style>
  <w:style w:type="paragraph" w:styleId="41">
    <w:name w:val="Body Text First Indent"/>
    <w:basedOn w:val="15"/>
    <w:link w:val="71"/>
    <w:qFormat/>
    <w:uiPriority w:val="0"/>
    <w:pPr>
      <w:spacing w:after="120"/>
      <w:ind w:firstLine="420" w:firstLineChars="100"/>
    </w:pPr>
    <w:rPr>
      <w:rFonts w:ascii="Times New Roman" w:eastAsia="宋体"/>
      <w:sz w:val="21"/>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page number"/>
    <w:qFormat/>
    <w:uiPriority w:val="0"/>
  </w:style>
  <w:style w:type="character" w:styleId="47">
    <w:name w:val="FollowedHyperlink"/>
    <w:unhideWhenUsed/>
    <w:qFormat/>
    <w:uiPriority w:val="99"/>
    <w:rPr>
      <w:rFonts w:ascii="宋体" w:hAnsi="宋体" w:cs="宋体"/>
      <w:color w:val="800080"/>
      <w:kern w:val="2"/>
      <w:sz w:val="24"/>
      <w:szCs w:val="24"/>
      <w:u w:val="single"/>
    </w:rPr>
  </w:style>
  <w:style w:type="character" w:styleId="48">
    <w:name w:val="Emphasis"/>
    <w:qFormat/>
    <w:uiPriority w:val="0"/>
    <w:rPr>
      <w:color w:val="CC0000"/>
    </w:rPr>
  </w:style>
  <w:style w:type="character" w:styleId="49">
    <w:name w:val="Hyperlink"/>
    <w:qFormat/>
    <w:uiPriority w:val="99"/>
    <w:rPr>
      <w:color w:val="60737A"/>
      <w:u w:val="none"/>
    </w:rPr>
  </w:style>
  <w:style w:type="character" w:styleId="50">
    <w:name w:val="annotation reference"/>
    <w:qFormat/>
    <w:uiPriority w:val="99"/>
    <w:rPr>
      <w:sz w:val="21"/>
      <w:szCs w:val="21"/>
    </w:rPr>
  </w:style>
  <w:style w:type="character" w:customStyle="1" w:styleId="51">
    <w:name w:val="标题 1 字符"/>
    <w:link w:val="3"/>
    <w:qFormat/>
    <w:uiPriority w:val="0"/>
    <w:rPr>
      <w:rFonts w:ascii="Arial" w:hAnsi="Arial"/>
      <w:bCs/>
      <w:kern w:val="44"/>
      <w:sz w:val="44"/>
      <w:szCs w:val="44"/>
    </w:rPr>
  </w:style>
  <w:style w:type="character" w:customStyle="1" w:styleId="52">
    <w:name w:val="标题 2 字符"/>
    <w:link w:val="4"/>
    <w:qFormat/>
    <w:uiPriority w:val="0"/>
    <w:rPr>
      <w:rFonts w:ascii="Arial" w:hAnsi="Arial"/>
      <w:b/>
      <w:bCs/>
      <w:kern w:val="2"/>
      <w:sz w:val="28"/>
      <w:szCs w:val="32"/>
    </w:rPr>
  </w:style>
  <w:style w:type="character" w:customStyle="1" w:styleId="53">
    <w:name w:val="标题 5 字符"/>
    <w:link w:val="7"/>
    <w:qFormat/>
    <w:uiPriority w:val="0"/>
    <w:rPr>
      <w:b/>
      <w:bCs/>
      <w:kern w:val="2"/>
      <w:sz w:val="28"/>
      <w:szCs w:val="28"/>
    </w:rPr>
  </w:style>
  <w:style w:type="character" w:customStyle="1" w:styleId="54">
    <w:name w:val="文档结构图 字符"/>
    <w:link w:val="11"/>
    <w:qFormat/>
    <w:uiPriority w:val="0"/>
    <w:rPr>
      <w:kern w:val="2"/>
      <w:sz w:val="21"/>
      <w:szCs w:val="24"/>
      <w:shd w:val="clear" w:color="auto" w:fill="000080"/>
    </w:rPr>
  </w:style>
  <w:style w:type="character" w:customStyle="1" w:styleId="55">
    <w:name w:val="批注文字 字符"/>
    <w:link w:val="12"/>
    <w:qFormat/>
    <w:uiPriority w:val="99"/>
    <w:rPr>
      <w:kern w:val="2"/>
      <w:sz w:val="21"/>
      <w:szCs w:val="24"/>
    </w:rPr>
  </w:style>
  <w:style w:type="character" w:customStyle="1" w:styleId="56">
    <w:name w:val="正文文本 字符"/>
    <w:link w:val="15"/>
    <w:qFormat/>
    <w:uiPriority w:val="0"/>
    <w:rPr>
      <w:rFonts w:ascii="仿宋_GB2312" w:eastAsia="仿宋_GB2312"/>
      <w:kern w:val="2"/>
      <w:sz w:val="28"/>
      <w:szCs w:val="24"/>
    </w:rPr>
  </w:style>
  <w:style w:type="character" w:customStyle="1" w:styleId="57">
    <w:name w:val="正文文本缩进 字符"/>
    <w:link w:val="16"/>
    <w:qFormat/>
    <w:uiPriority w:val="0"/>
    <w:rPr>
      <w:rFonts w:ascii="仿宋_GB2312" w:eastAsia="仿宋_GB2312"/>
      <w:spacing w:val="7"/>
      <w:kern w:val="2"/>
      <w:sz w:val="23"/>
      <w:szCs w:val="24"/>
    </w:rPr>
  </w:style>
  <w:style w:type="character" w:customStyle="1" w:styleId="58">
    <w:name w:val="纯文本 字符"/>
    <w:link w:val="21"/>
    <w:qFormat/>
    <w:uiPriority w:val="0"/>
    <w:rPr>
      <w:rFonts w:ascii="宋体" w:hAnsi="Courier New" w:cs="Courier New"/>
      <w:kern w:val="2"/>
      <w:sz w:val="21"/>
      <w:szCs w:val="21"/>
    </w:rPr>
  </w:style>
  <w:style w:type="character" w:customStyle="1" w:styleId="59">
    <w:name w:val="日期 字符"/>
    <w:link w:val="23"/>
    <w:qFormat/>
    <w:uiPriority w:val="0"/>
    <w:rPr>
      <w:rFonts w:eastAsia="黑体"/>
      <w:kern w:val="2"/>
      <w:sz w:val="28"/>
    </w:rPr>
  </w:style>
  <w:style w:type="character" w:customStyle="1" w:styleId="60">
    <w:name w:val="正文文本缩进 2 字符"/>
    <w:link w:val="24"/>
    <w:qFormat/>
    <w:uiPriority w:val="0"/>
    <w:rPr>
      <w:rFonts w:ascii="仿宋_GB2312" w:eastAsia="仿宋_GB2312"/>
      <w:spacing w:val="5"/>
      <w:kern w:val="2"/>
      <w:sz w:val="23"/>
      <w:szCs w:val="24"/>
    </w:rPr>
  </w:style>
  <w:style w:type="character" w:customStyle="1" w:styleId="61">
    <w:name w:val="尾注文本 字符"/>
    <w:link w:val="25"/>
    <w:qFormat/>
    <w:uiPriority w:val="0"/>
    <w:rPr>
      <w:szCs w:val="24"/>
    </w:rPr>
  </w:style>
  <w:style w:type="character" w:customStyle="1" w:styleId="62">
    <w:name w:val="批注框文本 字符"/>
    <w:link w:val="26"/>
    <w:qFormat/>
    <w:uiPriority w:val="0"/>
    <w:rPr>
      <w:kern w:val="2"/>
      <w:sz w:val="18"/>
      <w:szCs w:val="18"/>
    </w:rPr>
  </w:style>
  <w:style w:type="character" w:customStyle="1" w:styleId="63">
    <w:name w:val="页脚 字符1"/>
    <w:link w:val="27"/>
    <w:qFormat/>
    <w:uiPriority w:val="99"/>
    <w:rPr>
      <w:kern w:val="2"/>
      <w:sz w:val="18"/>
      <w:szCs w:val="18"/>
    </w:rPr>
  </w:style>
  <w:style w:type="character" w:customStyle="1" w:styleId="64">
    <w:name w:val="页眉 字符"/>
    <w:link w:val="28"/>
    <w:qFormat/>
    <w:uiPriority w:val="0"/>
    <w:rPr>
      <w:kern w:val="2"/>
      <w:sz w:val="18"/>
      <w:szCs w:val="18"/>
    </w:rPr>
  </w:style>
  <w:style w:type="character" w:customStyle="1" w:styleId="65">
    <w:name w:val="副标题 字符"/>
    <w:link w:val="31"/>
    <w:qFormat/>
    <w:uiPriority w:val="0"/>
    <w:rPr>
      <w:rFonts w:ascii="Cambria" w:hAnsi="Cambria" w:cs="宋体"/>
      <w:b/>
      <w:bCs/>
      <w:kern w:val="28"/>
      <w:sz w:val="32"/>
      <w:szCs w:val="32"/>
    </w:rPr>
  </w:style>
  <w:style w:type="character" w:customStyle="1" w:styleId="66">
    <w:name w:val="正文文本缩进 3 字符"/>
    <w:link w:val="33"/>
    <w:qFormat/>
    <w:uiPriority w:val="0"/>
    <w:rPr>
      <w:rFonts w:ascii="仿宋_GB2312" w:eastAsia="仿宋_GB2312"/>
      <w:bCs/>
      <w:spacing w:val="24"/>
      <w:kern w:val="2"/>
      <w:sz w:val="23"/>
      <w:szCs w:val="24"/>
    </w:rPr>
  </w:style>
  <w:style w:type="character" w:customStyle="1" w:styleId="67">
    <w:name w:val="正文文本 2 字符"/>
    <w:link w:val="36"/>
    <w:qFormat/>
    <w:uiPriority w:val="0"/>
    <w:rPr>
      <w:kern w:val="2"/>
      <w:sz w:val="44"/>
      <w:szCs w:val="24"/>
    </w:rPr>
  </w:style>
  <w:style w:type="character" w:customStyle="1" w:styleId="68">
    <w:name w:val="HTML 预设格式 字符"/>
    <w:link w:val="37"/>
    <w:qFormat/>
    <w:uiPriority w:val="99"/>
    <w:rPr>
      <w:rFonts w:ascii="宋体" w:hAnsi="宋体" w:cs="宋体"/>
      <w:sz w:val="24"/>
      <w:szCs w:val="24"/>
    </w:rPr>
  </w:style>
  <w:style w:type="character" w:customStyle="1" w:styleId="69">
    <w:name w:val="标题 字符"/>
    <w:link w:val="39"/>
    <w:qFormat/>
    <w:uiPriority w:val="0"/>
    <w:rPr>
      <w:rFonts w:ascii="Arial" w:hAnsi="Arial"/>
      <w:b/>
      <w:kern w:val="2"/>
      <w:sz w:val="28"/>
      <w:szCs w:val="24"/>
    </w:rPr>
  </w:style>
  <w:style w:type="character" w:customStyle="1" w:styleId="70">
    <w:name w:val="批注主题 字符"/>
    <w:link w:val="40"/>
    <w:qFormat/>
    <w:uiPriority w:val="0"/>
    <w:rPr>
      <w:b/>
      <w:bCs/>
      <w:kern w:val="2"/>
      <w:sz w:val="21"/>
      <w:szCs w:val="24"/>
    </w:rPr>
  </w:style>
  <w:style w:type="character" w:customStyle="1" w:styleId="71">
    <w:name w:val="正文文本首行缩进 字符"/>
    <w:link w:val="41"/>
    <w:qFormat/>
    <w:uiPriority w:val="0"/>
    <w:rPr>
      <w:rFonts w:eastAsia="宋体"/>
      <w:kern w:val="2"/>
      <w:sz w:val="21"/>
      <w:szCs w:val="24"/>
      <w:lang w:val="en-US" w:eastAsia="zh-CN" w:bidi="ar-SA"/>
    </w:rPr>
  </w:style>
  <w:style w:type="character" w:customStyle="1" w:styleId="72">
    <w:name w:val="标题 4 Char"/>
    <w:qFormat/>
    <w:uiPriority w:val="0"/>
    <w:rPr>
      <w:rFonts w:ascii="Cambria" w:hAnsi="Cambria" w:eastAsia="宋体" w:cs="Times New Roman"/>
      <w:b/>
      <w:sz w:val="28"/>
      <w:szCs w:val="28"/>
    </w:rPr>
  </w:style>
  <w:style w:type="character" w:customStyle="1" w:styleId="73">
    <w:name w:val="标题 2 Char"/>
    <w:qFormat/>
    <w:uiPriority w:val="0"/>
    <w:rPr>
      <w:rFonts w:ascii="Arial" w:hAnsi="Arial" w:eastAsia="黑体"/>
      <w:b/>
      <w:sz w:val="32"/>
    </w:rPr>
  </w:style>
  <w:style w:type="character" w:customStyle="1" w:styleId="74">
    <w:name w:val="日期 Char1"/>
    <w:semiHidden/>
    <w:qFormat/>
    <w:uiPriority w:val="99"/>
    <w:rPr>
      <w:rFonts w:ascii="Times New Roman" w:hAnsi="Times New Roman" w:eastAsia="宋体" w:cs="Times New Roman"/>
      <w:kern w:val="0"/>
      <w:sz w:val="24"/>
      <w:szCs w:val="24"/>
      <w:lang w:eastAsia="en-US"/>
    </w:rPr>
  </w:style>
  <w:style w:type="character" w:customStyle="1" w:styleId="75">
    <w:name w:val="Char Char10"/>
    <w:qFormat/>
    <w:uiPriority w:val="0"/>
    <w:rPr>
      <w:rFonts w:hint="eastAsia" w:ascii="宋体" w:hAnsi="Courier New" w:eastAsia="宋体"/>
      <w:kern w:val="2"/>
      <w:sz w:val="24"/>
      <w:szCs w:val="24"/>
      <w:lang w:val="en-US" w:eastAsia="zh-CN" w:bidi="ar-SA"/>
    </w:rPr>
  </w:style>
  <w:style w:type="character" w:customStyle="1" w:styleId="76">
    <w:name w:val="标题3下的文字 Char"/>
    <w:link w:val="77"/>
    <w:qFormat/>
    <w:uiPriority w:val="0"/>
    <w:rPr>
      <w:sz w:val="24"/>
      <w:szCs w:val="22"/>
      <w:lang w:val="en-US" w:eastAsia="zh-CN" w:bidi="ar-SA"/>
    </w:rPr>
  </w:style>
  <w:style w:type="paragraph" w:customStyle="1" w:styleId="77">
    <w:name w:val="标题3下的文字"/>
    <w:link w:val="76"/>
    <w:qFormat/>
    <w:uiPriority w:val="0"/>
    <w:pPr>
      <w:widowControl w:val="0"/>
      <w:adjustRightInd w:val="0"/>
      <w:snapToGrid w:val="0"/>
      <w:spacing w:line="312" w:lineRule="auto"/>
      <w:ind w:left="200" w:leftChars="200" w:firstLine="200" w:firstLineChars="200"/>
      <w:jc w:val="both"/>
    </w:pPr>
    <w:rPr>
      <w:rFonts w:ascii="Times New Roman" w:hAnsi="Times New Roman" w:eastAsia="宋体" w:cs="Times New Roman"/>
      <w:sz w:val="24"/>
      <w:szCs w:val="22"/>
      <w:lang w:val="en-US" w:eastAsia="zh-CN" w:bidi="ar-SA"/>
    </w:rPr>
  </w:style>
  <w:style w:type="character" w:customStyle="1" w:styleId="78">
    <w:name w:val="批注文字 Char1"/>
    <w:qFormat/>
    <w:uiPriority w:val="0"/>
    <w:rPr>
      <w:kern w:val="2"/>
      <w:sz w:val="21"/>
      <w:szCs w:val="24"/>
    </w:rPr>
  </w:style>
  <w:style w:type="character" w:customStyle="1" w:styleId="79">
    <w:name w:val="标题 Char1"/>
    <w:qFormat/>
    <w:uiPriority w:val="0"/>
    <w:rPr>
      <w:rFonts w:ascii="Cambria" w:hAnsi="Cambria" w:cs="Times New Roman"/>
      <w:b/>
      <w:bCs/>
      <w:color w:val="000000"/>
      <w:sz w:val="32"/>
      <w:szCs w:val="32"/>
    </w:rPr>
  </w:style>
  <w:style w:type="character" w:customStyle="1" w:styleId="80">
    <w:name w:val="样式 标题 3  1、Heading 3 - old子系统h33rd level3H3章标题1三级标题l3CT... Char"/>
    <w:qFormat/>
    <w:uiPriority w:val="0"/>
    <w:rPr>
      <w:b/>
      <w:color w:val="000000"/>
      <w:sz w:val="32"/>
      <w:szCs w:val="32"/>
    </w:rPr>
  </w:style>
  <w:style w:type="character" w:customStyle="1" w:styleId="81">
    <w:name w:val="副标题 Char1"/>
    <w:qFormat/>
    <w:uiPriority w:val="0"/>
    <w:rPr>
      <w:rFonts w:ascii="Cambria" w:hAnsi="Cambria" w:cs="Times New Roman"/>
      <w:b/>
      <w:bCs/>
      <w:color w:val="000000"/>
      <w:kern w:val="28"/>
      <w:sz w:val="32"/>
      <w:szCs w:val="32"/>
    </w:rPr>
  </w:style>
  <w:style w:type="character" w:customStyle="1" w:styleId="82">
    <w:name w:val="批注框文本 Char1"/>
    <w:qFormat/>
    <w:uiPriority w:val="99"/>
    <w:rPr>
      <w:kern w:val="2"/>
      <w:sz w:val="18"/>
      <w:szCs w:val="18"/>
    </w:rPr>
  </w:style>
  <w:style w:type="character" w:customStyle="1" w:styleId="83">
    <w:name w:val="正文首行缩进 Char1"/>
    <w:semiHidden/>
    <w:qFormat/>
    <w:uiPriority w:val="99"/>
    <w:rPr>
      <w:rFonts w:ascii="Times New Roman" w:hAnsi="Times New Roman"/>
      <w:kern w:val="2"/>
      <w:sz w:val="21"/>
      <w:szCs w:val="24"/>
    </w:rPr>
  </w:style>
  <w:style w:type="character" w:customStyle="1" w:styleId="84">
    <w:name w:val="apple-converted-space"/>
    <w:qFormat/>
    <w:uiPriority w:val="0"/>
    <w:rPr>
      <w:rFonts w:ascii="宋体" w:hAnsi="宋体" w:cs="宋体"/>
      <w:kern w:val="2"/>
      <w:sz w:val="24"/>
      <w:szCs w:val="24"/>
    </w:rPr>
  </w:style>
  <w:style w:type="character" w:customStyle="1" w:styleId="85">
    <w:name w:val="HTML 预设格式 Char1"/>
    <w:qFormat/>
    <w:uiPriority w:val="0"/>
    <w:rPr>
      <w:rFonts w:ascii="Courier New" w:hAnsi="Courier New" w:cs="Courier New"/>
      <w:kern w:val="2"/>
    </w:rPr>
  </w:style>
  <w:style w:type="character" w:customStyle="1" w:styleId="86">
    <w:name w:val="副标题 Char2"/>
    <w:qFormat/>
    <w:uiPriority w:val="0"/>
    <w:rPr>
      <w:rFonts w:ascii="Cambria" w:hAnsi="Cambria" w:cs="Times New Roman"/>
      <w:b/>
      <w:bCs/>
      <w:kern w:val="28"/>
      <w:sz w:val="32"/>
      <w:szCs w:val="32"/>
    </w:rPr>
  </w:style>
  <w:style w:type="character" w:customStyle="1" w:styleId="87">
    <w:name w:val="尾注文本 Char2"/>
    <w:qFormat/>
    <w:uiPriority w:val="0"/>
    <w:rPr>
      <w:kern w:val="2"/>
      <w:sz w:val="21"/>
      <w:szCs w:val="24"/>
    </w:rPr>
  </w:style>
  <w:style w:type="character" w:customStyle="1" w:styleId="88">
    <w:name w:val="正文文本 Char"/>
    <w:qFormat/>
    <w:uiPriority w:val="0"/>
    <w:rPr>
      <w:rFonts w:ascii="Times New Roman" w:hAnsi="Times New Roman" w:eastAsia="宋体" w:cs="Times New Roman"/>
      <w:szCs w:val="24"/>
    </w:rPr>
  </w:style>
  <w:style w:type="character" w:customStyle="1" w:styleId="89">
    <w:name w:val="2级标题 Char"/>
    <w:link w:val="90"/>
    <w:qFormat/>
    <w:uiPriority w:val="0"/>
    <w:rPr>
      <w:rFonts w:ascii="黑体" w:hAnsi="黑体" w:eastAsia="黑体"/>
      <w:color w:val="0070C0"/>
      <w:sz w:val="30"/>
      <w:szCs w:val="32"/>
      <w:lang w:val="zh-CN" w:eastAsia="zh-CN" w:bidi="ar-SA"/>
    </w:rPr>
  </w:style>
  <w:style w:type="paragraph" w:customStyle="1" w:styleId="90">
    <w:name w:val="2级标题"/>
    <w:basedOn w:val="4"/>
    <w:link w:val="89"/>
    <w:qFormat/>
    <w:uiPriority w:val="0"/>
    <w:pPr>
      <w:keepNext w:val="0"/>
      <w:keepLines w:val="0"/>
      <w:tabs>
        <w:tab w:val="left" w:pos="747"/>
      </w:tabs>
      <w:spacing w:before="0" w:after="0" w:line="360" w:lineRule="auto"/>
      <w:ind w:left="1185" w:hanging="1185"/>
      <w:jc w:val="left"/>
    </w:pPr>
    <w:rPr>
      <w:rFonts w:ascii="黑体" w:hAnsi="黑体" w:eastAsia="黑体"/>
      <w:b w:val="0"/>
      <w:bCs w:val="0"/>
      <w:color w:val="0070C0"/>
      <w:kern w:val="0"/>
      <w:sz w:val="30"/>
      <w:lang w:val="zh-CN"/>
    </w:rPr>
  </w:style>
  <w:style w:type="character" w:customStyle="1" w:styleId="91">
    <w:name w:val="1级标题 Char"/>
    <w:link w:val="92"/>
    <w:qFormat/>
    <w:uiPriority w:val="0"/>
    <w:rPr>
      <w:rFonts w:ascii="黑体" w:hAnsi="黑体"/>
      <w:b/>
      <w:color w:val="000000"/>
      <w:sz w:val="28"/>
      <w:szCs w:val="32"/>
      <w:lang w:val="zh-CN"/>
    </w:rPr>
  </w:style>
  <w:style w:type="paragraph" w:customStyle="1" w:styleId="92">
    <w:name w:val="1级标题"/>
    <w:basedOn w:val="93"/>
    <w:link w:val="91"/>
    <w:qFormat/>
    <w:uiPriority w:val="0"/>
    <w:pPr>
      <w:tabs>
        <w:tab w:val="left" w:pos="360"/>
      </w:tabs>
      <w:spacing w:before="156" w:after="156" w:line="360" w:lineRule="auto"/>
      <w:ind w:left="885" w:hanging="885"/>
      <w:jc w:val="center"/>
      <w:outlineLvl w:val="0"/>
    </w:pPr>
    <w:rPr>
      <w:rFonts w:ascii="黑体" w:hAnsi="黑体"/>
      <w:b/>
      <w:sz w:val="28"/>
      <w:szCs w:val="32"/>
      <w:lang w:val="zh-CN"/>
    </w:rPr>
  </w:style>
  <w:style w:type="paragraph" w:styleId="93">
    <w:name w:val="List Paragraph"/>
    <w:basedOn w:val="1"/>
    <w:qFormat/>
    <w:uiPriority w:val="0"/>
    <w:pPr>
      <w:spacing w:line="312" w:lineRule="atLeast"/>
      <w:ind w:firstLine="420"/>
    </w:pPr>
    <w:rPr>
      <w:color w:val="000000"/>
      <w:kern w:val="0"/>
      <w:szCs w:val="20"/>
    </w:rPr>
  </w:style>
  <w:style w:type="character" w:customStyle="1" w:styleId="94">
    <w:name w:val="文一 Char Char"/>
    <w:qFormat/>
    <w:uiPriority w:val="0"/>
    <w:rPr>
      <w:snapToGrid/>
      <w:spacing w:val="4"/>
      <w:sz w:val="24"/>
      <w:szCs w:val="24"/>
    </w:rPr>
  </w:style>
  <w:style w:type="character" w:customStyle="1" w:styleId="95">
    <w:name w:val="批注框文本 Char2"/>
    <w:semiHidden/>
    <w:qFormat/>
    <w:uiPriority w:val="99"/>
    <w:rPr>
      <w:rFonts w:ascii="Times New Roman" w:hAnsi="Times New Roman" w:eastAsia="宋体" w:cs="Times New Roman"/>
      <w:kern w:val="0"/>
      <w:sz w:val="18"/>
      <w:szCs w:val="18"/>
      <w:lang w:eastAsia="en-US"/>
    </w:rPr>
  </w:style>
  <w:style w:type="character" w:customStyle="1" w:styleId="96">
    <w:name w:val="章节一 Char"/>
    <w:uiPriority w:val="0"/>
    <w:rPr>
      <w:rFonts w:ascii="Verdana" w:hAnsi="Verdana" w:eastAsia="黑体"/>
      <w:b/>
      <w:i/>
      <w:iCs/>
      <w:snapToGrid w:val="0"/>
      <w:color w:val="000000"/>
      <w:spacing w:val="4"/>
      <w:kern w:val="0"/>
      <w:sz w:val="36"/>
      <w:szCs w:val="36"/>
      <w:lang w:val="en-US" w:eastAsia="zh-CN" w:bidi="ar-SA"/>
    </w:rPr>
  </w:style>
  <w:style w:type="character" w:customStyle="1" w:styleId="97">
    <w:name w:val="ggbt1"/>
    <w:qFormat/>
    <w:uiPriority w:val="0"/>
    <w:rPr>
      <w:b/>
      <w:bCs/>
      <w:sz w:val="28"/>
      <w:szCs w:val="28"/>
    </w:rPr>
  </w:style>
  <w:style w:type="character" w:customStyle="1" w:styleId="98">
    <w:name w:val="页脚 Char1"/>
    <w:semiHidden/>
    <w:qFormat/>
    <w:uiPriority w:val="99"/>
    <w:rPr>
      <w:rFonts w:ascii="Times New Roman" w:hAnsi="Times New Roman" w:eastAsia="宋体" w:cs="Times New Roman"/>
      <w:kern w:val="0"/>
      <w:sz w:val="18"/>
      <w:szCs w:val="18"/>
      <w:lang w:eastAsia="en-US"/>
    </w:rPr>
  </w:style>
  <w:style w:type="character" w:customStyle="1" w:styleId="99">
    <w:name w:val="标题 3 Char"/>
    <w:qFormat/>
    <w:uiPriority w:val="0"/>
    <w:rPr>
      <w:rFonts w:eastAsia="宋体"/>
      <w:b/>
      <w:kern w:val="1"/>
      <w:sz w:val="32"/>
      <w:szCs w:val="32"/>
      <w:lang w:val="en-US" w:eastAsia="zh-CN" w:bidi="ar-SA"/>
    </w:rPr>
  </w:style>
  <w:style w:type="character" w:customStyle="1" w:styleId="100">
    <w:name w:val="NormalCharacter"/>
    <w:qFormat/>
    <w:uiPriority w:val="0"/>
    <w:rPr>
      <w:kern w:val="2"/>
      <w:sz w:val="21"/>
      <w:szCs w:val="24"/>
      <w:lang w:val="en-US" w:eastAsia="zh-CN" w:bidi="ar-SA"/>
    </w:rPr>
  </w:style>
  <w:style w:type="character" w:customStyle="1" w:styleId="101">
    <w:name w:val="HTML Markup"/>
    <w:qFormat/>
    <w:uiPriority w:val="0"/>
    <w:rPr>
      <w:vanish/>
      <w:color w:val="FF0000"/>
    </w:rPr>
  </w:style>
  <w:style w:type="character" w:customStyle="1" w:styleId="102">
    <w:name w:val="Char Char101"/>
    <w:qFormat/>
    <w:uiPriority w:val="0"/>
    <w:rPr>
      <w:rFonts w:ascii="宋体" w:hAnsi="Courier New" w:eastAsia="宋体"/>
      <w:kern w:val="2"/>
      <w:sz w:val="24"/>
      <w:szCs w:val="24"/>
      <w:lang w:val="en-US" w:eastAsia="zh-CN" w:bidi="ar-SA"/>
    </w:rPr>
  </w:style>
  <w:style w:type="character" w:customStyle="1" w:styleId="103">
    <w:name w:val="普通(网站) Char"/>
    <w:qFormat/>
    <w:uiPriority w:val="0"/>
  </w:style>
  <w:style w:type="character" w:customStyle="1" w:styleId="104">
    <w:name w:val="样式 仿宋_GB2312 四号"/>
    <w:qFormat/>
    <w:uiPriority w:val="0"/>
    <w:rPr>
      <w:rFonts w:ascii="仿宋_GB2312" w:hAnsi="仿宋_GB2312" w:eastAsia="华文仿宋" w:cs="宋体"/>
      <w:kern w:val="2"/>
      <w:sz w:val="28"/>
      <w:szCs w:val="24"/>
    </w:rPr>
  </w:style>
  <w:style w:type="character" w:customStyle="1" w:styleId="105">
    <w:name w:val="Char Char14"/>
    <w:qFormat/>
    <w:uiPriority w:val="0"/>
    <w:rPr>
      <w:rFonts w:eastAsia="宋体"/>
      <w:kern w:val="2"/>
      <w:sz w:val="21"/>
      <w:szCs w:val="24"/>
      <w:lang w:val="en-US" w:eastAsia="zh-CN" w:bidi="ar-SA"/>
    </w:rPr>
  </w:style>
  <w:style w:type="character" w:customStyle="1" w:styleId="106">
    <w:name w:val="纯文本 Char1"/>
    <w:uiPriority w:val="0"/>
    <w:rPr>
      <w:rFonts w:ascii="宋体" w:hAnsi="Courier New" w:eastAsia="宋体" w:cs="Courier New"/>
      <w:kern w:val="0"/>
      <w:szCs w:val="21"/>
      <w:lang w:eastAsia="en-US"/>
    </w:rPr>
  </w:style>
  <w:style w:type="character" w:customStyle="1" w:styleId="107">
    <w:name w:val="样式 正文缩进表正文正文非缩进特点上海中望标准正文（首行缩进两字）文字正文（首行缩进两字） Char正文（首行缩进...1 Char"/>
    <w:link w:val="108"/>
    <w:uiPriority w:val="0"/>
    <w:rPr>
      <w:rFonts w:ascii="华文仿宋" w:hAnsi="华文仿宋" w:eastAsia="华文仿宋" w:cs="宋体"/>
      <w:kern w:val="2"/>
      <w:sz w:val="28"/>
      <w:szCs w:val="24"/>
    </w:rPr>
  </w:style>
  <w:style w:type="paragraph" w:customStyle="1" w:styleId="108">
    <w:name w:val="样式 正文缩进表正文正文非缩进特点上海中望标准正文（首行缩进两字）文字正文（首行缩进两字） Char正文（首行缩进...1"/>
    <w:basedOn w:val="2"/>
    <w:link w:val="107"/>
    <w:uiPriority w:val="0"/>
    <w:pPr>
      <w:adjustRightInd w:val="0"/>
      <w:snapToGrid w:val="0"/>
      <w:spacing w:line="360" w:lineRule="auto"/>
      <w:ind w:firstLine="560" w:firstLineChars="200"/>
    </w:pPr>
    <w:rPr>
      <w:rFonts w:ascii="华文仿宋" w:hAnsi="华文仿宋" w:eastAsia="华文仿宋"/>
      <w:sz w:val="28"/>
      <w:szCs w:val="24"/>
    </w:rPr>
  </w:style>
  <w:style w:type="character" w:customStyle="1" w:styleId="109">
    <w:name w:val="批注主题 Char1"/>
    <w:semiHidden/>
    <w:qFormat/>
    <w:uiPriority w:val="99"/>
    <w:rPr>
      <w:rFonts w:ascii="Times New Roman" w:hAnsi="Times New Roman" w:eastAsia="宋体" w:cs="Times New Roman"/>
      <w:b/>
      <w:bCs/>
      <w:kern w:val="0"/>
      <w:sz w:val="24"/>
      <w:szCs w:val="24"/>
      <w:lang w:eastAsia="en-US"/>
    </w:rPr>
  </w:style>
  <w:style w:type="character" w:customStyle="1" w:styleId="110">
    <w:name w:val="页脚 字符"/>
    <w:qFormat/>
    <w:uiPriority w:val="99"/>
  </w:style>
  <w:style w:type="character" w:customStyle="1" w:styleId="111">
    <w:name w:val="正文文本 3 Char"/>
    <w:qFormat/>
    <w:uiPriority w:val="0"/>
    <w:rPr>
      <w:sz w:val="16"/>
      <w:szCs w:val="16"/>
    </w:rPr>
  </w:style>
  <w:style w:type="character" w:customStyle="1" w:styleId="112">
    <w:name w:val="正文编号 Char"/>
    <w:link w:val="113"/>
    <w:qFormat/>
    <w:uiPriority w:val="0"/>
    <w:rPr>
      <w:rFonts w:ascii="宋体" w:hAnsi="宋体" w:eastAsia="宋体"/>
      <w:kern w:val="2"/>
      <w:sz w:val="24"/>
      <w:szCs w:val="24"/>
      <w:lang w:val="en-US" w:eastAsia="zh-CN" w:bidi="ar-SA"/>
    </w:rPr>
  </w:style>
  <w:style w:type="paragraph" w:customStyle="1" w:styleId="113">
    <w:name w:val="正文编号"/>
    <w:basedOn w:val="114"/>
    <w:link w:val="112"/>
    <w:qFormat/>
    <w:uiPriority w:val="0"/>
    <w:pPr>
      <w:widowControl/>
      <w:tabs>
        <w:tab w:val="left" w:pos="567"/>
      </w:tabs>
      <w:snapToGrid w:val="0"/>
      <w:spacing w:before="163" w:beforeLines="50" w:after="163" w:afterLines="50" w:line="288" w:lineRule="auto"/>
      <w:ind w:left="567" w:hanging="567"/>
      <w:jc w:val="left"/>
    </w:pPr>
    <w:rPr>
      <w:rFonts w:ascii="宋体" w:hAnsi="宋体"/>
      <w:color w:val="auto"/>
      <w:kern w:val="2"/>
      <w:sz w:val="24"/>
      <w:szCs w:val="24"/>
    </w:rPr>
  </w:style>
  <w:style w:type="paragraph" w:customStyle="1" w:styleId="114">
    <w:name w:val="_Style 7"/>
    <w:basedOn w:val="1"/>
    <w:qFormat/>
    <w:uiPriority w:val="0"/>
    <w:pPr>
      <w:spacing w:line="312" w:lineRule="atLeast"/>
      <w:ind w:firstLine="420"/>
    </w:pPr>
    <w:rPr>
      <w:color w:val="000000"/>
      <w:kern w:val="0"/>
      <w:szCs w:val="20"/>
    </w:rPr>
  </w:style>
  <w:style w:type="character" w:customStyle="1" w:styleId="115">
    <w:name w:val="标题1"/>
    <w:qFormat/>
    <w:uiPriority w:val="0"/>
    <w:rPr>
      <w:rFonts w:ascii="宋体" w:hAnsi="宋体" w:cs="宋体"/>
      <w:kern w:val="2"/>
      <w:sz w:val="24"/>
      <w:szCs w:val="24"/>
    </w:rPr>
  </w:style>
  <w:style w:type="character" w:customStyle="1" w:styleId="116">
    <w:name w:val="正文文本 2 Char1"/>
    <w:semiHidden/>
    <w:qFormat/>
    <w:uiPriority w:val="99"/>
    <w:rPr>
      <w:rFonts w:ascii="Times New Roman" w:hAnsi="Times New Roman" w:eastAsia="宋体" w:cs="Times New Roman"/>
      <w:kern w:val="0"/>
      <w:sz w:val="24"/>
      <w:szCs w:val="24"/>
      <w:lang w:eastAsia="en-US"/>
    </w:rPr>
  </w:style>
  <w:style w:type="character" w:customStyle="1" w:styleId="117">
    <w:name w:val="正文 1 Char1"/>
    <w:link w:val="118"/>
    <w:qFormat/>
    <w:uiPriority w:val="0"/>
    <w:rPr>
      <w:rFonts w:ascii="宋体" w:hAnsi="宋体" w:cs="宋体"/>
      <w:color w:val="000000"/>
      <w:sz w:val="24"/>
      <w:lang w:val="zh-CN"/>
    </w:rPr>
  </w:style>
  <w:style w:type="paragraph" w:customStyle="1" w:styleId="118">
    <w:name w:val="正文 1"/>
    <w:basedOn w:val="1"/>
    <w:link w:val="117"/>
    <w:qFormat/>
    <w:uiPriority w:val="0"/>
    <w:pPr>
      <w:spacing w:line="360" w:lineRule="auto"/>
      <w:ind w:left="350" w:firstLine="200"/>
    </w:pPr>
    <w:rPr>
      <w:rFonts w:ascii="宋体" w:hAnsi="宋体"/>
      <w:color w:val="000000"/>
      <w:kern w:val="0"/>
      <w:sz w:val="24"/>
      <w:szCs w:val="20"/>
      <w:lang w:val="zh-CN"/>
    </w:rPr>
  </w:style>
  <w:style w:type="character" w:customStyle="1" w:styleId="119">
    <w:name w:val="章节二 Char"/>
    <w:qFormat/>
    <w:uiPriority w:val="0"/>
    <w:rPr>
      <w:rFonts w:ascii="Verdana" w:hAnsi="Verdana" w:eastAsia="黑体"/>
      <w:b/>
      <w:i/>
      <w:iCs/>
      <w:snapToGrid w:val="0"/>
      <w:color w:val="000000"/>
      <w:spacing w:val="4"/>
      <w:kern w:val="0"/>
      <w:sz w:val="30"/>
      <w:szCs w:val="30"/>
      <w:lang w:val="en-US" w:eastAsia="zh-CN" w:bidi="ar-SA"/>
    </w:rPr>
  </w:style>
  <w:style w:type="character" w:customStyle="1" w:styleId="120">
    <w:name w:val="文档结构图 Char1"/>
    <w:semiHidden/>
    <w:uiPriority w:val="99"/>
    <w:rPr>
      <w:rFonts w:ascii="Microsoft YaHei UI" w:hAnsi="Times New Roman" w:eastAsia="Microsoft YaHei UI" w:cs="Times New Roman"/>
      <w:kern w:val="0"/>
      <w:sz w:val="18"/>
      <w:szCs w:val="18"/>
      <w:lang w:eastAsia="en-US"/>
    </w:rPr>
  </w:style>
  <w:style w:type="character" w:customStyle="1" w:styleId="121">
    <w:name w:val="article"/>
    <w:qFormat/>
    <w:uiPriority w:val="0"/>
  </w:style>
  <w:style w:type="character" w:customStyle="1" w:styleId="122">
    <w:name w:val="Char Char12"/>
    <w:qFormat/>
    <w:uiPriority w:val="0"/>
    <w:rPr>
      <w:rFonts w:eastAsia="宋体"/>
      <w:kern w:val="2"/>
      <w:sz w:val="18"/>
      <w:szCs w:val="18"/>
      <w:lang w:val="en-US" w:eastAsia="zh-CN" w:bidi="ar-SA"/>
    </w:rPr>
  </w:style>
  <w:style w:type="character" w:customStyle="1" w:styleId="123">
    <w:name w:val="文一 Char"/>
    <w:link w:val="124"/>
    <w:qFormat/>
    <w:uiPriority w:val="0"/>
    <w:rPr>
      <w:snapToGrid w:val="0"/>
      <w:spacing w:val="4"/>
      <w:sz w:val="24"/>
      <w:szCs w:val="24"/>
    </w:rPr>
  </w:style>
  <w:style w:type="paragraph" w:customStyle="1" w:styleId="124">
    <w:name w:val="文一"/>
    <w:basedOn w:val="1"/>
    <w:link w:val="123"/>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25">
    <w:name w:val="UserStyle_0"/>
    <w:link w:val="126"/>
    <w:qFormat/>
    <w:uiPriority w:val="0"/>
    <w:rPr>
      <w:sz w:val="24"/>
      <w:szCs w:val="22"/>
      <w:lang w:val="en-US" w:eastAsia="zh-CN" w:bidi="ar-SA"/>
    </w:rPr>
  </w:style>
  <w:style w:type="paragraph" w:customStyle="1" w:styleId="126">
    <w:name w:val="UserStyle_1"/>
    <w:link w:val="125"/>
    <w:qFormat/>
    <w:uiPriority w:val="0"/>
    <w:pPr>
      <w:snapToGrid w:val="0"/>
      <w:spacing w:line="312" w:lineRule="auto"/>
      <w:ind w:left="200" w:leftChars="200" w:firstLine="200" w:firstLineChars="200"/>
      <w:jc w:val="both"/>
      <w:textAlignment w:val="baseline"/>
    </w:pPr>
    <w:rPr>
      <w:rFonts w:ascii="Times New Roman" w:hAnsi="Times New Roman" w:eastAsia="宋体" w:cs="Times New Roman"/>
      <w:sz w:val="24"/>
      <w:szCs w:val="22"/>
      <w:lang w:val="en-US" w:eastAsia="zh-CN" w:bidi="ar-SA"/>
    </w:rPr>
  </w:style>
  <w:style w:type="character" w:customStyle="1" w:styleId="127">
    <w:name w:val="正文文本缩进 2 Char1"/>
    <w:semiHidden/>
    <w:qFormat/>
    <w:uiPriority w:val="99"/>
    <w:rPr>
      <w:rFonts w:ascii="Times New Roman" w:hAnsi="Times New Roman" w:eastAsia="宋体" w:cs="Times New Roman"/>
      <w:kern w:val="0"/>
      <w:sz w:val="24"/>
      <w:szCs w:val="24"/>
      <w:lang w:eastAsia="en-US"/>
    </w:rPr>
  </w:style>
  <w:style w:type="character" w:customStyle="1" w:styleId="128">
    <w:name w:val="页眉 Char1"/>
    <w:semiHidden/>
    <w:uiPriority w:val="99"/>
    <w:rPr>
      <w:rFonts w:ascii="Times New Roman" w:hAnsi="Times New Roman" w:eastAsia="宋体" w:cs="Times New Roman"/>
      <w:kern w:val="0"/>
      <w:sz w:val="18"/>
      <w:szCs w:val="18"/>
      <w:lang w:eastAsia="en-US"/>
    </w:rPr>
  </w:style>
  <w:style w:type="character" w:customStyle="1" w:styleId="129">
    <w:name w:val="Hyperlink.0"/>
    <w:qFormat/>
    <w:uiPriority w:val="0"/>
    <w:rPr>
      <w:color w:val="000000"/>
      <w:u w:color="000000"/>
    </w:rPr>
  </w:style>
  <w:style w:type="character" w:customStyle="1" w:styleId="130">
    <w:name w:val="尾注文本 Char1"/>
    <w:semiHidden/>
    <w:qFormat/>
    <w:uiPriority w:val="99"/>
    <w:rPr>
      <w:rFonts w:ascii="宋体" w:hAnsi="宋体" w:cs="宋体"/>
      <w:color w:val="000000"/>
      <w:sz w:val="21"/>
      <w:szCs w:val="24"/>
    </w:rPr>
  </w:style>
  <w:style w:type="paragraph" w:customStyle="1" w:styleId="131">
    <w:name w:val="目录 32"/>
    <w:qFormat/>
    <w:uiPriority w:val="0"/>
    <w:rPr>
      <w:rFonts w:ascii="Times New Roman" w:hAnsi="Times New Roman" w:eastAsia="Calibri" w:cs="Calibri"/>
      <w:color w:val="000000"/>
      <w:lang w:val="en-US" w:eastAsia="zh-CN" w:bidi="ar-SA"/>
    </w:rPr>
  </w:style>
  <w:style w:type="paragraph" w:customStyle="1" w:styleId="132">
    <w:name w:val="表"/>
    <w:basedOn w:val="1"/>
    <w:qFormat/>
    <w:uiPriority w:val="0"/>
    <w:pPr>
      <w:snapToGrid w:val="0"/>
      <w:ind w:firstLine="567"/>
      <w:jc w:val="center"/>
    </w:pPr>
    <w:rPr>
      <w:rFonts w:ascii="Calibri" w:hAnsi="Calibri" w:eastAsia="楷体_GB2312"/>
      <w:kern w:val="0"/>
      <w:sz w:val="24"/>
      <w:szCs w:val="20"/>
    </w:rPr>
  </w:style>
  <w:style w:type="paragraph" w:customStyle="1" w:styleId="133">
    <w:name w:val="目录 21"/>
    <w:qFormat/>
    <w:uiPriority w:val="0"/>
    <w:pPr>
      <w:widowControl w:val="0"/>
      <w:tabs>
        <w:tab w:val="right" w:leader="dot" w:pos="9710"/>
      </w:tabs>
      <w:ind w:left="283"/>
    </w:pPr>
    <w:rPr>
      <w:rFonts w:ascii="Times New Roman Bold" w:hAnsi="Times New Roman Bold" w:eastAsia="Times New Roman Bold" w:cs="Times New Roman Bold"/>
      <w:color w:val="000000"/>
      <w:kern w:val="2"/>
      <w:u w:color="000000"/>
      <w:lang w:val="en-US" w:eastAsia="zh-CN" w:bidi="ar-SA"/>
    </w:rPr>
  </w:style>
  <w:style w:type="paragraph" w:customStyle="1" w:styleId="134">
    <w:name w:val="封一"/>
    <w:basedOn w:val="1"/>
    <w:next w:val="1"/>
    <w:qFormat/>
    <w:uiPriority w:val="0"/>
    <w:pPr>
      <w:topLinePunct/>
      <w:adjustRightInd w:val="0"/>
      <w:snapToGrid w:val="0"/>
      <w:spacing w:line="360" w:lineRule="auto"/>
      <w:jc w:val="center"/>
    </w:pPr>
    <w:rPr>
      <w:rFonts w:eastAsia="黑体"/>
      <w:b/>
      <w:snapToGrid w:val="0"/>
      <w:spacing w:val="4"/>
      <w:kern w:val="0"/>
      <w:sz w:val="84"/>
      <w:szCs w:val="84"/>
    </w:rPr>
  </w:style>
  <w:style w:type="paragraph" w:customStyle="1" w:styleId="135">
    <w:name w:val="ST20_2"/>
    <w:basedOn w:val="1"/>
    <w:qFormat/>
    <w:uiPriority w:val="0"/>
    <w:pPr>
      <w:autoSpaceDE w:val="0"/>
      <w:autoSpaceDN w:val="0"/>
      <w:adjustRightInd w:val="0"/>
      <w:spacing w:line="312" w:lineRule="atLeast"/>
      <w:textAlignment w:val="baseline"/>
    </w:pPr>
    <w:rPr>
      <w:rFonts w:ascii="宋体" w:hAnsi="Tms Rmn"/>
      <w:kern w:val="0"/>
      <w:sz w:val="24"/>
      <w:szCs w:val="20"/>
    </w:rPr>
  </w:style>
  <w:style w:type="paragraph" w:customStyle="1" w:styleId="136">
    <w:name w:val="Char Char Char1 Char"/>
    <w:basedOn w:val="11"/>
    <w:qFormat/>
    <w:uiPriority w:val="0"/>
    <w:rPr>
      <w:rFonts w:ascii="Tahoma" w:hAnsi="Tahoma"/>
      <w:sz w:val="24"/>
    </w:rPr>
  </w:style>
  <w:style w:type="paragraph" w:customStyle="1" w:styleId="137">
    <w:name w:val="默认段落字体 Para Char Char Char Char Char Char Char"/>
    <w:basedOn w:val="1"/>
    <w:qFormat/>
    <w:uiPriority w:val="0"/>
    <w:pPr>
      <w:widowControl/>
      <w:jc w:val="left"/>
    </w:pPr>
    <w:rPr>
      <w:rFonts w:ascii="Tahoma" w:hAnsi="Tahoma"/>
      <w:kern w:val="0"/>
      <w:sz w:val="24"/>
      <w:szCs w:val="20"/>
      <w:lang w:eastAsia="en-US"/>
    </w:r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0">
    <w:name w:val="xl14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14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2">
    <w:name w:val="xl114"/>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43">
    <w:name w:val="xl113"/>
    <w:basedOn w:val="1"/>
    <w:qFormat/>
    <w:uiPriority w:val="0"/>
    <w:pPr>
      <w:widowControl/>
      <w:pBdr>
        <w:top w:val="double" w:color="auto" w:sz="6" w:space="0"/>
        <w:left w:val="single" w:color="auto" w:sz="8"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44">
    <w:name w:val="默认段落字体 Para Char"/>
    <w:basedOn w:val="1"/>
    <w:qFormat/>
    <w:uiPriority w:val="0"/>
    <w:rPr>
      <w:sz w:val="30"/>
    </w:rPr>
  </w:style>
  <w:style w:type="paragraph" w:customStyle="1" w:styleId="145">
    <w:name w:val="xl70"/>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146">
    <w:name w:val="Char Char Char Char"/>
    <w:basedOn w:val="11"/>
    <w:qFormat/>
    <w:uiPriority w:val="0"/>
    <w:rPr>
      <w:rFonts w:ascii="Tahoma" w:hAnsi="Tahoma"/>
      <w:kern w:val="0"/>
      <w:sz w:val="24"/>
    </w:rPr>
  </w:style>
  <w:style w:type="paragraph" w:customStyle="1" w:styleId="14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48">
    <w:name w:val="表格文字中"/>
    <w:basedOn w:val="1"/>
    <w:qFormat/>
    <w:uiPriority w:val="0"/>
    <w:pPr>
      <w:adjustRightInd w:val="0"/>
      <w:snapToGrid w:val="0"/>
      <w:ind w:left="22" w:leftChars="8"/>
      <w:jc w:val="center"/>
    </w:pPr>
    <w:rPr>
      <w:kern w:val="0"/>
    </w:rPr>
  </w:style>
  <w:style w:type="paragraph" w:customStyle="1" w:styleId="149">
    <w:name w:val="xl1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5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51">
    <w:name w:val="xl11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152">
    <w:name w:val="xl128"/>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3">
    <w:name w:val="xl73"/>
    <w:basedOn w:val="1"/>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54">
    <w:name w:val="xl110"/>
    <w:basedOn w:val="1"/>
    <w:qFormat/>
    <w:uiPriority w:val="0"/>
    <w:pPr>
      <w:widowControl/>
      <w:pBdr>
        <w:top w:val="double" w:color="auto" w:sz="6" w:space="0"/>
        <w:left w:val="single" w:color="auto" w:sz="4" w:space="0"/>
        <w:bottom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155">
    <w:name w:val="xl14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56">
    <w:name w:val="xl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157">
    <w:name w:val="文二"/>
    <w:basedOn w:val="1"/>
    <w:qFormat/>
    <w:uiPriority w:val="0"/>
    <w:pPr>
      <w:jc w:val="left"/>
    </w:pPr>
    <w:rPr>
      <w:rFonts w:ascii="宋体" w:hAnsi="宋体"/>
      <w:szCs w:val="21"/>
    </w:rPr>
  </w:style>
  <w:style w:type="paragraph" w:customStyle="1" w:styleId="158">
    <w:name w:val="TOC 标题1"/>
    <w:basedOn w:val="3"/>
    <w:next w:val="1"/>
    <w:qFormat/>
    <w:uiPriority w:val="39"/>
    <w:pPr>
      <w:widowControl/>
      <w:spacing w:before="480" w:after="0" w:line="276" w:lineRule="auto"/>
      <w:jc w:val="left"/>
      <w:outlineLvl w:val="9"/>
    </w:pPr>
    <w:rPr>
      <w:rFonts w:ascii="Cambria" w:hAnsi="Cambria"/>
      <w:b/>
      <w:color w:val="365F91"/>
      <w:kern w:val="0"/>
      <w:sz w:val="28"/>
      <w:szCs w:val="28"/>
    </w:rPr>
  </w:style>
  <w:style w:type="paragraph" w:customStyle="1" w:styleId="159">
    <w:name w:val="文书"/>
    <w:basedOn w:val="1"/>
    <w:uiPriority w:val="0"/>
    <w:pPr>
      <w:ind w:firstLine="560"/>
    </w:pPr>
    <w:rPr>
      <w:sz w:val="28"/>
    </w:rPr>
  </w:style>
  <w:style w:type="paragraph" w:customStyle="1" w:styleId="160">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161">
    <w:name w:val="目录 22"/>
    <w:qFormat/>
    <w:uiPriority w:val="0"/>
    <w:pPr>
      <w:widowControl w:val="0"/>
      <w:tabs>
        <w:tab w:val="right" w:leader="dot" w:pos="9710"/>
      </w:tabs>
      <w:ind w:left="283"/>
    </w:pPr>
    <w:rPr>
      <w:rFonts w:ascii="Times New Roman Bold" w:hAnsi="Times New Roman Bold" w:eastAsia="Times New Roman Bold" w:cs="Times New Roman Bold"/>
      <w:color w:val="000000"/>
      <w:kern w:val="2"/>
      <w:u w:color="000000"/>
      <w:lang w:val="en-US" w:eastAsia="zh-CN" w:bidi="ar-SA"/>
    </w:rPr>
  </w:style>
  <w:style w:type="paragraph" w:customStyle="1" w:styleId="162">
    <w:name w:val="CM317"/>
    <w:basedOn w:val="163"/>
    <w:next w:val="163"/>
    <w:qFormat/>
    <w:uiPriority w:val="99"/>
    <w:pPr>
      <w:autoSpaceDE w:val="0"/>
      <w:autoSpaceDN w:val="0"/>
      <w:adjustRightInd w:val="0"/>
      <w:spacing w:after="315"/>
    </w:pPr>
    <w:rPr>
      <w:rFonts w:ascii="宋体" w:hAnsi="Calibri"/>
      <w:color w:val="auto"/>
    </w:rPr>
  </w:style>
  <w:style w:type="paragraph" w:customStyle="1" w:styleId="163">
    <w:name w:val="Defaul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164">
    <w:name w:val="xl158"/>
    <w:basedOn w:val="1"/>
    <w:qFormat/>
    <w:uiPriority w:val="0"/>
    <w:pPr>
      <w:widowControl/>
      <w:pBdr>
        <w:top w:val="double" w:color="auto" w:sz="6" w:space="0"/>
        <w:lef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65">
    <w:name w:val="xl10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166">
    <w:name w:val="xl68"/>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7">
    <w:name w:val="xl74"/>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168">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169">
    <w:name w:val="xl13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0">
    <w:name w:val="xl159"/>
    <w:basedOn w:val="1"/>
    <w:qFormat/>
    <w:uiPriority w:val="0"/>
    <w:pPr>
      <w:widowControl/>
      <w:pBdr>
        <w:top w:val="double" w:color="auto" w:sz="6"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171">
    <w:name w:val="xl83"/>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172">
    <w:name w:val="标题 1 New"/>
    <w:basedOn w:val="173"/>
    <w:next w:val="173"/>
    <w:qFormat/>
    <w:uiPriority w:val="0"/>
    <w:pPr>
      <w:keepNext/>
      <w:keepLines/>
      <w:spacing w:before="340" w:after="330" w:line="576" w:lineRule="auto"/>
      <w:outlineLvl w:val="0"/>
    </w:pPr>
    <w:rPr>
      <w:rFonts w:cs="Times New Roman"/>
      <w:b/>
      <w:color w:val="auto"/>
      <w:kern w:val="44"/>
      <w:sz w:val="44"/>
    </w:rPr>
  </w:style>
  <w:style w:type="paragraph" w:customStyle="1" w:styleId="173">
    <w:name w:val="正文 New"/>
    <w:qFormat/>
    <w:uiPriority w:val="0"/>
    <w:pPr>
      <w:widowControl w:val="0"/>
      <w:jc w:val="both"/>
    </w:pPr>
    <w:rPr>
      <w:rFonts w:ascii="Times New Roman" w:hAnsi="Times New Roman" w:eastAsia="宋体" w:cs="Calibri"/>
      <w:color w:val="000000"/>
      <w:kern w:val="1"/>
      <w:sz w:val="21"/>
      <w:lang w:val="en-US" w:eastAsia="zh-CN" w:bidi="ar-SA"/>
    </w:rPr>
  </w:style>
  <w:style w:type="paragraph" w:customStyle="1" w:styleId="174">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75">
    <w:name w:val="xl1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177">
    <w:name w:val="标题2"/>
    <w:basedOn w:val="4"/>
    <w:next w:val="1"/>
    <w:qFormat/>
    <w:uiPriority w:val="0"/>
    <w:pPr>
      <w:spacing w:before="120" w:after="0" w:line="240" w:lineRule="auto"/>
      <w:ind w:left="284" w:firstLine="567"/>
    </w:pPr>
    <w:rPr>
      <w:rFonts w:ascii="Cambria" w:hAnsi="Cambria"/>
    </w:rPr>
  </w:style>
  <w:style w:type="paragraph" w:customStyle="1" w:styleId="178">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79">
    <w:name w:val="xl119"/>
    <w:basedOn w:val="1"/>
    <w:qFormat/>
    <w:uiPriority w:val="0"/>
    <w:pPr>
      <w:widowControl/>
      <w:pBdr>
        <w:top w:val="single" w:color="auto" w:sz="8" w:space="0"/>
        <w:left w:val="single" w:color="auto" w:sz="4" w:space="0"/>
        <w:bottom w:val="double" w:color="auto" w:sz="6"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80">
    <w:name w:val="xl123"/>
    <w:basedOn w:val="1"/>
    <w:qFormat/>
    <w:uiPriority w:val="0"/>
    <w:pPr>
      <w:widowControl/>
      <w:pBdr>
        <w:top w:val="single" w:color="auto" w:sz="8" w:space="0"/>
        <w:left w:val="single" w:color="auto" w:sz="8" w:space="0"/>
        <w:bottom w:val="double" w:color="auto" w:sz="6"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1">
    <w:name w:val="列出段落1"/>
    <w:basedOn w:val="1"/>
    <w:qFormat/>
    <w:uiPriority w:val="34"/>
    <w:pPr>
      <w:ind w:firstLine="420"/>
    </w:pPr>
    <w:rPr>
      <w:rFonts w:ascii="Calibri" w:hAnsi="Calibri" w:cs="Calibri"/>
      <w:color w:val="000000"/>
      <w:kern w:val="0"/>
      <w:szCs w:val="22"/>
    </w:rPr>
  </w:style>
  <w:style w:type="paragraph" w:customStyle="1" w:styleId="18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183">
    <w:name w:val="xl8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184">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85">
    <w:name w:val="TOC 标题11"/>
    <w:basedOn w:val="3"/>
    <w:next w:val="1"/>
    <w:qFormat/>
    <w:uiPriority w:val="39"/>
    <w:pPr>
      <w:widowControl/>
      <w:spacing w:before="480" w:after="0" w:line="276" w:lineRule="auto"/>
      <w:jc w:val="left"/>
      <w:outlineLvl w:val="9"/>
    </w:pPr>
    <w:rPr>
      <w:rFonts w:ascii="Cambria" w:hAnsi="Cambria"/>
      <w:b/>
      <w:color w:val="365F91"/>
      <w:kern w:val="0"/>
      <w:sz w:val="28"/>
      <w:szCs w:val="28"/>
    </w:rPr>
  </w:style>
  <w:style w:type="paragraph" w:customStyle="1" w:styleId="186">
    <w:name w:val="xl99"/>
    <w:basedOn w:val="1"/>
    <w:qFormat/>
    <w:uiPriority w:val="0"/>
    <w:pPr>
      <w:widowControl/>
      <w:pBdr>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18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24"/>
      <w:lang w:eastAsia="en-US"/>
    </w:rPr>
  </w:style>
  <w:style w:type="paragraph" w:customStyle="1" w:styleId="188">
    <w:name w:val="xl163"/>
    <w:basedOn w:val="1"/>
    <w:qFormat/>
    <w:uiPriority w:val="0"/>
    <w:pPr>
      <w:widowControl/>
      <w:pBdr>
        <w:top w:val="double" w:color="auto" w:sz="6" w:space="0"/>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189">
    <w:name w:val="xl1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190">
    <w:name w:val="xl13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193">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194">
    <w:name w:val="CM337"/>
    <w:basedOn w:val="163"/>
    <w:next w:val="163"/>
    <w:qFormat/>
    <w:uiPriority w:val="99"/>
    <w:pPr>
      <w:autoSpaceDE w:val="0"/>
      <w:autoSpaceDN w:val="0"/>
      <w:adjustRightInd w:val="0"/>
      <w:spacing w:after="1090"/>
    </w:pPr>
    <w:rPr>
      <w:rFonts w:ascii="宋体" w:hAnsi="Calibri"/>
      <w:color w:val="auto"/>
    </w:rPr>
  </w:style>
  <w:style w:type="paragraph" w:customStyle="1" w:styleId="195">
    <w:name w:val="默认"/>
    <w:qFormat/>
    <w:uiPriority w:val="0"/>
    <w:rPr>
      <w:rFonts w:ascii="Helvetica" w:hAnsi="Helvetica" w:eastAsia="Helvetica" w:cs="Helvetica"/>
      <w:color w:val="000000"/>
      <w:sz w:val="22"/>
      <w:szCs w:val="22"/>
      <w:lang w:val="en-US" w:eastAsia="zh-CN" w:bidi="ar-SA"/>
    </w:rPr>
  </w:style>
  <w:style w:type="paragraph" w:customStyle="1" w:styleId="196">
    <w:name w:val="目录 11"/>
    <w:qFormat/>
    <w:uiPriority w:val="0"/>
    <w:pPr>
      <w:widowControl w:val="0"/>
      <w:tabs>
        <w:tab w:val="right" w:leader="dot" w:pos="9710"/>
      </w:tabs>
      <w:spacing w:line="360" w:lineRule="auto"/>
    </w:pPr>
    <w:rPr>
      <w:rFonts w:ascii="Arial Bold" w:hAnsi="Arial Bold" w:eastAsia="Arial Bold" w:cs="Arial Bold"/>
      <w:caps/>
      <w:color w:val="000000"/>
      <w:kern w:val="2"/>
      <w:sz w:val="24"/>
      <w:szCs w:val="24"/>
      <w:u w:color="000000"/>
      <w:lang w:val="en-US" w:eastAsia="zh-CN" w:bidi="ar-SA"/>
    </w:rPr>
  </w:style>
  <w:style w:type="paragraph" w:customStyle="1" w:styleId="197">
    <w:name w:val="xl1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98">
    <w:name w:val="xl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199">
    <w:name w:val="Char1 Char Char Char1 Char Char Char"/>
    <w:basedOn w:val="1"/>
    <w:qFormat/>
    <w:uiPriority w:val="0"/>
    <w:pPr>
      <w:spacing w:line="360" w:lineRule="auto"/>
      <w:ind w:firstLine="200"/>
    </w:pPr>
    <w:rPr>
      <w:rFonts w:ascii="宋体" w:hAnsi="宋体" w:cs="宋体"/>
      <w:color w:val="000000"/>
      <w:kern w:val="1"/>
      <w:sz w:val="24"/>
    </w:rPr>
  </w:style>
  <w:style w:type="paragraph" w:customStyle="1" w:styleId="200">
    <w:name w:val="正题"/>
    <w:basedOn w:val="124"/>
    <w:next w:val="124"/>
    <w:qFormat/>
    <w:uiPriority w:val="0"/>
    <w:pPr>
      <w:ind w:firstLine="0" w:firstLineChars="0"/>
      <w:jc w:val="center"/>
    </w:pPr>
    <w:rPr>
      <w:rFonts w:eastAsia="黑体"/>
      <w:b/>
      <w:sz w:val="36"/>
      <w:szCs w:val="36"/>
    </w:rPr>
  </w:style>
  <w:style w:type="paragraph" w:customStyle="1" w:styleId="201">
    <w:name w:val="xl167"/>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0"/>
      <w:szCs w:val="20"/>
    </w:rPr>
  </w:style>
  <w:style w:type="paragraph" w:customStyle="1" w:styleId="202">
    <w:name w:val="Char Char"/>
    <w:basedOn w:val="1"/>
    <w:qFormat/>
    <w:uiPriority w:val="0"/>
    <w:pPr>
      <w:tabs>
        <w:tab w:val="left" w:pos="1080"/>
      </w:tabs>
      <w:ind w:left="1080" w:hanging="1080"/>
    </w:pPr>
    <w:rPr>
      <w:sz w:val="24"/>
    </w:rPr>
  </w:style>
  <w:style w:type="paragraph" w:customStyle="1" w:styleId="203">
    <w:name w:val="顾2"/>
    <w:basedOn w:val="1"/>
    <w:qFormat/>
    <w:uiPriority w:val="0"/>
    <w:pPr>
      <w:keepNext/>
      <w:keepLines/>
      <w:spacing w:beforeLines="100" w:afterLines="100"/>
      <w:ind w:left="284" w:hanging="284"/>
      <w:outlineLvl w:val="1"/>
    </w:pPr>
    <w:rPr>
      <w:rFonts w:ascii="宋体" w:hAnsi="宋体"/>
      <w:b/>
      <w:bCs/>
      <w:w w:val="90"/>
      <w:kern w:val="0"/>
      <w:sz w:val="32"/>
      <w:szCs w:val="32"/>
    </w:rPr>
  </w:style>
  <w:style w:type="paragraph" w:customStyle="1" w:styleId="204">
    <w:name w:val="章节三"/>
    <w:basedOn w:val="124"/>
    <w:next w:val="124"/>
    <w:qFormat/>
    <w:uiPriority w:val="0"/>
    <w:pPr>
      <w:spacing w:beforeLines="50" w:afterLines="50" w:line="240" w:lineRule="auto"/>
      <w:ind w:firstLine="0" w:firstLineChars="0"/>
      <w:jc w:val="left"/>
      <w:outlineLvl w:val="2"/>
    </w:pPr>
    <w:rPr>
      <w:rFonts w:ascii="黑体" w:hAnsi="宋体" w:eastAsia="黑体"/>
      <w:b/>
    </w:rPr>
  </w:style>
  <w:style w:type="paragraph" w:customStyle="1" w:styleId="20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ht1"/>
    <w:basedOn w:val="1"/>
    <w:qFormat/>
    <w:uiPriority w:val="0"/>
    <w:pPr>
      <w:widowControl/>
      <w:numPr>
        <w:ilvl w:val="0"/>
        <w:numId w:val="1"/>
      </w:numPr>
      <w:spacing w:beforeLines="50" w:line="300" w:lineRule="auto"/>
      <w:ind w:left="284"/>
      <w:outlineLvl w:val="1"/>
    </w:pPr>
    <w:rPr>
      <w:b/>
      <w:sz w:val="28"/>
      <w:szCs w:val="28"/>
    </w:rPr>
  </w:style>
  <w:style w:type="paragraph" w:customStyle="1" w:styleId="207">
    <w:name w:val="xl161"/>
    <w:basedOn w:val="1"/>
    <w:qFormat/>
    <w:uiPriority w:val="0"/>
    <w:pPr>
      <w:widowControl/>
      <w:pBdr>
        <w:bottom w:val="double" w:color="auto" w:sz="6"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208">
    <w:name w:val="xl153"/>
    <w:basedOn w:val="1"/>
    <w:qFormat/>
    <w:uiPriority w:val="0"/>
    <w:pPr>
      <w:widowControl/>
      <w:pBdr>
        <w:top w:val="double" w:color="auto" w:sz="6"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xl151"/>
    <w:basedOn w:val="1"/>
    <w:qFormat/>
    <w:uiPriority w:val="0"/>
    <w:pPr>
      <w:widowControl/>
      <w:pBdr>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210">
    <w:name w:val="xl154"/>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212">
    <w:name w:val="xl9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1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214">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215">
    <w:name w:val="xl6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6">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217">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218">
    <w:name w:val="xl112"/>
    <w:basedOn w:val="1"/>
    <w:qFormat/>
    <w:uiPriority w:val="0"/>
    <w:pPr>
      <w:widowControl/>
      <w:pBdr>
        <w:top w:val="single" w:color="auto" w:sz="4" w:space="0"/>
        <w:left w:val="single" w:color="auto" w:sz="4" w:space="0"/>
        <w:bottom w:val="double" w:color="auto" w:sz="6" w:space="0"/>
      </w:pBdr>
      <w:spacing w:before="100" w:beforeAutospacing="1" w:after="100" w:afterAutospacing="1"/>
      <w:jc w:val="left"/>
      <w:textAlignment w:val="top"/>
    </w:pPr>
    <w:rPr>
      <w:rFonts w:ascii="宋体" w:hAnsi="宋体" w:cs="宋体"/>
      <w:kern w:val="0"/>
      <w:sz w:val="16"/>
      <w:szCs w:val="16"/>
    </w:rPr>
  </w:style>
  <w:style w:type="paragraph" w:customStyle="1" w:styleId="219">
    <w:name w:val="样式 正文刘兵 + 首行缩进:  2 字符"/>
    <w:basedOn w:val="1"/>
    <w:qFormat/>
    <w:uiPriority w:val="0"/>
    <w:pPr>
      <w:autoSpaceDE w:val="0"/>
      <w:autoSpaceDN w:val="0"/>
      <w:adjustRightInd w:val="0"/>
      <w:spacing w:line="520" w:lineRule="exact"/>
      <w:ind w:firstLine="480" w:firstLineChars="200"/>
      <w:jc w:val="left"/>
    </w:pPr>
    <w:rPr>
      <w:rFonts w:cs="宋体"/>
      <w:bCs/>
      <w:color w:val="000000"/>
      <w:kern w:val="0"/>
      <w:sz w:val="24"/>
      <w:lang w:val="zh-CN"/>
    </w:rPr>
  </w:style>
  <w:style w:type="paragraph" w:customStyle="1" w:styleId="220">
    <w:name w:val="修订1"/>
    <w:qFormat/>
    <w:uiPriority w:val="99"/>
    <w:rPr>
      <w:rFonts w:ascii="Times New Roman" w:hAnsi="Times New Roman" w:eastAsia="宋体" w:cs="Times New Roman"/>
      <w:kern w:val="2"/>
      <w:sz w:val="21"/>
      <w:szCs w:val="24"/>
      <w:lang w:val="en-US" w:eastAsia="zh-CN" w:bidi="ar-SA"/>
    </w:rPr>
  </w:style>
  <w:style w:type="paragraph" w:customStyle="1" w:styleId="22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222">
    <w:name w:val="xl12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223">
    <w:name w:val="小节"/>
    <w:basedOn w:val="1"/>
    <w:qFormat/>
    <w:uiPriority w:val="0"/>
    <w:pPr>
      <w:spacing w:line="360" w:lineRule="auto"/>
    </w:pPr>
    <w:rPr>
      <w:b/>
      <w:sz w:val="24"/>
    </w:rPr>
  </w:style>
  <w:style w:type="paragraph" w:customStyle="1" w:styleId="224">
    <w:name w:val="表格文字"/>
    <w:basedOn w:val="1"/>
    <w:next w:val="1"/>
    <w:qFormat/>
    <w:uiPriority w:val="0"/>
    <w:pPr>
      <w:snapToGrid w:val="0"/>
      <w:spacing w:line="360" w:lineRule="atLeast"/>
      <w:jc w:val="center"/>
    </w:pPr>
    <w:rPr>
      <w:rFonts w:ascii="宋体" w:eastAsia="幼圆"/>
      <w:szCs w:val="20"/>
    </w:rPr>
  </w:style>
  <w:style w:type="paragraph" w:customStyle="1" w:styleId="225">
    <w:name w:val="样式 标题 3  1、Heading 3 - old子系统h33rd level3H3章标题1三级标题l3CT..."/>
    <w:basedOn w:val="5"/>
    <w:qFormat/>
    <w:uiPriority w:val="0"/>
    <w:pPr>
      <w:spacing w:before="120" w:after="120" w:line="360" w:lineRule="auto"/>
    </w:pPr>
    <w:rPr>
      <w:bCs w:val="0"/>
      <w:color w:val="000000"/>
      <w:kern w:val="1"/>
    </w:rPr>
  </w:style>
  <w:style w:type="paragraph" w:customStyle="1" w:styleId="226">
    <w:name w:val="xl14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12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9">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0">
    <w:name w:val="Char1 Char Char Char1 Char Char Char1"/>
    <w:basedOn w:val="1"/>
    <w:qFormat/>
    <w:uiPriority w:val="0"/>
    <w:pPr>
      <w:spacing w:line="360" w:lineRule="auto"/>
      <w:ind w:firstLine="200"/>
    </w:pPr>
    <w:rPr>
      <w:rFonts w:ascii="宋体" w:hAnsi="宋体" w:cs="宋体"/>
      <w:color w:val="000000"/>
      <w:kern w:val="1"/>
      <w:sz w:val="24"/>
    </w:rPr>
  </w:style>
  <w:style w:type="paragraph" w:customStyle="1" w:styleId="231">
    <w:name w:val="p17"/>
    <w:basedOn w:val="1"/>
    <w:qFormat/>
    <w:uiPriority w:val="0"/>
    <w:pPr>
      <w:widowControl/>
      <w:jc w:val="left"/>
    </w:pPr>
    <w:rPr>
      <w:rFonts w:ascii="宋体" w:hAnsi="宋体" w:cs="宋体"/>
      <w:kern w:val="0"/>
      <w:szCs w:val="21"/>
    </w:rPr>
  </w:style>
  <w:style w:type="paragraph" w:customStyle="1" w:styleId="232">
    <w:name w:val="List Paragraph*"/>
    <w:basedOn w:val="1"/>
    <w:qFormat/>
    <w:uiPriority w:val="0"/>
    <w:pPr>
      <w:spacing w:line="312" w:lineRule="atLeast"/>
      <w:ind w:firstLine="420"/>
    </w:pPr>
    <w:rPr>
      <w:color w:val="000000"/>
      <w:kern w:val="0"/>
      <w:szCs w:val="20"/>
    </w:rPr>
  </w:style>
  <w:style w:type="paragraph" w:customStyle="1" w:styleId="233">
    <w:name w:val="Char Char Char"/>
    <w:basedOn w:val="1"/>
    <w:qFormat/>
    <w:uiPriority w:val="0"/>
    <w:rPr>
      <w:rFonts w:ascii="Tahoma" w:hAnsi="Tahoma"/>
      <w:sz w:val="24"/>
      <w:szCs w:val="20"/>
    </w:rPr>
  </w:style>
  <w:style w:type="paragraph" w:customStyle="1" w:styleId="234">
    <w:name w:val="xl141"/>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235">
    <w:name w:val="xl125"/>
    <w:basedOn w:val="1"/>
    <w:qFormat/>
    <w:uiPriority w:val="0"/>
    <w:pPr>
      <w:widowControl/>
      <w:spacing w:before="100" w:beforeAutospacing="1" w:after="100" w:afterAutospacing="1"/>
      <w:jc w:val="center"/>
    </w:pPr>
    <w:rPr>
      <w:rFonts w:ascii="黑体" w:hAnsi="黑体" w:eastAsia="黑体" w:cs="宋体"/>
      <w:kern w:val="0"/>
      <w:sz w:val="28"/>
      <w:szCs w:val="28"/>
    </w:rPr>
  </w:style>
  <w:style w:type="paragraph" w:customStyle="1" w:styleId="236">
    <w:name w:val="章节二"/>
    <w:basedOn w:val="1"/>
    <w:next w:val="1"/>
    <w:qFormat/>
    <w:uiPriority w:val="0"/>
    <w:pPr>
      <w:topLinePunct/>
      <w:adjustRightInd w:val="0"/>
      <w:snapToGrid w:val="0"/>
      <w:spacing w:before="156" w:beforeLines="50" w:after="156" w:afterLines="50"/>
      <w:jc w:val="center"/>
      <w:outlineLvl w:val="1"/>
    </w:pPr>
    <w:rPr>
      <w:rFonts w:eastAsia="黑体"/>
      <w:b/>
      <w:snapToGrid w:val="0"/>
      <w:spacing w:val="4"/>
      <w:kern w:val="0"/>
      <w:sz w:val="30"/>
      <w:szCs w:val="30"/>
    </w:rPr>
  </w:style>
  <w:style w:type="paragraph" w:customStyle="1" w:styleId="237">
    <w:name w:val="xl115"/>
    <w:basedOn w:val="1"/>
    <w:qFormat/>
    <w:uiPriority w:val="0"/>
    <w:pPr>
      <w:widowControl/>
      <w:pBdr>
        <w:top w:val="single" w:color="auto" w:sz="4" w:space="0"/>
        <w:left w:val="single" w:color="auto" w:sz="8" w:space="0"/>
        <w:bottom w:val="double" w:color="auto" w:sz="6"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238">
    <w:name w:val="xl14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9">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4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1">
    <w:name w:val="正文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42">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43">
    <w:name w:val="xl138"/>
    <w:basedOn w:val="1"/>
    <w:qFormat/>
    <w:uiPriority w:val="0"/>
    <w:pPr>
      <w:widowControl/>
      <w:pBdr>
        <w:top w:val="double" w:color="auto" w:sz="6" w:space="0"/>
        <w:left w:val="single" w:color="auto" w:sz="4" w:space="0"/>
      </w:pBdr>
      <w:spacing w:before="100" w:beforeAutospacing="1" w:after="100" w:afterAutospacing="1"/>
      <w:jc w:val="center"/>
    </w:pPr>
    <w:rPr>
      <w:rFonts w:ascii="宋体" w:hAnsi="宋体" w:cs="宋体"/>
      <w:kern w:val="0"/>
      <w:sz w:val="16"/>
      <w:szCs w:val="16"/>
    </w:rPr>
  </w:style>
  <w:style w:type="paragraph" w:customStyle="1" w:styleId="244">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2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246">
    <w:name w:val="默认段落字体 Para Char Char Char Char Char Char Char Char Char Char Char Char Char"/>
    <w:basedOn w:val="1"/>
    <w:qFormat/>
    <w:uiPriority w:val="0"/>
  </w:style>
  <w:style w:type="paragraph" w:customStyle="1" w:styleId="247">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248">
    <w:name w:val="xl165"/>
    <w:basedOn w:val="1"/>
    <w:qFormat/>
    <w:uiPriority w:val="0"/>
    <w:pPr>
      <w:widowControl/>
      <w:pBdr>
        <w:bottom w:val="double" w:color="auto" w:sz="6" w:space="0"/>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249">
    <w:name w:val="样式 标题 2 + 段前: 0.5 行 段后: 0.5 行"/>
    <w:basedOn w:val="4"/>
    <w:qFormat/>
    <w:uiPriority w:val="0"/>
    <w:pPr>
      <w:spacing w:before="120" w:beforeLines="50" w:after="120" w:afterLines="50" w:line="400" w:lineRule="exact"/>
      <w:ind w:firstLine="643" w:firstLineChars="200"/>
      <w:jc w:val="center"/>
    </w:pPr>
    <w:rPr>
      <w:rFonts w:eastAsia="黑体" w:cs="宋体"/>
      <w:szCs w:val="20"/>
    </w:rPr>
  </w:style>
  <w:style w:type="paragraph" w:customStyle="1" w:styleId="250">
    <w:name w:val="[基本段落]"/>
    <w:basedOn w:val="1"/>
    <w:qFormat/>
    <w:uiPriority w:val="99"/>
    <w:pPr>
      <w:spacing w:line="288" w:lineRule="auto"/>
    </w:pPr>
    <w:rPr>
      <w:rFonts w:ascii="Adobe 宋体 Std L" w:hAnsi="Adobe 宋体 Std L" w:eastAsia="Adobe 宋体 Std L" w:cs="Adobe 宋体 Std L"/>
      <w:color w:val="000000"/>
      <w:kern w:val="0"/>
      <w:sz w:val="24"/>
      <w:lang w:val="zh-CN"/>
    </w:rPr>
  </w:style>
  <w:style w:type="paragraph" w:customStyle="1" w:styleId="251">
    <w:name w:val="xl69"/>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2">
    <w:name w:val="Char Char Char1"/>
    <w:basedOn w:val="11"/>
    <w:qFormat/>
    <w:uiPriority w:val="0"/>
    <w:pPr>
      <w:adjustRightInd w:val="0"/>
      <w:spacing w:line="436" w:lineRule="exact"/>
      <w:ind w:left="357"/>
      <w:jc w:val="left"/>
      <w:outlineLvl w:val="3"/>
    </w:pPr>
    <w:rPr>
      <w:rFonts w:ascii="Tahoma" w:hAnsi="Tahoma"/>
      <w:b/>
      <w:kern w:val="0"/>
      <w:sz w:val="44"/>
    </w:rPr>
  </w:style>
  <w:style w:type="paragraph" w:customStyle="1" w:styleId="2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54">
    <w:name w:val="样式 正文缩进表正文正文非缩进特点上海中望标准正文（首行缩进两字）文字正文（首行缩进两字） Char正文（首行缩进..."/>
    <w:basedOn w:val="2"/>
    <w:qFormat/>
    <w:uiPriority w:val="0"/>
    <w:pPr>
      <w:ind w:firstLine="200" w:firstLineChars="200"/>
    </w:pPr>
    <w:rPr>
      <w:szCs w:val="21"/>
    </w:rPr>
  </w:style>
  <w:style w:type="paragraph" w:customStyle="1" w:styleId="255">
    <w:name w:val="封三"/>
    <w:basedOn w:val="124"/>
    <w:next w:val="124"/>
    <w:qFormat/>
    <w:uiPriority w:val="0"/>
    <w:pPr>
      <w:ind w:firstLine="0" w:firstLineChars="0"/>
      <w:jc w:val="center"/>
    </w:pPr>
    <w:rPr>
      <w:sz w:val="30"/>
    </w:rPr>
  </w:style>
  <w:style w:type="paragraph" w:customStyle="1" w:styleId="256">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57">
    <w:name w:val="UserStyle_74"/>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258">
    <w:name w:val="普通 (Web)"/>
    <w:basedOn w:val="1"/>
    <w:qFormat/>
    <w:uiPriority w:val="0"/>
    <w:pPr>
      <w:widowControl/>
      <w:spacing w:before="100" w:beforeAutospacing="1" w:after="100" w:afterAutospacing="1"/>
      <w:jc w:val="left"/>
    </w:pPr>
    <w:rPr>
      <w:rFonts w:ascii="宋体" w:hAnsi="宋体"/>
      <w:sz w:val="24"/>
      <w:szCs w:val="20"/>
    </w:rPr>
  </w:style>
  <w:style w:type="paragraph" w:customStyle="1" w:styleId="259">
    <w:name w:val="样式32"/>
    <w:basedOn w:val="27"/>
    <w:qFormat/>
    <w:uiPriority w:val="0"/>
    <w:pPr>
      <w:spacing w:line="360" w:lineRule="auto"/>
      <w:ind w:firstLine="360" w:firstLineChars="200"/>
    </w:pPr>
    <w:rPr>
      <w:rFonts w:ascii="Calibri" w:hAnsi="Calibri"/>
      <w:kern w:val="0"/>
    </w:rPr>
  </w:style>
  <w:style w:type="paragraph" w:customStyle="1" w:styleId="260">
    <w:name w:val="Char1 Char Char Char Char Char Char1"/>
    <w:basedOn w:val="1"/>
    <w:qFormat/>
    <w:uiPriority w:val="0"/>
  </w:style>
  <w:style w:type="paragraph" w:customStyle="1" w:styleId="261">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62">
    <w:name w:val="p0"/>
    <w:basedOn w:val="1"/>
    <w:qFormat/>
    <w:uiPriority w:val="0"/>
    <w:pPr>
      <w:widowControl/>
    </w:pPr>
    <w:rPr>
      <w:kern w:val="0"/>
      <w:szCs w:val="21"/>
    </w:rPr>
  </w:style>
  <w:style w:type="paragraph" w:customStyle="1" w:styleId="263">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264">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265">
    <w:name w:val="xl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266">
    <w:name w:val="Char Char Char Char Char Char Char Char1 Char Char Char Char"/>
    <w:basedOn w:val="1"/>
    <w:qFormat/>
    <w:uiPriority w:val="0"/>
    <w:pPr>
      <w:widowControl/>
      <w:spacing w:after="160" w:line="240" w:lineRule="exact"/>
      <w:jc w:val="left"/>
    </w:pPr>
  </w:style>
  <w:style w:type="paragraph" w:customStyle="1" w:styleId="267">
    <w:name w:val="封二"/>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268">
    <w:name w:val="xl97"/>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269">
    <w:name w:val="xl98"/>
    <w:basedOn w:val="1"/>
    <w:qFormat/>
    <w:uiPriority w:val="0"/>
    <w:pPr>
      <w:widowControl/>
      <w:pBdr>
        <w:top w:val="single" w:color="auto" w:sz="4" w:space="0"/>
        <w:bottom w:val="double" w:color="auto" w:sz="6"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70">
    <w:name w:val="表注"/>
    <w:basedOn w:val="1"/>
    <w:qFormat/>
    <w:uiPriority w:val="0"/>
    <w:pPr>
      <w:adjustRightInd w:val="0"/>
      <w:snapToGrid w:val="0"/>
      <w:spacing w:before="50" w:beforeLines="50" w:line="300" w:lineRule="auto"/>
      <w:ind w:left="200" w:leftChars="8" w:hanging="200" w:hangingChars="200"/>
    </w:pPr>
    <w:rPr>
      <w:bCs/>
      <w:color w:val="000000"/>
    </w:rPr>
  </w:style>
  <w:style w:type="paragraph" w:customStyle="1" w:styleId="271">
    <w:name w:val="样式1"/>
    <w:basedOn w:val="1"/>
    <w:qFormat/>
    <w:uiPriority w:val="0"/>
    <w:pPr>
      <w:spacing w:line="360" w:lineRule="auto"/>
    </w:pPr>
    <w:rPr>
      <w:rFonts w:ascii="宋体"/>
      <w:sz w:val="24"/>
      <w:szCs w:val="20"/>
    </w:rPr>
  </w:style>
  <w:style w:type="paragraph" w:customStyle="1" w:styleId="272">
    <w:name w:val="xl8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273">
    <w:name w:val="Char Char Char Char Char Char Char"/>
    <w:basedOn w:val="1"/>
    <w:qFormat/>
    <w:uiPriority w:val="0"/>
    <w:pPr>
      <w:tabs>
        <w:tab w:val="right" w:leader="middleDot" w:pos="360"/>
      </w:tabs>
    </w:pPr>
    <w:rPr>
      <w:color w:val="000000"/>
      <w:kern w:val="1"/>
      <w:sz w:val="24"/>
    </w:rPr>
  </w:style>
  <w:style w:type="paragraph" w:customStyle="1" w:styleId="274">
    <w:name w:val="xl90"/>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75">
    <w:name w:val="xl150"/>
    <w:basedOn w:val="1"/>
    <w:qFormat/>
    <w:uiPriority w:val="0"/>
    <w:pPr>
      <w:widowControl/>
      <w:pBdr>
        <w:lef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276">
    <w:name w:val="xl160"/>
    <w:basedOn w:val="1"/>
    <w:qFormat/>
    <w:uiPriority w:val="0"/>
    <w:pPr>
      <w:widowControl/>
      <w:pBdr>
        <w:left w:val="single" w:color="auto" w:sz="4" w:space="0"/>
        <w:bottom w:val="double" w:color="auto" w:sz="6" w:space="0"/>
      </w:pBdr>
      <w:spacing w:before="100" w:beforeAutospacing="1" w:after="100" w:afterAutospacing="1"/>
      <w:jc w:val="center"/>
    </w:pPr>
    <w:rPr>
      <w:rFonts w:ascii="宋体" w:hAnsi="宋体" w:cs="宋体"/>
      <w:color w:val="000000"/>
      <w:kern w:val="0"/>
      <w:sz w:val="16"/>
      <w:szCs w:val="16"/>
    </w:rPr>
  </w:style>
  <w:style w:type="paragraph" w:customStyle="1" w:styleId="277">
    <w:name w:val="正文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78">
    <w:name w:val="xl107"/>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279">
    <w:name w:val="Char"/>
    <w:basedOn w:val="1"/>
    <w:qFormat/>
    <w:uiPriority w:val="0"/>
    <w:pPr>
      <w:adjustRightInd w:val="0"/>
      <w:snapToGrid w:val="0"/>
      <w:spacing w:line="360" w:lineRule="auto"/>
      <w:ind w:firstLine="200" w:firstLineChars="200"/>
      <w:jc w:val="center"/>
    </w:pPr>
    <w:rPr>
      <w:rFonts w:eastAsia="华文中宋"/>
      <w:kern w:val="0"/>
      <w:sz w:val="24"/>
      <w:lang w:eastAsia="en-US"/>
    </w:rPr>
  </w:style>
  <w:style w:type="paragraph" w:customStyle="1" w:styleId="280">
    <w:name w:val="_Style 35"/>
    <w:basedOn w:val="1"/>
    <w:qFormat/>
    <w:uiPriority w:val="0"/>
    <w:pPr>
      <w:widowControl/>
      <w:jc w:val="left"/>
    </w:pPr>
    <w:rPr>
      <w:rFonts w:ascii="Tahoma" w:hAnsi="Tahoma"/>
      <w:kern w:val="0"/>
      <w:sz w:val="24"/>
      <w:szCs w:val="20"/>
      <w:lang w:eastAsia="en-US"/>
    </w:rPr>
  </w:style>
  <w:style w:type="paragraph" w:customStyle="1" w:styleId="281">
    <w:name w:val="xl88"/>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282">
    <w:name w:val="章节一"/>
    <w:basedOn w:val="1"/>
    <w:next w:val="1"/>
    <w:qFormat/>
    <w:uiPriority w:val="0"/>
    <w:pPr>
      <w:topLinePunct/>
      <w:adjustRightInd w:val="0"/>
      <w:snapToGrid w:val="0"/>
      <w:spacing w:before="156" w:beforeLines="50" w:after="156" w:afterLines="50"/>
      <w:jc w:val="center"/>
      <w:outlineLvl w:val="0"/>
    </w:pPr>
    <w:rPr>
      <w:rFonts w:eastAsia="黑体"/>
      <w:b/>
      <w:snapToGrid w:val="0"/>
      <w:spacing w:val="4"/>
      <w:kern w:val="0"/>
      <w:sz w:val="36"/>
      <w:szCs w:val="36"/>
    </w:rPr>
  </w:style>
  <w:style w:type="paragraph" w:customStyle="1" w:styleId="283">
    <w:name w:val="xl162"/>
    <w:basedOn w:val="1"/>
    <w:qFormat/>
    <w:uiPriority w:val="0"/>
    <w:pPr>
      <w:widowControl/>
      <w:pBdr>
        <w:top w:val="double" w:color="auto" w:sz="6" w:space="0"/>
        <w:lef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284">
    <w:name w:val="xl102"/>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285">
    <w:name w:val="xl108"/>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286">
    <w:name w:val="xl164"/>
    <w:basedOn w:val="1"/>
    <w:qFormat/>
    <w:uiPriority w:val="0"/>
    <w:pPr>
      <w:widowControl/>
      <w:pBdr>
        <w:left w:val="single" w:color="auto" w:sz="4" w:space="0"/>
        <w:bottom w:val="double" w:color="auto" w:sz="6" w:space="0"/>
      </w:pBdr>
      <w:spacing w:before="100" w:beforeAutospacing="1" w:after="100" w:afterAutospacing="1"/>
      <w:jc w:val="center"/>
    </w:pPr>
    <w:rPr>
      <w:rFonts w:ascii="宋体" w:hAnsi="宋体" w:cs="宋体"/>
      <w:color w:val="0000FF"/>
      <w:kern w:val="0"/>
      <w:sz w:val="16"/>
      <w:szCs w:val="16"/>
    </w:rPr>
  </w:style>
  <w:style w:type="paragraph" w:customStyle="1" w:styleId="287">
    <w:name w:val="列出段落2"/>
    <w:basedOn w:val="1"/>
    <w:qFormat/>
    <w:uiPriority w:val="99"/>
    <w:pPr>
      <w:widowControl/>
      <w:ind w:firstLine="420" w:firstLineChars="200"/>
      <w:jc w:val="left"/>
    </w:pPr>
    <w:rPr>
      <w:kern w:val="0"/>
      <w:sz w:val="24"/>
      <w:lang w:eastAsia="en-US"/>
    </w:rPr>
  </w:style>
  <w:style w:type="paragraph" w:customStyle="1" w:styleId="288">
    <w:name w:val="列出段落11"/>
    <w:basedOn w:val="1"/>
    <w:unhideWhenUsed/>
    <w:qFormat/>
    <w:uiPriority w:val="99"/>
    <w:pPr>
      <w:ind w:firstLine="420" w:firstLineChars="200"/>
    </w:pPr>
    <w:rPr>
      <w:rFonts w:ascii="Calibri" w:hAnsi="Calibri"/>
    </w:rPr>
  </w:style>
  <w:style w:type="paragraph" w:customStyle="1" w:styleId="289">
    <w:name w:val="Char Char Char Char1"/>
    <w:basedOn w:val="11"/>
    <w:qFormat/>
    <w:uiPriority w:val="0"/>
    <w:rPr>
      <w:rFonts w:ascii="Tahoma" w:hAnsi="Tahoma"/>
      <w:sz w:val="24"/>
    </w:rPr>
  </w:style>
  <w:style w:type="paragraph" w:customStyle="1" w:styleId="290">
    <w:name w:val="Char Char Char Char Char Char Char Char Char1 Char Char Char Char Char Char Char Char Char Char Char Char Char"/>
    <w:basedOn w:val="3"/>
    <w:qFormat/>
    <w:uiPriority w:val="0"/>
    <w:pPr>
      <w:snapToGrid w:val="0"/>
      <w:spacing w:before="240" w:after="240" w:line="348" w:lineRule="auto"/>
    </w:pPr>
    <w:rPr>
      <w:rFonts w:ascii="Times New Roman" w:hAnsi="Times New Roman"/>
      <w:b/>
      <w:u w:color="000000"/>
    </w:rPr>
  </w:style>
  <w:style w:type="paragraph" w:customStyle="1" w:styleId="291">
    <w:name w:val="xl7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29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3">
    <w:name w:val="列表段落1"/>
    <w:basedOn w:val="1"/>
    <w:qFormat/>
    <w:uiPriority w:val="34"/>
    <w:pPr>
      <w:adjustRightInd w:val="0"/>
      <w:spacing w:line="312" w:lineRule="atLeast"/>
      <w:ind w:firstLine="420" w:firstLineChars="200"/>
      <w:textAlignment w:val="baseline"/>
    </w:pPr>
    <w:rPr>
      <w:kern w:val="0"/>
      <w:szCs w:val="20"/>
    </w:rPr>
  </w:style>
  <w:style w:type="paragraph" w:customStyle="1" w:styleId="294">
    <w:name w:val="xl132"/>
    <w:basedOn w:val="1"/>
    <w:qFormat/>
    <w:uiPriority w:val="0"/>
    <w:pPr>
      <w:widowControl/>
      <w:pBdr>
        <w:bottom w:val="single" w:color="auto" w:sz="8" w:space="0"/>
      </w:pBdr>
      <w:spacing w:before="100" w:beforeAutospacing="1" w:after="100" w:afterAutospacing="1"/>
      <w:jc w:val="left"/>
    </w:pPr>
    <w:rPr>
      <w:rFonts w:ascii="宋体" w:hAnsi="宋体" w:cs="宋体"/>
      <w:kern w:val="0"/>
      <w:sz w:val="20"/>
      <w:szCs w:val="20"/>
    </w:rPr>
  </w:style>
  <w:style w:type="paragraph" w:customStyle="1" w:styleId="295">
    <w:name w:val="表注1"/>
    <w:basedOn w:val="270"/>
    <w:qFormat/>
    <w:uiPriority w:val="0"/>
    <w:pPr>
      <w:spacing w:before="0"/>
      <w:ind w:left="350" w:leftChars="0" w:hanging="350" w:hangingChars="350"/>
    </w:pPr>
    <w:rPr>
      <w:rFonts w:eastAsia="仿宋_GB2312"/>
    </w:rPr>
  </w:style>
  <w:style w:type="paragraph" w:customStyle="1" w:styleId="29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7">
    <w:name w:val="xl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298">
    <w:name w:val="xl14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299">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00">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301">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02">
    <w:name w:val="表格文字1"/>
    <w:basedOn w:val="1"/>
    <w:qFormat/>
    <w:uiPriority w:val="0"/>
    <w:pPr>
      <w:adjustRightInd w:val="0"/>
      <w:snapToGrid w:val="0"/>
    </w:pPr>
    <w:rPr>
      <w:rFonts w:eastAsia="仿宋_GB2312"/>
      <w:kern w:val="0"/>
    </w:rPr>
  </w:style>
  <w:style w:type="paragraph" w:customStyle="1" w:styleId="303">
    <w:name w:val="xl155"/>
    <w:basedOn w:val="1"/>
    <w:qFormat/>
    <w:uiPriority w:val="0"/>
    <w:pPr>
      <w:widowControl/>
      <w:pBdr>
        <w:left w:val="single" w:color="auto" w:sz="8" w:space="0"/>
        <w:bottom w:val="double" w:color="auto" w:sz="6"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5">
    <w:name w:val="xl147"/>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6">
    <w:name w:val="xl91"/>
    <w:basedOn w:val="1"/>
    <w:qFormat/>
    <w:uiPriority w:val="0"/>
    <w:pPr>
      <w:widowControl/>
      <w:pBdr>
        <w:top w:val="double" w:color="auto" w:sz="6"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07">
    <w:name w:val="xl11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308">
    <w:name w:val="封四"/>
    <w:basedOn w:val="124"/>
    <w:next w:val="124"/>
    <w:qFormat/>
    <w:uiPriority w:val="0"/>
    <w:pPr>
      <w:jc w:val="left"/>
    </w:pPr>
    <w:rPr>
      <w:sz w:val="30"/>
      <w:szCs w:val="30"/>
    </w:rPr>
  </w:style>
  <w:style w:type="paragraph" w:customStyle="1" w:styleId="309">
    <w:name w:val="Char11"/>
    <w:basedOn w:val="1"/>
    <w:qFormat/>
    <w:uiPriority w:val="0"/>
    <w:rPr>
      <w:rFonts w:ascii="Tahoma" w:hAnsi="Tahoma"/>
      <w:sz w:val="24"/>
      <w:szCs w:val="20"/>
    </w:rPr>
  </w:style>
  <w:style w:type="paragraph" w:customStyle="1" w:styleId="310">
    <w:name w:val="xl166"/>
    <w:basedOn w:val="1"/>
    <w:qFormat/>
    <w:uiPriority w:val="0"/>
    <w:pPr>
      <w:widowControl/>
      <w:pBdr>
        <w:left w:val="single" w:color="auto" w:sz="4"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311">
    <w:name w:val="xl65"/>
    <w:basedOn w:val="1"/>
    <w:qFormat/>
    <w:uiPriority w:val="0"/>
    <w:pPr>
      <w:widowControl/>
      <w:spacing w:before="100" w:beforeAutospacing="1" w:after="100" w:afterAutospacing="1"/>
      <w:jc w:val="center"/>
    </w:pPr>
    <w:rPr>
      <w:rFonts w:ascii="宋体" w:hAnsi="宋体" w:cs="宋体"/>
      <w:kern w:val="0"/>
      <w:sz w:val="24"/>
    </w:rPr>
  </w:style>
  <w:style w:type="paragraph" w:styleId="31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Char1"/>
    <w:basedOn w:val="1"/>
    <w:next w:val="15"/>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4">
    <w:name w:val="样式 WG标题2 + 行距: 固定值 18 磅1"/>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315">
    <w:name w:val="xl14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16">
    <w:name w:val="xl1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31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318">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319">
    <w:name w:val="xl126"/>
    <w:basedOn w:val="1"/>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320">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2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2">
    <w:name w:val="new"/>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80"/>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324">
    <w:name w:val="目录 31"/>
    <w:qFormat/>
    <w:uiPriority w:val="0"/>
    <w:rPr>
      <w:rFonts w:ascii="Times New Roman" w:hAnsi="Times New Roman" w:eastAsia="Calibri" w:cs="Calibri"/>
      <w:color w:val="000000"/>
      <w:lang w:val="en-US" w:eastAsia="zh-CN" w:bidi="ar-SA"/>
    </w:rPr>
  </w:style>
  <w:style w:type="paragraph" w:customStyle="1" w:styleId="325">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326">
    <w:name w:val="目录 12"/>
    <w:qFormat/>
    <w:uiPriority w:val="0"/>
    <w:pPr>
      <w:widowControl w:val="0"/>
      <w:tabs>
        <w:tab w:val="right" w:leader="dot" w:pos="9710"/>
      </w:tabs>
      <w:spacing w:line="360" w:lineRule="auto"/>
    </w:pPr>
    <w:rPr>
      <w:rFonts w:ascii="Arial Bold" w:hAnsi="Arial Bold" w:eastAsia="Arial Bold" w:cs="Arial Bold"/>
      <w:caps/>
      <w:color w:val="000000"/>
      <w:kern w:val="2"/>
      <w:sz w:val="24"/>
      <w:szCs w:val="24"/>
      <w:u w:color="000000"/>
      <w:lang w:val="en-US" w:eastAsia="zh-CN" w:bidi="ar-SA"/>
    </w:rPr>
  </w:style>
  <w:style w:type="paragraph" w:customStyle="1" w:styleId="327">
    <w:name w:val="xl139"/>
    <w:basedOn w:val="1"/>
    <w:qFormat/>
    <w:uiPriority w:val="0"/>
    <w:pPr>
      <w:widowControl/>
      <w:pBdr>
        <w:left w:val="single" w:color="auto" w:sz="4" w:space="0"/>
      </w:pBdr>
      <w:spacing w:before="100" w:beforeAutospacing="1" w:after="100" w:afterAutospacing="1"/>
      <w:jc w:val="center"/>
    </w:pPr>
    <w:rPr>
      <w:rFonts w:ascii="宋体" w:hAnsi="宋体" w:cs="宋体"/>
      <w:kern w:val="0"/>
      <w:sz w:val="16"/>
      <w:szCs w:val="16"/>
    </w:rPr>
  </w:style>
  <w:style w:type="table" w:customStyle="1" w:styleId="328">
    <w:name w:val="Table Normal"/>
    <w:qFormat/>
    <w:uiPriority w:val="0"/>
    <w:tblPr>
      <w:tblCellMar>
        <w:top w:w="0" w:type="dxa"/>
        <w:left w:w="0" w:type="dxa"/>
        <w:bottom w:w="0" w:type="dxa"/>
        <w:right w:w="0" w:type="dxa"/>
      </w:tblCellMar>
    </w:tblPr>
  </w:style>
  <w:style w:type="paragraph" w:customStyle="1" w:styleId="329">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30">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51</Pages>
  <Words>5192</Words>
  <Characters>29596</Characters>
  <Lines>246</Lines>
  <Paragraphs>69</Paragraphs>
  <TotalTime>5</TotalTime>
  <ScaleCrop>false</ScaleCrop>
  <LinksUpToDate>false</LinksUpToDate>
  <CharactersWithSpaces>34719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2023-10-31T13:02:00Z</dcterms:created>
  <dc:creator>广州珠江工程建设监理有限公司</dc:creator>
  <cp:lastModifiedBy>Administrator</cp:lastModifiedBy>
  <cp:lastPrinted>2023-06-03T19:13:00Z</cp:lastPrinted>
  <dcterms:modified xsi:type="dcterms:W3CDTF">2023-10-31T16:21:31Z</dcterms:modified>
  <dc:title>广东省档案异地异质联合备份平台首期工程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D3E05E5943B36C8E70254165EFE92534_43</vt:lpwstr>
  </property>
</Properties>
</file>