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ascii="仿宋_GB2312" w:hAnsi="仿宋" w:eastAsia="仿宋_GB2312" w:cs="Arial"/>
          <w:b/>
          <w:bCs/>
          <w:color w:val="auto"/>
          <w:sz w:val="30"/>
          <w:szCs w:val="30"/>
          <w:highlight w:val="none"/>
        </w:rPr>
      </w:pPr>
      <w:bookmarkStart w:id="2" w:name="_GoBack"/>
    </w:p>
    <w:p>
      <w:pPr>
        <w:spacing w:line="480" w:lineRule="auto"/>
        <w:jc w:val="center"/>
        <w:rPr>
          <w:rFonts w:ascii="仿宋_GB2312" w:hAnsi="仿宋" w:eastAsia="仿宋_GB2312" w:cs="Arial"/>
          <w:b/>
          <w:bCs/>
          <w:color w:val="auto"/>
          <w:sz w:val="30"/>
          <w:szCs w:val="30"/>
          <w:highlight w:val="none"/>
        </w:rPr>
      </w:pPr>
    </w:p>
    <w:p>
      <w:pPr>
        <w:spacing w:line="480" w:lineRule="auto"/>
        <w:jc w:val="center"/>
        <w:rPr>
          <w:rFonts w:ascii="仿宋_GB2312" w:hAnsi="仿宋" w:eastAsia="仿宋_GB2312" w:cs="Arial"/>
          <w:b/>
          <w:bCs/>
          <w:color w:val="auto"/>
          <w:sz w:val="30"/>
          <w:szCs w:val="30"/>
          <w:highlight w:val="none"/>
        </w:rPr>
      </w:pPr>
    </w:p>
    <w:p>
      <w:pPr>
        <w:spacing w:line="480" w:lineRule="auto"/>
        <w:jc w:val="center"/>
        <w:rPr>
          <w:rFonts w:ascii="宋体" w:hAnsi="宋体"/>
          <w:b/>
          <w:color w:val="auto"/>
          <w:spacing w:val="-52"/>
          <w:sz w:val="48"/>
          <w:szCs w:val="48"/>
          <w:highlight w:val="none"/>
        </w:rPr>
      </w:pPr>
      <w:r>
        <w:rPr>
          <w:rFonts w:hint="eastAsia" w:ascii="宋体" w:hAnsi="宋体"/>
          <w:b/>
          <w:color w:val="auto"/>
          <w:spacing w:val="-20"/>
          <w:sz w:val="48"/>
          <w:szCs w:val="48"/>
          <w:highlight w:val="none"/>
        </w:rPr>
        <w:t>庙头村旧改首开区建设工程全过程造价咨询服务合同</w:t>
      </w:r>
    </w:p>
    <w:p>
      <w:pPr>
        <w:spacing w:line="480" w:lineRule="auto"/>
        <w:jc w:val="both"/>
        <w:rPr>
          <w:rFonts w:ascii="仿宋_GB2312" w:hAnsi="仿宋" w:eastAsia="仿宋_GB2312" w:cs="Arial"/>
          <w:color w:val="auto"/>
          <w:spacing w:val="-52"/>
          <w:sz w:val="30"/>
          <w:szCs w:val="30"/>
          <w:highlight w:val="none"/>
        </w:rPr>
      </w:pPr>
    </w:p>
    <w:p>
      <w:pPr>
        <w:spacing w:line="480" w:lineRule="auto"/>
        <w:jc w:val="both"/>
        <w:rPr>
          <w:rFonts w:ascii="仿宋_GB2312" w:hAnsi="仿宋" w:eastAsia="仿宋_GB2312" w:cs="Arial"/>
          <w:color w:val="auto"/>
          <w:sz w:val="30"/>
          <w:szCs w:val="30"/>
          <w:highlight w:val="none"/>
        </w:rPr>
      </w:pPr>
    </w:p>
    <w:p>
      <w:pPr>
        <w:spacing w:line="480" w:lineRule="auto"/>
        <w:jc w:val="both"/>
        <w:rPr>
          <w:rFonts w:ascii="仿宋_GB2312" w:hAnsi="仿宋" w:eastAsia="仿宋_GB2312" w:cs="Arial"/>
          <w:color w:val="auto"/>
          <w:sz w:val="30"/>
          <w:szCs w:val="30"/>
          <w:highlight w:val="none"/>
        </w:rPr>
      </w:pPr>
    </w:p>
    <w:p>
      <w:pPr>
        <w:spacing w:line="480" w:lineRule="auto"/>
        <w:jc w:val="both"/>
        <w:rPr>
          <w:rFonts w:ascii="仿宋_GB2312" w:hAnsi="仿宋" w:eastAsia="仿宋_GB2312" w:cs="Arial"/>
          <w:color w:val="auto"/>
          <w:sz w:val="30"/>
          <w:szCs w:val="30"/>
          <w:highlight w:val="none"/>
        </w:rPr>
      </w:pPr>
    </w:p>
    <w:p>
      <w:pPr>
        <w:spacing w:line="480" w:lineRule="auto"/>
        <w:jc w:val="both"/>
        <w:rPr>
          <w:rFonts w:ascii="仿宋_GB2312" w:hAnsi="仿宋" w:eastAsia="仿宋_GB2312" w:cs="Arial"/>
          <w:color w:val="auto"/>
          <w:sz w:val="30"/>
          <w:szCs w:val="30"/>
          <w:highlight w:val="none"/>
        </w:rPr>
      </w:pPr>
    </w:p>
    <w:p>
      <w:pPr>
        <w:spacing w:line="480" w:lineRule="auto"/>
        <w:jc w:val="both"/>
        <w:rPr>
          <w:rFonts w:ascii="仿宋_GB2312" w:hAnsi="仿宋" w:eastAsia="仿宋_GB2312" w:cs="Arial"/>
          <w:color w:val="auto"/>
          <w:sz w:val="30"/>
          <w:szCs w:val="30"/>
          <w:highlight w:val="none"/>
        </w:rPr>
      </w:pPr>
    </w:p>
    <w:p>
      <w:pPr>
        <w:spacing w:line="480" w:lineRule="auto"/>
        <w:jc w:val="both"/>
        <w:rPr>
          <w:rFonts w:ascii="仿宋_GB2312" w:hAnsi="仿宋" w:eastAsia="仿宋_GB2312" w:cs="Arial"/>
          <w:color w:val="auto"/>
          <w:sz w:val="30"/>
          <w:szCs w:val="30"/>
          <w:highlight w:val="none"/>
        </w:rPr>
      </w:pPr>
    </w:p>
    <w:p>
      <w:pPr>
        <w:spacing w:line="480" w:lineRule="auto"/>
        <w:jc w:val="both"/>
        <w:rPr>
          <w:rFonts w:ascii="仿宋_GB2312" w:hAnsi="仿宋" w:eastAsia="仿宋_GB2312" w:cs="Arial"/>
          <w:color w:val="auto"/>
          <w:sz w:val="30"/>
          <w:szCs w:val="30"/>
          <w:highlight w:val="none"/>
        </w:rPr>
      </w:pPr>
    </w:p>
    <w:p>
      <w:pPr>
        <w:spacing w:line="480" w:lineRule="auto"/>
        <w:jc w:val="both"/>
        <w:rPr>
          <w:rFonts w:ascii="仿宋_GB2312" w:hAnsi="仿宋" w:eastAsia="仿宋_GB2312" w:cs="Arial"/>
          <w:color w:val="auto"/>
          <w:sz w:val="30"/>
          <w:szCs w:val="30"/>
          <w:highlight w:val="none"/>
        </w:rPr>
      </w:pPr>
    </w:p>
    <w:p>
      <w:pPr>
        <w:spacing w:line="480" w:lineRule="auto"/>
        <w:ind w:firstLine="560" w:firstLineChars="200"/>
        <w:jc w:val="both"/>
        <w:rPr>
          <w:rFonts w:ascii="仿宋" w:hAnsi="仿宋" w:eastAsia="仿宋" w:cs="仿宋_GB2312"/>
          <w:color w:val="auto"/>
          <w:sz w:val="28"/>
          <w:szCs w:val="28"/>
          <w:highlight w:val="none"/>
          <w:u w:val="single"/>
        </w:rPr>
      </w:pPr>
      <w:r>
        <w:rPr>
          <w:rFonts w:hint="eastAsia" w:ascii="仿宋" w:hAnsi="仿宋" w:eastAsia="仿宋" w:cs="仿宋_GB2312"/>
          <w:color w:val="auto"/>
          <w:sz w:val="28"/>
          <w:szCs w:val="28"/>
          <w:highlight w:val="none"/>
        </w:rPr>
        <w:t>委 托 人：</w:t>
      </w:r>
      <w:r>
        <w:rPr>
          <w:rFonts w:hint="eastAsia" w:ascii="仿宋" w:hAnsi="仿宋" w:eastAsia="仿宋" w:cs="仿宋_GB2312"/>
          <w:color w:val="auto"/>
          <w:sz w:val="28"/>
          <w:szCs w:val="28"/>
          <w:highlight w:val="none"/>
          <w:u w:val="single"/>
        </w:rPr>
        <w:t>广州海丝城房地产开发有限公司</w:t>
      </w:r>
    </w:p>
    <w:p>
      <w:pPr>
        <w:spacing w:line="480" w:lineRule="auto"/>
        <w:ind w:firstLine="560" w:firstLineChars="200"/>
        <w:jc w:val="both"/>
        <w:rPr>
          <w:rFonts w:ascii="仿宋" w:hAnsi="仿宋" w:eastAsia="仿宋" w:cs="Arial"/>
          <w:color w:val="auto"/>
          <w:sz w:val="30"/>
          <w:szCs w:val="30"/>
          <w:highlight w:val="none"/>
          <w:u w:val="single"/>
        </w:rPr>
      </w:pPr>
      <w:r>
        <w:rPr>
          <w:rFonts w:hint="eastAsia" w:ascii="仿宋" w:hAnsi="仿宋" w:eastAsia="仿宋" w:cs="仿宋_GB2312"/>
          <w:color w:val="auto"/>
          <w:sz w:val="28"/>
          <w:szCs w:val="28"/>
          <w:highlight w:val="none"/>
        </w:rPr>
        <w:t>咨 询 人：</w:t>
      </w:r>
      <w:r>
        <w:rPr>
          <w:rFonts w:hint="eastAsia" w:ascii="仿宋" w:hAnsi="仿宋" w:eastAsia="仿宋" w:cs="仿宋_GB2312"/>
          <w:color w:val="auto"/>
          <w:sz w:val="30"/>
          <w:szCs w:val="30"/>
          <w:highlight w:val="none"/>
          <w:u w:val="single"/>
        </w:rPr>
        <w:t xml:space="preserve">                            </w:t>
      </w:r>
    </w:p>
    <w:p>
      <w:pPr>
        <w:ind w:firstLine="560" w:firstLineChars="200"/>
        <w:rPr>
          <w:rFonts w:ascii="仿宋" w:hAnsi="仿宋" w:eastAsia="仿宋" w:cs="Arial"/>
          <w:color w:val="auto"/>
          <w:sz w:val="28"/>
          <w:szCs w:val="28"/>
          <w:highlight w:val="none"/>
        </w:rPr>
      </w:pPr>
      <w:r>
        <w:rPr>
          <w:rFonts w:hint="eastAsia" w:ascii="仿宋" w:hAnsi="仿宋" w:eastAsia="仿宋" w:cs="仿宋_GB2312"/>
          <w:color w:val="auto"/>
          <w:sz w:val="28"/>
          <w:szCs w:val="28"/>
          <w:highlight w:val="none"/>
        </w:rPr>
        <w:t>合同编号：</w:t>
      </w:r>
      <w:r>
        <w:rPr>
          <w:rFonts w:hint="eastAsia" w:ascii="仿宋" w:hAnsi="仿宋" w:eastAsia="仿宋" w:cs="仿宋_GB2312"/>
          <w:color w:val="auto"/>
          <w:sz w:val="30"/>
          <w:szCs w:val="30"/>
          <w:highlight w:val="none"/>
          <w:u w:val="single"/>
        </w:rPr>
        <w:t xml:space="preserve">                            </w:t>
      </w:r>
      <w:r>
        <w:rPr>
          <w:rFonts w:ascii="仿宋" w:hAnsi="仿宋" w:eastAsia="仿宋" w:cs="仿宋_GB2312"/>
          <w:color w:val="auto"/>
          <w:sz w:val="28"/>
          <w:szCs w:val="28"/>
          <w:highlight w:val="none"/>
        </w:rPr>
        <w:t xml:space="preserve"> </w:t>
      </w:r>
    </w:p>
    <w:p>
      <w:pPr>
        <w:ind w:firstLine="560" w:firstLineChars="200"/>
        <w:rPr>
          <w:rFonts w:ascii="仿宋" w:hAnsi="仿宋" w:eastAsia="仿宋" w:cs="Arial"/>
          <w:color w:val="auto"/>
          <w:sz w:val="28"/>
          <w:szCs w:val="28"/>
          <w:highlight w:val="none"/>
        </w:rPr>
      </w:pPr>
      <w:r>
        <w:rPr>
          <w:rFonts w:hint="eastAsia" w:ascii="仿宋" w:hAnsi="仿宋" w:eastAsia="仿宋" w:cs="仿宋_GB2312"/>
          <w:color w:val="auto"/>
          <w:sz w:val="28"/>
          <w:szCs w:val="28"/>
          <w:highlight w:val="none"/>
        </w:rPr>
        <w:t>签订日期：</w:t>
      </w:r>
      <w:r>
        <w:rPr>
          <w:rFonts w:ascii="仿宋" w:hAnsi="仿宋" w:eastAsia="仿宋" w:cs="仿宋_GB2312"/>
          <w:color w:val="auto"/>
          <w:sz w:val="28"/>
          <w:szCs w:val="28"/>
          <w:highlight w:val="none"/>
        </w:rPr>
        <w:t xml:space="preserve">   年  月  日</w:t>
      </w:r>
    </w:p>
    <w:p>
      <w:pPr>
        <w:spacing w:line="480" w:lineRule="auto"/>
        <w:ind w:firstLine="560" w:firstLineChars="200"/>
        <w:jc w:val="both"/>
        <w:rPr>
          <w:rFonts w:ascii="仿宋" w:hAnsi="仿宋" w:eastAsia="仿宋" w:cs="仿宋_GB2312"/>
          <w:b/>
          <w:bCs/>
          <w:color w:val="auto"/>
          <w:sz w:val="30"/>
          <w:szCs w:val="30"/>
          <w:highlight w:val="none"/>
        </w:rPr>
      </w:pPr>
      <w:r>
        <w:rPr>
          <w:rFonts w:hint="eastAsia" w:ascii="仿宋" w:hAnsi="仿宋" w:eastAsia="仿宋" w:cs="仿宋_GB2312"/>
          <w:color w:val="auto"/>
          <w:sz w:val="28"/>
          <w:szCs w:val="28"/>
          <w:highlight w:val="none"/>
        </w:rPr>
        <w:t>签约地点：广州市</w:t>
      </w:r>
    </w:p>
    <w:p>
      <w:pPr>
        <w:spacing w:line="480" w:lineRule="auto"/>
        <w:ind w:firstLine="602" w:firstLineChars="200"/>
        <w:jc w:val="both"/>
        <w:rPr>
          <w:rFonts w:ascii="仿宋" w:hAnsi="仿宋" w:eastAsia="仿宋" w:cs="仿宋_GB2312"/>
          <w:b/>
          <w:bCs/>
          <w:color w:val="auto"/>
          <w:sz w:val="30"/>
          <w:szCs w:val="30"/>
          <w:highlight w:val="none"/>
        </w:rPr>
      </w:pPr>
    </w:p>
    <w:p>
      <w:pPr>
        <w:spacing w:line="480" w:lineRule="auto"/>
        <w:ind w:firstLine="602" w:firstLineChars="200"/>
        <w:jc w:val="both"/>
        <w:rPr>
          <w:rFonts w:ascii="仿宋" w:hAnsi="仿宋" w:eastAsia="仿宋" w:cs="仿宋_GB2312"/>
          <w:b/>
          <w:bCs/>
          <w:color w:val="auto"/>
          <w:sz w:val="30"/>
          <w:szCs w:val="30"/>
          <w:highlight w:val="none"/>
        </w:rPr>
      </w:pPr>
    </w:p>
    <w:p>
      <w:pPr>
        <w:spacing w:line="480" w:lineRule="auto"/>
        <w:ind w:firstLine="602" w:firstLineChars="200"/>
        <w:jc w:val="both"/>
        <w:rPr>
          <w:rFonts w:ascii="仿宋" w:hAnsi="仿宋" w:eastAsia="仿宋" w:cs="仿宋_GB2312"/>
          <w:b/>
          <w:bCs/>
          <w:color w:val="auto"/>
          <w:sz w:val="30"/>
          <w:szCs w:val="30"/>
          <w:highlight w:val="none"/>
        </w:rPr>
      </w:pPr>
    </w:p>
    <w:p>
      <w:pPr>
        <w:spacing w:line="480" w:lineRule="auto"/>
        <w:ind w:firstLine="602" w:firstLineChars="200"/>
        <w:jc w:val="both"/>
        <w:rPr>
          <w:rFonts w:ascii="仿宋" w:hAnsi="仿宋" w:eastAsia="仿宋" w:cs="仿宋_GB2312"/>
          <w:color w:val="auto"/>
          <w:sz w:val="28"/>
          <w:szCs w:val="28"/>
          <w:highlight w:val="none"/>
        </w:rPr>
      </w:pPr>
      <w:r>
        <w:rPr>
          <w:rFonts w:hint="eastAsia" w:ascii="仿宋" w:hAnsi="仿宋" w:eastAsia="仿宋" w:cs="仿宋_GB2312"/>
          <w:b/>
          <w:bCs/>
          <w:color w:val="auto"/>
          <w:sz w:val="30"/>
          <w:szCs w:val="30"/>
          <w:highlight w:val="none"/>
        </w:rPr>
        <w:t>委托人</w:t>
      </w:r>
      <w:r>
        <w:rPr>
          <w:rFonts w:hint="eastAsia" w:ascii="仿宋" w:hAnsi="仿宋" w:eastAsia="仿宋" w:cs="仿宋_GB2312"/>
          <w:color w:val="auto"/>
          <w:sz w:val="30"/>
          <w:szCs w:val="30"/>
          <w:highlight w:val="none"/>
        </w:rPr>
        <w:t>（简称甲方）：</w:t>
      </w:r>
      <w:r>
        <w:rPr>
          <w:rFonts w:hint="eastAsia" w:ascii="仿宋" w:hAnsi="仿宋" w:eastAsia="仿宋" w:cs="仿宋_GB2312"/>
          <w:color w:val="auto"/>
          <w:sz w:val="28"/>
          <w:szCs w:val="28"/>
          <w:highlight w:val="none"/>
        </w:rPr>
        <w:t>广州海丝城房地产开发有限公司</w:t>
      </w:r>
    </w:p>
    <w:p>
      <w:pPr>
        <w:ind w:firstLine="602" w:firstLineChars="200"/>
        <w:rPr>
          <w:rFonts w:ascii="仿宋" w:hAnsi="仿宋" w:eastAsia="仿宋" w:cs="Arial"/>
          <w:color w:val="auto"/>
          <w:sz w:val="30"/>
          <w:szCs w:val="30"/>
          <w:highlight w:val="none"/>
        </w:rPr>
      </w:pPr>
      <w:r>
        <w:rPr>
          <w:rFonts w:hint="eastAsia" w:ascii="仿宋" w:hAnsi="仿宋" w:eastAsia="仿宋" w:cs="仿宋_GB2312"/>
          <w:b/>
          <w:bCs/>
          <w:color w:val="auto"/>
          <w:sz w:val="30"/>
          <w:szCs w:val="30"/>
          <w:highlight w:val="none"/>
        </w:rPr>
        <w:t>咨询人</w:t>
      </w:r>
      <w:r>
        <w:rPr>
          <w:rFonts w:hint="eastAsia" w:ascii="仿宋" w:hAnsi="仿宋" w:eastAsia="仿宋" w:cs="仿宋_GB2312"/>
          <w:color w:val="auto"/>
          <w:sz w:val="30"/>
          <w:szCs w:val="30"/>
          <w:highlight w:val="none"/>
        </w:rPr>
        <w:t>（简称乙方）：</w:t>
      </w:r>
      <w:r>
        <w:rPr>
          <w:rFonts w:ascii="仿宋" w:hAnsi="仿宋" w:eastAsia="仿宋" w:cs="仿宋_GB2312"/>
          <w:color w:val="auto"/>
          <w:sz w:val="30"/>
          <w:szCs w:val="30"/>
          <w:highlight w:val="none"/>
        </w:rPr>
        <w:t xml:space="preserve"> </w:t>
      </w:r>
    </w:p>
    <w:p>
      <w:pPr>
        <w:ind w:firstLine="600" w:firstLineChars="200"/>
        <w:rPr>
          <w:rFonts w:ascii="仿宋" w:hAnsi="仿宋" w:eastAsia="仿宋" w:cs="仿宋_GB2312"/>
          <w:color w:val="auto"/>
          <w:sz w:val="30"/>
          <w:szCs w:val="30"/>
          <w:highlight w:val="none"/>
        </w:rPr>
      </w:pPr>
    </w:p>
    <w:p>
      <w:pPr>
        <w:ind w:firstLine="600" w:firstLineChars="200"/>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依照《中华人民共和国民法典》及有关法律、行政法规，甲方为维护自身的合法权益及合理控制建设工程项目造价，委托乙方对庙头村旧改首开区建设工程进行造价咨询服务，本着平等互利的原则，经双方协商一致，签订本合同，共同遵守。</w:t>
      </w:r>
    </w:p>
    <w:p>
      <w:pPr>
        <w:spacing w:line="480" w:lineRule="auto"/>
        <w:ind w:firstLine="602" w:firstLineChars="200"/>
        <w:rPr>
          <w:rFonts w:ascii="仿宋" w:hAnsi="仿宋" w:eastAsia="仿宋" w:cs="Arial"/>
          <w:color w:val="auto"/>
          <w:sz w:val="30"/>
          <w:szCs w:val="30"/>
          <w:highlight w:val="none"/>
        </w:rPr>
      </w:pPr>
      <w:r>
        <w:rPr>
          <w:rFonts w:hint="eastAsia" w:ascii="仿宋" w:hAnsi="仿宋" w:eastAsia="仿宋" w:cs="仿宋_GB2312"/>
          <w:b/>
          <w:bCs/>
          <w:color w:val="auto"/>
          <w:sz w:val="30"/>
          <w:szCs w:val="30"/>
          <w:highlight w:val="none"/>
        </w:rPr>
        <w:t>第一条</w:t>
      </w:r>
      <w:r>
        <w:rPr>
          <w:rFonts w:ascii="仿宋" w:hAnsi="仿宋" w:eastAsia="仿宋" w:cs="仿宋_GB2312"/>
          <w:b/>
          <w:bCs/>
          <w:color w:val="auto"/>
          <w:sz w:val="30"/>
          <w:szCs w:val="30"/>
          <w:highlight w:val="none"/>
        </w:rPr>
        <w:t xml:space="preserve"> </w:t>
      </w:r>
      <w:r>
        <w:rPr>
          <w:rFonts w:hint="eastAsia" w:ascii="仿宋" w:hAnsi="仿宋" w:eastAsia="仿宋" w:cs="仿宋_GB2312"/>
          <w:b/>
          <w:bCs/>
          <w:color w:val="auto"/>
          <w:sz w:val="30"/>
          <w:szCs w:val="30"/>
          <w:highlight w:val="none"/>
        </w:rPr>
        <w:t>咨询项目概况</w:t>
      </w:r>
    </w:p>
    <w:p>
      <w:pPr>
        <w:spacing w:line="480" w:lineRule="auto"/>
        <w:ind w:firstLine="600" w:firstLineChars="200"/>
        <w:rPr>
          <w:rFonts w:ascii="仿宋" w:hAnsi="仿宋" w:eastAsia="仿宋" w:cs="Arial"/>
          <w:color w:val="auto"/>
          <w:sz w:val="30"/>
          <w:szCs w:val="30"/>
          <w:highlight w:val="none"/>
        </w:rPr>
      </w:pPr>
      <w:r>
        <w:rPr>
          <w:rFonts w:ascii="仿宋" w:hAnsi="仿宋" w:eastAsia="仿宋" w:cs="仿宋_GB2312"/>
          <w:color w:val="auto"/>
          <w:sz w:val="30"/>
          <w:szCs w:val="30"/>
          <w:highlight w:val="none"/>
        </w:rPr>
        <w:t>1.1</w:t>
      </w:r>
      <w:r>
        <w:rPr>
          <w:rFonts w:hint="eastAsia" w:ascii="仿宋" w:hAnsi="仿宋" w:eastAsia="仿宋" w:cs="仿宋_GB2312"/>
          <w:color w:val="auto"/>
          <w:sz w:val="30"/>
          <w:szCs w:val="30"/>
          <w:highlight w:val="none"/>
        </w:rPr>
        <w:t>项目地点、位置及范围</w:t>
      </w:r>
      <w:r>
        <w:rPr>
          <w:rFonts w:ascii="仿宋" w:hAnsi="仿宋" w:eastAsia="仿宋" w:cs="仿宋_GB2312"/>
          <w:color w:val="auto"/>
          <w:sz w:val="30"/>
          <w:szCs w:val="30"/>
          <w:highlight w:val="none"/>
        </w:rPr>
        <w:t>:</w:t>
      </w:r>
    </w:p>
    <w:p>
      <w:pPr>
        <w:spacing w:line="480" w:lineRule="auto"/>
        <w:ind w:firstLine="600" w:firstLineChars="200"/>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广州黄埔区庙头黄埔东路以南、电厂东路以东，隔墙路以西地块。</w:t>
      </w:r>
    </w:p>
    <w:p>
      <w:pPr>
        <w:spacing w:line="480" w:lineRule="auto"/>
        <w:ind w:firstLine="600" w:firstLineChars="200"/>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 xml:space="preserve">1.2 </w:t>
      </w:r>
      <w:r>
        <w:rPr>
          <w:rFonts w:hint="eastAsia" w:ascii="仿宋" w:hAnsi="仿宋" w:eastAsia="仿宋" w:cs="仿宋_GB2312"/>
          <w:color w:val="auto"/>
          <w:sz w:val="30"/>
          <w:szCs w:val="30"/>
          <w:highlight w:val="none"/>
        </w:rPr>
        <w:t>项目规模：</w:t>
      </w:r>
    </w:p>
    <w:p>
      <w:pPr>
        <w:spacing w:line="480" w:lineRule="auto"/>
        <w:ind w:firstLine="600" w:firstLineChars="200"/>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首开区工程总建筑面积184502.29㎡，复建地块住宅建筑面积 62604.07㎡、地下室建筑面积：28361.63,容积率4.78；复建区1#、2#楼（地下二/三层、地上三十层）两栋联体楼，复建区3#楼（地下二层、地上三十层）一栋单体楼；融资地块住宅建筑面积67235.57㎡，地下室建筑面积：26301.02,容积率：5.28，融资区1#（地下三层、地上四十二层）、2#楼两栋联体楼（地下三层、地上四十八层），融资区3#楼（地下二层、地上三十层）两栋联体楼。</w:t>
      </w:r>
    </w:p>
    <w:p>
      <w:pPr>
        <w:pStyle w:val="2"/>
        <w:ind w:firstLine="480" w:firstLineChars="200"/>
        <w:rPr>
          <w:rFonts w:eastAsia="仿宋"/>
          <w:color w:val="auto"/>
          <w:highlight w:val="none"/>
        </w:rPr>
      </w:pPr>
    </w:p>
    <w:p>
      <w:pPr>
        <w:pStyle w:val="2"/>
        <w:ind w:firstLine="480" w:firstLineChars="200"/>
        <w:rPr>
          <w:rFonts w:eastAsia="仿宋"/>
          <w:color w:val="auto"/>
          <w:highlight w:val="none"/>
        </w:rPr>
      </w:pPr>
    </w:p>
    <w:p>
      <w:pPr>
        <w:pStyle w:val="2"/>
        <w:ind w:firstLine="480" w:firstLineChars="200"/>
        <w:rPr>
          <w:rFonts w:eastAsia="仿宋"/>
          <w:color w:val="auto"/>
          <w:highlight w:val="none"/>
        </w:rPr>
      </w:pPr>
    </w:p>
    <w:p>
      <w:pPr>
        <w:pStyle w:val="2"/>
        <w:ind w:firstLine="480" w:firstLineChars="200"/>
        <w:rPr>
          <w:rFonts w:eastAsia="仿宋"/>
          <w:color w:val="auto"/>
          <w:highlight w:val="none"/>
        </w:rPr>
      </w:pPr>
    </w:p>
    <w:tbl>
      <w:tblPr>
        <w:tblStyle w:val="11"/>
        <w:tblW w:w="8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701"/>
        <w:gridCol w:w="2320"/>
        <w:gridCol w:w="1224"/>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3" w:hRule="atLeast"/>
          <w:jc w:val="center"/>
        </w:trPr>
        <w:tc>
          <w:tcPr>
            <w:tcW w:w="850" w:type="dxa"/>
            <w:vAlign w:val="center"/>
          </w:tcPr>
          <w:p>
            <w:pPr>
              <w:spacing w:line="360" w:lineRule="auto"/>
              <w:jc w:val="center"/>
              <w:rPr>
                <w:rFonts w:ascii="仿宋" w:hAnsi="仿宋" w:eastAsia="仿宋"/>
                <w:color w:val="auto"/>
                <w:highlight w:val="none"/>
              </w:rPr>
            </w:pPr>
            <w:r>
              <w:rPr>
                <w:rFonts w:ascii="仿宋" w:hAnsi="仿宋" w:eastAsia="仿宋"/>
                <w:color w:val="auto"/>
                <w:highlight w:val="none"/>
              </w:rPr>
              <w:t>序号</w:t>
            </w:r>
          </w:p>
        </w:tc>
        <w:tc>
          <w:tcPr>
            <w:tcW w:w="1701" w:type="dxa"/>
            <w:vAlign w:val="center"/>
          </w:tcPr>
          <w:p>
            <w:pPr>
              <w:spacing w:line="360" w:lineRule="auto"/>
              <w:jc w:val="center"/>
              <w:rPr>
                <w:rFonts w:ascii="仿宋" w:hAnsi="仿宋" w:eastAsia="仿宋"/>
                <w:color w:val="auto"/>
                <w:spacing w:val="-22"/>
                <w:highlight w:val="none"/>
              </w:rPr>
            </w:pPr>
            <w:r>
              <w:rPr>
                <w:rFonts w:ascii="仿宋" w:hAnsi="仿宋" w:eastAsia="仿宋"/>
                <w:color w:val="auto"/>
                <w:spacing w:val="-22"/>
                <w:highlight w:val="none"/>
              </w:rPr>
              <w:t>项目名称</w:t>
            </w:r>
          </w:p>
        </w:tc>
        <w:tc>
          <w:tcPr>
            <w:tcW w:w="2320" w:type="dxa"/>
            <w:vAlign w:val="center"/>
          </w:tcPr>
          <w:p>
            <w:pPr>
              <w:spacing w:line="360" w:lineRule="auto"/>
              <w:jc w:val="center"/>
              <w:rPr>
                <w:rFonts w:ascii="仿宋" w:hAnsi="仿宋" w:eastAsia="仿宋"/>
                <w:color w:val="auto"/>
                <w:highlight w:val="none"/>
              </w:rPr>
            </w:pPr>
            <w:r>
              <w:rPr>
                <w:rFonts w:hint="eastAsia" w:ascii="仿宋" w:hAnsi="仿宋" w:eastAsia="仿宋"/>
                <w:color w:val="auto"/>
                <w:highlight w:val="none"/>
              </w:rPr>
              <w:t>总建筑面积（暂定）</w:t>
            </w:r>
          </w:p>
          <w:p>
            <w:pPr>
              <w:spacing w:line="360" w:lineRule="auto"/>
              <w:jc w:val="center"/>
              <w:rPr>
                <w:rFonts w:ascii="仿宋" w:hAnsi="仿宋" w:eastAsia="仿宋"/>
                <w:color w:val="auto"/>
                <w:highlight w:val="none"/>
              </w:rPr>
            </w:pPr>
            <w:r>
              <w:rPr>
                <w:rFonts w:hint="eastAsia" w:ascii="仿宋" w:hAnsi="仿宋" w:eastAsia="仿宋"/>
                <w:color w:val="auto"/>
                <w:highlight w:val="none"/>
              </w:rPr>
              <w:t>（㎡</w:t>
            </w:r>
            <w:r>
              <w:rPr>
                <w:rFonts w:ascii="仿宋" w:hAnsi="仿宋" w:eastAsia="仿宋"/>
                <w:color w:val="auto"/>
                <w:highlight w:val="none"/>
              </w:rPr>
              <w:t>）</w:t>
            </w:r>
          </w:p>
        </w:tc>
        <w:tc>
          <w:tcPr>
            <w:tcW w:w="1224" w:type="dxa"/>
            <w:vAlign w:val="center"/>
          </w:tcPr>
          <w:p>
            <w:pPr>
              <w:spacing w:line="360" w:lineRule="auto"/>
              <w:jc w:val="center"/>
              <w:rPr>
                <w:rFonts w:ascii="仿宋" w:hAnsi="仿宋" w:eastAsia="仿宋"/>
                <w:color w:val="auto"/>
                <w:highlight w:val="none"/>
              </w:rPr>
            </w:pPr>
            <w:r>
              <w:rPr>
                <w:rFonts w:hint="eastAsia" w:ascii="仿宋" w:hAnsi="仿宋" w:eastAsia="仿宋"/>
                <w:color w:val="auto"/>
                <w:highlight w:val="none"/>
              </w:rPr>
              <w:t>计容面积（㎡</w:t>
            </w:r>
            <w:r>
              <w:rPr>
                <w:rFonts w:ascii="仿宋" w:hAnsi="仿宋" w:eastAsia="仿宋"/>
                <w:color w:val="auto"/>
                <w:highlight w:val="none"/>
              </w:rPr>
              <w:t xml:space="preserve">） </w:t>
            </w:r>
          </w:p>
        </w:tc>
        <w:tc>
          <w:tcPr>
            <w:tcW w:w="2693" w:type="dxa"/>
            <w:vAlign w:val="center"/>
          </w:tcPr>
          <w:p>
            <w:pPr>
              <w:spacing w:line="360" w:lineRule="auto"/>
              <w:jc w:val="center"/>
              <w:rPr>
                <w:rFonts w:ascii="仿宋" w:hAnsi="仿宋" w:eastAsia="仿宋"/>
                <w:color w:val="auto"/>
                <w:highlight w:val="none"/>
              </w:rPr>
            </w:pPr>
            <w:r>
              <w:rPr>
                <w:rFonts w:hint="eastAsia" w:ascii="仿宋" w:hAnsi="仿宋" w:eastAsia="仿宋"/>
                <w:color w:val="auto"/>
                <w:highlight w:val="none"/>
              </w:rPr>
              <w:t>建安工程费总额（万元）</w:t>
            </w:r>
            <w:r>
              <w:rPr>
                <w:rFonts w:ascii="仿宋" w:hAnsi="仿宋" w:eastAsia="仿宋"/>
                <w:color w:val="auto"/>
                <w:highlight w:val="none"/>
              </w:rPr>
              <w:t>(</w:t>
            </w:r>
            <w:r>
              <w:rPr>
                <w:rFonts w:hint="eastAsia" w:ascii="仿宋" w:hAnsi="仿宋" w:eastAsia="仿宋"/>
                <w:color w:val="auto"/>
                <w:highlight w:val="none"/>
              </w:rPr>
              <w:t>暂定</w:t>
            </w:r>
            <w:r>
              <w:rPr>
                <w:rFonts w:ascii="仿宋" w:hAnsi="仿宋" w:eastAsia="仿宋"/>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jc w:val="center"/>
        </w:trPr>
        <w:tc>
          <w:tcPr>
            <w:tcW w:w="850" w:type="dxa"/>
            <w:vAlign w:val="center"/>
          </w:tcPr>
          <w:p>
            <w:pPr>
              <w:jc w:val="center"/>
              <w:rPr>
                <w:color w:val="auto"/>
                <w:highlight w:val="none"/>
              </w:rPr>
            </w:pPr>
            <w:r>
              <w:rPr>
                <w:color w:val="auto"/>
                <w:highlight w:val="none"/>
              </w:rPr>
              <w:t>1</w:t>
            </w:r>
          </w:p>
        </w:tc>
        <w:tc>
          <w:tcPr>
            <w:tcW w:w="1701" w:type="dxa"/>
            <w:vAlign w:val="center"/>
          </w:tcPr>
          <w:p>
            <w:pPr>
              <w:jc w:val="center"/>
              <w:rPr>
                <w:rFonts w:ascii="仿宋" w:hAnsi="仿宋" w:eastAsia="仿宋"/>
                <w:color w:val="auto"/>
                <w:highlight w:val="none"/>
              </w:rPr>
            </w:pPr>
            <w:r>
              <w:rPr>
                <w:rFonts w:ascii="仿宋" w:hAnsi="仿宋" w:eastAsia="仿宋"/>
                <w:color w:val="auto"/>
                <w:highlight w:val="none"/>
              </w:rPr>
              <w:t>庙头村旧改首开区</w:t>
            </w:r>
            <w:r>
              <w:rPr>
                <w:rFonts w:hint="eastAsia" w:ascii="仿宋" w:hAnsi="仿宋" w:eastAsia="仿宋"/>
                <w:color w:val="auto"/>
                <w:highlight w:val="none"/>
              </w:rPr>
              <w:t>建设工程项目</w:t>
            </w:r>
          </w:p>
        </w:tc>
        <w:tc>
          <w:tcPr>
            <w:tcW w:w="2320" w:type="dxa"/>
            <w:vAlign w:val="center"/>
          </w:tcPr>
          <w:p>
            <w:pPr>
              <w:jc w:val="center"/>
              <w:textAlignment w:val="bottom"/>
              <w:rPr>
                <w:rFonts w:ascii="宋体" w:hAnsi="宋体" w:cs="宋体"/>
                <w:color w:val="auto"/>
                <w:highlight w:val="none"/>
              </w:rPr>
            </w:pPr>
            <w:r>
              <w:rPr>
                <w:rFonts w:ascii="宋体" w:hAnsi="宋体" w:cs="宋体"/>
                <w:color w:val="auto"/>
                <w:highlight w:val="none"/>
              </w:rPr>
              <w:t>18</w:t>
            </w:r>
            <w:r>
              <w:rPr>
                <w:rFonts w:hint="eastAsia" w:ascii="宋体" w:hAnsi="宋体" w:cs="宋体"/>
                <w:color w:val="auto"/>
                <w:highlight w:val="none"/>
              </w:rPr>
              <w:t>4502.29</w:t>
            </w:r>
          </w:p>
        </w:tc>
        <w:tc>
          <w:tcPr>
            <w:tcW w:w="1224" w:type="dxa"/>
            <w:vAlign w:val="center"/>
          </w:tcPr>
          <w:p>
            <w:pPr>
              <w:spacing w:line="360" w:lineRule="auto"/>
              <w:jc w:val="center"/>
              <w:rPr>
                <w:rFonts w:ascii="仿宋" w:hAnsi="仿宋" w:eastAsia="仿宋"/>
                <w:color w:val="auto"/>
                <w:highlight w:val="none"/>
              </w:rPr>
            </w:pPr>
            <w:r>
              <w:rPr>
                <w:rFonts w:ascii="仿宋" w:hAnsi="仿宋" w:eastAsia="仿宋"/>
                <w:color w:val="auto"/>
                <w:highlight w:val="none"/>
              </w:rPr>
              <w:t>≤</w:t>
            </w:r>
            <w:r>
              <w:rPr>
                <w:rFonts w:hint="eastAsia" w:ascii="仿宋" w:hAnsi="仿宋" w:eastAsia="仿宋"/>
                <w:color w:val="auto"/>
                <w:highlight w:val="none"/>
              </w:rPr>
              <w:t>122185</w:t>
            </w:r>
          </w:p>
        </w:tc>
        <w:tc>
          <w:tcPr>
            <w:tcW w:w="2693" w:type="dxa"/>
            <w:vAlign w:val="center"/>
          </w:tcPr>
          <w:p>
            <w:pPr>
              <w:spacing w:line="360" w:lineRule="auto"/>
              <w:jc w:val="center"/>
              <w:rPr>
                <w:rFonts w:ascii="仿宋" w:hAnsi="仿宋" w:eastAsia="仿宋"/>
                <w:color w:val="auto"/>
                <w:highlight w:val="none"/>
              </w:rPr>
            </w:pPr>
            <w:r>
              <w:rPr>
                <w:rFonts w:hint="eastAsia" w:ascii="仿宋" w:hAnsi="仿宋" w:eastAsia="仿宋"/>
                <w:color w:val="auto"/>
                <w:highlight w:val="none"/>
              </w:rPr>
              <w:t>99173</w:t>
            </w:r>
          </w:p>
        </w:tc>
      </w:tr>
    </w:tbl>
    <w:p>
      <w:pPr>
        <w:spacing w:line="480" w:lineRule="auto"/>
        <w:ind w:firstLine="590" w:firstLineChars="196"/>
        <w:rPr>
          <w:rFonts w:ascii="仿宋" w:hAnsi="仿宋" w:eastAsia="仿宋" w:cs="Arial"/>
          <w:b/>
          <w:bCs/>
          <w:color w:val="auto"/>
          <w:sz w:val="30"/>
          <w:szCs w:val="30"/>
          <w:highlight w:val="none"/>
        </w:rPr>
      </w:pPr>
      <w:r>
        <w:rPr>
          <w:rFonts w:hint="eastAsia" w:ascii="仿宋" w:hAnsi="仿宋" w:eastAsia="仿宋" w:cs="仿宋_GB2312"/>
          <w:b/>
          <w:bCs/>
          <w:color w:val="auto"/>
          <w:sz w:val="30"/>
          <w:szCs w:val="30"/>
          <w:highlight w:val="none"/>
        </w:rPr>
        <w:t>第二条</w:t>
      </w:r>
      <w:r>
        <w:rPr>
          <w:rFonts w:ascii="仿宋" w:hAnsi="仿宋" w:eastAsia="仿宋" w:cs="仿宋_GB2312"/>
          <w:b/>
          <w:bCs/>
          <w:color w:val="auto"/>
          <w:sz w:val="30"/>
          <w:szCs w:val="30"/>
          <w:highlight w:val="none"/>
        </w:rPr>
        <w:t xml:space="preserve"> </w:t>
      </w:r>
      <w:r>
        <w:rPr>
          <w:rFonts w:hint="eastAsia" w:ascii="仿宋" w:hAnsi="仿宋" w:eastAsia="仿宋" w:cs="仿宋_GB2312"/>
          <w:b/>
          <w:bCs/>
          <w:color w:val="auto"/>
          <w:sz w:val="30"/>
          <w:szCs w:val="30"/>
          <w:highlight w:val="none"/>
        </w:rPr>
        <w:t>咨询的范围及工作内容</w:t>
      </w:r>
    </w:p>
    <w:p>
      <w:pPr>
        <w:widowControl w:val="0"/>
        <w:tabs>
          <w:tab w:val="left" w:pos="1440"/>
        </w:tabs>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 xml:space="preserve"> 2</w:t>
      </w: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1</w:t>
      </w:r>
      <w:r>
        <w:rPr>
          <w:rFonts w:hint="eastAsia" w:ascii="仿宋" w:hAnsi="仿宋" w:eastAsia="仿宋" w:cs="仿宋_GB2312"/>
          <w:color w:val="auto"/>
          <w:sz w:val="30"/>
          <w:szCs w:val="30"/>
          <w:highlight w:val="none"/>
        </w:rPr>
        <w:t>委托咨询的工程范围：</w:t>
      </w:r>
    </w:p>
    <w:p>
      <w:pPr>
        <w:spacing w:line="480" w:lineRule="auto"/>
        <w:ind w:firstLine="600" w:firstLineChars="200"/>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庙头村旧改造首开区项目红线范围内土石方、基坑支护及桩基础</w:t>
      </w:r>
      <w:r>
        <w:rPr>
          <w:rFonts w:hint="eastAsia" w:ascii="仿宋" w:hAnsi="仿宋" w:eastAsia="仿宋" w:cs="仿宋_GB2312"/>
          <w:color w:val="auto"/>
          <w:spacing w:val="-4"/>
          <w:sz w:val="30"/>
          <w:szCs w:val="30"/>
          <w:highlight w:val="none"/>
        </w:rPr>
        <w:t>、</w:t>
      </w:r>
      <w:r>
        <w:rPr>
          <w:rFonts w:hint="eastAsia" w:ascii="仿宋" w:hAnsi="仿宋" w:eastAsia="仿宋" w:cs="仿宋_GB2312"/>
          <w:color w:val="auto"/>
          <w:sz w:val="30"/>
          <w:szCs w:val="30"/>
          <w:highlight w:val="none"/>
        </w:rPr>
        <w:t>所有建筑主体、附属、配套建筑和设施以及属于本项目所需、但又处于规划用地红线范围外的周边市政配套设施（含与外界连接道路、地铁搭接、外供水、外排水、外供电、燃气等）所有项目，包括但不限于：</w:t>
      </w:r>
    </w:p>
    <w:p>
      <w:pPr>
        <w:spacing w:line="480" w:lineRule="auto"/>
        <w:ind w:firstLine="584" w:firstLineChars="200"/>
        <w:rPr>
          <w:rFonts w:ascii="仿宋" w:hAnsi="仿宋" w:eastAsia="仿宋" w:cs="Arial"/>
          <w:color w:val="auto"/>
          <w:spacing w:val="-4"/>
          <w:sz w:val="30"/>
          <w:szCs w:val="30"/>
          <w:highlight w:val="none"/>
        </w:rPr>
      </w:pPr>
      <w:r>
        <w:rPr>
          <w:rFonts w:hint="eastAsia" w:ascii="仿宋" w:hAnsi="仿宋" w:eastAsia="仿宋" w:cs="仿宋_GB2312"/>
          <w:color w:val="auto"/>
          <w:spacing w:val="-4"/>
          <w:sz w:val="30"/>
          <w:szCs w:val="30"/>
          <w:highlight w:val="none"/>
        </w:rPr>
        <w:t>（</w:t>
      </w:r>
      <w:r>
        <w:rPr>
          <w:rFonts w:ascii="仿宋" w:hAnsi="仿宋" w:eastAsia="仿宋" w:cs="仿宋_GB2312"/>
          <w:color w:val="auto"/>
          <w:spacing w:val="-4"/>
          <w:sz w:val="30"/>
          <w:szCs w:val="30"/>
          <w:highlight w:val="none"/>
        </w:rPr>
        <w:t>1</w:t>
      </w:r>
      <w:r>
        <w:rPr>
          <w:rFonts w:hint="eastAsia" w:ascii="仿宋" w:hAnsi="仿宋" w:eastAsia="仿宋" w:cs="仿宋_GB2312"/>
          <w:color w:val="auto"/>
          <w:spacing w:val="-4"/>
          <w:sz w:val="30"/>
          <w:szCs w:val="30"/>
          <w:highlight w:val="none"/>
        </w:rPr>
        <w:t>）土石方及基坑支护、建筑、结构、安装、机电</w:t>
      </w:r>
      <w:r>
        <w:rPr>
          <w:rFonts w:ascii="仿宋" w:hAnsi="仿宋" w:eastAsia="仿宋" w:cs="仿宋_GB2312"/>
          <w:color w:val="auto"/>
          <w:spacing w:val="-4"/>
          <w:sz w:val="30"/>
          <w:szCs w:val="30"/>
          <w:highlight w:val="none"/>
        </w:rPr>
        <w:t>(</w:t>
      </w:r>
      <w:r>
        <w:rPr>
          <w:rFonts w:hint="eastAsia" w:ascii="仿宋" w:hAnsi="仿宋" w:eastAsia="仿宋" w:cs="仿宋_GB2312"/>
          <w:color w:val="auto"/>
          <w:spacing w:val="-4"/>
          <w:sz w:val="30"/>
          <w:szCs w:val="30"/>
          <w:highlight w:val="none"/>
        </w:rPr>
        <w:t>含电梯工程</w:t>
      </w:r>
      <w:r>
        <w:rPr>
          <w:rFonts w:ascii="仿宋" w:hAnsi="仿宋" w:eastAsia="仿宋" w:cs="仿宋_GB2312"/>
          <w:color w:val="auto"/>
          <w:spacing w:val="-4"/>
          <w:sz w:val="30"/>
          <w:szCs w:val="30"/>
          <w:highlight w:val="none"/>
        </w:rPr>
        <w:t>)</w:t>
      </w:r>
      <w:r>
        <w:rPr>
          <w:rFonts w:hint="eastAsia" w:ascii="仿宋" w:hAnsi="仿宋" w:eastAsia="仿宋" w:cs="仿宋_GB2312"/>
          <w:color w:val="auto"/>
          <w:spacing w:val="-4"/>
          <w:sz w:val="30"/>
          <w:szCs w:val="30"/>
          <w:highlight w:val="none"/>
        </w:rPr>
        <w:t>、通风空调</w:t>
      </w:r>
      <w:r>
        <w:rPr>
          <w:rFonts w:ascii="仿宋" w:hAnsi="仿宋" w:eastAsia="仿宋" w:cs="仿宋_GB2312"/>
          <w:color w:val="auto"/>
          <w:spacing w:val="-4"/>
          <w:sz w:val="30"/>
          <w:szCs w:val="30"/>
          <w:highlight w:val="none"/>
        </w:rPr>
        <w:t>(</w:t>
      </w:r>
      <w:r>
        <w:rPr>
          <w:rFonts w:hint="eastAsia" w:ascii="仿宋" w:hAnsi="仿宋" w:eastAsia="仿宋" w:cs="仿宋_GB2312"/>
          <w:color w:val="auto"/>
          <w:spacing w:val="-4"/>
          <w:sz w:val="30"/>
          <w:szCs w:val="30"/>
          <w:highlight w:val="none"/>
        </w:rPr>
        <w:t>除酒店、购物中心外，其余均不含中央空调</w:t>
      </w:r>
      <w:r>
        <w:rPr>
          <w:rFonts w:ascii="仿宋" w:hAnsi="仿宋" w:eastAsia="仿宋" w:cs="仿宋_GB2312"/>
          <w:color w:val="auto"/>
          <w:spacing w:val="-4"/>
          <w:sz w:val="30"/>
          <w:szCs w:val="30"/>
          <w:highlight w:val="none"/>
        </w:rPr>
        <w:t>)</w:t>
      </w:r>
      <w:r>
        <w:rPr>
          <w:rFonts w:hint="eastAsia" w:ascii="仿宋" w:hAnsi="仿宋" w:eastAsia="仿宋" w:cs="仿宋_GB2312"/>
          <w:color w:val="auto"/>
          <w:spacing w:val="-4"/>
          <w:sz w:val="30"/>
          <w:szCs w:val="30"/>
          <w:highlight w:val="none"/>
        </w:rPr>
        <w:t>、人防、消防、桩基础及土方回填、给排水（含永久外供水、外排水）、强电（含永久外供电等）、弱电（含建筑智能化系统等）、泛光照明、幕墙、真空垃圾收集、市政、燃气、通讯、卫生防疫、防雷及室内外的道路（含规划道路及小区道路）、园林景观、绿化、室外广场、停车场</w:t>
      </w:r>
      <w:r>
        <w:rPr>
          <w:rFonts w:ascii="仿宋" w:hAnsi="仿宋" w:eastAsia="仿宋" w:cs="仿宋_GB2312"/>
          <w:color w:val="auto"/>
          <w:spacing w:val="-4"/>
          <w:sz w:val="30"/>
          <w:szCs w:val="30"/>
          <w:highlight w:val="none"/>
        </w:rPr>
        <w:t>(</w:t>
      </w:r>
      <w:r>
        <w:rPr>
          <w:rFonts w:hint="eastAsia" w:ascii="仿宋" w:hAnsi="仿宋" w:eastAsia="仿宋" w:cs="仿宋_GB2312"/>
          <w:color w:val="auto"/>
          <w:spacing w:val="-4"/>
          <w:sz w:val="30"/>
          <w:szCs w:val="30"/>
          <w:highlight w:val="none"/>
        </w:rPr>
        <w:t>含机械停车，如有</w:t>
      </w:r>
      <w:r>
        <w:rPr>
          <w:rFonts w:ascii="仿宋" w:hAnsi="仿宋" w:eastAsia="仿宋" w:cs="仿宋_GB2312"/>
          <w:color w:val="auto"/>
          <w:spacing w:val="-4"/>
          <w:sz w:val="30"/>
          <w:szCs w:val="30"/>
          <w:highlight w:val="none"/>
        </w:rPr>
        <w:t>)</w:t>
      </w:r>
      <w:r>
        <w:rPr>
          <w:rFonts w:hint="eastAsia" w:ascii="仿宋" w:hAnsi="仿宋" w:eastAsia="仿宋" w:cs="仿宋_GB2312"/>
          <w:color w:val="auto"/>
          <w:spacing w:val="-4"/>
          <w:sz w:val="30"/>
          <w:szCs w:val="30"/>
          <w:highlight w:val="none"/>
        </w:rPr>
        <w:t>等；</w:t>
      </w:r>
    </w:p>
    <w:p>
      <w:pPr>
        <w:spacing w:line="480" w:lineRule="auto"/>
        <w:ind w:firstLine="600" w:firstLineChars="200"/>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2</w:t>
      </w:r>
      <w:r>
        <w:rPr>
          <w:rFonts w:hint="eastAsia" w:ascii="仿宋" w:hAnsi="仿宋" w:eastAsia="仿宋" w:cs="仿宋_GB2312"/>
          <w:color w:val="auto"/>
          <w:sz w:val="30"/>
          <w:szCs w:val="30"/>
          <w:highlight w:val="none"/>
        </w:rPr>
        <w:t>）桥梁（含人行天桥、风雨连廊等，如有）、河涌（如有）、隧道（如有）、箱涵（如有）、涵洞（如有）、交通设施和标识、小区标志门楼等配套设施；</w:t>
      </w:r>
    </w:p>
    <w:p>
      <w:pPr>
        <w:spacing w:line="480" w:lineRule="auto"/>
        <w:ind w:firstLine="600" w:firstLineChars="200"/>
        <w:rPr>
          <w:rFonts w:ascii="仿宋" w:hAnsi="仿宋" w:eastAsia="仿宋" w:cs="Arial"/>
          <w:color w:val="auto"/>
          <w:sz w:val="30"/>
          <w:szCs w:val="30"/>
          <w:highlight w:val="none"/>
        </w:rPr>
      </w:pPr>
      <w:r>
        <w:rPr>
          <w:rFonts w:ascii="仿宋" w:hAnsi="仿宋" w:eastAsia="仿宋" w:cs="仿宋_GB2312"/>
          <w:color w:val="auto"/>
          <w:sz w:val="30"/>
          <w:szCs w:val="30"/>
          <w:highlight w:val="none"/>
        </w:rPr>
        <w:t>(3)</w:t>
      </w:r>
      <w:r>
        <w:rPr>
          <w:rFonts w:hint="eastAsia" w:ascii="仿宋" w:hAnsi="仿宋" w:eastAsia="仿宋" w:cs="仿宋_GB2312"/>
          <w:color w:val="auto"/>
          <w:sz w:val="30"/>
          <w:szCs w:val="30"/>
          <w:highlight w:val="none"/>
        </w:rPr>
        <w:t>项目涉及的临时围墙、临时道路、施工用水用电、临时给水排水、围蔽、场平、板房、清表、建设单位的驻地办公场所（临时板房、景观绿化、旗杆等）等所有临时设施以及所涉及的设施拆除、管线迁改等；</w:t>
      </w:r>
    </w:p>
    <w:p>
      <w:pPr>
        <w:spacing w:line="480" w:lineRule="auto"/>
        <w:ind w:firstLine="600" w:firstLineChars="200"/>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4</w:t>
      </w:r>
      <w:r>
        <w:rPr>
          <w:rFonts w:hint="eastAsia" w:ascii="仿宋" w:hAnsi="仿宋" w:eastAsia="仿宋" w:cs="仿宋_GB2312"/>
          <w:color w:val="auto"/>
          <w:sz w:val="30"/>
          <w:szCs w:val="30"/>
          <w:highlight w:val="none"/>
        </w:rPr>
        <w:t>）建筑节能、环保及绿色建筑设计相关项目；</w:t>
      </w:r>
    </w:p>
    <w:p>
      <w:pPr>
        <w:spacing w:line="480" w:lineRule="auto"/>
        <w:ind w:firstLine="600" w:firstLineChars="200"/>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5</w:t>
      </w:r>
      <w:r>
        <w:rPr>
          <w:rFonts w:hint="eastAsia" w:ascii="仿宋" w:hAnsi="仿宋" w:eastAsia="仿宋" w:cs="仿宋_GB2312"/>
          <w:color w:val="auto"/>
          <w:sz w:val="30"/>
          <w:szCs w:val="30"/>
          <w:highlight w:val="none"/>
        </w:rPr>
        <w:t>）装修工程</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包括但不限于含大堂、公共连接通道、样板房及所有室内的精装修项目</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w:t>
      </w:r>
    </w:p>
    <w:p>
      <w:pPr>
        <w:widowControl w:val="0"/>
        <w:tabs>
          <w:tab w:val="left" w:pos="1440"/>
        </w:tabs>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6</w:t>
      </w:r>
      <w:r>
        <w:rPr>
          <w:rFonts w:hint="eastAsia" w:ascii="仿宋" w:hAnsi="仿宋" w:eastAsia="仿宋" w:cs="仿宋_GB2312"/>
          <w:color w:val="auto"/>
          <w:sz w:val="30"/>
          <w:szCs w:val="30"/>
          <w:highlight w:val="none"/>
        </w:rPr>
        <w:t>）与该项目建设相关的零星工程及配套工程</w:t>
      </w:r>
      <w:r>
        <w:rPr>
          <w:rFonts w:hint="eastAsia" w:ascii="仿宋" w:hAnsi="仿宋" w:eastAsia="仿宋" w:cs="仿宋_GB2312"/>
          <w:color w:val="auto"/>
          <w:sz w:val="30"/>
          <w:szCs w:val="30"/>
          <w:highlight w:val="none"/>
        </w:rPr>
        <w:t>（庙头西新村安置板房工程、堆山造景工程等）</w:t>
      </w:r>
      <w:r>
        <w:rPr>
          <w:rFonts w:hint="eastAsia" w:ascii="仿宋" w:hAnsi="仿宋" w:eastAsia="仿宋" w:cs="仿宋_GB2312"/>
          <w:color w:val="auto"/>
          <w:sz w:val="30"/>
          <w:szCs w:val="30"/>
          <w:highlight w:val="none"/>
        </w:rPr>
        <w:t>；</w:t>
      </w:r>
    </w:p>
    <w:p>
      <w:pPr>
        <w:widowControl w:val="0"/>
        <w:tabs>
          <w:tab w:val="left" w:pos="1440"/>
        </w:tabs>
        <w:spacing w:line="480" w:lineRule="auto"/>
        <w:ind w:firstLine="576" w:firstLineChars="200"/>
        <w:jc w:val="both"/>
        <w:rPr>
          <w:rFonts w:ascii="仿宋" w:hAnsi="仿宋" w:eastAsia="仿宋" w:cs="Arial"/>
          <w:color w:val="auto"/>
          <w:spacing w:val="-6"/>
          <w:sz w:val="30"/>
          <w:szCs w:val="30"/>
          <w:highlight w:val="none"/>
        </w:rPr>
      </w:pPr>
      <w:r>
        <w:rPr>
          <w:rFonts w:hint="eastAsia" w:ascii="仿宋" w:hAnsi="仿宋" w:eastAsia="仿宋" w:cs="仿宋_GB2312"/>
          <w:color w:val="auto"/>
          <w:spacing w:val="-6"/>
          <w:sz w:val="30"/>
          <w:szCs w:val="30"/>
          <w:highlight w:val="none"/>
        </w:rPr>
        <w:t>（</w:t>
      </w:r>
      <w:r>
        <w:rPr>
          <w:rFonts w:ascii="仿宋" w:hAnsi="仿宋" w:eastAsia="仿宋" w:cs="仿宋_GB2312"/>
          <w:color w:val="auto"/>
          <w:spacing w:val="-6"/>
          <w:sz w:val="30"/>
          <w:szCs w:val="30"/>
          <w:highlight w:val="none"/>
        </w:rPr>
        <w:t>7</w:t>
      </w:r>
      <w:r>
        <w:rPr>
          <w:rFonts w:hint="eastAsia" w:ascii="仿宋" w:hAnsi="仿宋" w:eastAsia="仿宋" w:cs="仿宋_GB2312"/>
          <w:color w:val="auto"/>
          <w:spacing w:val="-6"/>
          <w:sz w:val="30"/>
          <w:szCs w:val="30"/>
          <w:highlight w:val="none"/>
        </w:rPr>
        <w:t>）与该项目建设相关的服务、检测、监测、咨询、采购项目等。</w:t>
      </w:r>
    </w:p>
    <w:p>
      <w:pPr>
        <w:widowControl w:val="0"/>
        <w:tabs>
          <w:tab w:val="left" w:pos="1440"/>
        </w:tabs>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 xml:space="preserve"> 2</w:t>
      </w: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2</w:t>
      </w:r>
      <w:r>
        <w:rPr>
          <w:rFonts w:hint="eastAsia" w:ascii="仿宋" w:hAnsi="仿宋" w:eastAsia="仿宋" w:cs="仿宋_GB2312"/>
          <w:color w:val="auto"/>
          <w:sz w:val="30"/>
          <w:szCs w:val="30"/>
          <w:highlight w:val="none"/>
        </w:rPr>
        <w:t>委托咨询内容：</w:t>
      </w:r>
    </w:p>
    <w:p>
      <w:pPr>
        <w:spacing w:line="480" w:lineRule="auto"/>
        <w:ind w:firstLine="600" w:firstLineChars="200"/>
        <w:rPr>
          <w:rFonts w:ascii="仿宋" w:hAnsi="仿宋" w:eastAsia="仿宋" w:cs="Arial"/>
          <w:color w:val="auto"/>
          <w:sz w:val="30"/>
          <w:szCs w:val="30"/>
          <w:highlight w:val="none"/>
        </w:rPr>
      </w:pPr>
      <w:bookmarkStart w:id="0" w:name="OLE_LINK3"/>
      <w:bookmarkStart w:id="1" w:name="OLE_LINK4"/>
      <w:r>
        <w:rPr>
          <w:rFonts w:hint="eastAsia" w:ascii="仿宋" w:hAnsi="仿宋" w:eastAsia="仿宋" w:cs="仿宋_GB2312"/>
          <w:color w:val="auto"/>
          <w:sz w:val="30"/>
          <w:szCs w:val="30"/>
          <w:highlight w:val="none"/>
        </w:rPr>
        <w:t>乙方在甲方所确定的项目建安工程费总额范围内（本合同第</w:t>
      </w:r>
      <w:r>
        <w:rPr>
          <w:rFonts w:ascii="仿宋" w:hAnsi="仿宋" w:eastAsia="仿宋" w:cs="仿宋_GB2312"/>
          <w:color w:val="auto"/>
          <w:sz w:val="30"/>
          <w:szCs w:val="30"/>
          <w:highlight w:val="none"/>
        </w:rPr>
        <w:t>1.2</w:t>
      </w:r>
      <w:r>
        <w:rPr>
          <w:rFonts w:hint="eastAsia" w:ascii="仿宋" w:hAnsi="仿宋" w:eastAsia="仿宋" w:cs="仿宋_GB2312"/>
          <w:color w:val="auto"/>
          <w:sz w:val="30"/>
          <w:szCs w:val="30"/>
          <w:highlight w:val="none"/>
        </w:rPr>
        <w:t>条确定的项目建安工程费总额仅为暂定金额，投资限额以甲方向乙方的书面通知为准），为实现启动版目标成本、方案版目标成本、</w:t>
      </w:r>
      <w:r>
        <w:rPr>
          <w:rFonts w:hint="eastAsia" w:ascii="仿宋" w:hAnsi="仿宋" w:eastAsia="仿宋" w:cs="仿宋_GB2312"/>
          <w:color w:val="auto"/>
          <w:sz w:val="30"/>
          <w:szCs w:val="30"/>
          <w:highlight w:val="none"/>
        </w:rPr>
        <w:t>施工图版目标成本</w:t>
      </w:r>
      <w:r>
        <w:rPr>
          <w:rFonts w:hint="eastAsia" w:ascii="仿宋" w:hAnsi="仿宋" w:eastAsia="仿宋" w:cs="仿宋_GB2312"/>
          <w:color w:val="auto"/>
          <w:sz w:val="30"/>
          <w:szCs w:val="30"/>
          <w:highlight w:val="none"/>
        </w:rPr>
        <w:t>的层层控制目标，确保项目建安成本不突破甲方所确定的限额投资目标，而应当提供的各项咨询、分析、审核工作</w:t>
      </w:r>
      <w:bookmarkEnd w:id="0"/>
      <w:bookmarkEnd w:id="1"/>
      <w:r>
        <w:rPr>
          <w:rFonts w:hint="eastAsia" w:ascii="仿宋" w:hAnsi="仿宋" w:eastAsia="仿宋" w:cs="仿宋_GB2312"/>
          <w:color w:val="auto"/>
          <w:sz w:val="30"/>
          <w:szCs w:val="30"/>
          <w:highlight w:val="none"/>
        </w:rPr>
        <w:t>，包括但不限于：在项目招标阶段、施工阶段、结算阶段等全过程为甲方提供造价咨询及投资控制服务</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包括招标控制价及工程量清单编审、进度款计量、工程变更引起的项目单价及预算编审、材料设备市场询价定价、项目竣工结算，以及上述各阶段咨询工作中涉及的钢筋及预埋件计算（含依据施工图纸、设计标准和施工操作规程计算或审核钢筋（或铁件）重量，提供完整的钢筋（或铁件）重量计算明细表、汇总表或审核报告）等全过程造价咨询服务</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w:t>
      </w:r>
    </w:p>
    <w:p>
      <w:pPr>
        <w:widowControl w:val="0"/>
        <w:tabs>
          <w:tab w:val="left" w:pos="1440"/>
        </w:tabs>
        <w:spacing w:line="480" w:lineRule="auto"/>
        <w:ind w:firstLine="753" w:firstLineChars="250"/>
        <w:jc w:val="both"/>
        <w:rPr>
          <w:rFonts w:ascii="仿宋" w:hAnsi="仿宋" w:eastAsia="仿宋" w:cs="Arial"/>
          <w:b/>
          <w:bCs/>
          <w:color w:val="auto"/>
          <w:sz w:val="30"/>
          <w:szCs w:val="30"/>
          <w:highlight w:val="none"/>
        </w:rPr>
      </w:pPr>
      <w:r>
        <w:rPr>
          <w:rFonts w:ascii="仿宋" w:hAnsi="仿宋" w:eastAsia="仿宋" w:cs="仿宋_GB2312"/>
          <w:b/>
          <w:bCs/>
          <w:color w:val="auto"/>
          <w:sz w:val="30"/>
          <w:szCs w:val="30"/>
          <w:highlight w:val="none"/>
        </w:rPr>
        <w:t>2.2.1</w:t>
      </w:r>
      <w:r>
        <w:rPr>
          <w:rFonts w:hint="eastAsia" w:ascii="仿宋" w:hAnsi="仿宋" w:eastAsia="仿宋" w:cs="仿宋_GB2312"/>
          <w:b/>
          <w:bCs/>
          <w:color w:val="auto"/>
          <w:sz w:val="30"/>
          <w:szCs w:val="30"/>
          <w:highlight w:val="none"/>
        </w:rPr>
        <w:t>项目的咨询服务：</w:t>
      </w:r>
    </w:p>
    <w:p>
      <w:pPr>
        <w:widowControl w:val="0"/>
        <w:tabs>
          <w:tab w:val="left" w:pos="1440"/>
        </w:tabs>
        <w:spacing w:line="480" w:lineRule="auto"/>
        <w:ind w:firstLine="602" w:firstLineChars="200"/>
        <w:jc w:val="both"/>
        <w:rPr>
          <w:rFonts w:ascii="仿宋" w:hAnsi="仿宋" w:eastAsia="仿宋" w:cs="Arial"/>
          <w:b/>
          <w:bCs/>
          <w:color w:val="auto"/>
          <w:sz w:val="30"/>
          <w:szCs w:val="30"/>
          <w:highlight w:val="none"/>
        </w:rPr>
      </w:pPr>
      <w:r>
        <w:rPr>
          <w:rFonts w:ascii="仿宋" w:hAnsi="仿宋" w:eastAsia="仿宋" w:cs="仿宋_GB2312"/>
          <w:b/>
          <w:bCs/>
          <w:color w:val="auto"/>
          <w:sz w:val="30"/>
          <w:szCs w:val="30"/>
          <w:highlight w:val="none"/>
        </w:rPr>
        <w:t xml:space="preserve"> 2.2.1.1</w:t>
      </w:r>
      <w:r>
        <w:rPr>
          <w:rFonts w:hint="eastAsia" w:ascii="仿宋" w:hAnsi="仿宋" w:eastAsia="仿宋" w:cs="仿宋_GB2312"/>
          <w:b/>
          <w:bCs/>
          <w:color w:val="auto"/>
          <w:sz w:val="30"/>
          <w:szCs w:val="30"/>
          <w:highlight w:val="none"/>
        </w:rPr>
        <w:t>招标（采购）阶段：</w:t>
      </w:r>
    </w:p>
    <w:p>
      <w:pPr>
        <w:pStyle w:val="9"/>
        <w:spacing w:before="0" w:beforeAutospacing="0" w:after="0" w:afterAutospacing="0"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1</w:t>
      </w:r>
      <w:r>
        <w:rPr>
          <w:rFonts w:hint="eastAsia" w:ascii="仿宋" w:hAnsi="仿宋" w:eastAsia="仿宋" w:cs="仿宋_GB2312"/>
          <w:color w:val="auto"/>
          <w:sz w:val="30"/>
          <w:szCs w:val="30"/>
          <w:highlight w:val="none"/>
        </w:rPr>
        <w:t>）按照甲方实际需要，编制项目工程量清单及招标控制价或工程预算</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对主要设备材料进行市场询价及定价，分析主要工程量、分项（专项）工程造价指标的合理性、合规性；</w:t>
      </w:r>
      <w:r>
        <w:rPr>
          <w:rFonts w:hint="eastAsia" w:ascii="仿宋" w:hAnsi="仿宋" w:eastAsia="仿宋" w:cs="仿宋_GB2312"/>
          <w:color w:val="auto"/>
          <w:sz w:val="30"/>
          <w:szCs w:val="30"/>
          <w:highlight w:val="none"/>
        </w:rPr>
        <w:t>（不含首开复建区施工总承包工程招标控制价编制，不含首开复建区融资区土方、基坑招标控制价编制）。</w:t>
      </w:r>
    </w:p>
    <w:p>
      <w:pPr>
        <w:pStyle w:val="9"/>
        <w:spacing w:before="0" w:beforeAutospacing="0" w:after="0" w:afterAutospacing="0" w:line="480" w:lineRule="auto"/>
        <w:ind w:firstLine="600" w:firstLineChars="20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2</w:t>
      </w:r>
      <w:r>
        <w:rPr>
          <w:rFonts w:hint="eastAsia" w:ascii="仿宋" w:hAnsi="仿宋" w:eastAsia="仿宋" w:cs="仿宋_GB2312"/>
          <w:color w:val="auto"/>
          <w:sz w:val="30"/>
          <w:szCs w:val="30"/>
          <w:highlight w:val="none"/>
        </w:rPr>
        <w:t>）协助编制、审核招标文件，提交相关计价、计量、支付、索赔等投资控制条款，按本合同约定提交审核报告、调整意见及合理化建议。</w:t>
      </w:r>
    </w:p>
    <w:p>
      <w:pPr>
        <w:pStyle w:val="9"/>
        <w:spacing w:before="0" w:beforeAutospacing="0" w:after="0" w:afterAutospacing="0" w:line="480" w:lineRule="auto"/>
        <w:ind w:firstLine="602" w:firstLineChars="200"/>
        <w:jc w:val="both"/>
        <w:rPr>
          <w:rFonts w:ascii="仿宋" w:hAnsi="仿宋" w:eastAsia="仿宋" w:cs="Arial"/>
          <w:b/>
          <w:bCs/>
          <w:color w:val="auto"/>
          <w:sz w:val="30"/>
          <w:szCs w:val="30"/>
          <w:highlight w:val="none"/>
        </w:rPr>
      </w:pPr>
      <w:r>
        <w:rPr>
          <w:rFonts w:ascii="仿宋" w:hAnsi="仿宋" w:eastAsia="仿宋" w:cs="仿宋_GB2312"/>
          <w:b/>
          <w:bCs/>
          <w:color w:val="auto"/>
          <w:sz w:val="30"/>
          <w:szCs w:val="30"/>
          <w:highlight w:val="none"/>
        </w:rPr>
        <w:t>2.2.1.2</w:t>
      </w:r>
      <w:r>
        <w:rPr>
          <w:rFonts w:hint="eastAsia" w:ascii="仿宋" w:hAnsi="仿宋" w:eastAsia="仿宋" w:cs="仿宋_GB2312"/>
          <w:b/>
          <w:bCs/>
          <w:color w:val="auto"/>
          <w:sz w:val="30"/>
          <w:szCs w:val="30"/>
          <w:highlight w:val="none"/>
        </w:rPr>
        <w:t>施工阶段：</w:t>
      </w:r>
    </w:p>
    <w:p>
      <w:pPr>
        <w:pStyle w:val="9"/>
        <w:spacing w:before="0" w:beforeAutospacing="0" w:after="0" w:afterAutospacing="0"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1</w:t>
      </w:r>
      <w:r>
        <w:rPr>
          <w:rFonts w:hint="eastAsia" w:ascii="仿宋" w:hAnsi="仿宋" w:eastAsia="仿宋" w:cs="仿宋_GB2312"/>
          <w:color w:val="auto"/>
          <w:sz w:val="30"/>
          <w:szCs w:val="30"/>
          <w:highlight w:val="none"/>
        </w:rPr>
        <w:t>）协助甲方制定工程成本控制办法，包括工程变更程序和工程量、价调整、工程款支付等管理办法。</w:t>
      </w:r>
    </w:p>
    <w:p>
      <w:pPr>
        <w:pStyle w:val="9"/>
        <w:spacing w:before="0" w:beforeAutospacing="0" w:after="0" w:afterAutospacing="0"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2</w:t>
      </w:r>
      <w:r>
        <w:rPr>
          <w:rFonts w:hint="eastAsia" w:ascii="仿宋" w:hAnsi="仿宋" w:eastAsia="仿宋" w:cs="仿宋_GB2312"/>
          <w:color w:val="auto"/>
          <w:sz w:val="30"/>
          <w:szCs w:val="30"/>
          <w:highlight w:val="none"/>
        </w:rPr>
        <w:t>）协助甲方合同管理，包括合同变更谈判、变更的处理程序，落实变更的措施，修改变更相关的资料，检查变更措施的落实情况，协助甲方拟订补充合同。</w:t>
      </w:r>
    </w:p>
    <w:p>
      <w:pPr>
        <w:pStyle w:val="9"/>
        <w:spacing w:before="0" w:beforeAutospacing="0" w:after="0" w:afterAutospacing="0" w:line="480" w:lineRule="auto"/>
        <w:ind w:firstLine="584" w:firstLineChars="200"/>
        <w:jc w:val="both"/>
        <w:rPr>
          <w:rFonts w:ascii="仿宋" w:hAnsi="仿宋" w:eastAsia="仿宋" w:cs="Arial"/>
          <w:color w:val="auto"/>
          <w:spacing w:val="-4"/>
          <w:sz w:val="30"/>
          <w:szCs w:val="30"/>
          <w:highlight w:val="none"/>
        </w:rPr>
      </w:pPr>
      <w:r>
        <w:rPr>
          <w:rFonts w:hint="eastAsia" w:ascii="仿宋" w:hAnsi="仿宋" w:eastAsia="仿宋" w:cs="仿宋_GB2312"/>
          <w:color w:val="auto"/>
          <w:spacing w:val="-4"/>
          <w:sz w:val="30"/>
          <w:szCs w:val="30"/>
          <w:highlight w:val="none"/>
        </w:rPr>
        <w:t>（</w:t>
      </w:r>
      <w:r>
        <w:rPr>
          <w:rFonts w:ascii="仿宋" w:hAnsi="仿宋" w:eastAsia="仿宋" w:cs="仿宋_GB2312"/>
          <w:color w:val="auto"/>
          <w:spacing w:val="-4"/>
          <w:sz w:val="30"/>
          <w:szCs w:val="30"/>
          <w:highlight w:val="none"/>
        </w:rPr>
        <w:t>3</w:t>
      </w:r>
      <w:r>
        <w:rPr>
          <w:rFonts w:hint="eastAsia" w:ascii="仿宋" w:hAnsi="仿宋" w:eastAsia="仿宋" w:cs="仿宋_GB2312"/>
          <w:color w:val="auto"/>
          <w:spacing w:val="-4"/>
          <w:sz w:val="30"/>
          <w:szCs w:val="30"/>
          <w:highlight w:val="none"/>
        </w:rPr>
        <w:t>）负责审核各项目工程预算和施工组织设计涉及的费用问题。</w:t>
      </w:r>
    </w:p>
    <w:p>
      <w:pPr>
        <w:pStyle w:val="9"/>
        <w:spacing w:before="0" w:beforeAutospacing="0" w:after="0" w:afterAutospacing="0"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4</w:t>
      </w:r>
      <w:r>
        <w:rPr>
          <w:rFonts w:hint="eastAsia" w:ascii="仿宋" w:hAnsi="仿宋" w:eastAsia="仿宋" w:cs="仿宋_GB2312"/>
          <w:color w:val="auto"/>
          <w:sz w:val="30"/>
          <w:szCs w:val="30"/>
          <w:highlight w:val="none"/>
        </w:rPr>
        <w:t>）协助甲方处理合同索赔，维护甲方的合法权益，尽力防止索赔事件的发生。对收到的承包方的索赔报告进行审查分析，收集索赔和反索赔依据和证据，复核索赔值，起草并提出反索赔报告。</w:t>
      </w:r>
    </w:p>
    <w:p>
      <w:pPr>
        <w:pStyle w:val="9"/>
        <w:spacing w:before="0" w:beforeAutospacing="0" w:after="0" w:afterAutospacing="0"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5</w:t>
      </w:r>
      <w:r>
        <w:rPr>
          <w:rFonts w:hint="eastAsia" w:ascii="仿宋" w:hAnsi="仿宋" w:eastAsia="仿宋" w:cs="仿宋_GB2312"/>
          <w:color w:val="auto"/>
          <w:sz w:val="30"/>
          <w:szCs w:val="30"/>
          <w:highlight w:val="none"/>
        </w:rPr>
        <w:t>）协助甲方处理合同争端，在涉及工程的各种合同争议处理过程中（含协商、调解、诉讼、仲裁等）向甲方提供合法依据。</w:t>
      </w:r>
    </w:p>
    <w:p>
      <w:pPr>
        <w:widowControl w:val="0"/>
        <w:tabs>
          <w:tab w:val="left" w:pos="1440"/>
        </w:tabs>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6</w:t>
      </w:r>
      <w:r>
        <w:rPr>
          <w:rFonts w:hint="eastAsia" w:ascii="仿宋" w:hAnsi="仿宋" w:eastAsia="仿宋" w:cs="仿宋_GB2312"/>
          <w:color w:val="auto"/>
          <w:sz w:val="30"/>
          <w:szCs w:val="30"/>
          <w:highlight w:val="none"/>
        </w:rPr>
        <w:t>）负责工程变更审核。就项目实施过程中各项工程变更（包括：图纸会审、图纸修改、工程洽商等）提交预算报告，对量、价进行审查复核，对主要设备材料进行市场询价及定价，协助甲方选择性价比最优的方案，审核新增及变更单价、代换材料造价、主材调差造价，并按甲方要求进行对数，协助甲方就工程变更涉及的价款与施工方协商，确认变更价款等。</w:t>
      </w:r>
    </w:p>
    <w:p>
      <w:pPr>
        <w:pStyle w:val="9"/>
        <w:spacing w:before="0" w:beforeAutospacing="0" w:after="0" w:afterAutospacing="0"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7</w:t>
      </w:r>
      <w:r>
        <w:rPr>
          <w:rFonts w:hint="eastAsia" w:ascii="仿宋" w:hAnsi="仿宋" w:eastAsia="仿宋" w:cs="仿宋_GB2312"/>
          <w:color w:val="auto"/>
          <w:sz w:val="30"/>
          <w:szCs w:val="30"/>
          <w:highlight w:val="none"/>
        </w:rPr>
        <w:t>）工程进度款的审核。乙方须严格按照项目实际进度对每期进度款进行准确的审核，对当期所发生的工程量（含现场签证等）进行现场核实确认。</w:t>
      </w:r>
    </w:p>
    <w:p>
      <w:pPr>
        <w:pStyle w:val="9"/>
        <w:spacing w:before="0" w:beforeAutospacing="0" w:after="0" w:afterAutospacing="0"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8</w:t>
      </w:r>
      <w:r>
        <w:rPr>
          <w:rFonts w:hint="eastAsia" w:ascii="仿宋" w:hAnsi="仿宋" w:eastAsia="仿宋" w:cs="仿宋_GB2312"/>
          <w:color w:val="auto"/>
          <w:sz w:val="30"/>
          <w:szCs w:val="30"/>
          <w:highlight w:val="none"/>
        </w:rPr>
        <w:t>）按月、季、年定期向甲方提交投资控制报告。报告内容包括但不限于根据合同各项工程款支付情况、工程量完成情况、截至当期报告已确认的变更、确认的材料设备价格及材料设备价格的走势、下一步资金计划、对项目最终造价进行预测等。</w:t>
      </w:r>
      <w:r>
        <w:rPr>
          <w:rFonts w:ascii="仿宋" w:hAnsi="仿宋" w:eastAsia="仿宋" w:cs="Arial"/>
          <w:color w:val="auto"/>
          <w:sz w:val="30"/>
          <w:szCs w:val="30"/>
          <w:highlight w:val="none"/>
        </w:rPr>
        <w:tab/>
      </w:r>
    </w:p>
    <w:p>
      <w:pPr>
        <w:pStyle w:val="9"/>
        <w:spacing w:before="0" w:beforeAutospacing="0" w:after="0" w:afterAutospacing="0"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（9）按甲方的要求和工作需要，参加相关的工程会议。</w:t>
      </w:r>
    </w:p>
    <w:p>
      <w:pPr>
        <w:widowControl w:val="0"/>
        <w:tabs>
          <w:tab w:val="left" w:pos="1440"/>
        </w:tabs>
        <w:spacing w:line="480" w:lineRule="auto"/>
        <w:ind w:firstLine="602" w:firstLineChars="200"/>
        <w:jc w:val="both"/>
        <w:rPr>
          <w:rFonts w:ascii="仿宋" w:hAnsi="仿宋" w:eastAsia="仿宋" w:cs="Arial"/>
          <w:b/>
          <w:bCs/>
          <w:color w:val="auto"/>
          <w:sz w:val="30"/>
          <w:szCs w:val="30"/>
          <w:highlight w:val="none"/>
        </w:rPr>
      </w:pPr>
      <w:r>
        <w:rPr>
          <w:rFonts w:ascii="仿宋" w:hAnsi="仿宋" w:eastAsia="仿宋" w:cs="仿宋_GB2312"/>
          <w:b/>
          <w:bCs/>
          <w:color w:val="auto"/>
          <w:sz w:val="30"/>
          <w:szCs w:val="30"/>
          <w:highlight w:val="none"/>
        </w:rPr>
        <w:t xml:space="preserve"> 2.2.1.3 </w:t>
      </w:r>
      <w:r>
        <w:rPr>
          <w:rFonts w:hint="eastAsia" w:ascii="仿宋" w:hAnsi="仿宋" w:eastAsia="仿宋" w:cs="仿宋_GB2312"/>
          <w:b/>
          <w:bCs/>
          <w:color w:val="auto"/>
          <w:sz w:val="30"/>
          <w:szCs w:val="30"/>
          <w:highlight w:val="none"/>
        </w:rPr>
        <w:t>结算阶段：</w:t>
      </w:r>
    </w:p>
    <w:p>
      <w:pPr>
        <w:pStyle w:val="9"/>
        <w:spacing w:before="0" w:beforeAutospacing="0" w:after="0" w:afterAutospacing="0"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1</w:t>
      </w:r>
      <w:r>
        <w:rPr>
          <w:rFonts w:hint="eastAsia" w:ascii="仿宋" w:hAnsi="仿宋" w:eastAsia="仿宋" w:cs="仿宋_GB2312"/>
          <w:color w:val="auto"/>
          <w:sz w:val="30"/>
          <w:szCs w:val="30"/>
          <w:highlight w:val="none"/>
        </w:rPr>
        <w:t>）负责各建设项目及相关的服务、检测、监测、咨询、采购等项目的结算审核。</w:t>
      </w:r>
    </w:p>
    <w:p>
      <w:pPr>
        <w:pStyle w:val="9"/>
        <w:spacing w:before="0" w:beforeAutospacing="0" w:after="0" w:afterAutospacing="0"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2</w:t>
      </w:r>
      <w:r>
        <w:rPr>
          <w:rFonts w:hint="eastAsia" w:ascii="仿宋" w:hAnsi="仿宋" w:eastAsia="仿宋" w:cs="仿宋_GB2312"/>
          <w:color w:val="auto"/>
          <w:sz w:val="30"/>
          <w:szCs w:val="30"/>
          <w:highlight w:val="none"/>
        </w:rPr>
        <w:t>）在结算完成后提交《造价管理总体评价报告》，包括（但不限于）对项目及实施过程的描述、施工图预算、合同价及结算价进行比较，对产生差异的原因及投资控制的效果进行分析。</w:t>
      </w:r>
    </w:p>
    <w:p>
      <w:pPr>
        <w:widowControl w:val="0"/>
        <w:tabs>
          <w:tab w:val="left" w:pos="1440"/>
        </w:tabs>
        <w:spacing w:line="480" w:lineRule="auto"/>
        <w:ind w:firstLine="602" w:firstLineChars="200"/>
        <w:jc w:val="both"/>
        <w:rPr>
          <w:rFonts w:ascii="仿宋" w:hAnsi="仿宋" w:eastAsia="仿宋" w:cs="Arial"/>
          <w:b/>
          <w:bCs/>
          <w:color w:val="auto"/>
          <w:sz w:val="30"/>
          <w:szCs w:val="30"/>
          <w:highlight w:val="none"/>
        </w:rPr>
      </w:pPr>
      <w:r>
        <w:rPr>
          <w:rFonts w:hint="eastAsia" w:ascii="仿宋" w:hAnsi="仿宋" w:eastAsia="仿宋" w:cs="仿宋_GB2312"/>
          <w:b/>
          <w:bCs/>
          <w:color w:val="auto"/>
          <w:sz w:val="30"/>
          <w:szCs w:val="30"/>
          <w:highlight w:val="none"/>
        </w:rPr>
        <w:t>第三条</w:t>
      </w:r>
      <w:r>
        <w:rPr>
          <w:rFonts w:ascii="仿宋" w:hAnsi="仿宋" w:eastAsia="仿宋" w:cs="仿宋_GB2312"/>
          <w:b/>
          <w:bCs/>
          <w:color w:val="auto"/>
          <w:sz w:val="30"/>
          <w:szCs w:val="30"/>
          <w:highlight w:val="none"/>
        </w:rPr>
        <w:t xml:space="preserve"> </w:t>
      </w:r>
      <w:r>
        <w:rPr>
          <w:rFonts w:hint="eastAsia" w:ascii="仿宋" w:hAnsi="仿宋" w:eastAsia="仿宋" w:cs="仿宋_GB2312"/>
          <w:b/>
          <w:bCs/>
          <w:color w:val="auto"/>
          <w:sz w:val="30"/>
          <w:szCs w:val="30"/>
          <w:highlight w:val="none"/>
        </w:rPr>
        <w:t>委托咨询服务期限</w:t>
      </w:r>
    </w:p>
    <w:p>
      <w:pPr>
        <w:widowControl w:val="0"/>
        <w:tabs>
          <w:tab w:val="left" w:pos="1440"/>
        </w:tabs>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3.1</w:t>
      </w:r>
      <w:r>
        <w:rPr>
          <w:rFonts w:hint="eastAsia" w:ascii="仿宋" w:hAnsi="仿宋" w:eastAsia="仿宋" w:cs="仿宋_GB2312"/>
          <w:color w:val="auto"/>
          <w:sz w:val="30"/>
          <w:szCs w:val="30"/>
          <w:highlight w:val="none"/>
        </w:rPr>
        <w:t>自本合同签订之日起至乙方全部完成委托咨询工作之日（以乙方提交经甲方认可的《造价管理总体评价报告》之日为准）。</w:t>
      </w:r>
    </w:p>
    <w:p>
      <w:pPr>
        <w:widowControl w:val="0"/>
        <w:tabs>
          <w:tab w:val="left" w:pos="1440"/>
        </w:tabs>
        <w:spacing w:line="480" w:lineRule="auto"/>
        <w:ind w:firstLine="602" w:firstLineChars="200"/>
        <w:jc w:val="both"/>
        <w:rPr>
          <w:rFonts w:ascii="仿宋" w:hAnsi="仿宋" w:eastAsia="仿宋" w:cs="Arial"/>
          <w:b/>
          <w:bCs/>
          <w:color w:val="auto"/>
          <w:sz w:val="30"/>
          <w:szCs w:val="30"/>
          <w:highlight w:val="none"/>
        </w:rPr>
      </w:pPr>
      <w:r>
        <w:rPr>
          <w:rFonts w:hint="eastAsia" w:ascii="仿宋" w:hAnsi="仿宋" w:eastAsia="仿宋" w:cs="仿宋_GB2312"/>
          <w:b/>
          <w:bCs/>
          <w:color w:val="auto"/>
          <w:sz w:val="30"/>
          <w:szCs w:val="30"/>
          <w:highlight w:val="none"/>
        </w:rPr>
        <w:t>第四条</w:t>
      </w:r>
      <w:r>
        <w:rPr>
          <w:rFonts w:ascii="仿宋" w:hAnsi="仿宋" w:eastAsia="仿宋" w:cs="仿宋_GB2312"/>
          <w:b/>
          <w:bCs/>
          <w:color w:val="auto"/>
          <w:sz w:val="30"/>
          <w:szCs w:val="30"/>
          <w:highlight w:val="none"/>
        </w:rPr>
        <w:t xml:space="preserve"> </w:t>
      </w:r>
      <w:r>
        <w:rPr>
          <w:rFonts w:hint="eastAsia" w:ascii="仿宋" w:hAnsi="仿宋" w:eastAsia="仿宋" w:cs="仿宋_GB2312"/>
          <w:b/>
          <w:bCs/>
          <w:color w:val="auto"/>
          <w:sz w:val="30"/>
          <w:szCs w:val="30"/>
          <w:highlight w:val="none"/>
        </w:rPr>
        <w:t>委托咨询服务要求</w:t>
      </w:r>
    </w:p>
    <w:p>
      <w:pPr>
        <w:spacing w:line="480" w:lineRule="auto"/>
        <w:ind w:firstLine="602" w:firstLineChars="200"/>
        <w:jc w:val="both"/>
        <w:rPr>
          <w:rFonts w:ascii="仿宋" w:hAnsi="仿宋" w:eastAsia="仿宋" w:cs="Arial"/>
          <w:b/>
          <w:bCs/>
          <w:color w:val="auto"/>
          <w:sz w:val="30"/>
          <w:szCs w:val="30"/>
          <w:highlight w:val="none"/>
        </w:rPr>
      </w:pPr>
      <w:r>
        <w:rPr>
          <w:rFonts w:ascii="仿宋" w:hAnsi="仿宋" w:eastAsia="仿宋" w:cs="仿宋_GB2312"/>
          <w:b/>
          <w:bCs/>
          <w:color w:val="auto"/>
          <w:sz w:val="30"/>
          <w:szCs w:val="30"/>
          <w:highlight w:val="none"/>
        </w:rPr>
        <w:t>4</w:t>
      </w:r>
      <w:r>
        <w:rPr>
          <w:rFonts w:hint="eastAsia" w:ascii="仿宋" w:hAnsi="仿宋" w:eastAsia="仿宋" w:cs="仿宋_GB2312"/>
          <w:b/>
          <w:bCs/>
          <w:color w:val="auto"/>
          <w:sz w:val="30"/>
          <w:szCs w:val="30"/>
          <w:highlight w:val="none"/>
        </w:rPr>
        <w:t>．</w:t>
      </w:r>
      <w:r>
        <w:rPr>
          <w:rFonts w:ascii="仿宋" w:hAnsi="仿宋" w:eastAsia="仿宋" w:cs="仿宋_GB2312"/>
          <w:b/>
          <w:bCs/>
          <w:color w:val="auto"/>
          <w:sz w:val="30"/>
          <w:szCs w:val="30"/>
          <w:highlight w:val="none"/>
        </w:rPr>
        <w:t>1</w:t>
      </w:r>
      <w:r>
        <w:rPr>
          <w:rFonts w:hint="eastAsia" w:ascii="仿宋" w:hAnsi="仿宋" w:eastAsia="仿宋" w:cs="仿宋_GB2312"/>
          <w:b/>
          <w:bCs/>
          <w:color w:val="auto"/>
          <w:sz w:val="30"/>
          <w:szCs w:val="30"/>
          <w:highlight w:val="none"/>
        </w:rPr>
        <w:t>质量要求：</w:t>
      </w:r>
    </w:p>
    <w:p>
      <w:pPr>
        <w:tabs>
          <w:tab w:val="left" w:pos="720"/>
        </w:tabs>
        <w:spacing w:line="480" w:lineRule="auto"/>
        <w:ind w:firstLine="675" w:firstLineChars="225"/>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4.1.1</w:t>
      </w:r>
      <w:r>
        <w:rPr>
          <w:rFonts w:hint="eastAsia" w:ascii="仿宋" w:hAnsi="仿宋" w:eastAsia="仿宋" w:cs="仿宋_GB2312"/>
          <w:color w:val="auto"/>
          <w:sz w:val="30"/>
          <w:szCs w:val="30"/>
          <w:highlight w:val="none"/>
        </w:rPr>
        <w:t>乙方须按照甲方所确定的项目建安工程费总额进行造价控制（本合同</w:t>
      </w:r>
      <w:r>
        <w:rPr>
          <w:rFonts w:ascii="仿宋" w:hAnsi="仿宋" w:eastAsia="仿宋" w:cs="仿宋_GB2312"/>
          <w:color w:val="auto"/>
          <w:sz w:val="30"/>
          <w:szCs w:val="30"/>
          <w:highlight w:val="none"/>
        </w:rPr>
        <w:t>1.2</w:t>
      </w:r>
      <w:r>
        <w:rPr>
          <w:rFonts w:hint="eastAsia" w:ascii="仿宋" w:hAnsi="仿宋" w:eastAsia="仿宋" w:cs="仿宋_GB2312"/>
          <w:color w:val="auto"/>
          <w:sz w:val="30"/>
          <w:szCs w:val="30"/>
          <w:highlight w:val="none"/>
        </w:rPr>
        <w:t>条确定的项目建安工程费总额仅为暂定金额，投资限额以甲方向乙方的书面通知为准），按甲方的要求切实落实投资控制目标并根据甲方需要出具各阶段的项目经济分析报告。</w:t>
      </w:r>
    </w:p>
    <w:p>
      <w:pPr>
        <w:tabs>
          <w:tab w:val="left" w:pos="720"/>
        </w:tabs>
        <w:spacing w:line="480" w:lineRule="auto"/>
        <w:ind w:firstLine="675" w:firstLineChars="225"/>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4.1.2</w:t>
      </w:r>
      <w:r>
        <w:rPr>
          <w:rFonts w:hint="eastAsia" w:ascii="仿宋" w:hAnsi="仿宋" w:eastAsia="仿宋" w:cs="仿宋_GB2312"/>
          <w:color w:val="auto"/>
          <w:sz w:val="30"/>
          <w:szCs w:val="30"/>
          <w:highlight w:val="none"/>
        </w:rPr>
        <w:t>乙方须确保项目建安成本控制在上述甲方确定的投资限额内，且实现控制启动版目标成本、方案版目标成本、施工图版目标成本的层层控制目标。乙方在各阶段咨询工作中发现建设成本可能超出投资限额或突破上述层层管控目标时，应立即向甲方书面报告、详细分析原因，如造成这一情况的原因属于设计方案、标准变化导致的，则乙方应提出有针对性的经济指标优化建议；如由于乙方自身审核质量原因导致的，则乙方除应在甲方限定的时间内完成修正并重新提交修正后的咨询报告外，还应按本合同约定承担违约责任。</w:t>
      </w:r>
    </w:p>
    <w:p>
      <w:pPr>
        <w:spacing w:line="480" w:lineRule="auto"/>
        <w:ind w:firstLine="600" w:firstLineChars="200"/>
        <w:jc w:val="both"/>
        <w:rPr>
          <w:rFonts w:ascii="仿宋" w:hAnsi="仿宋" w:eastAsia="仿宋" w:cs="Arial"/>
          <w:color w:val="auto"/>
          <w:sz w:val="30"/>
          <w:szCs w:val="30"/>
          <w:highlight w:val="none"/>
          <w:u w:val="single"/>
        </w:rPr>
      </w:pPr>
      <w:r>
        <w:rPr>
          <w:rFonts w:ascii="仿宋" w:hAnsi="仿宋" w:eastAsia="仿宋" w:cs="仿宋_GB2312"/>
          <w:color w:val="auto"/>
          <w:sz w:val="30"/>
          <w:szCs w:val="30"/>
          <w:highlight w:val="none"/>
        </w:rPr>
        <w:t>4.1.3</w:t>
      </w:r>
      <w:r>
        <w:rPr>
          <w:rFonts w:hint="eastAsia" w:ascii="仿宋" w:hAnsi="仿宋" w:eastAsia="仿宋" w:cs="仿宋_GB2312"/>
          <w:color w:val="auto"/>
          <w:sz w:val="30"/>
          <w:szCs w:val="30"/>
          <w:highlight w:val="none"/>
        </w:rPr>
        <w:t>乙方须对所提交的成果文件及咨询意见的合法性、真实性、规范性、完整性负责。</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4.1.4</w:t>
      </w:r>
      <w:r>
        <w:rPr>
          <w:rFonts w:hint="eastAsia" w:ascii="仿宋" w:hAnsi="仿宋" w:eastAsia="仿宋" w:cs="仿宋_GB2312"/>
          <w:color w:val="auto"/>
          <w:sz w:val="30"/>
          <w:szCs w:val="30"/>
          <w:highlight w:val="none"/>
        </w:rPr>
        <w:t>乙方须对本工程各项工作全面了解，包括对工程招投标文件、合同文件、图纸文件、相关技术文件及现场的熟悉等，并进行全面、客观、公正地审核，结合现场实际情况对计量依据严格审查核实；甲方（或甲方委托的有资质的第三方机构）有权随时对乙方咨询成果进行复审或抽检，乙方须无条件予以配合，乙方咨询成果误差须控制在以下限定范围内：</w:t>
      </w:r>
    </w:p>
    <w:p>
      <w:pPr>
        <w:tabs>
          <w:tab w:val="left" w:pos="720"/>
        </w:tabs>
        <w:spacing w:line="480" w:lineRule="auto"/>
        <w:ind w:firstLine="675" w:firstLineChars="225"/>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1</w:t>
      </w:r>
      <w:r>
        <w:rPr>
          <w:rFonts w:hint="eastAsia" w:ascii="仿宋" w:hAnsi="仿宋" w:eastAsia="仿宋" w:cs="仿宋_GB2312"/>
          <w:color w:val="auto"/>
          <w:sz w:val="30"/>
          <w:szCs w:val="30"/>
          <w:highlight w:val="none"/>
        </w:rPr>
        <w:t>）项目预算（含工程变更预算）编审：乙方编审确定金额与甲方或甲方委托的第三方造价咨询机构复审金额及甲方上级主管单位复审金额的误差，不得超过乙方编审确定金额的±</w:t>
      </w:r>
      <w:r>
        <w:rPr>
          <w:rFonts w:ascii="仿宋" w:hAnsi="仿宋" w:eastAsia="仿宋" w:cs="仿宋_GB2312"/>
          <w:color w:val="auto"/>
          <w:sz w:val="30"/>
          <w:szCs w:val="30"/>
          <w:highlight w:val="none"/>
        </w:rPr>
        <w:t>3%</w:t>
      </w:r>
      <w:r>
        <w:rPr>
          <w:rFonts w:hint="eastAsia" w:ascii="仿宋" w:hAnsi="仿宋" w:eastAsia="仿宋" w:cs="仿宋_GB2312"/>
          <w:color w:val="auto"/>
          <w:sz w:val="30"/>
          <w:szCs w:val="30"/>
          <w:highlight w:val="none"/>
        </w:rPr>
        <w:t>。</w:t>
      </w:r>
    </w:p>
    <w:p>
      <w:pPr>
        <w:tabs>
          <w:tab w:val="left" w:pos="720"/>
        </w:tabs>
        <w:spacing w:line="480" w:lineRule="auto"/>
        <w:ind w:firstLine="675" w:firstLineChars="225"/>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2</w:t>
      </w:r>
      <w:r>
        <w:rPr>
          <w:rFonts w:hint="eastAsia" w:ascii="仿宋" w:hAnsi="仿宋" w:eastAsia="仿宋" w:cs="仿宋_GB2312"/>
          <w:color w:val="auto"/>
          <w:sz w:val="30"/>
          <w:szCs w:val="30"/>
          <w:highlight w:val="none"/>
        </w:rPr>
        <w:t>）招标控制价及工程量清单编审：乙方编审确定金额与甲方或甲方委托的第三方造价咨询机构复审金额的误差，不得超过乙方编审确定金额的±</w:t>
      </w:r>
      <w:r>
        <w:rPr>
          <w:rFonts w:ascii="仿宋" w:hAnsi="仿宋" w:eastAsia="仿宋" w:cs="仿宋_GB2312"/>
          <w:color w:val="auto"/>
          <w:sz w:val="30"/>
          <w:szCs w:val="30"/>
          <w:highlight w:val="none"/>
        </w:rPr>
        <w:t>3%</w:t>
      </w:r>
      <w:r>
        <w:rPr>
          <w:rFonts w:hint="eastAsia" w:ascii="仿宋" w:hAnsi="仿宋" w:eastAsia="仿宋" w:cs="仿宋_GB2312"/>
          <w:color w:val="auto"/>
          <w:sz w:val="30"/>
          <w:szCs w:val="30"/>
          <w:highlight w:val="none"/>
        </w:rPr>
        <w:t>。</w:t>
      </w:r>
    </w:p>
    <w:p>
      <w:pPr>
        <w:tabs>
          <w:tab w:val="left" w:pos="720"/>
        </w:tabs>
        <w:spacing w:line="480" w:lineRule="auto"/>
        <w:ind w:firstLine="675" w:firstLineChars="225"/>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3</w:t>
      </w:r>
      <w:r>
        <w:rPr>
          <w:rFonts w:hint="eastAsia" w:ascii="仿宋" w:hAnsi="仿宋" w:eastAsia="仿宋" w:cs="仿宋_GB2312"/>
          <w:color w:val="auto"/>
          <w:sz w:val="30"/>
          <w:szCs w:val="30"/>
          <w:highlight w:val="none"/>
        </w:rPr>
        <w:t>）工程进度款审核：在甲方以乙方的编制或审核价作为依据进行进度款支付时（在支付比例最高不超过乙方编审价的</w:t>
      </w:r>
      <w:r>
        <w:rPr>
          <w:rFonts w:ascii="仿宋" w:hAnsi="仿宋" w:eastAsia="仿宋" w:cs="仿宋_GB2312"/>
          <w:color w:val="auto"/>
          <w:sz w:val="30"/>
          <w:szCs w:val="30"/>
          <w:highlight w:val="none"/>
        </w:rPr>
        <w:t>80%</w:t>
      </w:r>
      <w:r>
        <w:rPr>
          <w:rFonts w:hint="eastAsia" w:ascii="仿宋" w:hAnsi="仿宋" w:eastAsia="仿宋" w:cs="仿宋_GB2312"/>
          <w:color w:val="auto"/>
          <w:sz w:val="30"/>
          <w:szCs w:val="30"/>
          <w:highlight w:val="none"/>
        </w:rPr>
        <w:t>时），累计支付价款不得超出甲方或甲方委托的第三方造价咨询机构复审金额及甲方上级主管单位对该项目的结算复审金额。</w:t>
      </w:r>
    </w:p>
    <w:p>
      <w:pPr>
        <w:tabs>
          <w:tab w:val="left" w:pos="720"/>
        </w:tabs>
        <w:spacing w:line="480" w:lineRule="auto"/>
        <w:ind w:firstLine="675" w:firstLineChars="225"/>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4</w:t>
      </w:r>
      <w:r>
        <w:rPr>
          <w:rFonts w:hint="eastAsia" w:ascii="仿宋" w:hAnsi="仿宋" w:eastAsia="仿宋" w:cs="仿宋_GB2312"/>
          <w:color w:val="auto"/>
          <w:sz w:val="30"/>
          <w:szCs w:val="30"/>
          <w:highlight w:val="none"/>
        </w:rPr>
        <w:t>）竣工结算审核：乙方结算审核金额与甲方或甲方委托的第三方造价咨询机构结算复审金额及甲方上级主管单位复审金额的误差，不得超过乙方结算审核金额的±</w:t>
      </w:r>
      <w:r>
        <w:rPr>
          <w:rFonts w:ascii="仿宋" w:hAnsi="仿宋" w:eastAsia="仿宋" w:cs="仿宋_GB2312"/>
          <w:color w:val="auto"/>
          <w:sz w:val="30"/>
          <w:szCs w:val="30"/>
          <w:highlight w:val="none"/>
        </w:rPr>
        <w:t>3%</w:t>
      </w:r>
      <w:r>
        <w:rPr>
          <w:rFonts w:hint="eastAsia" w:ascii="仿宋" w:hAnsi="仿宋" w:eastAsia="仿宋" w:cs="仿宋_GB2312"/>
          <w:color w:val="auto"/>
          <w:sz w:val="30"/>
          <w:szCs w:val="30"/>
          <w:highlight w:val="none"/>
        </w:rPr>
        <w:t>。</w:t>
      </w:r>
    </w:p>
    <w:p>
      <w:pPr>
        <w:tabs>
          <w:tab w:val="left" w:pos="720"/>
        </w:tabs>
        <w:spacing w:line="480" w:lineRule="auto"/>
        <w:ind w:firstLine="630"/>
        <w:jc w:val="both"/>
        <w:rPr>
          <w:rFonts w:ascii="仿宋" w:hAnsi="仿宋" w:eastAsia="仿宋" w:cs="Arial"/>
          <w:b/>
          <w:bCs/>
          <w:color w:val="auto"/>
          <w:sz w:val="30"/>
          <w:szCs w:val="30"/>
          <w:highlight w:val="none"/>
        </w:rPr>
      </w:pPr>
      <w:r>
        <w:rPr>
          <w:rFonts w:ascii="仿宋" w:hAnsi="仿宋" w:eastAsia="仿宋" w:cs="仿宋_GB2312"/>
          <w:b/>
          <w:bCs/>
          <w:color w:val="auto"/>
          <w:sz w:val="30"/>
          <w:szCs w:val="30"/>
          <w:highlight w:val="none"/>
        </w:rPr>
        <w:t xml:space="preserve">4.2 </w:t>
      </w:r>
      <w:r>
        <w:rPr>
          <w:rFonts w:hint="eastAsia" w:ascii="仿宋" w:hAnsi="仿宋" w:eastAsia="仿宋" w:cs="仿宋_GB2312"/>
          <w:b/>
          <w:bCs/>
          <w:color w:val="auto"/>
          <w:sz w:val="30"/>
          <w:szCs w:val="30"/>
          <w:highlight w:val="none"/>
        </w:rPr>
        <w:t>完成时限要求：</w:t>
      </w:r>
    </w:p>
    <w:p>
      <w:pPr>
        <w:tabs>
          <w:tab w:val="left" w:pos="720"/>
        </w:tabs>
        <w:spacing w:line="480" w:lineRule="auto"/>
        <w:ind w:firstLine="675" w:firstLineChars="225"/>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4.2.1</w:t>
      </w:r>
      <w:r>
        <w:rPr>
          <w:rFonts w:hint="eastAsia" w:ascii="仿宋" w:hAnsi="仿宋" w:eastAsia="仿宋" w:cs="仿宋_GB2312"/>
          <w:color w:val="auto"/>
          <w:sz w:val="30"/>
          <w:szCs w:val="30"/>
          <w:highlight w:val="none"/>
        </w:rPr>
        <w:t>工程量清单及招标控制价的编制及审核：乙方须在取得完整的招标图纸及相关计量依据资料之日起计</w:t>
      </w:r>
      <w:r>
        <w:rPr>
          <w:rFonts w:ascii="仿宋" w:hAnsi="仿宋" w:eastAsia="仿宋" w:cs="仿宋_GB2312"/>
          <w:color w:val="auto"/>
          <w:sz w:val="30"/>
          <w:szCs w:val="30"/>
          <w:highlight w:val="none"/>
        </w:rPr>
        <w:t>10</w:t>
      </w:r>
      <w:r>
        <w:rPr>
          <w:rFonts w:hint="eastAsia" w:ascii="仿宋" w:hAnsi="仿宋" w:eastAsia="仿宋" w:cs="仿宋_GB2312"/>
          <w:color w:val="auto"/>
          <w:sz w:val="30"/>
          <w:szCs w:val="30"/>
          <w:highlight w:val="none"/>
        </w:rPr>
        <w:t>个工作日内提交书面报告（若总金额不超过人民币伍佰万元，则乙方须于</w:t>
      </w:r>
      <w:r>
        <w:rPr>
          <w:rFonts w:ascii="仿宋" w:hAnsi="仿宋" w:eastAsia="仿宋" w:cs="仿宋_GB2312"/>
          <w:color w:val="auto"/>
          <w:sz w:val="30"/>
          <w:szCs w:val="30"/>
          <w:highlight w:val="none"/>
          <w:u w:val="single"/>
        </w:rPr>
        <w:t>5</w:t>
      </w:r>
      <w:r>
        <w:rPr>
          <w:rFonts w:hint="eastAsia" w:ascii="仿宋" w:hAnsi="仿宋" w:eastAsia="仿宋" w:cs="仿宋_GB2312"/>
          <w:color w:val="auto"/>
          <w:sz w:val="30"/>
          <w:szCs w:val="30"/>
          <w:highlight w:val="none"/>
        </w:rPr>
        <w:t>个工作日内提交）。</w:t>
      </w:r>
    </w:p>
    <w:p>
      <w:pPr>
        <w:tabs>
          <w:tab w:val="left" w:pos="720"/>
        </w:tabs>
        <w:spacing w:line="480" w:lineRule="auto"/>
        <w:ind w:firstLine="675" w:firstLineChars="225"/>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4.2.2</w:t>
      </w:r>
      <w:r>
        <w:rPr>
          <w:rFonts w:hint="eastAsia" w:ascii="仿宋" w:hAnsi="仿宋" w:eastAsia="仿宋" w:cs="仿宋_GB2312"/>
          <w:color w:val="auto"/>
          <w:sz w:val="30"/>
          <w:szCs w:val="30"/>
          <w:highlight w:val="none"/>
        </w:rPr>
        <w:t>工程变更概、预算的编制及审核：乙方须于取得完整的工程变更图纸及计量依据资料之日起计</w:t>
      </w:r>
      <w:r>
        <w:rPr>
          <w:rFonts w:ascii="仿宋" w:hAnsi="仿宋" w:eastAsia="仿宋" w:cs="仿宋_GB2312"/>
          <w:color w:val="auto"/>
          <w:sz w:val="30"/>
          <w:szCs w:val="30"/>
          <w:highlight w:val="none"/>
          <w:u w:val="single"/>
        </w:rPr>
        <w:t>10</w:t>
      </w:r>
      <w:r>
        <w:rPr>
          <w:rFonts w:hint="eastAsia" w:ascii="仿宋" w:hAnsi="仿宋" w:eastAsia="仿宋" w:cs="仿宋_GB2312"/>
          <w:color w:val="auto"/>
          <w:sz w:val="30"/>
          <w:szCs w:val="30"/>
          <w:highlight w:val="none"/>
        </w:rPr>
        <w:t>个工作日内提交书面预算报告（若总金额不超过人民币伍佰万元，则乙方须于</w:t>
      </w:r>
      <w:r>
        <w:rPr>
          <w:rFonts w:ascii="仿宋" w:hAnsi="仿宋" w:eastAsia="仿宋" w:cs="仿宋_GB2312"/>
          <w:color w:val="auto"/>
          <w:sz w:val="30"/>
          <w:szCs w:val="30"/>
          <w:highlight w:val="none"/>
          <w:u w:val="single"/>
        </w:rPr>
        <w:t>5</w:t>
      </w:r>
      <w:r>
        <w:rPr>
          <w:rFonts w:hint="eastAsia" w:ascii="仿宋" w:hAnsi="仿宋" w:eastAsia="仿宋" w:cs="仿宋_GB2312"/>
          <w:color w:val="auto"/>
          <w:sz w:val="30"/>
          <w:szCs w:val="30"/>
          <w:highlight w:val="none"/>
        </w:rPr>
        <w:t>个工作日内提交）。</w:t>
      </w:r>
    </w:p>
    <w:p>
      <w:pPr>
        <w:tabs>
          <w:tab w:val="left" w:pos="720"/>
        </w:tabs>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4.2.3</w:t>
      </w:r>
      <w:r>
        <w:rPr>
          <w:rFonts w:hint="eastAsia" w:ascii="仿宋" w:hAnsi="仿宋" w:eastAsia="仿宋" w:cs="仿宋_GB2312"/>
          <w:color w:val="auto"/>
          <w:sz w:val="30"/>
          <w:szCs w:val="30"/>
          <w:highlight w:val="none"/>
        </w:rPr>
        <w:t>工程进度款及相关定价审核：乙方须于取得监理单位每月上报的《进度计量审核书》</w:t>
      </w:r>
      <w:r>
        <w:rPr>
          <w:rFonts w:ascii="仿宋" w:hAnsi="仿宋" w:eastAsia="仿宋" w:cs="仿宋_GB2312"/>
          <w:color w:val="auto"/>
          <w:sz w:val="30"/>
          <w:szCs w:val="30"/>
          <w:highlight w:val="none"/>
        </w:rPr>
        <w:t xml:space="preserve">[ </w:t>
      </w:r>
      <w:r>
        <w:rPr>
          <w:rFonts w:hint="eastAsia" w:ascii="仿宋" w:hAnsi="仿宋" w:eastAsia="仿宋" w:cs="仿宋_GB2312"/>
          <w:color w:val="auto"/>
          <w:sz w:val="30"/>
          <w:szCs w:val="30"/>
          <w:highlight w:val="none"/>
        </w:rPr>
        <w:t>或材料设备询价定价、新增变更单价审核、材料代换及主材调差造价审核、签证、变更审批单等</w:t>
      </w:r>
      <w:r>
        <w:rPr>
          <w:rFonts w:ascii="仿宋" w:hAnsi="仿宋" w:eastAsia="仿宋" w:cs="仿宋_GB2312"/>
          <w:color w:val="auto"/>
          <w:sz w:val="30"/>
          <w:szCs w:val="30"/>
          <w:highlight w:val="none"/>
        </w:rPr>
        <w:t xml:space="preserve"> ] </w:t>
      </w:r>
      <w:r>
        <w:rPr>
          <w:rFonts w:hint="eastAsia" w:ascii="仿宋" w:hAnsi="仿宋" w:eastAsia="仿宋" w:cs="仿宋_GB2312"/>
          <w:color w:val="auto"/>
          <w:sz w:val="30"/>
          <w:szCs w:val="30"/>
          <w:highlight w:val="none"/>
        </w:rPr>
        <w:t>及完整的计量依据资料之日起计</w:t>
      </w:r>
      <w:r>
        <w:rPr>
          <w:rFonts w:ascii="仿宋" w:hAnsi="仿宋" w:eastAsia="仿宋" w:cs="仿宋_GB2312"/>
          <w:color w:val="auto"/>
          <w:sz w:val="30"/>
          <w:szCs w:val="30"/>
          <w:highlight w:val="none"/>
        </w:rPr>
        <w:t>5</w:t>
      </w:r>
      <w:r>
        <w:rPr>
          <w:rFonts w:hint="eastAsia" w:ascii="仿宋" w:hAnsi="仿宋" w:eastAsia="仿宋" w:cs="仿宋_GB2312"/>
          <w:color w:val="auto"/>
          <w:sz w:val="30"/>
          <w:szCs w:val="30"/>
          <w:highlight w:val="none"/>
        </w:rPr>
        <w:t>个工作日内提交书面审核报告。</w:t>
      </w:r>
    </w:p>
    <w:p>
      <w:pPr>
        <w:tabs>
          <w:tab w:val="left" w:pos="720"/>
        </w:tabs>
        <w:spacing w:line="480" w:lineRule="auto"/>
        <w:ind w:firstLine="675" w:firstLineChars="225"/>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4.2.4</w:t>
      </w:r>
      <w:r>
        <w:rPr>
          <w:rFonts w:hint="eastAsia" w:ascii="仿宋" w:hAnsi="仿宋" w:eastAsia="仿宋" w:cs="仿宋_GB2312"/>
          <w:color w:val="auto"/>
          <w:sz w:val="30"/>
          <w:szCs w:val="30"/>
          <w:highlight w:val="none"/>
        </w:rPr>
        <w:t>结算审核：建设工程类项目，乙方须于取得完整的竣工结算资料起计</w:t>
      </w:r>
      <w:r>
        <w:rPr>
          <w:rFonts w:ascii="仿宋" w:hAnsi="仿宋" w:eastAsia="仿宋" w:cs="仿宋_GB2312"/>
          <w:color w:val="auto"/>
          <w:sz w:val="30"/>
          <w:szCs w:val="30"/>
          <w:highlight w:val="none"/>
        </w:rPr>
        <w:t>30</w:t>
      </w:r>
      <w:r>
        <w:rPr>
          <w:rFonts w:hint="eastAsia" w:ascii="仿宋" w:hAnsi="仿宋" w:eastAsia="仿宋" w:cs="仿宋_GB2312"/>
          <w:color w:val="auto"/>
          <w:sz w:val="30"/>
          <w:szCs w:val="30"/>
          <w:highlight w:val="none"/>
        </w:rPr>
        <w:t>个工作日内完成全部审核、对数工作并提交书面审核报告；建设相关的服务、检测、监测、咨询、采购等项目，乙方须于取得完整的结算资料起计</w:t>
      </w:r>
      <w:r>
        <w:rPr>
          <w:rFonts w:ascii="仿宋" w:hAnsi="仿宋" w:eastAsia="仿宋" w:cs="仿宋_GB2312"/>
          <w:color w:val="auto"/>
          <w:sz w:val="30"/>
          <w:szCs w:val="30"/>
          <w:highlight w:val="none"/>
        </w:rPr>
        <w:t>15</w:t>
      </w:r>
      <w:r>
        <w:rPr>
          <w:rFonts w:hint="eastAsia" w:ascii="仿宋" w:hAnsi="仿宋" w:eastAsia="仿宋" w:cs="仿宋_GB2312"/>
          <w:color w:val="auto"/>
          <w:sz w:val="30"/>
          <w:szCs w:val="30"/>
          <w:highlight w:val="none"/>
        </w:rPr>
        <w:t>个工作日内完成全部审核、对数工作并提交书面审核报告。</w:t>
      </w:r>
    </w:p>
    <w:p>
      <w:pPr>
        <w:pStyle w:val="9"/>
        <w:spacing w:before="0" w:beforeAutospacing="0" w:after="0" w:afterAutospacing="0"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4.2.5</w:t>
      </w:r>
      <w:r>
        <w:rPr>
          <w:rFonts w:hint="eastAsia" w:ascii="仿宋" w:hAnsi="仿宋" w:eastAsia="仿宋" w:cs="仿宋_GB2312"/>
          <w:color w:val="auto"/>
          <w:sz w:val="30"/>
          <w:szCs w:val="30"/>
          <w:highlight w:val="none"/>
        </w:rPr>
        <w:t>《造价管理总体评价报告》：乙方须在项目结算完成后</w:t>
      </w:r>
      <w:r>
        <w:rPr>
          <w:rFonts w:ascii="仿宋" w:hAnsi="仿宋" w:eastAsia="仿宋" w:cs="仿宋_GB2312"/>
          <w:color w:val="auto"/>
          <w:sz w:val="30"/>
          <w:szCs w:val="30"/>
          <w:highlight w:val="none"/>
        </w:rPr>
        <w:t>15</w:t>
      </w:r>
      <w:r>
        <w:rPr>
          <w:rFonts w:hint="eastAsia" w:ascii="仿宋" w:hAnsi="仿宋" w:eastAsia="仿宋" w:cs="仿宋_GB2312"/>
          <w:color w:val="auto"/>
          <w:sz w:val="30"/>
          <w:szCs w:val="30"/>
          <w:highlight w:val="none"/>
        </w:rPr>
        <w:t>个工作日内，提交项目造价管理总体评价报告，内容应包括但不限于对项目全过程造价管控要点的描述，对项目方案版目标成本、施工图版目标成本、合同价及结算价差异以及产生差异原因的分析比较（尤其是对设计限额目标的实现、工程变更的原因及对造价的影响等），对投资控制的总体效果的评价，以及对项目管理中待改进事项等提出合理化建议等。</w:t>
      </w:r>
    </w:p>
    <w:p>
      <w:pPr>
        <w:pStyle w:val="9"/>
        <w:spacing w:before="0" w:beforeAutospacing="0" w:after="0" w:afterAutospacing="0"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 xml:space="preserve">4.2.6 </w:t>
      </w:r>
      <w:r>
        <w:rPr>
          <w:rFonts w:hint="eastAsia" w:ascii="仿宋" w:hAnsi="仿宋" w:eastAsia="仿宋" w:cs="仿宋_GB2312"/>
          <w:color w:val="auto"/>
          <w:sz w:val="30"/>
          <w:szCs w:val="30"/>
          <w:highlight w:val="none"/>
        </w:rPr>
        <w:t>若由于特殊原因确实无法在上述时限内完成咨询工作的，乙方应在时限届满前向甲方提出书面申请，经甲方书面同意后，乙方完成时限可予以顺延。</w:t>
      </w:r>
    </w:p>
    <w:p>
      <w:pPr>
        <w:tabs>
          <w:tab w:val="left" w:pos="720"/>
        </w:tabs>
        <w:spacing w:line="480" w:lineRule="auto"/>
        <w:ind w:firstLine="560"/>
        <w:jc w:val="both"/>
        <w:rPr>
          <w:rFonts w:ascii="仿宋" w:hAnsi="仿宋" w:eastAsia="仿宋" w:cs="Arial"/>
          <w:b/>
          <w:bCs/>
          <w:color w:val="auto"/>
          <w:sz w:val="30"/>
          <w:szCs w:val="30"/>
          <w:highlight w:val="none"/>
        </w:rPr>
      </w:pPr>
      <w:r>
        <w:rPr>
          <w:rFonts w:ascii="仿宋" w:hAnsi="仿宋" w:eastAsia="仿宋" w:cs="仿宋_GB2312"/>
          <w:b/>
          <w:bCs/>
          <w:color w:val="auto"/>
          <w:sz w:val="30"/>
          <w:szCs w:val="30"/>
          <w:highlight w:val="none"/>
        </w:rPr>
        <w:t xml:space="preserve">4.3 </w:t>
      </w:r>
      <w:r>
        <w:rPr>
          <w:rFonts w:hint="eastAsia" w:ascii="仿宋" w:hAnsi="仿宋" w:eastAsia="仿宋" w:cs="仿宋_GB2312"/>
          <w:b/>
          <w:bCs/>
          <w:color w:val="auto"/>
          <w:sz w:val="30"/>
          <w:szCs w:val="30"/>
          <w:highlight w:val="none"/>
        </w:rPr>
        <w:t>审核工作程序要求：</w:t>
      </w:r>
    </w:p>
    <w:p>
      <w:pPr>
        <w:tabs>
          <w:tab w:val="left" w:pos="720"/>
        </w:tabs>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4.3.1</w:t>
      </w:r>
      <w:r>
        <w:rPr>
          <w:rFonts w:hint="eastAsia" w:ascii="仿宋" w:hAnsi="仿宋" w:eastAsia="仿宋" w:cs="仿宋_GB2312"/>
          <w:color w:val="auto"/>
          <w:sz w:val="30"/>
          <w:szCs w:val="30"/>
          <w:highlight w:val="none"/>
        </w:rPr>
        <w:t>乙方按本合同</w:t>
      </w:r>
      <w:r>
        <w:rPr>
          <w:rFonts w:ascii="仿宋" w:hAnsi="仿宋" w:eastAsia="仿宋" w:cs="仿宋_GB2312"/>
          <w:color w:val="auto"/>
          <w:sz w:val="30"/>
          <w:szCs w:val="30"/>
          <w:highlight w:val="none"/>
        </w:rPr>
        <w:t>4.2</w:t>
      </w:r>
      <w:r>
        <w:rPr>
          <w:rFonts w:hint="eastAsia" w:ascii="仿宋" w:hAnsi="仿宋" w:eastAsia="仿宋" w:cs="仿宋_GB2312"/>
          <w:color w:val="auto"/>
          <w:sz w:val="30"/>
          <w:szCs w:val="30"/>
          <w:highlight w:val="none"/>
        </w:rPr>
        <w:t>条所出具的审核报告及文件，由乙方在限期内出具初审报告，经甲方同意后，由甲方组织有关人员对数，对数后在甲方要求的时限内出具正式报告。</w:t>
      </w:r>
    </w:p>
    <w:p>
      <w:pPr>
        <w:tabs>
          <w:tab w:val="left" w:pos="720"/>
        </w:tabs>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 xml:space="preserve">4.3.2 </w:t>
      </w:r>
      <w:r>
        <w:rPr>
          <w:rFonts w:hint="eastAsia" w:ascii="仿宋" w:hAnsi="仿宋" w:eastAsia="仿宋" w:cs="仿宋_GB2312"/>
          <w:color w:val="auto"/>
          <w:sz w:val="30"/>
          <w:szCs w:val="30"/>
          <w:highlight w:val="none"/>
        </w:rPr>
        <w:t>乙方与施工单位的所有对数工作须由甲方组织、在甲方指定场所进行。对数认可的结果，乙方须当场出具工程对数记录表，并交与会各方即时签认。</w:t>
      </w:r>
    </w:p>
    <w:p>
      <w:pPr>
        <w:tabs>
          <w:tab w:val="left" w:pos="720"/>
        </w:tabs>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4.3.3</w:t>
      </w:r>
      <w:r>
        <w:rPr>
          <w:rFonts w:hint="eastAsia" w:ascii="仿宋" w:hAnsi="仿宋" w:eastAsia="仿宋" w:cs="仿宋_GB2312"/>
          <w:color w:val="auto"/>
          <w:sz w:val="30"/>
          <w:szCs w:val="30"/>
          <w:highlight w:val="none"/>
        </w:rPr>
        <w:t>乙方对提交甲方的全部审核报告及文件（含初审报告及正式报告）均应进行严格的内部交叉抽查、复核，并经复核人签字盖章后，再报送甲方确认。</w:t>
      </w:r>
    </w:p>
    <w:p>
      <w:pPr>
        <w:spacing w:line="480" w:lineRule="auto"/>
        <w:ind w:firstLine="590" w:firstLineChars="196"/>
        <w:jc w:val="both"/>
        <w:rPr>
          <w:rFonts w:ascii="仿宋" w:hAnsi="仿宋" w:eastAsia="仿宋" w:cs="Arial"/>
          <w:b/>
          <w:bCs/>
          <w:color w:val="auto"/>
          <w:sz w:val="30"/>
          <w:szCs w:val="30"/>
          <w:highlight w:val="none"/>
        </w:rPr>
      </w:pPr>
      <w:r>
        <w:rPr>
          <w:rFonts w:ascii="仿宋" w:hAnsi="仿宋" w:eastAsia="仿宋" w:cs="仿宋_GB2312"/>
          <w:b/>
          <w:bCs/>
          <w:color w:val="auto"/>
          <w:sz w:val="30"/>
          <w:szCs w:val="30"/>
          <w:highlight w:val="none"/>
        </w:rPr>
        <w:t>4.4</w:t>
      </w:r>
      <w:r>
        <w:rPr>
          <w:rFonts w:hint="eastAsia" w:ascii="仿宋" w:hAnsi="仿宋" w:eastAsia="仿宋" w:cs="仿宋_GB2312"/>
          <w:b/>
          <w:bCs/>
          <w:color w:val="auto"/>
          <w:sz w:val="30"/>
          <w:szCs w:val="30"/>
          <w:highlight w:val="none"/>
        </w:rPr>
        <w:t>成果文件要求：</w:t>
      </w:r>
    </w:p>
    <w:p>
      <w:pPr>
        <w:spacing w:line="480" w:lineRule="auto"/>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 xml:space="preserve">    4.4.1</w:t>
      </w:r>
      <w:r>
        <w:rPr>
          <w:rFonts w:hint="eastAsia" w:ascii="仿宋" w:hAnsi="仿宋" w:eastAsia="仿宋" w:cs="仿宋_GB2312"/>
          <w:color w:val="auto"/>
          <w:sz w:val="30"/>
          <w:szCs w:val="30"/>
          <w:highlight w:val="none"/>
        </w:rPr>
        <w:t>初审报告内容包括详细文字说明、预算书或结算书</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各一式三份（另附工程量计算底稿</w:t>
      </w:r>
      <w:r>
        <w:rPr>
          <w:rFonts w:ascii="仿宋" w:hAnsi="仿宋" w:eastAsia="仿宋" w:cs="仿宋_GB2312"/>
          <w:color w:val="auto"/>
          <w:sz w:val="30"/>
          <w:szCs w:val="30"/>
          <w:highlight w:val="none"/>
        </w:rPr>
        <w:t>1</w:t>
      </w:r>
      <w:r>
        <w:rPr>
          <w:rFonts w:hint="eastAsia" w:ascii="仿宋" w:hAnsi="仿宋" w:eastAsia="仿宋" w:cs="仿宋_GB2312"/>
          <w:color w:val="auto"/>
          <w:sz w:val="30"/>
          <w:szCs w:val="30"/>
          <w:highlight w:val="none"/>
        </w:rPr>
        <w:t>份）。</w:t>
      </w:r>
    </w:p>
    <w:p>
      <w:pPr>
        <w:tabs>
          <w:tab w:val="left" w:pos="1260"/>
        </w:tabs>
        <w:spacing w:line="480" w:lineRule="auto"/>
        <w:ind w:firstLine="56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4.4.2</w:t>
      </w:r>
      <w:r>
        <w:rPr>
          <w:rFonts w:hint="eastAsia" w:ascii="仿宋" w:hAnsi="仿宋" w:eastAsia="仿宋" w:cs="仿宋_GB2312"/>
          <w:color w:val="auto"/>
          <w:sz w:val="30"/>
          <w:szCs w:val="30"/>
          <w:highlight w:val="none"/>
        </w:rPr>
        <w:t>最终审核的正式报告内容包括详细文字说明、预算书或结算书（结算须附审核定案表），各一式四份（另附对数记录及工程量计算底稿各</w:t>
      </w:r>
      <w:r>
        <w:rPr>
          <w:rFonts w:ascii="仿宋" w:hAnsi="仿宋" w:eastAsia="仿宋" w:cs="仿宋_GB2312"/>
          <w:color w:val="auto"/>
          <w:sz w:val="30"/>
          <w:szCs w:val="30"/>
          <w:highlight w:val="none"/>
        </w:rPr>
        <w:t>2</w:t>
      </w:r>
      <w:r>
        <w:rPr>
          <w:rFonts w:hint="eastAsia" w:ascii="仿宋" w:hAnsi="仿宋" w:eastAsia="仿宋" w:cs="仿宋_GB2312"/>
          <w:color w:val="auto"/>
          <w:sz w:val="30"/>
          <w:szCs w:val="30"/>
          <w:highlight w:val="none"/>
        </w:rPr>
        <w:t>份）。</w:t>
      </w:r>
    </w:p>
    <w:p>
      <w:pPr>
        <w:tabs>
          <w:tab w:val="left" w:pos="1260"/>
        </w:tabs>
        <w:spacing w:line="480" w:lineRule="auto"/>
        <w:ind w:firstLine="56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4.4.3</w:t>
      </w:r>
      <w:r>
        <w:rPr>
          <w:rFonts w:hint="eastAsia" w:ascii="仿宋" w:hAnsi="仿宋" w:eastAsia="仿宋" w:cs="仿宋_GB2312"/>
          <w:color w:val="auto"/>
          <w:sz w:val="30"/>
          <w:szCs w:val="30"/>
          <w:highlight w:val="none"/>
        </w:rPr>
        <w:t>乙方提供的每份咨询成果文件要审核结论清晰、审核依据准确无误、审核原则正确、审核范围及内容与委托内容一致，特殊处理在报告中要详细反映。</w:t>
      </w:r>
    </w:p>
    <w:p>
      <w:pPr>
        <w:tabs>
          <w:tab w:val="left" w:pos="1260"/>
        </w:tabs>
        <w:spacing w:line="480" w:lineRule="auto"/>
        <w:ind w:firstLine="560"/>
        <w:jc w:val="both"/>
        <w:rPr>
          <w:rFonts w:ascii="仿宋" w:hAnsi="仿宋" w:eastAsia="仿宋" w:cs="Arial"/>
          <w:b/>
          <w:bCs/>
          <w:color w:val="auto"/>
          <w:sz w:val="30"/>
          <w:szCs w:val="30"/>
          <w:highlight w:val="none"/>
        </w:rPr>
      </w:pPr>
      <w:r>
        <w:rPr>
          <w:rFonts w:ascii="仿宋" w:hAnsi="仿宋" w:eastAsia="仿宋" w:cs="仿宋_GB2312"/>
          <w:b/>
          <w:bCs/>
          <w:color w:val="auto"/>
          <w:sz w:val="30"/>
          <w:szCs w:val="30"/>
          <w:highlight w:val="none"/>
        </w:rPr>
        <w:t xml:space="preserve">4.5 </w:t>
      </w:r>
      <w:r>
        <w:rPr>
          <w:rFonts w:hint="eastAsia" w:ascii="仿宋" w:hAnsi="仿宋" w:eastAsia="仿宋" w:cs="仿宋_GB2312"/>
          <w:b/>
          <w:bCs/>
          <w:color w:val="auto"/>
          <w:sz w:val="30"/>
          <w:szCs w:val="30"/>
          <w:highlight w:val="none"/>
        </w:rPr>
        <w:t>人员配置及服务要求：</w:t>
      </w:r>
    </w:p>
    <w:p>
      <w:pPr>
        <w:tabs>
          <w:tab w:val="left" w:pos="1260"/>
        </w:tabs>
        <w:spacing w:line="480" w:lineRule="auto"/>
        <w:ind w:firstLine="560"/>
        <w:jc w:val="both"/>
        <w:rPr>
          <w:rFonts w:ascii="仿宋" w:hAnsi="仿宋" w:eastAsia="仿宋" w:cs="Arial"/>
          <w:color w:val="auto"/>
          <w:spacing w:val="-4"/>
          <w:sz w:val="30"/>
          <w:szCs w:val="30"/>
          <w:highlight w:val="none"/>
        </w:rPr>
      </w:pPr>
      <w:r>
        <w:rPr>
          <w:rFonts w:ascii="仿宋" w:hAnsi="仿宋" w:eastAsia="仿宋" w:cs="仿宋_GB2312"/>
          <w:color w:val="auto"/>
          <w:spacing w:val="-4"/>
          <w:sz w:val="30"/>
          <w:szCs w:val="30"/>
          <w:highlight w:val="none"/>
        </w:rPr>
        <w:t>4.5.1</w:t>
      </w:r>
      <w:r>
        <w:rPr>
          <w:rFonts w:hint="eastAsia" w:ascii="仿宋" w:hAnsi="仿宋" w:eastAsia="仿宋" w:cs="仿宋_GB2312"/>
          <w:color w:val="auto"/>
          <w:spacing w:val="-4"/>
          <w:sz w:val="30"/>
          <w:szCs w:val="30"/>
          <w:highlight w:val="none"/>
        </w:rPr>
        <w:t>乙方须根据本合同附件《乙方配备本项目的造价咨询人员名单》建立项目组，包括项目总负责人、各专业负责人及派驻到甲方办公场所驻场服务的专业咨询人员等，详细列明其姓名、年龄、学历、专业、职称、职务、工作履历和主要技术成果以及在本项目中职责。乙方项目总负责人、各专业负责人及驻场服务人员须按甲方要求及时参加与本项目造价管理工作相关的工作会议。项目负责人、各专业负责人及驻场服务人员必须服务于项目建设的始终。驻场服务人员须在甲方办公场所或甲方指定场所全程提供造价咨询服务。</w:t>
      </w:r>
    </w:p>
    <w:p>
      <w:pPr>
        <w:tabs>
          <w:tab w:val="left" w:pos="1260"/>
        </w:tabs>
        <w:spacing w:line="480" w:lineRule="auto"/>
        <w:ind w:firstLine="560"/>
        <w:jc w:val="both"/>
        <w:rPr>
          <w:rFonts w:ascii="仿宋" w:hAnsi="仿宋" w:eastAsia="仿宋" w:cs="Arial"/>
          <w:b/>
          <w:bCs/>
          <w:color w:val="auto"/>
          <w:sz w:val="30"/>
          <w:szCs w:val="30"/>
          <w:highlight w:val="none"/>
        </w:rPr>
      </w:pPr>
      <w:r>
        <w:rPr>
          <w:rFonts w:hint="eastAsia" w:ascii="仿宋" w:hAnsi="仿宋" w:eastAsia="仿宋" w:cs="仿宋_GB2312"/>
          <w:color w:val="auto"/>
          <w:sz w:val="30"/>
          <w:szCs w:val="30"/>
          <w:highlight w:val="none"/>
        </w:rPr>
        <w:t>乙方如需更换项目负责人、各专业负责人及驻场服务人员，应提前</w:t>
      </w:r>
      <w:r>
        <w:rPr>
          <w:rFonts w:ascii="仿宋" w:hAnsi="仿宋" w:eastAsia="仿宋" w:cs="仿宋_GB2312"/>
          <w:color w:val="auto"/>
          <w:sz w:val="30"/>
          <w:szCs w:val="30"/>
          <w:highlight w:val="none"/>
        </w:rPr>
        <w:t>7</w:t>
      </w:r>
      <w:r>
        <w:rPr>
          <w:rFonts w:hint="eastAsia" w:ascii="仿宋" w:hAnsi="仿宋" w:eastAsia="仿宋" w:cs="仿宋_GB2312"/>
          <w:color w:val="auto"/>
          <w:sz w:val="30"/>
          <w:szCs w:val="30"/>
          <w:highlight w:val="none"/>
        </w:rPr>
        <w:t>天以书面形式通知甲方并征得甲方书面同意后方可撤换，否则视乙方该人员擅自离岗。为保证项目组人员的稳定性，乙方（尤其是驻场服务人员）须服从甲方对乙方人员的考勤管理，在项目实施过程中不可随意撤换，且短时离开本地须向甲方请假并指定离开后的协调人，否则必须承担违约责任。</w:t>
      </w:r>
    </w:p>
    <w:p>
      <w:pPr>
        <w:tabs>
          <w:tab w:val="left" w:pos="1260"/>
        </w:tabs>
        <w:spacing w:line="480" w:lineRule="auto"/>
        <w:ind w:firstLine="560"/>
        <w:jc w:val="both"/>
        <w:rPr>
          <w:rFonts w:ascii="仿宋" w:hAnsi="仿宋" w:eastAsia="仿宋" w:cs="Arial"/>
          <w:b/>
          <w:bCs/>
          <w:color w:val="auto"/>
          <w:sz w:val="30"/>
          <w:szCs w:val="30"/>
          <w:highlight w:val="none"/>
        </w:rPr>
      </w:pPr>
      <w:r>
        <w:rPr>
          <w:rFonts w:ascii="仿宋" w:hAnsi="仿宋" w:eastAsia="仿宋" w:cs="仿宋_GB2312"/>
          <w:color w:val="auto"/>
          <w:sz w:val="30"/>
          <w:szCs w:val="30"/>
          <w:highlight w:val="none"/>
        </w:rPr>
        <w:t>4.5.2</w:t>
      </w:r>
      <w:r>
        <w:rPr>
          <w:rFonts w:hint="eastAsia" w:ascii="仿宋" w:hAnsi="仿宋" w:eastAsia="仿宋" w:cs="仿宋_GB2312"/>
          <w:color w:val="auto"/>
          <w:sz w:val="30"/>
          <w:szCs w:val="30"/>
          <w:highlight w:val="none"/>
        </w:rPr>
        <w:t>若甲方认为乙方项目总负责人、各专业负责人、驻场服务人员（含其他造价咨询人员）不称职，乙方应当在收到甲方的书面通知后</w:t>
      </w:r>
      <w:r>
        <w:rPr>
          <w:rFonts w:ascii="仿宋" w:hAnsi="仿宋" w:eastAsia="仿宋" w:cs="仿宋_GB2312"/>
          <w:color w:val="auto"/>
          <w:sz w:val="30"/>
          <w:szCs w:val="30"/>
          <w:highlight w:val="none"/>
        </w:rPr>
        <w:t>3</w:t>
      </w:r>
      <w:r>
        <w:rPr>
          <w:rFonts w:hint="eastAsia" w:ascii="仿宋" w:hAnsi="仿宋" w:eastAsia="仿宋" w:cs="仿宋_GB2312"/>
          <w:color w:val="auto"/>
          <w:sz w:val="30"/>
          <w:szCs w:val="30"/>
          <w:highlight w:val="none"/>
        </w:rPr>
        <w:t>天内无条件进行更换并到位。更换人员除不得低于本合同相应条款对各类乙方人员资历规定的要求之外，其资质、经验、能力均不得低于前任，且乙方应同时提供多名符合上述要求的人员供甲方选择直至获得甲方书面认可。否则，视乙方该人员从甲方发出更换通知之日起擅自离岗。</w:t>
      </w:r>
    </w:p>
    <w:p>
      <w:pPr>
        <w:tabs>
          <w:tab w:val="left" w:pos="1260"/>
        </w:tabs>
        <w:spacing w:line="480" w:lineRule="auto"/>
        <w:ind w:firstLine="560"/>
        <w:jc w:val="both"/>
        <w:rPr>
          <w:rFonts w:ascii="仿宋" w:hAnsi="仿宋" w:eastAsia="仿宋" w:cs="Arial"/>
          <w:color w:val="auto"/>
          <w:spacing w:val="-4"/>
          <w:sz w:val="30"/>
          <w:szCs w:val="30"/>
          <w:highlight w:val="none"/>
        </w:rPr>
      </w:pPr>
      <w:r>
        <w:rPr>
          <w:rFonts w:ascii="仿宋" w:hAnsi="仿宋" w:eastAsia="仿宋" w:cs="仿宋_GB2312"/>
          <w:color w:val="auto"/>
          <w:spacing w:val="-4"/>
          <w:sz w:val="30"/>
          <w:szCs w:val="30"/>
          <w:highlight w:val="none"/>
        </w:rPr>
        <w:t>4.5.3</w:t>
      </w:r>
      <w:r>
        <w:rPr>
          <w:rFonts w:hint="eastAsia" w:ascii="仿宋" w:hAnsi="仿宋" w:eastAsia="仿宋" w:cs="仿宋_GB2312"/>
          <w:color w:val="auto"/>
          <w:spacing w:val="-4"/>
          <w:sz w:val="30"/>
          <w:szCs w:val="30"/>
          <w:highlight w:val="none"/>
        </w:rPr>
        <w:t>乙方须从组织上保证所投入的人力、物力能完全满足造价管理工作开展的需要。乙方须保证参与本项目乙方人员的稳定性，保证不同服务阶段造价管理工作的连续性和相关工作衔接的连贯性。在造价管理高峰期或甲方认为有必要时，乙方须无条件增派一定的造价咨询人员（包括驻场服务人员）确保工作进度，增派人员所发生的费用，已包含在本合同基本服务费当中，甲方不再另行支付。</w:t>
      </w:r>
    </w:p>
    <w:p>
      <w:pPr>
        <w:tabs>
          <w:tab w:val="left" w:pos="1260"/>
        </w:tabs>
        <w:spacing w:line="480" w:lineRule="auto"/>
        <w:ind w:firstLine="56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 xml:space="preserve">4.5.4 </w:t>
      </w:r>
      <w:r>
        <w:rPr>
          <w:rFonts w:hint="eastAsia" w:ascii="仿宋" w:hAnsi="仿宋" w:eastAsia="仿宋" w:cs="仿宋_GB2312"/>
          <w:color w:val="auto"/>
          <w:sz w:val="30"/>
          <w:szCs w:val="30"/>
          <w:highlight w:val="none"/>
        </w:rPr>
        <w:t>乙方必须根据甲方要求及时委派项目负责人、各专业负责人、驻场服务人员参加工程技术联络会、工程例会、招标事宜等技术配合服务会议，并提交相应咨询建议。</w:t>
      </w:r>
    </w:p>
    <w:p>
      <w:pPr>
        <w:spacing w:line="480" w:lineRule="auto"/>
        <w:ind w:firstLine="600" w:firstLineChars="200"/>
        <w:rPr>
          <w:rFonts w:ascii="仿宋" w:hAnsi="仿宋" w:eastAsia="仿宋" w:cs="Arial"/>
          <w:color w:val="auto"/>
          <w:sz w:val="30"/>
          <w:szCs w:val="30"/>
          <w:highlight w:val="none"/>
        </w:rPr>
      </w:pPr>
      <w:r>
        <w:rPr>
          <w:rFonts w:ascii="仿宋" w:hAnsi="仿宋" w:eastAsia="仿宋" w:cs="仿宋_GB2312"/>
          <w:color w:val="auto"/>
          <w:sz w:val="30"/>
          <w:szCs w:val="30"/>
          <w:highlight w:val="none"/>
        </w:rPr>
        <w:t>4.5.5</w:t>
      </w:r>
      <w:r>
        <w:rPr>
          <w:rFonts w:hint="eastAsia" w:ascii="仿宋" w:hAnsi="仿宋" w:eastAsia="仿宋" w:cs="仿宋_GB2312"/>
          <w:color w:val="auto"/>
          <w:sz w:val="30"/>
          <w:szCs w:val="30"/>
          <w:highlight w:val="none"/>
        </w:rPr>
        <w:t>乙方须根据造价咨询相关管理规定，严格遵守职业道德守则，不得与施工单位或材料、设备供应商串通，获取不正当收益。</w:t>
      </w:r>
    </w:p>
    <w:p>
      <w:pPr>
        <w:spacing w:line="480" w:lineRule="auto"/>
        <w:ind w:firstLine="602" w:firstLineChars="200"/>
        <w:jc w:val="both"/>
        <w:rPr>
          <w:rFonts w:ascii="仿宋" w:hAnsi="仿宋" w:eastAsia="仿宋" w:cs="Arial"/>
          <w:b/>
          <w:bCs/>
          <w:color w:val="auto"/>
          <w:sz w:val="30"/>
          <w:szCs w:val="30"/>
          <w:highlight w:val="none"/>
        </w:rPr>
      </w:pPr>
      <w:r>
        <w:rPr>
          <w:rFonts w:hint="eastAsia" w:ascii="仿宋" w:hAnsi="仿宋" w:eastAsia="仿宋" w:cs="仿宋_GB2312"/>
          <w:b/>
          <w:bCs/>
          <w:color w:val="auto"/>
          <w:sz w:val="30"/>
          <w:szCs w:val="30"/>
          <w:highlight w:val="none"/>
        </w:rPr>
        <w:t>第五条</w:t>
      </w:r>
      <w:r>
        <w:rPr>
          <w:rFonts w:ascii="仿宋" w:hAnsi="仿宋" w:eastAsia="仿宋" w:cs="仿宋_GB2312"/>
          <w:b/>
          <w:bCs/>
          <w:color w:val="auto"/>
          <w:sz w:val="30"/>
          <w:szCs w:val="30"/>
          <w:highlight w:val="none"/>
        </w:rPr>
        <w:t xml:space="preserve"> </w:t>
      </w:r>
      <w:r>
        <w:rPr>
          <w:rFonts w:hint="eastAsia" w:ascii="仿宋" w:hAnsi="仿宋" w:eastAsia="仿宋" w:cs="仿宋_GB2312"/>
          <w:b/>
          <w:bCs/>
          <w:color w:val="auto"/>
          <w:sz w:val="30"/>
          <w:szCs w:val="30"/>
          <w:highlight w:val="none"/>
        </w:rPr>
        <w:t>咨询服务费用、奖励费用及支付方式</w:t>
      </w:r>
    </w:p>
    <w:p>
      <w:pPr>
        <w:tabs>
          <w:tab w:val="left" w:pos="1440"/>
        </w:tabs>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 xml:space="preserve">5.1 </w:t>
      </w:r>
      <w:r>
        <w:rPr>
          <w:rFonts w:hint="eastAsia" w:ascii="仿宋" w:hAnsi="仿宋" w:eastAsia="仿宋" w:cs="仿宋_GB2312"/>
          <w:color w:val="auto"/>
          <w:sz w:val="30"/>
          <w:szCs w:val="30"/>
          <w:highlight w:val="none"/>
        </w:rPr>
        <w:t>咨询服务费用</w:t>
      </w:r>
    </w:p>
    <w:p>
      <w:pPr>
        <w:widowControl w:val="0"/>
        <w:tabs>
          <w:tab w:val="left" w:pos="1440"/>
        </w:tabs>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合同咨询服务费由基本服务费及奖励费用两部分组成。</w:t>
      </w:r>
    </w:p>
    <w:p>
      <w:pPr>
        <w:widowControl w:val="0"/>
        <w:tabs>
          <w:tab w:val="left" w:pos="1440"/>
        </w:tabs>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 xml:space="preserve">5.1.1 </w:t>
      </w:r>
      <w:r>
        <w:rPr>
          <w:rFonts w:hint="eastAsia" w:ascii="仿宋" w:hAnsi="仿宋" w:eastAsia="仿宋" w:cs="仿宋_GB2312"/>
          <w:color w:val="auto"/>
          <w:sz w:val="30"/>
          <w:szCs w:val="30"/>
          <w:highlight w:val="none"/>
        </w:rPr>
        <w:t>基本服务费总额：人民币</w:t>
      </w:r>
      <w:r>
        <w:rPr>
          <w:rFonts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rPr>
        <w:t>元（即中标价）包干计取，大写人民币：</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rPr>
        <w:t>，其中不含税价为</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rPr>
        <w:t>，税额为</w:t>
      </w:r>
      <w:r>
        <w:rPr>
          <w:rFonts w:hint="eastAsia" w:ascii="仿宋" w:hAnsi="仿宋" w:eastAsia="仿宋" w:cs="仿宋_GB2312"/>
          <w:color w:val="auto"/>
          <w:sz w:val="30"/>
          <w:szCs w:val="30"/>
          <w:highlight w:val="none"/>
          <w:u w:val="single"/>
        </w:rPr>
        <w:t xml:space="preserve">       </w:t>
      </w:r>
      <w:r>
        <w:rPr>
          <w:rFonts w:hint="eastAsia" w:ascii="仿宋" w:hAnsi="仿宋" w:eastAsia="仿宋" w:cs="仿宋_GB2312"/>
          <w:color w:val="auto"/>
          <w:sz w:val="30"/>
          <w:szCs w:val="30"/>
          <w:highlight w:val="none"/>
        </w:rPr>
        <w:t>，税率为6%。如遇国家法定税率调整，不含税价保持不变，税额按国家法定税率计算和调整。该包干基本服务费已包括乙方按照本合同约定提供所有咨询服务范围、内容及满足甲方工作要求所需的全部费用，不因服务时间长短、工作量多少而调整。</w:t>
      </w:r>
    </w:p>
    <w:p>
      <w:pPr>
        <w:tabs>
          <w:tab w:val="left" w:pos="1440"/>
        </w:tabs>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5.1.2</w:t>
      </w:r>
      <w:r>
        <w:rPr>
          <w:rFonts w:hint="eastAsia" w:ascii="仿宋" w:hAnsi="仿宋" w:eastAsia="仿宋" w:cs="仿宋_GB2312"/>
          <w:color w:val="auto"/>
          <w:sz w:val="30"/>
          <w:szCs w:val="30"/>
          <w:highlight w:val="none"/>
        </w:rPr>
        <w:t>奖励费用</w:t>
      </w:r>
    </w:p>
    <w:p>
      <w:pPr>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为进一步体现乙方工作绩效，在满足本合同第</w:t>
      </w:r>
      <w:r>
        <w:rPr>
          <w:rFonts w:ascii="仿宋" w:hAnsi="仿宋" w:eastAsia="仿宋" w:cs="仿宋_GB2312"/>
          <w:color w:val="auto"/>
          <w:sz w:val="30"/>
          <w:szCs w:val="30"/>
          <w:highlight w:val="none"/>
        </w:rPr>
        <w:t>4.1</w:t>
      </w:r>
      <w:r>
        <w:rPr>
          <w:rFonts w:hint="eastAsia" w:ascii="仿宋" w:hAnsi="仿宋" w:eastAsia="仿宋" w:cs="仿宋_GB2312"/>
          <w:color w:val="auto"/>
          <w:sz w:val="30"/>
          <w:szCs w:val="30"/>
          <w:highlight w:val="none"/>
        </w:rPr>
        <w:t>条约定的质量要求的前提下，甲方将根据乙方对工程变更预算审核及项目结算审核的核减情况，按以下标准给予奖励：</w:t>
      </w:r>
    </w:p>
    <w:p>
      <w:pPr>
        <w:spacing w:line="480" w:lineRule="auto"/>
        <w:ind w:firstLine="600" w:firstLineChars="200"/>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奖励费用</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（送审金额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审定金额）×</w:t>
      </w:r>
      <w:r>
        <w:rPr>
          <w:rFonts w:ascii="仿宋" w:hAnsi="仿宋" w:eastAsia="仿宋" w:cs="仿宋_GB2312"/>
          <w:color w:val="auto"/>
          <w:sz w:val="30"/>
          <w:szCs w:val="30"/>
          <w:highlight w:val="none"/>
        </w:rPr>
        <w:t>5%</w:t>
      </w:r>
    </w:p>
    <w:p>
      <w:pPr>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送审金额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经监理单位审定的工程变更预算金额或项目结算金额；</w:t>
      </w:r>
    </w:p>
    <w:p>
      <w:pPr>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审定金额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乙方审定并经甲方</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或甲方委托的第三方造价咨询机构</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或甲方上级主管单位复审确认的工程变更预算金额或项目结算金额。</w:t>
      </w:r>
    </w:p>
    <w:p>
      <w:pPr>
        <w:spacing w:line="480" w:lineRule="auto"/>
        <w:ind w:firstLine="600" w:firstLineChars="200"/>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 xml:space="preserve">5.2 </w:t>
      </w:r>
      <w:r>
        <w:rPr>
          <w:rFonts w:hint="eastAsia" w:ascii="仿宋" w:hAnsi="仿宋" w:eastAsia="仿宋" w:cs="仿宋_GB2312"/>
          <w:color w:val="auto"/>
          <w:sz w:val="30"/>
          <w:szCs w:val="30"/>
          <w:highlight w:val="none"/>
        </w:rPr>
        <w:t>支付方式：</w:t>
      </w:r>
    </w:p>
    <w:p>
      <w:pPr>
        <w:spacing w:line="480" w:lineRule="auto"/>
        <w:ind w:firstLine="600" w:firstLineChars="200"/>
        <w:jc w:val="both"/>
        <w:rPr>
          <w:color w:val="auto"/>
          <w:highlight w:val="none"/>
        </w:rPr>
      </w:pPr>
      <w:r>
        <w:rPr>
          <w:rFonts w:hint="eastAsia" w:ascii="仿宋" w:hAnsi="仿宋" w:eastAsia="仿宋" w:cs="仿宋_GB2312"/>
          <w:color w:val="auto"/>
          <w:sz w:val="30"/>
          <w:szCs w:val="30"/>
          <w:highlight w:val="none"/>
        </w:rPr>
        <w:t>（1）乙方提交融资区施工总承包项目招标工程量清单及招标控制价或出具相应审核意见，并配合甲方完成行政管理部门相应备案手续后</w:t>
      </w:r>
      <w:r>
        <w:rPr>
          <w:rFonts w:ascii="仿宋" w:hAnsi="仿宋" w:eastAsia="仿宋" w:cs="仿宋_GB2312"/>
          <w:color w:val="auto"/>
          <w:sz w:val="30"/>
          <w:szCs w:val="30"/>
          <w:highlight w:val="none"/>
        </w:rPr>
        <w:t>15</w:t>
      </w:r>
      <w:r>
        <w:rPr>
          <w:rFonts w:hint="eastAsia" w:ascii="仿宋" w:hAnsi="仿宋" w:eastAsia="仿宋" w:cs="仿宋_GB2312"/>
          <w:color w:val="auto"/>
          <w:sz w:val="30"/>
          <w:szCs w:val="30"/>
          <w:highlight w:val="none"/>
        </w:rPr>
        <w:t>个工作日内，甲方向乙方支付该项目包干基本服务费的15</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w:t>
      </w:r>
    </w:p>
    <w:p>
      <w:pPr>
        <w:spacing w:line="480" w:lineRule="auto"/>
        <w:ind w:firstLine="600" w:firstLineChars="200"/>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2）乙方提交复建区精装修施工项目招标工程量清单及招标控制价或出具相应审核意见，并配合甲方完成行政管理部门相应备案手续后</w:t>
      </w:r>
      <w:r>
        <w:rPr>
          <w:rFonts w:ascii="仿宋" w:hAnsi="仿宋" w:eastAsia="仿宋" w:cs="仿宋_GB2312"/>
          <w:color w:val="auto"/>
          <w:sz w:val="30"/>
          <w:szCs w:val="30"/>
          <w:highlight w:val="none"/>
        </w:rPr>
        <w:t>15</w:t>
      </w:r>
      <w:r>
        <w:rPr>
          <w:rFonts w:hint="eastAsia" w:ascii="仿宋" w:hAnsi="仿宋" w:eastAsia="仿宋" w:cs="仿宋_GB2312"/>
          <w:color w:val="auto"/>
          <w:sz w:val="30"/>
          <w:szCs w:val="30"/>
          <w:highlight w:val="none"/>
        </w:rPr>
        <w:t>个工作日内，甲方向乙方支付该项目包干基本服务费的</w:t>
      </w:r>
      <w:r>
        <w:rPr>
          <w:rFonts w:ascii="仿宋" w:hAnsi="仿宋" w:eastAsia="仿宋" w:cs="仿宋_GB2312"/>
          <w:color w:val="auto"/>
          <w:sz w:val="30"/>
          <w:szCs w:val="30"/>
          <w:highlight w:val="none"/>
        </w:rPr>
        <w:t>5%</w:t>
      </w:r>
      <w:r>
        <w:rPr>
          <w:rFonts w:hint="eastAsia" w:ascii="仿宋" w:hAnsi="仿宋" w:eastAsia="仿宋" w:cs="仿宋_GB2312"/>
          <w:color w:val="auto"/>
          <w:sz w:val="30"/>
          <w:szCs w:val="30"/>
          <w:highlight w:val="none"/>
        </w:rPr>
        <w:t>；</w:t>
      </w:r>
    </w:p>
    <w:p>
      <w:pPr>
        <w:spacing w:line="480" w:lineRule="auto"/>
        <w:ind w:firstLine="600" w:firstLineChars="200"/>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3）乙方提交融资区精装修施工项目招标工程量清单及招标控制价或出具相应审核意见，并配合甲方完成行政管理部门相应备案手续后</w:t>
      </w:r>
      <w:r>
        <w:rPr>
          <w:rFonts w:ascii="仿宋" w:hAnsi="仿宋" w:eastAsia="仿宋" w:cs="仿宋_GB2312"/>
          <w:color w:val="auto"/>
          <w:sz w:val="30"/>
          <w:szCs w:val="30"/>
          <w:highlight w:val="none"/>
        </w:rPr>
        <w:t>15</w:t>
      </w:r>
      <w:r>
        <w:rPr>
          <w:rFonts w:hint="eastAsia" w:ascii="仿宋" w:hAnsi="仿宋" w:eastAsia="仿宋" w:cs="仿宋_GB2312"/>
          <w:color w:val="auto"/>
          <w:sz w:val="30"/>
          <w:szCs w:val="30"/>
          <w:highlight w:val="none"/>
        </w:rPr>
        <w:t>个工作日内，甲方向乙方支付该项目包干基本服务费的</w:t>
      </w:r>
      <w:r>
        <w:rPr>
          <w:rFonts w:ascii="仿宋" w:hAnsi="仿宋" w:eastAsia="仿宋" w:cs="仿宋_GB2312"/>
          <w:color w:val="auto"/>
          <w:sz w:val="30"/>
          <w:szCs w:val="30"/>
          <w:highlight w:val="none"/>
        </w:rPr>
        <w:t>5%</w:t>
      </w:r>
      <w:r>
        <w:rPr>
          <w:rFonts w:hint="eastAsia" w:ascii="仿宋" w:hAnsi="仿宋" w:eastAsia="仿宋" w:cs="仿宋_GB2312"/>
          <w:color w:val="auto"/>
          <w:sz w:val="30"/>
          <w:szCs w:val="30"/>
          <w:highlight w:val="none"/>
        </w:rPr>
        <w:t>；</w:t>
      </w:r>
    </w:p>
    <w:p>
      <w:pPr>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（4）自施工总承包项目正式开工之日起，甲方根据施工总承包项目及各专业工程项目工程产值的金额，按如下约定按期向乙方支付造价咨询包干基本服务费直至包干基本服务费的</w:t>
      </w:r>
      <w:r>
        <w:rPr>
          <w:rFonts w:ascii="仿宋" w:hAnsi="仿宋" w:eastAsia="仿宋" w:cs="仿宋_GB2312"/>
          <w:color w:val="auto"/>
          <w:sz w:val="30"/>
          <w:szCs w:val="30"/>
          <w:highlight w:val="none"/>
        </w:rPr>
        <w:t>80%</w:t>
      </w:r>
      <w:r>
        <w:rPr>
          <w:rFonts w:hint="eastAsia" w:ascii="仿宋" w:hAnsi="仿宋" w:eastAsia="仿宋" w:cs="仿宋_GB2312"/>
          <w:color w:val="auto"/>
          <w:sz w:val="30"/>
          <w:szCs w:val="30"/>
          <w:highlight w:val="none"/>
        </w:rPr>
        <w:t>，每期支付金额按如下公式计算：</w:t>
      </w:r>
    </w:p>
    <w:p>
      <w:pPr>
        <w:spacing w:line="480" w:lineRule="auto"/>
        <w:ind w:firstLine="560"/>
        <w:jc w:val="both"/>
        <w:rPr>
          <w:rFonts w:ascii="仿宋" w:hAnsi="仿宋" w:eastAsia="仿宋" w:cs="仿宋_GB2312"/>
          <w:color w:val="auto"/>
          <w:spacing w:val="-4"/>
          <w:sz w:val="30"/>
          <w:szCs w:val="30"/>
          <w:highlight w:val="none"/>
        </w:rPr>
      </w:pPr>
      <w:r>
        <w:rPr>
          <w:rFonts w:hint="eastAsia" w:ascii="仿宋" w:hAnsi="仿宋" w:eastAsia="仿宋" w:cs="仿宋_GB2312"/>
          <w:color w:val="auto"/>
          <w:spacing w:val="-4"/>
          <w:sz w:val="30"/>
          <w:szCs w:val="30"/>
          <w:highlight w:val="none"/>
        </w:rPr>
        <w:t>每期支付金额</w:t>
      </w:r>
      <w:r>
        <w:rPr>
          <w:rFonts w:ascii="仿宋" w:hAnsi="仿宋" w:eastAsia="仿宋" w:cs="仿宋_GB2312"/>
          <w:color w:val="auto"/>
          <w:spacing w:val="-4"/>
          <w:sz w:val="30"/>
          <w:szCs w:val="30"/>
          <w:highlight w:val="none"/>
        </w:rPr>
        <w:t>=</w:t>
      </w:r>
      <w:r>
        <w:rPr>
          <w:rFonts w:hint="eastAsia" w:ascii="仿宋" w:hAnsi="仿宋" w:eastAsia="仿宋" w:cs="仿宋_GB2312"/>
          <w:color w:val="auto"/>
          <w:spacing w:val="-4"/>
          <w:sz w:val="30"/>
          <w:szCs w:val="30"/>
          <w:highlight w:val="none"/>
        </w:rPr>
        <w:t>当期甲方审定的</w:t>
      </w:r>
      <w:r>
        <w:rPr>
          <w:rFonts w:hint="eastAsia" w:ascii="仿宋" w:hAnsi="仿宋" w:eastAsia="仿宋" w:cs="仿宋_GB2312"/>
          <w:color w:val="auto"/>
          <w:sz w:val="30"/>
          <w:szCs w:val="30"/>
          <w:highlight w:val="none"/>
        </w:rPr>
        <w:t>施工总承包项目及各专业工程项目工程产值金额÷甲方所确定的项目建安工程费总额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即本合同</w:t>
      </w:r>
      <w:r>
        <w:rPr>
          <w:rFonts w:ascii="仿宋" w:hAnsi="仿宋" w:eastAsia="仿宋" w:cs="仿宋_GB2312"/>
          <w:color w:val="auto"/>
          <w:sz w:val="30"/>
          <w:szCs w:val="30"/>
          <w:highlight w:val="none"/>
        </w:rPr>
        <w:t>4.1.1</w:t>
      </w:r>
      <w:r>
        <w:rPr>
          <w:rFonts w:hint="eastAsia" w:ascii="仿宋" w:hAnsi="仿宋" w:eastAsia="仿宋" w:cs="仿宋_GB2312"/>
          <w:color w:val="auto"/>
          <w:sz w:val="30"/>
          <w:szCs w:val="30"/>
          <w:highlight w:val="none"/>
        </w:rPr>
        <w:t>所述的项目造价控制目标的数额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×造价咨询包干基本服务费×</w:t>
      </w:r>
      <w:r>
        <w:rPr>
          <w:rFonts w:ascii="仿宋" w:hAnsi="仿宋" w:eastAsia="仿宋" w:cs="仿宋_GB2312"/>
          <w:color w:val="auto"/>
          <w:sz w:val="30"/>
          <w:szCs w:val="30"/>
          <w:highlight w:val="none"/>
        </w:rPr>
        <w:t>5</w:t>
      </w:r>
      <w:r>
        <w:rPr>
          <w:rFonts w:hint="eastAsia" w:ascii="仿宋" w:hAnsi="仿宋" w:eastAsia="仿宋" w:cs="仿宋_GB2312"/>
          <w:color w:val="auto"/>
          <w:sz w:val="30"/>
          <w:szCs w:val="30"/>
          <w:highlight w:val="none"/>
        </w:rPr>
        <w:t>5</w:t>
      </w:r>
      <w:r>
        <w:rPr>
          <w:rFonts w:ascii="仿宋" w:hAnsi="仿宋" w:eastAsia="仿宋" w:cs="仿宋_GB2312"/>
          <w:color w:val="auto"/>
          <w:sz w:val="30"/>
          <w:szCs w:val="30"/>
          <w:highlight w:val="none"/>
        </w:rPr>
        <w:t>%</w:t>
      </w:r>
      <w:r>
        <w:rPr>
          <w:rFonts w:hint="eastAsia" w:ascii="仿宋" w:hAnsi="仿宋" w:eastAsia="仿宋" w:cs="仿宋_GB2312"/>
          <w:color w:val="auto"/>
          <w:spacing w:val="-4"/>
          <w:sz w:val="30"/>
          <w:szCs w:val="30"/>
          <w:highlight w:val="none"/>
        </w:rPr>
        <w:t>。</w:t>
      </w:r>
    </w:p>
    <w:p>
      <w:pPr>
        <w:spacing w:line="480" w:lineRule="auto"/>
        <w:ind w:firstLine="56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支付时间：从甲方审核确认</w:t>
      </w:r>
      <w:r>
        <w:rPr>
          <w:rFonts w:hint="eastAsia" w:ascii="仿宋" w:hAnsi="仿宋" w:eastAsia="仿宋" w:cs="仿宋_GB2312"/>
          <w:color w:val="auto"/>
          <w:spacing w:val="-4"/>
          <w:sz w:val="30"/>
          <w:szCs w:val="30"/>
          <w:highlight w:val="none"/>
        </w:rPr>
        <w:t>当期</w:t>
      </w:r>
      <w:r>
        <w:rPr>
          <w:rFonts w:hint="eastAsia" w:ascii="仿宋" w:hAnsi="仿宋" w:eastAsia="仿宋" w:cs="仿宋_GB2312"/>
          <w:color w:val="auto"/>
          <w:sz w:val="30"/>
          <w:szCs w:val="30"/>
          <w:highlight w:val="none"/>
        </w:rPr>
        <w:t>施工总承包项目及各专业工程项目工程进度款之日起</w:t>
      </w:r>
      <w:r>
        <w:rPr>
          <w:rFonts w:ascii="仿宋" w:hAnsi="仿宋" w:eastAsia="仿宋" w:cs="仿宋_GB2312"/>
          <w:color w:val="auto"/>
          <w:sz w:val="30"/>
          <w:szCs w:val="30"/>
          <w:highlight w:val="none"/>
        </w:rPr>
        <w:t>15</w:t>
      </w:r>
      <w:r>
        <w:rPr>
          <w:rFonts w:hint="eastAsia" w:ascii="仿宋" w:hAnsi="仿宋" w:eastAsia="仿宋" w:cs="仿宋_GB2312"/>
          <w:color w:val="auto"/>
          <w:sz w:val="30"/>
          <w:szCs w:val="30"/>
          <w:highlight w:val="none"/>
        </w:rPr>
        <w:t>个工作日内。</w:t>
      </w:r>
    </w:p>
    <w:p>
      <w:pPr>
        <w:spacing w:line="480" w:lineRule="auto"/>
        <w:ind w:firstLine="56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当上述支付金额累计达到包干基本服务费的</w:t>
      </w:r>
      <w:r>
        <w:rPr>
          <w:rFonts w:ascii="仿宋" w:hAnsi="仿宋" w:eastAsia="仿宋" w:cs="仿宋_GB2312"/>
          <w:color w:val="auto"/>
          <w:sz w:val="30"/>
          <w:szCs w:val="30"/>
          <w:highlight w:val="none"/>
        </w:rPr>
        <w:t>80%</w:t>
      </w:r>
      <w:r>
        <w:rPr>
          <w:rFonts w:hint="eastAsia" w:ascii="仿宋" w:hAnsi="仿宋" w:eastAsia="仿宋" w:cs="仿宋_GB2312"/>
          <w:color w:val="auto"/>
          <w:sz w:val="30"/>
          <w:szCs w:val="30"/>
          <w:highlight w:val="none"/>
        </w:rPr>
        <w:t>时，甲方停止支付，双方按下述第（</w:t>
      </w:r>
      <w:r>
        <w:rPr>
          <w:rFonts w:ascii="仿宋" w:hAnsi="仿宋" w:eastAsia="仿宋" w:cs="仿宋_GB2312"/>
          <w:color w:val="auto"/>
          <w:sz w:val="30"/>
          <w:szCs w:val="30"/>
          <w:highlight w:val="none"/>
        </w:rPr>
        <w:t>7</w:t>
      </w:r>
      <w:r>
        <w:rPr>
          <w:rFonts w:hint="eastAsia" w:ascii="仿宋" w:hAnsi="仿宋" w:eastAsia="仿宋" w:cs="仿宋_GB2312"/>
          <w:color w:val="auto"/>
          <w:sz w:val="30"/>
          <w:szCs w:val="30"/>
          <w:highlight w:val="none"/>
        </w:rPr>
        <w:t>）款约定支付后续费用。</w:t>
      </w:r>
    </w:p>
    <w:p>
      <w:pPr>
        <w:spacing w:line="480" w:lineRule="auto"/>
        <w:ind w:firstLine="56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（6</w:t>
      </w:r>
      <w:r>
        <w:rPr>
          <w:rFonts w:ascii="仿宋" w:hAnsi="仿宋" w:eastAsia="仿宋" w:cs="仿宋_GB2312"/>
          <w:color w:val="auto"/>
          <w:sz w:val="30"/>
          <w:szCs w:val="30"/>
          <w:highlight w:val="none"/>
        </w:rPr>
        <w:t>）奖励费用</w:t>
      </w:r>
      <w:r>
        <w:rPr>
          <w:rFonts w:hint="eastAsia" w:ascii="仿宋" w:hAnsi="仿宋" w:eastAsia="仿宋" w:cs="仿宋_GB2312"/>
          <w:color w:val="auto"/>
          <w:sz w:val="30"/>
          <w:szCs w:val="30"/>
          <w:highlight w:val="none"/>
        </w:rPr>
        <w:t>按每季度支付，支付金额为奖励费用</w:t>
      </w:r>
      <w:r>
        <w:rPr>
          <w:rFonts w:ascii="仿宋" w:hAnsi="仿宋" w:eastAsia="仿宋" w:cs="仿宋_GB2312"/>
          <w:color w:val="auto"/>
          <w:sz w:val="30"/>
          <w:szCs w:val="30"/>
          <w:highlight w:val="none"/>
        </w:rPr>
        <w:t>80%，具体支付金额按如下公式计算：</w:t>
      </w:r>
    </w:p>
    <w:p>
      <w:pPr>
        <w:spacing w:line="480" w:lineRule="auto"/>
        <w:ind w:firstLine="600" w:firstLineChars="200"/>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每期奖励费用支付金额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（送审金额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审定金额）×</w:t>
      </w:r>
      <w:r>
        <w:rPr>
          <w:rFonts w:ascii="仿宋" w:hAnsi="仿宋" w:eastAsia="仿宋" w:cs="仿宋_GB2312"/>
          <w:color w:val="auto"/>
          <w:sz w:val="30"/>
          <w:szCs w:val="30"/>
          <w:highlight w:val="none"/>
        </w:rPr>
        <w:t>5%</w:t>
      </w: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80%</w:t>
      </w:r>
    </w:p>
    <w:p>
      <w:pPr>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送审金额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经监理单位审定的工程变更预算金额或项目结算金额；</w:t>
      </w:r>
    </w:p>
    <w:p>
      <w:pPr>
        <w:spacing w:line="480" w:lineRule="auto"/>
        <w:ind w:firstLine="600" w:firstLineChars="20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审定金额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乙方审定并经甲方</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或甲方委托的第三方造价咨询机构</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及甲方上级主管单位复审确认的工程变更预算金额或项目结算金额。</w:t>
      </w:r>
    </w:p>
    <w:p>
      <w:pPr>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剩余奖励费用双方按下述的第（</w:t>
      </w:r>
      <w:r>
        <w:rPr>
          <w:rFonts w:ascii="仿宋" w:hAnsi="仿宋" w:eastAsia="仿宋" w:cs="仿宋_GB2312"/>
          <w:color w:val="auto"/>
          <w:sz w:val="30"/>
          <w:szCs w:val="30"/>
          <w:highlight w:val="none"/>
        </w:rPr>
        <w:t>7</w:t>
      </w:r>
      <w:r>
        <w:rPr>
          <w:rFonts w:hint="eastAsia" w:ascii="仿宋" w:hAnsi="仿宋" w:eastAsia="仿宋" w:cs="仿宋_GB2312"/>
          <w:color w:val="auto"/>
          <w:sz w:val="30"/>
          <w:szCs w:val="30"/>
          <w:highlight w:val="none"/>
        </w:rPr>
        <w:t>）款约定进行支付。</w:t>
      </w:r>
    </w:p>
    <w:p>
      <w:pPr>
        <w:spacing w:line="480" w:lineRule="auto"/>
        <w:ind w:firstLine="450" w:firstLineChars="15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（7）乙方提交施工总承包合同竣工结算审核成果文件（含各方盖章确认的结算审核定案表）及绩效奖励计取依据文件，经甲方审核同意后</w:t>
      </w:r>
      <w:r>
        <w:rPr>
          <w:rFonts w:ascii="仿宋" w:hAnsi="仿宋" w:eastAsia="仿宋" w:cs="仿宋_GB2312"/>
          <w:color w:val="auto"/>
          <w:sz w:val="30"/>
          <w:szCs w:val="30"/>
          <w:highlight w:val="none"/>
        </w:rPr>
        <w:t>15</w:t>
      </w:r>
      <w:r>
        <w:rPr>
          <w:rFonts w:hint="eastAsia" w:ascii="仿宋" w:hAnsi="仿宋" w:eastAsia="仿宋" w:cs="仿宋_GB2312"/>
          <w:color w:val="auto"/>
          <w:sz w:val="30"/>
          <w:szCs w:val="30"/>
          <w:highlight w:val="none"/>
        </w:rPr>
        <w:t>个工作日内，甲方向乙方支付至甲方审定服务费总额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含本合同第</w:t>
      </w:r>
      <w:r>
        <w:rPr>
          <w:rFonts w:ascii="仿宋" w:hAnsi="仿宋" w:eastAsia="仿宋" w:cs="仿宋_GB2312"/>
          <w:color w:val="auto"/>
          <w:sz w:val="30"/>
          <w:szCs w:val="30"/>
          <w:highlight w:val="none"/>
        </w:rPr>
        <w:t>5.1.2</w:t>
      </w:r>
      <w:r>
        <w:rPr>
          <w:rFonts w:hint="eastAsia" w:ascii="仿宋" w:hAnsi="仿宋" w:eastAsia="仿宋" w:cs="仿宋_GB2312"/>
          <w:color w:val="auto"/>
          <w:sz w:val="30"/>
          <w:szCs w:val="30"/>
          <w:highlight w:val="none"/>
        </w:rPr>
        <w:t>条约定的奖励费用</w:t>
      </w:r>
      <w:r>
        <w:rPr>
          <w:rFonts w:ascii="仿宋" w:hAnsi="仿宋" w:eastAsia="仿宋" w:cs="仿宋_GB2312"/>
          <w:color w:val="auto"/>
          <w:sz w:val="30"/>
          <w:szCs w:val="30"/>
          <w:highlight w:val="none"/>
        </w:rPr>
        <w:t>)的85%</w:t>
      </w:r>
      <w:r>
        <w:rPr>
          <w:rFonts w:hint="eastAsia" w:ascii="仿宋" w:hAnsi="仿宋" w:eastAsia="仿宋" w:cs="仿宋_GB2312"/>
          <w:color w:val="auto"/>
          <w:sz w:val="30"/>
          <w:szCs w:val="30"/>
          <w:highlight w:val="none"/>
        </w:rPr>
        <w:t>。</w:t>
      </w:r>
    </w:p>
    <w:p>
      <w:pPr>
        <w:spacing w:line="480" w:lineRule="auto"/>
        <w:ind w:firstLine="450" w:firstLineChars="15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（8）乙方提交精装修项目合同竣工结算审核成果文件（含各方盖章确认的结算审核定案表）及绩效奖励计取依据文件，经甲方审核同意后</w:t>
      </w:r>
      <w:r>
        <w:rPr>
          <w:rFonts w:ascii="仿宋" w:hAnsi="仿宋" w:eastAsia="仿宋" w:cs="仿宋_GB2312"/>
          <w:color w:val="auto"/>
          <w:sz w:val="30"/>
          <w:szCs w:val="30"/>
          <w:highlight w:val="none"/>
        </w:rPr>
        <w:t>15</w:t>
      </w:r>
      <w:r>
        <w:rPr>
          <w:rFonts w:hint="eastAsia" w:ascii="仿宋" w:hAnsi="仿宋" w:eastAsia="仿宋" w:cs="仿宋_GB2312"/>
          <w:color w:val="auto"/>
          <w:sz w:val="30"/>
          <w:szCs w:val="30"/>
          <w:highlight w:val="none"/>
        </w:rPr>
        <w:t>个工作日内，甲方向乙方支付至甲方审定服务费总额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含本合同第</w:t>
      </w:r>
      <w:r>
        <w:rPr>
          <w:rFonts w:ascii="仿宋" w:hAnsi="仿宋" w:eastAsia="仿宋" w:cs="仿宋_GB2312"/>
          <w:color w:val="auto"/>
          <w:sz w:val="30"/>
          <w:szCs w:val="30"/>
          <w:highlight w:val="none"/>
        </w:rPr>
        <w:t>5.1.2</w:t>
      </w:r>
      <w:r>
        <w:rPr>
          <w:rFonts w:hint="eastAsia" w:ascii="仿宋" w:hAnsi="仿宋" w:eastAsia="仿宋" w:cs="仿宋_GB2312"/>
          <w:color w:val="auto"/>
          <w:sz w:val="30"/>
          <w:szCs w:val="30"/>
          <w:highlight w:val="none"/>
        </w:rPr>
        <w:t>条约定的奖励费用</w:t>
      </w:r>
      <w:r>
        <w:rPr>
          <w:rFonts w:ascii="仿宋" w:hAnsi="仿宋" w:eastAsia="仿宋" w:cs="仿宋_GB2312"/>
          <w:color w:val="auto"/>
          <w:sz w:val="30"/>
          <w:szCs w:val="30"/>
          <w:highlight w:val="none"/>
        </w:rPr>
        <w:t>)的90%</w:t>
      </w:r>
      <w:r>
        <w:rPr>
          <w:rFonts w:hint="eastAsia" w:ascii="仿宋" w:hAnsi="仿宋" w:eastAsia="仿宋" w:cs="仿宋_GB2312"/>
          <w:color w:val="auto"/>
          <w:sz w:val="30"/>
          <w:szCs w:val="30"/>
          <w:highlight w:val="none"/>
        </w:rPr>
        <w:t>。</w:t>
      </w:r>
    </w:p>
    <w:p>
      <w:pPr>
        <w:spacing w:line="480" w:lineRule="auto"/>
        <w:ind w:firstLine="56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（9）乙方提交该项目其它全部相关的施工、服务、检测、监测、咨询、采购等项目结算审核成果文件及《造价管理总体评价报告》，经甲方审核同意并按甲方要求办理完成本造价咨询合同结算手续后</w:t>
      </w:r>
      <w:r>
        <w:rPr>
          <w:rFonts w:ascii="仿宋" w:hAnsi="仿宋" w:eastAsia="仿宋" w:cs="仿宋_GB2312"/>
          <w:color w:val="auto"/>
          <w:sz w:val="30"/>
          <w:szCs w:val="30"/>
          <w:highlight w:val="none"/>
        </w:rPr>
        <w:t>15</w:t>
      </w:r>
      <w:r>
        <w:rPr>
          <w:rFonts w:hint="eastAsia" w:ascii="仿宋" w:hAnsi="仿宋" w:eastAsia="仿宋" w:cs="仿宋_GB2312"/>
          <w:color w:val="auto"/>
          <w:sz w:val="30"/>
          <w:szCs w:val="30"/>
          <w:highlight w:val="none"/>
        </w:rPr>
        <w:t>个工作日内，甲方向乙方结清该项目剩余咨询费用。</w:t>
      </w:r>
    </w:p>
    <w:p>
      <w:pPr>
        <w:pStyle w:val="2"/>
        <w:ind w:firstLine="600" w:firstLineChars="200"/>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（10）若本项目存在分期开发或分阶段提交成果的，则各阶段支付费用按相应阶段提交成果文件对应的建安工程费占本项目建安工程费总额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即本合同</w:t>
      </w:r>
      <w:r>
        <w:rPr>
          <w:rFonts w:ascii="仿宋" w:hAnsi="仿宋" w:eastAsia="仿宋" w:cs="仿宋_GB2312"/>
          <w:color w:val="auto"/>
          <w:sz w:val="30"/>
          <w:szCs w:val="30"/>
          <w:highlight w:val="none"/>
        </w:rPr>
        <w:t>4.1.1</w:t>
      </w:r>
      <w:r>
        <w:rPr>
          <w:rFonts w:hint="eastAsia" w:ascii="仿宋" w:hAnsi="仿宋" w:eastAsia="仿宋" w:cs="仿宋_GB2312"/>
          <w:color w:val="auto"/>
          <w:sz w:val="30"/>
          <w:szCs w:val="30"/>
          <w:highlight w:val="none"/>
        </w:rPr>
        <w:t>所述的项目造价控制目标的数额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对应比例进行支付。</w:t>
      </w:r>
    </w:p>
    <w:p>
      <w:pPr>
        <w:spacing w:line="360" w:lineRule="auto"/>
        <w:ind w:firstLine="584" w:firstLineChars="200"/>
        <w:rPr>
          <w:rFonts w:ascii="仿宋" w:hAnsi="仿宋" w:eastAsia="仿宋" w:cs="仿宋_GB2312"/>
          <w:color w:val="auto"/>
          <w:spacing w:val="-4"/>
          <w:sz w:val="30"/>
          <w:szCs w:val="30"/>
          <w:highlight w:val="none"/>
        </w:rPr>
      </w:pPr>
      <w:r>
        <w:rPr>
          <w:rFonts w:ascii="仿宋" w:hAnsi="仿宋" w:eastAsia="仿宋" w:cs="仿宋_GB2312"/>
          <w:color w:val="auto"/>
          <w:spacing w:val="-4"/>
          <w:sz w:val="30"/>
          <w:szCs w:val="30"/>
          <w:highlight w:val="none"/>
        </w:rPr>
        <w:t>5.2.1</w:t>
      </w:r>
      <w:r>
        <w:rPr>
          <w:rFonts w:hint="eastAsia" w:ascii="仿宋" w:hAnsi="仿宋" w:eastAsia="仿宋" w:cs="仿宋_GB2312"/>
          <w:color w:val="auto"/>
          <w:spacing w:val="-4"/>
          <w:sz w:val="30"/>
          <w:szCs w:val="30"/>
          <w:highlight w:val="none"/>
        </w:rPr>
        <w:t>本合同所涉及的委托人应支付的全部款项均为含税价。受托人在领取款项时，须向委托人提供</w:t>
      </w:r>
      <w:r>
        <w:rPr>
          <w:rFonts w:ascii="仿宋" w:hAnsi="仿宋" w:eastAsia="仿宋" w:cs="仿宋_GB2312"/>
          <w:color w:val="auto"/>
          <w:spacing w:val="-4"/>
          <w:sz w:val="30"/>
          <w:szCs w:val="30"/>
          <w:highlight w:val="none"/>
        </w:rPr>
        <w:t>10天以内开具的合法有效的一般纳税人增值税专用发票。否则委托人有权延缓付款，由此造成的一切延迟支付责任及损失由受托人自行承担。</w:t>
      </w:r>
    </w:p>
    <w:p>
      <w:pPr>
        <w:adjustRightInd w:val="0"/>
        <w:snapToGrid w:val="0"/>
        <w:spacing w:line="600" w:lineRule="exact"/>
        <w:ind w:firstLine="584" w:firstLineChars="200"/>
        <w:rPr>
          <w:rFonts w:ascii="仿宋" w:hAnsi="仿宋" w:eastAsia="仿宋" w:cs="仿宋_GB2312"/>
          <w:color w:val="auto"/>
          <w:spacing w:val="-4"/>
          <w:sz w:val="30"/>
          <w:szCs w:val="30"/>
          <w:highlight w:val="none"/>
        </w:rPr>
      </w:pPr>
      <w:r>
        <w:rPr>
          <w:rFonts w:ascii="仿宋" w:hAnsi="仿宋" w:eastAsia="仿宋" w:cs="仿宋_GB2312"/>
          <w:color w:val="auto"/>
          <w:spacing w:val="-4"/>
          <w:sz w:val="30"/>
          <w:szCs w:val="30"/>
          <w:highlight w:val="none"/>
        </w:rPr>
        <w:t>5.2.2乙方应就本合同约定之业务向甲方开具等额真实、合法有效的票据，如因乙方自身原因或所开票据（发票）本身之问题造成甲方日后发生税收风险而产生的经济损失，均由乙方全部承担，甲方并保留进一步提起法律诉讼的权利。</w:t>
      </w:r>
    </w:p>
    <w:p>
      <w:pPr>
        <w:pStyle w:val="9"/>
        <w:spacing w:before="0" w:beforeAutospacing="0" w:after="0" w:afterAutospacing="0" w:line="480" w:lineRule="auto"/>
        <w:ind w:firstLine="584" w:firstLineChars="200"/>
        <w:jc w:val="both"/>
        <w:rPr>
          <w:rFonts w:ascii="仿宋" w:hAnsi="仿宋" w:eastAsia="仿宋" w:cs="Arial"/>
          <w:color w:val="auto"/>
          <w:spacing w:val="-4"/>
          <w:sz w:val="30"/>
          <w:szCs w:val="30"/>
          <w:highlight w:val="none"/>
        </w:rPr>
      </w:pPr>
      <w:r>
        <w:rPr>
          <w:rFonts w:ascii="仿宋" w:hAnsi="仿宋" w:eastAsia="仿宋" w:cs="仿宋_GB2312"/>
          <w:color w:val="auto"/>
          <w:spacing w:val="-4"/>
          <w:sz w:val="30"/>
          <w:szCs w:val="30"/>
          <w:highlight w:val="none"/>
        </w:rPr>
        <w:t>5.2.3</w:t>
      </w:r>
      <w:r>
        <w:rPr>
          <w:rFonts w:hint="eastAsia" w:ascii="仿宋" w:hAnsi="仿宋" w:eastAsia="仿宋" w:cs="仿宋_GB2312"/>
          <w:color w:val="auto"/>
          <w:spacing w:val="-4"/>
          <w:sz w:val="30"/>
          <w:szCs w:val="30"/>
          <w:highlight w:val="none"/>
        </w:rPr>
        <w:t>每一笔咨询服务费进度款支付前，甲方有权先行核实乙方当期工作完成情况及履约情况，并在扣除乙方当期相应违约金后再支付当期费用。</w:t>
      </w:r>
    </w:p>
    <w:p>
      <w:pPr>
        <w:tabs>
          <w:tab w:val="left" w:pos="1260"/>
        </w:tabs>
        <w:spacing w:line="480" w:lineRule="auto"/>
        <w:ind w:firstLine="560"/>
        <w:jc w:val="both"/>
        <w:rPr>
          <w:rFonts w:ascii="仿宋" w:hAnsi="仿宋" w:eastAsia="仿宋" w:cs="Arial"/>
          <w:b/>
          <w:bCs/>
          <w:color w:val="auto"/>
          <w:sz w:val="30"/>
          <w:szCs w:val="30"/>
          <w:highlight w:val="none"/>
        </w:rPr>
      </w:pPr>
      <w:r>
        <w:rPr>
          <w:rFonts w:hint="eastAsia" w:ascii="仿宋" w:hAnsi="仿宋" w:eastAsia="仿宋" w:cs="仿宋_GB2312"/>
          <w:b/>
          <w:bCs/>
          <w:color w:val="auto"/>
          <w:sz w:val="30"/>
          <w:szCs w:val="30"/>
          <w:highlight w:val="none"/>
        </w:rPr>
        <w:t>第六条</w:t>
      </w:r>
      <w:r>
        <w:rPr>
          <w:rFonts w:ascii="仿宋" w:hAnsi="仿宋" w:eastAsia="仿宋" w:cs="仿宋_GB2312"/>
          <w:b/>
          <w:bCs/>
          <w:color w:val="auto"/>
          <w:sz w:val="30"/>
          <w:szCs w:val="30"/>
          <w:highlight w:val="none"/>
        </w:rPr>
        <w:t xml:space="preserve"> </w:t>
      </w:r>
      <w:r>
        <w:rPr>
          <w:rFonts w:hint="eastAsia" w:ascii="仿宋" w:hAnsi="仿宋" w:eastAsia="仿宋" w:cs="仿宋_GB2312"/>
          <w:b/>
          <w:bCs/>
          <w:color w:val="auto"/>
          <w:sz w:val="30"/>
          <w:szCs w:val="30"/>
          <w:highlight w:val="none"/>
        </w:rPr>
        <w:t>甲方的权利、义务</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6.1</w:t>
      </w:r>
      <w:r>
        <w:rPr>
          <w:rFonts w:hint="eastAsia" w:ascii="仿宋" w:hAnsi="仿宋" w:eastAsia="仿宋" w:cs="仿宋_GB2312"/>
          <w:color w:val="auto"/>
          <w:sz w:val="30"/>
          <w:szCs w:val="30"/>
          <w:highlight w:val="none"/>
        </w:rPr>
        <w:t>甲方（或甲方委托的有资质的第三方机构）有权随时对乙方咨询成果进行复审或抽检。</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6.2</w:t>
      </w:r>
      <w:r>
        <w:rPr>
          <w:rFonts w:hint="eastAsia" w:ascii="仿宋" w:hAnsi="仿宋" w:eastAsia="仿宋" w:cs="仿宋_GB2312"/>
          <w:color w:val="auto"/>
          <w:sz w:val="30"/>
          <w:szCs w:val="30"/>
          <w:highlight w:val="none"/>
        </w:rPr>
        <w:t>甲方有权要求乙方提交工作进展报告及询问相关的咨询内容，有权阐述对具体问题的意见和处理建议。</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6.3</w:t>
      </w:r>
      <w:r>
        <w:rPr>
          <w:rFonts w:hint="eastAsia" w:ascii="仿宋" w:hAnsi="仿宋" w:eastAsia="仿宋" w:cs="仿宋_GB2312"/>
          <w:color w:val="auto"/>
          <w:sz w:val="30"/>
          <w:szCs w:val="30"/>
          <w:highlight w:val="none"/>
        </w:rPr>
        <w:t>若甲方认定乙方配备的咨询专业人员不能胜任本项目工作，甲方有权要求乙方无条件更换直至满意，乙方不得提出异议。</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6.4</w:t>
      </w:r>
      <w:r>
        <w:rPr>
          <w:rFonts w:hint="eastAsia" w:ascii="仿宋" w:hAnsi="仿宋" w:eastAsia="仿宋" w:cs="仿宋_GB2312"/>
          <w:color w:val="auto"/>
          <w:sz w:val="30"/>
          <w:szCs w:val="30"/>
          <w:highlight w:val="none"/>
        </w:rPr>
        <w:t>甲方应向乙方移交咨询服务必需的技术资料：</w:t>
      </w:r>
    </w:p>
    <w:p>
      <w:pPr>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1</w:t>
      </w:r>
      <w:r>
        <w:rPr>
          <w:rFonts w:hint="eastAsia" w:ascii="仿宋" w:hAnsi="仿宋" w:eastAsia="仿宋" w:cs="仿宋_GB2312"/>
          <w:color w:val="auto"/>
          <w:sz w:val="30"/>
          <w:szCs w:val="30"/>
          <w:highlight w:val="none"/>
        </w:rPr>
        <w:t>）项目招标阶段：招标图纸、招标文件等相关资料；</w:t>
      </w:r>
    </w:p>
    <w:p>
      <w:pPr>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2</w:t>
      </w:r>
      <w:r>
        <w:rPr>
          <w:rFonts w:hint="eastAsia" w:ascii="仿宋" w:hAnsi="仿宋" w:eastAsia="仿宋" w:cs="仿宋_GB2312"/>
          <w:color w:val="auto"/>
          <w:sz w:val="30"/>
          <w:szCs w:val="30"/>
          <w:highlight w:val="none"/>
        </w:rPr>
        <w:t>）工程变更预算的编制、审核资料：招投标文件、招标答疑、中标通知书、施工合同、招标图、施工图等相关资料；</w:t>
      </w:r>
    </w:p>
    <w:p>
      <w:pPr>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3</w:t>
      </w:r>
      <w:r>
        <w:rPr>
          <w:rFonts w:hint="eastAsia" w:ascii="仿宋" w:hAnsi="仿宋" w:eastAsia="仿宋" w:cs="仿宋_GB2312"/>
          <w:color w:val="auto"/>
          <w:sz w:val="30"/>
          <w:szCs w:val="30"/>
          <w:highlight w:val="none"/>
        </w:rPr>
        <w:t>）工程进度款审核资料：当月完成工程量清单及计算书、工程变更单、现场签证、隐蔽工程验收单、施工图、工程洽商记录等相关资料；</w:t>
      </w:r>
    </w:p>
    <w:p>
      <w:pPr>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4</w:t>
      </w:r>
      <w:r>
        <w:rPr>
          <w:rFonts w:hint="eastAsia" w:ascii="仿宋" w:hAnsi="仿宋" w:eastAsia="仿宋" w:cs="仿宋_GB2312"/>
          <w:color w:val="auto"/>
          <w:sz w:val="30"/>
          <w:szCs w:val="30"/>
          <w:highlight w:val="none"/>
        </w:rPr>
        <w:t>）竣工结算审核资料：竣工图、工程变更单、现场签证、隐蔽工程验收单、工程开工报告、竣工验收报告、结算书等相关资料。</w:t>
      </w:r>
    </w:p>
    <w:p>
      <w:pPr>
        <w:tabs>
          <w:tab w:val="left" w:pos="540"/>
        </w:tabs>
        <w:spacing w:line="480" w:lineRule="auto"/>
        <w:ind w:firstLine="56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6.5</w:t>
      </w:r>
      <w:r>
        <w:rPr>
          <w:rFonts w:hint="eastAsia" w:ascii="仿宋" w:hAnsi="仿宋" w:eastAsia="仿宋" w:cs="仿宋_GB2312"/>
          <w:color w:val="auto"/>
          <w:sz w:val="30"/>
          <w:szCs w:val="30"/>
          <w:highlight w:val="none"/>
        </w:rPr>
        <w:t>甲方应协助乙方开展工作，在收到乙方要求对项目情况进行澄清说明的书面来函后</w:t>
      </w:r>
      <w:r>
        <w:rPr>
          <w:rFonts w:ascii="仿宋" w:hAnsi="仿宋" w:eastAsia="仿宋" w:cs="仿宋_GB2312"/>
          <w:color w:val="auto"/>
          <w:sz w:val="30"/>
          <w:szCs w:val="30"/>
          <w:highlight w:val="none"/>
        </w:rPr>
        <w:t>3</w:t>
      </w:r>
      <w:r>
        <w:rPr>
          <w:rFonts w:hint="eastAsia" w:ascii="仿宋" w:hAnsi="仿宋" w:eastAsia="仿宋" w:cs="仿宋_GB2312"/>
          <w:color w:val="auto"/>
          <w:sz w:val="30"/>
          <w:szCs w:val="30"/>
          <w:highlight w:val="none"/>
        </w:rPr>
        <w:t>个工作日内作出答复。</w:t>
      </w:r>
    </w:p>
    <w:p>
      <w:pPr>
        <w:spacing w:line="480" w:lineRule="auto"/>
        <w:ind w:firstLine="57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6.6</w:t>
      </w:r>
      <w:r>
        <w:rPr>
          <w:rFonts w:hint="eastAsia" w:ascii="仿宋" w:hAnsi="仿宋" w:eastAsia="仿宋" w:cs="仿宋_GB2312"/>
          <w:color w:val="auto"/>
          <w:sz w:val="30"/>
          <w:szCs w:val="30"/>
          <w:highlight w:val="none"/>
        </w:rPr>
        <w:t>甲方应对乙方的工作成果的整体质量进行评估，如无异议，原则上应于</w:t>
      </w:r>
      <w:r>
        <w:rPr>
          <w:rFonts w:ascii="仿宋" w:hAnsi="仿宋" w:eastAsia="仿宋" w:cs="仿宋_GB2312"/>
          <w:color w:val="auto"/>
          <w:sz w:val="30"/>
          <w:szCs w:val="30"/>
          <w:highlight w:val="none"/>
        </w:rPr>
        <w:t>3</w:t>
      </w:r>
      <w:r>
        <w:rPr>
          <w:rFonts w:hint="eastAsia" w:ascii="仿宋" w:hAnsi="仿宋" w:eastAsia="仿宋" w:cs="仿宋_GB2312"/>
          <w:color w:val="auto"/>
          <w:sz w:val="30"/>
          <w:szCs w:val="30"/>
          <w:highlight w:val="none"/>
        </w:rPr>
        <w:t>个工作日内予以确认。</w:t>
      </w:r>
    </w:p>
    <w:p>
      <w:pPr>
        <w:spacing w:line="480" w:lineRule="auto"/>
        <w:ind w:firstLine="570"/>
        <w:jc w:val="both"/>
        <w:rPr>
          <w:rFonts w:ascii="仿宋" w:hAnsi="仿宋" w:eastAsia="仿宋" w:cs="Arial"/>
          <w:b/>
          <w:bCs/>
          <w:color w:val="auto"/>
          <w:sz w:val="30"/>
          <w:szCs w:val="30"/>
          <w:highlight w:val="none"/>
        </w:rPr>
      </w:pPr>
      <w:r>
        <w:rPr>
          <w:rFonts w:hint="eastAsia" w:ascii="仿宋" w:hAnsi="仿宋" w:eastAsia="仿宋" w:cs="仿宋_GB2312"/>
          <w:b/>
          <w:bCs/>
          <w:color w:val="auto"/>
          <w:sz w:val="30"/>
          <w:szCs w:val="30"/>
          <w:highlight w:val="none"/>
        </w:rPr>
        <w:t>第七条</w:t>
      </w:r>
      <w:r>
        <w:rPr>
          <w:rFonts w:ascii="仿宋" w:hAnsi="仿宋" w:eastAsia="仿宋" w:cs="仿宋_GB2312"/>
          <w:b/>
          <w:bCs/>
          <w:color w:val="auto"/>
          <w:sz w:val="30"/>
          <w:szCs w:val="30"/>
          <w:highlight w:val="none"/>
        </w:rPr>
        <w:t xml:space="preserve"> </w:t>
      </w:r>
      <w:r>
        <w:rPr>
          <w:rFonts w:hint="eastAsia" w:ascii="仿宋" w:hAnsi="仿宋" w:eastAsia="仿宋" w:cs="仿宋_GB2312"/>
          <w:b/>
          <w:bCs/>
          <w:color w:val="auto"/>
          <w:sz w:val="30"/>
          <w:szCs w:val="30"/>
          <w:highlight w:val="none"/>
        </w:rPr>
        <w:t>乙方的权利、义务</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7.1</w:t>
      </w:r>
      <w:r>
        <w:rPr>
          <w:rFonts w:hint="eastAsia" w:ascii="仿宋" w:hAnsi="仿宋" w:eastAsia="仿宋" w:cs="仿宋_GB2312"/>
          <w:color w:val="auto"/>
          <w:sz w:val="30"/>
          <w:szCs w:val="30"/>
          <w:highlight w:val="none"/>
        </w:rPr>
        <w:t>甲方（或甲方委托的有资质的第三方机构）有权随时对乙方咨询成果进行复审或抽检，乙方须无条件予以配合。</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7.2</w:t>
      </w:r>
      <w:r>
        <w:rPr>
          <w:rFonts w:hint="eastAsia" w:ascii="仿宋" w:hAnsi="仿宋" w:eastAsia="仿宋" w:cs="仿宋_GB2312"/>
          <w:color w:val="auto"/>
          <w:sz w:val="30"/>
          <w:szCs w:val="30"/>
          <w:highlight w:val="none"/>
        </w:rPr>
        <w:t>在经甲方批准的情况下，乙方有权对项目参建单位提出的与本咨询业务有关的问题进行核对或查问，乙方有权到工程现场进行实地勘察测量</w:t>
      </w:r>
      <w:r>
        <w:rPr>
          <w:rFonts w:ascii="仿宋" w:eastAsia="仿宋" w:cs="Arial"/>
          <w:color w:val="auto"/>
          <w:sz w:val="30"/>
          <w:szCs w:val="30"/>
          <w:highlight w:val="none"/>
        </w:rPr>
        <w:t> </w:t>
      </w:r>
      <w:r>
        <w:rPr>
          <w:rFonts w:hint="eastAsia" w:ascii="仿宋" w:hAnsi="仿宋" w:eastAsia="仿宋" w:cs="仿宋_GB2312"/>
          <w:color w:val="auto"/>
          <w:sz w:val="30"/>
          <w:szCs w:val="30"/>
          <w:highlight w:val="none"/>
        </w:rPr>
        <w:t>。</w:t>
      </w:r>
    </w:p>
    <w:p>
      <w:pPr>
        <w:spacing w:line="480" w:lineRule="auto"/>
        <w:ind w:firstLine="600" w:firstLineChars="200"/>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7.3乙方审核工作应坚持客观真实、严谨认真、科学合理、公正廉洁的原则，保证严守执业道德，遵守审核纪律，执行国家有关法律法规要求，严格按照国家、广东省和广州市的工程造价政策实施审核。</w:t>
      </w:r>
    </w:p>
    <w:p>
      <w:pPr>
        <w:spacing w:line="480" w:lineRule="auto"/>
        <w:ind w:firstLine="600" w:firstLineChars="200"/>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7.4乙方应严格依照本合同的约定向甲方提供服务，本合同关于乙方服务工作范围、标准、要求等相关的任何条款均构成乙方的义务。</w:t>
      </w:r>
    </w:p>
    <w:p>
      <w:pPr>
        <w:spacing w:line="480" w:lineRule="auto"/>
        <w:ind w:firstLine="600" w:firstLineChars="200"/>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7.5乙方须保证所派人员为本单位在册人员，且全部具备相应专业技能和执业资格，乙方不得将审核项目转包或分包给其他单位或个人。</w:t>
      </w:r>
    </w:p>
    <w:p>
      <w:pPr>
        <w:spacing w:line="480" w:lineRule="auto"/>
        <w:ind w:firstLine="600" w:firstLineChars="200"/>
        <w:rPr>
          <w:rFonts w:ascii="仿宋" w:hAnsi="仿宋" w:eastAsia="仿宋" w:cs="Arial"/>
          <w:color w:val="auto"/>
          <w:sz w:val="30"/>
          <w:szCs w:val="30"/>
          <w:highlight w:val="none"/>
        </w:rPr>
      </w:pPr>
      <w:r>
        <w:rPr>
          <w:rFonts w:ascii="仿宋" w:hAnsi="仿宋" w:eastAsia="仿宋" w:cs="仿宋_GB2312"/>
          <w:color w:val="auto"/>
          <w:sz w:val="30"/>
          <w:szCs w:val="30"/>
          <w:highlight w:val="none"/>
        </w:rPr>
        <w:t>7.6</w:t>
      </w:r>
      <w:r>
        <w:rPr>
          <w:rFonts w:hint="eastAsia" w:ascii="仿宋" w:hAnsi="仿宋" w:eastAsia="仿宋" w:cs="仿宋_GB2312"/>
          <w:color w:val="auto"/>
          <w:sz w:val="30"/>
          <w:szCs w:val="30"/>
          <w:highlight w:val="none"/>
        </w:rPr>
        <w:t>未经甲方书面同意，乙方禁止接受其他有关单位、个人或组织委托的与该工程建设相关的事宜或任何报酬，不得参与可能与本合同规定的与甲方利益相冲突的任何活动。否则，一经查实，甲方有权立即单方面解除本合同，除拒绝支付剩余咨询服务费外，并视情节轻重追究乙方所造成的一切损失和责任。</w:t>
      </w:r>
    </w:p>
    <w:p>
      <w:pPr>
        <w:spacing w:line="480" w:lineRule="auto"/>
        <w:ind w:firstLine="600" w:firstLineChars="200"/>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 xml:space="preserve">7.7 </w:t>
      </w:r>
      <w:r>
        <w:rPr>
          <w:rFonts w:hint="eastAsia" w:ascii="仿宋" w:hAnsi="仿宋" w:eastAsia="仿宋" w:cs="仿宋_GB2312"/>
          <w:color w:val="auto"/>
          <w:sz w:val="30"/>
          <w:szCs w:val="30"/>
          <w:highlight w:val="none"/>
        </w:rPr>
        <w:t>在审核过程中，乙方应及时以书面形式向甲方反映所发现的重大问题和发生的重大争议事项，并有随时应甲方要求就出具的审核成果文件内容进行解释的义务。</w:t>
      </w:r>
    </w:p>
    <w:p>
      <w:pPr>
        <w:spacing w:line="480" w:lineRule="auto"/>
        <w:ind w:firstLine="600" w:firstLineChars="200"/>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 xml:space="preserve">7.8 </w:t>
      </w:r>
      <w:r>
        <w:rPr>
          <w:rFonts w:hint="eastAsia" w:ascii="仿宋" w:hAnsi="仿宋" w:eastAsia="仿宋" w:cs="仿宋_GB2312"/>
          <w:color w:val="auto"/>
          <w:sz w:val="30"/>
          <w:szCs w:val="30"/>
          <w:highlight w:val="none"/>
        </w:rPr>
        <w:t>乙方对本工程承担保密义务，不得向任何第三方泄露、披露、转让本工程相关的任何图纸、资料、数据等信息，乙方应负责约束其所有造价人员以及通过本单位知悉本工程信息的任何单位或个人，遵守本条款项下的保密义务。否则，乙方须赔偿甲方由此造成的全部损失，相关责任人还应根据有关法律责任承担相应行政或刑事责任。乙方须在咨询工作全部完成后</w:t>
      </w:r>
      <w:r>
        <w:rPr>
          <w:rFonts w:ascii="仿宋" w:hAnsi="仿宋" w:eastAsia="仿宋" w:cs="仿宋_GB2312"/>
          <w:color w:val="auto"/>
          <w:sz w:val="30"/>
          <w:szCs w:val="30"/>
          <w:highlight w:val="none"/>
        </w:rPr>
        <w:t>5</w:t>
      </w:r>
      <w:r>
        <w:rPr>
          <w:rFonts w:hint="eastAsia" w:ascii="仿宋" w:hAnsi="仿宋" w:eastAsia="仿宋" w:cs="仿宋_GB2312"/>
          <w:color w:val="auto"/>
          <w:sz w:val="30"/>
          <w:szCs w:val="30"/>
          <w:highlight w:val="none"/>
        </w:rPr>
        <w:t>个工作日内将全套上述资料整理完毕并移交甲方（须开列详细清单以供核对）。</w:t>
      </w:r>
    </w:p>
    <w:p>
      <w:pPr>
        <w:spacing w:line="480" w:lineRule="auto"/>
        <w:ind w:firstLine="602" w:firstLineChars="200"/>
        <w:jc w:val="both"/>
        <w:rPr>
          <w:rFonts w:ascii="仿宋" w:hAnsi="仿宋" w:eastAsia="仿宋" w:cs="仿宋_GB2312"/>
          <w:b/>
          <w:bCs/>
          <w:color w:val="auto"/>
          <w:sz w:val="30"/>
          <w:szCs w:val="30"/>
          <w:highlight w:val="none"/>
        </w:rPr>
      </w:pPr>
      <w:r>
        <w:rPr>
          <w:rFonts w:hint="eastAsia" w:ascii="仿宋" w:hAnsi="仿宋" w:eastAsia="仿宋" w:cs="仿宋_GB2312"/>
          <w:b/>
          <w:bCs/>
          <w:color w:val="auto"/>
          <w:sz w:val="30"/>
          <w:szCs w:val="30"/>
          <w:highlight w:val="none"/>
        </w:rPr>
        <w:t>第八条</w:t>
      </w:r>
      <w:r>
        <w:rPr>
          <w:rFonts w:ascii="仿宋" w:hAnsi="仿宋" w:eastAsia="仿宋" w:cs="仿宋_GB2312"/>
          <w:b/>
          <w:bCs/>
          <w:color w:val="auto"/>
          <w:sz w:val="30"/>
          <w:szCs w:val="30"/>
          <w:highlight w:val="none"/>
        </w:rPr>
        <w:t xml:space="preserve"> </w:t>
      </w:r>
      <w:r>
        <w:rPr>
          <w:rFonts w:hint="eastAsia" w:ascii="仿宋" w:hAnsi="仿宋" w:eastAsia="仿宋" w:cs="仿宋_GB2312"/>
          <w:b/>
          <w:bCs/>
          <w:color w:val="auto"/>
          <w:sz w:val="30"/>
          <w:szCs w:val="30"/>
          <w:highlight w:val="none"/>
        </w:rPr>
        <w:t>甲方违约责任</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8.1如因甲方未及时提交造价咨询所需资料或提交资料不全、不符合审核要求原因，造成乙方无法按本合同约定及时完成工作的，在报经甲方同意前提下，乙方完成时限视具体情况相应顺延。</w:t>
      </w:r>
    </w:p>
    <w:p>
      <w:pPr>
        <w:pStyle w:val="9"/>
        <w:spacing w:before="0" w:beforeAutospacing="0" w:after="0" w:afterAutospacing="0"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 xml:space="preserve">8.2 </w:t>
      </w:r>
      <w:r>
        <w:rPr>
          <w:rFonts w:hint="eastAsia" w:ascii="仿宋" w:hAnsi="仿宋" w:eastAsia="仿宋" w:cs="仿宋_GB2312"/>
          <w:color w:val="auto"/>
          <w:sz w:val="30"/>
          <w:szCs w:val="30"/>
          <w:highlight w:val="none"/>
        </w:rPr>
        <w:t>甲方不按时向乙方支付本合同约定的相应款项，除应支付本合同约定的相应款项外，每逾期支付一个工作日，还应承担应付未付款项的万分之叁的逾期违约金；逾期超过</w:t>
      </w:r>
      <w:r>
        <w:rPr>
          <w:rFonts w:ascii="仿宋" w:hAnsi="仿宋" w:eastAsia="仿宋" w:cs="仿宋_GB2312"/>
          <w:color w:val="auto"/>
          <w:sz w:val="30"/>
          <w:szCs w:val="30"/>
          <w:highlight w:val="none"/>
        </w:rPr>
        <w:t>30</w:t>
      </w:r>
      <w:r>
        <w:rPr>
          <w:rFonts w:hint="eastAsia" w:ascii="仿宋" w:hAnsi="仿宋" w:eastAsia="仿宋" w:cs="仿宋_GB2312"/>
          <w:color w:val="auto"/>
          <w:sz w:val="30"/>
          <w:szCs w:val="30"/>
          <w:highlight w:val="none"/>
        </w:rPr>
        <w:t>个日历天以上时，乙方有权暂停履行下阶段工作，并书面通知甲方，乙方工作完成时限相应顺延。</w:t>
      </w:r>
    </w:p>
    <w:p>
      <w:pPr>
        <w:spacing w:line="480" w:lineRule="auto"/>
        <w:ind w:firstLine="570"/>
        <w:jc w:val="both"/>
        <w:rPr>
          <w:rFonts w:ascii="仿宋" w:hAnsi="仿宋" w:eastAsia="仿宋" w:cs="Arial"/>
          <w:b/>
          <w:bCs/>
          <w:color w:val="auto"/>
          <w:sz w:val="30"/>
          <w:szCs w:val="30"/>
          <w:highlight w:val="none"/>
        </w:rPr>
      </w:pPr>
      <w:r>
        <w:rPr>
          <w:rFonts w:hint="eastAsia" w:ascii="仿宋" w:hAnsi="仿宋" w:eastAsia="仿宋" w:cs="仿宋_GB2312"/>
          <w:b/>
          <w:bCs/>
          <w:color w:val="auto"/>
          <w:sz w:val="30"/>
          <w:szCs w:val="30"/>
          <w:highlight w:val="none"/>
        </w:rPr>
        <w:t>第九条</w:t>
      </w:r>
      <w:r>
        <w:rPr>
          <w:rFonts w:ascii="仿宋" w:hAnsi="仿宋" w:eastAsia="仿宋" w:cs="仿宋_GB2312"/>
          <w:b/>
          <w:bCs/>
          <w:color w:val="auto"/>
          <w:sz w:val="30"/>
          <w:szCs w:val="30"/>
          <w:highlight w:val="none"/>
        </w:rPr>
        <w:t xml:space="preserve"> </w:t>
      </w:r>
      <w:r>
        <w:rPr>
          <w:rFonts w:hint="eastAsia" w:ascii="仿宋" w:hAnsi="仿宋" w:eastAsia="仿宋" w:cs="仿宋_GB2312"/>
          <w:b/>
          <w:bCs/>
          <w:color w:val="auto"/>
          <w:sz w:val="30"/>
          <w:szCs w:val="30"/>
          <w:highlight w:val="none"/>
        </w:rPr>
        <w:t>乙方违约责任</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9.1</w:t>
      </w:r>
      <w:r>
        <w:rPr>
          <w:rFonts w:hint="eastAsia" w:ascii="仿宋" w:hAnsi="仿宋" w:eastAsia="仿宋" w:cs="仿宋_GB2312"/>
          <w:color w:val="auto"/>
          <w:sz w:val="30"/>
          <w:szCs w:val="30"/>
          <w:highlight w:val="none"/>
        </w:rPr>
        <w:t>如乙方在各阶段咨询工作中发现建安成本可能超出本合同约定的投资限额或影响实现估算控制方案版目标成本、方案版目标成本控制施工图版目标成本的层层控制目标时，未及时向甲方书面汇报、分析原因并提出解决建议，造成项目方案版目标成本、施工图版目标成本超出甲方确定的投资限额的或上述层层控制目标被突破（即方案版目标成本超启动版、施工图版目标成本超方案版目标成本）的，每发生一次，乙方应按本合同约定基本服务费总额的</w:t>
      </w:r>
      <w:r>
        <w:rPr>
          <w:rFonts w:ascii="仿宋" w:hAnsi="仿宋" w:eastAsia="仿宋" w:cs="仿宋_GB2312"/>
          <w:color w:val="auto"/>
          <w:sz w:val="30"/>
          <w:szCs w:val="30"/>
          <w:highlight w:val="none"/>
        </w:rPr>
        <w:t>10%</w:t>
      </w:r>
      <w:r>
        <w:rPr>
          <w:rFonts w:hint="eastAsia" w:ascii="仿宋" w:hAnsi="仿宋" w:eastAsia="仿宋" w:cs="仿宋_GB2312"/>
          <w:color w:val="auto"/>
          <w:sz w:val="30"/>
          <w:szCs w:val="30"/>
          <w:highlight w:val="none"/>
        </w:rPr>
        <w:t>向甲方支付违约金。</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 xml:space="preserve">9.2 </w:t>
      </w:r>
      <w:r>
        <w:rPr>
          <w:rFonts w:hint="eastAsia" w:ascii="仿宋" w:hAnsi="仿宋" w:eastAsia="仿宋" w:cs="仿宋_GB2312"/>
          <w:color w:val="auto"/>
          <w:sz w:val="30"/>
          <w:szCs w:val="30"/>
          <w:highlight w:val="none"/>
        </w:rPr>
        <w:t>如因乙方各阶段咨询工作中发生咨询结果缺项、漏项或工程量计算错误或造价取值计算错误等工作质量问题（无论该项错误何时发现及该咨询结果是否经甲方确认），则乙方应按以下承担违约责任：</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9.2.1</w:t>
      </w:r>
      <w:r>
        <w:rPr>
          <w:rFonts w:hint="eastAsia" w:ascii="仿宋" w:hAnsi="仿宋" w:eastAsia="仿宋" w:cs="仿宋_GB2312"/>
          <w:color w:val="auto"/>
          <w:sz w:val="30"/>
          <w:szCs w:val="30"/>
          <w:highlight w:val="none"/>
        </w:rPr>
        <w:t>关于乙方对项目预算（含工程变更预算）、招标控制价及工程量清单以及竣工结算的咨询成果，如乙方预算（工程变更预算）、招标控制价及工程量清单、竣工结算审定金额超出甲方（或甲方另行委托的有资质的第三方机构）复审金额的±</w:t>
      </w:r>
      <w:r>
        <w:rPr>
          <w:rFonts w:ascii="仿宋" w:hAnsi="仿宋" w:eastAsia="仿宋" w:cs="仿宋_GB2312"/>
          <w:color w:val="auto"/>
          <w:sz w:val="30"/>
          <w:szCs w:val="30"/>
          <w:highlight w:val="none"/>
        </w:rPr>
        <w:t>3%</w:t>
      </w:r>
      <w:r>
        <w:rPr>
          <w:rFonts w:hint="eastAsia" w:ascii="仿宋" w:hAnsi="仿宋" w:eastAsia="仿宋" w:cs="仿宋_GB2312"/>
          <w:color w:val="auto"/>
          <w:sz w:val="30"/>
          <w:szCs w:val="30"/>
          <w:highlight w:val="none"/>
        </w:rPr>
        <w:t>，则乙方应按以下标准承担违约责任：</w:t>
      </w:r>
    </w:p>
    <w:p>
      <w:pPr>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1</w:t>
      </w:r>
      <w:r>
        <w:rPr>
          <w:rFonts w:hint="eastAsia" w:ascii="仿宋" w:hAnsi="仿宋" w:eastAsia="仿宋" w:cs="仿宋_GB2312"/>
          <w:color w:val="auto"/>
          <w:sz w:val="30"/>
          <w:szCs w:val="30"/>
          <w:highlight w:val="none"/>
        </w:rPr>
        <w:t>）乙方须承担全部复审费用，由甲方在本合同咨询费中扣除后直接支付第三方造价咨询复审机构。</w:t>
      </w:r>
    </w:p>
    <w:p>
      <w:pPr>
        <w:spacing w:line="480" w:lineRule="auto"/>
        <w:ind w:firstLine="600" w:firstLineChars="20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2）乙方应按超出金额的5%计算违约金向甲方支付。</w:t>
      </w:r>
    </w:p>
    <w:p>
      <w:pPr>
        <w:spacing w:line="480" w:lineRule="auto"/>
        <w:ind w:firstLine="600" w:firstLineChars="20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注：超出金额</w:t>
      </w:r>
      <w:r>
        <w:rPr>
          <w:rFonts w:ascii="仿宋" w:hAnsi="仿宋" w:eastAsia="仿宋" w:cs="仿宋_GB2312"/>
          <w:color w:val="auto"/>
          <w:sz w:val="30"/>
          <w:szCs w:val="30"/>
          <w:highlight w:val="none"/>
        </w:rPr>
        <w:t xml:space="preserve">=∣乙方审定金额-复审金额∣- </w:t>
      </w:r>
      <w:r>
        <w:rPr>
          <w:rFonts w:hint="eastAsia" w:ascii="仿宋" w:hAnsi="仿宋" w:eastAsia="仿宋" w:cs="仿宋_GB2312"/>
          <w:color w:val="auto"/>
          <w:sz w:val="30"/>
          <w:szCs w:val="30"/>
          <w:highlight w:val="none"/>
        </w:rPr>
        <w:t>复审金额×</w:t>
      </w:r>
      <w:r>
        <w:rPr>
          <w:rFonts w:ascii="仿宋" w:hAnsi="仿宋" w:eastAsia="仿宋" w:cs="仿宋_GB2312"/>
          <w:color w:val="auto"/>
          <w:sz w:val="30"/>
          <w:szCs w:val="30"/>
          <w:highlight w:val="none"/>
        </w:rPr>
        <w:t xml:space="preserve"> A%</w:t>
      </w:r>
    </w:p>
    <w:p>
      <w:pPr>
        <w:spacing w:line="480" w:lineRule="auto"/>
        <w:ind w:firstLine="600" w:firstLineChars="200"/>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 xml:space="preserve">    A%=3%（预算、招标控制价及工</w:t>
      </w:r>
      <w:r>
        <w:rPr>
          <w:rFonts w:hint="eastAsia" w:ascii="仿宋" w:hAnsi="仿宋" w:eastAsia="仿宋" w:cs="仿宋_GB2312"/>
          <w:color w:val="auto"/>
          <w:sz w:val="30"/>
          <w:szCs w:val="30"/>
          <w:highlight w:val="none"/>
        </w:rPr>
        <w:t>程量清单、竣工结算咨询）</w:t>
      </w:r>
    </w:p>
    <w:p>
      <w:pPr>
        <w:spacing w:line="480" w:lineRule="auto"/>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 xml:space="preserve">    </w:t>
      </w:r>
      <w:r>
        <w:rPr>
          <w:rFonts w:hint="eastAsia" w:ascii="仿宋" w:hAnsi="仿宋" w:eastAsia="仿宋" w:cs="仿宋_GB2312"/>
          <w:color w:val="auto"/>
          <w:sz w:val="30"/>
          <w:szCs w:val="30"/>
          <w:highlight w:val="none"/>
        </w:rPr>
        <w:t>（</w:t>
      </w:r>
      <w:r>
        <w:rPr>
          <w:rFonts w:ascii="仿宋" w:hAnsi="仿宋" w:eastAsia="仿宋" w:cs="仿宋_GB2312"/>
          <w:color w:val="auto"/>
          <w:sz w:val="30"/>
          <w:szCs w:val="30"/>
          <w:highlight w:val="none"/>
        </w:rPr>
        <w:t>3）</w:t>
      </w:r>
      <w:r>
        <w:rPr>
          <w:rFonts w:hint="eastAsia" w:ascii="仿宋" w:hAnsi="仿宋" w:eastAsia="仿宋" w:cs="仿宋_GB2312"/>
          <w:color w:val="auto"/>
          <w:sz w:val="30"/>
          <w:szCs w:val="30"/>
          <w:highlight w:val="none"/>
        </w:rPr>
        <w:t>不予支付乙方奖励费用，若已支付的，乙方需在</w:t>
      </w:r>
      <w:r>
        <w:rPr>
          <w:rFonts w:ascii="仿宋" w:hAnsi="仿宋" w:eastAsia="仿宋" w:cs="仿宋_GB2312"/>
          <w:color w:val="auto"/>
          <w:sz w:val="30"/>
          <w:szCs w:val="30"/>
          <w:highlight w:val="none"/>
        </w:rPr>
        <w:t>15</w:t>
      </w:r>
      <w:r>
        <w:rPr>
          <w:rFonts w:hint="eastAsia" w:ascii="仿宋" w:hAnsi="仿宋" w:eastAsia="仿宋" w:cs="仿宋_GB2312"/>
          <w:color w:val="auto"/>
          <w:sz w:val="30"/>
          <w:szCs w:val="30"/>
          <w:highlight w:val="none"/>
        </w:rPr>
        <w:t>个工作日内全额退回。</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9.2.2</w:t>
      </w:r>
      <w:r>
        <w:rPr>
          <w:rFonts w:hint="eastAsia" w:ascii="仿宋" w:hAnsi="仿宋" w:eastAsia="仿宋" w:cs="仿宋_GB2312"/>
          <w:color w:val="auto"/>
          <w:sz w:val="30"/>
          <w:szCs w:val="30"/>
          <w:highlight w:val="none"/>
        </w:rPr>
        <w:t>经乙方编审确定的招标工程量清单及招标控制价，若在相应项目实施过程中发现缺项、漏项或工程量计算错误或造价取值计算错误等工作质量问题，导致实际结算造价超过中标价及变更签证金额之和的，则乙方应按超出金额的</w:t>
      </w:r>
      <w:r>
        <w:rPr>
          <w:rFonts w:ascii="仿宋" w:hAnsi="仿宋" w:eastAsia="仿宋" w:cs="仿宋_GB2312"/>
          <w:color w:val="auto"/>
          <w:sz w:val="30"/>
          <w:szCs w:val="30"/>
          <w:highlight w:val="none"/>
        </w:rPr>
        <w:t>5%</w:t>
      </w:r>
      <w:r>
        <w:rPr>
          <w:rFonts w:hint="eastAsia" w:ascii="仿宋" w:hAnsi="仿宋" w:eastAsia="仿宋" w:cs="仿宋_GB2312"/>
          <w:color w:val="auto"/>
          <w:sz w:val="30"/>
          <w:szCs w:val="30"/>
          <w:highlight w:val="none"/>
        </w:rPr>
        <w:t>计算违约金向甲方支付。</w:t>
      </w:r>
    </w:p>
    <w:p>
      <w:pPr>
        <w:spacing w:line="480" w:lineRule="auto"/>
        <w:ind w:firstLine="600" w:firstLineChars="200"/>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注：超出金额</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该结算价</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中标价及变更签证金额之和。</w:t>
      </w:r>
    </w:p>
    <w:p>
      <w:pPr>
        <w:spacing w:line="480" w:lineRule="auto"/>
        <w:ind w:firstLine="600" w:firstLineChars="200"/>
        <w:jc w:val="both"/>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上述单次计算的违约金应不超过基本服务费总额的</w:t>
      </w:r>
      <w:r>
        <w:rPr>
          <w:rFonts w:ascii="仿宋" w:hAnsi="仿宋" w:eastAsia="仿宋" w:cs="仿宋_GB2312"/>
          <w:color w:val="auto"/>
          <w:sz w:val="30"/>
          <w:szCs w:val="30"/>
          <w:highlight w:val="none"/>
        </w:rPr>
        <w:t>10%，累计计算应不超过基本服务费总额的50%（但如同时构成9.1条违约的，应同时追究违约责任并不受此限）。</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9.3</w:t>
      </w:r>
      <w:r>
        <w:rPr>
          <w:rFonts w:hint="eastAsia" w:ascii="仿宋" w:hAnsi="仿宋" w:eastAsia="仿宋" w:cs="仿宋_GB2312"/>
          <w:color w:val="auto"/>
          <w:sz w:val="30"/>
          <w:szCs w:val="30"/>
          <w:highlight w:val="none"/>
        </w:rPr>
        <w:t>若甲方按乙方审定金额进行进度款支付（支付比例最高不超过乙方编审价的</w:t>
      </w:r>
      <w:r>
        <w:rPr>
          <w:rFonts w:ascii="仿宋" w:hAnsi="仿宋" w:eastAsia="仿宋" w:cs="仿宋_GB2312"/>
          <w:color w:val="auto"/>
          <w:sz w:val="30"/>
          <w:szCs w:val="30"/>
          <w:highlight w:val="none"/>
        </w:rPr>
        <w:t>80%</w:t>
      </w:r>
      <w:r>
        <w:rPr>
          <w:rFonts w:hint="eastAsia" w:ascii="仿宋" w:hAnsi="仿宋" w:eastAsia="仿宋" w:cs="仿宋_GB2312"/>
          <w:color w:val="auto"/>
          <w:sz w:val="30"/>
          <w:szCs w:val="30"/>
          <w:highlight w:val="none"/>
        </w:rPr>
        <w:t>），最终累计支付工程进度款超出甲方结算复审金额的，则乙方应按本合同约定的基本服务费总额的</w:t>
      </w:r>
      <w:r>
        <w:rPr>
          <w:rFonts w:ascii="仿宋" w:hAnsi="仿宋" w:eastAsia="仿宋" w:cs="仿宋_GB2312"/>
          <w:color w:val="auto"/>
          <w:sz w:val="30"/>
          <w:szCs w:val="30"/>
          <w:highlight w:val="none"/>
        </w:rPr>
        <w:t>10%</w:t>
      </w:r>
      <w:r>
        <w:rPr>
          <w:rFonts w:hint="eastAsia" w:ascii="仿宋" w:hAnsi="仿宋" w:eastAsia="仿宋" w:cs="仿宋_GB2312"/>
          <w:color w:val="auto"/>
          <w:sz w:val="30"/>
          <w:szCs w:val="30"/>
          <w:highlight w:val="none"/>
        </w:rPr>
        <w:t>向甲方支付违约金，且甲方有权不予支付本合同剩余咨询服务费及立即单方面解除合同。</w:t>
      </w:r>
    </w:p>
    <w:p>
      <w:pPr>
        <w:spacing w:line="480" w:lineRule="auto"/>
        <w:ind w:firstLine="600" w:firstLineChars="200"/>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9.4乙方违反本合同7.5条规定，将审核项目转包或分包给其他单位或个人，甲方有权立即单方面解除本合同，并拒绝支付剩余咨询服务费。</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9.5</w:t>
      </w:r>
      <w:r>
        <w:rPr>
          <w:rFonts w:hint="eastAsia" w:ascii="仿宋" w:hAnsi="仿宋" w:eastAsia="仿宋" w:cs="仿宋_GB2312"/>
          <w:color w:val="auto"/>
          <w:sz w:val="30"/>
          <w:szCs w:val="30"/>
          <w:highlight w:val="none"/>
        </w:rPr>
        <w:t>乙方违反本合同</w:t>
      </w:r>
      <w:r>
        <w:rPr>
          <w:rFonts w:ascii="仿宋" w:hAnsi="仿宋" w:eastAsia="仿宋" w:cs="仿宋_GB2312"/>
          <w:color w:val="auto"/>
          <w:sz w:val="30"/>
          <w:szCs w:val="30"/>
          <w:highlight w:val="none"/>
        </w:rPr>
        <w:t>7.6</w:t>
      </w:r>
      <w:r>
        <w:rPr>
          <w:rFonts w:hint="eastAsia" w:ascii="仿宋" w:hAnsi="仿宋" w:eastAsia="仿宋" w:cs="仿宋_GB2312"/>
          <w:color w:val="auto"/>
          <w:sz w:val="30"/>
          <w:szCs w:val="30"/>
          <w:highlight w:val="none"/>
        </w:rPr>
        <w:t>条规定，擅自接受其他有关单位、个人或组织委托的与该工程建设相关事宜或任何报酬，或参与可能与本合同规定的与甲方利益相冲突的任何活动的，甲方发现后，有权立即单方面解除本合同，除不再支付剩余咨询服务费外，并视情节轻重追究乙方所造成的一切损失和责任。</w:t>
      </w:r>
    </w:p>
    <w:p>
      <w:pPr>
        <w:spacing w:line="480" w:lineRule="auto"/>
        <w:ind w:firstLine="600" w:firstLineChars="200"/>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9.6未经甲方批准，乙方咨询人员擅自与施工单位或被审核方单独接触，每被发现一次，乙方须支付人民币叁万元违约金给甲方，并承担由此给甲方造成的一切损失及责任，且甲方还有权要求乙方立即更换相关人员，乙方应无条件予以配合。此项违约累计达到三次，则甲方有权立即单方解除本合同，并不予支付剩余咨询服务费。</w:t>
      </w:r>
    </w:p>
    <w:p>
      <w:pPr>
        <w:spacing w:line="480" w:lineRule="auto"/>
        <w:ind w:firstLine="600" w:firstLineChars="200"/>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9.7乙方违反本合同4.2条规定，无正当理由延迟提交咨询成果或未及时就咨询事项</w:t>
      </w:r>
      <w:r>
        <w:rPr>
          <w:rFonts w:hint="eastAsia" w:ascii="仿宋" w:hAnsi="仿宋" w:eastAsia="仿宋" w:cs="仿宋_GB2312"/>
          <w:color w:val="auto"/>
          <w:sz w:val="30"/>
          <w:szCs w:val="30"/>
          <w:highlight w:val="none"/>
        </w:rPr>
        <w:t>作出明确的处理意见（包括无正当理由拒不确认甲方或甲方委托的第三方复审机构的复审结果的），每拖延一日应向甲方交纳人民币伍千元作为违约金。此项违约累计超过</w:t>
      </w:r>
      <w:r>
        <w:rPr>
          <w:rFonts w:ascii="仿宋" w:hAnsi="仿宋" w:eastAsia="仿宋" w:cs="仿宋_GB2312"/>
          <w:color w:val="auto"/>
          <w:sz w:val="30"/>
          <w:szCs w:val="30"/>
          <w:highlight w:val="none"/>
        </w:rPr>
        <w:t>10天甲方有权立即单方面解除本合同，并不予支付剩余咨询服务费。</w:t>
      </w:r>
    </w:p>
    <w:p>
      <w:pPr>
        <w:spacing w:line="480" w:lineRule="auto"/>
        <w:ind w:firstLine="600" w:firstLineChars="200"/>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9.8乙方违反本合同4.5条约定，未配备符合条件的人员（包括项目总负责人、各专业负责人员及驻场服务人员）为甲方提供服务的（含乙方擅自调换人员或乙方人员擅自离岗或乙方未按甲方要求及时更换不称职人员等），乙方应支付每人次人民币叁万元的违约金给甲方。若此项违约累计达到三次，则甲方有权立即单方面解除本合同，并不予支付剩余咨询服务费。</w:t>
      </w:r>
    </w:p>
    <w:p>
      <w:pPr>
        <w:spacing w:line="480" w:lineRule="auto"/>
        <w:ind w:firstLine="600" w:firstLineChars="200"/>
        <w:jc w:val="both"/>
        <w:rPr>
          <w:rFonts w:ascii="仿宋" w:hAnsi="仿宋" w:eastAsia="仿宋" w:cs="仿宋_GB2312"/>
          <w:color w:val="auto"/>
          <w:sz w:val="30"/>
          <w:szCs w:val="30"/>
          <w:highlight w:val="none"/>
        </w:rPr>
      </w:pPr>
      <w:r>
        <w:rPr>
          <w:rFonts w:ascii="仿宋" w:hAnsi="仿宋" w:eastAsia="仿宋" w:cs="仿宋_GB2312"/>
          <w:color w:val="auto"/>
          <w:sz w:val="30"/>
          <w:szCs w:val="30"/>
          <w:highlight w:val="none"/>
        </w:rPr>
        <w:t>9.9乙方未按合同约定及甲方要求及时委派项目总负责人、各专业负责人员、驻场服务人员参加工程技术联络会、工程例会、招标事宜等技术配合服务会议，乙方须向甲方支付每人次人民币伍千元的违约金。若此项违约每年累计达到三次，则甲方有权立即单方面解除本合同，并不予支付剩余咨询服务费。</w:t>
      </w:r>
    </w:p>
    <w:p>
      <w:pPr>
        <w:spacing w:line="480" w:lineRule="auto"/>
        <w:ind w:firstLine="600" w:firstLineChars="200"/>
        <w:rPr>
          <w:rFonts w:ascii="仿宋" w:hAnsi="仿宋" w:eastAsia="仿宋" w:cs="Arial"/>
          <w:color w:val="auto"/>
          <w:sz w:val="30"/>
          <w:szCs w:val="30"/>
          <w:highlight w:val="none"/>
        </w:rPr>
      </w:pPr>
      <w:r>
        <w:rPr>
          <w:rFonts w:ascii="仿宋" w:hAnsi="仿宋" w:eastAsia="仿宋" w:cs="仿宋_GB2312"/>
          <w:color w:val="auto"/>
          <w:sz w:val="30"/>
          <w:szCs w:val="30"/>
          <w:highlight w:val="none"/>
        </w:rPr>
        <w:t>9.10</w:t>
      </w:r>
      <w:r>
        <w:rPr>
          <w:rFonts w:hint="eastAsia" w:ascii="仿宋" w:hAnsi="仿宋" w:eastAsia="仿宋" w:cs="仿宋_GB2312"/>
          <w:color w:val="auto"/>
          <w:sz w:val="30"/>
          <w:szCs w:val="30"/>
          <w:highlight w:val="none"/>
        </w:rPr>
        <w:t>若乙方单个违约行为同时构成上述多项违约的，则甲方有权要求乙方同时承担多项违约责任或选择乙方违约责任最重的条款追究乙方违约责任。</w:t>
      </w:r>
    </w:p>
    <w:p>
      <w:pPr>
        <w:spacing w:line="480" w:lineRule="auto"/>
        <w:ind w:firstLine="600" w:firstLineChars="200"/>
        <w:rPr>
          <w:rFonts w:ascii="仿宋" w:hAnsi="仿宋" w:eastAsia="仿宋" w:cs="Arial"/>
          <w:color w:val="auto"/>
          <w:sz w:val="30"/>
          <w:szCs w:val="30"/>
          <w:highlight w:val="none"/>
        </w:rPr>
      </w:pPr>
      <w:r>
        <w:rPr>
          <w:rFonts w:ascii="仿宋" w:hAnsi="仿宋" w:eastAsia="仿宋" w:cs="仿宋_GB2312"/>
          <w:color w:val="auto"/>
          <w:sz w:val="30"/>
          <w:szCs w:val="30"/>
          <w:highlight w:val="none"/>
        </w:rPr>
        <w:t>9.11</w:t>
      </w:r>
      <w:r>
        <w:rPr>
          <w:rFonts w:hint="eastAsia" w:ascii="仿宋" w:hAnsi="仿宋" w:eastAsia="仿宋" w:cs="仿宋_GB2312"/>
          <w:color w:val="auto"/>
          <w:sz w:val="30"/>
          <w:szCs w:val="30"/>
          <w:highlight w:val="none"/>
        </w:rPr>
        <w:t>上述违约金累计上限为乙方基本服务费总额，甲方有权从应支付乙方的进度款或结算价款中直接抵扣，乙方不得有异议。</w:t>
      </w:r>
    </w:p>
    <w:p>
      <w:pPr>
        <w:spacing w:line="480" w:lineRule="auto"/>
        <w:ind w:firstLine="602" w:firstLineChars="200"/>
        <w:jc w:val="both"/>
        <w:rPr>
          <w:rFonts w:ascii="仿宋" w:hAnsi="仿宋" w:eastAsia="仿宋" w:cs="Arial"/>
          <w:b/>
          <w:bCs/>
          <w:color w:val="auto"/>
          <w:sz w:val="30"/>
          <w:szCs w:val="30"/>
          <w:highlight w:val="none"/>
        </w:rPr>
      </w:pPr>
      <w:r>
        <w:rPr>
          <w:rFonts w:hint="eastAsia" w:ascii="仿宋" w:hAnsi="仿宋" w:eastAsia="仿宋" w:cs="仿宋_GB2312"/>
          <w:b/>
          <w:bCs/>
          <w:color w:val="auto"/>
          <w:sz w:val="30"/>
          <w:szCs w:val="30"/>
          <w:highlight w:val="none"/>
        </w:rPr>
        <w:t>第十条</w:t>
      </w:r>
      <w:r>
        <w:rPr>
          <w:rFonts w:ascii="仿宋" w:hAnsi="仿宋" w:eastAsia="仿宋" w:cs="仿宋_GB2312"/>
          <w:b/>
          <w:bCs/>
          <w:color w:val="auto"/>
          <w:sz w:val="30"/>
          <w:szCs w:val="30"/>
          <w:highlight w:val="none"/>
        </w:rPr>
        <w:t xml:space="preserve"> </w:t>
      </w:r>
      <w:r>
        <w:rPr>
          <w:rFonts w:hint="eastAsia" w:ascii="仿宋" w:hAnsi="仿宋" w:eastAsia="仿宋" w:cs="仿宋_GB2312"/>
          <w:b/>
          <w:bCs/>
          <w:color w:val="auto"/>
          <w:sz w:val="30"/>
          <w:szCs w:val="30"/>
          <w:highlight w:val="none"/>
        </w:rPr>
        <w:t>合同的变更、中止和终止</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10.1</w:t>
      </w:r>
      <w:r>
        <w:rPr>
          <w:rFonts w:hint="eastAsia" w:ascii="仿宋" w:hAnsi="仿宋" w:eastAsia="仿宋" w:cs="仿宋_GB2312"/>
          <w:color w:val="auto"/>
          <w:sz w:val="30"/>
          <w:szCs w:val="30"/>
          <w:highlight w:val="none"/>
        </w:rPr>
        <w:t>除本合同另有约定外，甲乙双方均不得擅自变更、中止或终止本合同。双方不能就此协商一致的，应按本合同</w:t>
      </w:r>
      <w:r>
        <w:rPr>
          <w:rFonts w:ascii="仿宋" w:hAnsi="仿宋" w:eastAsia="仿宋" w:cs="仿宋_GB2312"/>
          <w:color w:val="auto"/>
          <w:sz w:val="30"/>
          <w:szCs w:val="30"/>
          <w:highlight w:val="none"/>
        </w:rPr>
        <w:t>11.1</w:t>
      </w:r>
      <w:r>
        <w:rPr>
          <w:rFonts w:hint="eastAsia" w:ascii="仿宋" w:hAnsi="仿宋" w:eastAsia="仿宋" w:cs="仿宋_GB2312"/>
          <w:color w:val="auto"/>
          <w:sz w:val="30"/>
          <w:szCs w:val="30"/>
          <w:highlight w:val="none"/>
        </w:rPr>
        <w:t>条处理。</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 xml:space="preserve">10.2 </w:t>
      </w:r>
      <w:r>
        <w:rPr>
          <w:rFonts w:hint="eastAsia" w:ascii="仿宋" w:hAnsi="仿宋" w:eastAsia="仿宋" w:cs="仿宋_GB2312"/>
          <w:color w:val="auto"/>
          <w:sz w:val="30"/>
          <w:szCs w:val="30"/>
          <w:highlight w:val="none"/>
        </w:rPr>
        <w:t>双方全部履行完毕合同规定权利、义务时，本合同自行终止。</w:t>
      </w:r>
    </w:p>
    <w:p>
      <w:pPr>
        <w:spacing w:line="480" w:lineRule="auto"/>
        <w:ind w:firstLine="602" w:firstLineChars="200"/>
        <w:jc w:val="both"/>
        <w:rPr>
          <w:rFonts w:ascii="仿宋" w:hAnsi="仿宋" w:eastAsia="仿宋" w:cs="Arial"/>
          <w:b/>
          <w:bCs/>
          <w:color w:val="auto"/>
          <w:sz w:val="30"/>
          <w:szCs w:val="30"/>
          <w:highlight w:val="none"/>
        </w:rPr>
      </w:pPr>
      <w:r>
        <w:rPr>
          <w:rFonts w:hint="eastAsia" w:ascii="仿宋" w:hAnsi="仿宋" w:eastAsia="仿宋" w:cs="仿宋_GB2312"/>
          <w:b/>
          <w:bCs/>
          <w:color w:val="auto"/>
          <w:sz w:val="30"/>
          <w:szCs w:val="30"/>
          <w:highlight w:val="none"/>
        </w:rPr>
        <w:t>第十一条</w:t>
      </w:r>
      <w:r>
        <w:rPr>
          <w:rFonts w:ascii="仿宋" w:hAnsi="仿宋" w:eastAsia="仿宋" w:cs="仿宋_GB2312"/>
          <w:b/>
          <w:bCs/>
          <w:color w:val="auto"/>
          <w:sz w:val="30"/>
          <w:szCs w:val="30"/>
          <w:highlight w:val="none"/>
        </w:rPr>
        <w:t xml:space="preserve"> </w:t>
      </w:r>
      <w:r>
        <w:rPr>
          <w:rFonts w:hint="eastAsia" w:ascii="仿宋" w:hAnsi="仿宋" w:eastAsia="仿宋" w:cs="仿宋_GB2312"/>
          <w:b/>
          <w:bCs/>
          <w:color w:val="auto"/>
          <w:sz w:val="30"/>
          <w:szCs w:val="30"/>
          <w:highlight w:val="none"/>
        </w:rPr>
        <w:t>其它</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11.1</w:t>
      </w:r>
      <w:r>
        <w:rPr>
          <w:rFonts w:hint="eastAsia" w:ascii="仿宋" w:hAnsi="仿宋" w:eastAsia="仿宋" w:cs="仿宋_GB2312"/>
          <w:color w:val="auto"/>
          <w:sz w:val="30"/>
          <w:szCs w:val="30"/>
          <w:highlight w:val="none"/>
        </w:rPr>
        <w:t>本合同适用法律为中华人民共和国法律、法规，工程造价有关计价办法和规定或项目所在地的地方法规、地方规章。合同履行过程中发生争议，甲乙双方应及时协商解决；协商不成的，提交广州仲裁委员会仲裁。</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 xml:space="preserve">11.2 </w:t>
      </w:r>
      <w:r>
        <w:rPr>
          <w:rFonts w:hint="eastAsia" w:ascii="仿宋" w:hAnsi="仿宋" w:eastAsia="仿宋" w:cs="仿宋_GB2312"/>
          <w:color w:val="auto"/>
          <w:sz w:val="30"/>
          <w:szCs w:val="30"/>
          <w:highlight w:val="none"/>
        </w:rPr>
        <w:t>本合同一式捌份。正本贰份，甲、乙双方各执壹份</w:t>
      </w:r>
      <w:r>
        <w:rPr>
          <w:rFonts w:ascii="仿宋" w:hAnsi="仿宋" w:eastAsia="仿宋" w:cs="仿宋_GB2312"/>
          <w:color w:val="auto"/>
          <w:sz w:val="30"/>
          <w:szCs w:val="30"/>
          <w:highlight w:val="none"/>
        </w:rPr>
        <w:t>;</w:t>
      </w:r>
      <w:r>
        <w:rPr>
          <w:rFonts w:hint="eastAsia" w:ascii="仿宋" w:hAnsi="仿宋" w:eastAsia="仿宋" w:cs="仿宋_GB2312"/>
          <w:color w:val="auto"/>
          <w:sz w:val="30"/>
          <w:szCs w:val="30"/>
          <w:highlight w:val="none"/>
        </w:rPr>
        <w:t>副本陆份，甲、乙双方各执叁份。</w:t>
      </w:r>
    </w:p>
    <w:p>
      <w:pPr>
        <w:spacing w:line="480" w:lineRule="auto"/>
        <w:ind w:firstLine="600" w:firstLineChars="200"/>
        <w:jc w:val="both"/>
        <w:rPr>
          <w:rFonts w:ascii="仿宋" w:hAnsi="仿宋" w:eastAsia="仿宋" w:cs="Arial"/>
          <w:color w:val="auto"/>
          <w:sz w:val="30"/>
          <w:szCs w:val="30"/>
          <w:highlight w:val="none"/>
        </w:rPr>
      </w:pPr>
      <w:r>
        <w:rPr>
          <w:rFonts w:ascii="仿宋" w:hAnsi="仿宋" w:eastAsia="仿宋" w:cs="仿宋_GB2312"/>
          <w:color w:val="auto"/>
          <w:sz w:val="30"/>
          <w:szCs w:val="30"/>
          <w:highlight w:val="none"/>
        </w:rPr>
        <w:t>11.3</w:t>
      </w:r>
      <w:r>
        <w:rPr>
          <w:rFonts w:hint="eastAsia" w:ascii="仿宋" w:hAnsi="仿宋" w:eastAsia="仿宋" w:cs="仿宋_GB2312"/>
          <w:color w:val="auto"/>
          <w:sz w:val="30"/>
          <w:szCs w:val="30"/>
          <w:highlight w:val="none"/>
        </w:rPr>
        <w:t>本合同自双方签字盖章之日起生效。本合同生效后，在甲、乙双方就本咨询项目的招标文件、投标文件中各项规定与本合同约定不一致的，全部以本合同的约定为准。本合同未尽事项，在招、投标文件中有规定的，在与本合同精神不抵触的前提下适用该规定。</w:t>
      </w:r>
    </w:p>
    <w:p>
      <w:pPr>
        <w:spacing w:line="480" w:lineRule="auto"/>
        <w:rPr>
          <w:rFonts w:ascii="仿宋" w:hAnsi="仿宋" w:eastAsia="仿宋" w:cs="仿宋_GB2312"/>
          <w:color w:val="auto"/>
          <w:sz w:val="30"/>
          <w:szCs w:val="30"/>
          <w:highlight w:val="none"/>
        </w:rPr>
      </w:pPr>
    </w:p>
    <w:p>
      <w:pPr>
        <w:spacing w:line="480" w:lineRule="auto"/>
        <w:rPr>
          <w:rFonts w:ascii="仿宋" w:hAnsi="仿宋" w:eastAsia="仿宋" w:cs="仿宋_GB2312"/>
          <w:color w:val="auto"/>
          <w:sz w:val="30"/>
          <w:szCs w:val="30"/>
          <w:highlight w:val="none"/>
        </w:rPr>
      </w:pPr>
      <w:r>
        <w:rPr>
          <w:rFonts w:hint="eastAsia" w:ascii="仿宋" w:hAnsi="仿宋" w:eastAsia="仿宋" w:cs="仿宋_GB2312"/>
          <w:color w:val="auto"/>
          <w:sz w:val="30"/>
          <w:szCs w:val="30"/>
          <w:highlight w:val="none"/>
        </w:rPr>
        <w:t>附件1：乙方配备本项目的造价咨询人员名单</w:t>
      </w:r>
    </w:p>
    <w:p>
      <w:pPr>
        <w:pStyle w:val="2"/>
        <w:rPr>
          <w:rFonts w:ascii="仿宋" w:hAnsi="仿宋" w:eastAsia="仿宋" w:cs="仿宋_GB2312"/>
          <w:color w:val="auto"/>
          <w:spacing w:val="-20"/>
          <w:sz w:val="28"/>
          <w:szCs w:val="28"/>
          <w:highlight w:val="none"/>
        </w:rPr>
      </w:pPr>
      <w:r>
        <w:rPr>
          <w:rFonts w:hint="eastAsia" w:ascii="仿宋" w:hAnsi="仿宋" w:eastAsia="仿宋" w:cs="仿宋_GB2312"/>
          <w:color w:val="auto"/>
          <w:sz w:val="30"/>
          <w:szCs w:val="30"/>
          <w:highlight w:val="none"/>
        </w:rPr>
        <w:t>附件2：廉洁协议书</w:t>
      </w:r>
    </w:p>
    <w:p>
      <w:pPr>
        <w:spacing w:line="480" w:lineRule="auto"/>
        <w:rPr>
          <w:rFonts w:ascii="仿宋" w:hAnsi="仿宋" w:eastAsia="仿宋" w:cs="Arial"/>
          <w:color w:val="auto"/>
          <w:spacing w:val="-20"/>
          <w:sz w:val="28"/>
          <w:szCs w:val="28"/>
          <w:highlight w:val="none"/>
        </w:rPr>
      </w:pPr>
      <w:r>
        <w:rPr>
          <w:rFonts w:hint="eastAsia" w:ascii="仿宋" w:hAnsi="仿宋" w:eastAsia="仿宋" w:cs="仿宋_GB2312"/>
          <w:color w:val="auto"/>
          <w:spacing w:val="-20"/>
          <w:sz w:val="28"/>
          <w:szCs w:val="28"/>
          <w:highlight w:val="none"/>
        </w:rPr>
        <w:t>甲方：广州海丝城房地产开发有限公司</w:t>
      </w:r>
      <w:r>
        <w:rPr>
          <w:rFonts w:ascii="仿宋" w:hAnsi="仿宋" w:eastAsia="仿宋" w:cs="仿宋_GB2312"/>
          <w:color w:val="auto"/>
          <w:spacing w:val="-20"/>
          <w:sz w:val="28"/>
          <w:szCs w:val="28"/>
          <w:highlight w:val="none"/>
        </w:rPr>
        <w:t xml:space="preserve">  </w:t>
      </w:r>
      <w:r>
        <w:rPr>
          <w:rFonts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rPr>
        <w:t xml:space="preserve"> </w:t>
      </w:r>
      <w:r>
        <w:rPr>
          <w:rFonts w:hint="eastAsia" w:ascii="仿宋" w:hAnsi="仿宋" w:eastAsia="仿宋" w:cs="仿宋_GB2312"/>
          <w:color w:val="auto"/>
          <w:spacing w:val="-20"/>
          <w:sz w:val="28"/>
          <w:szCs w:val="28"/>
          <w:highlight w:val="none"/>
        </w:rPr>
        <w:t>乙方：</w:t>
      </w:r>
      <w:r>
        <w:rPr>
          <w:rFonts w:ascii="仿宋" w:hAnsi="仿宋" w:eastAsia="仿宋" w:cs="仿宋_GB2312"/>
          <w:color w:val="auto"/>
          <w:spacing w:val="-20"/>
          <w:sz w:val="28"/>
          <w:szCs w:val="28"/>
          <w:highlight w:val="none"/>
        </w:rPr>
        <w:t xml:space="preserve"> </w:t>
      </w:r>
    </w:p>
    <w:p>
      <w:pPr>
        <w:spacing w:line="480" w:lineRule="auto"/>
        <w:rPr>
          <w:rFonts w:ascii="仿宋" w:hAnsi="仿宋" w:eastAsia="仿宋" w:cs="Arial"/>
          <w:color w:val="auto"/>
          <w:sz w:val="28"/>
          <w:szCs w:val="28"/>
          <w:highlight w:val="none"/>
        </w:rPr>
      </w:pPr>
      <w:r>
        <w:rPr>
          <w:rFonts w:hint="eastAsia" w:ascii="仿宋" w:hAnsi="仿宋" w:eastAsia="仿宋" w:cs="仿宋_GB2312"/>
          <w:color w:val="auto"/>
          <w:sz w:val="28"/>
          <w:szCs w:val="28"/>
          <w:highlight w:val="none"/>
        </w:rPr>
        <w:t>法定代表人：</w:t>
      </w:r>
      <w:r>
        <w:rPr>
          <w:rFonts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rPr>
        <w:t xml:space="preserve">    </w:t>
      </w:r>
      <w:r>
        <w:rPr>
          <w:rFonts w:ascii="仿宋" w:hAnsi="仿宋" w:eastAsia="仿宋" w:cs="仿宋_GB2312"/>
          <w:color w:val="auto"/>
          <w:sz w:val="28"/>
          <w:szCs w:val="28"/>
          <w:highlight w:val="none"/>
        </w:rPr>
        <w:t>法定代表人：</w:t>
      </w:r>
    </w:p>
    <w:p>
      <w:pPr>
        <w:rPr>
          <w:rFonts w:ascii="仿宋" w:hAnsi="仿宋" w:eastAsia="仿宋"/>
          <w:color w:val="auto"/>
          <w:sz w:val="28"/>
          <w:szCs w:val="28"/>
          <w:highlight w:val="none"/>
        </w:rPr>
      </w:pPr>
      <w:r>
        <w:rPr>
          <w:rFonts w:hint="eastAsia" w:ascii="仿宋" w:hAnsi="仿宋" w:eastAsia="仿宋" w:cs="仿宋_GB2312"/>
          <w:color w:val="auto"/>
          <w:sz w:val="28"/>
          <w:szCs w:val="28"/>
          <w:highlight w:val="none"/>
        </w:rPr>
        <w:t xml:space="preserve">纳税人识别号：                   </w:t>
      </w:r>
      <w:r>
        <w:rPr>
          <w:rFonts w:ascii="仿宋" w:hAnsi="仿宋" w:eastAsia="仿宋" w:cs="仿宋_GB2312"/>
          <w:color w:val="auto"/>
          <w:sz w:val="28"/>
          <w:szCs w:val="28"/>
          <w:highlight w:val="none"/>
        </w:rPr>
        <w:t xml:space="preserve">    纳税人识别号：</w:t>
      </w:r>
    </w:p>
    <w:p>
      <w:pPr>
        <w:ind w:left="6360" w:hanging="6360" w:hangingChars="2650"/>
        <w:rPr>
          <w:rFonts w:ascii="仿宋" w:hAnsi="仿宋" w:eastAsia="仿宋"/>
          <w:color w:val="auto"/>
          <w:sz w:val="28"/>
          <w:szCs w:val="28"/>
          <w:highlight w:val="none"/>
        </w:rPr>
      </w:pPr>
      <w:r>
        <w:rPr>
          <w:rFonts w:hint="eastAsia" w:ascii="仿宋" w:hAnsi="仿宋" w:eastAsia="仿宋" w:cs="仿宋_GB2312"/>
          <w:color w:val="auto"/>
          <w:spacing w:val="-20"/>
          <w:sz w:val="28"/>
          <w:szCs w:val="28"/>
          <w:highlight w:val="none"/>
        </w:rPr>
        <w:t>办公地址：</w:t>
      </w:r>
      <w:r>
        <w:rPr>
          <w:color w:val="auto"/>
          <w:highlight w:val="none"/>
        </w:rPr>
        <w:t xml:space="preserve">                      </w:t>
      </w:r>
      <w:r>
        <w:rPr>
          <w:rFonts w:ascii="仿宋" w:hAnsi="仿宋" w:eastAsia="仿宋" w:cs="仿宋_GB2312"/>
          <w:color w:val="auto"/>
          <w:spacing w:val="-20"/>
          <w:sz w:val="28"/>
          <w:szCs w:val="28"/>
          <w:highlight w:val="none"/>
        </w:rPr>
        <w:t xml:space="preserve">       </w:t>
      </w:r>
      <w:r>
        <w:rPr>
          <w:rFonts w:hint="eastAsia" w:ascii="仿宋" w:hAnsi="仿宋" w:eastAsia="仿宋" w:cs="仿宋_GB2312"/>
          <w:color w:val="auto"/>
          <w:spacing w:val="-20"/>
          <w:sz w:val="28"/>
          <w:szCs w:val="28"/>
          <w:highlight w:val="none"/>
        </w:rPr>
        <w:t xml:space="preserve">     </w:t>
      </w:r>
      <w:r>
        <w:rPr>
          <w:rFonts w:ascii="仿宋" w:hAnsi="仿宋" w:eastAsia="仿宋" w:cs="仿宋_GB2312"/>
          <w:color w:val="auto"/>
          <w:spacing w:val="-20"/>
          <w:sz w:val="28"/>
          <w:szCs w:val="28"/>
          <w:highlight w:val="none"/>
        </w:rPr>
        <w:t xml:space="preserve"> </w:t>
      </w:r>
      <w:r>
        <w:rPr>
          <w:rFonts w:hint="eastAsia" w:ascii="仿宋" w:hAnsi="仿宋" w:eastAsia="仿宋" w:cs="仿宋_GB2312"/>
          <w:color w:val="auto"/>
          <w:spacing w:val="-20"/>
          <w:sz w:val="28"/>
          <w:szCs w:val="28"/>
          <w:highlight w:val="none"/>
        </w:rPr>
        <w:t>办公地址：</w:t>
      </w:r>
      <w:r>
        <w:rPr>
          <w:rFonts w:ascii="仿宋" w:hAnsi="仿宋" w:eastAsia="仿宋" w:cs="仿宋_GB2312"/>
          <w:color w:val="auto"/>
          <w:spacing w:val="-20"/>
          <w:sz w:val="28"/>
          <w:szCs w:val="28"/>
          <w:highlight w:val="none"/>
        </w:rPr>
        <w:t xml:space="preserve">                                        </w:t>
      </w:r>
    </w:p>
    <w:p>
      <w:pPr>
        <w:spacing w:line="480" w:lineRule="auto"/>
        <w:rPr>
          <w:rFonts w:ascii="仿宋" w:hAnsi="仿宋" w:eastAsia="仿宋" w:cs="Arial"/>
          <w:color w:val="auto"/>
          <w:sz w:val="28"/>
          <w:szCs w:val="28"/>
          <w:highlight w:val="none"/>
        </w:rPr>
      </w:pPr>
      <w:r>
        <w:rPr>
          <w:rFonts w:hint="eastAsia" w:ascii="仿宋" w:hAnsi="仿宋" w:eastAsia="仿宋" w:cs="仿宋_GB2312"/>
          <w:color w:val="auto"/>
          <w:sz w:val="28"/>
          <w:szCs w:val="28"/>
          <w:highlight w:val="none"/>
        </w:rPr>
        <w:t>邮政编码：</w:t>
      </w:r>
      <w:r>
        <w:rPr>
          <w:rFonts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rPr>
        <w:t xml:space="preserve">    </w:t>
      </w:r>
      <w:r>
        <w:rPr>
          <w:rFonts w:ascii="仿宋" w:hAnsi="仿宋" w:eastAsia="仿宋" w:cs="仿宋_GB2312"/>
          <w:color w:val="auto"/>
          <w:sz w:val="28"/>
          <w:szCs w:val="28"/>
          <w:highlight w:val="none"/>
        </w:rPr>
        <w:t>邮政编码：</w:t>
      </w:r>
    </w:p>
    <w:p>
      <w:pPr>
        <w:rPr>
          <w:rFonts w:ascii="仿宋" w:hAnsi="仿宋" w:eastAsia="仿宋"/>
          <w:color w:val="auto"/>
          <w:sz w:val="28"/>
          <w:szCs w:val="28"/>
          <w:highlight w:val="none"/>
        </w:rPr>
      </w:pPr>
      <w:r>
        <w:rPr>
          <w:rFonts w:hint="eastAsia" w:ascii="仿宋" w:hAnsi="仿宋" w:eastAsia="仿宋" w:cs="仿宋_GB2312"/>
          <w:color w:val="auto"/>
          <w:sz w:val="28"/>
          <w:szCs w:val="28"/>
          <w:highlight w:val="none"/>
        </w:rPr>
        <w:t>电话：</w:t>
      </w:r>
      <w:r>
        <w:rPr>
          <w:rFonts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rPr>
        <w:t xml:space="preserve">               </w:t>
      </w:r>
      <w:r>
        <w:rPr>
          <w:rFonts w:ascii="仿宋" w:hAnsi="仿宋" w:eastAsia="仿宋" w:cs="仿宋_GB2312"/>
          <w:color w:val="auto"/>
          <w:sz w:val="28"/>
          <w:szCs w:val="28"/>
          <w:highlight w:val="none"/>
        </w:rPr>
        <w:t>电话：</w:t>
      </w:r>
    </w:p>
    <w:p>
      <w:pPr>
        <w:ind w:left="6300" w:hanging="6300" w:hangingChars="2250"/>
        <w:rPr>
          <w:rFonts w:ascii="仿宋" w:hAnsi="仿宋" w:eastAsia="仿宋"/>
          <w:color w:val="auto"/>
          <w:sz w:val="28"/>
          <w:szCs w:val="28"/>
          <w:highlight w:val="none"/>
        </w:rPr>
      </w:pPr>
      <w:r>
        <w:rPr>
          <w:rFonts w:hint="eastAsia" w:ascii="仿宋" w:hAnsi="仿宋" w:eastAsia="仿宋" w:cs="仿宋_GB2312"/>
          <w:color w:val="auto"/>
          <w:sz w:val="28"/>
          <w:szCs w:val="28"/>
          <w:highlight w:val="none"/>
        </w:rPr>
        <w:t xml:space="preserve">开户银行：                    </w:t>
      </w:r>
      <w:r>
        <w:rPr>
          <w:rFonts w:ascii="仿宋" w:hAnsi="仿宋" w:eastAsia="仿宋" w:cs="仿宋_GB2312"/>
          <w:color w:val="auto"/>
          <w:sz w:val="28"/>
          <w:szCs w:val="28"/>
          <w:highlight w:val="none"/>
        </w:rPr>
        <w:t xml:space="preserve">       开户银行：</w:t>
      </w:r>
    </w:p>
    <w:p>
      <w:pPr>
        <w:rPr>
          <w:rFonts w:ascii="仿宋" w:hAnsi="仿宋" w:eastAsia="仿宋"/>
          <w:color w:val="auto"/>
          <w:sz w:val="28"/>
          <w:szCs w:val="28"/>
          <w:highlight w:val="none"/>
        </w:rPr>
      </w:pPr>
      <w:r>
        <w:rPr>
          <w:rFonts w:hint="eastAsia" w:ascii="仿宋" w:hAnsi="仿宋" w:eastAsia="仿宋" w:cs="仿宋_GB2312"/>
          <w:color w:val="auto"/>
          <w:sz w:val="28"/>
          <w:szCs w:val="28"/>
          <w:highlight w:val="none"/>
        </w:rPr>
        <w:t xml:space="preserve">银行帐号：                  </w:t>
      </w:r>
      <w:r>
        <w:rPr>
          <w:rFonts w:ascii="仿宋" w:hAnsi="仿宋" w:eastAsia="仿宋" w:cs="仿宋_GB2312"/>
          <w:color w:val="auto"/>
          <w:sz w:val="28"/>
          <w:szCs w:val="28"/>
          <w:highlight w:val="none"/>
        </w:rPr>
        <w:t xml:space="preserve">         银行帐号：</w:t>
      </w:r>
    </w:p>
    <w:p>
      <w:pPr>
        <w:spacing w:line="480" w:lineRule="auto"/>
        <w:rPr>
          <w:rFonts w:ascii="仿宋" w:hAnsi="仿宋" w:eastAsia="仿宋" w:cs="Arial"/>
          <w:color w:val="auto"/>
          <w:sz w:val="28"/>
          <w:szCs w:val="28"/>
          <w:highlight w:val="none"/>
        </w:rPr>
      </w:pPr>
      <w:r>
        <w:rPr>
          <w:rFonts w:hint="eastAsia" w:ascii="仿宋" w:hAnsi="仿宋" w:eastAsia="仿宋" w:cs="仿宋_GB2312"/>
          <w:color w:val="auto"/>
          <w:sz w:val="28"/>
          <w:szCs w:val="28"/>
          <w:highlight w:val="none"/>
        </w:rPr>
        <w:t>签订日期：</w:t>
      </w:r>
      <w:r>
        <w:rPr>
          <w:rFonts w:ascii="仿宋" w:hAnsi="仿宋" w:eastAsia="仿宋" w:cs="仿宋_GB2312"/>
          <w:color w:val="auto"/>
          <w:sz w:val="28"/>
          <w:szCs w:val="28"/>
          <w:highlight w:val="none"/>
        </w:rPr>
        <w:t xml:space="preserve">     </w:t>
      </w:r>
      <w:r>
        <w:rPr>
          <w:rFonts w:hint="eastAsia" w:ascii="仿宋" w:hAnsi="仿宋" w:eastAsia="仿宋" w:cs="仿宋_GB2312"/>
          <w:color w:val="auto"/>
          <w:sz w:val="28"/>
          <w:szCs w:val="28"/>
          <w:highlight w:val="none"/>
        </w:rPr>
        <w:t>年</w:t>
      </w:r>
      <w:r>
        <w:rPr>
          <w:rFonts w:ascii="仿宋" w:hAnsi="仿宋" w:eastAsia="仿宋" w:cs="仿宋_GB2312"/>
          <w:color w:val="auto"/>
          <w:sz w:val="28"/>
          <w:szCs w:val="28"/>
          <w:highlight w:val="none"/>
        </w:rPr>
        <w:t xml:space="preserve">  月  日            签订日期：   年  月  日</w:t>
      </w:r>
    </w:p>
    <w:p>
      <w:pPr>
        <w:spacing w:line="480" w:lineRule="auto"/>
        <w:jc w:val="both"/>
        <w:rPr>
          <w:rFonts w:ascii="仿宋" w:hAnsi="仿宋" w:eastAsia="仿宋" w:cs="仿宋_GB2312"/>
          <w:color w:val="auto"/>
          <w:sz w:val="30"/>
          <w:szCs w:val="30"/>
          <w:highlight w:val="none"/>
        </w:rPr>
      </w:pPr>
    </w:p>
    <w:p>
      <w:pPr>
        <w:spacing w:line="480" w:lineRule="auto"/>
        <w:jc w:val="both"/>
        <w:rPr>
          <w:rFonts w:ascii="仿宋" w:hAnsi="仿宋" w:eastAsia="仿宋" w:cs="仿宋_GB2312"/>
          <w:color w:val="auto"/>
          <w:sz w:val="30"/>
          <w:szCs w:val="30"/>
          <w:highlight w:val="none"/>
        </w:rPr>
      </w:pPr>
    </w:p>
    <w:p>
      <w:pPr>
        <w:spacing w:line="480" w:lineRule="auto"/>
        <w:jc w:val="both"/>
        <w:rPr>
          <w:rFonts w:ascii="仿宋" w:hAnsi="仿宋" w:eastAsia="仿宋" w:cs="仿宋_GB2312"/>
          <w:color w:val="auto"/>
          <w:sz w:val="30"/>
          <w:szCs w:val="30"/>
          <w:highlight w:val="none"/>
        </w:rPr>
      </w:pPr>
    </w:p>
    <w:p>
      <w:pPr>
        <w:spacing w:line="480" w:lineRule="auto"/>
        <w:jc w:val="both"/>
        <w:rPr>
          <w:rFonts w:ascii="仿宋" w:hAnsi="仿宋" w:eastAsia="仿宋" w:cs="仿宋_GB2312"/>
          <w:color w:val="auto"/>
          <w:sz w:val="30"/>
          <w:szCs w:val="30"/>
          <w:highlight w:val="none"/>
        </w:rPr>
      </w:pPr>
    </w:p>
    <w:p>
      <w:pPr>
        <w:spacing w:line="480" w:lineRule="auto"/>
        <w:jc w:val="both"/>
        <w:rPr>
          <w:rFonts w:ascii="仿宋" w:hAnsi="仿宋" w:eastAsia="仿宋" w:cs="仿宋_GB2312"/>
          <w:color w:val="auto"/>
          <w:sz w:val="30"/>
          <w:szCs w:val="30"/>
          <w:highlight w:val="none"/>
        </w:rPr>
      </w:pPr>
    </w:p>
    <w:p>
      <w:pPr>
        <w:spacing w:line="480" w:lineRule="auto"/>
        <w:jc w:val="both"/>
        <w:rPr>
          <w:rFonts w:ascii="仿宋" w:hAnsi="仿宋" w:eastAsia="仿宋" w:cs="仿宋_GB2312"/>
          <w:color w:val="auto"/>
          <w:sz w:val="30"/>
          <w:szCs w:val="30"/>
          <w:highlight w:val="none"/>
        </w:rPr>
      </w:pPr>
    </w:p>
    <w:p>
      <w:pPr>
        <w:spacing w:line="480" w:lineRule="auto"/>
        <w:jc w:val="both"/>
        <w:rPr>
          <w:rFonts w:ascii="仿宋" w:hAnsi="仿宋" w:eastAsia="仿宋" w:cs="仿宋_GB2312"/>
          <w:color w:val="auto"/>
          <w:sz w:val="30"/>
          <w:szCs w:val="30"/>
          <w:highlight w:val="none"/>
        </w:rPr>
      </w:pPr>
    </w:p>
    <w:p>
      <w:pPr>
        <w:spacing w:line="480" w:lineRule="auto"/>
        <w:jc w:val="both"/>
        <w:rPr>
          <w:rFonts w:ascii="仿宋" w:hAnsi="仿宋" w:eastAsia="仿宋" w:cs="仿宋_GB2312"/>
          <w:color w:val="auto"/>
          <w:sz w:val="30"/>
          <w:szCs w:val="30"/>
          <w:highlight w:val="none"/>
        </w:rPr>
      </w:pPr>
    </w:p>
    <w:p>
      <w:pPr>
        <w:spacing w:line="480" w:lineRule="auto"/>
        <w:jc w:val="both"/>
        <w:rPr>
          <w:rFonts w:ascii="仿宋" w:hAnsi="仿宋" w:eastAsia="仿宋" w:cs="Arial"/>
          <w:color w:val="auto"/>
          <w:sz w:val="30"/>
          <w:szCs w:val="30"/>
          <w:highlight w:val="none"/>
        </w:rPr>
      </w:pPr>
      <w:r>
        <w:rPr>
          <w:rFonts w:hint="eastAsia" w:ascii="仿宋" w:hAnsi="仿宋" w:eastAsia="仿宋" w:cs="仿宋_GB2312"/>
          <w:color w:val="auto"/>
          <w:sz w:val="30"/>
          <w:szCs w:val="30"/>
          <w:highlight w:val="none"/>
        </w:rPr>
        <w:t>附件1：</w:t>
      </w:r>
    </w:p>
    <w:p>
      <w:pPr>
        <w:spacing w:line="480" w:lineRule="auto"/>
        <w:jc w:val="center"/>
        <w:rPr>
          <w:rFonts w:ascii="仿宋" w:hAnsi="仿宋" w:eastAsia="仿宋" w:cs="仿宋_GB2312"/>
          <w:b/>
          <w:bCs/>
          <w:color w:val="auto"/>
          <w:sz w:val="30"/>
          <w:szCs w:val="30"/>
          <w:highlight w:val="none"/>
        </w:rPr>
      </w:pPr>
      <w:r>
        <w:rPr>
          <w:rFonts w:hint="eastAsia" w:ascii="仿宋" w:hAnsi="仿宋" w:eastAsia="仿宋" w:cs="仿宋_GB2312"/>
          <w:b/>
          <w:bCs/>
          <w:color w:val="auto"/>
          <w:sz w:val="30"/>
          <w:szCs w:val="30"/>
          <w:highlight w:val="none"/>
        </w:rPr>
        <w:t>乙方配备本项目的造价咨询人员名单</w:t>
      </w:r>
    </w:p>
    <w:tbl>
      <w:tblPr>
        <w:tblStyle w:val="11"/>
        <w:tblpPr w:leftFromText="180" w:rightFromText="180" w:vertAnchor="text" w:horzAnchor="margin" w:tblpXSpec="center" w:tblpY="470"/>
        <w:tblW w:w="9536" w:type="dxa"/>
        <w:tblInd w:w="0" w:type="dxa"/>
        <w:tblLayout w:type="fixed"/>
        <w:tblCellMar>
          <w:top w:w="0" w:type="dxa"/>
          <w:left w:w="108" w:type="dxa"/>
          <w:bottom w:w="0" w:type="dxa"/>
          <w:right w:w="108" w:type="dxa"/>
        </w:tblCellMar>
      </w:tblPr>
      <w:tblGrid>
        <w:gridCol w:w="534"/>
        <w:gridCol w:w="850"/>
        <w:gridCol w:w="709"/>
        <w:gridCol w:w="850"/>
        <w:gridCol w:w="720"/>
        <w:gridCol w:w="825"/>
        <w:gridCol w:w="1255"/>
        <w:gridCol w:w="1080"/>
        <w:gridCol w:w="1551"/>
        <w:gridCol w:w="1162"/>
      </w:tblGrid>
      <w:tr>
        <w:tblPrEx>
          <w:tblCellMar>
            <w:top w:w="0" w:type="dxa"/>
            <w:left w:w="108" w:type="dxa"/>
            <w:bottom w:w="0" w:type="dxa"/>
            <w:right w:w="108" w:type="dxa"/>
          </w:tblCellMar>
        </w:tblPrEx>
        <w:trPr>
          <w:cantSplit/>
          <w:trHeight w:val="605" w:hRule="atLeast"/>
          <w:tblHeader/>
        </w:trPr>
        <w:tc>
          <w:tcPr>
            <w:tcW w:w="534" w:type="dxa"/>
            <w:vMerge w:val="restart"/>
            <w:tcBorders>
              <w:top w:val="single" w:color="auto" w:sz="4" w:space="0"/>
              <w:left w:val="single" w:color="auto" w:sz="8" w:space="0"/>
              <w:bottom w:val="single" w:color="auto" w:sz="8" w:space="0"/>
              <w:right w:val="single" w:color="auto" w:sz="8" w:space="0"/>
            </w:tcBorders>
            <w:shd w:val="clear" w:color="auto" w:fill="FDE9D9"/>
            <w:vAlign w:val="center"/>
          </w:tcPr>
          <w:p>
            <w:pPr>
              <w:jc w:val="center"/>
              <w:rPr>
                <w:rFonts w:ascii="宋体" w:hAnsi="宋体" w:cs="Arial"/>
                <w:b/>
                <w:bCs/>
                <w:color w:val="auto"/>
                <w:sz w:val="18"/>
                <w:szCs w:val="18"/>
                <w:highlight w:val="none"/>
              </w:rPr>
            </w:pPr>
            <w:r>
              <w:rPr>
                <w:rFonts w:hint="eastAsia" w:ascii="宋体" w:hAnsi="宋体" w:cs="Arial"/>
                <w:b/>
                <w:bCs/>
                <w:color w:val="auto"/>
                <w:sz w:val="18"/>
                <w:szCs w:val="18"/>
                <w:highlight w:val="none"/>
              </w:rPr>
              <w:t>序号</w:t>
            </w:r>
          </w:p>
        </w:tc>
        <w:tc>
          <w:tcPr>
            <w:tcW w:w="850" w:type="dxa"/>
            <w:vMerge w:val="restart"/>
            <w:tcBorders>
              <w:top w:val="single" w:color="auto" w:sz="4" w:space="0"/>
              <w:left w:val="single" w:color="auto" w:sz="8" w:space="0"/>
              <w:bottom w:val="single" w:color="auto" w:sz="8" w:space="0"/>
              <w:right w:val="single" w:color="auto" w:sz="8" w:space="0"/>
            </w:tcBorders>
            <w:shd w:val="clear" w:color="auto" w:fill="FDE9D9"/>
            <w:vAlign w:val="center"/>
          </w:tcPr>
          <w:p>
            <w:pPr>
              <w:ind w:left="-10" w:leftChars="-4" w:firstLine="9" w:firstLineChars="5"/>
              <w:jc w:val="center"/>
              <w:rPr>
                <w:rFonts w:ascii="宋体" w:hAnsi="宋体" w:cs="Arial"/>
                <w:b/>
                <w:bCs/>
                <w:color w:val="auto"/>
                <w:sz w:val="18"/>
                <w:szCs w:val="18"/>
                <w:highlight w:val="none"/>
              </w:rPr>
            </w:pPr>
            <w:r>
              <w:rPr>
                <w:rFonts w:hint="eastAsia" w:ascii="宋体" w:hAnsi="宋体" w:cs="Arial"/>
                <w:b/>
                <w:bCs/>
                <w:color w:val="auto"/>
                <w:sz w:val="18"/>
                <w:szCs w:val="18"/>
                <w:highlight w:val="none"/>
              </w:rPr>
              <w:t>姓名</w:t>
            </w:r>
          </w:p>
        </w:tc>
        <w:tc>
          <w:tcPr>
            <w:tcW w:w="709" w:type="dxa"/>
            <w:vMerge w:val="restart"/>
            <w:tcBorders>
              <w:top w:val="single" w:color="auto" w:sz="4" w:space="0"/>
              <w:left w:val="single" w:color="auto" w:sz="8" w:space="0"/>
              <w:bottom w:val="single" w:color="auto" w:sz="8" w:space="0"/>
              <w:right w:val="single" w:color="auto" w:sz="4" w:space="0"/>
            </w:tcBorders>
            <w:shd w:val="clear" w:color="auto" w:fill="FDE9D9"/>
            <w:vAlign w:val="center"/>
          </w:tcPr>
          <w:p>
            <w:pPr>
              <w:jc w:val="center"/>
              <w:rPr>
                <w:rFonts w:ascii="宋体" w:hAnsi="宋体" w:cs="Arial"/>
                <w:b/>
                <w:bCs/>
                <w:color w:val="auto"/>
                <w:sz w:val="18"/>
                <w:szCs w:val="18"/>
                <w:highlight w:val="none"/>
              </w:rPr>
            </w:pPr>
            <w:r>
              <w:rPr>
                <w:rFonts w:hint="eastAsia" w:ascii="宋体" w:hAnsi="宋体" w:cs="Arial"/>
                <w:b/>
                <w:bCs/>
                <w:color w:val="auto"/>
                <w:sz w:val="18"/>
                <w:szCs w:val="18"/>
                <w:highlight w:val="none"/>
              </w:rPr>
              <w:t>性别</w:t>
            </w:r>
          </w:p>
        </w:tc>
        <w:tc>
          <w:tcPr>
            <w:tcW w:w="850" w:type="dxa"/>
            <w:vMerge w:val="restart"/>
            <w:tcBorders>
              <w:top w:val="single" w:color="auto" w:sz="4" w:space="0"/>
              <w:left w:val="single" w:color="auto" w:sz="4" w:space="0"/>
              <w:bottom w:val="single" w:color="auto" w:sz="8" w:space="0"/>
              <w:right w:val="single" w:color="auto" w:sz="4" w:space="0"/>
            </w:tcBorders>
            <w:shd w:val="clear" w:color="auto" w:fill="FDE9D9"/>
            <w:vAlign w:val="center"/>
          </w:tcPr>
          <w:p>
            <w:pPr>
              <w:jc w:val="center"/>
              <w:rPr>
                <w:rFonts w:ascii="宋体" w:hAnsi="宋体" w:cs="Arial"/>
                <w:b/>
                <w:bCs/>
                <w:color w:val="auto"/>
                <w:sz w:val="18"/>
                <w:szCs w:val="18"/>
                <w:highlight w:val="none"/>
              </w:rPr>
            </w:pPr>
            <w:r>
              <w:rPr>
                <w:rFonts w:hint="eastAsia" w:ascii="宋体" w:hAnsi="宋体" w:cs="Arial"/>
                <w:b/>
                <w:bCs/>
                <w:color w:val="auto"/>
                <w:sz w:val="18"/>
                <w:szCs w:val="18"/>
                <w:highlight w:val="none"/>
              </w:rPr>
              <w:t>出生</w:t>
            </w:r>
          </w:p>
          <w:p>
            <w:pPr>
              <w:jc w:val="center"/>
              <w:rPr>
                <w:rFonts w:ascii="宋体" w:hAnsi="宋体" w:cs="Arial"/>
                <w:b/>
                <w:bCs/>
                <w:color w:val="auto"/>
                <w:sz w:val="18"/>
                <w:szCs w:val="18"/>
                <w:highlight w:val="none"/>
              </w:rPr>
            </w:pPr>
            <w:r>
              <w:rPr>
                <w:rFonts w:hint="eastAsia" w:ascii="宋体" w:hAnsi="宋体" w:cs="Arial"/>
                <w:b/>
                <w:bCs/>
                <w:color w:val="auto"/>
                <w:sz w:val="18"/>
                <w:szCs w:val="18"/>
                <w:highlight w:val="none"/>
              </w:rPr>
              <w:t>年月</w:t>
            </w:r>
          </w:p>
        </w:tc>
        <w:tc>
          <w:tcPr>
            <w:tcW w:w="720" w:type="dxa"/>
            <w:vMerge w:val="restart"/>
            <w:tcBorders>
              <w:top w:val="single" w:color="auto" w:sz="4" w:space="0"/>
              <w:left w:val="single" w:color="auto" w:sz="4" w:space="0"/>
              <w:bottom w:val="single" w:color="auto" w:sz="8" w:space="0"/>
              <w:right w:val="single" w:color="auto" w:sz="4" w:space="0"/>
            </w:tcBorders>
            <w:shd w:val="clear" w:color="auto" w:fill="FDE9D9"/>
            <w:vAlign w:val="center"/>
          </w:tcPr>
          <w:p>
            <w:pPr>
              <w:jc w:val="center"/>
              <w:rPr>
                <w:rFonts w:ascii="宋体" w:hAnsi="宋体" w:cs="Arial"/>
                <w:b/>
                <w:bCs/>
                <w:color w:val="auto"/>
                <w:sz w:val="18"/>
                <w:szCs w:val="18"/>
                <w:highlight w:val="none"/>
              </w:rPr>
            </w:pPr>
            <w:r>
              <w:rPr>
                <w:rFonts w:hint="eastAsia" w:ascii="宋体" w:hAnsi="宋体" w:cs="Arial"/>
                <w:b/>
                <w:bCs/>
                <w:color w:val="auto"/>
                <w:sz w:val="18"/>
                <w:szCs w:val="18"/>
                <w:highlight w:val="none"/>
              </w:rPr>
              <w:t>学历</w:t>
            </w:r>
          </w:p>
        </w:tc>
        <w:tc>
          <w:tcPr>
            <w:tcW w:w="825" w:type="dxa"/>
            <w:vMerge w:val="restart"/>
            <w:tcBorders>
              <w:top w:val="single" w:color="auto" w:sz="4" w:space="0"/>
              <w:left w:val="single" w:color="auto" w:sz="4" w:space="0"/>
              <w:bottom w:val="single" w:color="auto" w:sz="8" w:space="0"/>
              <w:right w:val="single" w:color="auto" w:sz="8" w:space="0"/>
            </w:tcBorders>
            <w:shd w:val="clear" w:color="auto" w:fill="FDE9D9"/>
            <w:vAlign w:val="center"/>
          </w:tcPr>
          <w:p>
            <w:pPr>
              <w:jc w:val="center"/>
              <w:rPr>
                <w:rFonts w:ascii="宋体" w:hAnsi="宋体" w:cs="Arial"/>
                <w:b/>
                <w:bCs/>
                <w:color w:val="auto"/>
                <w:sz w:val="18"/>
                <w:szCs w:val="18"/>
                <w:highlight w:val="none"/>
              </w:rPr>
            </w:pPr>
            <w:r>
              <w:rPr>
                <w:rFonts w:hint="eastAsia" w:ascii="宋体" w:hAnsi="宋体" w:cs="Arial"/>
                <w:b/>
                <w:bCs/>
                <w:color w:val="auto"/>
                <w:sz w:val="18"/>
                <w:szCs w:val="18"/>
                <w:highlight w:val="none"/>
              </w:rPr>
              <w:t>专业</w:t>
            </w:r>
          </w:p>
        </w:tc>
        <w:tc>
          <w:tcPr>
            <w:tcW w:w="1255" w:type="dxa"/>
            <w:vMerge w:val="restart"/>
            <w:tcBorders>
              <w:top w:val="single" w:color="auto" w:sz="4" w:space="0"/>
              <w:left w:val="single" w:color="auto" w:sz="8" w:space="0"/>
              <w:bottom w:val="single" w:color="auto" w:sz="8" w:space="0"/>
              <w:right w:val="single" w:color="auto" w:sz="6" w:space="0"/>
            </w:tcBorders>
            <w:shd w:val="clear" w:color="auto" w:fill="FDE9D9"/>
            <w:vAlign w:val="center"/>
          </w:tcPr>
          <w:p>
            <w:pPr>
              <w:jc w:val="center"/>
              <w:rPr>
                <w:rFonts w:ascii="宋体" w:hAnsi="宋体" w:cs="Arial"/>
                <w:b/>
                <w:bCs/>
                <w:color w:val="auto"/>
                <w:sz w:val="18"/>
                <w:szCs w:val="18"/>
                <w:highlight w:val="none"/>
              </w:rPr>
            </w:pPr>
            <w:r>
              <w:rPr>
                <w:rFonts w:hint="eastAsia" w:ascii="宋体" w:hAnsi="宋体" w:cs="Arial"/>
                <w:b/>
                <w:bCs/>
                <w:color w:val="auto"/>
                <w:sz w:val="18"/>
                <w:szCs w:val="18"/>
                <w:highlight w:val="none"/>
              </w:rPr>
              <w:t>职称</w:t>
            </w:r>
          </w:p>
        </w:tc>
        <w:tc>
          <w:tcPr>
            <w:tcW w:w="2631" w:type="dxa"/>
            <w:gridSpan w:val="2"/>
            <w:tcBorders>
              <w:top w:val="single" w:color="auto" w:sz="6" w:space="0"/>
              <w:left w:val="single" w:color="auto" w:sz="6" w:space="0"/>
              <w:bottom w:val="single" w:color="auto" w:sz="6" w:space="0"/>
              <w:right w:val="single" w:color="auto" w:sz="6" w:space="0"/>
            </w:tcBorders>
            <w:shd w:val="clear" w:color="auto" w:fill="FDE9D9"/>
            <w:vAlign w:val="center"/>
          </w:tcPr>
          <w:p>
            <w:pPr>
              <w:jc w:val="center"/>
              <w:rPr>
                <w:rFonts w:ascii="宋体" w:hAnsi="宋体" w:cs="Arial"/>
                <w:b/>
                <w:bCs/>
                <w:color w:val="auto"/>
                <w:sz w:val="18"/>
                <w:szCs w:val="18"/>
                <w:highlight w:val="none"/>
              </w:rPr>
            </w:pPr>
            <w:r>
              <w:rPr>
                <w:rFonts w:hint="eastAsia" w:ascii="宋体" w:hAnsi="宋体" w:cs="Arial"/>
                <w:b/>
                <w:bCs/>
                <w:color w:val="auto"/>
                <w:sz w:val="18"/>
                <w:szCs w:val="18"/>
                <w:highlight w:val="none"/>
              </w:rPr>
              <w:t>执业资格证明</w:t>
            </w:r>
          </w:p>
        </w:tc>
        <w:tc>
          <w:tcPr>
            <w:tcW w:w="1162" w:type="dxa"/>
            <w:vMerge w:val="restart"/>
            <w:tcBorders>
              <w:top w:val="single" w:color="auto" w:sz="4" w:space="0"/>
              <w:left w:val="single" w:color="auto" w:sz="6" w:space="0"/>
              <w:bottom w:val="single" w:color="auto" w:sz="8" w:space="0"/>
              <w:right w:val="single" w:color="auto" w:sz="8" w:space="0"/>
            </w:tcBorders>
            <w:shd w:val="clear" w:color="auto" w:fill="FDE9D9"/>
            <w:vAlign w:val="center"/>
          </w:tcPr>
          <w:p>
            <w:pPr>
              <w:jc w:val="center"/>
              <w:rPr>
                <w:rFonts w:ascii="宋体" w:hAnsi="宋体" w:cs="Arial"/>
                <w:b/>
                <w:bCs/>
                <w:color w:val="auto"/>
                <w:sz w:val="18"/>
                <w:szCs w:val="18"/>
                <w:highlight w:val="none"/>
              </w:rPr>
            </w:pPr>
            <w:r>
              <w:rPr>
                <w:rFonts w:hint="eastAsia" w:ascii="宋体" w:hAnsi="宋体" w:cs="Arial"/>
                <w:b/>
                <w:bCs/>
                <w:color w:val="auto"/>
                <w:sz w:val="18"/>
                <w:szCs w:val="18"/>
                <w:highlight w:val="none"/>
              </w:rPr>
              <w:t>备注</w:t>
            </w:r>
          </w:p>
        </w:tc>
      </w:tr>
      <w:tr>
        <w:tblPrEx>
          <w:tblCellMar>
            <w:top w:w="0" w:type="dxa"/>
            <w:left w:w="108" w:type="dxa"/>
            <w:bottom w:w="0" w:type="dxa"/>
            <w:right w:w="108" w:type="dxa"/>
          </w:tblCellMar>
        </w:tblPrEx>
        <w:trPr>
          <w:cantSplit/>
          <w:trHeight w:val="465" w:hRule="atLeast"/>
        </w:trPr>
        <w:tc>
          <w:tcPr>
            <w:tcW w:w="534" w:type="dxa"/>
            <w:vMerge w:val="continue"/>
            <w:tcBorders>
              <w:top w:val="nil"/>
              <w:left w:val="single" w:color="auto" w:sz="8" w:space="0"/>
              <w:bottom w:val="single" w:color="auto" w:sz="8" w:space="0"/>
              <w:right w:val="single" w:color="auto" w:sz="8" w:space="0"/>
            </w:tcBorders>
            <w:vAlign w:val="center"/>
          </w:tcPr>
          <w:p>
            <w:pPr>
              <w:rPr>
                <w:rFonts w:ascii="宋体" w:hAnsi="宋体" w:cs="宋体"/>
                <w:color w:val="auto"/>
                <w:sz w:val="18"/>
                <w:szCs w:val="18"/>
                <w:highlight w:val="none"/>
              </w:rPr>
            </w:pPr>
          </w:p>
        </w:tc>
        <w:tc>
          <w:tcPr>
            <w:tcW w:w="850" w:type="dxa"/>
            <w:vMerge w:val="continue"/>
            <w:tcBorders>
              <w:top w:val="nil"/>
              <w:left w:val="single" w:color="auto" w:sz="8" w:space="0"/>
              <w:bottom w:val="single" w:color="auto" w:sz="8" w:space="0"/>
              <w:right w:val="single" w:color="auto" w:sz="8" w:space="0"/>
            </w:tcBorders>
            <w:vAlign w:val="center"/>
          </w:tcPr>
          <w:p>
            <w:pPr>
              <w:rPr>
                <w:rFonts w:ascii="宋体" w:hAnsi="宋体" w:cs="宋体"/>
                <w:color w:val="auto"/>
                <w:sz w:val="18"/>
                <w:szCs w:val="18"/>
                <w:highlight w:val="none"/>
              </w:rPr>
            </w:pPr>
          </w:p>
        </w:tc>
        <w:tc>
          <w:tcPr>
            <w:tcW w:w="709" w:type="dxa"/>
            <w:vMerge w:val="continue"/>
            <w:tcBorders>
              <w:top w:val="nil"/>
              <w:left w:val="single" w:color="auto" w:sz="8" w:space="0"/>
              <w:bottom w:val="single" w:color="auto" w:sz="8" w:space="0"/>
              <w:right w:val="single" w:color="auto" w:sz="4" w:space="0"/>
            </w:tcBorders>
            <w:vAlign w:val="center"/>
          </w:tcPr>
          <w:p>
            <w:pPr>
              <w:rPr>
                <w:rFonts w:ascii="宋体" w:hAnsi="宋体" w:cs="宋体"/>
                <w:color w:val="auto"/>
                <w:sz w:val="18"/>
                <w:szCs w:val="18"/>
                <w:highlight w:val="none"/>
              </w:rPr>
            </w:pPr>
          </w:p>
        </w:tc>
        <w:tc>
          <w:tcPr>
            <w:tcW w:w="850" w:type="dxa"/>
            <w:vMerge w:val="continue"/>
            <w:tcBorders>
              <w:top w:val="nil"/>
              <w:left w:val="single" w:color="auto" w:sz="4" w:space="0"/>
              <w:bottom w:val="single" w:color="auto" w:sz="8" w:space="0"/>
              <w:right w:val="single" w:color="auto" w:sz="4" w:space="0"/>
            </w:tcBorders>
            <w:vAlign w:val="center"/>
          </w:tcPr>
          <w:p>
            <w:pPr>
              <w:rPr>
                <w:rFonts w:ascii="宋体" w:hAnsi="宋体" w:cs="宋体"/>
                <w:color w:val="auto"/>
                <w:sz w:val="18"/>
                <w:szCs w:val="18"/>
                <w:highlight w:val="none"/>
              </w:rPr>
            </w:pPr>
          </w:p>
        </w:tc>
        <w:tc>
          <w:tcPr>
            <w:tcW w:w="720" w:type="dxa"/>
            <w:vMerge w:val="continue"/>
            <w:tcBorders>
              <w:top w:val="nil"/>
              <w:left w:val="single" w:color="auto" w:sz="4" w:space="0"/>
              <w:bottom w:val="single" w:color="auto" w:sz="8" w:space="0"/>
              <w:right w:val="single" w:color="auto" w:sz="4" w:space="0"/>
            </w:tcBorders>
            <w:vAlign w:val="center"/>
          </w:tcPr>
          <w:p>
            <w:pPr>
              <w:rPr>
                <w:rFonts w:ascii="宋体" w:hAnsi="宋体" w:cs="宋体"/>
                <w:color w:val="auto"/>
                <w:sz w:val="18"/>
                <w:szCs w:val="18"/>
                <w:highlight w:val="none"/>
              </w:rPr>
            </w:pPr>
          </w:p>
        </w:tc>
        <w:tc>
          <w:tcPr>
            <w:tcW w:w="825" w:type="dxa"/>
            <w:vMerge w:val="continue"/>
            <w:tcBorders>
              <w:top w:val="nil"/>
              <w:left w:val="single" w:color="auto" w:sz="4" w:space="0"/>
              <w:bottom w:val="single" w:color="auto" w:sz="8" w:space="0"/>
              <w:right w:val="single" w:color="auto" w:sz="8" w:space="0"/>
            </w:tcBorders>
            <w:vAlign w:val="center"/>
          </w:tcPr>
          <w:p>
            <w:pPr>
              <w:rPr>
                <w:rFonts w:ascii="宋体" w:hAnsi="宋体" w:cs="宋体"/>
                <w:color w:val="auto"/>
                <w:sz w:val="18"/>
                <w:szCs w:val="18"/>
                <w:highlight w:val="none"/>
              </w:rPr>
            </w:pPr>
          </w:p>
        </w:tc>
        <w:tc>
          <w:tcPr>
            <w:tcW w:w="1255" w:type="dxa"/>
            <w:vMerge w:val="continue"/>
            <w:tcBorders>
              <w:top w:val="nil"/>
              <w:left w:val="single" w:color="auto" w:sz="8" w:space="0"/>
              <w:bottom w:val="single" w:color="auto" w:sz="8" w:space="0"/>
              <w:right w:val="single" w:color="auto" w:sz="6" w:space="0"/>
            </w:tcBorders>
            <w:vAlign w:val="center"/>
          </w:tcPr>
          <w:p>
            <w:pPr>
              <w:rPr>
                <w:rFonts w:ascii="宋体" w:hAnsi="宋体" w:cs="宋体"/>
                <w:color w:val="auto"/>
                <w:sz w:val="18"/>
                <w:szCs w:val="18"/>
                <w:highlight w:val="none"/>
              </w:rPr>
            </w:pPr>
          </w:p>
        </w:tc>
        <w:tc>
          <w:tcPr>
            <w:tcW w:w="1080" w:type="dxa"/>
            <w:tcBorders>
              <w:top w:val="single" w:color="auto" w:sz="6" w:space="0"/>
              <w:left w:val="single" w:color="auto" w:sz="6" w:space="0"/>
              <w:bottom w:val="single" w:color="auto" w:sz="6" w:space="0"/>
              <w:right w:val="single" w:color="auto" w:sz="6" w:space="0"/>
            </w:tcBorders>
            <w:shd w:val="clear" w:color="auto" w:fill="FDE9D9"/>
            <w:vAlign w:val="center"/>
          </w:tcPr>
          <w:p>
            <w:pPr>
              <w:jc w:val="center"/>
              <w:rPr>
                <w:rFonts w:ascii="宋体" w:hAnsi="宋体" w:cs="Arial"/>
                <w:b/>
                <w:bCs/>
                <w:color w:val="auto"/>
                <w:sz w:val="18"/>
                <w:szCs w:val="18"/>
                <w:highlight w:val="none"/>
              </w:rPr>
            </w:pPr>
            <w:r>
              <w:rPr>
                <w:rFonts w:hint="eastAsia" w:ascii="宋体" w:hAnsi="宋体" w:cs="Arial"/>
                <w:b/>
                <w:bCs/>
                <w:color w:val="auto"/>
                <w:sz w:val="18"/>
                <w:szCs w:val="18"/>
                <w:highlight w:val="none"/>
              </w:rPr>
              <w:t>证书名称</w:t>
            </w:r>
          </w:p>
        </w:tc>
        <w:tc>
          <w:tcPr>
            <w:tcW w:w="1551" w:type="dxa"/>
            <w:tcBorders>
              <w:top w:val="single" w:color="auto" w:sz="6" w:space="0"/>
              <w:left w:val="single" w:color="auto" w:sz="6" w:space="0"/>
              <w:bottom w:val="single" w:color="auto" w:sz="6" w:space="0"/>
              <w:right w:val="single" w:color="auto" w:sz="6" w:space="0"/>
            </w:tcBorders>
            <w:shd w:val="clear" w:color="auto" w:fill="FDE9D9"/>
            <w:vAlign w:val="center"/>
          </w:tcPr>
          <w:p>
            <w:pPr>
              <w:jc w:val="center"/>
              <w:rPr>
                <w:rFonts w:ascii="宋体" w:hAnsi="宋体" w:cs="Arial"/>
                <w:b/>
                <w:bCs/>
                <w:color w:val="auto"/>
                <w:sz w:val="18"/>
                <w:szCs w:val="18"/>
                <w:highlight w:val="none"/>
              </w:rPr>
            </w:pPr>
            <w:r>
              <w:rPr>
                <w:rFonts w:hint="eastAsia" w:ascii="宋体" w:hAnsi="宋体" w:cs="Arial"/>
                <w:b/>
                <w:bCs/>
                <w:color w:val="auto"/>
                <w:sz w:val="18"/>
                <w:szCs w:val="18"/>
                <w:highlight w:val="none"/>
              </w:rPr>
              <w:t>证书编号</w:t>
            </w:r>
          </w:p>
        </w:tc>
        <w:tc>
          <w:tcPr>
            <w:tcW w:w="1162" w:type="dxa"/>
            <w:vMerge w:val="continue"/>
            <w:tcBorders>
              <w:top w:val="nil"/>
              <w:left w:val="single" w:color="auto" w:sz="6" w:space="0"/>
              <w:bottom w:val="single" w:color="auto" w:sz="8" w:space="0"/>
              <w:right w:val="single" w:color="auto" w:sz="8" w:space="0"/>
            </w:tcBorders>
            <w:vAlign w:val="center"/>
          </w:tcPr>
          <w:p>
            <w:pP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85" w:hRule="atLeast"/>
        </w:trPr>
        <w:tc>
          <w:tcPr>
            <w:tcW w:w="9536" w:type="dxa"/>
            <w:gridSpan w:val="10"/>
            <w:tcBorders>
              <w:top w:val="nil"/>
              <w:left w:val="single" w:color="auto" w:sz="8" w:space="0"/>
              <w:bottom w:val="single" w:color="auto" w:sz="8" w:space="0"/>
              <w:right w:val="single" w:color="auto" w:sz="8" w:space="0"/>
            </w:tcBorders>
            <w:vAlign w:val="center"/>
          </w:tcPr>
          <w:p>
            <w:pPr>
              <w:ind w:firstLine="181" w:firstLineChars="100"/>
              <w:rPr>
                <w:rFonts w:ascii="宋体" w:hAnsi="宋体" w:cs="宋体"/>
                <w:b/>
                <w:color w:val="auto"/>
                <w:sz w:val="18"/>
                <w:szCs w:val="18"/>
                <w:highlight w:val="none"/>
              </w:rPr>
            </w:pPr>
            <w:r>
              <w:rPr>
                <w:rFonts w:hint="eastAsia" w:ascii="宋体" w:hAnsi="宋体" w:cs="宋体"/>
                <w:b/>
                <w:color w:val="auto"/>
                <w:sz w:val="18"/>
                <w:szCs w:val="18"/>
                <w:highlight w:val="none"/>
              </w:rPr>
              <w:t>项目负责人</w:t>
            </w:r>
          </w:p>
        </w:tc>
      </w:tr>
      <w:tr>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709" w:type="dxa"/>
            <w:tcBorders>
              <w:top w:val="nil"/>
              <w:left w:val="nil"/>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pPr>
              <w:ind w:left="-122" w:leftChars="-51" w:right="-122" w:rightChars="-51"/>
              <w:jc w:val="center"/>
              <w:rPr>
                <w:rFonts w:ascii="宋体" w:hAnsi="宋体" w:cs="宋体"/>
                <w:color w:val="auto"/>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255"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08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551"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162"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85" w:hRule="atLeast"/>
        </w:trPr>
        <w:tc>
          <w:tcPr>
            <w:tcW w:w="9536" w:type="dxa"/>
            <w:gridSpan w:val="10"/>
            <w:tcBorders>
              <w:top w:val="nil"/>
              <w:left w:val="single" w:color="auto" w:sz="8" w:space="0"/>
              <w:bottom w:val="single" w:color="auto" w:sz="8" w:space="0"/>
              <w:right w:val="single" w:color="auto" w:sz="8" w:space="0"/>
            </w:tcBorders>
            <w:vAlign w:val="center"/>
          </w:tcPr>
          <w:p>
            <w:pPr>
              <w:ind w:left="-122" w:leftChars="-51" w:right="-122" w:rightChars="-51" w:firstLine="181" w:firstLineChars="100"/>
              <w:rPr>
                <w:rFonts w:ascii="宋体" w:hAnsi="宋体" w:cs="宋体"/>
                <w:b/>
                <w:color w:val="auto"/>
                <w:sz w:val="18"/>
                <w:szCs w:val="18"/>
                <w:highlight w:val="none"/>
              </w:rPr>
            </w:pPr>
            <w:r>
              <w:rPr>
                <w:rFonts w:hint="eastAsia" w:ascii="宋体" w:hAnsi="宋体" w:cs="宋体"/>
                <w:b/>
                <w:color w:val="auto"/>
                <w:sz w:val="18"/>
                <w:szCs w:val="18"/>
                <w:highlight w:val="none"/>
              </w:rPr>
              <w:t>各专业负责人</w:t>
            </w:r>
          </w:p>
        </w:tc>
      </w:tr>
      <w:tr>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709" w:type="dxa"/>
            <w:tcBorders>
              <w:top w:val="nil"/>
              <w:left w:val="nil"/>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pPr>
              <w:ind w:left="-122" w:leftChars="-51" w:right="-122" w:rightChars="-51"/>
              <w:jc w:val="center"/>
              <w:rPr>
                <w:rFonts w:ascii="宋体" w:hAnsi="宋体" w:cs="宋体"/>
                <w:color w:val="auto"/>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255"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08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551"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162"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709" w:type="dxa"/>
            <w:tcBorders>
              <w:top w:val="nil"/>
              <w:left w:val="nil"/>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pPr>
              <w:ind w:left="-122" w:leftChars="-51" w:right="-122" w:rightChars="-51"/>
              <w:jc w:val="center"/>
              <w:rPr>
                <w:rFonts w:ascii="宋体" w:hAnsi="宋体" w:cs="宋体"/>
                <w:color w:val="auto"/>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255"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08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551"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162"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709" w:type="dxa"/>
            <w:tcBorders>
              <w:top w:val="nil"/>
              <w:left w:val="nil"/>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pPr>
              <w:ind w:left="-122" w:leftChars="-51" w:right="-122" w:rightChars="-51"/>
              <w:jc w:val="center"/>
              <w:rPr>
                <w:rFonts w:ascii="宋体" w:hAnsi="宋体" w:cs="宋体"/>
                <w:color w:val="auto"/>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255"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08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551"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162"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85" w:hRule="atLeast"/>
        </w:trPr>
        <w:tc>
          <w:tcPr>
            <w:tcW w:w="9536" w:type="dxa"/>
            <w:gridSpan w:val="10"/>
            <w:tcBorders>
              <w:top w:val="nil"/>
              <w:left w:val="single" w:color="auto" w:sz="8" w:space="0"/>
              <w:bottom w:val="single" w:color="auto" w:sz="8" w:space="0"/>
              <w:right w:val="single" w:color="auto" w:sz="8" w:space="0"/>
            </w:tcBorders>
            <w:vAlign w:val="center"/>
          </w:tcPr>
          <w:p>
            <w:pPr>
              <w:ind w:left="-122" w:leftChars="-51" w:right="-122" w:rightChars="-51" w:firstLine="181" w:firstLineChars="100"/>
              <w:rPr>
                <w:rFonts w:ascii="宋体" w:hAnsi="宋体" w:cs="宋体"/>
                <w:b/>
                <w:color w:val="auto"/>
                <w:sz w:val="18"/>
                <w:szCs w:val="18"/>
                <w:highlight w:val="none"/>
              </w:rPr>
            </w:pPr>
            <w:r>
              <w:rPr>
                <w:rFonts w:hint="eastAsia" w:ascii="宋体" w:hAnsi="宋体" w:cs="宋体"/>
                <w:b/>
                <w:color w:val="auto"/>
                <w:sz w:val="18"/>
                <w:szCs w:val="18"/>
                <w:highlight w:val="none"/>
              </w:rPr>
              <w:t>驻场服务人员</w:t>
            </w:r>
          </w:p>
        </w:tc>
      </w:tr>
      <w:tr>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709" w:type="dxa"/>
            <w:tcBorders>
              <w:top w:val="nil"/>
              <w:left w:val="nil"/>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pPr>
              <w:ind w:left="-122" w:leftChars="-51" w:right="-122" w:rightChars="-51"/>
              <w:jc w:val="center"/>
              <w:rPr>
                <w:rFonts w:ascii="宋体" w:hAnsi="宋体" w:cs="宋体"/>
                <w:color w:val="auto"/>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255"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08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551"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162"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709" w:type="dxa"/>
            <w:tcBorders>
              <w:top w:val="nil"/>
              <w:left w:val="nil"/>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pPr>
              <w:ind w:left="-122" w:leftChars="-51" w:right="-122" w:rightChars="-51"/>
              <w:jc w:val="center"/>
              <w:rPr>
                <w:rFonts w:ascii="宋体" w:hAnsi="宋体" w:cs="宋体"/>
                <w:color w:val="auto"/>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255"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08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551"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162"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709" w:type="dxa"/>
            <w:tcBorders>
              <w:top w:val="nil"/>
              <w:left w:val="nil"/>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pPr>
              <w:ind w:left="-122" w:leftChars="-51" w:right="-122" w:rightChars="-51"/>
              <w:jc w:val="center"/>
              <w:rPr>
                <w:rFonts w:ascii="宋体" w:hAnsi="宋体" w:cs="宋体"/>
                <w:color w:val="auto"/>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255"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08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551"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162"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709" w:type="dxa"/>
            <w:tcBorders>
              <w:top w:val="nil"/>
              <w:left w:val="nil"/>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pPr>
              <w:ind w:left="-122" w:leftChars="-51" w:right="-122" w:rightChars="-51"/>
              <w:jc w:val="center"/>
              <w:rPr>
                <w:rFonts w:ascii="宋体" w:hAnsi="宋体" w:cs="宋体"/>
                <w:color w:val="auto"/>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255"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08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551"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162"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709" w:type="dxa"/>
            <w:tcBorders>
              <w:top w:val="nil"/>
              <w:left w:val="nil"/>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pPr>
              <w:ind w:left="-122" w:leftChars="-51" w:right="-122" w:rightChars="-51"/>
              <w:jc w:val="center"/>
              <w:rPr>
                <w:rFonts w:ascii="宋体" w:hAnsi="宋体" w:cs="宋体"/>
                <w:color w:val="auto"/>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255"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08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551"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162"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709" w:type="dxa"/>
            <w:tcBorders>
              <w:top w:val="nil"/>
              <w:left w:val="nil"/>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pPr>
              <w:ind w:left="-122" w:leftChars="-51" w:right="-122" w:rightChars="-51"/>
              <w:jc w:val="center"/>
              <w:rPr>
                <w:rFonts w:ascii="宋体" w:hAnsi="宋体" w:cs="宋体"/>
                <w:color w:val="auto"/>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255"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08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551"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162"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trHeight w:val="585" w:hRule="atLeast"/>
        </w:trPr>
        <w:tc>
          <w:tcPr>
            <w:tcW w:w="534" w:type="dxa"/>
            <w:tcBorders>
              <w:top w:val="nil"/>
              <w:left w:val="single" w:color="auto" w:sz="8"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85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709" w:type="dxa"/>
            <w:tcBorders>
              <w:top w:val="nil"/>
              <w:left w:val="nil"/>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50" w:type="dxa"/>
            <w:tcBorders>
              <w:top w:val="nil"/>
              <w:left w:val="single" w:color="auto" w:sz="4" w:space="0"/>
              <w:bottom w:val="single" w:color="auto" w:sz="8" w:space="0"/>
              <w:right w:val="single" w:color="auto" w:sz="4" w:space="0"/>
            </w:tcBorders>
            <w:vAlign w:val="center"/>
          </w:tcPr>
          <w:p>
            <w:pPr>
              <w:ind w:left="-122" w:leftChars="-51" w:right="-122" w:rightChars="-51"/>
              <w:jc w:val="center"/>
              <w:rPr>
                <w:rFonts w:ascii="宋体" w:hAnsi="宋体" w:cs="宋体"/>
                <w:color w:val="auto"/>
                <w:sz w:val="18"/>
                <w:szCs w:val="18"/>
                <w:highlight w:val="none"/>
              </w:rPr>
            </w:pPr>
          </w:p>
        </w:tc>
        <w:tc>
          <w:tcPr>
            <w:tcW w:w="720" w:type="dxa"/>
            <w:tcBorders>
              <w:top w:val="nil"/>
              <w:left w:val="single" w:color="auto" w:sz="4" w:space="0"/>
              <w:bottom w:val="single" w:color="auto" w:sz="8" w:space="0"/>
              <w:right w:val="single" w:color="auto" w:sz="4" w:space="0"/>
            </w:tcBorders>
            <w:vAlign w:val="center"/>
          </w:tcPr>
          <w:p>
            <w:pPr>
              <w:jc w:val="center"/>
              <w:rPr>
                <w:rFonts w:ascii="宋体" w:hAnsi="宋体" w:cs="宋体"/>
                <w:color w:val="auto"/>
                <w:sz w:val="18"/>
                <w:szCs w:val="18"/>
                <w:highlight w:val="none"/>
              </w:rPr>
            </w:pPr>
          </w:p>
        </w:tc>
        <w:tc>
          <w:tcPr>
            <w:tcW w:w="825" w:type="dxa"/>
            <w:tcBorders>
              <w:top w:val="nil"/>
              <w:left w:val="single" w:color="auto" w:sz="4" w:space="0"/>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255"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080"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551"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c>
          <w:tcPr>
            <w:tcW w:w="1162" w:type="dxa"/>
            <w:tcBorders>
              <w:top w:val="nil"/>
              <w:left w:val="nil"/>
              <w:bottom w:val="single" w:color="auto" w:sz="8" w:space="0"/>
              <w:right w:val="single" w:color="auto" w:sz="8" w:space="0"/>
            </w:tcBorders>
            <w:vAlign w:val="center"/>
          </w:tcPr>
          <w:p>
            <w:pPr>
              <w:jc w:val="center"/>
              <w:rPr>
                <w:rFonts w:ascii="宋体" w:hAnsi="宋体" w:cs="宋体"/>
                <w:color w:val="auto"/>
                <w:sz w:val="18"/>
                <w:szCs w:val="18"/>
                <w:highlight w:val="none"/>
              </w:rPr>
            </w:pPr>
          </w:p>
        </w:tc>
      </w:tr>
      <w:tr>
        <w:tblPrEx>
          <w:tblCellMar>
            <w:top w:w="0" w:type="dxa"/>
            <w:left w:w="108" w:type="dxa"/>
            <w:bottom w:w="0" w:type="dxa"/>
            <w:right w:w="108" w:type="dxa"/>
          </w:tblCellMar>
        </w:tblPrEx>
        <w:trPr>
          <w:cantSplit/>
          <w:trHeight w:val="1083" w:hRule="atLeast"/>
        </w:trPr>
        <w:tc>
          <w:tcPr>
            <w:tcW w:w="534" w:type="dxa"/>
            <w:tcBorders>
              <w:top w:val="nil"/>
              <w:left w:val="single" w:color="auto" w:sz="8" w:space="0"/>
              <w:bottom w:val="single" w:color="auto" w:sz="8" w:space="0"/>
              <w:right w:val="single" w:color="auto" w:sz="4"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备注</w:t>
            </w:r>
          </w:p>
        </w:tc>
        <w:tc>
          <w:tcPr>
            <w:tcW w:w="9002" w:type="dxa"/>
            <w:gridSpan w:val="9"/>
            <w:tcBorders>
              <w:top w:val="nil"/>
              <w:left w:val="single" w:color="auto" w:sz="4" w:space="0"/>
              <w:bottom w:val="single" w:color="auto" w:sz="8" w:space="0"/>
              <w:right w:val="single" w:color="auto" w:sz="8" w:space="0"/>
            </w:tcBorders>
            <w:vAlign w:val="center"/>
          </w:tcPr>
          <w:p>
            <w:pPr>
              <w:rPr>
                <w:rFonts w:ascii="宋体" w:hAnsi="宋体" w:cs="宋体"/>
                <w:color w:val="auto"/>
                <w:sz w:val="18"/>
                <w:szCs w:val="18"/>
                <w:highlight w:val="none"/>
              </w:rPr>
            </w:pPr>
            <w:r>
              <w:rPr>
                <w:rFonts w:hint="eastAsia" w:ascii="宋体" w:hAnsi="宋体" w:cs="宋体"/>
                <w:color w:val="auto"/>
                <w:sz w:val="18"/>
                <w:szCs w:val="18"/>
                <w:highlight w:val="none"/>
              </w:rPr>
              <w:t>双方一致同意，若上述人员配置仍不能满足项目进度或专业需要时，投标人将随时无条件增派其他专业人员，确保按照招标文件约定按时、保质完成各项造价咨询任务。</w:t>
            </w:r>
          </w:p>
        </w:tc>
      </w:tr>
    </w:tbl>
    <w:p>
      <w:pPr>
        <w:spacing w:line="480" w:lineRule="auto"/>
        <w:rPr>
          <w:rFonts w:ascii="仿宋" w:hAnsi="仿宋" w:eastAsia="仿宋" w:cs="Arial"/>
          <w:color w:val="auto"/>
          <w:sz w:val="30"/>
          <w:szCs w:val="30"/>
          <w:highlight w:val="none"/>
        </w:rPr>
      </w:pPr>
    </w:p>
    <w:p>
      <w:pPr>
        <w:pStyle w:val="2"/>
        <w:rPr>
          <w:color w:val="auto"/>
          <w:highlight w:val="none"/>
        </w:rPr>
      </w:pPr>
    </w:p>
    <w:p>
      <w:pPr>
        <w:pStyle w:val="2"/>
        <w:rPr>
          <w:color w:val="auto"/>
          <w:highlight w:val="none"/>
        </w:rPr>
      </w:pPr>
      <w:r>
        <w:rPr>
          <w:rFonts w:hint="eastAsia"/>
          <w:color w:val="auto"/>
          <w:highlight w:val="none"/>
        </w:rPr>
        <w:t>附件2：</w:t>
      </w:r>
    </w:p>
    <w:p>
      <w:pPr>
        <w:spacing w:line="560" w:lineRule="exact"/>
        <w:rPr>
          <w:rFonts w:ascii="华文楷体" w:hAnsi="华文楷体" w:eastAsia="华文楷体"/>
          <w:b/>
          <w:bCs/>
          <w:color w:val="auto"/>
          <w:sz w:val="28"/>
          <w:szCs w:val="28"/>
          <w:highlight w:val="none"/>
          <w:u w:val="single"/>
        </w:rPr>
      </w:pPr>
      <w:r>
        <w:rPr>
          <w:rFonts w:hint="eastAsia" w:ascii="华文楷体" w:hAnsi="华文楷体" w:eastAsia="华文楷体" w:cs="华文楷体"/>
          <w:b/>
          <w:bCs/>
          <w:color w:val="auto"/>
          <w:sz w:val="28"/>
          <w:szCs w:val="28"/>
          <w:highlight w:val="none"/>
        </w:rPr>
        <w:t>对应合同编号：</w:t>
      </w:r>
      <w:r>
        <w:rPr>
          <w:rFonts w:hint="eastAsia" w:ascii="华文楷体" w:hAnsi="华文楷体" w:eastAsia="华文楷体" w:cs="华文楷体"/>
          <w:b/>
          <w:bCs/>
          <w:color w:val="auto"/>
          <w:sz w:val="28"/>
          <w:szCs w:val="28"/>
          <w:highlight w:val="none"/>
          <w:u w:val="single"/>
        </w:rPr>
        <w:t xml:space="preserve"> </w:t>
      </w:r>
      <w:r>
        <w:rPr>
          <w:rFonts w:hint="eastAsia" w:ascii="仿宋" w:hAnsi="仿宋" w:eastAsia="仿宋" w:cs="仿宋"/>
          <w:b/>
          <w:bCs/>
          <w:color w:val="auto"/>
          <w:sz w:val="28"/>
          <w:szCs w:val="28"/>
          <w:highlight w:val="none"/>
          <w:u w:val="single"/>
        </w:rPr>
        <w:t xml:space="preserve">                     </w:t>
      </w:r>
    </w:p>
    <w:p>
      <w:pPr>
        <w:spacing w:line="560" w:lineRule="exact"/>
        <w:ind w:firstLine="880" w:firstLineChars="200"/>
        <w:rPr>
          <w:rFonts w:ascii="方正小标宋简体" w:eastAsia="方正小标宋简体"/>
          <w:color w:val="auto"/>
          <w:sz w:val="44"/>
          <w:szCs w:val="44"/>
          <w:highlight w:val="none"/>
        </w:rPr>
      </w:pPr>
    </w:p>
    <w:p>
      <w:pPr>
        <w:spacing w:line="560" w:lineRule="exact"/>
        <w:jc w:val="center"/>
        <w:rPr>
          <w:rFonts w:ascii="方正小标宋简体" w:eastAsia="方正小标宋简体" w:cs="方正小标宋简体"/>
          <w:color w:val="auto"/>
          <w:sz w:val="44"/>
          <w:szCs w:val="44"/>
          <w:highlight w:val="none"/>
        </w:rPr>
      </w:pPr>
      <w:r>
        <w:rPr>
          <w:rFonts w:hint="eastAsia" w:ascii="方正小标宋简体" w:eastAsia="方正小标宋简体" w:cs="方正小标宋简体"/>
          <w:color w:val="auto"/>
          <w:sz w:val="44"/>
          <w:szCs w:val="44"/>
          <w:highlight w:val="none"/>
        </w:rPr>
        <w:t>廉洁协议书</w:t>
      </w:r>
    </w:p>
    <w:p>
      <w:pPr>
        <w:spacing w:line="560" w:lineRule="exact"/>
        <w:ind w:firstLine="560" w:firstLineChars="200"/>
        <w:rPr>
          <w:rFonts w:ascii="华文楷体" w:hAnsi="华文楷体" w:eastAsia="华文楷体"/>
          <w:color w:val="auto"/>
          <w:sz w:val="28"/>
          <w:szCs w:val="28"/>
          <w:highlight w:val="none"/>
        </w:rPr>
      </w:pPr>
      <w:r>
        <w:rPr>
          <w:rFonts w:hint="eastAsia" w:ascii="华文楷体" w:hAnsi="华文楷体" w:eastAsia="华文楷体"/>
          <w:color w:val="auto"/>
          <w:sz w:val="28"/>
          <w:szCs w:val="28"/>
          <w:highlight w:val="none"/>
        </w:rPr>
        <w:t>甲方：</w:t>
      </w:r>
    </w:p>
    <w:p>
      <w:pPr>
        <w:pStyle w:val="4"/>
        <w:spacing w:before="312" w:after="156" w:line="560" w:lineRule="exact"/>
        <w:ind w:firstLine="560"/>
        <w:rPr>
          <w:rFonts w:ascii="仿宋_GB2312" w:eastAsia="仿宋_GB2312"/>
          <w:color w:val="auto"/>
          <w:sz w:val="28"/>
          <w:szCs w:val="28"/>
          <w:highlight w:val="none"/>
        </w:rPr>
      </w:pPr>
      <w:r>
        <w:rPr>
          <w:rFonts w:hint="eastAsia" w:ascii="华文楷体" w:hAnsi="华文楷体" w:eastAsia="华文楷体"/>
          <w:color w:val="auto"/>
          <w:sz w:val="28"/>
          <w:szCs w:val="28"/>
          <w:highlight w:val="none"/>
        </w:rPr>
        <w:t>乙方：</w:t>
      </w:r>
      <w:r>
        <w:rPr>
          <w:rFonts w:hint="eastAsia" w:ascii="仿宋_GB2312" w:eastAsia="仿宋_GB2312" w:cs="仿宋_GB2312"/>
          <w:color w:val="auto"/>
          <w:sz w:val="28"/>
          <w:szCs w:val="28"/>
          <w:highlight w:val="none"/>
        </w:rPr>
        <w:t>为了增强甲乙双方依法经营、廉洁从业意识，完善自我约束、自我监督机制，营造守法诚信、廉洁高效的工作环境，防止发生违法违纪行为，保护国家、集体和当事人的合法权益，根据国家有关法律法规和廉洁自律规定，特订立本廉洁协议书：</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第一条 甲、乙双方的共同责任</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（一）严格遵守国家关于市场准入、招标投标、工程建设、物资采购、投资并购、国有资产处置等市场经济活动的法律法规制度以及廉洁建设规定。</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（二）严格履行合同约定，自觉承担合同义务。</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三）业务活动必须坚持公平、公正、公开和诚实守信的原则（除法律法规另有规定者外），不得为获取不正当利益，损害国家、集体和对方利益，不违反招标投标、工程建设管理、物资采购、投资并购、国有资产处置等方面的规章制度。</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（四）建立健全自我制约制度，开展廉洁教育，公布举报电话，监督并认真查处违法违纪行为。</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（五）发现对方在业务活动中有违规、违纪、违法行为的，应及时提醒对方，情节严重的，应向有关纪检监察部门举报。</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第二条  甲方的责任：</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甲方相关工作人员，在与乙方业务活动的事前、事中、事后，应遵守以下规定：</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（一）贯彻落实广州市城投发展控股有限公司（广州城投城市更新集团有限公司）有关党风廉政建设责任制及廉洁从业的规定；</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（二）按照公平、公正、公开和诚实守信的原则开展各项业务活动；</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（三）</w:t>
      </w:r>
      <w:r>
        <w:rPr>
          <w:rFonts w:hint="eastAsia" w:ascii="仿宋_GB2312" w:eastAsia="仿宋_GB2312" w:cs="仿宋_GB2312"/>
          <w:color w:val="auto"/>
          <w:sz w:val="28"/>
          <w:szCs w:val="28"/>
          <w:highlight w:val="none"/>
        </w:rPr>
        <w:t>不准向</w:t>
      </w:r>
      <w:r>
        <w:rPr>
          <w:rFonts w:hint="eastAsia" w:ascii="仿宋_GB2312" w:eastAsia="仿宋_GB2312" w:cs="仿宋_GB2312"/>
          <w:color w:val="auto"/>
          <w:sz w:val="28"/>
          <w:szCs w:val="28"/>
          <w:highlight w:val="none"/>
        </w:rPr>
        <w:t>乙方</w:t>
      </w:r>
      <w:r>
        <w:rPr>
          <w:rFonts w:hint="eastAsia" w:ascii="仿宋_GB2312" w:eastAsia="仿宋_GB2312" w:cs="仿宋_GB2312"/>
          <w:color w:val="auto"/>
          <w:sz w:val="28"/>
          <w:szCs w:val="28"/>
          <w:highlight w:val="none"/>
        </w:rPr>
        <w:t>泄漏涉及</w:t>
      </w:r>
      <w:r>
        <w:rPr>
          <w:rFonts w:hint="eastAsia" w:ascii="仿宋_GB2312" w:eastAsia="仿宋_GB2312" w:cs="仿宋_GB2312"/>
          <w:color w:val="auto"/>
          <w:sz w:val="28"/>
          <w:szCs w:val="28"/>
          <w:highlight w:val="none"/>
        </w:rPr>
        <w:t>有关业务活动</w:t>
      </w:r>
      <w:r>
        <w:rPr>
          <w:rFonts w:hint="eastAsia" w:ascii="仿宋_GB2312" w:eastAsia="仿宋_GB2312" w:cs="仿宋_GB2312"/>
          <w:color w:val="auto"/>
          <w:sz w:val="28"/>
          <w:szCs w:val="28"/>
          <w:highlight w:val="none"/>
        </w:rPr>
        <w:t>的秘密，不准以谋取非正当利益为目的，擅自与乙方工作人员就业务问题达成利益默契；</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（四）不准向乙方和相关单位索要或接受回扣、红包、礼金、购物卡、有价证券、贵重物品和好处费、感谢费等；</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（五）不准在乙方和相关单位报销任何应由甲方或个人支付的费用；</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（六）不准要求、暗示或接受乙方和相关单位为个人装修住房、婚丧嫁娶、配偶子女的工作安排以及境内外旅游等提供方便；</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（七）不准向乙方介绍配偶、子女、亲属参与与甲方有关的经济活动，不得以任何理由向乙方和相关单位推荐第三方单位；</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（八）不准参与影响相关工作正常和公正开展的其他活动；</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（九）不准违反《中共中央纪委关于严格禁止利用职务上的便利谋取不正当利益的若干规定》的内容。</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第三条 乙方的责任：</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在与甲方业务交往过程中，按照有关法律法规和程序开展工作，严格执行国家的有关方针、政策，并遵守以下规定：</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（一）不准以任何理由为甲方和相关单位报销应由对方或个人支付的费用；</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（二）不准以任何理由向甲方负责人及其工作人员赠送回扣、红包、礼金、购物卡、有价证券、贵重物品和好处费、感谢费等；</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（三）不准以任何理由为甲方、与甲方相关的单位或个人提供高消费宴请及娱乐活动；</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（四）不准以任何理由为甲方、与甲方相关的单位或个人购置或提供通讯工具、交通工具和高档办公用品；</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（五）不准接受或暗示为甲方、与甲方相关的单位或个人装修住房、婚丧嫁取、配偶子女的工作安排以及境内外旅游等提供方便；</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（六）不准以谋取非正当利益为目的，擅自与甲方工作人员就业务问题进行私下商谈或者达成利益默契；</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（七）发现甲方工作人员有违反本廉洁协议书规定的，应向甲方单位举报（反映）。广州市城投发展控股有限公司（广州城投城市更新集团有限公司）受理部门：纪检室；举报邮箱：</w:t>
      </w:r>
      <w:r>
        <w:rPr>
          <w:rFonts w:hint="eastAsia" w:ascii="仿宋_GB2312" w:eastAsia="仿宋_GB2312"/>
          <w:color w:val="auto"/>
          <w:sz w:val="28"/>
          <w:szCs w:val="28"/>
          <w:highlight w:val="none"/>
        </w:rPr>
        <w:t>ctfzjjs@126.com</w:t>
      </w:r>
      <w:r>
        <w:rPr>
          <w:rFonts w:hint="eastAsia" w:ascii="仿宋_GB2312" w:eastAsia="仿宋_GB2312" w:cs="仿宋_GB2312"/>
          <w:color w:val="auto"/>
          <w:sz w:val="28"/>
          <w:szCs w:val="28"/>
          <w:highlight w:val="none"/>
        </w:rPr>
        <w:t>。</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第四条 相关责任</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一）甲方有违反本廉洁协议书第一、二条规定的，严格按照管理权限，依据有关法律法规和规章制度给予纪律处分或组织处理；涉嫌犯罪的，移送司法机关依法追究刑事责任；给乙方单位造成经济损失的，应依法予以赔偿。</w:t>
      </w:r>
    </w:p>
    <w:p>
      <w:pPr>
        <w:spacing w:line="560" w:lineRule="exact"/>
        <w:ind w:firstLine="560" w:firstLineChars="200"/>
        <w:rPr>
          <w:rFonts w:ascii="仿宋_GB2312" w:eastAsia="仿宋_GB2312" w:cs="仿宋_GB2312"/>
          <w:color w:val="auto"/>
          <w:sz w:val="28"/>
          <w:szCs w:val="28"/>
          <w:highlight w:val="none"/>
        </w:rPr>
      </w:pPr>
      <w:r>
        <w:rPr>
          <w:rFonts w:hint="eastAsia" w:ascii="仿宋_GB2312" w:eastAsia="仿宋_GB2312" w:cs="仿宋_GB2312"/>
          <w:color w:val="auto"/>
          <w:sz w:val="28"/>
          <w:szCs w:val="28"/>
          <w:highlight w:val="none"/>
        </w:rPr>
        <w:t>（二）乙方违反本廉洁协议书第一、三条规定的，根据招投标等有关规定，对乙方进行处理；甲方有权终止与乙方的合同。涉嫌犯罪的，移送司法机关依法追究刑事责任；给甲方单位造成经济损失的，应依法予以赔偿。</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（三）乙方违反本廉洁协议书第一、三条规定，发生行贿行为，经有关执纪执法部门或甲方纪检机构查证属实，甲方对乙方实施3年的市场禁入。</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第五条 协议书生效及法律效力</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（一）本廉洁协议书作为合同的附件，与合同具有同等法律效力，经</w:t>
      </w:r>
      <w:r>
        <w:rPr>
          <w:rFonts w:hint="eastAsia" w:ascii="仿宋_GB2312" w:eastAsia="仿宋_GB2312" w:cs="仿宋_GB2312"/>
          <w:color w:val="auto"/>
          <w:sz w:val="28"/>
          <w:szCs w:val="28"/>
          <w:highlight w:val="none"/>
        </w:rPr>
        <w:t>双方签字盖章后立即生效。</w:t>
      </w:r>
    </w:p>
    <w:p>
      <w:pPr>
        <w:pStyle w:val="4"/>
        <w:spacing w:before="312" w:after="156" w:line="560" w:lineRule="exact"/>
        <w:ind w:firstLine="56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（二）除非甲乙双方另行签订新的廉洁协议书，否则本廉洁协议书在甲方与乙方存在业务关系期间均对双方产生约束力。</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 xml:space="preserve">第六条 </w:t>
      </w:r>
      <w:r>
        <w:rPr>
          <w:rFonts w:hint="eastAsia" w:ascii="仿宋_GB2312" w:eastAsia="仿宋_GB2312" w:cs="仿宋_GB2312"/>
          <w:color w:val="auto"/>
          <w:sz w:val="28"/>
          <w:szCs w:val="28"/>
          <w:highlight w:val="none"/>
        </w:rPr>
        <w:t>协议书</w:t>
      </w:r>
      <w:r>
        <w:rPr>
          <w:rFonts w:hint="eastAsia" w:ascii="仿宋_GB2312" w:eastAsia="仿宋_GB2312" w:cs="仿宋_GB2312"/>
          <w:color w:val="auto"/>
          <w:sz w:val="28"/>
          <w:szCs w:val="28"/>
          <w:highlight w:val="none"/>
        </w:rPr>
        <w:t>份数</w:t>
      </w:r>
    </w:p>
    <w:p>
      <w:pPr>
        <w:spacing w:line="560" w:lineRule="exact"/>
        <w:ind w:firstLine="560" w:firstLineChars="200"/>
        <w:rPr>
          <w:rFonts w:ascii="仿宋_GB2312" w:eastAsia="仿宋_GB2312"/>
          <w:color w:val="auto"/>
          <w:sz w:val="28"/>
          <w:szCs w:val="28"/>
          <w:highlight w:val="none"/>
        </w:rPr>
      </w:pPr>
      <w:r>
        <w:rPr>
          <w:rFonts w:hint="eastAsia" w:ascii="仿宋_GB2312" w:eastAsia="仿宋_GB2312" w:cs="仿宋_GB2312"/>
          <w:color w:val="auto"/>
          <w:sz w:val="28"/>
          <w:szCs w:val="28"/>
          <w:highlight w:val="none"/>
        </w:rPr>
        <w:t>本廉洁协议书一式</w:t>
      </w:r>
      <w:r>
        <w:rPr>
          <w:rFonts w:hint="eastAsia" w:ascii="仿宋_GB2312" w:eastAsia="仿宋_GB2312" w:cs="仿宋_GB2312"/>
          <w:color w:val="auto"/>
          <w:sz w:val="28"/>
          <w:szCs w:val="28"/>
          <w:highlight w:val="none"/>
          <w:u w:val="single"/>
        </w:rPr>
        <w:t xml:space="preserve">  </w:t>
      </w:r>
      <w:r>
        <w:rPr>
          <w:rFonts w:hint="eastAsia" w:ascii="仿宋_GB2312" w:eastAsia="仿宋_GB2312" w:cs="仿宋_GB2312"/>
          <w:color w:val="auto"/>
          <w:sz w:val="28"/>
          <w:szCs w:val="28"/>
          <w:highlight w:val="none"/>
        </w:rPr>
        <w:t>份，甲方</w:t>
      </w:r>
      <w:r>
        <w:rPr>
          <w:rFonts w:hint="eastAsia" w:ascii="仿宋_GB2312" w:eastAsia="仿宋_GB2312" w:cs="仿宋_GB2312"/>
          <w:color w:val="auto"/>
          <w:sz w:val="28"/>
          <w:szCs w:val="28"/>
          <w:highlight w:val="none"/>
          <w:u w:val="single"/>
        </w:rPr>
        <w:t xml:space="preserve">  </w:t>
      </w:r>
      <w:r>
        <w:rPr>
          <w:rFonts w:hint="eastAsia" w:ascii="仿宋_GB2312" w:eastAsia="仿宋_GB2312" w:cs="仿宋_GB2312"/>
          <w:color w:val="auto"/>
          <w:sz w:val="28"/>
          <w:szCs w:val="28"/>
          <w:highlight w:val="none"/>
        </w:rPr>
        <w:t>份，乙方</w:t>
      </w:r>
      <w:r>
        <w:rPr>
          <w:rFonts w:hint="eastAsia" w:ascii="仿宋_GB2312" w:eastAsia="仿宋_GB2312" w:cs="仿宋_GB2312"/>
          <w:color w:val="auto"/>
          <w:sz w:val="28"/>
          <w:szCs w:val="28"/>
          <w:highlight w:val="none"/>
          <w:u w:val="single"/>
        </w:rPr>
        <w:t xml:space="preserve">  </w:t>
      </w:r>
      <w:r>
        <w:rPr>
          <w:rFonts w:hint="eastAsia" w:ascii="仿宋_GB2312" w:eastAsia="仿宋_GB2312" w:cs="仿宋_GB2312"/>
          <w:color w:val="auto"/>
          <w:sz w:val="28"/>
          <w:szCs w:val="28"/>
          <w:highlight w:val="none"/>
        </w:rPr>
        <w:t>份</w:t>
      </w:r>
      <w:r>
        <w:rPr>
          <w:rFonts w:hint="eastAsia" w:ascii="仿宋_GB2312" w:eastAsia="仿宋_GB2312" w:cs="仿宋_GB2312"/>
          <w:color w:val="auto"/>
          <w:sz w:val="28"/>
          <w:szCs w:val="28"/>
          <w:highlight w:val="none"/>
        </w:rPr>
        <w:t>。</w:t>
      </w:r>
    </w:p>
    <w:p>
      <w:pPr>
        <w:pStyle w:val="5"/>
        <w:spacing w:before="312" w:after="156" w:line="560" w:lineRule="exact"/>
        <w:ind w:left="480"/>
        <w:rPr>
          <w:rFonts w:eastAsia="仿宋_GB2312"/>
          <w:color w:val="auto"/>
          <w:highlight w:val="none"/>
        </w:rPr>
      </w:pPr>
      <w:r>
        <w:rPr>
          <w:rFonts w:hint="eastAsia" w:eastAsia="仿宋_GB2312" w:cs="仿宋_GB2312"/>
          <w:color w:val="auto"/>
          <w:highlight w:val="none"/>
        </w:rPr>
        <w:t>甲乙双方确认在签订本廉洁协议书前已仔细阅读条款内容，甲乙双方对本廉洁协议书所产生的法律责任已清楚知悉并承诺遵守。</w:t>
      </w:r>
    </w:p>
    <w:p>
      <w:pPr>
        <w:spacing w:line="560" w:lineRule="exact"/>
        <w:rPr>
          <w:color w:val="auto"/>
          <w:sz w:val="28"/>
          <w:szCs w:val="28"/>
          <w:highlight w:val="none"/>
        </w:rPr>
      </w:pPr>
    </w:p>
    <w:p>
      <w:pPr>
        <w:spacing w:line="560" w:lineRule="exact"/>
        <w:rPr>
          <w:color w:val="auto"/>
          <w:sz w:val="28"/>
          <w:szCs w:val="28"/>
          <w:highlight w:val="none"/>
        </w:rPr>
      </w:pPr>
    </w:p>
    <w:p>
      <w:pPr>
        <w:spacing w:line="560" w:lineRule="exact"/>
        <w:ind w:firstLine="280" w:firstLineChars="100"/>
        <w:rPr>
          <w:color w:val="auto"/>
          <w:sz w:val="28"/>
          <w:szCs w:val="28"/>
          <w:highlight w:val="none"/>
        </w:rPr>
      </w:pPr>
      <w:r>
        <w:rPr>
          <w:rFonts w:hint="eastAsia" w:cs="仿宋_GB2312"/>
          <w:color w:val="auto"/>
          <w:sz w:val="28"/>
          <w:szCs w:val="28"/>
          <w:highlight w:val="none"/>
        </w:rPr>
        <w:t>甲方（盖章）                     乙方（盖章）：</w:t>
      </w:r>
    </w:p>
    <w:p>
      <w:pPr>
        <w:spacing w:line="560" w:lineRule="exact"/>
        <w:ind w:firstLine="280" w:firstLineChars="100"/>
        <w:rPr>
          <w:color w:val="auto"/>
          <w:sz w:val="28"/>
          <w:szCs w:val="28"/>
          <w:highlight w:val="none"/>
        </w:rPr>
      </w:pPr>
      <w:r>
        <w:rPr>
          <w:rFonts w:hint="eastAsia" w:cs="仿宋_GB2312"/>
          <w:color w:val="auto"/>
          <w:sz w:val="28"/>
          <w:szCs w:val="28"/>
          <w:highlight w:val="none"/>
        </w:rPr>
        <w:t>法定代表人                       法定代表人</w:t>
      </w:r>
    </w:p>
    <w:p>
      <w:pPr>
        <w:spacing w:line="560" w:lineRule="exact"/>
        <w:rPr>
          <w:color w:val="auto"/>
          <w:sz w:val="28"/>
          <w:szCs w:val="28"/>
          <w:highlight w:val="none"/>
        </w:rPr>
      </w:pPr>
      <w:r>
        <w:rPr>
          <w:rFonts w:hint="eastAsia" w:cs="仿宋_GB2312"/>
          <w:color w:val="auto"/>
          <w:sz w:val="28"/>
          <w:szCs w:val="28"/>
          <w:highlight w:val="none"/>
        </w:rPr>
        <w:t>（或委托代理人）：               （或委托代理人）：</w:t>
      </w:r>
    </w:p>
    <w:p>
      <w:pPr>
        <w:spacing w:line="560" w:lineRule="exact"/>
        <w:ind w:firstLine="560" w:firstLineChars="200"/>
        <w:rPr>
          <w:color w:val="auto"/>
          <w:highlight w:val="none"/>
        </w:rPr>
      </w:pPr>
      <w:r>
        <w:rPr>
          <w:rFonts w:hint="eastAsia" w:cs="仿宋_GB2312"/>
          <w:color w:val="auto"/>
          <w:sz w:val="28"/>
          <w:szCs w:val="28"/>
          <w:highlight w:val="none"/>
        </w:rPr>
        <w:t>年   月  日                        年  月  日</w:t>
      </w:r>
    </w:p>
    <w:p>
      <w:pPr>
        <w:pStyle w:val="2"/>
        <w:rPr>
          <w:color w:val="auto"/>
          <w:highlight w:val="none"/>
        </w:rPr>
      </w:pPr>
    </w:p>
    <w:bookmarkEnd w:id="2"/>
    <w:sectPr>
      <w:footerReference r:id="rId3" w:type="default"/>
      <w:pgSz w:w="11906" w:h="16838"/>
      <w:pgMar w:top="1361" w:right="1588" w:bottom="136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方正小标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right" w:y="1"/>
      <w:rPr>
        <w:rStyle w:val="13"/>
        <w:rFonts w:cs="Arial"/>
      </w:rPr>
    </w:pPr>
    <w:r>
      <w:fldChar w:fldCharType="begin"/>
    </w:r>
    <w:r>
      <w:instrText xml:space="preserve">PAGE  </w:instrText>
    </w:r>
    <w:r>
      <w:fldChar w:fldCharType="separate"/>
    </w:r>
    <w:r>
      <w:t>15</w:t>
    </w:r>
    <w:r>
      <w:fldChar w:fldCharType="end"/>
    </w:r>
  </w:p>
  <w:p>
    <w:pPr>
      <w:pStyle w:val="7"/>
      <w:ind w:right="360"/>
      <w:rPr>
        <w:rFonts w:cs="Arial"/>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applyBreakingRules/>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ZmOWNiZjI5Mzk3Mzk3YWMxOWU3YmIwZDJkMDdlZWQifQ=="/>
  </w:docVars>
  <w:rsids>
    <w:rsidRoot w:val="00A5134F"/>
    <w:rsid w:val="000067F8"/>
    <w:rsid w:val="00015A93"/>
    <w:rsid w:val="00031309"/>
    <w:rsid w:val="00034E46"/>
    <w:rsid w:val="000412F5"/>
    <w:rsid w:val="00043461"/>
    <w:rsid w:val="00044A11"/>
    <w:rsid w:val="0004732B"/>
    <w:rsid w:val="00051B8B"/>
    <w:rsid w:val="00052C56"/>
    <w:rsid w:val="00054B3C"/>
    <w:rsid w:val="0005723C"/>
    <w:rsid w:val="00062442"/>
    <w:rsid w:val="00066BE3"/>
    <w:rsid w:val="000671AE"/>
    <w:rsid w:val="00072E8C"/>
    <w:rsid w:val="000801D0"/>
    <w:rsid w:val="00084A68"/>
    <w:rsid w:val="00087398"/>
    <w:rsid w:val="000B248B"/>
    <w:rsid w:val="000B6FC7"/>
    <w:rsid w:val="000C704F"/>
    <w:rsid w:val="000C7865"/>
    <w:rsid w:val="000D32EE"/>
    <w:rsid w:val="000D4463"/>
    <w:rsid w:val="000D4CA1"/>
    <w:rsid w:val="000E1900"/>
    <w:rsid w:val="000E4411"/>
    <w:rsid w:val="000E4782"/>
    <w:rsid w:val="000E4DFB"/>
    <w:rsid w:val="000F1D94"/>
    <w:rsid w:val="000F6C9A"/>
    <w:rsid w:val="000F74C1"/>
    <w:rsid w:val="00101D00"/>
    <w:rsid w:val="00103609"/>
    <w:rsid w:val="00103697"/>
    <w:rsid w:val="00104D08"/>
    <w:rsid w:val="001052C5"/>
    <w:rsid w:val="0011033E"/>
    <w:rsid w:val="001124EC"/>
    <w:rsid w:val="00114AF3"/>
    <w:rsid w:val="0011593F"/>
    <w:rsid w:val="00121A81"/>
    <w:rsid w:val="00121D6B"/>
    <w:rsid w:val="00125EA6"/>
    <w:rsid w:val="00136A3D"/>
    <w:rsid w:val="001400AD"/>
    <w:rsid w:val="001448E4"/>
    <w:rsid w:val="00145B49"/>
    <w:rsid w:val="00150727"/>
    <w:rsid w:val="001542F6"/>
    <w:rsid w:val="001561D0"/>
    <w:rsid w:val="00156C08"/>
    <w:rsid w:val="00157A49"/>
    <w:rsid w:val="00162717"/>
    <w:rsid w:val="00167CC4"/>
    <w:rsid w:val="00170275"/>
    <w:rsid w:val="00180358"/>
    <w:rsid w:val="001855C7"/>
    <w:rsid w:val="00195793"/>
    <w:rsid w:val="00196A15"/>
    <w:rsid w:val="0019788F"/>
    <w:rsid w:val="001A4100"/>
    <w:rsid w:val="001B04BA"/>
    <w:rsid w:val="001B070B"/>
    <w:rsid w:val="001B1083"/>
    <w:rsid w:val="001B591D"/>
    <w:rsid w:val="001B63EC"/>
    <w:rsid w:val="001B645A"/>
    <w:rsid w:val="001B655E"/>
    <w:rsid w:val="001C47CB"/>
    <w:rsid w:val="001D3CC9"/>
    <w:rsid w:val="001D57F0"/>
    <w:rsid w:val="001E668E"/>
    <w:rsid w:val="001F47A0"/>
    <w:rsid w:val="00200D02"/>
    <w:rsid w:val="00201408"/>
    <w:rsid w:val="002058B7"/>
    <w:rsid w:val="00205C30"/>
    <w:rsid w:val="0020620A"/>
    <w:rsid w:val="002102B8"/>
    <w:rsid w:val="0021183C"/>
    <w:rsid w:val="0021382B"/>
    <w:rsid w:val="002168ED"/>
    <w:rsid w:val="0021769C"/>
    <w:rsid w:val="002276AD"/>
    <w:rsid w:val="00232809"/>
    <w:rsid w:val="00236437"/>
    <w:rsid w:val="00236AFC"/>
    <w:rsid w:val="00244D4D"/>
    <w:rsid w:val="00244EE0"/>
    <w:rsid w:val="0025222D"/>
    <w:rsid w:val="00261533"/>
    <w:rsid w:val="0026183B"/>
    <w:rsid w:val="0026474A"/>
    <w:rsid w:val="00275151"/>
    <w:rsid w:val="00276CDF"/>
    <w:rsid w:val="00277DBD"/>
    <w:rsid w:val="0028012C"/>
    <w:rsid w:val="0028237C"/>
    <w:rsid w:val="0028626D"/>
    <w:rsid w:val="00287B8E"/>
    <w:rsid w:val="002A1B88"/>
    <w:rsid w:val="002A2B6D"/>
    <w:rsid w:val="002A3C7F"/>
    <w:rsid w:val="002A7D73"/>
    <w:rsid w:val="002A7DD5"/>
    <w:rsid w:val="002A7F03"/>
    <w:rsid w:val="002C4B47"/>
    <w:rsid w:val="002C798D"/>
    <w:rsid w:val="002D094D"/>
    <w:rsid w:val="002D0BC7"/>
    <w:rsid w:val="002E2430"/>
    <w:rsid w:val="002F0A30"/>
    <w:rsid w:val="002F161E"/>
    <w:rsid w:val="002F2B71"/>
    <w:rsid w:val="002F3FAC"/>
    <w:rsid w:val="00302839"/>
    <w:rsid w:val="003050AE"/>
    <w:rsid w:val="0031350C"/>
    <w:rsid w:val="00317E10"/>
    <w:rsid w:val="003206DE"/>
    <w:rsid w:val="00320EF8"/>
    <w:rsid w:val="0032129F"/>
    <w:rsid w:val="003349E6"/>
    <w:rsid w:val="0034039B"/>
    <w:rsid w:val="003423DD"/>
    <w:rsid w:val="003443FC"/>
    <w:rsid w:val="003447EE"/>
    <w:rsid w:val="0035037C"/>
    <w:rsid w:val="00354DEA"/>
    <w:rsid w:val="00355591"/>
    <w:rsid w:val="00357338"/>
    <w:rsid w:val="00357430"/>
    <w:rsid w:val="00357C8D"/>
    <w:rsid w:val="0036362D"/>
    <w:rsid w:val="00363697"/>
    <w:rsid w:val="0037418A"/>
    <w:rsid w:val="00375ECE"/>
    <w:rsid w:val="00376789"/>
    <w:rsid w:val="00376D40"/>
    <w:rsid w:val="0037748E"/>
    <w:rsid w:val="0038076B"/>
    <w:rsid w:val="00380893"/>
    <w:rsid w:val="00380A82"/>
    <w:rsid w:val="00380E50"/>
    <w:rsid w:val="0038376A"/>
    <w:rsid w:val="003910D0"/>
    <w:rsid w:val="003935BB"/>
    <w:rsid w:val="00396BE9"/>
    <w:rsid w:val="003A157D"/>
    <w:rsid w:val="003A522E"/>
    <w:rsid w:val="003A7B66"/>
    <w:rsid w:val="003B3C51"/>
    <w:rsid w:val="003B60A2"/>
    <w:rsid w:val="003B6769"/>
    <w:rsid w:val="003C7682"/>
    <w:rsid w:val="003E0E5B"/>
    <w:rsid w:val="003E4AE3"/>
    <w:rsid w:val="003F0D6A"/>
    <w:rsid w:val="003F23CE"/>
    <w:rsid w:val="003F523E"/>
    <w:rsid w:val="004002E6"/>
    <w:rsid w:val="00401B8D"/>
    <w:rsid w:val="00403925"/>
    <w:rsid w:val="004125A4"/>
    <w:rsid w:val="0041424E"/>
    <w:rsid w:val="0042052A"/>
    <w:rsid w:val="00426B5E"/>
    <w:rsid w:val="00432ACC"/>
    <w:rsid w:val="00433511"/>
    <w:rsid w:val="004403D2"/>
    <w:rsid w:val="00460386"/>
    <w:rsid w:val="00460EEB"/>
    <w:rsid w:val="004652D2"/>
    <w:rsid w:val="00465B23"/>
    <w:rsid w:val="0047196B"/>
    <w:rsid w:val="00472297"/>
    <w:rsid w:val="00473538"/>
    <w:rsid w:val="00473575"/>
    <w:rsid w:val="00476298"/>
    <w:rsid w:val="004777D3"/>
    <w:rsid w:val="00477D25"/>
    <w:rsid w:val="0048408F"/>
    <w:rsid w:val="0049351E"/>
    <w:rsid w:val="00494844"/>
    <w:rsid w:val="004978E2"/>
    <w:rsid w:val="004A0682"/>
    <w:rsid w:val="004A4634"/>
    <w:rsid w:val="004B2B77"/>
    <w:rsid w:val="004B34F2"/>
    <w:rsid w:val="004B688E"/>
    <w:rsid w:val="004C3387"/>
    <w:rsid w:val="004D6280"/>
    <w:rsid w:val="004D7669"/>
    <w:rsid w:val="004D7847"/>
    <w:rsid w:val="004E0306"/>
    <w:rsid w:val="004E1B72"/>
    <w:rsid w:val="004E26A1"/>
    <w:rsid w:val="004E377D"/>
    <w:rsid w:val="004E6546"/>
    <w:rsid w:val="004F39C6"/>
    <w:rsid w:val="0050503D"/>
    <w:rsid w:val="00515843"/>
    <w:rsid w:val="00523738"/>
    <w:rsid w:val="0053048D"/>
    <w:rsid w:val="00534381"/>
    <w:rsid w:val="00536441"/>
    <w:rsid w:val="0053727B"/>
    <w:rsid w:val="00540118"/>
    <w:rsid w:val="005402EE"/>
    <w:rsid w:val="00540EC0"/>
    <w:rsid w:val="0054509D"/>
    <w:rsid w:val="0054562C"/>
    <w:rsid w:val="00545936"/>
    <w:rsid w:val="00546730"/>
    <w:rsid w:val="00550ED0"/>
    <w:rsid w:val="0055127D"/>
    <w:rsid w:val="005572FD"/>
    <w:rsid w:val="00557BF8"/>
    <w:rsid w:val="0056058E"/>
    <w:rsid w:val="00561A99"/>
    <w:rsid w:val="00563018"/>
    <w:rsid w:val="00570BCE"/>
    <w:rsid w:val="00573AD0"/>
    <w:rsid w:val="00576B7C"/>
    <w:rsid w:val="00587D50"/>
    <w:rsid w:val="00593457"/>
    <w:rsid w:val="00593645"/>
    <w:rsid w:val="0059742E"/>
    <w:rsid w:val="005A0722"/>
    <w:rsid w:val="005A72A0"/>
    <w:rsid w:val="005A73D4"/>
    <w:rsid w:val="005B0171"/>
    <w:rsid w:val="005B388E"/>
    <w:rsid w:val="005C0659"/>
    <w:rsid w:val="005C596C"/>
    <w:rsid w:val="005D5384"/>
    <w:rsid w:val="005D6A5C"/>
    <w:rsid w:val="005F1F46"/>
    <w:rsid w:val="005F7C17"/>
    <w:rsid w:val="006032DF"/>
    <w:rsid w:val="00610CC9"/>
    <w:rsid w:val="00611867"/>
    <w:rsid w:val="00620EFF"/>
    <w:rsid w:val="00621193"/>
    <w:rsid w:val="00630ED7"/>
    <w:rsid w:val="00631421"/>
    <w:rsid w:val="006333B3"/>
    <w:rsid w:val="006367C0"/>
    <w:rsid w:val="0064336E"/>
    <w:rsid w:val="00645DE8"/>
    <w:rsid w:val="006528EF"/>
    <w:rsid w:val="00655F6C"/>
    <w:rsid w:val="00657FCE"/>
    <w:rsid w:val="00661CC1"/>
    <w:rsid w:val="00670CF6"/>
    <w:rsid w:val="00672E4A"/>
    <w:rsid w:val="006742A2"/>
    <w:rsid w:val="00676DF3"/>
    <w:rsid w:val="00684568"/>
    <w:rsid w:val="0068483C"/>
    <w:rsid w:val="0068690C"/>
    <w:rsid w:val="006A0E97"/>
    <w:rsid w:val="006A675B"/>
    <w:rsid w:val="006A728D"/>
    <w:rsid w:val="006B472E"/>
    <w:rsid w:val="006B47C7"/>
    <w:rsid w:val="006B5ACB"/>
    <w:rsid w:val="006C3A66"/>
    <w:rsid w:val="006C585E"/>
    <w:rsid w:val="006E46E1"/>
    <w:rsid w:val="006F0166"/>
    <w:rsid w:val="006F6507"/>
    <w:rsid w:val="007061A7"/>
    <w:rsid w:val="00713F36"/>
    <w:rsid w:val="00723834"/>
    <w:rsid w:val="0072662E"/>
    <w:rsid w:val="00731638"/>
    <w:rsid w:val="00731FBB"/>
    <w:rsid w:val="0073540C"/>
    <w:rsid w:val="007357E1"/>
    <w:rsid w:val="00740889"/>
    <w:rsid w:val="00740EB9"/>
    <w:rsid w:val="007415C1"/>
    <w:rsid w:val="00743181"/>
    <w:rsid w:val="00746591"/>
    <w:rsid w:val="0074675E"/>
    <w:rsid w:val="00754E65"/>
    <w:rsid w:val="00755285"/>
    <w:rsid w:val="00762360"/>
    <w:rsid w:val="00763464"/>
    <w:rsid w:val="007657B5"/>
    <w:rsid w:val="0077556F"/>
    <w:rsid w:val="007758CA"/>
    <w:rsid w:val="00775B73"/>
    <w:rsid w:val="00782002"/>
    <w:rsid w:val="00782245"/>
    <w:rsid w:val="007829C5"/>
    <w:rsid w:val="00783A79"/>
    <w:rsid w:val="00785631"/>
    <w:rsid w:val="00786629"/>
    <w:rsid w:val="0079570B"/>
    <w:rsid w:val="00796CC4"/>
    <w:rsid w:val="007A06F3"/>
    <w:rsid w:val="007A4EA3"/>
    <w:rsid w:val="007A53D1"/>
    <w:rsid w:val="007B04AB"/>
    <w:rsid w:val="007C06F0"/>
    <w:rsid w:val="007C5C08"/>
    <w:rsid w:val="007D1051"/>
    <w:rsid w:val="007D1799"/>
    <w:rsid w:val="007D36F5"/>
    <w:rsid w:val="007E0EF9"/>
    <w:rsid w:val="007E23A9"/>
    <w:rsid w:val="007E2E3F"/>
    <w:rsid w:val="007E799B"/>
    <w:rsid w:val="007F2100"/>
    <w:rsid w:val="007F27DF"/>
    <w:rsid w:val="007F3843"/>
    <w:rsid w:val="007F4921"/>
    <w:rsid w:val="007F6F49"/>
    <w:rsid w:val="00801E99"/>
    <w:rsid w:val="00804742"/>
    <w:rsid w:val="00805C92"/>
    <w:rsid w:val="0081020F"/>
    <w:rsid w:val="00811332"/>
    <w:rsid w:val="00820E5C"/>
    <w:rsid w:val="00822C4C"/>
    <w:rsid w:val="00824887"/>
    <w:rsid w:val="00824FA2"/>
    <w:rsid w:val="00825F1D"/>
    <w:rsid w:val="00825FB8"/>
    <w:rsid w:val="00827181"/>
    <w:rsid w:val="00827DDE"/>
    <w:rsid w:val="00833684"/>
    <w:rsid w:val="008343AE"/>
    <w:rsid w:val="00840529"/>
    <w:rsid w:val="008452B6"/>
    <w:rsid w:val="00850A0F"/>
    <w:rsid w:val="00850ADD"/>
    <w:rsid w:val="008531B1"/>
    <w:rsid w:val="008548E8"/>
    <w:rsid w:val="00861474"/>
    <w:rsid w:val="0087176A"/>
    <w:rsid w:val="0087519E"/>
    <w:rsid w:val="008751BF"/>
    <w:rsid w:val="00892117"/>
    <w:rsid w:val="008936AA"/>
    <w:rsid w:val="00893D09"/>
    <w:rsid w:val="00893D13"/>
    <w:rsid w:val="00894D8F"/>
    <w:rsid w:val="008A0806"/>
    <w:rsid w:val="008A4DBF"/>
    <w:rsid w:val="008A61B2"/>
    <w:rsid w:val="008A6D6E"/>
    <w:rsid w:val="008B3435"/>
    <w:rsid w:val="008C211D"/>
    <w:rsid w:val="008C31D9"/>
    <w:rsid w:val="008C654D"/>
    <w:rsid w:val="008D5CFB"/>
    <w:rsid w:val="008E1FB5"/>
    <w:rsid w:val="008E3CF6"/>
    <w:rsid w:val="008E685C"/>
    <w:rsid w:val="008E713B"/>
    <w:rsid w:val="008F01AC"/>
    <w:rsid w:val="008F0803"/>
    <w:rsid w:val="008F3822"/>
    <w:rsid w:val="008F4258"/>
    <w:rsid w:val="008F5EE1"/>
    <w:rsid w:val="008F6959"/>
    <w:rsid w:val="008F6FCB"/>
    <w:rsid w:val="008F7B1C"/>
    <w:rsid w:val="00900609"/>
    <w:rsid w:val="00901285"/>
    <w:rsid w:val="00912C44"/>
    <w:rsid w:val="00914A9B"/>
    <w:rsid w:val="00917157"/>
    <w:rsid w:val="00926592"/>
    <w:rsid w:val="009304F5"/>
    <w:rsid w:val="00935AAD"/>
    <w:rsid w:val="00937541"/>
    <w:rsid w:val="00943A6F"/>
    <w:rsid w:val="00944E1D"/>
    <w:rsid w:val="009542BA"/>
    <w:rsid w:val="0095483F"/>
    <w:rsid w:val="00975138"/>
    <w:rsid w:val="009807D7"/>
    <w:rsid w:val="009835C1"/>
    <w:rsid w:val="0098577A"/>
    <w:rsid w:val="00985AF5"/>
    <w:rsid w:val="00990F29"/>
    <w:rsid w:val="00991052"/>
    <w:rsid w:val="00995E7C"/>
    <w:rsid w:val="00996BE7"/>
    <w:rsid w:val="009A10DF"/>
    <w:rsid w:val="009A1F6E"/>
    <w:rsid w:val="009A2123"/>
    <w:rsid w:val="009B0168"/>
    <w:rsid w:val="009B4490"/>
    <w:rsid w:val="009B59AA"/>
    <w:rsid w:val="009C2671"/>
    <w:rsid w:val="009C6C74"/>
    <w:rsid w:val="009D000B"/>
    <w:rsid w:val="009D13EA"/>
    <w:rsid w:val="009D19CB"/>
    <w:rsid w:val="009D31BA"/>
    <w:rsid w:val="009D44C1"/>
    <w:rsid w:val="009D6B4F"/>
    <w:rsid w:val="009D6F80"/>
    <w:rsid w:val="009E300A"/>
    <w:rsid w:val="009E5A4F"/>
    <w:rsid w:val="009E5E6C"/>
    <w:rsid w:val="009E6C85"/>
    <w:rsid w:val="00A060BA"/>
    <w:rsid w:val="00A16306"/>
    <w:rsid w:val="00A30180"/>
    <w:rsid w:val="00A37C1F"/>
    <w:rsid w:val="00A5134F"/>
    <w:rsid w:val="00A57557"/>
    <w:rsid w:val="00A62C0B"/>
    <w:rsid w:val="00A64570"/>
    <w:rsid w:val="00A7061C"/>
    <w:rsid w:val="00A70879"/>
    <w:rsid w:val="00A73072"/>
    <w:rsid w:val="00A75DC0"/>
    <w:rsid w:val="00A7739C"/>
    <w:rsid w:val="00A8432D"/>
    <w:rsid w:val="00A85EFE"/>
    <w:rsid w:val="00A937F4"/>
    <w:rsid w:val="00A94EA9"/>
    <w:rsid w:val="00AB0688"/>
    <w:rsid w:val="00AB109A"/>
    <w:rsid w:val="00AB2920"/>
    <w:rsid w:val="00AB7352"/>
    <w:rsid w:val="00AB7453"/>
    <w:rsid w:val="00AC38D4"/>
    <w:rsid w:val="00AD5260"/>
    <w:rsid w:val="00AD780E"/>
    <w:rsid w:val="00AE10BD"/>
    <w:rsid w:val="00AE12E7"/>
    <w:rsid w:val="00AE5AF1"/>
    <w:rsid w:val="00AF50A0"/>
    <w:rsid w:val="00AF53E9"/>
    <w:rsid w:val="00AF667C"/>
    <w:rsid w:val="00B00DE9"/>
    <w:rsid w:val="00B059B8"/>
    <w:rsid w:val="00B10EEA"/>
    <w:rsid w:val="00B14721"/>
    <w:rsid w:val="00B14A80"/>
    <w:rsid w:val="00B173E2"/>
    <w:rsid w:val="00B175D2"/>
    <w:rsid w:val="00B20F26"/>
    <w:rsid w:val="00B22577"/>
    <w:rsid w:val="00B231EE"/>
    <w:rsid w:val="00B24605"/>
    <w:rsid w:val="00B26CDA"/>
    <w:rsid w:val="00B31007"/>
    <w:rsid w:val="00B34D0A"/>
    <w:rsid w:val="00B40F02"/>
    <w:rsid w:val="00B42710"/>
    <w:rsid w:val="00B45301"/>
    <w:rsid w:val="00B464CF"/>
    <w:rsid w:val="00B52874"/>
    <w:rsid w:val="00B645BD"/>
    <w:rsid w:val="00B73E42"/>
    <w:rsid w:val="00B80D0A"/>
    <w:rsid w:val="00B8557C"/>
    <w:rsid w:val="00B85F18"/>
    <w:rsid w:val="00B93640"/>
    <w:rsid w:val="00B942AA"/>
    <w:rsid w:val="00B96D8E"/>
    <w:rsid w:val="00BA570B"/>
    <w:rsid w:val="00BA5E0C"/>
    <w:rsid w:val="00BB5076"/>
    <w:rsid w:val="00BB6719"/>
    <w:rsid w:val="00BC04D9"/>
    <w:rsid w:val="00BC444D"/>
    <w:rsid w:val="00BC7AA9"/>
    <w:rsid w:val="00BD36AD"/>
    <w:rsid w:val="00BD567F"/>
    <w:rsid w:val="00BD6F31"/>
    <w:rsid w:val="00BE03E6"/>
    <w:rsid w:val="00C0576A"/>
    <w:rsid w:val="00C061A9"/>
    <w:rsid w:val="00C2139B"/>
    <w:rsid w:val="00C226F8"/>
    <w:rsid w:val="00C22B0E"/>
    <w:rsid w:val="00C23D29"/>
    <w:rsid w:val="00C24634"/>
    <w:rsid w:val="00C26ABB"/>
    <w:rsid w:val="00C26F38"/>
    <w:rsid w:val="00C27D4A"/>
    <w:rsid w:val="00C302D7"/>
    <w:rsid w:val="00C32C09"/>
    <w:rsid w:val="00C35F4E"/>
    <w:rsid w:val="00C364B4"/>
    <w:rsid w:val="00C36A7A"/>
    <w:rsid w:val="00C540D6"/>
    <w:rsid w:val="00C54B31"/>
    <w:rsid w:val="00C5638A"/>
    <w:rsid w:val="00C576A0"/>
    <w:rsid w:val="00C633A2"/>
    <w:rsid w:val="00C64C8B"/>
    <w:rsid w:val="00C738B8"/>
    <w:rsid w:val="00C812ED"/>
    <w:rsid w:val="00C81546"/>
    <w:rsid w:val="00C81965"/>
    <w:rsid w:val="00C81C4F"/>
    <w:rsid w:val="00C82187"/>
    <w:rsid w:val="00C968D6"/>
    <w:rsid w:val="00CA371C"/>
    <w:rsid w:val="00CA6071"/>
    <w:rsid w:val="00CB3630"/>
    <w:rsid w:val="00CB6AE4"/>
    <w:rsid w:val="00CD4265"/>
    <w:rsid w:val="00CD7623"/>
    <w:rsid w:val="00CE1F54"/>
    <w:rsid w:val="00CF3CAB"/>
    <w:rsid w:val="00CF792A"/>
    <w:rsid w:val="00D00A88"/>
    <w:rsid w:val="00D07F80"/>
    <w:rsid w:val="00D13325"/>
    <w:rsid w:val="00D14F4B"/>
    <w:rsid w:val="00D153FC"/>
    <w:rsid w:val="00D236B4"/>
    <w:rsid w:val="00D27E8F"/>
    <w:rsid w:val="00D3171C"/>
    <w:rsid w:val="00D33AE6"/>
    <w:rsid w:val="00D33B39"/>
    <w:rsid w:val="00D34B09"/>
    <w:rsid w:val="00D419A2"/>
    <w:rsid w:val="00D42FA5"/>
    <w:rsid w:val="00D47B23"/>
    <w:rsid w:val="00D61BE7"/>
    <w:rsid w:val="00D647F6"/>
    <w:rsid w:val="00D65EF9"/>
    <w:rsid w:val="00D67D5C"/>
    <w:rsid w:val="00D72539"/>
    <w:rsid w:val="00D7617A"/>
    <w:rsid w:val="00D77585"/>
    <w:rsid w:val="00D84AEF"/>
    <w:rsid w:val="00D90CA2"/>
    <w:rsid w:val="00DA62F0"/>
    <w:rsid w:val="00DA7FAD"/>
    <w:rsid w:val="00DB7A4E"/>
    <w:rsid w:val="00DC27A2"/>
    <w:rsid w:val="00DC5537"/>
    <w:rsid w:val="00DC5C0F"/>
    <w:rsid w:val="00DD44F0"/>
    <w:rsid w:val="00DD48DB"/>
    <w:rsid w:val="00DE1AA6"/>
    <w:rsid w:val="00DE3170"/>
    <w:rsid w:val="00DE3948"/>
    <w:rsid w:val="00DE5C6B"/>
    <w:rsid w:val="00DE7482"/>
    <w:rsid w:val="00DF2191"/>
    <w:rsid w:val="00DF271F"/>
    <w:rsid w:val="00DF7E1D"/>
    <w:rsid w:val="00E011FD"/>
    <w:rsid w:val="00E01A4D"/>
    <w:rsid w:val="00E0479F"/>
    <w:rsid w:val="00E171C4"/>
    <w:rsid w:val="00E33A03"/>
    <w:rsid w:val="00E34D05"/>
    <w:rsid w:val="00E42A66"/>
    <w:rsid w:val="00E42FEF"/>
    <w:rsid w:val="00E45EE3"/>
    <w:rsid w:val="00E5502E"/>
    <w:rsid w:val="00E55A43"/>
    <w:rsid w:val="00E72D9B"/>
    <w:rsid w:val="00E750E8"/>
    <w:rsid w:val="00E82E4B"/>
    <w:rsid w:val="00E84BBF"/>
    <w:rsid w:val="00E85425"/>
    <w:rsid w:val="00E8655A"/>
    <w:rsid w:val="00E86BEF"/>
    <w:rsid w:val="00E974E4"/>
    <w:rsid w:val="00EA6F07"/>
    <w:rsid w:val="00EA7103"/>
    <w:rsid w:val="00EB3454"/>
    <w:rsid w:val="00EB3777"/>
    <w:rsid w:val="00EB5995"/>
    <w:rsid w:val="00EC1C0B"/>
    <w:rsid w:val="00EC29E0"/>
    <w:rsid w:val="00EC2A16"/>
    <w:rsid w:val="00EC2A76"/>
    <w:rsid w:val="00EC4C02"/>
    <w:rsid w:val="00EE0DC3"/>
    <w:rsid w:val="00EE3F9E"/>
    <w:rsid w:val="00EE6BCF"/>
    <w:rsid w:val="00EF7D7A"/>
    <w:rsid w:val="00F018B4"/>
    <w:rsid w:val="00F024D4"/>
    <w:rsid w:val="00F046AE"/>
    <w:rsid w:val="00F04EC9"/>
    <w:rsid w:val="00F05CCC"/>
    <w:rsid w:val="00F15152"/>
    <w:rsid w:val="00F15B11"/>
    <w:rsid w:val="00F24441"/>
    <w:rsid w:val="00F2614E"/>
    <w:rsid w:val="00F31706"/>
    <w:rsid w:val="00F32331"/>
    <w:rsid w:val="00F4027C"/>
    <w:rsid w:val="00F4125C"/>
    <w:rsid w:val="00F47475"/>
    <w:rsid w:val="00F50F36"/>
    <w:rsid w:val="00F513DE"/>
    <w:rsid w:val="00F51E3F"/>
    <w:rsid w:val="00F52196"/>
    <w:rsid w:val="00F6562F"/>
    <w:rsid w:val="00F665AE"/>
    <w:rsid w:val="00F6749A"/>
    <w:rsid w:val="00F674A4"/>
    <w:rsid w:val="00F716B3"/>
    <w:rsid w:val="00F8305E"/>
    <w:rsid w:val="00F922C3"/>
    <w:rsid w:val="00F945F6"/>
    <w:rsid w:val="00F96991"/>
    <w:rsid w:val="00FA0378"/>
    <w:rsid w:val="00FA5FA8"/>
    <w:rsid w:val="00FA722E"/>
    <w:rsid w:val="00FB22DD"/>
    <w:rsid w:val="00FB4C14"/>
    <w:rsid w:val="00FB4F11"/>
    <w:rsid w:val="00FB5E7F"/>
    <w:rsid w:val="00FB6B0C"/>
    <w:rsid w:val="00FB7A58"/>
    <w:rsid w:val="00FC647A"/>
    <w:rsid w:val="00FD2D5B"/>
    <w:rsid w:val="00FD6F4C"/>
    <w:rsid w:val="00FE21E2"/>
    <w:rsid w:val="00FE56BC"/>
    <w:rsid w:val="00FE62E2"/>
    <w:rsid w:val="00FF081F"/>
    <w:rsid w:val="00FF5E16"/>
    <w:rsid w:val="02C846B6"/>
    <w:rsid w:val="038A4759"/>
    <w:rsid w:val="045A26AD"/>
    <w:rsid w:val="04CE330F"/>
    <w:rsid w:val="0738697C"/>
    <w:rsid w:val="07A14E24"/>
    <w:rsid w:val="07AF7E3A"/>
    <w:rsid w:val="082C45C5"/>
    <w:rsid w:val="08D44C9B"/>
    <w:rsid w:val="0A855C35"/>
    <w:rsid w:val="0D8E66B5"/>
    <w:rsid w:val="0E64709A"/>
    <w:rsid w:val="0ECC344D"/>
    <w:rsid w:val="0F2F3CE0"/>
    <w:rsid w:val="105120BE"/>
    <w:rsid w:val="10B62239"/>
    <w:rsid w:val="11312A06"/>
    <w:rsid w:val="11DB1616"/>
    <w:rsid w:val="12086AC4"/>
    <w:rsid w:val="12445622"/>
    <w:rsid w:val="138A39A9"/>
    <w:rsid w:val="1393505C"/>
    <w:rsid w:val="13C609E5"/>
    <w:rsid w:val="14A25265"/>
    <w:rsid w:val="16E86EC4"/>
    <w:rsid w:val="182314F4"/>
    <w:rsid w:val="194F322A"/>
    <w:rsid w:val="1BAF064C"/>
    <w:rsid w:val="20B816B5"/>
    <w:rsid w:val="20FC0251"/>
    <w:rsid w:val="21F75554"/>
    <w:rsid w:val="2298609F"/>
    <w:rsid w:val="231A2EF6"/>
    <w:rsid w:val="233647B4"/>
    <w:rsid w:val="23427AC9"/>
    <w:rsid w:val="23A81482"/>
    <w:rsid w:val="24124711"/>
    <w:rsid w:val="253509B7"/>
    <w:rsid w:val="26061115"/>
    <w:rsid w:val="269211A3"/>
    <w:rsid w:val="27FF406E"/>
    <w:rsid w:val="280653FC"/>
    <w:rsid w:val="282C4D62"/>
    <w:rsid w:val="288F51A5"/>
    <w:rsid w:val="297C73AD"/>
    <w:rsid w:val="2B556714"/>
    <w:rsid w:val="2E4B6642"/>
    <w:rsid w:val="2F875074"/>
    <w:rsid w:val="3045283A"/>
    <w:rsid w:val="31307046"/>
    <w:rsid w:val="31942AAE"/>
    <w:rsid w:val="3203475A"/>
    <w:rsid w:val="32E75E2A"/>
    <w:rsid w:val="33500F23"/>
    <w:rsid w:val="33B71CA0"/>
    <w:rsid w:val="342F69AF"/>
    <w:rsid w:val="34A55F9D"/>
    <w:rsid w:val="34A903C6"/>
    <w:rsid w:val="3546261F"/>
    <w:rsid w:val="36721EAF"/>
    <w:rsid w:val="36EC0D9F"/>
    <w:rsid w:val="37913282"/>
    <w:rsid w:val="38652F3C"/>
    <w:rsid w:val="3A057909"/>
    <w:rsid w:val="3A441A31"/>
    <w:rsid w:val="3AD849D6"/>
    <w:rsid w:val="3C7F70D3"/>
    <w:rsid w:val="3FBB1D99"/>
    <w:rsid w:val="4077259B"/>
    <w:rsid w:val="43454BD3"/>
    <w:rsid w:val="43E62B61"/>
    <w:rsid w:val="44C4421D"/>
    <w:rsid w:val="45701CAF"/>
    <w:rsid w:val="46267F72"/>
    <w:rsid w:val="4A0E3F4C"/>
    <w:rsid w:val="4A9B0B8B"/>
    <w:rsid w:val="4D057181"/>
    <w:rsid w:val="4E476A9B"/>
    <w:rsid w:val="4F363F70"/>
    <w:rsid w:val="4F7C1291"/>
    <w:rsid w:val="50106AF7"/>
    <w:rsid w:val="50406E4E"/>
    <w:rsid w:val="50685FBC"/>
    <w:rsid w:val="50F35CC5"/>
    <w:rsid w:val="51114642"/>
    <w:rsid w:val="51C64459"/>
    <w:rsid w:val="528B6DEA"/>
    <w:rsid w:val="52A61906"/>
    <w:rsid w:val="54282428"/>
    <w:rsid w:val="54734B46"/>
    <w:rsid w:val="54EF0E42"/>
    <w:rsid w:val="553B4087"/>
    <w:rsid w:val="55B41744"/>
    <w:rsid w:val="55BF6A67"/>
    <w:rsid w:val="55DB3175"/>
    <w:rsid w:val="56113D1C"/>
    <w:rsid w:val="572A43B4"/>
    <w:rsid w:val="5825158A"/>
    <w:rsid w:val="58620DE6"/>
    <w:rsid w:val="59690D17"/>
    <w:rsid w:val="5D946FF0"/>
    <w:rsid w:val="5DAA07BC"/>
    <w:rsid w:val="5F1166EB"/>
    <w:rsid w:val="601B6F8F"/>
    <w:rsid w:val="60BC10B0"/>
    <w:rsid w:val="624F21D4"/>
    <w:rsid w:val="62CF6005"/>
    <w:rsid w:val="63187C59"/>
    <w:rsid w:val="64CC0858"/>
    <w:rsid w:val="64E97D5C"/>
    <w:rsid w:val="65206DF6"/>
    <w:rsid w:val="653A7EB8"/>
    <w:rsid w:val="657038D9"/>
    <w:rsid w:val="657B4CAC"/>
    <w:rsid w:val="66B65112"/>
    <w:rsid w:val="66CA1F52"/>
    <w:rsid w:val="677F5E63"/>
    <w:rsid w:val="697E3E6E"/>
    <w:rsid w:val="69E932A0"/>
    <w:rsid w:val="6A274783"/>
    <w:rsid w:val="6A711BCD"/>
    <w:rsid w:val="6BA831E9"/>
    <w:rsid w:val="6C30101D"/>
    <w:rsid w:val="6C3C2767"/>
    <w:rsid w:val="6E586BF7"/>
    <w:rsid w:val="6E843F52"/>
    <w:rsid w:val="6E9543B1"/>
    <w:rsid w:val="708B2649"/>
    <w:rsid w:val="72AB6FCF"/>
    <w:rsid w:val="72D66F42"/>
    <w:rsid w:val="731E366D"/>
    <w:rsid w:val="73C17E66"/>
    <w:rsid w:val="740F250F"/>
    <w:rsid w:val="74A01621"/>
    <w:rsid w:val="758354E5"/>
    <w:rsid w:val="75E872D1"/>
    <w:rsid w:val="76000240"/>
    <w:rsid w:val="765B6917"/>
    <w:rsid w:val="77984443"/>
    <w:rsid w:val="77B30181"/>
    <w:rsid w:val="77BF00A7"/>
    <w:rsid w:val="79674B9C"/>
    <w:rsid w:val="79C94C70"/>
    <w:rsid w:val="7B0F4B65"/>
    <w:rsid w:val="7E2A5AD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kern w:val="2"/>
      <w:sz w:val="24"/>
      <w:szCs w:val="24"/>
      <w:lang w:val="en-US" w:eastAsia="zh-CN" w:bidi="ar-SA"/>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Body Text"/>
    <w:basedOn w:val="1"/>
    <w:next w:val="1"/>
    <w:unhideWhenUsed/>
    <w:qFormat/>
    <w:uiPriority w:val="99"/>
    <w:pPr>
      <w:spacing w:after="120"/>
    </w:pPr>
  </w:style>
  <w:style w:type="paragraph" w:styleId="4">
    <w:name w:val="Body Text Indent"/>
    <w:basedOn w:val="1"/>
    <w:link w:val="14"/>
    <w:qFormat/>
    <w:uiPriority w:val="99"/>
    <w:pPr>
      <w:widowControl w:val="0"/>
      <w:spacing w:beforeLines="100" w:afterLines="50" w:line="360" w:lineRule="auto"/>
      <w:ind w:firstLine="480" w:firstLineChars="200"/>
      <w:jc w:val="both"/>
    </w:pPr>
    <w:rPr>
      <w:kern w:val="0"/>
    </w:rPr>
  </w:style>
  <w:style w:type="paragraph" w:styleId="5">
    <w:name w:val="Body Text Indent 2"/>
    <w:basedOn w:val="1"/>
    <w:link w:val="24"/>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8"/>
    <w:qFormat/>
    <w:uiPriority w:val="99"/>
    <w:pPr>
      <w:tabs>
        <w:tab w:val="center" w:pos="4153"/>
        <w:tab w:val="right" w:pos="8306"/>
      </w:tabs>
      <w:snapToGrid w:val="0"/>
    </w:pPr>
    <w:rPr>
      <w:kern w:val="0"/>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kern w:val="0"/>
      <w:sz w:val="18"/>
      <w:szCs w:val="18"/>
    </w:rPr>
  </w:style>
  <w:style w:type="paragraph" w:styleId="9">
    <w:name w:val="Normal (Web)"/>
    <w:basedOn w:val="1"/>
    <w:qFormat/>
    <w:uiPriority w:val="99"/>
    <w:pPr>
      <w:spacing w:before="100" w:beforeAutospacing="1" w:after="100" w:afterAutospacing="1"/>
    </w:pPr>
    <w:rPr>
      <w:rFonts w:ascii="宋体" w:hAnsi="宋体" w:cs="宋体"/>
    </w:rPr>
  </w:style>
  <w:style w:type="paragraph" w:styleId="10">
    <w:name w:val="Body Text First Indent"/>
    <w:basedOn w:val="3"/>
    <w:qFormat/>
    <w:uiPriority w:val="0"/>
    <w:pPr>
      <w:ind w:firstLine="420" w:firstLineChars="100"/>
    </w:pPr>
  </w:style>
  <w:style w:type="character" w:styleId="13">
    <w:name w:val="page number"/>
    <w:qFormat/>
    <w:uiPriority w:val="99"/>
    <w:rPr>
      <w:rFonts w:cs="Times New Roman"/>
    </w:rPr>
  </w:style>
  <w:style w:type="character" w:customStyle="1" w:styleId="14">
    <w:name w:val="正文文本缩进 字符"/>
    <w:link w:val="4"/>
    <w:qFormat/>
    <w:locked/>
    <w:uiPriority w:val="99"/>
    <w:rPr>
      <w:rFonts w:ascii="Times New Roman" w:hAnsi="Times New Roman" w:eastAsia="宋体" w:cs="Times New Roman"/>
      <w:sz w:val="24"/>
      <w:szCs w:val="24"/>
    </w:rPr>
  </w:style>
  <w:style w:type="paragraph" w:customStyle="1" w:styleId="15">
    <w:name w:val="reader-word-layer reader-word-s3-2"/>
    <w:basedOn w:val="1"/>
    <w:qFormat/>
    <w:uiPriority w:val="99"/>
    <w:pPr>
      <w:spacing w:before="100" w:beforeAutospacing="1" w:after="100" w:afterAutospacing="1"/>
    </w:pPr>
    <w:rPr>
      <w:rFonts w:ascii="宋体" w:hAnsi="宋体" w:cs="宋体"/>
    </w:rPr>
  </w:style>
  <w:style w:type="paragraph" w:customStyle="1" w:styleId="16">
    <w:name w:val="reader-word-layer reader-word-s5-9"/>
    <w:basedOn w:val="1"/>
    <w:qFormat/>
    <w:uiPriority w:val="99"/>
    <w:pPr>
      <w:spacing w:before="100" w:beforeAutospacing="1" w:after="100" w:afterAutospacing="1"/>
    </w:pPr>
    <w:rPr>
      <w:rFonts w:ascii="宋体" w:hAnsi="宋体" w:cs="宋体"/>
    </w:rPr>
  </w:style>
  <w:style w:type="paragraph" w:customStyle="1" w:styleId="17">
    <w:name w:val="reader-word-layer reader-word-s3-1"/>
    <w:basedOn w:val="1"/>
    <w:qFormat/>
    <w:uiPriority w:val="99"/>
    <w:pPr>
      <w:spacing w:before="100" w:beforeAutospacing="1" w:after="100" w:afterAutospacing="1"/>
    </w:pPr>
    <w:rPr>
      <w:rFonts w:ascii="宋体" w:hAnsi="宋体" w:cs="宋体"/>
    </w:rPr>
  </w:style>
  <w:style w:type="character" w:customStyle="1" w:styleId="18">
    <w:name w:val="页脚 字符"/>
    <w:link w:val="7"/>
    <w:semiHidden/>
    <w:qFormat/>
    <w:locked/>
    <w:uiPriority w:val="99"/>
    <w:rPr>
      <w:rFonts w:ascii="Times New Roman" w:hAnsi="Times New Roman" w:cs="Times New Roman"/>
      <w:sz w:val="18"/>
      <w:szCs w:val="18"/>
    </w:rPr>
  </w:style>
  <w:style w:type="paragraph" w:customStyle="1" w:styleId="19">
    <w:name w:val="p0"/>
    <w:basedOn w:val="1"/>
    <w:qFormat/>
    <w:uiPriority w:val="99"/>
    <w:pPr>
      <w:spacing w:before="100" w:beforeAutospacing="1" w:after="100" w:afterAutospacing="1"/>
    </w:pPr>
    <w:rPr>
      <w:rFonts w:ascii="宋体" w:hAnsi="宋体" w:cs="宋体"/>
    </w:rPr>
  </w:style>
  <w:style w:type="character" w:customStyle="1" w:styleId="20">
    <w:name w:val="页眉 字符"/>
    <w:link w:val="8"/>
    <w:qFormat/>
    <w:locked/>
    <w:uiPriority w:val="99"/>
    <w:rPr>
      <w:rFonts w:ascii="Times New Roman" w:hAnsi="Times New Roman" w:cs="Times New Roman"/>
      <w:sz w:val="18"/>
      <w:szCs w:val="18"/>
    </w:rPr>
  </w:style>
  <w:style w:type="character" w:customStyle="1" w:styleId="21">
    <w:name w:val="批注框文本 字符"/>
    <w:link w:val="6"/>
    <w:semiHidden/>
    <w:qFormat/>
    <w:uiPriority w:val="99"/>
    <w:rPr>
      <w:rFonts w:ascii="Times New Roman" w:hAnsi="Times New Roman" w:cs="Times New Roman"/>
      <w:kern w:val="2"/>
      <w:sz w:val="18"/>
      <w:szCs w:val="18"/>
    </w:rPr>
  </w:style>
  <w:style w:type="paragraph" w:customStyle="1" w:styleId="22">
    <w:name w:val="修订1"/>
    <w:hidden/>
    <w:semiHidden/>
    <w:qFormat/>
    <w:uiPriority w:val="99"/>
    <w:rPr>
      <w:rFonts w:ascii="Times New Roman" w:hAnsi="Times New Roman" w:eastAsia="宋体" w:cs="Times New Roman"/>
      <w:kern w:val="2"/>
      <w:sz w:val="24"/>
      <w:szCs w:val="24"/>
      <w:lang w:val="en-US" w:eastAsia="zh-CN" w:bidi="ar-SA"/>
    </w:rPr>
  </w:style>
  <w:style w:type="paragraph" w:customStyle="1" w:styleId="23">
    <w:name w:val="文一"/>
    <w:basedOn w:val="1"/>
    <w:qFormat/>
    <w:uiPriority w:val="0"/>
    <w:pPr>
      <w:topLinePunct/>
      <w:snapToGrid w:val="0"/>
      <w:spacing w:line="360" w:lineRule="auto"/>
      <w:ind w:firstLine="200" w:firstLineChars="200"/>
    </w:pPr>
    <w:rPr>
      <w:snapToGrid w:val="0"/>
      <w:spacing w:val="4"/>
    </w:rPr>
  </w:style>
  <w:style w:type="character" w:customStyle="1" w:styleId="24">
    <w:name w:val="正文文本缩进 2 字符"/>
    <w:basedOn w:val="12"/>
    <w:link w:val="5"/>
    <w:semiHidden/>
    <w:uiPriority w:val="99"/>
    <w:rPr>
      <w:kern w:val="2"/>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60000" r="100000" b="200000"/>
          </a:path>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8EDEB-2025-45AA-9FFD-B247C7F31120}">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2112</Words>
  <Characters>12045</Characters>
  <Lines>100</Lines>
  <Paragraphs>28</Paragraphs>
  <TotalTime>78</TotalTime>
  <ScaleCrop>false</ScaleCrop>
  <LinksUpToDate>false</LinksUpToDate>
  <CharactersWithSpaces>14129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2016-11-18T08:47:00Z</dcterms:created>
  <dc:creator>a668</dc:creator>
  <cp:lastModifiedBy>GX</cp:lastModifiedBy>
  <cp:lastPrinted>2022-01-07T03:56:00Z</cp:lastPrinted>
  <dcterms:modified xsi:type="dcterms:W3CDTF">2023-11-09T08:58:48Z</dcterms:modified>
  <dc:title>金沙洲B3726E01、B3730E01地块</dc:title>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FFB9143B308444D3A99DE7375F7737A7_13</vt:lpwstr>
  </property>
</Properties>
</file>