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楷体_GB2312"/>
          <w:b/>
          <w:bCs/>
          <w:color w:val="auto"/>
          <w:spacing w:val="26"/>
          <w:sz w:val="56"/>
          <w:szCs w:val="56"/>
          <w:highlight w:val="none"/>
        </w:rPr>
      </w:pPr>
    </w:p>
    <w:p>
      <w:pPr>
        <w:spacing w:line="360" w:lineRule="auto"/>
        <w:jc w:val="center"/>
        <w:rPr>
          <w:rFonts w:hint="eastAsia" w:ascii="宋体" w:hAnsi="宋体" w:eastAsia="宋体" w:cs="宋体"/>
          <w:b/>
          <w:bCs/>
          <w:color w:val="auto"/>
          <w:spacing w:val="26"/>
          <w:sz w:val="56"/>
          <w:szCs w:val="56"/>
          <w:highlight w:val="none"/>
          <w:lang w:eastAsia="zh-CN"/>
        </w:rPr>
      </w:pPr>
      <w:r>
        <w:rPr>
          <w:rFonts w:hint="eastAsia" w:ascii="宋体" w:hAnsi="宋体" w:cs="宋体"/>
          <w:b/>
          <w:bCs/>
          <w:color w:val="auto"/>
          <w:spacing w:val="26"/>
          <w:sz w:val="56"/>
          <w:szCs w:val="56"/>
          <w:highlight w:val="none"/>
          <w:lang w:eastAsia="zh-CN"/>
        </w:rPr>
        <w:t>花东镇中心幼儿园施工总承包</w:t>
      </w:r>
    </w:p>
    <w:p>
      <w:pPr>
        <w:spacing w:line="360" w:lineRule="auto"/>
        <w:jc w:val="center"/>
        <w:rPr>
          <w:rFonts w:eastAsia="楷体_GB2312"/>
          <w:b/>
          <w:bCs/>
          <w:color w:val="auto"/>
          <w:spacing w:val="26"/>
          <w:sz w:val="56"/>
          <w:szCs w:val="56"/>
          <w:highlight w:val="none"/>
        </w:rPr>
      </w:pPr>
    </w:p>
    <w:p>
      <w:pPr>
        <w:spacing w:line="360" w:lineRule="auto"/>
        <w:rPr>
          <w:rFonts w:eastAsia="楷体_GB2312"/>
          <w:b/>
          <w:bCs/>
          <w:color w:val="auto"/>
          <w:spacing w:val="26"/>
          <w:sz w:val="56"/>
          <w:szCs w:val="56"/>
          <w:highlight w:val="none"/>
        </w:rPr>
      </w:pPr>
    </w:p>
    <w:p>
      <w:pPr>
        <w:spacing w:line="360" w:lineRule="auto"/>
        <w:jc w:val="center"/>
        <w:rPr>
          <w:color w:val="auto"/>
          <w:sz w:val="36"/>
          <w:highlight w:val="none"/>
          <w:u w:val="single"/>
        </w:rPr>
      </w:pPr>
    </w:p>
    <w:p>
      <w:pPr>
        <w:spacing w:line="360" w:lineRule="auto"/>
        <w:jc w:val="center"/>
        <w:rPr>
          <w:color w:val="auto"/>
          <w:sz w:val="32"/>
          <w:highlight w:val="none"/>
        </w:rPr>
      </w:pPr>
      <w:r>
        <w:rPr>
          <w:rFonts w:hint="eastAsia" w:eastAsia="楷体_GB2312"/>
          <w:b/>
          <w:bCs/>
          <w:color w:val="auto"/>
          <w:spacing w:val="26"/>
          <w:sz w:val="110"/>
          <w:szCs w:val="110"/>
          <w:highlight w:val="none"/>
        </w:rPr>
        <w:t>招标文件</w:t>
      </w:r>
    </w:p>
    <w:p>
      <w:pPr>
        <w:spacing w:line="360" w:lineRule="auto"/>
        <w:rPr>
          <w:color w:val="auto"/>
          <w:sz w:val="5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广州市花都区花东镇人民政府</w:t>
      </w:r>
      <w:r>
        <w:rPr>
          <w:color w:val="auto"/>
          <w:sz w:val="30"/>
          <w:szCs w:val="30"/>
          <w:highlight w:val="none"/>
          <w:u w:val="single"/>
        </w:rPr>
        <w:t xml:space="preserve">   </w:t>
      </w:r>
      <w:r>
        <w:rPr>
          <w:rFonts w:hint="eastAsia"/>
          <w:color w:val="auto"/>
          <w:sz w:val="30"/>
          <w:szCs w:val="30"/>
          <w:highlight w:val="none"/>
          <w:u w:val="single"/>
        </w:rPr>
        <w:t xml:space="preserve">   </w:t>
      </w:r>
      <w:r>
        <w:rPr>
          <w:color w:val="auto"/>
          <w:sz w:val="30"/>
          <w:szCs w:val="30"/>
          <w:highlight w:val="none"/>
          <w:u w:val="single"/>
        </w:rPr>
        <w:t xml:space="preserve">     </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广州市广州工程建设监理有限公司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3</w:t>
      </w:r>
      <w:r>
        <w:rPr>
          <w:rFonts w:hint="eastAsia"/>
          <w:color w:val="auto"/>
          <w:sz w:val="32"/>
          <w:highlight w:val="none"/>
        </w:rPr>
        <w:t>年</w:t>
      </w:r>
      <w:r>
        <w:rPr>
          <w:rFonts w:hint="eastAsia"/>
          <w:color w:val="auto"/>
          <w:sz w:val="32"/>
          <w:highlight w:val="none"/>
          <w:u w:val="single"/>
        </w:rPr>
        <w:t xml:space="preserve">  </w:t>
      </w:r>
      <w:r>
        <w:rPr>
          <w:rFonts w:hint="eastAsia"/>
          <w:color w:val="auto"/>
          <w:sz w:val="32"/>
          <w:highlight w:val="none"/>
        </w:rPr>
        <w:t>月</w:t>
      </w:r>
      <w:r>
        <w:rPr>
          <w:rFonts w:hint="eastAsia"/>
          <w:color w:val="auto"/>
          <w:sz w:val="32"/>
          <w:highlight w:val="none"/>
          <w:u w:val="single"/>
        </w:rPr>
        <w:t xml:space="preserve">  </w:t>
      </w:r>
      <w:r>
        <w:rPr>
          <w:rFonts w:hint="eastAsia"/>
          <w:color w:val="auto"/>
          <w:sz w:val="32"/>
          <w:highlight w:val="none"/>
        </w:rPr>
        <w:t>日</w:t>
      </w:r>
    </w:p>
    <w:p>
      <w:pPr>
        <w:jc w:val="center"/>
        <w:rPr>
          <w:rStyle w:val="47"/>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720" w:num="1"/>
          <w:titlePg/>
          <w:docGrid w:type="lines" w:linePitch="312" w:charSpace="0"/>
        </w:sectPr>
      </w:pPr>
    </w:p>
    <w:p>
      <w:pPr>
        <w:jc w:val="center"/>
        <w:rPr>
          <w:rFonts w:ascii="宋体" w:hAnsi="宋体"/>
          <w:b/>
          <w:caps/>
          <w:color w:val="auto"/>
          <w:kern w:val="0"/>
          <w:highlight w:val="none"/>
        </w:rPr>
      </w:pPr>
      <w:r>
        <w:rPr>
          <w:rStyle w:val="47"/>
          <w:rFonts w:hint="eastAsia"/>
          <w:b/>
          <w:bCs/>
          <w:color w:val="auto"/>
          <w:sz w:val="28"/>
          <w:szCs w:val="28"/>
          <w:highlight w:val="none"/>
        </w:rPr>
        <w:t>目录</w:t>
      </w:r>
    </w:p>
    <w:p>
      <w:pPr>
        <w:pStyle w:val="28"/>
        <w:tabs>
          <w:tab w:val="right" w:leader="dot" w:pos="9070"/>
          <w:tab w:val="clear" w:pos="9060"/>
        </w:tabs>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highlight w:val="none"/>
        </w:rPr>
        <w:instrText xml:space="preserve"> HYPERLINK \l _Toc30213 </w:instrText>
      </w:r>
      <w:r>
        <w:rPr>
          <w:highlight w:val="none"/>
        </w:rPr>
        <w:fldChar w:fldCharType="separate"/>
      </w:r>
      <w:r>
        <w:rPr>
          <w:rFonts w:hint="eastAsia"/>
          <w:highlight w:val="none"/>
        </w:rPr>
        <w:t>第一章</w:t>
      </w:r>
      <w:r>
        <w:rPr>
          <w:highlight w:val="none"/>
        </w:rPr>
        <w:t xml:space="preserve">  </w:t>
      </w:r>
      <w:r>
        <w:rPr>
          <w:rFonts w:hint="eastAsia"/>
          <w:highlight w:val="none"/>
        </w:rPr>
        <w:t>投标须知</w:t>
      </w:r>
      <w:r>
        <w:tab/>
      </w:r>
      <w:r>
        <w:fldChar w:fldCharType="begin"/>
      </w:r>
      <w:r>
        <w:instrText xml:space="preserve"> PAGEREF _Toc30213 \h </w:instrText>
      </w:r>
      <w:r>
        <w:fldChar w:fldCharType="separate"/>
      </w:r>
      <w:r>
        <w:t>3</w:t>
      </w:r>
      <w:r>
        <w:fldChar w:fldCharType="end"/>
      </w:r>
      <w:r>
        <w:rPr>
          <w:color w:val="auto"/>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_Toc30605 </w:instrText>
      </w:r>
      <w:r>
        <w:rPr>
          <w:rFonts w:ascii="Arial" w:hAnsi="Arial"/>
          <w:kern w:val="44"/>
          <w:szCs w:val="28"/>
          <w:highlight w:val="none"/>
        </w:rPr>
        <w:fldChar w:fldCharType="separate"/>
      </w:r>
      <w:r>
        <w:rPr>
          <w:rFonts w:hint="eastAsia"/>
          <w:highlight w:val="none"/>
        </w:rPr>
        <w:t>一、投标须知前附表</w:t>
      </w:r>
      <w:r>
        <w:tab/>
      </w:r>
      <w:r>
        <w:fldChar w:fldCharType="begin"/>
      </w:r>
      <w:r>
        <w:instrText xml:space="preserve"> PAGEREF _Toc30605 \h </w:instrText>
      </w:r>
      <w:r>
        <w:fldChar w:fldCharType="separate"/>
      </w:r>
      <w:r>
        <w:t>3</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_Toc32338 </w:instrText>
      </w:r>
      <w:r>
        <w:rPr>
          <w:rFonts w:ascii="Arial" w:hAnsi="Arial"/>
          <w:kern w:val="44"/>
          <w:szCs w:val="28"/>
          <w:highlight w:val="none"/>
        </w:rPr>
        <w:fldChar w:fldCharType="separate"/>
      </w:r>
      <w:r>
        <w:rPr>
          <w:rFonts w:hint="eastAsia" w:ascii="Arial" w:hAnsi="Arial"/>
          <w:kern w:val="0"/>
          <w:szCs w:val="24"/>
          <w:highlight w:val="none"/>
        </w:rPr>
        <w:t>二、投标须知修改表</w:t>
      </w:r>
      <w:r>
        <w:tab/>
      </w:r>
      <w:r>
        <w:fldChar w:fldCharType="begin"/>
      </w:r>
      <w:r>
        <w:instrText xml:space="preserve"> PAGEREF _Toc32338 \h </w:instrText>
      </w:r>
      <w:r>
        <w:fldChar w:fldCharType="separate"/>
      </w:r>
      <w:r>
        <w:t>7</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_Toc26392 </w:instrText>
      </w:r>
      <w:r>
        <w:rPr>
          <w:rFonts w:ascii="Arial" w:hAnsi="Arial"/>
          <w:kern w:val="44"/>
          <w:szCs w:val="28"/>
          <w:highlight w:val="none"/>
        </w:rPr>
        <w:fldChar w:fldCharType="separate"/>
      </w:r>
      <w:r>
        <w:rPr>
          <w:rFonts w:hint="eastAsia" w:ascii="宋体" w:hAnsi="宋体" w:eastAsia="宋体" w:cs="宋体"/>
        </w:rPr>
        <w:t>三、投标须知通用条款</w:t>
      </w:r>
      <w:r>
        <w:tab/>
      </w:r>
      <w:r>
        <w:fldChar w:fldCharType="begin"/>
      </w:r>
      <w:r>
        <w:instrText xml:space="preserve"> PAGEREF _Toc26392 \h </w:instrText>
      </w:r>
      <w:r>
        <w:fldChar w:fldCharType="separate"/>
      </w:r>
      <w:r>
        <w:t>17</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_Toc6132 </w:instrText>
      </w:r>
      <w:r>
        <w:rPr>
          <w:rFonts w:ascii="Arial" w:hAnsi="Arial"/>
          <w:kern w:val="44"/>
          <w:szCs w:val="28"/>
          <w:highlight w:val="none"/>
        </w:rPr>
        <w:fldChar w:fldCharType="separate"/>
      </w:r>
      <w:r>
        <w:rPr>
          <w:rFonts w:hint="eastAsia" w:ascii="宋体" w:hAnsi="宋体" w:eastAsia="宋体" w:cs="宋体"/>
        </w:rPr>
        <w:t>（一）总则</w:t>
      </w:r>
      <w:r>
        <w:tab/>
      </w:r>
      <w:r>
        <w:fldChar w:fldCharType="begin"/>
      </w:r>
      <w:r>
        <w:instrText xml:space="preserve"> PAGEREF _Toc6132 \h </w:instrText>
      </w:r>
      <w:r>
        <w:fldChar w:fldCharType="separate"/>
      </w:r>
      <w:r>
        <w:t>17</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_Toc23686 </w:instrText>
      </w:r>
      <w:r>
        <w:rPr>
          <w:rFonts w:ascii="Arial" w:hAnsi="Arial"/>
          <w:kern w:val="44"/>
          <w:szCs w:val="28"/>
          <w:highlight w:val="none"/>
        </w:rPr>
        <w:fldChar w:fldCharType="separate"/>
      </w:r>
      <w:r>
        <w:rPr>
          <w:rFonts w:hint="eastAsia" w:ascii="宋体" w:hAnsi="宋体" w:eastAsia="宋体" w:cs="宋体"/>
        </w:rPr>
        <w:t>（二）招标文件</w:t>
      </w:r>
      <w:r>
        <w:tab/>
      </w:r>
      <w:r>
        <w:fldChar w:fldCharType="begin"/>
      </w:r>
      <w:r>
        <w:instrText xml:space="preserve"> PAGEREF _Toc23686 \h </w:instrText>
      </w:r>
      <w:r>
        <w:fldChar w:fldCharType="separate"/>
      </w:r>
      <w:r>
        <w:t>18</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_Toc32594 </w:instrText>
      </w:r>
      <w:r>
        <w:rPr>
          <w:rFonts w:ascii="Arial" w:hAnsi="Arial"/>
          <w:kern w:val="44"/>
          <w:szCs w:val="28"/>
          <w:highlight w:val="none"/>
        </w:rPr>
        <w:fldChar w:fldCharType="separate"/>
      </w:r>
      <w:r>
        <w:rPr>
          <w:rFonts w:hint="eastAsia" w:ascii="宋体" w:hAnsi="宋体" w:eastAsia="宋体" w:cs="宋体"/>
        </w:rPr>
        <w:t>（三）投标文件的编制</w:t>
      </w:r>
      <w:r>
        <w:tab/>
      </w:r>
      <w:r>
        <w:fldChar w:fldCharType="begin"/>
      </w:r>
      <w:r>
        <w:instrText xml:space="preserve"> PAGEREF _Toc32594 \h </w:instrText>
      </w:r>
      <w:r>
        <w:fldChar w:fldCharType="separate"/>
      </w:r>
      <w:r>
        <w:t>19</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_Toc9111 </w:instrText>
      </w:r>
      <w:r>
        <w:rPr>
          <w:rFonts w:ascii="Arial" w:hAnsi="Arial"/>
          <w:kern w:val="44"/>
          <w:szCs w:val="28"/>
          <w:highlight w:val="none"/>
        </w:rPr>
        <w:fldChar w:fldCharType="separate"/>
      </w:r>
      <w:r>
        <w:rPr>
          <w:rFonts w:hint="eastAsia" w:ascii="宋体" w:hAnsi="宋体" w:eastAsia="宋体" w:cs="宋体"/>
        </w:rPr>
        <w:t>（四）投标文件的提交</w:t>
      </w:r>
      <w:r>
        <w:tab/>
      </w:r>
      <w:r>
        <w:fldChar w:fldCharType="begin"/>
      </w:r>
      <w:r>
        <w:instrText xml:space="preserve"> PAGEREF _Toc9111 \h </w:instrText>
      </w:r>
      <w:r>
        <w:fldChar w:fldCharType="separate"/>
      </w:r>
      <w:r>
        <w:t>26</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_Toc13881 </w:instrText>
      </w:r>
      <w:r>
        <w:rPr>
          <w:rFonts w:ascii="Arial" w:hAnsi="Arial"/>
          <w:kern w:val="44"/>
          <w:szCs w:val="28"/>
          <w:highlight w:val="none"/>
        </w:rPr>
        <w:fldChar w:fldCharType="separate"/>
      </w:r>
      <w:r>
        <w:rPr>
          <w:rFonts w:hint="eastAsia" w:ascii="宋体" w:hAnsi="宋体" w:eastAsia="宋体" w:cs="宋体"/>
        </w:rPr>
        <w:t>（五）开标、评标、定标及合同签定</w:t>
      </w:r>
      <w:r>
        <w:tab/>
      </w:r>
      <w:r>
        <w:fldChar w:fldCharType="begin"/>
      </w:r>
      <w:r>
        <w:instrText xml:space="preserve"> PAGEREF _Toc13881 \h </w:instrText>
      </w:r>
      <w:r>
        <w:fldChar w:fldCharType="separate"/>
      </w:r>
      <w:r>
        <w:t>27</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_Toc20404 </w:instrText>
      </w:r>
      <w:r>
        <w:rPr>
          <w:rFonts w:ascii="Arial" w:hAnsi="Arial"/>
          <w:kern w:val="44"/>
          <w:szCs w:val="28"/>
          <w:highlight w:val="none"/>
        </w:rPr>
        <w:fldChar w:fldCharType="separate"/>
      </w:r>
      <w:r>
        <w:rPr>
          <w:rFonts w:hint="eastAsia"/>
          <w:bCs/>
          <w:highlight w:val="none"/>
        </w:rPr>
        <w:t>第二章</w:t>
      </w:r>
      <w:r>
        <w:rPr>
          <w:bCs/>
          <w:highlight w:val="none"/>
        </w:rPr>
        <w:t xml:space="preserve">  </w:t>
      </w:r>
      <w:r>
        <w:rPr>
          <w:rFonts w:hint="eastAsia"/>
          <w:bCs/>
          <w:highlight w:val="none"/>
        </w:rPr>
        <w:t>开标、评标及定标办法</w:t>
      </w:r>
      <w:r>
        <w:tab/>
      </w:r>
      <w:r>
        <w:fldChar w:fldCharType="begin"/>
      </w:r>
      <w:r>
        <w:instrText xml:space="preserve"> PAGEREF _Toc20404 \h </w:instrText>
      </w:r>
      <w:r>
        <w:fldChar w:fldCharType="separate"/>
      </w:r>
      <w:r>
        <w:t>30</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_Toc24596 </w:instrText>
      </w:r>
      <w:r>
        <w:rPr>
          <w:rFonts w:ascii="Arial" w:hAnsi="Arial"/>
          <w:kern w:val="44"/>
          <w:szCs w:val="28"/>
          <w:highlight w:val="none"/>
        </w:rPr>
        <w:fldChar w:fldCharType="separate"/>
      </w:r>
      <w:r>
        <w:rPr>
          <w:rFonts w:hint="eastAsia"/>
          <w:szCs w:val="28"/>
          <w:highlight w:val="none"/>
        </w:rPr>
        <w:t>一、</w:t>
      </w:r>
      <w:r>
        <w:rPr>
          <w:rFonts w:hint="eastAsia"/>
          <w:highlight w:val="none"/>
        </w:rPr>
        <w:t>开标、评标及定标办法修改表</w:t>
      </w:r>
      <w:r>
        <w:tab/>
      </w:r>
      <w:r>
        <w:fldChar w:fldCharType="begin"/>
      </w:r>
      <w:r>
        <w:instrText xml:space="preserve"> PAGEREF _Toc24596 \h </w:instrText>
      </w:r>
      <w:r>
        <w:fldChar w:fldCharType="separate"/>
      </w:r>
      <w:r>
        <w:t>30</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_Toc26030 </w:instrText>
      </w:r>
      <w:r>
        <w:rPr>
          <w:rFonts w:ascii="Arial" w:hAnsi="Arial"/>
          <w:kern w:val="44"/>
          <w:szCs w:val="28"/>
          <w:highlight w:val="none"/>
        </w:rPr>
        <w:fldChar w:fldCharType="separate"/>
      </w:r>
      <w:r>
        <w:rPr>
          <w:rFonts w:hint="eastAsia"/>
          <w:highlight w:val="none"/>
        </w:rPr>
        <w:t>二、开标、评标及定标办法</w:t>
      </w:r>
      <w:r>
        <w:rPr>
          <w:rFonts w:hint="eastAsia"/>
          <w:szCs w:val="30"/>
          <w:highlight w:val="none"/>
        </w:rPr>
        <w:t>通用条款</w:t>
      </w:r>
      <w:r>
        <w:tab/>
      </w:r>
      <w:r>
        <w:fldChar w:fldCharType="begin"/>
      </w:r>
      <w:r>
        <w:instrText xml:space="preserve"> PAGEREF _Toc26030 \h </w:instrText>
      </w:r>
      <w:r>
        <w:fldChar w:fldCharType="separate"/>
      </w:r>
      <w:r>
        <w:t>37</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_Toc2333 </w:instrText>
      </w:r>
      <w:r>
        <w:rPr>
          <w:rFonts w:ascii="Arial" w:hAnsi="Arial"/>
          <w:kern w:val="44"/>
          <w:szCs w:val="28"/>
          <w:highlight w:val="none"/>
        </w:rPr>
        <w:fldChar w:fldCharType="separate"/>
      </w:r>
      <w:r>
        <w:rPr>
          <w:rFonts w:hint="eastAsia"/>
          <w:szCs w:val="32"/>
          <w:highlight w:val="none"/>
        </w:rPr>
        <w:t>资格审查表</w:t>
      </w:r>
      <w:r>
        <w:tab/>
      </w:r>
      <w:r>
        <w:fldChar w:fldCharType="begin"/>
      </w:r>
      <w:r>
        <w:instrText xml:space="preserve"> PAGEREF _Toc2333 \h </w:instrText>
      </w:r>
      <w:r>
        <w:fldChar w:fldCharType="separate"/>
      </w:r>
      <w:r>
        <w:t>45</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_Toc14534 </w:instrText>
      </w:r>
      <w:r>
        <w:rPr>
          <w:rFonts w:ascii="Arial" w:hAnsi="Arial"/>
          <w:kern w:val="44"/>
          <w:szCs w:val="28"/>
          <w:highlight w:val="none"/>
        </w:rPr>
        <w:fldChar w:fldCharType="separate"/>
      </w:r>
      <w:r>
        <w:rPr>
          <w:rFonts w:hint="eastAsia"/>
          <w:szCs w:val="36"/>
          <w:highlight w:val="none"/>
        </w:rPr>
        <w:t>技术标有效性审查表</w:t>
      </w:r>
      <w:r>
        <w:tab/>
      </w:r>
      <w:r>
        <w:fldChar w:fldCharType="begin"/>
      </w:r>
      <w:r>
        <w:instrText xml:space="preserve"> PAGEREF _Toc14534 \h </w:instrText>
      </w:r>
      <w:r>
        <w:fldChar w:fldCharType="separate"/>
      </w:r>
      <w:r>
        <w:t>47</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_Toc30681 </w:instrText>
      </w:r>
      <w:r>
        <w:rPr>
          <w:rFonts w:ascii="Arial" w:hAnsi="Arial"/>
          <w:kern w:val="44"/>
          <w:szCs w:val="28"/>
          <w:highlight w:val="none"/>
        </w:rPr>
        <w:fldChar w:fldCharType="separate"/>
      </w:r>
      <w:r>
        <w:rPr>
          <w:rFonts w:hint="eastAsia"/>
          <w:szCs w:val="36"/>
          <w:highlight w:val="none"/>
        </w:rPr>
        <w:t>经济标有效性审查表</w:t>
      </w:r>
      <w:r>
        <w:tab/>
      </w:r>
      <w:r>
        <w:fldChar w:fldCharType="begin"/>
      </w:r>
      <w:r>
        <w:instrText xml:space="preserve"> PAGEREF _Toc30681 \h </w:instrText>
      </w:r>
      <w:r>
        <w:fldChar w:fldCharType="separate"/>
      </w:r>
      <w:r>
        <w:t>48</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_Toc15528 </w:instrText>
      </w:r>
      <w:r>
        <w:rPr>
          <w:rFonts w:ascii="Arial" w:hAnsi="Arial"/>
          <w:kern w:val="44"/>
          <w:szCs w:val="28"/>
          <w:highlight w:val="none"/>
        </w:rPr>
        <w:fldChar w:fldCharType="separate"/>
      </w:r>
      <w:r>
        <w:rPr>
          <w:rFonts w:hint="eastAsia" w:ascii="宋体" w:hAnsi="宋体"/>
          <w:szCs w:val="36"/>
          <w:highlight w:val="none"/>
        </w:rPr>
        <w:t>技术标详细审查评分表</w:t>
      </w:r>
      <w:r>
        <w:tab/>
      </w:r>
      <w:r>
        <w:fldChar w:fldCharType="begin"/>
      </w:r>
      <w:r>
        <w:instrText xml:space="preserve"> PAGEREF _Toc15528 \h </w:instrText>
      </w:r>
      <w:r>
        <w:fldChar w:fldCharType="separate"/>
      </w:r>
      <w:r>
        <w:t>49</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_Toc25493 </w:instrText>
      </w:r>
      <w:r>
        <w:rPr>
          <w:rFonts w:ascii="Arial" w:hAnsi="Arial"/>
          <w:kern w:val="44"/>
          <w:szCs w:val="28"/>
          <w:highlight w:val="none"/>
        </w:rPr>
        <w:fldChar w:fldCharType="separate"/>
      </w:r>
      <w:r>
        <w:rPr>
          <w:rFonts w:hint="eastAsia"/>
          <w:szCs w:val="36"/>
          <w:highlight w:val="none"/>
        </w:rPr>
        <w:t>经济标评分表</w:t>
      </w:r>
      <w:r>
        <w:tab/>
      </w:r>
      <w:r>
        <w:fldChar w:fldCharType="begin"/>
      </w:r>
      <w:r>
        <w:instrText xml:space="preserve"> PAGEREF _Toc25493 \h </w:instrText>
      </w:r>
      <w:r>
        <w:fldChar w:fldCharType="separate"/>
      </w:r>
      <w:r>
        <w:t>51</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_Toc23671 </w:instrText>
      </w:r>
      <w:r>
        <w:rPr>
          <w:rFonts w:ascii="Arial" w:hAnsi="Arial"/>
          <w:kern w:val="44"/>
          <w:szCs w:val="28"/>
          <w:highlight w:val="none"/>
        </w:rPr>
        <w:fldChar w:fldCharType="separate"/>
      </w:r>
      <w:r>
        <w:rPr>
          <w:rFonts w:hint="eastAsia"/>
          <w:szCs w:val="36"/>
          <w:highlight w:val="none"/>
        </w:rPr>
        <w:t>算术复核表</w:t>
      </w:r>
      <w:r>
        <w:tab/>
      </w:r>
      <w:r>
        <w:fldChar w:fldCharType="begin"/>
      </w:r>
      <w:r>
        <w:instrText xml:space="preserve"> PAGEREF _Toc23671 \h </w:instrText>
      </w:r>
      <w:r>
        <w:fldChar w:fldCharType="separate"/>
      </w:r>
      <w:r>
        <w:t>52</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_Toc32710 </w:instrText>
      </w:r>
      <w:r>
        <w:rPr>
          <w:rFonts w:ascii="Arial" w:hAnsi="Arial"/>
          <w:kern w:val="44"/>
          <w:szCs w:val="28"/>
          <w:highlight w:val="none"/>
        </w:rPr>
        <w:fldChar w:fldCharType="separate"/>
      </w:r>
      <w:r>
        <w:rPr>
          <w:rFonts w:hint="eastAsia"/>
          <w:highlight w:val="none"/>
        </w:rPr>
        <w:t>第三章</w:t>
      </w:r>
      <w:r>
        <w:rPr>
          <w:highlight w:val="none"/>
        </w:rPr>
        <w:t xml:space="preserve">  </w:t>
      </w:r>
      <w:r>
        <w:rPr>
          <w:rFonts w:hint="eastAsia"/>
          <w:highlight w:val="none"/>
        </w:rPr>
        <w:t>合同条款</w:t>
      </w:r>
      <w:r>
        <w:tab/>
      </w:r>
      <w:r>
        <w:fldChar w:fldCharType="begin"/>
      </w:r>
      <w:r>
        <w:instrText xml:space="preserve"> PAGEREF _Toc32710 \h </w:instrText>
      </w:r>
      <w:r>
        <w:fldChar w:fldCharType="separate"/>
      </w:r>
      <w:r>
        <w:t>54</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_Toc10025 </w:instrText>
      </w:r>
      <w:r>
        <w:rPr>
          <w:rFonts w:ascii="Arial" w:hAnsi="Arial"/>
          <w:kern w:val="44"/>
          <w:szCs w:val="28"/>
          <w:highlight w:val="none"/>
        </w:rPr>
        <w:fldChar w:fldCharType="separate"/>
      </w:r>
      <w:r>
        <w:rPr>
          <w:rFonts w:hint="eastAsia"/>
          <w:highlight w:val="none"/>
        </w:rPr>
        <w:t>第四章  投标文件格式</w:t>
      </w:r>
      <w:r>
        <w:tab/>
      </w:r>
      <w:r>
        <w:fldChar w:fldCharType="begin"/>
      </w:r>
      <w:r>
        <w:instrText xml:space="preserve"> PAGEREF _Toc10025 \h </w:instrText>
      </w:r>
      <w:r>
        <w:fldChar w:fldCharType="separate"/>
      </w:r>
      <w:r>
        <w:t>55</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_Toc2940 </w:instrText>
      </w:r>
      <w:r>
        <w:rPr>
          <w:rFonts w:ascii="Arial" w:hAnsi="Arial"/>
          <w:kern w:val="44"/>
          <w:szCs w:val="28"/>
          <w:highlight w:val="none"/>
        </w:rPr>
        <w:fldChar w:fldCharType="separate"/>
      </w:r>
      <w:r>
        <w:rPr>
          <w:rFonts w:hint="eastAsia" w:ascii="宋体" w:hAnsi="宋体" w:cs="宋体"/>
          <w:bCs/>
          <w:szCs w:val="36"/>
          <w:highlight w:val="none"/>
        </w:rPr>
        <w:t>一、技术标投标文件格式</w:t>
      </w:r>
      <w:r>
        <w:tab/>
      </w:r>
      <w:r>
        <w:fldChar w:fldCharType="begin"/>
      </w:r>
      <w:r>
        <w:instrText xml:space="preserve"> PAGEREF _Toc2940 \h </w:instrText>
      </w:r>
      <w:r>
        <w:fldChar w:fldCharType="separate"/>
      </w:r>
      <w:r>
        <w:t>56</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_Toc25533 </w:instrText>
      </w:r>
      <w:r>
        <w:rPr>
          <w:rFonts w:ascii="Arial" w:hAnsi="Arial"/>
          <w:kern w:val="44"/>
          <w:szCs w:val="28"/>
          <w:highlight w:val="none"/>
        </w:rPr>
        <w:fldChar w:fldCharType="separate"/>
      </w:r>
      <w:r>
        <w:rPr>
          <w:rFonts w:hint="eastAsia" w:ascii="宋体" w:hAnsi="宋体" w:cs="宋体"/>
          <w:highlight w:val="none"/>
        </w:rPr>
        <w:t>格式一：技术标投标文件封面</w:t>
      </w:r>
      <w:r>
        <w:tab/>
      </w:r>
      <w:r>
        <w:fldChar w:fldCharType="begin"/>
      </w:r>
      <w:r>
        <w:instrText xml:space="preserve"> PAGEREF _Toc25533 \h </w:instrText>
      </w:r>
      <w:r>
        <w:fldChar w:fldCharType="separate"/>
      </w:r>
      <w:r>
        <w:t>57</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_Toc19777 </w:instrText>
      </w:r>
      <w:r>
        <w:rPr>
          <w:rFonts w:ascii="Arial" w:hAnsi="Arial"/>
          <w:kern w:val="44"/>
          <w:szCs w:val="28"/>
          <w:highlight w:val="none"/>
        </w:rPr>
        <w:fldChar w:fldCharType="separate"/>
      </w:r>
      <w:r>
        <w:rPr>
          <w:rFonts w:hint="eastAsia"/>
          <w:highlight w:val="none"/>
        </w:rPr>
        <w:t>格式二：广州建设工程施工招标投标书</w:t>
      </w:r>
      <w:r>
        <w:tab/>
      </w:r>
      <w:r>
        <w:fldChar w:fldCharType="begin"/>
      </w:r>
      <w:r>
        <w:instrText xml:space="preserve"> PAGEREF _Toc19777 \h </w:instrText>
      </w:r>
      <w:r>
        <w:fldChar w:fldCharType="separate"/>
      </w:r>
      <w:r>
        <w:t>58</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_Toc29706 </w:instrText>
      </w:r>
      <w:r>
        <w:rPr>
          <w:rFonts w:ascii="Arial" w:hAnsi="Arial"/>
          <w:kern w:val="44"/>
          <w:szCs w:val="28"/>
          <w:highlight w:val="none"/>
        </w:rPr>
        <w:fldChar w:fldCharType="separate"/>
      </w:r>
      <w:r>
        <w:rPr>
          <w:rFonts w:hint="eastAsia" w:ascii="Arial" w:hAnsi="Arial"/>
          <w:szCs w:val="24"/>
          <w:highlight w:val="none"/>
        </w:rPr>
        <w:t>格式三：施工项目管理团队人员信息表、主要人员简历表</w:t>
      </w:r>
      <w:r>
        <w:tab/>
      </w:r>
      <w:r>
        <w:fldChar w:fldCharType="begin"/>
      </w:r>
      <w:r>
        <w:instrText xml:space="preserve"> PAGEREF _Toc29706 \h </w:instrText>
      </w:r>
      <w:r>
        <w:fldChar w:fldCharType="separate"/>
      </w:r>
      <w:r>
        <w:t>59</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_Toc26399 </w:instrText>
      </w:r>
      <w:r>
        <w:rPr>
          <w:rFonts w:ascii="Arial" w:hAnsi="Arial"/>
          <w:kern w:val="44"/>
          <w:szCs w:val="28"/>
          <w:highlight w:val="none"/>
        </w:rPr>
        <w:fldChar w:fldCharType="separate"/>
      </w:r>
      <w:r>
        <w:rPr>
          <w:rFonts w:hint="eastAsia"/>
          <w:highlight w:val="none"/>
        </w:rPr>
        <w:t>格式四：投标函</w:t>
      </w:r>
      <w:r>
        <w:tab/>
      </w:r>
      <w:r>
        <w:fldChar w:fldCharType="begin"/>
      </w:r>
      <w:r>
        <w:instrText xml:space="preserve"> PAGEREF _Toc26399 \h </w:instrText>
      </w:r>
      <w:r>
        <w:fldChar w:fldCharType="separate"/>
      </w:r>
      <w:r>
        <w:t>60</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_Toc25411 </w:instrText>
      </w:r>
      <w:r>
        <w:rPr>
          <w:rFonts w:ascii="Arial" w:hAnsi="Arial"/>
          <w:kern w:val="44"/>
          <w:szCs w:val="28"/>
          <w:highlight w:val="none"/>
        </w:rPr>
        <w:fldChar w:fldCharType="separate"/>
      </w:r>
      <w:r>
        <w:rPr>
          <w:rFonts w:hint="eastAsia" w:ascii="宋体" w:hAnsi="宋体" w:cs="宋体"/>
          <w:highlight w:val="none"/>
        </w:rPr>
        <w:t>格式五：响应招标文件所附施工组织设计要点的承诺书</w:t>
      </w:r>
      <w:r>
        <w:tab/>
      </w:r>
      <w:r>
        <w:fldChar w:fldCharType="begin"/>
      </w:r>
      <w:r>
        <w:instrText xml:space="preserve"> PAGEREF _Toc25411 \h </w:instrText>
      </w:r>
      <w:r>
        <w:fldChar w:fldCharType="separate"/>
      </w:r>
      <w:r>
        <w:t>61</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_Toc2974 </w:instrText>
      </w:r>
      <w:r>
        <w:rPr>
          <w:rFonts w:ascii="Arial" w:hAnsi="Arial"/>
          <w:kern w:val="44"/>
          <w:szCs w:val="28"/>
          <w:highlight w:val="none"/>
        </w:rPr>
        <w:fldChar w:fldCharType="separate"/>
      </w:r>
      <w:r>
        <w:rPr>
          <w:rFonts w:hint="eastAsia" w:ascii="宋体" w:hAnsi="宋体" w:cs="宋体"/>
          <w:bCs/>
          <w:szCs w:val="40"/>
          <w:highlight w:val="none"/>
        </w:rPr>
        <w:t>二、经济标投标文件格式</w:t>
      </w:r>
      <w:r>
        <w:tab/>
      </w:r>
      <w:r>
        <w:fldChar w:fldCharType="begin"/>
      </w:r>
      <w:r>
        <w:instrText xml:space="preserve"> PAGEREF _Toc2974 \h </w:instrText>
      </w:r>
      <w:r>
        <w:fldChar w:fldCharType="separate"/>
      </w:r>
      <w:r>
        <w:t>63</w:t>
      </w:r>
      <w:r>
        <w:fldChar w:fldCharType="end"/>
      </w:r>
      <w:r>
        <w:rPr>
          <w:rFonts w:ascii="Arial" w:hAnsi="Arial"/>
          <w:color w:val="auto"/>
          <w:kern w:val="44"/>
          <w:szCs w:val="28"/>
          <w:highlight w:val="none"/>
        </w:rPr>
        <w:fldChar w:fldCharType="end"/>
      </w:r>
    </w:p>
    <w:p>
      <w:pPr>
        <w:pStyle w:val="31"/>
        <w:tabs>
          <w:tab w:val="right" w:leader="dot" w:pos="9070"/>
          <w:tab w:val="clear" w:pos="9060"/>
        </w:tabs>
        <w:rPr>
          <w:rFonts w:ascii="Arial" w:hAnsi="Arial"/>
          <w:color w:val="auto"/>
          <w:kern w:val="44"/>
          <w:szCs w:val="28"/>
          <w:highlight w:val="none"/>
        </w:rPr>
      </w:pPr>
      <w:r>
        <w:rPr>
          <w:rFonts w:ascii="Arial" w:hAnsi="Arial"/>
          <w:color w:val="auto"/>
          <w:kern w:val="44"/>
          <w:szCs w:val="28"/>
          <w:highlight w:val="none"/>
        </w:rPr>
        <w:fldChar w:fldCharType="begin"/>
      </w:r>
      <w:r>
        <w:rPr>
          <w:rFonts w:ascii="Arial" w:hAnsi="Arial"/>
          <w:color w:val="auto"/>
          <w:kern w:val="44"/>
          <w:szCs w:val="28"/>
          <w:highlight w:val="none"/>
        </w:rPr>
        <w:instrText xml:space="preserve"> HYPERLINK \l _Toc9572 </w:instrText>
      </w:r>
      <w:r>
        <w:rPr>
          <w:rFonts w:ascii="Arial" w:hAnsi="Arial"/>
          <w:color w:val="auto"/>
          <w:kern w:val="44"/>
          <w:szCs w:val="28"/>
          <w:highlight w:val="none"/>
        </w:rPr>
        <w:fldChar w:fldCharType="separate"/>
      </w:r>
      <w:r>
        <w:rPr>
          <w:rFonts w:hint="eastAsia" w:ascii="Arial" w:hAnsi="Arial"/>
          <w:color w:val="auto"/>
          <w:kern w:val="44"/>
          <w:szCs w:val="28"/>
          <w:highlight w:val="none"/>
        </w:rPr>
        <w:t>格式一：经济标投标文件封面</w:t>
      </w:r>
      <w:r>
        <w:rPr>
          <w:rFonts w:ascii="Arial" w:hAnsi="Arial"/>
          <w:color w:val="auto"/>
          <w:kern w:val="44"/>
          <w:szCs w:val="28"/>
          <w:highlight w:val="none"/>
        </w:rPr>
        <w:tab/>
      </w:r>
      <w:r>
        <w:rPr>
          <w:rFonts w:ascii="Arial" w:hAnsi="Arial"/>
          <w:color w:val="auto"/>
          <w:kern w:val="44"/>
          <w:szCs w:val="28"/>
          <w:highlight w:val="none"/>
        </w:rPr>
        <w:fldChar w:fldCharType="begin"/>
      </w:r>
      <w:r>
        <w:rPr>
          <w:rFonts w:ascii="Arial" w:hAnsi="Arial"/>
          <w:color w:val="auto"/>
          <w:kern w:val="44"/>
          <w:szCs w:val="28"/>
          <w:highlight w:val="none"/>
        </w:rPr>
        <w:instrText xml:space="preserve"> PAGEREF _Toc9572 \h </w:instrText>
      </w:r>
      <w:r>
        <w:rPr>
          <w:rFonts w:ascii="Arial" w:hAnsi="Arial"/>
          <w:color w:val="auto"/>
          <w:kern w:val="44"/>
          <w:szCs w:val="28"/>
          <w:highlight w:val="none"/>
        </w:rPr>
        <w:fldChar w:fldCharType="separate"/>
      </w:r>
      <w:r>
        <w:rPr>
          <w:rFonts w:ascii="Arial" w:hAnsi="Arial"/>
          <w:color w:val="auto"/>
          <w:kern w:val="44"/>
          <w:szCs w:val="28"/>
          <w:highlight w:val="none"/>
        </w:rPr>
        <w:t>64</w:t>
      </w:r>
      <w:r>
        <w:rPr>
          <w:rFonts w:ascii="Arial" w:hAnsi="Arial"/>
          <w:color w:val="auto"/>
          <w:kern w:val="44"/>
          <w:szCs w:val="28"/>
          <w:highlight w:val="none"/>
        </w:rPr>
        <w:fldChar w:fldCharType="end"/>
      </w:r>
      <w:r>
        <w:rPr>
          <w:rFonts w:ascii="Arial" w:hAnsi="Arial"/>
          <w:color w:val="auto"/>
          <w:kern w:val="44"/>
          <w:szCs w:val="28"/>
          <w:highlight w:val="none"/>
        </w:rPr>
        <w:fldChar w:fldCharType="end"/>
      </w:r>
    </w:p>
    <w:p>
      <w:pPr>
        <w:pStyle w:val="31"/>
        <w:tabs>
          <w:tab w:val="right" w:leader="dot" w:pos="9070"/>
          <w:tab w:val="clear" w:pos="9060"/>
        </w:tabs>
        <w:rPr>
          <w:rFonts w:ascii="Arial" w:hAnsi="Arial"/>
          <w:color w:val="auto"/>
          <w:kern w:val="44"/>
          <w:szCs w:val="28"/>
          <w:highlight w:val="none"/>
        </w:rPr>
      </w:pPr>
      <w:r>
        <w:rPr>
          <w:rFonts w:ascii="Arial" w:hAnsi="Arial"/>
          <w:color w:val="auto"/>
          <w:kern w:val="44"/>
          <w:szCs w:val="28"/>
          <w:highlight w:val="none"/>
        </w:rPr>
        <w:fldChar w:fldCharType="begin"/>
      </w:r>
      <w:r>
        <w:rPr>
          <w:rFonts w:ascii="Arial" w:hAnsi="Arial"/>
          <w:color w:val="auto"/>
          <w:kern w:val="44"/>
          <w:szCs w:val="28"/>
          <w:highlight w:val="none"/>
        </w:rPr>
        <w:instrText xml:space="preserve"> HYPERLINK \l _Toc9214 </w:instrText>
      </w:r>
      <w:r>
        <w:rPr>
          <w:rFonts w:ascii="Arial" w:hAnsi="Arial"/>
          <w:color w:val="auto"/>
          <w:kern w:val="44"/>
          <w:szCs w:val="28"/>
          <w:highlight w:val="none"/>
        </w:rPr>
        <w:fldChar w:fldCharType="separate"/>
      </w:r>
      <w:r>
        <w:rPr>
          <w:rFonts w:hint="eastAsia" w:ascii="Arial" w:hAnsi="Arial"/>
          <w:color w:val="auto"/>
          <w:kern w:val="44"/>
          <w:szCs w:val="28"/>
          <w:highlight w:val="none"/>
        </w:rPr>
        <w:t>格式二：工程量清单计价表</w:t>
      </w:r>
      <w:r>
        <w:rPr>
          <w:rFonts w:ascii="Arial" w:hAnsi="Arial"/>
          <w:color w:val="auto"/>
          <w:kern w:val="44"/>
          <w:szCs w:val="28"/>
          <w:highlight w:val="none"/>
        </w:rPr>
        <w:tab/>
      </w:r>
      <w:r>
        <w:rPr>
          <w:rFonts w:ascii="Arial" w:hAnsi="Arial"/>
          <w:color w:val="auto"/>
          <w:kern w:val="44"/>
          <w:szCs w:val="28"/>
          <w:highlight w:val="none"/>
        </w:rPr>
        <w:fldChar w:fldCharType="begin"/>
      </w:r>
      <w:r>
        <w:rPr>
          <w:rFonts w:ascii="Arial" w:hAnsi="Arial"/>
          <w:color w:val="auto"/>
          <w:kern w:val="44"/>
          <w:szCs w:val="28"/>
          <w:highlight w:val="none"/>
        </w:rPr>
        <w:instrText xml:space="preserve"> PAGEREF _Toc9214 \h </w:instrText>
      </w:r>
      <w:r>
        <w:rPr>
          <w:rFonts w:ascii="Arial" w:hAnsi="Arial"/>
          <w:color w:val="auto"/>
          <w:kern w:val="44"/>
          <w:szCs w:val="28"/>
          <w:highlight w:val="none"/>
        </w:rPr>
        <w:fldChar w:fldCharType="separate"/>
      </w:r>
      <w:r>
        <w:rPr>
          <w:rFonts w:ascii="Arial" w:hAnsi="Arial"/>
          <w:color w:val="auto"/>
          <w:kern w:val="44"/>
          <w:szCs w:val="28"/>
          <w:highlight w:val="none"/>
        </w:rPr>
        <w:t>65</w:t>
      </w:r>
      <w:r>
        <w:rPr>
          <w:rFonts w:ascii="Arial" w:hAnsi="Arial"/>
          <w:color w:val="auto"/>
          <w:kern w:val="44"/>
          <w:szCs w:val="28"/>
          <w:highlight w:val="none"/>
        </w:rPr>
        <w:fldChar w:fldCharType="end"/>
      </w:r>
      <w:r>
        <w:rPr>
          <w:rFonts w:ascii="Arial" w:hAnsi="Arial"/>
          <w:color w:val="auto"/>
          <w:kern w:val="44"/>
          <w:szCs w:val="28"/>
          <w:highlight w:val="none"/>
        </w:rPr>
        <w:fldChar w:fldCharType="end"/>
      </w:r>
    </w:p>
    <w:p>
      <w:pPr>
        <w:pStyle w:val="31"/>
        <w:tabs>
          <w:tab w:val="right" w:leader="dot" w:pos="9070"/>
          <w:tab w:val="clear" w:pos="9060"/>
        </w:tabs>
        <w:rPr>
          <w:rFonts w:ascii="Arial" w:hAnsi="Arial"/>
          <w:color w:val="auto"/>
          <w:kern w:val="44"/>
          <w:szCs w:val="28"/>
          <w:highlight w:val="none"/>
        </w:rPr>
      </w:pPr>
      <w:r>
        <w:rPr>
          <w:rFonts w:ascii="Arial" w:hAnsi="Arial"/>
          <w:color w:val="auto"/>
          <w:kern w:val="44"/>
          <w:szCs w:val="28"/>
          <w:highlight w:val="none"/>
        </w:rPr>
        <w:fldChar w:fldCharType="begin"/>
      </w:r>
      <w:r>
        <w:rPr>
          <w:rFonts w:ascii="Arial" w:hAnsi="Arial"/>
          <w:color w:val="auto"/>
          <w:kern w:val="44"/>
          <w:szCs w:val="28"/>
          <w:highlight w:val="none"/>
        </w:rPr>
        <w:instrText xml:space="preserve"> HYPERLINK \l _Toc30490 </w:instrText>
      </w:r>
      <w:r>
        <w:rPr>
          <w:rFonts w:ascii="Arial" w:hAnsi="Arial"/>
          <w:color w:val="auto"/>
          <w:kern w:val="44"/>
          <w:szCs w:val="28"/>
          <w:highlight w:val="none"/>
        </w:rPr>
        <w:fldChar w:fldCharType="separate"/>
      </w:r>
      <w:r>
        <w:rPr>
          <w:rFonts w:hint="eastAsia" w:ascii="Arial" w:hAnsi="Arial"/>
          <w:color w:val="auto"/>
          <w:kern w:val="44"/>
          <w:szCs w:val="28"/>
          <w:highlight w:val="none"/>
        </w:rPr>
        <w:t>格式三：参与编制经济标投标文件编制人员名单</w:t>
      </w:r>
      <w:r>
        <w:rPr>
          <w:rFonts w:ascii="Arial" w:hAnsi="Arial"/>
          <w:color w:val="auto"/>
          <w:kern w:val="44"/>
          <w:szCs w:val="28"/>
          <w:highlight w:val="none"/>
        </w:rPr>
        <w:tab/>
      </w:r>
      <w:r>
        <w:rPr>
          <w:rFonts w:ascii="Arial" w:hAnsi="Arial"/>
          <w:color w:val="auto"/>
          <w:kern w:val="44"/>
          <w:szCs w:val="28"/>
          <w:highlight w:val="none"/>
        </w:rPr>
        <w:fldChar w:fldCharType="begin"/>
      </w:r>
      <w:r>
        <w:rPr>
          <w:rFonts w:ascii="Arial" w:hAnsi="Arial"/>
          <w:color w:val="auto"/>
          <w:kern w:val="44"/>
          <w:szCs w:val="28"/>
          <w:highlight w:val="none"/>
        </w:rPr>
        <w:instrText xml:space="preserve"> PAGEREF _Toc30490 \h </w:instrText>
      </w:r>
      <w:r>
        <w:rPr>
          <w:rFonts w:ascii="Arial" w:hAnsi="Arial"/>
          <w:color w:val="auto"/>
          <w:kern w:val="44"/>
          <w:szCs w:val="28"/>
          <w:highlight w:val="none"/>
        </w:rPr>
        <w:fldChar w:fldCharType="separate"/>
      </w:r>
      <w:r>
        <w:rPr>
          <w:rFonts w:ascii="Arial" w:hAnsi="Arial"/>
          <w:color w:val="auto"/>
          <w:kern w:val="44"/>
          <w:szCs w:val="28"/>
          <w:highlight w:val="none"/>
        </w:rPr>
        <w:t>66</w:t>
      </w:r>
      <w:r>
        <w:rPr>
          <w:rFonts w:ascii="Arial" w:hAnsi="Arial"/>
          <w:color w:val="auto"/>
          <w:kern w:val="44"/>
          <w:szCs w:val="28"/>
          <w:highlight w:val="none"/>
        </w:rP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_Toc14587 </w:instrText>
      </w:r>
      <w:r>
        <w:rPr>
          <w:rFonts w:ascii="Arial" w:hAnsi="Arial"/>
          <w:kern w:val="44"/>
          <w:szCs w:val="28"/>
          <w:highlight w:val="none"/>
        </w:rPr>
        <w:fldChar w:fldCharType="separate"/>
      </w:r>
      <w:r>
        <w:rPr>
          <w:rFonts w:hint="eastAsia" w:ascii="宋体" w:hAnsi="宋体" w:cs="宋体"/>
          <w:highlight w:val="none"/>
        </w:rPr>
        <w:t>格式四：对投标文件编制的承诺</w:t>
      </w:r>
      <w:r>
        <w:tab/>
      </w:r>
      <w:r>
        <w:fldChar w:fldCharType="begin"/>
      </w:r>
      <w:r>
        <w:instrText xml:space="preserve"> PAGEREF _Toc14587 \h </w:instrText>
      </w:r>
      <w:r>
        <w:fldChar w:fldCharType="separate"/>
      </w:r>
      <w:r>
        <w:t>67</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_Toc2539 </w:instrText>
      </w:r>
      <w:r>
        <w:rPr>
          <w:rFonts w:ascii="Arial" w:hAnsi="Arial"/>
          <w:kern w:val="44"/>
          <w:szCs w:val="28"/>
          <w:highlight w:val="none"/>
        </w:rPr>
        <w:fldChar w:fldCharType="separate"/>
      </w:r>
      <w:r>
        <w:rPr>
          <w:rFonts w:hint="eastAsia"/>
          <w:highlight w:val="none"/>
        </w:rPr>
        <w:t>第五章</w:t>
      </w:r>
      <w:r>
        <w:rPr>
          <w:highlight w:val="none"/>
        </w:rPr>
        <w:t xml:space="preserve">  </w:t>
      </w:r>
      <w:r>
        <w:rPr>
          <w:rFonts w:hint="eastAsia"/>
          <w:highlight w:val="none"/>
        </w:rPr>
        <w:t>技术条件（工程建设标准）</w:t>
      </w:r>
      <w:r>
        <w:tab/>
      </w:r>
      <w:r>
        <w:fldChar w:fldCharType="begin"/>
      </w:r>
      <w:r>
        <w:instrText xml:space="preserve"> PAGEREF _Toc2539 \h </w:instrText>
      </w:r>
      <w:r>
        <w:fldChar w:fldCharType="separate"/>
      </w:r>
      <w:r>
        <w:t>68</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_Toc15057 </w:instrText>
      </w:r>
      <w:r>
        <w:rPr>
          <w:rFonts w:ascii="Arial" w:hAnsi="Arial"/>
          <w:kern w:val="44"/>
          <w:szCs w:val="28"/>
          <w:highlight w:val="none"/>
        </w:rPr>
        <w:fldChar w:fldCharType="separate"/>
      </w:r>
      <w:r>
        <w:rPr>
          <w:rFonts w:hint="eastAsia"/>
          <w:highlight w:val="none"/>
        </w:rPr>
        <w:t>第六章  图纸及勘察资料</w:t>
      </w:r>
      <w:r>
        <w:tab/>
      </w:r>
      <w:r>
        <w:fldChar w:fldCharType="begin"/>
      </w:r>
      <w:r>
        <w:instrText xml:space="preserve"> PAGEREF _Toc15057 \h </w:instrText>
      </w:r>
      <w:r>
        <w:fldChar w:fldCharType="separate"/>
      </w:r>
      <w:r>
        <w:t>69</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_Toc18092 </w:instrText>
      </w:r>
      <w:r>
        <w:rPr>
          <w:rFonts w:ascii="Arial" w:hAnsi="Arial"/>
          <w:kern w:val="44"/>
          <w:szCs w:val="28"/>
          <w:highlight w:val="none"/>
        </w:rPr>
        <w:fldChar w:fldCharType="separate"/>
      </w:r>
      <w:r>
        <w:rPr>
          <w:rFonts w:hint="eastAsia"/>
          <w:highlight w:val="none"/>
        </w:rPr>
        <w:t>第七章</w:t>
      </w:r>
      <w:r>
        <w:rPr>
          <w:highlight w:val="none"/>
        </w:rPr>
        <w:t xml:space="preserve">  </w:t>
      </w:r>
      <w:r>
        <w:rPr>
          <w:rFonts w:hint="eastAsia"/>
          <w:highlight w:val="none"/>
        </w:rPr>
        <w:t>工程量清单</w:t>
      </w:r>
      <w:r>
        <w:tab/>
      </w:r>
      <w:r>
        <w:fldChar w:fldCharType="begin"/>
      </w:r>
      <w:r>
        <w:instrText xml:space="preserve"> PAGEREF _Toc18092 \h </w:instrText>
      </w:r>
      <w:r>
        <w:fldChar w:fldCharType="separate"/>
      </w:r>
      <w:r>
        <w:t>70</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_Toc27240 </w:instrText>
      </w:r>
      <w:r>
        <w:rPr>
          <w:rFonts w:ascii="Arial" w:hAnsi="Arial"/>
          <w:kern w:val="44"/>
          <w:szCs w:val="28"/>
          <w:highlight w:val="none"/>
        </w:rPr>
        <w:fldChar w:fldCharType="separate"/>
      </w:r>
      <w:r>
        <w:rPr>
          <w:rFonts w:hint="eastAsia"/>
          <w:highlight w:val="none"/>
        </w:rPr>
        <w:t>第八章</w:t>
      </w:r>
      <w:r>
        <w:rPr>
          <w:highlight w:val="none"/>
        </w:rPr>
        <w:t xml:space="preserve">  </w:t>
      </w:r>
      <w:r>
        <w:rPr>
          <w:rFonts w:hint="eastAsia"/>
          <w:highlight w:val="none"/>
        </w:rPr>
        <w:t>最高投标限价</w:t>
      </w:r>
      <w:r>
        <w:tab/>
      </w:r>
      <w:r>
        <w:fldChar w:fldCharType="begin"/>
      </w:r>
      <w:r>
        <w:instrText xml:space="preserve"> PAGEREF _Toc27240 \h </w:instrText>
      </w:r>
      <w:r>
        <w:fldChar w:fldCharType="separate"/>
      </w:r>
      <w:r>
        <w:t>71</w:t>
      </w:r>
      <w:r>
        <w:fldChar w:fldCharType="end"/>
      </w:r>
      <w:r>
        <w:rPr>
          <w:rFonts w:ascii="Arial" w:hAnsi="Arial"/>
          <w:color w:val="auto"/>
          <w:kern w:val="44"/>
          <w:szCs w:val="28"/>
          <w:highlight w:val="none"/>
        </w:rPr>
        <w:fldChar w:fldCharType="end"/>
      </w:r>
    </w:p>
    <w:p>
      <w:pPr>
        <w:pStyle w:val="28"/>
        <w:tabs>
          <w:tab w:val="right" w:leader="dot" w:pos="9070"/>
          <w:tab w:val="clear" w:pos="9060"/>
        </w:tabs>
        <w:rPr>
          <w:color w:val="auto"/>
          <w:highlight w:val="none"/>
        </w:rPr>
      </w:pPr>
      <w:r>
        <w:rPr>
          <w:rFonts w:ascii="Arial" w:hAnsi="Arial"/>
          <w:color w:val="auto"/>
          <w:kern w:val="44"/>
          <w:szCs w:val="28"/>
          <w:highlight w:val="none"/>
        </w:rPr>
        <w:fldChar w:fldCharType="end"/>
      </w: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
        <w:jc w:val="center"/>
        <w:rPr>
          <w:color w:val="auto"/>
          <w:highlight w:val="none"/>
        </w:rPr>
      </w:pPr>
      <w:r>
        <w:rPr>
          <w:rFonts w:hint="eastAsia"/>
          <w:color w:val="auto"/>
          <w:highlight w:val="none"/>
        </w:rPr>
        <w:br w:type="page"/>
      </w:r>
      <w:bookmarkStart w:id="0" w:name="_Toc30213"/>
      <w:bookmarkStart w:id="1" w:name="_Toc1188"/>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4"/>
        <w:ind w:left="0"/>
        <w:rPr>
          <w:color w:val="auto"/>
          <w:highlight w:val="none"/>
        </w:rPr>
      </w:pPr>
      <w:bookmarkStart w:id="2" w:name="_Toc30605"/>
      <w:bookmarkStart w:id="3" w:name="_Toc10333"/>
      <w:r>
        <w:rPr>
          <w:rFonts w:hint="eastAsia"/>
          <w:color w:val="auto"/>
          <w:highlight w:val="none"/>
        </w:rPr>
        <w:t>一、投标须知前附表</w:t>
      </w:r>
      <w:bookmarkEnd w:id="2"/>
      <w:bookmarkEnd w:id="3"/>
    </w:p>
    <w:p>
      <w:pPr>
        <w:pStyle w:val="5"/>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w:t>
      </w:r>
      <w:bookmarkStart w:id="4" w:name="OLE_LINK9"/>
      <w:bookmarkStart w:id="5" w:name="OLE_LINK12"/>
      <w:r>
        <w:rPr>
          <w:rFonts w:hint="eastAsia" w:ascii="宋体" w:hAnsi="宋体"/>
          <w:b/>
          <w:color w:val="auto"/>
          <w:sz w:val="24"/>
          <w:szCs w:val="24"/>
          <w:highlight w:val="none"/>
        </w:rPr>
        <w:t>GZZB2018-3</w:t>
      </w:r>
      <w:bookmarkEnd w:id="4"/>
      <w:r>
        <w:rPr>
          <w:rFonts w:hint="eastAsia" w:ascii="宋体" w:hAnsi="宋体"/>
          <w:b/>
          <w:color w:val="auto"/>
          <w:sz w:val="24"/>
          <w:szCs w:val="24"/>
          <w:highlight w:val="none"/>
        </w:rPr>
        <w:t>招标文件范本</w:t>
      </w:r>
      <w:bookmarkEnd w:id="5"/>
      <w:r>
        <w:rPr>
          <w:rFonts w:hint="eastAsia" w:ascii="宋体" w:hAnsi="宋体"/>
          <w:b/>
          <w:color w:val="auto"/>
          <w:sz w:val="24"/>
          <w:szCs w:val="24"/>
          <w:highlight w:val="none"/>
        </w:rPr>
        <w:t>，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9350"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广州市花都区花东镇人民政府</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广州市广州工程建设监理有限公司</w:t>
            </w:r>
            <w:r>
              <w:rPr>
                <w:rFonts w:ascii="宋体" w:hAnsi="宋体"/>
                <w:color w:val="auto"/>
                <w:szCs w:val="21"/>
                <w:highlight w:val="none"/>
                <w:u w:val="single"/>
              </w:rPr>
              <w:t xml:space="preserve">                                         </w:t>
            </w:r>
          </w:p>
          <w:p>
            <w:pPr>
              <w:rPr>
                <w:rFonts w:hint="eastAsia" w:ascii="宋体" w:hAnsi="宋体" w:eastAsia="宋体"/>
                <w:color w:val="auto"/>
                <w:szCs w:val="21"/>
                <w:highlight w:val="none"/>
                <w:u w:val="single"/>
                <w:lang w:eastAsia="zh-CN"/>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 xml:space="preserve">广东省轻纺建筑设计院有限公司 </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lang w:val="en-US" w:eastAsia="zh-CN"/>
              </w:rPr>
              <w:t>/</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花东镇中心幼儿园施工总承包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lang w:eastAsia="zh-CN"/>
              </w:rPr>
              <w:t>广州市花都区花东镇联邦快递周边生活安置区内</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color w:val="auto"/>
                <w:highlight w:val="none"/>
              </w:rPr>
            </w:pPr>
            <w:r>
              <w:rPr>
                <w:rFonts w:hint="eastAsia"/>
                <w:color w:val="auto"/>
                <w:highlight w:val="none"/>
              </w:rPr>
              <w:t>综合单价包干，包工、包料、包工期、包质量、包安全、包文明施工（含施工扬尘排污费）、包验收、包保修。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■工程质量达到国家或行业质量检验评定的合格标准。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pStyle w:val="14"/>
              <w:ind w:firstLine="0" w:firstLineChars="0"/>
              <w:rPr>
                <w:rFonts w:hint="eastAsia"/>
                <w:color w:val="auto"/>
                <w:sz w:val="21"/>
                <w:szCs w:val="21"/>
                <w:highlight w:val="none"/>
                <w:u w:val="single"/>
              </w:rPr>
            </w:pPr>
            <w:r>
              <w:rPr>
                <w:rFonts w:hint="eastAsia" w:ascii="宋体" w:hAnsi="宋体" w:eastAsia="宋体" w:cs="Times New Roman"/>
                <w:color w:val="auto"/>
                <w:sz w:val="21"/>
                <w:szCs w:val="21"/>
                <w:highlight w:val="none"/>
                <w:u w:val="single"/>
              </w:rPr>
              <w:t>施工总工期：</w:t>
            </w:r>
            <w:r>
              <w:rPr>
                <w:rFonts w:hint="eastAsia" w:cs="Times New Roman"/>
                <w:color w:val="auto"/>
                <w:sz w:val="21"/>
                <w:szCs w:val="21"/>
                <w:highlight w:val="none"/>
                <w:u w:val="single"/>
                <w:lang w:val="en-US" w:eastAsia="zh-CN"/>
              </w:rPr>
              <w:t>360</w:t>
            </w:r>
            <w:r>
              <w:rPr>
                <w:rFonts w:hint="eastAsia" w:ascii="宋体" w:hAnsi="宋体" w:eastAsia="宋体" w:cs="Times New Roman"/>
                <w:color w:val="auto"/>
                <w:sz w:val="21"/>
                <w:szCs w:val="21"/>
                <w:highlight w:val="none"/>
                <w:u w:val="single"/>
              </w:rPr>
              <w:t>个日历天。</w:t>
            </w:r>
            <w:r>
              <w:rPr>
                <w:rFonts w:hint="eastAsia"/>
                <w:color w:val="auto"/>
                <w:sz w:val="21"/>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lang w:val="en-US" w:eastAsia="zh-CN"/>
              </w:rPr>
              <w:t>财政</w:t>
            </w:r>
            <w:r>
              <w:rPr>
                <w:rFonts w:hint="eastAsia" w:ascii="宋体" w:hAnsi="宋体"/>
                <w:color w:val="auto"/>
                <w:szCs w:val="21"/>
                <w:highlight w:val="none"/>
                <w:u w:val="single"/>
              </w:rPr>
              <w:t>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日历天。（从投标截止之日计起），如出现异议或投诉，则投标有效期自动延长至异议或投诉处理结束。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color w:val="auto"/>
                <w:szCs w:val="21"/>
                <w:highlight w:val="none"/>
                <w:lang w:val="en-US"/>
              </w:rPr>
            </w:pPr>
            <w:r>
              <w:rPr>
                <w:rFonts w:hint="eastAsia" w:ascii="宋体" w:hAnsi="宋体"/>
                <w:color w:val="auto"/>
                <w:szCs w:val="21"/>
                <w:highlight w:val="none"/>
                <w:u w:val="single"/>
                <w:lang w:val="en-US" w:eastAsia="zh-CN"/>
              </w:rPr>
              <w:t>本项目不要求递交投标保证金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2"/>
              <w:rPr>
                <w:rFonts w:ascii="宋体" w:hAnsi="宋体"/>
                <w:color w:val="auto"/>
                <w:szCs w:val="21"/>
                <w:highlight w:val="none"/>
              </w:rPr>
            </w:pPr>
            <w:r>
              <w:rPr>
                <w:rFonts w:hint="eastAsia" w:ascii="宋体" w:hAnsi="宋体"/>
                <w:color w:val="auto"/>
                <w:szCs w:val="21"/>
                <w:highlight w:val="none"/>
              </w:rPr>
              <w:t>招标人不集中组织，由投标人自行踏勘。</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疑问提交时间：</w:t>
            </w:r>
            <w:r>
              <w:rPr>
                <w:rFonts w:hint="eastAsia" w:ascii="宋体" w:hAnsi="宋体" w:eastAsia="宋体" w:cs="宋体"/>
                <w:color w:val="auto"/>
                <w:szCs w:val="21"/>
                <w:u w:val="single"/>
                <w:lang w:val="en-US" w:eastAsia="zh-CN"/>
              </w:rPr>
              <w:t>2023</w:t>
            </w:r>
            <w:r>
              <w:rPr>
                <w:rFonts w:hint="eastAsia" w:ascii="宋体" w:hAnsi="宋体" w:eastAsia="宋体" w:cs="宋体"/>
                <w:color w:val="auto"/>
                <w:szCs w:val="21"/>
              </w:rPr>
              <w:t>年</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日</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时</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分</w:t>
            </w:r>
            <w:r>
              <w:rPr>
                <w:rFonts w:hint="eastAsia" w:ascii="宋体" w:hAnsi="宋体" w:eastAsia="宋体" w:cs="宋体"/>
                <w:color w:val="auto"/>
                <w:szCs w:val="21"/>
              </w:rPr>
              <w:t>前；</w:t>
            </w:r>
          </w:p>
          <w:p>
            <w:pPr>
              <w:rPr>
                <w:rFonts w:hint="eastAsia" w:ascii="宋体" w:hAnsi="宋体" w:eastAsia="宋体" w:cs="宋体"/>
                <w:color w:val="auto"/>
                <w:szCs w:val="21"/>
              </w:rPr>
            </w:pPr>
            <w:r>
              <w:rPr>
                <w:rFonts w:hint="eastAsia" w:ascii="宋体" w:hAnsi="宋体" w:eastAsia="宋体" w:cs="宋体"/>
                <w:color w:val="auto"/>
                <w:szCs w:val="21"/>
              </w:rPr>
              <w:t>形式：投标人的疑问通过</w:t>
            </w:r>
            <w:r>
              <w:rPr>
                <w:rFonts w:hint="eastAsia" w:ascii="宋体" w:hAnsi="宋体" w:eastAsia="宋体" w:cs="宋体"/>
                <w:color w:val="auto"/>
                <w:szCs w:val="21"/>
                <w:u w:val="single"/>
              </w:rPr>
              <w:t>广州公共资源交易中心</w:t>
            </w:r>
            <w:r>
              <w:rPr>
                <w:rFonts w:hint="eastAsia" w:ascii="宋体" w:hAnsi="宋体" w:eastAsia="宋体" w:cs="宋体"/>
                <w:color w:val="auto"/>
                <w:szCs w:val="21"/>
              </w:rPr>
              <w:t>交易平台提交。</w:t>
            </w:r>
          </w:p>
          <w:p>
            <w:pPr>
              <w:rPr>
                <w:rFonts w:hint="eastAsia" w:ascii="宋体" w:hAnsi="宋体" w:eastAsia="宋体" w:cs="宋体"/>
                <w:color w:val="auto"/>
                <w:szCs w:val="21"/>
                <w:u w:val="single"/>
              </w:rPr>
            </w:pPr>
            <w:r>
              <w:rPr>
                <w:rFonts w:hint="eastAsia" w:ascii="宋体" w:hAnsi="宋体" w:eastAsia="宋体" w:cs="宋体"/>
                <w:color w:val="auto"/>
                <w:szCs w:val="21"/>
              </w:rPr>
              <w:t>具体要求：按照交易平台关于全流程电子化项目的相关指南进行操作，详见：</w:t>
            </w:r>
            <w:r>
              <w:rPr>
                <w:rFonts w:hint="eastAsia" w:ascii="宋体" w:hAnsi="宋体" w:eastAsia="宋体" w:cs="宋体"/>
                <w:color w:val="auto"/>
                <w:szCs w:val="21"/>
                <w:u w:val="single"/>
              </w:rPr>
              <w:t>广州公共资源交易中心网站</w:t>
            </w:r>
            <w:r>
              <w:rPr>
                <w:rFonts w:hint="eastAsia" w:ascii="宋体" w:hAnsi="宋体" w:eastAsia="宋体" w:cs="宋体"/>
                <w:color w:val="auto"/>
                <w:szCs w:val="21"/>
              </w:rPr>
              <w:t>。</w:t>
            </w:r>
            <w:r>
              <w:rPr>
                <w:rFonts w:hint="eastAsia" w:ascii="宋体" w:hAnsi="宋体" w:eastAsia="宋体" w:cs="宋体"/>
                <w:color w:val="auto"/>
                <w:szCs w:val="21"/>
                <w:u w:val="single"/>
              </w:rPr>
              <w:t>提问一律不得署名。</w:t>
            </w:r>
          </w:p>
          <w:p>
            <w:pPr>
              <w:rPr>
                <w:rFonts w:ascii="宋体" w:hAnsi="宋体"/>
                <w:color w:val="auto"/>
                <w:szCs w:val="21"/>
                <w:highlight w:val="none"/>
              </w:rPr>
            </w:pPr>
            <w:r>
              <w:rPr>
                <w:rFonts w:hint="eastAsia" w:ascii="宋体" w:hAnsi="宋体" w:eastAsia="宋体" w:cs="宋体"/>
                <w:color w:val="auto"/>
                <w:szCs w:val="21"/>
                <w:highlight w:val="none"/>
                <w:u w:val="single"/>
              </w:rPr>
              <w:t>网上答疑的操作指南为：登陆广州公共资源交易中心网站-&gt;进入“我是投标人（供应商）”-&gt;“我的投标”-&gt;“招标答疑提问”查询项目并提问。</w:t>
            </w:r>
            <w:r>
              <w:rPr>
                <w:rFonts w:hint="eastAsia" w:ascii="宋体" w:hAnsi="宋体" w:eastAsia="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u w:val="single"/>
              </w:rPr>
              <w:t>20</w:t>
            </w:r>
            <w:r>
              <w:rPr>
                <w:rFonts w:hint="eastAsia" w:ascii="宋体" w:hAnsi="宋体"/>
                <w:color w:val="auto"/>
                <w:szCs w:val="21"/>
                <w:highlight w:val="none"/>
                <w:u w:val="single"/>
                <w:lang w:val="en-US" w:eastAsia="zh-CN"/>
              </w:rPr>
              <w:t>23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广州公共资源交易中心第</w:t>
            </w:r>
            <w:r>
              <w:rPr>
                <w:rFonts w:hint="eastAsia" w:ascii="宋体" w:hAnsi="宋体"/>
                <w:color w:val="auto"/>
                <w:highlight w:val="none"/>
                <w:u w:val="single"/>
              </w:rPr>
              <w:t xml:space="preserve">  开标室</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投标人也可选择参加在线开标，具体按照交易平台相关指南进行操作。详见：广州公共资源交易中心网站。</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分至</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olor w:val="auto"/>
                <w:szCs w:val="21"/>
                <w:highlight w:val="none"/>
                <w:u w:val="single"/>
              </w:rPr>
              <w:t>广州公共资源交易中心第</w:t>
            </w:r>
            <w:r>
              <w:rPr>
                <w:rFonts w:hint="eastAsia" w:ascii="宋体" w:hAnsi="宋体"/>
                <w:color w:val="auto"/>
                <w:highlight w:val="none"/>
                <w:u w:val="single"/>
              </w:rPr>
              <w:t xml:space="preserve">  开标室   </w:t>
            </w:r>
            <w:r>
              <w:rPr>
                <w:rFonts w:hint="eastAsia" w:ascii="宋体" w:hAnsi="宋体"/>
                <w:color w:val="auto"/>
                <w:highlight w:val="none"/>
              </w:rPr>
              <w:t>。</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w:t>
            </w:r>
            <w:r>
              <w:rPr>
                <w:rFonts w:hint="eastAsia" w:ascii="宋体" w:hAnsi="宋体" w:cs="仿宋_GB2312"/>
                <w:color w:val="auto"/>
                <w:highlight w:val="none"/>
                <w:lang w:val="en-US" w:eastAsia="zh-CN"/>
              </w:rPr>
              <w:t>补充公告和</w:t>
            </w:r>
            <w:r>
              <w:rPr>
                <w:rFonts w:hint="eastAsia" w:ascii="宋体" w:hAnsi="宋体" w:cs="仿宋_GB2312"/>
                <w:color w:val="auto"/>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7"/>
              <w:ind w:firstLine="0"/>
              <w:rPr>
                <w:color w:val="auto"/>
                <w:highlight w:val="none"/>
              </w:rPr>
            </w:pPr>
            <w:r>
              <w:rPr>
                <w:rFonts w:hint="eastAsia" w:ascii="宋体" w:hAnsi="宋体"/>
                <w:color w:val="auto"/>
                <w:szCs w:val="21"/>
                <w:highlight w:val="none"/>
              </w:rPr>
              <w:t>方式一：选取方法</w:t>
            </w:r>
            <w:r>
              <w:rPr>
                <w:rFonts w:hint="eastAsia" w:ascii="宋体" w:hAnsi="宋体"/>
                <w:color w:val="auto"/>
                <w:szCs w:val="21"/>
                <w:highlight w:val="none"/>
                <w:u w:val="single"/>
              </w:rPr>
              <w:t xml:space="preserve"> </w:t>
            </w:r>
            <w:r>
              <w:rPr>
                <w:rFonts w:hint="eastAsia"/>
                <w:color w:val="auto"/>
                <w:highlight w:val="none"/>
                <w:u w:val="single"/>
              </w:rPr>
              <w:t>七</w:t>
            </w:r>
            <w:r>
              <w:rPr>
                <w:rFonts w:hint="eastAsia" w:ascii="宋体" w:hAnsi="宋体"/>
                <w:color w:val="auto"/>
                <w:szCs w:val="21"/>
                <w:highlight w:val="none"/>
                <w:u w:val="single"/>
              </w:rPr>
              <w:t xml:space="preserve"> </w:t>
            </w:r>
            <w:r>
              <w:rPr>
                <w:rFonts w:hint="eastAsia"/>
                <w:color w:val="auto"/>
                <w:highlight w:val="none"/>
              </w:rPr>
              <w:t>（适合综合评分法四，技术标与经济标同时开启）</w:t>
            </w:r>
          </w:p>
          <w:p>
            <w:pPr>
              <w:pStyle w:val="37"/>
              <w:ind w:firstLine="0"/>
              <w:rPr>
                <w:color w:val="auto"/>
                <w:highlight w:val="none"/>
              </w:rPr>
            </w:pPr>
            <w:r>
              <w:rPr>
                <w:rFonts w:hint="eastAsia" w:ascii="宋体" w:hAnsi="宋体"/>
                <w:color w:val="auto"/>
                <w:szCs w:val="21"/>
                <w:highlight w:val="none"/>
                <w:u w:val="single"/>
              </w:rPr>
              <w:t>投标人总得分=</w:t>
            </w:r>
            <w:bookmarkStart w:id="6" w:name="OLE_LINK15"/>
            <w:r>
              <w:rPr>
                <w:rFonts w:hint="eastAsia" w:ascii="宋体" w:hAnsi="宋体"/>
                <w:color w:val="auto"/>
                <w:szCs w:val="21"/>
                <w:highlight w:val="none"/>
                <w:u w:val="single"/>
              </w:rPr>
              <w:t>技术得分</w:t>
            </w:r>
            <w:bookmarkEnd w:id="6"/>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20分</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＋经济得分</w:t>
            </w:r>
            <w:bookmarkStart w:id="7" w:name="OLE_LINK21"/>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100分</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w:t>
            </w:r>
            <w:bookmarkEnd w:id="7"/>
            <w:bookmarkStart w:id="8" w:name="OLE_LINK20"/>
            <w:r>
              <w:rPr>
                <w:rFonts w:hint="eastAsia" w:ascii="宋体" w:hAnsi="宋体"/>
                <w:color w:val="auto"/>
                <w:szCs w:val="21"/>
                <w:highlight w:val="none"/>
                <w:u w:val="single"/>
              </w:rPr>
              <w:t>经济得分权重（80%）</w:t>
            </w:r>
            <w:bookmarkEnd w:id="8"/>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31891145.95</w:t>
            </w:r>
            <w:r>
              <w:rPr>
                <w:rFonts w:hint="eastAsia" w:ascii="宋体" w:hAnsi="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1456976.67</w:t>
            </w:r>
            <w:r>
              <w:rPr>
                <w:rFonts w:hint="eastAsia" w:ascii="宋体" w:hAnsi="宋体"/>
                <w:color w:val="auto"/>
                <w:szCs w:val="21"/>
                <w:highlight w:val="none"/>
              </w:rPr>
              <w:t>元</w:t>
            </w:r>
            <w:r>
              <w:rPr>
                <w:rFonts w:hint="eastAsia" w:ascii="宋体" w:hAnsi="宋体" w:eastAsia="宋体" w:cs="宋体"/>
                <w:color w:val="auto"/>
                <w:szCs w:val="21"/>
                <w:highlight w:val="none"/>
              </w:rPr>
              <w:t>，暂列金额为</w:t>
            </w:r>
            <w:r>
              <w:rPr>
                <w:rFonts w:hint="eastAsia" w:ascii="宋体" w:hAnsi="宋体" w:eastAsia="宋体" w:cs="宋体"/>
                <w:color w:val="auto"/>
                <w:szCs w:val="21"/>
                <w:highlight w:val="none"/>
                <w:u w:val="single"/>
                <w:lang w:val="en-US" w:eastAsia="zh-CN"/>
              </w:rPr>
              <w:t>2290118.37</w:t>
            </w:r>
            <w:r>
              <w:rPr>
                <w:rFonts w:hint="eastAsia" w:ascii="宋体" w:hAnsi="宋体" w:eastAsia="宋体" w:cs="宋体"/>
                <w:color w:val="auto"/>
                <w:szCs w:val="21"/>
                <w:highlight w:val="none"/>
              </w:rPr>
              <w:t>元，暂估价为</w:t>
            </w:r>
            <w:r>
              <w:rPr>
                <w:rFonts w:hint="eastAsia" w:ascii="宋体" w:hAnsi="宋体" w:eastAsia="宋体" w:cs="宋体"/>
                <w:color w:val="auto"/>
                <w:szCs w:val="21"/>
                <w:highlight w:val="none"/>
                <w:u w:val="single"/>
                <w:lang w:val="en-US" w:eastAsia="zh-CN"/>
              </w:rPr>
              <w:t>200000</w:t>
            </w:r>
            <w:r>
              <w:rPr>
                <w:rFonts w:hint="eastAsia" w:ascii="宋体" w:hAnsi="宋体" w:eastAsia="宋体" w:cs="宋体"/>
                <w:color w:val="auto"/>
                <w:szCs w:val="21"/>
                <w:highlight w:val="none"/>
              </w:rPr>
              <w:t>元。</w:t>
            </w:r>
          </w:p>
          <w:p>
            <w:pPr>
              <w:rPr>
                <w:rFonts w:ascii="宋体" w:hAnsi="宋体"/>
                <w:color w:val="auto"/>
                <w:szCs w:val="21"/>
                <w:highlight w:val="none"/>
              </w:rPr>
            </w:pPr>
            <w:r>
              <w:rPr>
                <w:rFonts w:hint="eastAsia" w:ascii="宋体" w:hAnsi="宋体"/>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7"/>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30296588.65</w:t>
            </w:r>
            <w:r>
              <w:rPr>
                <w:rFonts w:hint="eastAsia" w:ascii="宋体" w:hAnsi="宋体"/>
                <w:color w:val="auto"/>
                <w:szCs w:val="21"/>
                <w:highlight w:val="none"/>
              </w:rPr>
              <w:t>元（最高投标限价的</w:t>
            </w:r>
            <w:r>
              <w:rPr>
                <w:rFonts w:hint="eastAsia" w:ascii="宋体" w:hAnsi="宋体"/>
                <w:color w:val="auto"/>
                <w:szCs w:val="21"/>
                <w:highlight w:val="none"/>
                <w:lang w:val="en-US" w:eastAsia="zh-CN"/>
              </w:rPr>
              <w:t>95</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按合同条款相关约定调整。</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olor w:val="auto"/>
                <w:kern w:val="0"/>
                <w:szCs w:val="21"/>
                <w:highlight w:val="none"/>
              </w:rPr>
            </w:pPr>
            <w:r>
              <w:rPr>
                <w:rFonts w:hint="eastAsia" w:ascii="宋体" w:hAnsi="宋体"/>
                <w:color w:val="auto"/>
                <w:kern w:val="0"/>
                <w:szCs w:val="21"/>
                <w:highlight w:val="none"/>
                <w:lang w:val="zh-CN"/>
              </w:rPr>
              <w:t>■允许：</w:t>
            </w:r>
          </w:p>
          <w:p>
            <w:pPr>
              <w:ind w:firstLine="840" w:firstLineChars="400"/>
              <w:rPr>
                <w:rFonts w:ascii="宋体" w:hAnsi="宋体"/>
                <w:color w:val="auto"/>
                <w:kern w:val="0"/>
                <w:szCs w:val="21"/>
                <w:highlight w:val="none"/>
                <w:lang w:val="zh-CN"/>
              </w:rPr>
            </w:pPr>
            <w:r>
              <w:rPr>
                <w:rFonts w:hint="eastAsia" w:ascii="宋体" w:hAnsi="宋体"/>
                <w:color w:val="auto"/>
                <w:kern w:val="0"/>
                <w:szCs w:val="21"/>
                <w:highlight w:val="none"/>
                <w:lang w:val="zh-CN"/>
              </w:rPr>
              <w:t>分包内容要求：非主体、非关键性工程。</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分包金额要求：</w:t>
            </w:r>
            <w:r>
              <w:rPr>
                <w:rFonts w:hint="eastAsia" w:ascii="宋体" w:hAnsi="宋体"/>
                <w:color w:val="auto"/>
                <w:kern w:val="0"/>
                <w:szCs w:val="21"/>
                <w:highlight w:val="none"/>
                <w:lang w:val="en-US" w:eastAsia="zh-CN"/>
              </w:rPr>
              <w:t>/。</w:t>
            </w:r>
          </w:p>
          <w:p>
            <w:pP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对分包人的资质要求：</w:t>
            </w:r>
            <w:r>
              <w:rPr>
                <w:rFonts w:hint="eastAsia" w:ascii="宋体" w:hAnsi="宋体"/>
                <w:color w:val="auto"/>
                <w:kern w:val="0"/>
                <w:szCs w:val="21"/>
                <w:highlight w:val="none"/>
                <w:lang w:val="en-US" w:eastAsia="zh-CN"/>
              </w:rPr>
              <w:t>符合国家相关规定。</w:t>
            </w:r>
          </w:p>
          <w:p>
            <w:pP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w:t>
            </w:r>
            <w:bookmarkStart w:id="9" w:name="OLE_LINK19"/>
            <w:r>
              <w:rPr>
                <w:rFonts w:hint="eastAsia" w:ascii="宋体" w:hAnsi="宋体" w:cs="Courier New"/>
                <w:color w:val="auto"/>
                <w:szCs w:val="21"/>
                <w:highlight w:val="none"/>
              </w:rPr>
              <w:t>光盘备用</w:t>
            </w:r>
            <w:bookmarkEnd w:id="9"/>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w:t>
            </w:r>
            <w:bookmarkStart w:id="10" w:name="OLE_LINK18"/>
            <w:r>
              <w:rPr>
                <w:rFonts w:hint="eastAsia" w:ascii="宋体" w:hAnsi="宋体" w:cs="Courier New"/>
                <w:color w:val="auto"/>
                <w:szCs w:val="21"/>
                <w:highlight w:val="none"/>
              </w:rPr>
              <w:t>投标文件解密失败的补救方案</w:t>
            </w:r>
            <w:bookmarkEnd w:id="10"/>
            <w:r>
              <w:rPr>
                <w:rFonts w:hint="eastAsia" w:ascii="宋体" w:hAnsi="宋体" w:cs="Courier New"/>
                <w:color w:val="auto"/>
                <w:szCs w:val="21"/>
                <w:highlight w:val="none"/>
              </w:rPr>
              <w:t>：</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480" w:lineRule="auto"/>
        <w:jc w:val="center"/>
        <w:outlineLvl w:val="1"/>
        <w:rPr>
          <w:rFonts w:ascii="Arial" w:hAnsi="Arial"/>
          <w:b/>
          <w:color w:val="auto"/>
          <w:kern w:val="0"/>
          <w:sz w:val="24"/>
          <w:szCs w:val="24"/>
          <w:highlight w:val="none"/>
        </w:rPr>
      </w:pPr>
      <w:r>
        <w:rPr>
          <w:rFonts w:hint="eastAsia" w:ascii="Arial" w:hAnsi="Arial"/>
          <w:b/>
          <w:color w:val="auto"/>
          <w:kern w:val="0"/>
          <w:sz w:val="24"/>
          <w:szCs w:val="24"/>
          <w:highlight w:val="none"/>
        </w:rPr>
        <w:br w:type="page"/>
      </w:r>
      <w:bookmarkStart w:id="11" w:name="_Toc32338"/>
      <w:bookmarkStart w:id="12" w:name="_Toc28952"/>
      <w:r>
        <w:rPr>
          <w:rFonts w:hint="eastAsia" w:ascii="Arial" w:hAnsi="Arial"/>
          <w:b/>
          <w:color w:val="auto"/>
          <w:kern w:val="0"/>
          <w:sz w:val="24"/>
          <w:szCs w:val="24"/>
          <w:highlight w:val="none"/>
        </w:rPr>
        <w:t>二、投标须知修改表</w:t>
      </w:r>
      <w:bookmarkEnd w:id="11"/>
      <w:bookmarkEnd w:id="12"/>
    </w:p>
    <w:p>
      <w:pPr>
        <w:pStyle w:val="37"/>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color w:val="auto"/>
          <w:szCs w:val="21"/>
          <w:highlight w:val="none"/>
        </w:rPr>
      </w:pPr>
      <w:r>
        <w:rPr>
          <w:rFonts w:hint="eastAsia"/>
          <w:b/>
          <w:color w:val="auto"/>
          <w:szCs w:val="21"/>
          <w:highlight w:val="none"/>
        </w:rPr>
        <w:t>条款号：8.1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b w:val="0"/>
          <w:bCs/>
          <w:color w:val="auto"/>
          <w:szCs w:val="21"/>
          <w:highlight w:val="none"/>
        </w:rPr>
      </w:pPr>
      <w:r>
        <w:rPr>
          <w:rFonts w:hint="eastAsia"/>
          <w:b/>
          <w:color w:val="auto"/>
          <w:szCs w:val="21"/>
          <w:highlight w:val="none"/>
        </w:rPr>
        <w:t>现文：</w:t>
      </w:r>
      <w:r>
        <w:rPr>
          <w:rFonts w:hint="eastAsia"/>
          <w:bCs/>
          <w:color w:val="auto"/>
          <w:szCs w:val="21"/>
          <w:highlight w:val="none"/>
        </w:rPr>
        <w:t>项目答疑纪要采用网上答疑方式进行。投标人若对招标文件（包括招标图纸、清单、最高投标限价、合同条款）有疑问的，可在规定的时间内通过广州公共资源交易中心网站进入提问区域将问题提交给招标人或招标代理人，提交形式见本须知前附表第16项。</w:t>
      </w:r>
    </w:p>
    <w:p>
      <w:pPr>
        <w:spacing w:line="480" w:lineRule="auto"/>
        <w:ind w:firstLine="472" w:firstLineChars="224"/>
        <w:rPr>
          <w:b/>
          <w:color w:val="auto"/>
          <w:szCs w:val="21"/>
          <w:highlight w:val="none"/>
        </w:rPr>
      </w:pPr>
      <w:r>
        <w:rPr>
          <w:rFonts w:hint="eastAsia"/>
          <w:b/>
          <w:color w:val="auto"/>
          <w:szCs w:val="21"/>
          <w:highlight w:val="none"/>
        </w:rPr>
        <w:t>条款号：8.2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招标答疑会会议纪要将在提交投标文件截止时间15日前在        交易平台 “项目答疑纪要”专区公开发布。答疑纪要一经在        交易平台发布，视作已发放给所有投标人。</w:t>
      </w:r>
    </w:p>
    <w:p>
      <w:pPr>
        <w:pBdr>
          <w:bottom w:val="single" w:color="auto" w:sz="6" w:space="1"/>
        </w:pBdr>
        <w:spacing w:line="360" w:lineRule="auto"/>
        <w:ind w:firstLine="527" w:firstLineChars="250"/>
        <w:rPr>
          <w:bCs/>
          <w:color w:val="auto"/>
          <w:szCs w:val="21"/>
          <w:highlight w:val="none"/>
        </w:rPr>
      </w:pPr>
      <w:r>
        <w:rPr>
          <w:rFonts w:hint="eastAsia"/>
          <w:b/>
          <w:color w:val="auto"/>
          <w:szCs w:val="21"/>
          <w:highlight w:val="none"/>
        </w:rPr>
        <w:t>现文：</w:t>
      </w:r>
      <w:r>
        <w:rPr>
          <w:rFonts w:hint="eastAsia"/>
          <w:bCs/>
          <w:color w:val="auto"/>
          <w:szCs w:val="21"/>
          <w:highlight w:val="none"/>
        </w:rPr>
        <w:t>招标答疑纪要将在提交投标文件截止时间</w:t>
      </w:r>
      <w:r>
        <w:rPr>
          <w:bCs/>
          <w:color w:val="auto"/>
          <w:szCs w:val="21"/>
          <w:highlight w:val="none"/>
        </w:rPr>
        <w:t>15</w:t>
      </w:r>
      <w:r>
        <w:rPr>
          <w:rFonts w:hint="eastAsia"/>
          <w:bCs/>
          <w:color w:val="auto"/>
          <w:szCs w:val="21"/>
          <w:highlight w:val="none"/>
        </w:rPr>
        <w:t>日前在广州公共资源交易中心交易平台</w:t>
      </w:r>
      <w:r>
        <w:rPr>
          <w:bCs/>
          <w:color w:val="auto"/>
          <w:szCs w:val="21"/>
          <w:highlight w:val="none"/>
        </w:rPr>
        <w:t xml:space="preserve"> </w:t>
      </w:r>
      <w:r>
        <w:rPr>
          <w:rFonts w:hint="eastAsia"/>
          <w:bCs/>
          <w:color w:val="auto"/>
          <w:szCs w:val="21"/>
          <w:highlight w:val="none"/>
        </w:rPr>
        <w:t>“项目答疑纪要”专区公开发布。答疑纪要一经在广州公共资源交易中心交易平台发布，视作已发放给所有投标人。</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8</w:t>
      </w:r>
      <w:r>
        <w:rPr>
          <w:rFonts w:hint="eastAsia"/>
          <w:b/>
          <w:color w:val="auto"/>
          <w:szCs w:val="21"/>
          <w:highlight w:val="none"/>
        </w:rPr>
        <w:t>.</w:t>
      </w:r>
      <w:r>
        <w:rPr>
          <w:b/>
          <w:color w:val="auto"/>
          <w:szCs w:val="21"/>
          <w:highlight w:val="none"/>
        </w:rPr>
        <w:t xml:space="preserve">3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答疑会会议纪要为招标文件的一部分。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bCs/>
          <w:color w:val="auto"/>
          <w:szCs w:val="21"/>
          <w:highlight w:val="none"/>
        </w:rPr>
        <w:t>招标答疑纪要为招标文件的一部分</w:t>
      </w:r>
      <w:r>
        <w:rPr>
          <w:rFonts w:hint="eastAsia" w:ascii="宋体"/>
          <w:color w:val="auto"/>
          <w:szCs w:val="20"/>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8</w:t>
      </w:r>
      <w:r>
        <w:rPr>
          <w:rFonts w:hint="eastAsia"/>
          <w:b/>
          <w:color w:val="auto"/>
          <w:szCs w:val="21"/>
          <w:highlight w:val="none"/>
        </w:rPr>
        <w:t>.</w:t>
      </w:r>
      <w:r>
        <w:rPr>
          <w:b/>
          <w:color w:val="auto"/>
          <w:szCs w:val="21"/>
          <w:highlight w:val="none"/>
        </w:rPr>
        <w:t xml:space="preserve">4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color w:val="auto"/>
          <w:highlight w:val="none"/>
        </w:rPr>
        <w:t>若招标答疑纪要与招标文件有矛盾，以广州公共资源交易中心交易平台最后发布的答疑纪要为准</w:t>
      </w:r>
      <w:r>
        <w:rPr>
          <w:rFonts w:hint="eastAsia" w:ascii="宋体"/>
          <w:color w:val="auto"/>
          <w:szCs w:val="20"/>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条款号：9.2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招标文件的澄清或修改将在        交易平台“项目答疑纪要”专区公开发布。答疑纪要一经在        交易平台发布，视作已发放给所有投标人，以        交易平台上网发布时间作为送达时间。</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color w:val="auto"/>
          <w:szCs w:val="20"/>
          <w:highlight w:val="none"/>
        </w:rPr>
        <w:t>招标文件的澄清或修改将在</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color w:val="auto"/>
          <w:szCs w:val="20"/>
          <w:highlight w:val="none"/>
        </w:rPr>
        <w:t>“项目答疑纪要”专区公开发布。答疑纪要一经在</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color w:val="auto"/>
          <w:szCs w:val="20"/>
          <w:highlight w:val="none"/>
        </w:rPr>
        <w:t>发布，视作已发放给所有投标人，以</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color w:val="auto"/>
          <w:szCs w:val="20"/>
          <w:highlight w:val="none"/>
        </w:rPr>
        <w:t>上网发布时间作为送达时间。</w:t>
      </w:r>
    </w:p>
    <w:p>
      <w:pPr>
        <w:spacing w:line="480" w:lineRule="auto"/>
        <w:ind w:firstLine="472" w:firstLineChars="224"/>
        <w:rPr>
          <w:b/>
          <w:color w:val="auto"/>
          <w:szCs w:val="21"/>
          <w:highlight w:val="none"/>
        </w:rPr>
      </w:pPr>
      <w:r>
        <w:rPr>
          <w:rFonts w:hint="eastAsia"/>
          <w:b/>
          <w:color w:val="auto"/>
          <w:szCs w:val="21"/>
          <w:highlight w:val="none"/>
        </w:rPr>
        <w:t>条款号：9.4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color w:val="auto"/>
          <w:highlight w:val="none"/>
        </w:rPr>
        <w:t>招标文件的澄清或修改在广州公共资源交易中心交易平台“建设工程→项目查询（日程安排、答疑纪要）”专区公开发布。当招标文件的澄清、修改、补充等在同一内容的表述不一致时，以最后发出的文件为准</w:t>
      </w:r>
      <w:r>
        <w:rPr>
          <w:rFonts w:hint="eastAsia" w:ascii="宋体" w:hAnsi="宋体"/>
          <w:color w:val="auto"/>
          <w:szCs w:val="20"/>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条款号：11.2</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Cs/>
          <w:color w:val="auto"/>
          <w:szCs w:val="21"/>
          <w:highlight w:val="none"/>
        </w:rPr>
      </w:pPr>
      <w:r>
        <w:rPr>
          <w:rFonts w:hint="eastAsia"/>
          <w:b/>
          <w:color w:val="auto"/>
          <w:szCs w:val="21"/>
          <w:highlight w:val="none"/>
        </w:rPr>
        <w:t>原文：</w:t>
      </w:r>
      <w:r>
        <w:rPr>
          <w:rFonts w:hint="eastAsia"/>
          <w:bCs/>
          <w:color w:val="auto"/>
          <w:szCs w:val="21"/>
          <w:highlight w:val="none"/>
        </w:rPr>
        <w:t>投标文件技术标部分主要包括下列内容:</w:t>
      </w:r>
    </w:p>
    <w:p>
      <w:pPr>
        <w:spacing w:line="360" w:lineRule="auto"/>
        <w:ind w:firstLine="470" w:firstLineChars="224"/>
        <w:rPr>
          <w:bCs/>
          <w:color w:val="auto"/>
          <w:szCs w:val="21"/>
          <w:highlight w:val="none"/>
        </w:rPr>
      </w:pPr>
      <w:r>
        <w:rPr>
          <w:rFonts w:hint="eastAsia"/>
          <w:bCs/>
          <w:color w:val="auto"/>
          <w:szCs w:val="21"/>
          <w:highlight w:val="none"/>
        </w:rPr>
        <w:t>11.2.1 技术投标文件(按招标文件的要求填写)；</w:t>
      </w:r>
    </w:p>
    <w:p>
      <w:pPr>
        <w:spacing w:line="360" w:lineRule="auto"/>
        <w:ind w:firstLine="470" w:firstLineChars="224"/>
        <w:rPr>
          <w:bCs/>
          <w:color w:val="auto"/>
          <w:szCs w:val="21"/>
          <w:highlight w:val="none"/>
        </w:rPr>
      </w:pPr>
      <w:r>
        <w:rPr>
          <w:rFonts w:hint="eastAsia"/>
          <w:bCs/>
          <w:color w:val="auto"/>
          <w:szCs w:val="21"/>
          <w:highlight w:val="none"/>
        </w:rPr>
        <w:t>11.2.2 资格审查文件：</w:t>
      </w:r>
    </w:p>
    <w:p>
      <w:pPr>
        <w:spacing w:line="360" w:lineRule="auto"/>
        <w:ind w:firstLine="470" w:firstLineChars="224"/>
        <w:rPr>
          <w:bCs/>
          <w:color w:val="auto"/>
          <w:szCs w:val="21"/>
          <w:highlight w:val="none"/>
        </w:rPr>
      </w:pPr>
      <w:r>
        <w:rPr>
          <w:rFonts w:hint="eastAsia"/>
          <w:bCs/>
          <w:color w:val="auto"/>
          <w:szCs w:val="21"/>
          <w:highlight w:val="none"/>
        </w:rPr>
        <w:t xml:space="preserve">（1）投标人声明； </w:t>
      </w:r>
    </w:p>
    <w:p>
      <w:pPr>
        <w:spacing w:line="360" w:lineRule="auto"/>
        <w:ind w:firstLine="470" w:firstLineChars="224"/>
        <w:rPr>
          <w:bCs/>
          <w:color w:val="auto"/>
          <w:szCs w:val="21"/>
          <w:highlight w:val="none"/>
        </w:rPr>
      </w:pPr>
      <w:r>
        <w:rPr>
          <w:rFonts w:hint="eastAsia"/>
          <w:bCs/>
          <w:color w:val="auto"/>
          <w:szCs w:val="21"/>
          <w:highlight w:val="none"/>
        </w:rPr>
        <w:t>（2）法定代表人证明书、法定代表人签字或盖章的本投标文件授权委托证明书；</w:t>
      </w:r>
    </w:p>
    <w:p>
      <w:pPr>
        <w:spacing w:line="360" w:lineRule="auto"/>
        <w:ind w:firstLine="470" w:firstLineChars="224"/>
        <w:rPr>
          <w:bCs/>
          <w:color w:val="auto"/>
          <w:szCs w:val="21"/>
          <w:highlight w:val="none"/>
        </w:rPr>
      </w:pPr>
      <w:r>
        <w:rPr>
          <w:rFonts w:hint="eastAsia"/>
          <w:bCs/>
          <w:color w:val="auto"/>
          <w:szCs w:val="21"/>
          <w:highlight w:val="none"/>
        </w:rPr>
        <w:t>（3）企业营业执照（取自库内上传件）；</w:t>
      </w:r>
    </w:p>
    <w:p>
      <w:pPr>
        <w:spacing w:line="360" w:lineRule="auto"/>
        <w:ind w:firstLine="470" w:firstLineChars="224"/>
        <w:rPr>
          <w:bCs/>
          <w:color w:val="auto"/>
          <w:szCs w:val="21"/>
          <w:highlight w:val="none"/>
        </w:rPr>
      </w:pPr>
      <w:r>
        <w:rPr>
          <w:rFonts w:hint="eastAsia"/>
          <w:bCs/>
          <w:color w:val="auto"/>
          <w:szCs w:val="21"/>
          <w:highlight w:val="none"/>
        </w:rPr>
        <w:t>（4）企业资质证书（取自库内上传件）；</w:t>
      </w:r>
    </w:p>
    <w:p>
      <w:pPr>
        <w:spacing w:line="360" w:lineRule="auto"/>
        <w:ind w:firstLine="470" w:firstLineChars="224"/>
        <w:rPr>
          <w:bCs/>
          <w:color w:val="auto"/>
          <w:szCs w:val="21"/>
          <w:highlight w:val="none"/>
        </w:rPr>
      </w:pPr>
      <w:r>
        <w:rPr>
          <w:rFonts w:hint="eastAsia"/>
          <w:bCs/>
          <w:color w:val="auto"/>
          <w:szCs w:val="21"/>
          <w:highlight w:val="none"/>
        </w:rPr>
        <w:t>（5）建筑施工企业安全生产许可证（取自库内上传件）；</w:t>
      </w:r>
    </w:p>
    <w:p>
      <w:pPr>
        <w:spacing w:line="360" w:lineRule="auto"/>
        <w:ind w:firstLine="470" w:firstLineChars="224"/>
        <w:rPr>
          <w:bCs/>
          <w:color w:val="auto"/>
          <w:szCs w:val="21"/>
          <w:highlight w:val="none"/>
        </w:rPr>
      </w:pPr>
      <w:r>
        <w:rPr>
          <w:rFonts w:hint="eastAsia"/>
          <w:bCs/>
          <w:color w:val="auto"/>
          <w:szCs w:val="21"/>
          <w:highlight w:val="none"/>
        </w:rPr>
        <w:t>（6）项目负责人（按网上投标登记时选择拟投标的项目负责人）</w:t>
      </w:r>
    </w:p>
    <w:p>
      <w:pPr>
        <w:spacing w:line="360" w:lineRule="auto"/>
        <w:ind w:firstLine="470" w:firstLineChars="224"/>
        <w:rPr>
          <w:bCs/>
          <w:color w:val="auto"/>
          <w:szCs w:val="21"/>
          <w:highlight w:val="none"/>
        </w:rPr>
      </w:pPr>
      <w:r>
        <w:rPr>
          <w:rFonts w:hint="eastAsia"/>
          <w:bCs/>
          <w:color w:val="auto"/>
          <w:szCs w:val="21"/>
          <w:highlight w:val="none"/>
        </w:rPr>
        <w:t>（7）专职安全员（按网上投标登记时选择拟投标的专职安全员）</w:t>
      </w:r>
    </w:p>
    <w:p>
      <w:pPr>
        <w:spacing w:line="360" w:lineRule="auto"/>
        <w:ind w:firstLine="470" w:firstLineChars="224"/>
        <w:rPr>
          <w:bCs/>
          <w:color w:val="auto"/>
          <w:szCs w:val="21"/>
          <w:highlight w:val="none"/>
        </w:rPr>
      </w:pPr>
      <w:r>
        <w:rPr>
          <w:rFonts w:hint="eastAsia"/>
          <w:bCs/>
          <w:color w:val="auto"/>
          <w:szCs w:val="21"/>
          <w:highlight w:val="none"/>
        </w:rPr>
        <w:t>（8）拟委托技术负责人的相关证书、资料（具体要求由招标人明确）</w:t>
      </w:r>
    </w:p>
    <w:p>
      <w:pPr>
        <w:spacing w:line="360" w:lineRule="auto"/>
        <w:ind w:firstLine="470" w:firstLineChars="224"/>
        <w:rPr>
          <w:bCs/>
          <w:color w:val="auto"/>
          <w:szCs w:val="21"/>
          <w:highlight w:val="none"/>
        </w:rPr>
      </w:pPr>
      <w:r>
        <w:rPr>
          <w:rFonts w:hint="eastAsia"/>
          <w:bCs/>
          <w:color w:val="auto"/>
          <w:szCs w:val="21"/>
          <w:highlight w:val="none"/>
        </w:rPr>
        <w:t xml:space="preserve">（9）拟委派项目负责人的建造师注册证书（取自库内上传件）； </w:t>
      </w:r>
    </w:p>
    <w:p>
      <w:pPr>
        <w:spacing w:line="360" w:lineRule="auto"/>
        <w:ind w:firstLine="470" w:firstLineChars="224"/>
        <w:rPr>
          <w:bCs/>
          <w:color w:val="auto"/>
          <w:szCs w:val="21"/>
          <w:highlight w:val="none"/>
        </w:rPr>
      </w:pPr>
      <w:r>
        <w:rPr>
          <w:rFonts w:hint="eastAsia"/>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70" w:firstLineChars="224"/>
        <w:rPr>
          <w:bCs/>
          <w:color w:val="auto"/>
          <w:szCs w:val="21"/>
          <w:highlight w:val="none"/>
        </w:rPr>
      </w:pPr>
      <w:r>
        <w:rPr>
          <w:rFonts w:hint="eastAsia"/>
          <w:bCs/>
          <w:color w:val="auto"/>
          <w:szCs w:val="21"/>
          <w:highlight w:val="none"/>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70" w:firstLineChars="224"/>
        <w:rPr>
          <w:bCs/>
          <w:color w:val="auto"/>
          <w:szCs w:val="21"/>
          <w:highlight w:val="none"/>
        </w:rPr>
      </w:pPr>
      <w:r>
        <w:rPr>
          <w:rFonts w:hint="eastAsia"/>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bCs/>
          <w:color w:val="auto"/>
          <w:szCs w:val="21"/>
          <w:highlight w:val="none"/>
        </w:rPr>
      </w:pPr>
      <w:r>
        <w:rPr>
          <w:rFonts w:hint="eastAsia"/>
          <w:bCs/>
          <w:color w:val="auto"/>
          <w:szCs w:val="21"/>
          <w:highlight w:val="none"/>
        </w:rPr>
        <w:t>（13）资格审查前，投标人须在广州市住房和城乡建设局建立企业诚信档案，拟担任本工程项目负责人须是本企业诚信档案中的在册人员。</w:t>
      </w:r>
    </w:p>
    <w:p>
      <w:pPr>
        <w:spacing w:line="360" w:lineRule="auto"/>
        <w:ind w:firstLine="470" w:firstLineChars="224"/>
        <w:rPr>
          <w:bCs/>
          <w:color w:val="auto"/>
          <w:szCs w:val="21"/>
          <w:highlight w:val="none"/>
        </w:rPr>
      </w:pPr>
      <w:r>
        <w:rPr>
          <w:rFonts w:hint="eastAsia"/>
          <w:bCs/>
          <w:color w:val="auto"/>
          <w:szCs w:val="21"/>
          <w:highlight w:val="none"/>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70" w:firstLineChars="224"/>
        <w:rPr>
          <w:bCs/>
          <w:color w:val="auto"/>
          <w:szCs w:val="21"/>
          <w:highlight w:val="none"/>
        </w:rPr>
      </w:pPr>
      <w:r>
        <w:rPr>
          <w:rFonts w:hint="eastAsia"/>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bCs/>
          <w:color w:val="auto"/>
          <w:szCs w:val="21"/>
          <w:highlight w:val="none"/>
        </w:rPr>
      </w:pPr>
      <w:r>
        <w:rPr>
          <w:rFonts w:hint="eastAsia"/>
          <w:bCs/>
          <w:color w:val="auto"/>
          <w:szCs w:val="21"/>
          <w:highlight w:val="none"/>
        </w:rPr>
        <w:t>11.2.3项目管理机构配备。</w:t>
      </w:r>
    </w:p>
    <w:p>
      <w:pPr>
        <w:spacing w:line="360" w:lineRule="auto"/>
        <w:ind w:firstLine="470" w:firstLineChars="224"/>
        <w:rPr>
          <w:bCs/>
          <w:color w:val="auto"/>
          <w:szCs w:val="21"/>
          <w:highlight w:val="none"/>
        </w:rPr>
      </w:pPr>
      <w:r>
        <w:rPr>
          <w:rFonts w:hint="eastAsia"/>
          <w:bCs/>
          <w:color w:val="auto"/>
          <w:szCs w:val="21"/>
          <w:highlight w:val="none"/>
        </w:rPr>
        <w:t>（1）投标人应列出该项目工程的施工组织机构构成和画出机构框架图及其负责人；</w:t>
      </w:r>
    </w:p>
    <w:p>
      <w:pPr>
        <w:spacing w:line="360" w:lineRule="auto"/>
        <w:ind w:firstLine="470" w:firstLineChars="224"/>
        <w:rPr>
          <w:bCs/>
          <w:color w:val="auto"/>
          <w:szCs w:val="21"/>
          <w:highlight w:val="none"/>
        </w:rPr>
      </w:pPr>
      <w:r>
        <w:rPr>
          <w:rFonts w:hint="eastAsia"/>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bCs/>
          <w:color w:val="auto"/>
          <w:szCs w:val="21"/>
          <w:highlight w:val="none"/>
        </w:rPr>
      </w:pPr>
      <w:r>
        <w:rPr>
          <w:rFonts w:hint="eastAsia"/>
          <w:bCs/>
          <w:color w:val="auto"/>
          <w:szCs w:val="21"/>
          <w:highlight w:val="none"/>
        </w:rPr>
        <w:t>（3）其他辅助说明资料。</w:t>
      </w:r>
    </w:p>
    <w:p>
      <w:pPr>
        <w:spacing w:line="360" w:lineRule="auto"/>
        <w:ind w:firstLine="470" w:firstLineChars="224"/>
        <w:rPr>
          <w:bCs/>
          <w:color w:val="auto"/>
          <w:szCs w:val="21"/>
          <w:highlight w:val="none"/>
        </w:rPr>
      </w:pPr>
      <w:r>
        <w:rPr>
          <w:rFonts w:hint="eastAsia"/>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bCs/>
          <w:color w:val="auto"/>
          <w:szCs w:val="21"/>
          <w:highlight w:val="none"/>
        </w:rPr>
      </w:pPr>
      <w:r>
        <w:rPr>
          <w:rFonts w:hint="eastAsia"/>
          <w:bCs/>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70" w:firstLineChars="224"/>
        <w:rPr>
          <w:bCs/>
          <w:color w:val="auto"/>
          <w:szCs w:val="21"/>
          <w:highlight w:val="none"/>
        </w:rPr>
      </w:pPr>
      <w:r>
        <w:rPr>
          <w:rFonts w:hint="eastAsia"/>
          <w:bCs/>
          <w:color w:val="auto"/>
          <w:szCs w:val="21"/>
          <w:highlight w:val="none"/>
        </w:rPr>
        <w:t>11.2.6按照招标文件要求填写的《参与编制技术标投标文件人员名单》。</w:t>
      </w:r>
    </w:p>
    <w:p>
      <w:pPr>
        <w:spacing w:line="360" w:lineRule="auto"/>
        <w:ind w:firstLine="422" w:firstLineChars="200"/>
        <w:rPr>
          <w:rFonts w:ascii="宋体" w:hAnsi="宋体"/>
          <w:bCs/>
          <w:color w:val="auto"/>
          <w:szCs w:val="21"/>
          <w:highlight w:val="none"/>
        </w:rPr>
      </w:pPr>
      <w:r>
        <w:rPr>
          <w:rFonts w:hint="eastAsia"/>
          <w:b/>
          <w:color w:val="auto"/>
          <w:szCs w:val="21"/>
          <w:highlight w:val="none"/>
        </w:rPr>
        <w:t>现文：</w:t>
      </w:r>
      <w:r>
        <w:rPr>
          <w:rFonts w:hint="eastAsia" w:ascii="宋体" w:hAnsi="宋体"/>
          <w:bCs/>
          <w:color w:val="auto"/>
          <w:szCs w:val="21"/>
          <w:highlight w:val="none"/>
        </w:rPr>
        <w:t>投标文件技术标部分（含资格审查文件）主要包括下列内容</w:t>
      </w:r>
      <w:r>
        <w:rPr>
          <w:rFonts w:ascii="宋体" w:hAnsi="宋体"/>
          <w:bCs/>
          <w:color w:val="auto"/>
          <w:szCs w:val="21"/>
          <w:highlight w:val="none"/>
        </w:rPr>
        <w:t>:</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11.2.1 </w:t>
      </w:r>
      <w:r>
        <w:rPr>
          <w:rFonts w:hint="eastAsia" w:ascii="宋体"/>
          <w:bCs/>
          <w:color w:val="auto"/>
          <w:szCs w:val="21"/>
          <w:highlight w:val="none"/>
          <w:lang w:val="zh-CN"/>
        </w:rPr>
        <w:t>广州建设工程施工招标投标书</w:t>
      </w:r>
      <w:r>
        <w:rPr>
          <w:rFonts w:ascii="宋体" w:hAnsi="宋体"/>
          <w:color w:val="auto"/>
          <w:szCs w:val="21"/>
          <w:highlight w:val="none"/>
        </w:rPr>
        <w:t>(</w:t>
      </w:r>
      <w:r>
        <w:rPr>
          <w:rFonts w:hint="eastAsia" w:ascii="宋体" w:hAnsi="宋体"/>
          <w:color w:val="auto"/>
          <w:szCs w:val="21"/>
          <w:highlight w:val="none"/>
        </w:rPr>
        <w:t>格式见第四章投标文件格式</w:t>
      </w:r>
      <w:r>
        <w:rPr>
          <w:rFonts w:ascii="宋体" w:hAnsi="宋体"/>
          <w:color w:val="auto"/>
          <w:szCs w:val="21"/>
          <w:highlight w:val="none"/>
        </w:rPr>
        <w:t>)</w:t>
      </w:r>
      <w:r>
        <w:rPr>
          <w:rFonts w:hint="eastAsia" w:ascii="宋体"/>
          <w:bCs/>
          <w:color w:val="auto"/>
          <w:szCs w:val="21"/>
          <w:highlight w:val="none"/>
        </w:rPr>
        <w:t>；</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11.2.2 资格审查文件：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（1）投标人声明； </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（2）法定代表人证明书、法定代表人签字或盖章的本投标文件授权委托证明书；</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（3）企业营业执照（取自平台内上传件）；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（4）企业资质证书（取自平台内上传件）；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（5）建筑施工企业安全生产许可证（取自平台内上传件）；</w:t>
      </w:r>
    </w:p>
    <w:p>
      <w:pPr>
        <w:spacing w:line="360" w:lineRule="auto"/>
        <w:ind w:firstLine="420" w:firstLineChars="200"/>
        <w:rPr>
          <w:rFonts w:ascii="宋体" w:hAnsi="宋体"/>
          <w:bCs/>
          <w:color w:val="auto"/>
          <w:szCs w:val="21"/>
          <w:highlight w:val="none"/>
        </w:rPr>
      </w:pPr>
      <w:r>
        <w:rPr>
          <w:rFonts w:hint="eastAsia" w:ascii="宋体"/>
          <w:bCs/>
          <w:color w:val="auto"/>
          <w:szCs w:val="21"/>
          <w:highlight w:val="none"/>
        </w:rPr>
        <w:t>（6）</w:t>
      </w:r>
      <w:r>
        <w:rPr>
          <w:rFonts w:hint="eastAsia" w:ascii="宋体" w:hAnsi="宋体"/>
          <w:bCs/>
          <w:color w:val="auto"/>
          <w:szCs w:val="21"/>
          <w:highlight w:val="none"/>
        </w:rPr>
        <w:t>项目负责人（按网上投标登记时选择拟投标的项目负责人）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（8）拟委托技术负责人的职称证书；</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（9）拟委派项目负责人的建筑工程专业贰级或以上级别的注册建造师证书（取自平台内上传件）； </w:t>
      </w:r>
      <w:r>
        <w:rPr>
          <w:rFonts w:hint="eastAsia" w:ascii="宋体" w:hAnsi="宋体" w:cs="宋体"/>
          <w:bCs/>
          <w:color w:val="auto"/>
          <w:szCs w:val="21"/>
          <w:highlight w:val="none"/>
          <w:u w:val="single"/>
        </w:rPr>
        <w:t>注：打印建造师电子证书后，应在个人签名处手写本人签名再上传广州市住建行业信用平台，上传件未手写签名或与签名图像笔迹不一致的，该电子证书无效；</w:t>
      </w:r>
      <w:r>
        <w:rPr>
          <w:rFonts w:ascii="宋体" w:hAnsi="宋体" w:cs="宋体"/>
          <w:bCs/>
          <w:color w:val="auto"/>
          <w:szCs w:val="21"/>
          <w:highlight w:val="none"/>
          <w:u w:val="single"/>
        </w:rPr>
        <w:t xml:space="preserve"> </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（10）</w:t>
      </w:r>
      <w:r>
        <w:rPr>
          <w:rFonts w:hint="eastAsia" w:ascii="宋体" w:hAnsi="Times New Roman" w:eastAsia="宋体"/>
          <w:bCs/>
          <w:color w:val="auto"/>
          <w:sz w:val="21"/>
          <w:szCs w:val="21"/>
          <w:highlight w:val="none"/>
        </w:rPr>
        <w:t>项目负责人持有安全</w:t>
      </w:r>
      <w:r>
        <w:rPr>
          <w:rFonts w:hint="eastAsia" w:ascii="宋体"/>
          <w:bCs/>
          <w:color w:val="auto"/>
          <w:sz w:val="21"/>
          <w:szCs w:val="21"/>
          <w:highlight w:val="none"/>
          <w:lang w:val="en-US" w:eastAsia="zh-CN"/>
        </w:rPr>
        <w:t>生产</w:t>
      </w:r>
      <w:r>
        <w:rPr>
          <w:rFonts w:hint="eastAsia" w:ascii="宋体" w:hAnsi="Times New Roman" w:eastAsia="宋体"/>
          <w:bCs/>
          <w:color w:val="auto"/>
          <w:sz w:val="21"/>
          <w:szCs w:val="21"/>
          <w:highlight w:val="none"/>
        </w:rPr>
        <w:t>考核合格证（B类）或建筑施工企业项目负责人安全生产考核合格证</w:t>
      </w:r>
      <w:r>
        <w:rPr>
          <w:rFonts w:hint="eastAsia" w:ascii="宋体" w:hAnsi="Times New Roman" w:eastAsia="宋体"/>
          <w:bCs/>
          <w:color w:val="auto"/>
          <w:sz w:val="21"/>
          <w:szCs w:val="21"/>
          <w:highlight w:val="none"/>
          <w:lang w:eastAsia="zh-CN"/>
        </w:rPr>
        <w:t>书</w:t>
      </w:r>
      <w:r>
        <w:rPr>
          <w:rFonts w:hint="eastAsia" w:ascii="宋体"/>
          <w:bCs/>
          <w:color w:val="auto"/>
          <w:szCs w:val="21"/>
          <w:highlight w:val="none"/>
        </w:rPr>
        <w:t>（取自平台内上传件）；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（11）专职安全员须具有安全生产考核合格证（C类）或建筑施工企业专职安全生产管理人员安全生产考核合格证书</w:t>
      </w:r>
      <w:r>
        <w:rPr>
          <w:rFonts w:hint="eastAsia" w:ascii="宋体"/>
          <w:bCs/>
          <w:color w:val="auto"/>
          <w:szCs w:val="21"/>
          <w:highlight w:val="none"/>
          <w:lang w:eastAsia="zh-CN"/>
        </w:rPr>
        <w:t>（</w:t>
      </w:r>
      <w:r>
        <w:rPr>
          <w:rFonts w:hint="eastAsia" w:ascii="宋体"/>
          <w:bCs/>
          <w:color w:val="auto"/>
          <w:szCs w:val="21"/>
          <w:highlight w:val="none"/>
        </w:rPr>
        <w:t>C3类</w:t>
      </w:r>
      <w:r>
        <w:rPr>
          <w:rFonts w:hint="eastAsia" w:ascii="宋体"/>
          <w:bCs/>
          <w:color w:val="auto"/>
          <w:szCs w:val="21"/>
          <w:highlight w:val="none"/>
          <w:lang w:eastAsia="zh-CN"/>
        </w:rPr>
        <w:t>）</w:t>
      </w:r>
      <w:r>
        <w:rPr>
          <w:rFonts w:hint="eastAsia" w:ascii="宋体"/>
          <w:bCs/>
          <w:color w:val="auto"/>
          <w:szCs w:val="21"/>
          <w:highlight w:val="none"/>
        </w:rPr>
        <w:t>（取自平台内上传件）；</w:t>
      </w:r>
    </w:p>
    <w:p>
      <w:pPr>
        <w:spacing w:line="360" w:lineRule="auto"/>
        <w:ind w:firstLine="420" w:firstLineChars="200"/>
        <w:rPr>
          <w:rFonts w:ascii="宋体" w:hAnsi="宋体"/>
          <w:bCs/>
          <w:color w:val="auto"/>
          <w:szCs w:val="21"/>
          <w:highlight w:val="none"/>
        </w:rPr>
      </w:pPr>
      <w:r>
        <w:rPr>
          <w:rFonts w:hint="eastAsia" w:ascii="宋体"/>
          <w:bCs/>
          <w:color w:val="auto"/>
          <w:szCs w:val="21"/>
          <w:highlight w:val="none"/>
        </w:rPr>
        <w:t>（12）资格审查前，投标人须在广州市住建行业信用管理平台建立企业信用档案及拟担任本工程项目负责人、专职安全员须是本企业信用档案中的在册人员。</w:t>
      </w:r>
      <w:r>
        <w:rPr>
          <w:rFonts w:hint="eastAsia" w:ascii="宋体" w:hAnsi="宋体"/>
          <w:bCs/>
          <w:color w:val="auto"/>
          <w:szCs w:val="21"/>
          <w:highlight w:val="none"/>
        </w:rPr>
        <w:t xml:space="preserve"> </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（13）投标人认为应提供的其他资料。</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11.2.3 《施工项目管理团队人员信息表》（格式见第四章投标文件格式）；</w:t>
      </w:r>
    </w:p>
    <w:p>
      <w:pPr>
        <w:tabs>
          <w:tab w:val="left" w:pos="1125"/>
        </w:tabs>
        <w:spacing w:line="360" w:lineRule="auto"/>
        <w:ind w:firstLine="420" w:firstLineChars="200"/>
        <w:rPr>
          <w:rFonts w:hint="eastAsia" w:ascii="宋体"/>
          <w:bCs/>
          <w:color w:val="auto"/>
          <w:szCs w:val="21"/>
          <w:highlight w:val="none"/>
          <w:lang w:eastAsia="zh-CN"/>
        </w:rPr>
      </w:pPr>
      <w:r>
        <w:rPr>
          <w:rFonts w:hint="eastAsia" w:ascii="宋体"/>
          <w:bCs/>
          <w:color w:val="auto"/>
          <w:szCs w:val="21"/>
          <w:highlight w:val="none"/>
        </w:rPr>
        <w:t xml:space="preserve">11.2.4 </w:t>
      </w:r>
      <w:r>
        <w:rPr>
          <w:rFonts w:hint="eastAsia" w:ascii="宋体"/>
          <w:bCs/>
          <w:color w:val="auto"/>
          <w:szCs w:val="21"/>
          <w:highlight w:val="none"/>
          <w:lang w:val="en-US" w:eastAsia="zh-CN"/>
        </w:rPr>
        <w:t xml:space="preserve"> </w:t>
      </w:r>
      <w:r>
        <w:rPr>
          <w:rFonts w:hint="eastAsia" w:ascii="宋体"/>
          <w:bCs/>
          <w:color w:val="auto"/>
          <w:szCs w:val="21"/>
          <w:highlight w:val="none"/>
        </w:rPr>
        <w:t>企业资信（</w:t>
      </w:r>
      <w:r>
        <w:rPr>
          <w:rFonts w:hint="eastAsia" w:ascii="宋体" w:hAnsi="宋体" w:eastAsia="宋体"/>
          <w:sz w:val="21"/>
          <w:szCs w:val="24"/>
        </w:rPr>
        <w:t>企业类似工程</w:t>
      </w:r>
      <w:r>
        <w:rPr>
          <w:rFonts w:hint="eastAsia" w:ascii="宋体" w:hAnsi="宋体" w:eastAsia="宋体"/>
          <w:sz w:val="21"/>
          <w:szCs w:val="24"/>
          <w:lang w:eastAsia="zh-CN"/>
        </w:rPr>
        <w:t>业绩</w:t>
      </w:r>
      <w:r>
        <w:rPr>
          <w:rFonts w:hint="eastAsia" w:ascii="宋体"/>
          <w:bCs/>
          <w:color w:val="auto"/>
          <w:szCs w:val="21"/>
          <w:highlight w:val="none"/>
        </w:rPr>
        <w:t>、</w:t>
      </w:r>
      <w:r>
        <w:rPr>
          <w:rFonts w:hint="eastAsia" w:ascii="宋体"/>
          <w:bCs/>
          <w:color w:val="auto"/>
          <w:szCs w:val="21"/>
          <w:highlight w:val="none"/>
          <w:lang w:eastAsia="zh-CN"/>
        </w:rPr>
        <w:t>企业获奖</w:t>
      </w:r>
      <w:r>
        <w:rPr>
          <w:rFonts w:hint="eastAsia" w:ascii="宋体"/>
          <w:bCs/>
          <w:color w:val="auto"/>
          <w:szCs w:val="21"/>
          <w:highlight w:val="none"/>
        </w:rPr>
        <w:t>、</w:t>
      </w:r>
      <w:r>
        <w:rPr>
          <w:rFonts w:hint="eastAsia" w:ascii="宋体"/>
          <w:bCs/>
          <w:color w:val="auto"/>
          <w:szCs w:val="21"/>
          <w:highlight w:val="none"/>
          <w:lang w:eastAsia="zh-CN"/>
        </w:rPr>
        <w:t>第三方评价</w:t>
      </w:r>
      <w:r>
        <w:rPr>
          <w:rFonts w:hint="eastAsia" w:ascii="宋体"/>
          <w:bCs/>
          <w:color w:val="auto"/>
          <w:szCs w:val="21"/>
          <w:highlight w:val="none"/>
        </w:rPr>
        <w:t>及</w:t>
      </w:r>
      <w:r>
        <w:rPr>
          <w:rFonts w:hint="eastAsia" w:ascii="宋体"/>
          <w:bCs/>
          <w:color w:val="auto"/>
          <w:szCs w:val="21"/>
          <w:highlight w:val="none"/>
          <w:lang w:eastAsia="zh-CN"/>
        </w:rPr>
        <w:t>工程研发能力</w:t>
      </w:r>
      <w:r>
        <w:rPr>
          <w:rFonts w:hint="eastAsia" w:ascii="宋体"/>
          <w:bCs/>
          <w:color w:val="auto"/>
          <w:szCs w:val="21"/>
          <w:highlight w:val="none"/>
        </w:rPr>
        <w:t>等资料）</w:t>
      </w:r>
      <w:r>
        <w:rPr>
          <w:rFonts w:hint="eastAsia" w:ascii="宋体"/>
          <w:bCs/>
          <w:color w:val="auto"/>
          <w:szCs w:val="21"/>
          <w:highlight w:val="none"/>
          <w:lang w:eastAsia="zh-CN"/>
        </w:rPr>
        <w:t>；</w:t>
      </w:r>
    </w:p>
    <w:p>
      <w:pPr>
        <w:tabs>
          <w:tab w:val="left" w:pos="1125"/>
        </w:tabs>
        <w:spacing w:line="360" w:lineRule="auto"/>
        <w:ind w:firstLine="420" w:firstLineChars="200"/>
        <w:rPr>
          <w:rFonts w:ascii="宋体"/>
          <w:bCs/>
          <w:color w:val="auto"/>
          <w:szCs w:val="21"/>
          <w:highlight w:val="none"/>
        </w:rPr>
      </w:pPr>
      <w:r>
        <w:rPr>
          <w:rFonts w:hint="eastAsia" w:ascii="宋体"/>
          <w:bCs/>
          <w:color w:val="auto"/>
          <w:szCs w:val="21"/>
          <w:highlight w:val="none"/>
          <w:lang w:val="en-US" w:eastAsia="zh-CN"/>
        </w:rPr>
        <w:t xml:space="preserve">11.2.5 </w:t>
      </w:r>
      <w:r>
        <w:rPr>
          <w:rFonts w:hint="eastAsia" w:ascii="宋体"/>
          <w:bCs/>
          <w:color w:val="auto"/>
          <w:szCs w:val="21"/>
          <w:highlight w:val="none"/>
        </w:rPr>
        <w:t>《投标函》（格式见第四章投标文件格式）；</w:t>
      </w:r>
    </w:p>
    <w:p>
      <w:pPr>
        <w:tabs>
          <w:tab w:val="left" w:pos="1125"/>
        </w:tabs>
        <w:spacing w:line="360" w:lineRule="auto"/>
        <w:ind w:firstLine="420" w:firstLineChars="200"/>
        <w:rPr>
          <w:rFonts w:ascii="宋体"/>
          <w:bCs/>
          <w:color w:val="auto"/>
          <w:szCs w:val="21"/>
          <w:highlight w:val="none"/>
        </w:rPr>
      </w:pPr>
      <w:r>
        <w:rPr>
          <w:rFonts w:hint="eastAsia" w:ascii="宋体"/>
          <w:bCs/>
          <w:color w:val="auto"/>
          <w:szCs w:val="21"/>
          <w:highlight w:val="none"/>
        </w:rPr>
        <w:t>11.2.</w:t>
      </w:r>
      <w:r>
        <w:rPr>
          <w:rFonts w:hint="eastAsia" w:ascii="宋体"/>
          <w:bCs/>
          <w:color w:val="auto"/>
          <w:szCs w:val="21"/>
          <w:highlight w:val="none"/>
          <w:lang w:val="en-US" w:eastAsia="zh-CN"/>
        </w:rPr>
        <w:t>6</w:t>
      </w:r>
      <w:r>
        <w:rPr>
          <w:rFonts w:hint="eastAsia" w:ascii="宋体"/>
          <w:bCs/>
          <w:color w:val="auto"/>
          <w:szCs w:val="21"/>
          <w:highlight w:val="none"/>
        </w:rPr>
        <w:t xml:space="preserve"> 《响应招标文件所附施工组织设计要点的承诺书》（格式见第四章投标文件格式）；</w:t>
      </w:r>
    </w:p>
    <w:p>
      <w:pPr>
        <w:pBdr>
          <w:bottom w:val="none" w:color="auto" w:sz="0" w:space="0"/>
        </w:pBdr>
        <w:spacing w:line="360" w:lineRule="auto"/>
        <w:ind w:firstLine="420" w:firstLineChars="200"/>
        <w:rPr>
          <w:b/>
          <w:color w:val="auto"/>
          <w:szCs w:val="21"/>
          <w:highlight w:val="none"/>
        </w:rPr>
      </w:pPr>
      <w:r>
        <w:rPr>
          <w:rFonts w:hint="eastAsia" w:ascii="宋体" w:hAnsi="宋体"/>
          <w:color w:val="auto"/>
          <w:szCs w:val="21"/>
          <w:highlight w:val="none"/>
        </w:rPr>
        <w:t>11.2.</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 《参与编制技术标投标文件人员名单》（格式见第四章投标文件格式）；</w:t>
      </w:r>
    </w:p>
    <w:p>
      <w:pPr>
        <w:spacing w:line="480" w:lineRule="auto"/>
        <w:ind w:firstLine="472" w:firstLineChars="224"/>
        <w:rPr>
          <w:b/>
          <w:color w:val="auto"/>
          <w:szCs w:val="21"/>
          <w:highlight w:val="none"/>
        </w:rPr>
      </w:pPr>
      <w:r>
        <w:rPr>
          <w:rFonts w:hint="eastAsia"/>
          <w:b/>
          <w:color w:val="auto"/>
          <w:szCs w:val="21"/>
          <w:highlight w:val="none"/>
        </w:rPr>
        <w:t>条款号：11.3.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Cs w:val="20"/>
          <w:highlight w:val="none"/>
        </w:rPr>
      </w:pPr>
      <w:r>
        <w:rPr>
          <w:rFonts w:hint="eastAsia"/>
          <w:b/>
          <w:color w:val="auto"/>
          <w:szCs w:val="21"/>
          <w:highlight w:val="none"/>
        </w:rPr>
        <w:t>原文：</w:t>
      </w:r>
      <w:r>
        <w:rPr>
          <w:rFonts w:hint="eastAsia" w:ascii="宋体" w:hAnsi="宋体"/>
          <w:bCs/>
          <w:color w:val="auto"/>
          <w:szCs w:val="20"/>
          <w:highlight w:val="none"/>
        </w:rPr>
        <w:t>经济部分投标文件主要包括下列内容：</w:t>
      </w:r>
    </w:p>
    <w:p>
      <w:pPr>
        <w:spacing w:line="360" w:lineRule="auto"/>
        <w:ind w:firstLine="420" w:firstLineChars="200"/>
        <w:rPr>
          <w:rFonts w:ascii="宋体"/>
          <w:color w:val="auto"/>
          <w:szCs w:val="20"/>
          <w:highlight w:val="none"/>
        </w:rPr>
      </w:pPr>
      <w:r>
        <w:rPr>
          <w:rFonts w:ascii="宋体" w:hAnsi="宋体"/>
          <w:color w:val="auto"/>
          <w:szCs w:val="20"/>
          <w:highlight w:val="none"/>
        </w:rPr>
        <w:t xml:space="preserve">11.3.1 </w:t>
      </w:r>
      <w:r>
        <w:rPr>
          <w:rFonts w:hint="eastAsia" w:ascii="宋体" w:hAnsi="宋体"/>
          <w:color w:val="auto"/>
          <w:szCs w:val="20"/>
          <w:highlight w:val="none"/>
        </w:rPr>
        <w:t>经济投标文件</w:t>
      </w:r>
      <w:r>
        <w:rPr>
          <w:rFonts w:ascii="宋体" w:hAnsi="宋体"/>
          <w:color w:val="auto"/>
          <w:szCs w:val="20"/>
          <w:highlight w:val="none"/>
        </w:rPr>
        <w:t>(</w:t>
      </w:r>
      <w:r>
        <w:rPr>
          <w:rFonts w:hint="eastAsia" w:ascii="宋体" w:hAnsi="宋体"/>
          <w:color w:val="auto"/>
          <w:szCs w:val="20"/>
          <w:highlight w:val="none"/>
        </w:rPr>
        <w:t>按招标文件的要求填写</w:t>
      </w:r>
      <w:r>
        <w:rPr>
          <w:rFonts w:ascii="宋体" w:hAnsi="宋体"/>
          <w:color w:val="auto"/>
          <w:szCs w:val="20"/>
          <w:highlight w:val="none"/>
        </w:rPr>
        <w:t>)</w:t>
      </w:r>
      <w:r>
        <w:rPr>
          <w:rFonts w:hint="eastAsia" w:ascii="宋体" w:hAnsi="宋体"/>
          <w:color w:val="auto"/>
          <w:szCs w:val="20"/>
          <w:highlight w:val="none"/>
        </w:rPr>
        <w:t>。</w:t>
      </w:r>
    </w:p>
    <w:p>
      <w:pPr>
        <w:spacing w:line="360" w:lineRule="auto"/>
        <w:ind w:firstLine="420" w:firstLineChars="200"/>
        <w:rPr>
          <w:rFonts w:ascii="宋体"/>
          <w:color w:val="auto"/>
          <w:szCs w:val="20"/>
          <w:highlight w:val="none"/>
        </w:rPr>
      </w:pPr>
      <w:r>
        <w:rPr>
          <w:rFonts w:ascii="宋体" w:hAnsi="宋体"/>
          <w:color w:val="auto"/>
          <w:szCs w:val="20"/>
          <w:highlight w:val="none"/>
        </w:rPr>
        <w:t>11.3.2</w:t>
      </w:r>
      <w:r>
        <w:rPr>
          <w:rFonts w:hint="eastAsia" w:ascii="宋体" w:hAnsi="宋体"/>
          <w:color w:val="auto"/>
          <w:szCs w:val="20"/>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rPr>
        <w:t>其中包括如下：</w:t>
      </w:r>
      <w:r>
        <w:rPr>
          <w:rFonts w:ascii="宋体"/>
          <w:color w:val="auto"/>
          <w:szCs w:val="20"/>
          <w:highlight w:val="none"/>
        </w:rPr>
        <w:t xml:space="preserve"> </w:t>
      </w:r>
    </w:p>
    <w:p>
      <w:pPr>
        <w:spacing w:line="360" w:lineRule="auto"/>
        <w:ind w:firstLine="495" w:firstLineChars="236"/>
        <w:rPr>
          <w:rFonts w:ascii="宋体"/>
          <w:color w:val="auto"/>
          <w:szCs w:val="20"/>
          <w:highlight w:val="none"/>
        </w:rPr>
      </w:pPr>
      <w:r>
        <w:rPr>
          <w:rFonts w:hint="eastAsia" w:ascii="宋体" w:hAnsi="宋体"/>
          <w:color w:val="auto"/>
          <w:szCs w:val="20"/>
          <w:highlight w:val="none"/>
        </w:rPr>
        <w:t>（</w:t>
      </w:r>
      <w:r>
        <w:rPr>
          <w:rFonts w:ascii="宋体" w:hAnsi="宋体"/>
          <w:color w:val="auto"/>
          <w:szCs w:val="20"/>
          <w:highlight w:val="none"/>
        </w:rPr>
        <w:t>1</w:t>
      </w:r>
      <w:r>
        <w:rPr>
          <w:rFonts w:hint="eastAsia" w:ascii="宋体" w:hAnsi="宋体"/>
          <w:color w:val="auto"/>
          <w:szCs w:val="20"/>
          <w:highlight w:val="none"/>
        </w:rPr>
        <w:t>）投标总价封面、扉页；</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）总说明</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（3）工程项目投标报价汇总表；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（5）单位工程投标报价汇总表；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（9）综合单价分析表；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（11）暂列金额明细表；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（13）专业工程暂估价明细表；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（14）计日工表；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（15）总承包服务计价表；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（16）规费和税金项目计价表；</w:t>
      </w:r>
    </w:p>
    <w:p>
      <w:pPr>
        <w:spacing w:line="360" w:lineRule="auto"/>
        <w:ind w:firstLine="420" w:firstLineChars="200"/>
        <w:rPr>
          <w:rFonts w:ascii="宋体"/>
          <w:color w:val="auto"/>
          <w:szCs w:val="20"/>
          <w:highlight w:val="none"/>
        </w:rPr>
      </w:pPr>
      <w:r>
        <w:rPr>
          <w:rFonts w:hint="eastAsia" w:ascii="宋体" w:hAnsi="宋体"/>
          <w:color w:val="auto"/>
          <w:szCs w:val="21"/>
          <w:highlight w:val="none"/>
        </w:rPr>
        <w:t xml:space="preserve"> （17）人工、主要材料和设备一览表</w:t>
      </w:r>
    </w:p>
    <w:p>
      <w:pPr>
        <w:tabs>
          <w:tab w:val="left" w:pos="1125"/>
        </w:tabs>
        <w:spacing w:line="360" w:lineRule="auto"/>
        <w:ind w:firstLine="420" w:firstLineChars="200"/>
        <w:rPr>
          <w:rFonts w:ascii="宋体" w:hAnsi="宋体"/>
          <w:color w:val="auto"/>
          <w:szCs w:val="20"/>
          <w:highlight w:val="none"/>
        </w:rPr>
      </w:pPr>
      <w:r>
        <w:rPr>
          <w:rFonts w:ascii="宋体" w:hAnsi="宋体"/>
          <w:color w:val="auto"/>
          <w:szCs w:val="20"/>
          <w:highlight w:val="none"/>
        </w:rPr>
        <w:t>11.3.</w:t>
      </w:r>
      <w:r>
        <w:rPr>
          <w:rFonts w:hint="eastAsia" w:ascii="宋体" w:hAnsi="宋体"/>
          <w:color w:val="auto"/>
          <w:szCs w:val="20"/>
          <w:highlight w:val="none"/>
        </w:rPr>
        <w:t>3按照</w:t>
      </w:r>
      <w:r>
        <w:rPr>
          <w:rFonts w:hint="eastAsia" w:ascii="宋体" w:hAnsi="宋体"/>
          <w:bCs/>
          <w:color w:val="auto"/>
          <w:szCs w:val="20"/>
          <w:highlight w:val="none"/>
        </w:rPr>
        <w:t>招标文件要求</w:t>
      </w:r>
      <w:r>
        <w:rPr>
          <w:rFonts w:hint="eastAsia" w:ascii="宋体" w:hAnsi="宋体"/>
          <w:color w:val="auto"/>
          <w:szCs w:val="20"/>
          <w:highlight w:val="none"/>
        </w:rPr>
        <w:t>填写的《参与编制经济标投标文件人员名单》。</w:t>
      </w:r>
    </w:p>
    <w:p>
      <w:pPr>
        <w:tabs>
          <w:tab w:val="left" w:pos="1125"/>
        </w:tabs>
        <w:spacing w:line="360" w:lineRule="auto"/>
        <w:ind w:firstLine="420" w:firstLineChars="200"/>
        <w:rPr>
          <w:b/>
          <w:color w:val="auto"/>
          <w:sz w:val="18"/>
          <w:szCs w:val="18"/>
          <w:highlight w:val="none"/>
        </w:rPr>
      </w:pPr>
      <w:r>
        <w:rPr>
          <w:rFonts w:hint="eastAsia" w:ascii="宋体" w:hAnsi="宋体"/>
          <w:color w:val="auto"/>
          <w:szCs w:val="20"/>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bCs/>
          <w:color w:val="auto"/>
          <w:szCs w:val="20"/>
          <w:highlight w:val="none"/>
        </w:rPr>
      </w:pPr>
      <w:r>
        <w:rPr>
          <w:rFonts w:hint="eastAsia"/>
          <w:b/>
          <w:color w:val="auto"/>
          <w:szCs w:val="21"/>
          <w:highlight w:val="none"/>
        </w:rPr>
        <w:t>现文：</w:t>
      </w:r>
      <w:r>
        <w:rPr>
          <w:rFonts w:hint="eastAsia" w:ascii="宋体" w:hAnsi="宋体"/>
          <w:bCs/>
          <w:color w:val="auto"/>
          <w:szCs w:val="20"/>
          <w:highlight w:val="none"/>
        </w:rPr>
        <w:t>经济部分投标文件主要包括下列内容：</w:t>
      </w:r>
    </w:p>
    <w:p>
      <w:pPr>
        <w:spacing w:line="360" w:lineRule="auto"/>
        <w:ind w:firstLine="420" w:firstLineChars="200"/>
        <w:rPr>
          <w:rFonts w:ascii="宋体"/>
          <w:color w:val="auto"/>
          <w:szCs w:val="20"/>
          <w:highlight w:val="none"/>
        </w:rPr>
      </w:pPr>
      <w:r>
        <w:rPr>
          <w:rFonts w:ascii="宋体" w:hAnsi="宋体"/>
          <w:color w:val="auto"/>
          <w:szCs w:val="20"/>
          <w:highlight w:val="none"/>
        </w:rPr>
        <w:t>11.3.1</w:t>
      </w:r>
      <w:r>
        <w:rPr>
          <w:rFonts w:hint="eastAsia" w:ascii="宋体" w:hAnsi="宋体"/>
          <w:color w:val="auto"/>
          <w:szCs w:val="20"/>
          <w:highlight w:val="none"/>
        </w:rPr>
        <w:t>广州建设工程施工招标投标书(格式见第四章投标文件格式)</w:t>
      </w:r>
      <w:r>
        <w:rPr>
          <w:rFonts w:hint="eastAsia" w:ascii="宋体" w:hAnsi="宋体"/>
          <w:color w:val="auto"/>
          <w:szCs w:val="20"/>
          <w:highlight w:val="none"/>
          <w:lang w:eastAsia="zh-CN"/>
        </w:rPr>
        <w:t>。</w:t>
      </w:r>
    </w:p>
    <w:p>
      <w:pPr>
        <w:tabs>
          <w:tab w:val="left" w:pos="1125"/>
        </w:tabs>
        <w:spacing w:line="360" w:lineRule="auto"/>
        <w:ind w:firstLine="420" w:firstLineChars="200"/>
        <w:rPr>
          <w:rFonts w:ascii="宋体" w:hAnsi="宋体"/>
          <w:color w:val="auto"/>
          <w:sz w:val="24"/>
          <w:highlight w:val="none"/>
        </w:rPr>
      </w:pPr>
      <w:r>
        <w:rPr>
          <w:rFonts w:ascii="宋体" w:hAnsi="宋体"/>
          <w:color w:val="auto"/>
          <w:szCs w:val="20"/>
          <w:highlight w:val="none"/>
        </w:rPr>
        <w:t>11.3.2</w:t>
      </w:r>
      <w:r>
        <w:rPr>
          <w:rFonts w:hint="eastAsia" w:ascii="宋体" w:hAnsi="宋体"/>
          <w:color w:val="auto"/>
          <w:szCs w:val="20"/>
          <w:highlight w:val="none"/>
        </w:rPr>
        <w:t xml:space="preserve">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广州公共资源交易中心的投标文件管理软件自动生成）</w:t>
      </w:r>
    </w:p>
    <w:p>
      <w:pPr>
        <w:tabs>
          <w:tab w:val="left" w:pos="1125"/>
        </w:tabs>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11.3.3按照招标文件要求填写的《参与编制经济标投标文件人员名单》</w:t>
      </w:r>
      <w:r>
        <w:rPr>
          <w:rFonts w:hint="eastAsia" w:ascii="宋体" w:hAnsi="宋体"/>
          <w:color w:val="auto"/>
          <w:szCs w:val="20"/>
          <w:highlight w:val="none"/>
          <w:lang w:eastAsia="zh-CN"/>
        </w:rPr>
        <w:t>、《对投标文件编制的承诺》（格式见第四章投标文件格式）</w:t>
      </w:r>
      <w:r>
        <w:rPr>
          <w:rFonts w:hint="eastAsia" w:ascii="宋体" w:hAnsi="宋体"/>
          <w:color w:val="auto"/>
          <w:szCs w:val="20"/>
          <w:highlight w:val="none"/>
        </w:rPr>
        <w:t>。</w:t>
      </w:r>
    </w:p>
    <w:p>
      <w:pPr>
        <w:pBdr>
          <w:bottom w:val="single" w:color="auto" w:sz="6" w:space="1"/>
        </w:pBdr>
        <w:spacing w:line="360" w:lineRule="auto"/>
        <w:ind w:firstLine="420" w:firstLineChars="200"/>
        <w:rPr>
          <w:b/>
          <w:color w:val="auto"/>
          <w:szCs w:val="21"/>
          <w:highlight w:val="none"/>
        </w:rPr>
      </w:pPr>
      <w:r>
        <w:rPr>
          <w:rFonts w:hint="eastAsia" w:ascii="宋体" w:hAnsi="宋体"/>
          <w:color w:val="auto"/>
          <w:szCs w:val="20"/>
          <w:highlight w:val="none"/>
        </w:rPr>
        <w:t>11.3.4若投标人的投标报价低于工程成本警戒价的，投标人还须提供详细的施工组织设计、单价、措施性费用、单价分析表、主要材料价格表、投标人成本分析供评标委员会评审。</w:t>
      </w:r>
    </w:p>
    <w:p>
      <w:pPr>
        <w:spacing w:line="480" w:lineRule="auto"/>
        <w:ind w:firstLine="472" w:firstLineChars="224"/>
        <w:rPr>
          <w:b/>
          <w:color w:val="auto"/>
          <w:szCs w:val="21"/>
          <w:highlight w:val="none"/>
        </w:rPr>
      </w:pPr>
      <w:r>
        <w:rPr>
          <w:rFonts w:hint="eastAsia"/>
          <w:b/>
          <w:color w:val="auto"/>
          <w:szCs w:val="21"/>
          <w:highlight w:val="none"/>
        </w:rPr>
        <w:t>条款号：12.2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w:t>
      </w:r>
      <w:r>
        <w:rPr>
          <w:rFonts w:hint="eastAsia"/>
          <w:color w:val="auto"/>
          <w:szCs w:val="21"/>
          <w:highlight w:val="none"/>
        </w:rPr>
        <w:t>全流程电子化项目的相关指南进行操作。详见：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color w:val="auto"/>
          <w:szCs w:val="21"/>
          <w:highlight w:val="none"/>
        </w:rPr>
        <w:t>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广州公共资源交易中心网站。</w:t>
      </w:r>
    </w:p>
    <w:p>
      <w:pPr>
        <w:spacing w:line="480" w:lineRule="auto"/>
        <w:ind w:firstLine="472" w:firstLineChars="224"/>
        <w:rPr>
          <w:b/>
          <w:color w:val="auto"/>
          <w:szCs w:val="21"/>
          <w:highlight w:val="none"/>
        </w:rPr>
      </w:pPr>
      <w:r>
        <w:rPr>
          <w:rFonts w:hint="eastAsia"/>
          <w:b/>
          <w:color w:val="auto"/>
          <w:szCs w:val="21"/>
          <w:highlight w:val="none"/>
        </w:rPr>
        <w:t>条款号：12.3</w:t>
      </w:r>
      <w:r>
        <w:rPr>
          <w:b/>
          <w:color w:val="auto"/>
          <w:szCs w:val="21"/>
          <w:highlight w:val="none"/>
        </w:rPr>
        <w:t xml:space="preserve">             </w:t>
      </w:r>
      <w:r>
        <w:rPr>
          <w:rFonts w:hint="eastAsia"/>
          <w:b/>
          <w:color w:val="auto"/>
          <w:szCs w:val="21"/>
          <w:highlight w:val="none"/>
        </w:rPr>
        <w:t>修改类型：修改</w:t>
      </w:r>
    </w:p>
    <w:p>
      <w:pPr>
        <w:pStyle w:val="37"/>
        <w:spacing w:after="0" w:line="360" w:lineRule="auto"/>
        <w:ind w:firstLine="422" w:firstLineChars="200"/>
        <w:rPr>
          <w:rFonts w:ascii="宋体" w:hAnsi="宋体"/>
          <w:color w:val="auto"/>
          <w:szCs w:val="16"/>
          <w:highlight w:val="none"/>
        </w:rPr>
      </w:pPr>
      <w:r>
        <w:rPr>
          <w:rFonts w:hint="eastAsia"/>
          <w:b/>
          <w:color w:val="auto"/>
          <w:szCs w:val="21"/>
          <w:highlight w:val="none"/>
        </w:rPr>
        <w:t>原文：</w:t>
      </w:r>
      <w:r>
        <w:rPr>
          <w:rFonts w:hint="eastAsia" w:ascii="宋体" w:hAnsi="宋体"/>
          <w:bCs/>
          <w:color w:val="auto"/>
          <w:szCs w:val="21"/>
          <w:highlight w:val="none"/>
        </w:rPr>
        <w:t>投标文件应按</w:t>
      </w:r>
      <w:r>
        <w:rPr>
          <w:rFonts w:hint="eastAsia" w:ascii="宋体" w:hAnsi="宋体"/>
          <w:color w:val="auto"/>
          <w:szCs w:val="16"/>
          <w:highlight w:val="none"/>
        </w:rPr>
        <w:t>照交易平台关于全流程电子化项目的相关指南进行编制，详见：</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16"/>
          <w:highlight w:val="none"/>
        </w:rPr>
        <w:t xml:space="preserve">。               </w:t>
      </w:r>
    </w:p>
    <w:p>
      <w:pPr>
        <w:spacing w:line="480" w:lineRule="auto"/>
        <w:ind w:firstLine="470" w:firstLineChars="224"/>
        <w:rPr>
          <w:b/>
          <w:color w:val="auto"/>
          <w:sz w:val="18"/>
          <w:szCs w:val="18"/>
          <w:highlight w:val="none"/>
        </w:rPr>
      </w:pPr>
      <w:r>
        <w:rPr>
          <w:rFonts w:hint="eastAsia" w:ascii="宋体" w:hAnsi="宋体"/>
          <w:bCs/>
          <w:color w:val="auto"/>
          <w:szCs w:val="21"/>
          <w:highlight w:val="none"/>
        </w:rPr>
        <w:t>如不按上述要求编制引起系统无法检索、读取相关信息的，其后果由投标人承担。</w:t>
      </w:r>
    </w:p>
    <w:p>
      <w:pPr>
        <w:pStyle w:val="37"/>
        <w:spacing w:after="0" w:line="360" w:lineRule="auto"/>
        <w:ind w:firstLine="422" w:firstLineChars="200"/>
        <w:rPr>
          <w:rFonts w:ascii="宋体" w:hAnsi="宋体"/>
          <w:color w:val="auto"/>
          <w:szCs w:val="16"/>
          <w:highlight w:val="none"/>
        </w:rPr>
      </w:pPr>
      <w:r>
        <w:rPr>
          <w:rFonts w:hint="eastAsia"/>
          <w:b/>
          <w:color w:val="auto"/>
          <w:szCs w:val="21"/>
          <w:highlight w:val="none"/>
        </w:rPr>
        <w:t>现文：</w:t>
      </w:r>
      <w:r>
        <w:rPr>
          <w:rFonts w:hint="eastAsia" w:ascii="宋体" w:hAnsi="宋体"/>
          <w:bCs/>
          <w:color w:val="auto"/>
          <w:szCs w:val="21"/>
          <w:highlight w:val="none"/>
        </w:rPr>
        <w:t>投标文件应按</w:t>
      </w:r>
      <w:r>
        <w:rPr>
          <w:rFonts w:hint="eastAsia" w:ascii="宋体" w:hAnsi="宋体"/>
          <w:color w:val="auto"/>
          <w:szCs w:val="16"/>
          <w:highlight w:val="none"/>
        </w:rPr>
        <w:t xml:space="preserve">照广州公共资源交易中心交易平台关于全流程电子化项目的相关指南进行编制，详见：广州公共资源交易中心网站。               </w:t>
      </w:r>
    </w:p>
    <w:p>
      <w:pPr>
        <w:pBdr>
          <w:bottom w:val="single" w:color="auto" w:sz="6" w:space="1"/>
        </w:pBdr>
        <w:spacing w:line="360" w:lineRule="auto"/>
        <w:ind w:firstLine="525" w:firstLineChars="250"/>
        <w:rPr>
          <w:b/>
          <w:color w:val="auto"/>
          <w:szCs w:val="21"/>
          <w:highlight w:val="none"/>
        </w:rPr>
      </w:pPr>
      <w:r>
        <w:rPr>
          <w:rFonts w:hint="eastAsia" w:ascii="宋体" w:hAnsi="宋体"/>
          <w:bCs/>
          <w:color w:val="auto"/>
          <w:szCs w:val="21"/>
          <w:highlight w:val="none"/>
        </w:rPr>
        <w:t>如不按上述要求编制引起系统无法检索、读取相关信息的，其后果由投标人承担。</w:t>
      </w:r>
    </w:p>
    <w:p>
      <w:pPr>
        <w:spacing w:line="480" w:lineRule="auto"/>
        <w:ind w:firstLine="472" w:firstLineChars="224"/>
        <w:rPr>
          <w:b/>
          <w:color w:val="auto"/>
          <w:szCs w:val="21"/>
          <w:highlight w:val="none"/>
        </w:rPr>
      </w:pPr>
      <w:r>
        <w:rPr>
          <w:rFonts w:hint="eastAsia"/>
          <w:b/>
          <w:color w:val="auto"/>
          <w:szCs w:val="21"/>
          <w:highlight w:val="none"/>
        </w:rPr>
        <w:t>条款号：13.1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本工程的投标报价采用投标须知前附表第</w:t>
      </w:r>
      <w:r>
        <w:rPr>
          <w:rFonts w:ascii="宋体" w:hAnsi="宋体"/>
          <w:color w:val="auto"/>
          <w:szCs w:val="20"/>
          <w:highlight w:val="none"/>
        </w:rPr>
        <w:t>12</w:t>
      </w:r>
      <w:r>
        <w:rPr>
          <w:rFonts w:hint="eastAsia" w:ascii="宋体" w:hAnsi="宋体"/>
          <w:color w:val="auto"/>
          <w:szCs w:val="20"/>
          <w:highlight w:val="none"/>
        </w:rPr>
        <w:t>项所规定的方式。投标报价（含单价及总价）精确到“分”。</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color w:val="auto"/>
          <w:szCs w:val="20"/>
          <w:highlight w:val="none"/>
        </w:rPr>
        <w:t>本工程的投标报价采用投标须知前附表第</w:t>
      </w:r>
      <w:r>
        <w:rPr>
          <w:rFonts w:ascii="宋体" w:hAnsi="宋体"/>
          <w:color w:val="auto"/>
          <w:szCs w:val="20"/>
          <w:highlight w:val="none"/>
        </w:rPr>
        <w:t>12</w:t>
      </w:r>
      <w:r>
        <w:rPr>
          <w:rFonts w:hint="eastAsia" w:ascii="宋体" w:hAnsi="宋体"/>
          <w:color w:val="auto"/>
          <w:szCs w:val="20"/>
          <w:highlight w:val="none"/>
        </w:rPr>
        <w:t>项所规定的方式。投标文件中的大写金额和小写金额不一致的，以大写金额为准。投标报价（含单价及总价）精确到“分”。</w:t>
      </w:r>
    </w:p>
    <w:p>
      <w:pPr>
        <w:spacing w:line="480" w:lineRule="auto"/>
        <w:ind w:firstLine="472" w:firstLineChars="224"/>
        <w:rPr>
          <w:b/>
          <w:color w:val="auto"/>
          <w:szCs w:val="21"/>
          <w:highlight w:val="none"/>
        </w:rPr>
      </w:pPr>
      <w:r>
        <w:rPr>
          <w:rFonts w:hint="eastAsia"/>
          <w:b/>
          <w:color w:val="auto"/>
          <w:szCs w:val="21"/>
          <w:highlight w:val="none"/>
        </w:rPr>
        <w:t>条款号：16</w:t>
      </w:r>
      <w:r>
        <w:rPr>
          <w:b/>
          <w:color w:val="auto"/>
          <w:szCs w:val="21"/>
          <w:highlight w:val="none"/>
        </w:rPr>
        <w:t xml:space="preserve">             </w:t>
      </w:r>
      <w:r>
        <w:rPr>
          <w:rFonts w:hint="eastAsia"/>
          <w:b/>
          <w:color w:val="auto"/>
          <w:szCs w:val="21"/>
          <w:highlight w:val="none"/>
        </w:rPr>
        <w:t>修改类型：修改</w:t>
      </w:r>
    </w:p>
    <w:p>
      <w:pPr>
        <w:spacing w:line="360" w:lineRule="auto"/>
        <w:ind w:firstLine="424" w:firstLineChars="201"/>
        <w:rPr>
          <w:rFonts w:ascii="宋体" w:hAnsi="宋体"/>
          <w:color w:val="auto"/>
          <w:szCs w:val="21"/>
          <w:highlight w:val="none"/>
        </w:rPr>
      </w:pPr>
      <w:r>
        <w:rPr>
          <w:rFonts w:hint="eastAsia" w:ascii="宋体" w:hAnsi="宋体"/>
          <w:b/>
          <w:color w:val="auto"/>
          <w:szCs w:val="21"/>
          <w:highlight w:val="none"/>
        </w:rPr>
        <w:t>原文：</w:t>
      </w:r>
    </w:p>
    <w:p>
      <w:pPr>
        <w:pStyle w:val="37"/>
        <w:spacing w:after="0" w:line="360" w:lineRule="auto"/>
        <w:ind w:firstLine="422" w:firstLineChars="200"/>
        <w:rPr>
          <w:rFonts w:ascii="宋体" w:hAnsi="宋体"/>
          <w:b/>
          <w:bCs/>
          <w:color w:val="auto"/>
          <w:szCs w:val="21"/>
          <w:highlight w:val="none"/>
        </w:rPr>
      </w:pPr>
      <w:r>
        <w:rPr>
          <w:rFonts w:ascii="宋体" w:hAnsi="宋体"/>
          <w:b/>
          <w:bCs/>
          <w:color w:val="auto"/>
          <w:szCs w:val="21"/>
          <w:highlight w:val="none"/>
        </w:rPr>
        <w:t>16．投标保证金</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16.1.1采用现金或者支票形式提交的，投标保证金须从投标人的银行基本账户转出。</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16.1.3采用电子形式的保函、担保或保证保险提交投标保证金的，应在招标文件中明确电子递交途径。</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16.3投标保证金应依据法律法规的相关规定退还。</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16.4如有下列情况之一的，招标人可以不予退还投标保证金（是否退还投标保证金由招标人在招标文件中规定）：</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16.4.1因投标人原因造成投标文件未解密的；</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16.4.2投标人在投标有效期内撤销投标文件；</w:t>
      </w:r>
    </w:p>
    <w:p>
      <w:pPr>
        <w:pStyle w:val="37"/>
        <w:spacing w:after="0" w:line="360" w:lineRule="auto"/>
        <w:ind w:firstLineChars="200"/>
        <w:rPr>
          <w:rFonts w:ascii="宋体" w:hAnsi="宋体"/>
          <w:color w:val="auto"/>
          <w:szCs w:val="21"/>
          <w:highlight w:val="none"/>
        </w:rPr>
      </w:pPr>
      <w:r>
        <w:rPr>
          <w:rFonts w:ascii="宋体" w:hAnsi="宋体"/>
          <w:color w:val="auto"/>
          <w:szCs w:val="21"/>
          <w:highlight w:val="none"/>
        </w:rPr>
        <w:t>16.4.3中标人未能在规定期限内按要求提交履约担保；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16.4.4中标人未能在规定期限内签署合同协议。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16.5.2采用非电子形式提交投标保证金的投标人存在16.4条款所列情形，且未按招标人要求</w:t>
      </w:r>
      <w:r>
        <w:rPr>
          <w:rFonts w:hint="eastAsia" w:ascii="宋体" w:hAnsi="宋体"/>
          <w:color w:val="auto"/>
          <w:szCs w:val="21"/>
          <w:highlight w:val="none"/>
        </w:rPr>
        <w:t>补交银行保函、专业工程担保公司担保或保证保险原件的；</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2" w:firstLineChars="201"/>
        <w:rPr>
          <w:rFonts w:ascii="宋体" w:hAnsi="宋体"/>
          <w:color w:val="auto"/>
          <w:szCs w:val="21"/>
          <w:highlight w:val="none"/>
        </w:rPr>
      </w:pPr>
      <w:r>
        <w:rPr>
          <w:rFonts w:ascii="宋体" w:hAnsi="宋体"/>
          <w:color w:val="auto"/>
          <w:szCs w:val="21"/>
          <w:highlight w:val="none"/>
        </w:rPr>
        <w:t>16.5.3按招标文件要求免于提供投标保证金的投标人存在16.4条款所列情形的。</w:t>
      </w:r>
    </w:p>
    <w:p>
      <w:pPr>
        <w:pBdr>
          <w:bottom w:val="single" w:color="auto" w:sz="6" w:space="1"/>
        </w:pBdr>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现文：</w:t>
      </w:r>
    </w:p>
    <w:p>
      <w:pPr>
        <w:pBdr>
          <w:bottom w:val="single" w:color="auto" w:sz="6" w:space="1"/>
        </w:pBdr>
        <w:spacing w:line="360" w:lineRule="auto"/>
        <w:ind w:firstLine="424" w:firstLineChars="201"/>
        <w:rPr>
          <w:rFonts w:ascii="宋体" w:hAnsi="宋体"/>
          <w:b/>
          <w:bCs/>
          <w:color w:val="auto"/>
          <w:szCs w:val="21"/>
          <w:highlight w:val="none"/>
        </w:rPr>
      </w:pPr>
      <w:r>
        <w:rPr>
          <w:rFonts w:ascii="宋体" w:hAnsi="宋体"/>
          <w:b/>
          <w:bCs/>
          <w:color w:val="auto"/>
          <w:szCs w:val="21"/>
          <w:highlight w:val="none"/>
        </w:rPr>
        <w:t>16．投标保证金</w:t>
      </w:r>
    </w:p>
    <w:p>
      <w:pPr>
        <w:pBdr>
          <w:bottom w:val="single" w:color="auto" w:sz="6" w:space="1"/>
        </w:pBdr>
        <w:spacing w:line="360" w:lineRule="auto"/>
        <w:ind w:firstLine="422" w:firstLineChars="201"/>
        <w:rPr>
          <w:rFonts w:hint="default" w:ascii="宋体" w:hAnsi="宋体" w:eastAsia="宋体"/>
          <w:color w:val="auto"/>
          <w:szCs w:val="21"/>
          <w:highlight w:val="none"/>
          <w:lang w:val="en-US" w:eastAsia="zh-CN"/>
        </w:rPr>
      </w:pPr>
      <w:r>
        <w:rPr>
          <w:rFonts w:ascii="宋体" w:hAnsi="宋体"/>
          <w:color w:val="auto"/>
          <w:szCs w:val="21"/>
          <w:highlight w:val="none"/>
        </w:rPr>
        <w:t>16.1</w:t>
      </w:r>
      <w:r>
        <w:rPr>
          <w:rFonts w:hint="eastAsia" w:ascii="宋体" w:hAnsi="宋体"/>
          <w:color w:val="auto"/>
          <w:szCs w:val="21"/>
          <w:highlight w:val="none"/>
          <w:lang w:val="en-US" w:eastAsia="zh-CN"/>
        </w:rPr>
        <w:t>本项目不要求递交投标保证金。</w:t>
      </w:r>
    </w:p>
    <w:p>
      <w:pPr>
        <w:spacing w:line="480" w:lineRule="auto"/>
        <w:ind w:firstLine="472" w:firstLineChars="224"/>
        <w:rPr>
          <w:b/>
          <w:color w:val="auto"/>
          <w:szCs w:val="21"/>
          <w:highlight w:val="none"/>
        </w:rPr>
      </w:pPr>
      <w:r>
        <w:rPr>
          <w:rFonts w:hint="eastAsia"/>
          <w:b/>
          <w:color w:val="auto"/>
          <w:szCs w:val="21"/>
          <w:highlight w:val="none"/>
        </w:rPr>
        <w:t>条款号：17.1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0"/>
          <w:highlight w:val="none"/>
          <w:u w:val="single"/>
        </w:rPr>
        <w:t xml:space="preserve">            </w:t>
      </w:r>
      <w:r>
        <w:rPr>
          <w:rFonts w:hint="eastAsia" w:ascii="宋体" w:hAnsi="宋体"/>
          <w:color w:val="auto"/>
          <w:szCs w:val="20"/>
          <w:highlight w:val="none"/>
        </w:rPr>
        <w:t xml:space="preserve"> 。</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bCs/>
          <w:color w:val="auto"/>
          <w:szCs w:val="21"/>
          <w:highlight w:val="none"/>
        </w:rPr>
        <w:t>投标人应采用单位数字证书，按招标文件要求在相应位置加盖电子印章。投标文件中需个人签字或盖章的，应在线下完成后扫描上传。按照交易平台关于全流程电子化项目的相关指南进行操作。</w:t>
      </w:r>
      <w:r>
        <w:rPr>
          <w:rFonts w:hint="eastAsia" w:ascii="宋体" w:hAnsi="宋体"/>
          <w:color w:val="auto"/>
          <w:szCs w:val="20"/>
          <w:highlight w:val="none"/>
        </w:rPr>
        <w:t>详见：广州公共资源交易中心网站。</w:t>
      </w:r>
    </w:p>
    <w:p>
      <w:pPr>
        <w:spacing w:line="480" w:lineRule="auto"/>
        <w:ind w:firstLine="472" w:firstLineChars="224"/>
        <w:rPr>
          <w:b/>
          <w:color w:val="auto"/>
          <w:szCs w:val="21"/>
          <w:highlight w:val="none"/>
        </w:rPr>
      </w:pPr>
      <w:r>
        <w:rPr>
          <w:rFonts w:hint="eastAsia"/>
          <w:b/>
          <w:color w:val="auto"/>
          <w:szCs w:val="21"/>
          <w:highlight w:val="none"/>
        </w:rPr>
        <w:t>条款号：18.1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递交的电子投标文件（不含备用光盘）必须进行加密。按照交易平台关于全流程电子化项目的相关指南进行操作。详见：            。</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bCs/>
          <w:color w:val="auto"/>
          <w:szCs w:val="20"/>
          <w:highlight w:val="none"/>
        </w:rPr>
        <w:t>递交的电子投标文件（不含备用光盘）必须进行加密。按照广州公共资源交易中心交易平台关于</w:t>
      </w:r>
      <w:r>
        <w:rPr>
          <w:rFonts w:hint="eastAsia"/>
          <w:color w:val="auto"/>
          <w:szCs w:val="21"/>
          <w:highlight w:val="none"/>
        </w:rPr>
        <w:t>全流程电子化项目的相关指南进行操作。详见：广州公共资源交易中心网站。</w:t>
      </w:r>
    </w:p>
    <w:p>
      <w:pPr>
        <w:spacing w:line="480" w:lineRule="auto"/>
        <w:ind w:firstLine="472" w:firstLineChars="224"/>
        <w:rPr>
          <w:b/>
          <w:color w:val="auto"/>
          <w:szCs w:val="21"/>
          <w:highlight w:val="none"/>
        </w:rPr>
      </w:pPr>
      <w:r>
        <w:rPr>
          <w:rFonts w:hint="eastAsia"/>
          <w:b/>
          <w:color w:val="auto"/>
          <w:szCs w:val="21"/>
          <w:highlight w:val="none"/>
        </w:rPr>
        <w:t>条款号：18.2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bCs/>
          <w:color w:val="auto"/>
          <w:szCs w:val="20"/>
          <w:highlight w:val="none"/>
        </w:rPr>
        <w:t>未按要求加密的投标文件，</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bCs/>
          <w:color w:val="auto"/>
          <w:szCs w:val="20"/>
          <w:highlight w:val="none"/>
        </w:rPr>
        <w:t>将予以拒收。</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bCs/>
          <w:color w:val="auto"/>
          <w:szCs w:val="20"/>
          <w:highlight w:val="none"/>
        </w:rPr>
        <w:t>未按要求加密的投标文件，</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bCs/>
          <w:color w:val="auto"/>
          <w:szCs w:val="20"/>
          <w:highlight w:val="none"/>
        </w:rPr>
        <w:t>将予以拒收。</w:t>
      </w:r>
    </w:p>
    <w:p>
      <w:pPr>
        <w:spacing w:line="480" w:lineRule="auto"/>
        <w:ind w:firstLine="472" w:firstLineChars="224"/>
        <w:rPr>
          <w:b/>
          <w:color w:val="auto"/>
          <w:szCs w:val="21"/>
          <w:highlight w:val="none"/>
        </w:rPr>
      </w:pPr>
      <w:r>
        <w:rPr>
          <w:rFonts w:hint="eastAsia"/>
          <w:b/>
          <w:color w:val="auto"/>
          <w:szCs w:val="21"/>
          <w:highlight w:val="none"/>
        </w:rPr>
        <w:t>条款号：19</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Cs w:val="20"/>
          <w:highlight w:val="none"/>
        </w:rPr>
      </w:pPr>
      <w:r>
        <w:rPr>
          <w:rFonts w:hint="eastAsia"/>
          <w:b/>
          <w:color w:val="auto"/>
          <w:szCs w:val="21"/>
          <w:highlight w:val="none"/>
        </w:rPr>
        <w:t>原文：</w:t>
      </w: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1投标人通过</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递交电子投标文件。</w:t>
      </w:r>
    </w:p>
    <w:p>
      <w:pPr>
        <w:spacing w:line="360" w:lineRule="auto"/>
        <w:ind w:firstLine="420" w:firstLineChars="200"/>
        <w:rPr>
          <w:rFonts w:ascii="宋体"/>
          <w:bCs/>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2投标人完成电子</w:t>
      </w:r>
      <w:r>
        <w:rPr>
          <w:rFonts w:hint="eastAsia" w:ascii="宋体" w:hAnsi="宋体"/>
          <w:color w:val="auto"/>
          <w:szCs w:val="20"/>
          <w:highlight w:val="none"/>
        </w:rPr>
        <w:t>投标文件</w:t>
      </w:r>
      <w:r>
        <w:rPr>
          <w:rFonts w:hint="eastAsia" w:ascii="宋体" w:hAnsi="宋体"/>
          <w:bCs/>
          <w:color w:val="auto"/>
          <w:szCs w:val="20"/>
          <w:highlight w:val="none"/>
        </w:rPr>
        <w:t>上传后，</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即时向投标人发出递交回执通知。递交时间以递交回执通知载明的传输完成时间为准。</w:t>
      </w:r>
    </w:p>
    <w:p>
      <w:pPr>
        <w:spacing w:line="360" w:lineRule="auto"/>
        <w:ind w:firstLine="420" w:firstLineChars="200"/>
        <w:rPr>
          <w:rFonts w:ascii="宋体" w:hAnsi="宋体"/>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3</w:t>
      </w:r>
      <w:r>
        <w:rPr>
          <w:rFonts w:hint="eastAsia"/>
          <w:bCs/>
          <w:color w:val="auto"/>
          <w:szCs w:val="21"/>
          <w:highlight w:val="none"/>
        </w:rPr>
        <w:t>逾期送达的</w:t>
      </w:r>
      <w:r>
        <w:rPr>
          <w:rFonts w:hint="eastAsia" w:ascii="宋体" w:hAnsi="宋体"/>
          <w:bCs/>
          <w:color w:val="auto"/>
          <w:szCs w:val="20"/>
          <w:highlight w:val="none"/>
        </w:rPr>
        <w:t>电子投标文件，</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将予以拒收。</w:t>
      </w:r>
    </w:p>
    <w:p>
      <w:pPr>
        <w:spacing w:line="360" w:lineRule="auto"/>
        <w:ind w:firstLine="420" w:firstLineChars="200"/>
        <w:rPr>
          <w:rFonts w:ascii="宋体"/>
          <w:color w:val="auto"/>
          <w:szCs w:val="20"/>
          <w:highlight w:val="none"/>
        </w:rPr>
      </w:pPr>
      <w:r>
        <w:rPr>
          <w:rFonts w:ascii="宋体" w:hAnsi="宋体"/>
          <w:color w:val="auto"/>
          <w:szCs w:val="20"/>
          <w:highlight w:val="none"/>
        </w:rPr>
        <w:t>19.</w:t>
      </w:r>
      <w:r>
        <w:rPr>
          <w:rFonts w:hint="eastAsia" w:ascii="宋体" w:hAnsi="宋体"/>
          <w:color w:val="auto"/>
          <w:szCs w:val="20"/>
          <w:highlight w:val="none"/>
        </w:rPr>
        <w:t>4</w:t>
      </w:r>
      <w:r>
        <w:rPr>
          <w:rFonts w:ascii="宋体" w:hAnsi="宋体"/>
          <w:color w:val="auto"/>
          <w:szCs w:val="20"/>
          <w:highlight w:val="none"/>
        </w:rPr>
        <w:t xml:space="preserve"> </w:t>
      </w:r>
      <w:r>
        <w:rPr>
          <w:rFonts w:hint="eastAsia" w:ascii="宋体" w:hAnsi="宋体"/>
          <w:color w:val="auto"/>
          <w:szCs w:val="21"/>
          <w:highlight w:val="none"/>
        </w:rPr>
        <w:t>投标截止前，</w:t>
      </w:r>
      <w:r>
        <w:rPr>
          <w:rFonts w:hint="eastAsia"/>
          <w:color w:val="auto"/>
          <w:szCs w:val="21"/>
          <w:highlight w:val="none"/>
        </w:rPr>
        <w:t>招标人拒绝接收符合条件的投标文件，投标人可向招标投标监督机构投诉。</w:t>
      </w:r>
    </w:p>
    <w:p>
      <w:pPr>
        <w:spacing w:line="360" w:lineRule="auto"/>
        <w:ind w:firstLine="420" w:firstLineChars="200"/>
        <w:rPr>
          <w:rFonts w:ascii="宋体" w:hAnsi="宋体"/>
          <w:color w:val="auto"/>
          <w:szCs w:val="20"/>
          <w:highlight w:val="none"/>
        </w:rPr>
      </w:pPr>
      <w:r>
        <w:rPr>
          <w:rFonts w:ascii="宋体" w:hAnsi="宋体"/>
          <w:color w:val="auto"/>
          <w:szCs w:val="20"/>
          <w:highlight w:val="none"/>
        </w:rPr>
        <w:t>19.</w:t>
      </w:r>
      <w:r>
        <w:rPr>
          <w:rFonts w:hint="eastAsia" w:ascii="宋体" w:hAnsi="宋体"/>
          <w:color w:val="auto"/>
          <w:szCs w:val="20"/>
          <w:highlight w:val="none"/>
        </w:rPr>
        <w:t>5如技术标和经济标先后分别开启，</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将按招标文件规定的时间分别开启技术标和经济标。</w:t>
      </w:r>
    </w:p>
    <w:p>
      <w:pPr>
        <w:spacing w:line="360" w:lineRule="auto"/>
        <w:ind w:firstLine="422" w:firstLineChars="200"/>
        <w:rPr>
          <w:rFonts w:ascii="宋体"/>
          <w:bCs/>
          <w:color w:val="auto"/>
          <w:szCs w:val="20"/>
          <w:highlight w:val="none"/>
        </w:rPr>
      </w:pPr>
      <w:r>
        <w:rPr>
          <w:rFonts w:hint="eastAsia"/>
          <w:b/>
          <w:color w:val="auto"/>
          <w:szCs w:val="21"/>
          <w:highlight w:val="none"/>
        </w:rPr>
        <w:t>现文：</w:t>
      </w: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1投标人通过</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递交电子投标文件。</w:t>
      </w:r>
    </w:p>
    <w:p>
      <w:pPr>
        <w:spacing w:line="360" w:lineRule="auto"/>
        <w:ind w:firstLine="420" w:firstLineChars="200"/>
        <w:rPr>
          <w:rFonts w:ascii="宋体"/>
          <w:bCs/>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2投标人完成电子</w:t>
      </w:r>
      <w:r>
        <w:rPr>
          <w:rFonts w:hint="eastAsia" w:ascii="宋体" w:hAnsi="宋体"/>
          <w:color w:val="auto"/>
          <w:szCs w:val="20"/>
          <w:highlight w:val="none"/>
        </w:rPr>
        <w:t>投标文件</w:t>
      </w:r>
      <w:r>
        <w:rPr>
          <w:rFonts w:hint="eastAsia" w:ascii="宋体" w:hAnsi="宋体"/>
          <w:bCs/>
          <w:color w:val="auto"/>
          <w:szCs w:val="20"/>
          <w:highlight w:val="none"/>
        </w:rPr>
        <w:t>上传后，</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即时向投标人发出递交回执通知。递交时间以递交回执通知载明的传输完成时间为准。</w:t>
      </w:r>
    </w:p>
    <w:p>
      <w:pPr>
        <w:spacing w:line="360" w:lineRule="auto"/>
        <w:ind w:firstLine="420" w:firstLineChars="200"/>
        <w:rPr>
          <w:rFonts w:ascii="宋体" w:hAnsi="宋体"/>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3</w:t>
      </w:r>
      <w:r>
        <w:rPr>
          <w:rFonts w:hint="eastAsia"/>
          <w:bCs/>
          <w:color w:val="auto"/>
          <w:szCs w:val="21"/>
          <w:highlight w:val="none"/>
        </w:rPr>
        <w:t>逾期送达的</w:t>
      </w:r>
      <w:r>
        <w:rPr>
          <w:rFonts w:hint="eastAsia" w:ascii="宋体" w:hAnsi="宋体"/>
          <w:bCs/>
          <w:color w:val="auto"/>
          <w:szCs w:val="20"/>
          <w:highlight w:val="none"/>
        </w:rPr>
        <w:t>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将予以拒收。</w:t>
      </w:r>
    </w:p>
    <w:p>
      <w:pPr>
        <w:pBdr>
          <w:bottom w:val="single" w:color="auto" w:sz="6" w:space="1"/>
        </w:pBdr>
        <w:ind w:firstLine="420" w:firstLineChars="200"/>
        <w:rPr>
          <w:b/>
          <w:color w:val="auto"/>
          <w:szCs w:val="21"/>
          <w:highlight w:val="none"/>
        </w:rPr>
      </w:pPr>
      <w:r>
        <w:rPr>
          <w:rFonts w:ascii="宋体" w:hAnsi="宋体"/>
          <w:color w:val="auto"/>
          <w:szCs w:val="20"/>
          <w:highlight w:val="none"/>
        </w:rPr>
        <w:t>19.</w:t>
      </w:r>
      <w:r>
        <w:rPr>
          <w:rFonts w:hint="eastAsia" w:ascii="宋体" w:hAnsi="宋体"/>
          <w:color w:val="auto"/>
          <w:szCs w:val="20"/>
          <w:highlight w:val="none"/>
        </w:rPr>
        <w:t>4</w:t>
      </w:r>
      <w:r>
        <w:rPr>
          <w:rFonts w:ascii="宋体" w:hAnsi="宋体"/>
          <w:color w:val="auto"/>
          <w:szCs w:val="20"/>
          <w:highlight w:val="none"/>
        </w:rPr>
        <w:t xml:space="preserve"> </w:t>
      </w:r>
      <w:r>
        <w:rPr>
          <w:rFonts w:hint="eastAsia" w:ascii="宋体" w:hAnsi="宋体"/>
          <w:color w:val="auto"/>
          <w:szCs w:val="21"/>
          <w:highlight w:val="none"/>
        </w:rPr>
        <w:t>投标截止前，</w:t>
      </w:r>
      <w:r>
        <w:rPr>
          <w:rFonts w:hint="eastAsia"/>
          <w:color w:val="auto"/>
          <w:szCs w:val="21"/>
          <w:highlight w:val="none"/>
        </w:rPr>
        <w:t>招标人拒绝接收符合条件的投标文件，投标人可向招标投标监督机构投诉。</w:t>
      </w:r>
    </w:p>
    <w:p>
      <w:pPr>
        <w:spacing w:line="480" w:lineRule="auto"/>
        <w:ind w:firstLine="472" w:firstLineChars="224"/>
        <w:rPr>
          <w:b/>
          <w:color w:val="auto"/>
          <w:szCs w:val="21"/>
          <w:highlight w:val="none"/>
        </w:rPr>
      </w:pPr>
      <w:r>
        <w:rPr>
          <w:rFonts w:hint="eastAsia"/>
          <w:b/>
          <w:color w:val="auto"/>
          <w:szCs w:val="21"/>
          <w:highlight w:val="none"/>
        </w:rPr>
        <w:t>条款号：21.1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本须知前附表第</w:t>
      </w:r>
      <w:r>
        <w:rPr>
          <w:rFonts w:ascii="宋体" w:hAnsi="宋体"/>
          <w:color w:val="auto"/>
          <w:szCs w:val="20"/>
          <w:highlight w:val="none"/>
        </w:rPr>
        <w:t>1</w:t>
      </w:r>
      <w:r>
        <w:rPr>
          <w:rFonts w:hint="eastAsia" w:ascii="宋体" w:hAnsi="宋体"/>
          <w:color w:val="auto"/>
          <w:szCs w:val="20"/>
          <w:highlight w:val="none"/>
        </w:rPr>
        <w:t>7项规定的投标截止时间</w:t>
      </w:r>
      <w:r>
        <w:rPr>
          <w:rFonts w:hint="eastAsia"/>
          <w:bCs/>
          <w:color w:val="auto"/>
          <w:szCs w:val="21"/>
          <w:highlight w:val="none"/>
        </w:rPr>
        <w:t>后送达的</w:t>
      </w:r>
      <w:r>
        <w:rPr>
          <w:rFonts w:hint="eastAsia" w:ascii="宋体" w:hAnsi="宋体"/>
          <w:bCs/>
          <w:color w:val="auto"/>
          <w:szCs w:val="20"/>
          <w:highlight w:val="none"/>
        </w:rPr>
        <w:t>电子投标文件，</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将予以拒收。</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color w:val="auto"/>
          <w:szCs w:val="20"/>
          <w:highlight w:val="none"/>
        </w:rPr>
        <w:t>本须知前附表第</w:t>
      </w:r>
      <w:r>
        <w:rPr>
          <w:rFonts w:ascii="宋体" w:hAnsi="宋体"/>
          <w:color w:val="auto"/>
          <w:szCs w:val="20"/>
          <w:highlight w:val="none"/>
        </w:rPr>
        <w:t>1</w:t>
      </w:r>
      <w:r>
        <w:rPr>
          <w:rFonts w:hint="eastAsia" w:ascii="宋体" w:hAnsi="宋体"/>
          <w:color w:val="auto"/>
          <w:szCs w:val="20"/>
          <w:highlight w:val="none"/>
        </w:rPr>
        <w:t>7项规定的投标截止时间</w:t>
      </w:r>
      <w:r>
        <w:rPr>
          <w:rFonts w:hint="eastAsia"/>
          <w:bCs/>
          <w:color w:val="auto"/>
          <w:szCs w:val="21"/>
          <w:highlight w:val="none"/>
        </w:rPr>
        <w:t>后送达的</w:t>
      </w:r>
      <w:r>
        <w:rPr>
          <w:rFonts w:hint="eastAsia" w:ascii="宋体" w:hAnsi="宋体"/>
          <w:bCs/>
          <w:color w:val="auto"/>
          <w:szCs w:val="20"/>
          <w:highlight w:val="none"/>
        </w:rPr>
        <w:t>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将予以拒收。</w:t>
      </w:r>
    </w:p>
    <w:p>
      <w:pPr>
        <w:spacing w:line="480" w:lineRule="auto"/>
        <w:ind w:firstLine="472" w:firstLineChars="224"/>
        <w:rPr>
          <w:b/>
          <w:color w:val="auto"/>
          <w:szCs w:val="21"/>
          <w:highlight w:val="none"/>
        </w:rPr>
      </w:pPr>
      <w:r>
        <w:rPr>
          <w:rFonts w:hint="eastAsia"/>
          <w:b/>
          <w:color w:val="auto"/>
          <w:szCs w:val="21"/>
          <w:highlight w:val="none"/>
        </w:rPr>
        <w:t xml:space="preserve">条款号：27.1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招标人将在</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color w:val="auto"/>
          <w:szCs w:val="20"/>
          <w:highlight w:val="none"/>
        </w:rPr>
        <w:t>招标人将在</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广东省招标投标监管网、中国招标投标公共服务平台和广州发展电子采购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72" w:firstLineChars="224"/>
        <w:rPr>
          <w:b/>
          <w:color w:val="auto"/>
          <w:szCs w:val="21"/>
          <w:highlight w:val="none"/>
        </w:rPr>
      </w:pPr>
      <w:r>
        <w:rPr>
          <w:rFonts w:hint="eastAsia"/>
          <w:b/>
          <w:color w:val="auto"/>
          <w:szCs w:val="21"/>
          <w:highlight w:val="none"/>
        </w:rPr>
        <w:t>条款号：27.4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在产生中标候选人后，招标人将中标候选人的投标文件商务部分文件的所有内容（包括人员、业绩、奖项等资料）在</w:t>
      </w:r>
      <w:r>
        <w:rPr>
          <w:color w:val="auto"/>
          <w:szCs w:val="21"/>
          <w:highlight w:val="none"/>
          <w:u w:val="single"/>
        </w:rPr>
        <w:t xml:space="preserve">        </w:t>
      </w:r>
      <w:r>
        <w:rPr>
          <w:rFonts w:hint="eastAsia" w:ascii="宋体" w:hAnsi="宋体"/>
          <w:color w:val="auto"/>
          <w:szCs w:val="21"/>
          <w:highlight w:val="none"/>
        </w:rPr>
        <w:t>交易平台和广东省招标投标监管网</w:t>
      </w:r>
      <w:r>
        <w:rPr>
          <w:rFonts w:hint="eastAsia" w:ascii="宋体" w:hAnsi="宋体"/>
          <w:color w:val="auto"/>
          <w:szCs w:val="20"/>
          <w:highlight w:val="none"/>
        </w:rPr>
        <w:t>公开。</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color w:val="auto"/>
          <w:szCs w:val="20"/>
          <w:highlight w:val="none"/>
        </w:rPr>
        <w:t>在产生中标候选人后，招标人将中标候选人的投标文件商务部分文件的所有内容（包括人员、业绩、奖项等资料）在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w:t>
      </w:r>
      <w:r>
        <w:rPr>
          <w:rFonts w:hint="eastAsia" w:ascii="宋体" w:hAnsi="宋体"/>
          <w:color w:val="auto"/>
          <w:szCs w:val="20"/>
          <w:highlight w:val="none"/>
        </w:rPr>
        <w:t>公开。</w:t>
      </w:r>
    </w:p>
    <w:p>
      <w:pPr>
        <w:spacing w:line="480" w:lineRule="auto"/>
        <w:ind w:firstLine="472" w:firstLineChars="224"/>
        <w:rPr>
          <w:b/>
          <w:color w:val="auto"/>
          <w:szCs w:val="21"/>
          <w:highlight w:val="none"/>
        </w:rPr>
      </w:pPr>
      <w:r>
        <w:rPr>
          <w:rFonts w:hint="eastAsia"/>
          <w:b/>
          <w:color w:val="auto"/>
          <w:szCs w:val="21"/>
          <w:highlight w:val="none"/>
        </w:rPr>
        <w:t>条款号：29</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b/>
          <w:bCs/>
          <w:color w:val="auto"/>
          <w:szCs w:val="21"/>
          <w:highlight w:val="none"/>
        </w:rPr>
      </w:pPr>
      <w:r>
        <w:rPr>
          <w:rFonts w:hint="eastAsia"/>
          <w:b/>
          <w:color w:val="auto"/>
          <w:szCs w:val="21"/>
          <w:highlight w:val="none"/>
        </w:rPr>
        <w:t>原文：</w:t>
      </w:r>
      <w:r>
        <w:rPr>
          <w:rFonts w:hint="eastAsia" w:ascii="宋体" w:hAnsi="宋体" w:cs="宋体"/>
          <w:b/>
          <w:bCs/>
          <w:color w:val="auto"/>
          <w:szCs w:val="21"/>
          <w:highlight w:val="none"/>
        </w:rPr>
        <w:t>29．履约担保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内，中标人应按本须知前附表第20项的规定向招标人提交履约担保；如果中标人的履约担保是以银行保函的形式提供，则该银行保函应由在中国注册且营业地点在广州行政辖区内的银行开具。</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cs="宋体"/>
          <w:b/>
          <w:bCs/>
          <w:color w:val="auto"/>
          <w:szCs w:val="21"/>
          <w:highlight w:val="none"/>
        </w:rPr>
      </w:pPr>
      <w:r>
        <w:rPr>
          <w:rFonts w:hint="eastAsia"/>
          <w:b/>
          <w:color w:val="auto"/>
          <w:szCs w:val="21"/>
          <w:highlight w:val="none"/>
        </w:rPr>
        <w:t>现文：</w:t>
      </w:r>
      <w:r>
        <w:rPr>
          <w:rFonts w:hint="eastAsia" w:ascii="宋体" w:hAnsi="宋体" w:cs="宋体"/>
          <w:b/>
          <w:bCs/>
          <w:color w:val="auto"/>
          <w:szCs w:val="21"/>
          <w:highlight w:val="none"/>
        </w:rPr>
        <w:t>29．履约担保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w:t>
      </w:r>
      <w:r>
        <w:rPr>
          <w:rFonts w:hint="eastAsia" w:ascii="宋体" w:hAnsi="宋体" w:cs="宋体"/>
          <w:color w:val="auto"/>
          <w:kern w:val="0"/>
          <w:szCs w:val="21"/>
          <w:highlight w:val="none"/>
          <w:u w:val="single"/>
        </w:rPr>
        <w:t>合同签订之日起</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5日内</w:t>
      </w:r>
      <w:r>
        <w:rPr>
          <w:rFonts w:hint="eastAsia" w:ascii="宋体" w:hAnsi="宋体" w:cs="宋体"/>
          <w:color w:val="auto"/>
          <w:szCs w:val="21"/>
          <w:highlight w:val="none"/>
        </w:rPr>
        <w:t>，中标人应按本须知前附表第20项的规定向招标人提交履约担保。</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color w:val="auto"/>
          <w:szCs w:val="21"/>
          <w:highlight w:val="none"/>
        </w:rPr>
        <w:t>29.2</w:t>
      </w:r>
      <w:r>
        <w:rPr>
          <w:rFonts w:hint="eastAsia" w:ascii="宋体" w:hAnsi="宋体" w:cs="宋体"/>
          <w:color w:val="auto"/>
          <w:kern w:val="0"/>
          <w:szCs w:val="21"/>
          <w:highlight w:val="none"/>
          <w:u w:val="single"/>
        </w:rPr>
        <w:t>合同签订之日起</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5日内</w:t>
      </w:r>
      <w:r>
        <w:rPr>
          <w:rFonts w:hint="eastAsia" w:ascii="宋体" w:hAnsi="宋体" w:cs="宋体"/>
          <w:color w:val="auto"/>
          <w:szCs w:val="21"/>
          <w:highlight w:val="none"/>
        </w:rPr>
        <w:t>，中标人未按上款的规定提交履约担保，</w:t>
      </w:r>
      <w:r>
        <w:rPr>
          <w:rFonts w:hint="eastAsia" w:ascii="宋体" w:hAnsi="宋体" w:cs="宋体"/>
          <w:color w:val="auto"/>
          <w:szCs w:val="21"/>
        </w:rPr>
        <w:t>招标人将解除中标通知书及合同，</w:t>
      </w:r>
      <w:r>
        <w:rPr>
          <w:rFonts w:hint="eastAsia" w:ascii="宋体" w:hAnsi="宋体" w:cs="宋体"/>
          <w:color w:val="auto"/>
          <w:szCs w:val="21"/>
          <w:highlight w:val="none"/>
        </w:rPr>
        <w:t>且依法承担相应法律责任。原中标人给招标人造成损失的，还应当予以赔偿。原中标人有异议的，可以向人民法院起诉。</w:t>
      </w:r>
    </w:p>
    <w:p>
      <w:pPr>
        <w:spacing w:line="480" w:lineRule="auto"/>
        <w:ind w:firstLine="472" w:firstLineChars="224"/>
        <w:rPr>
          <w:b/>
          <w:color w:val="auto"/>
          <w:szCs w:val="21"/>
          <w:highlight w:val="none"/>
        </w:rPr>
      </w:pPr>
      <w:r>
        <w:rPr>
          <w:rFonts w:hint="eastAsia"/>
          <w:b/>
          <w:color w:val="auto"/>
          <w:szCs w:val="21"/>
          <w:highlight w:val="none"/>
        </w:rPr>
        <w:t>条款号：31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 w:val="18"/>
          <w:szCs w:val="18"/>
          <w:highlight w:val="none"/>
        </w:rPr>
      </w:pPr>
      <w:r>
        <w:rPr>
          <w:rFonts w:hint="eastAsia"/>
          <w:b/>
          <w:color w:val="auto"/>
          <w:szCs w:val="21"/>
          <w:highlight w:val="none"/>
        </w:rPr>
        <w:t>原文：</w:t>
      </w:r>
      <w:r>
        <w:rPr>
          <w:rFonts w:hint="eastAsia" w:ascii="宋体" w:hAnsi="宋体"/>
          <w:b/>
          <w:bCs/>
          <w:color w:val="auto"/>
          <w:szCs w:val="20"/>
          <w:highlight w:val="none"/>
        </w:rPr>
        <w:t>其它费用</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b/>
          <w:bCs/>
          <w:color w:val="auto"/>
          <w:szCs w:val="20"/>
          <w:highlight w:val="none"/>
        </w:rPr>
        <w:t>其它费用：中标人</w:t>
      </w:r>
      <w:r>
        <w:rPr>
          <w:rFonts w:hint="eastAsia" w:ascii="宋体" w:hAnsi="宋体"/>
          <w:b/>
          <w:bCs/>
          <w:color w:val="auto"/>
          <w:szCs w:val="20"/>
          <w:highlight w:val="none"/>
          <w:lang w:val="en-US" w:eastAsia="zh-CN"/>
        </w:rPr>
        <w:t>代招标人向广州公共资源交易中心缴纳</w:t>
      </w:r>
      <w:r>
        <w:rPr>
          <w:rFonts w:hint="eastAsia" w:ascii="宋体" w:hAnsi="宋体"/>
          <w:b/>
          <w:bCs/>
          <w:color w:val="auto"/>
          <w:szCs w:val="20"/>
          <w:highlight w:val="none"/>
        </w:rPr>
        <w:t>交易服务费，该费用包含在投标价中。</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4"/>
        <w:outlineLvl w:val="0"/>
        <w:rPr>
          <w:rFonts w:hint="eastAsia" w:ascii="宋体" w:hAnsi="宋体" w:eastAsia="宋体" w:cs="宋体"/>
          <w:color w:val="auto"/>
        </w:rPr>
      </w:pPr>
      <w:r>
        <w:rPr>
          <w:color w:val="auto"/>
          <w:highlight w:val="none"/>
        </w:rPr>
        <w:br w:type="page"/>
      </w:r>
      <w:bookmarkStart w:id="13" w:name="_Toc26392"/>
      <w:bookmarkStart w:id="14" w:name="_Toc2272548"/>
      <w:bookmarkStart w:id="15" w:name="_Toc21525492"/>
      <w:bookmarkStart w:id="16" w:name="_Toc28162"/>
      <w:bookmarkStart w:id="17" w:name="_Toc11619"/>
      <w:r>
        <w:rPr>
          <w:rFonts w:hint="eastAsia" w:ascii="宋体" w:hAnsi="宋体" w:eastAsia="宋体" w:cs="宋体"/>
          <w:color w:val="auto"/>
        </w:rPr>
        <w:t>三、投标须知通用条款</w:t>
      </w:r>
      <w:bookmarkEnd w:id="13"/>
      <w:bookmarkEnd w:id="14"/>
      <w:bookmarkEnd w:id="15"/>
      <w:bookmarkEnd w:id="16"/>
    </w:p>
    <w:p>
      <w:pPr>
        <w:pStyle w:val="6"/>
        <w:spacing w:before="156" w:after="156"/>
        <w:rPr>
          <w:rFonts w:hint="eastAsia" w:ascii="宋体" w:hAnsi="宋体" w:eastAsia="宋体" w:cs="宋体"/>
          <w:color w:val="auto"/>
        </w:rPr>
      </w:pPr>
      <w:bookmarkStart w:id="18" w:name="_Toc21525493"/>
      <w:bookmarkStart w:id="19" w:name="_Toc2272549"/>
      <w:bookmarkStart w:id="20" w:name="_Toc6132"/>
      <w:r>
        <w:rPr>
          <w:rFonts w:hint="eastAsia" w:ascii="宋体" w:hAnsi="宋体" w:eastAsia="宋体" w:cs="宋体"/>
          <w:color w:val="auto"/>
        </w:rPr>
        <w:t>（一）总则</w:t>
      </w:r>
      <w:bookmarkEnd w:id="18"/>
      <w:bookmarkEnd w:id="19"/>
      <w:bookmarkEnd w:id="20"/>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1、定义</w:t>
      </w:r>
    </w:p>
    <w:p>
      <w:pPr>
        <w:pStyle w:val="37"/>
        <w:spacing w:after="0" w:line="360" w:lineRule="auto"/>
        <w:ind w:firstLine="480" w:firstLineChars="200"/>
        <w:rPr>
          <w:rFonts w:hint="eastAsia" w:ascii="宋体" w:hAnsi="宋体" w:eastAsia="宋体" w:cs="宋体"/>
          <w:b/>
          <w:bCs/>
          <w:color w:val="auto"/>
          <w:sz w:val="24"/>
        </w:rPr>
      </w:pPr>
      <w:r>
        <w:rPr>
          <w:rFonts w:hint="eastAsia" w:ascii="宋体" w:hAnsi="宋体" w:eastAsia="宋体" w:cs="宋体"/>
          <w:color w:val="auto"/>
          <w:sz w:val="24"/>
        </w:rPr>
        <w:t>本招标文件使用的下列词语具有如下规定的意义：</w:t>
      </w:r>
    </w:p>
    <w:p>
      <w:pPr>
        <w:pStyle w:val="37"/>
        <w:spacing w:after="0" w:line="360" w:lineRule="auto"/>
        <w:ind w:firstLine="480" w:firstLineChars="200"/>
        <w:rPr>
          <w:rFonts w:hint="eastAsia" w:ascii="宋体" w:hAnsi="宋体" w:eastAsia="宋体" w:cs="宋体"/>
          <w:b/>
          <w:bCs/>
          <w:color w:val="auto"/>
          <w:sz w:val="24"/>
          <w:u w:val="single"/>
        </w:rPr>
      </w:pPr>
      <w:r>
        <w:rPr>
          <w:rFonts w:hint="eastAsia" w:ascii="宋体" w:hAnsi="宋体" w:eastAsia="宋体" w:cs="宋体"/>
          <w:color w:val="auto"/>
          <w:sz w:val="24"/>
        </w:rPr>
        <w:t>（1）“招标人”（即发包人）、“项目建设管理单位”（或称“项目代建单位”）、“招标代理”、“设计单位”、“监理单位”均已在投标须知前附表中列明。</w:t>
      </w:r>
    </w:p>
    <w:p>
      <w:pPr>
        <w:pStyle w:val="37"/>
        <w:spacing w:after="0"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 xml:space="preserve">（2）“投标人”指向招标人提交投标文件的当事人。   </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（3）“承包人”指其投标被招标人接受并与其签订承包合同的当事人。</w:t>
      </w:r>
    </w:p>
    <w:p>
      <w:pPr>
        <w:pStyle w:val="37"/>
        <w:spacing w:after="0"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（4）“招标文件”指由招标代理发出的本文件（包括全部章节、附件）及招标答疑会会议纪要和</w:t>
      </w:r>
      <w:r>
        <w:rPr>
          <w:rFonts w:hint="eastAsia" w:ascii="宋体" w:hAnsi="宋体" w:eastAsia="宋体" w:cs="宋体"/>
          <w:bCs/>
          <w:color w:val="auto"/>
          <w:sz w:val="24"/>
        </w:rPr>
        <w:t>招标文件的澄清与修改</w:t>
      </w:r>
      <w:r>
        <w:rPr>
          <w:rFonts w:hint="eastAsia" w:ascii="宋体" w:hAnsi="宋体" w:eastAsia="宋体" w:cs="宋体"/>
          <w:color w:val="auto"/>
          <w:sz w:val="24"/>
        </w:rPr>
        <w:t>文件。</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（5）“投标文件”指投标人根据本项目招标文件向招标人提交的全部文件。</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（6）“书面形式”指打字或印刷的文件和数据电文（包括电报、电传、传真、电子数据交换和电子邮件）。</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2、招标说明</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2.2工程名称、建设地点、建设规模、承包方式、质量标准、招标范围、工期要求等均在投标须知前附表中列明。</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2.3设计说明：详见招标图纸。</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2.4工程施工特点：详见招标图纸。</w:t>
      </w:r>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3．资金来源</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3.1本招标工程项目资金来源见投标须知前附表第9项</w:t>
      </w:r>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4．合格投标人的条件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4.1详见本项目招标公告</w:t>
      </w:r>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5．踏勘现场</w:t>
      </w:r>
    </w:p>
    <w:p>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5.1 投标人应按本投标须知前附表第15项所述时间和要求对工程现场及周围环境进行踏勘，</w:t>
      </w:r>
      <w:r>
        <w:rPr>
          <w:rFonts w:hint="eastAsia" w:ascii="宋体" w:hAnsi="宋体" w:eastAsia="宋体" w:cs="宋体"/>
          <w:color w:val="auto"/>
          <w:sz w:val="24"/>
        </w:rPr>
        <w:t>投标人应充分重视和仔细地进行这种考察，</w:t>
      </w:r>
      <w:r>
        <w:rPr>
          <w:rFonts w:hint="eastAsia" w:ascii="宋体" w:hAnsi="宋体" w:eastAsia="宋体" w:cs="宋体"/>
          <w:bCs/>
          <w:color w:val="auto"/>
          <w:sz w:val="24"/>
        </w:rPr>
        <w:t>以便投标人获取</w:t>
      </w:r>
      <w:r>
        <w:rPr>
          <w:rFonts w:hint="eastAsia" w:ascii="宋体" w:hAnsi="宋体" w:eastAsia="宋体" w:cs="宋体"/>
          <w:color w:val="auto"/>
          <w:sz w:val="24"/>
        </w:rPr>
        <w:t>那些须投标人自己负责的</w:t>
      </w:r>
      <w:r>
        <w:rPr>
          <w:rFonts w:hint="eastAsia" w:ascii="宋体" w:hAnsi="宋体" w:eastAsia="宋体" w:cs="宋体"/>
          <w:bCs/>
          <w:color w:val="auto"/>
          <w:sz w:val="24"/>
        </w:rPr>
        <w:t>有关编制投标文件和签署合同所涉及现场所有的资料。</w:t>
      </w:r>
      <w:r>
        <w:rPr>
          <w:rFonts w:hint="eastAsia" w:ascii="宋体" w:hAnsi="宋体" w:eastAsia="宋体" w:cs="宋体"/>
          <w:color w:val="auto"/>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5.3 经招标人允许，投标人可为踏勘目的进入招标人的项目现场。</w:t>
      </w:r>
      <w:r>
        <w:rPr>
          <w:rFonts w:hint="eastAsia" w:ascii="宋体" w:hAnsi="宋体" w:eastAsia="宋体" w:cs="宋体"/>
          <w:color w:val="auto"/>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rPr>
        <w:t>投标人不得因此使招标人承担有关的责任和蒙受损失。</w:t>
      </w:r>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6．投标费用</w:t>
      </w:r>
    </w:p>
    <w:p>
      <w:pPr>
        <w:tabs>
          <w:tab w:val="left" w:pos="10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6.1</w:t>
      </w:r>
      <w:r>
        <w:rPr>
          <w:rFonts w:hint="eastAsia" w:ascii="宋体" w:hAnsi="宋体" w:eastAsia="宋体" w:cs="宋体"/>
          <w:color w:val="auto"/>
          <w:sz w:val="24"/>
        </w:rPr>
        <w:t>不论投标结果如何，投标人应承担</w:t>
      </w:r>
      <w:r>
        <w:rPr>
          <w:rFonts w:hint="eastAsia" w:ascii="宋体" w:hAnsi="宋体" w:eastAsia="宋体" w:cs="宋体"/>
          <w:bCs/>
          <w:color w:val="auto"/>
          <w:sz w:val="24"/>
        </w:rPr>
        <w:t>自身</w:t>
      </w:r>
      <w:r>
        <w:rPr>
          <w:rFonts w:hint="eastAsia" w:ascii="宋体" w:hAnsi="宋体" w:eastAsia="宋体" w:cs="宋体"/>
          <w:color w:val="auto"/>
          <w:sz w:val="24"/>
        </w:rPr>
        <w:t>因投标文件编制、递交及其他</w:t>
      </w:r>
      <w:r>
        <w:rPr>
          <w:rFonts w:hint="eastAsia" w:ascii="宋体" w:hAnsi="宋体" w:eastAsia="宋体" w:cs="宋体"/>
          <w:bCs/>
          <w:color w:val="auto"/>
          <w:sz w:val="24"/>
        </w:rPr>
        <w:t>参加本招标活动</w:t>
      </w:r>
      <w:r>
        <w:rPr>
          <w:rFonts w:hint="eastAsia" w:ascii="宋体" w:hAnsi="宋体" w:eastAsia="宋体" w:cs="宋体"/>
          <w:color w:val="auto"/>
          <w:sz w:val="24"/>
        </w:rPr>
        <w:t>所涉及的一切费用，招标人对上述费用不负任何责任。</w:t>
      </w:r>
    </w:p>
    <w:p>
      <w:pPr>
        <w:pStyle w:val="6"/>
        <w:spacing w:before="156" w:after="156"/>
        <w:rPr>
          <w:rFonts w:hint="eastAsia" w:ascii="宋体" w:hAnsi="宋体" w:eastAsia="宋体" w:cs="宋体"/>
          <w:color w:val="auto"/>
        </w:rPr>
      </w:pPr>
      <w:bookmarkStart w:id="21" w:name="_Toc23686"/>
      <w:bookmarkStart w:id="22" w:name="_Toc21525494"/>
      <w:bookmarkStart w:id="23" w:name="_Toc2272550"/>
      <w:r>
        <w:rPr>
          <w:rFonts w:hint="eastAsia" w:ascii="宋体" w:hAnsi="宋体" w:eastAsia="宋体" w:cs="宋体"/>
          <w:color w:val="auto"/>
        </w:rPr>
        <w:t>（二）招标文件</w:t>
      </w:r>
      <w:bookmarkEnd w:id="21"/>
      <w:bookmarkEnd w:id="22"/>
      <w:bookmarkEnd w:id="23"/>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7.招标文件的组成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rPr>
        <w:t>7.1</w:t>
      </w:r>
      <w:r>
        <w:rPr>
          <w:rFonts w:hint="eastAsia" w:ascii="宋体" w:hAnsi="宋体" w:eastAsia="宋体" w:cs="宋体"/>
          <w:color w:val="auto"/>
          <w:sz w:val="24"/>
        </w:rPr>
        <w:t>本招标文件包括下列文件，以及所有按本须知第8条发出的招标答疑会会议纪要和按本须知第9条发出的澄清或修改：</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第一章  </w:t>
      </w:r>
      <w:r>
        <w:rPr>
          <w:rFonts w:hint="eastAsia" w:ascii="宋体" w:hAnsi="宋体" w:eastAsia="宋体" w:cs="宋体"/>
          <w:color w:val="auto"/>
          <w:sz w:val="24"/>
        </w:rPr>
        <w:t>投标须知</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第二章  </w:t>
      </w:r>
      <w:r>
        <w:rPr>
          <w:rFonts w:hint="eastAsia" w:ascii="宋体" w:hAnsi="宋体" w:eastAsia="宋体" w:cs="宋体"/>
          <w:color w:val="auto"/>
          <w:sz w:val="24"/>
        </w:rPr>
        <w:t>开标、评标及定标办法</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第三章  合同条款</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第四章  </w:t>
      </w:r>
      <w:r>
        <w:rPr>
          <w:rFonts w:hint="eastAsia" w:ascii="宋体" w:hAnsi="宋体" w:eastAsia="宋体" w:cs="宋体"/>
          <w:color w:val="auto"/>
          <w:sz w:val="24"/>
        </w:rPr>
        <w:t>投标文件格式</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第五章  </w:t>
      </w:r>
      <w:r>
        <w:rPr>
          <w:rFonts w:hint="eastAsia" w:ascii="宋体" w:hAnsi="宋体" w:eastAsia="宋体" w:cs="宋体"/>
          <w:color w:val="auto"/>
          <w:sz w:val="24"/>
        </w:rPr>
        <w:t>技术条件（工程建设标准）（另册）</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第六章  </w:t>
      </w:r>
      <w:r>
        <w:rPr>
          <w:rFonts w:hint="eastAsia" w:ascii="宋体" w:hAnsi="宋体" w:eastAsia="宋体" w:cs="宋体"/>
          <w:color w:val="auto"/>
          <w:sz w:val="24"/>
        </w:rPr>
        <w:t>图纸及勘察资料（另册）</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第七章  招标</w:t>
      </w:r>
      <w:r>
        <w:rPr>
          <w:rFonts w:hint="eastAsia" w:ascii="宋体" w:hAnsi="宋体" w:eastAsia="宋体" w:cs="宋体"/>
          <w:color w:val="auto"/>
          <w:sz w:val="24"/>
        </w:rPr>
        <w:t>工程量清单（另册）</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第八章  最高投标限价</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注：招标人应在技术条件（工程建设标准）中明确施工现场建筑垃圾源头减量的具体要求和建筑垃圾综合利用产品的使用要求。</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7.3 投标人一旦中标，招标文件的内容对招标人和中标人双方均有约束力。</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8．招标答疑</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8.1 投标人若对招标文件（包括招标图纸）中有疑问，可以书面形式</w:t>
      </w:r>
      <w:r>
        <w:rPr>
          <w:rFonts w:hint="eastAsia" w:ascii="宋体" w:hAnsi="宋体" w:eastAsia="宋体" w:cs="宋体"/>
          <w:color w:val="auto"/>
          <w:sz w:val="24"/>
          <w:szCs w:val="24"/>
        </w:rPr>
        <w:t>通过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交易平台提交</w:t>
      </w:r>
      <w:r>
        <w:rPr>
          <w:rFonts w:hint="eastAsia" w:ascii="宋体" w:hAnsi="宋体" w:eastAsia="宋体" w:cs="宋体"/>
          <w:color w:val="auto"/>
          <w:sz w:val="24"/>
        </w:rPr>
        <w:t>给招标人或招标代理人，提交形式见本须知前附表第16项。</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8.2招标答疑会会议纪要将在提交投标文件截止时间15日前在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 xml:space="preserve"> “项目答疑纪要”专区公开发布。答疑纪要一经在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发布，视作已发放给所有投标人。</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8.3答疑会会议纪要为招标文件的一部分。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8.4若招标答疑会会议纪要与招标文件有矛盾，以答疑会议纪要最后发出的书面形式的文件为准。</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9.招标文件的澄清与修改</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9.1招标文件发出后,在提交投标文件截止时间15日前，招标人可对招标文件进行必要的澄清或修改。</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9.2招标文件的澄清或修改将在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“项目答疑纪要”专区公开发布。答疑纪要一经在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发布，视作已发放给所有投标人，以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上网发布时间作为送达时间。</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9.3招标文件的修改内容为招标文件的组成部分。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9.4招标文件的澄清或修改均以书面形式明确的内容为准。当招标文件的澄清、修改、补充等在同一内容的表述不一致时，以最后发出的书面形式的文件为准。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hint="eastAsia" w:ascii="宋体" w:hAnsi="宋体" w:eastAsia="宋体" w:cs="宋体"/>
          <w:color w:val="auto"/>
        </w:rPr>
      </w:pPr>
      <w:bookmarkStart w:id="24" w:name="_Toc32594"/>
      <w:bookmarkStart w:id="25" w:name="_Toc2272551"/>
      <w:bookmarkStart w:id="26" w:name="_Toc21525495"/>
      <w:r>
        <w:rPr>
          <w:rFonts w:hint="eastAsia" w:ascii="宋体" w:hAnsi="宋体" w:eastAsia="宋体" w:cs="宋体"/>
          <w:color w:val="auto"/>
        </w:rPr>
        <w:t>（三）投标文件的编制</w:t>
      </w:r>
      <w:bookmarkEnd w:id="24"/>
      <w:bookmarkEnd w:id="25"/>
      <w:bookmarkEnd w:id="26"/>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10．投标文件的语言及度量衡单位</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10.1 投标文件和与投标有关的所有文件均应使用中文。</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10.2 除工程规范另有规定外，投标文件使用的度量衡单位，均采用中华人民共和国法定计量单位。</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11．投标文件的组成</w:t>
      </w:r>
    </w:p>
    <w:p>
      <w:pPr>
        <w:pStyle w:val="37"/>
        <w:spacing w:after="0"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11.1 投标文件由技术部分（含资格审查文件）和经济部分二部分投标文件组成</w:t>
      </w:r>
      <w:r>
        <w:rPr>
          <w:rFonts w:hint="eastAsia" w:ascii="宋体" w:hAnsi="宋体" w:eastAsia="宋体" w:cs="宋体"/>
          <w:b/>
          <w:color w:val="auto"/>
          <w:sz w:val="24"/>
        </w:rPr>
        <w:t>。</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11.2投标文件技术标部分主要包括下列内容:</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11.2.1 技术投标文件</w:t>
      </w:r>
      <w:r>
        <w:rPr>
          <w:rFonts w:hint="eastAsia" w:ascii="宋体" w:hAnsi="宋体" w:eastAsia="宋体" w:cs="宋体"/>
          <w:color w:val="auto"/>
          <w:sz w:val="24"/>
        </w:rPr>
        <w:t>(按招标文件的要求填写)</w:t>
      </w:r>
      <w:r>
        <w:rPr>
          <w:rFonts w:hint="eastAsia" w:ascii="宋体" w:hAnsi="宋体" w:eastAsia="宋体" w:cs="宋体"/>
          <w:bCs/>
          <w:color w:val="auto"/>
          <w:sz w:val="24"/>
        </w:rPr>
        <w:t>；</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11.2.2 资格审查文件：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（1）投标人声明；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（2）法定代表人证明书、法定代表人签字或盖章的本投标文件授权委托证明书；</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（3）企业营业执照（取自平台内上传件）；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（4）企业资质证书（取自平台内上传件）；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（5）建筑施工企业安全生产许可证（取自平台内上传件）；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rPr>
        <w:t>（6）</w:t>
      </w:r>
      <w:r>
        <w:rPr>
          <w:rFonts w:hint="eastAsia" w:ascii="宋体" w:hAnsi="宋体" w:eastAsia="宋体" w:cs="宋体"/>
          <w:bCs/>
          <w:color w:val="auto"/>
          <w:sz w:val="24"/>
          <w:szCs w:val="24"/>
        </w:rPr>
        <w:t>项目负责人（按网上投标登记时选择拟投标的项目负责人）</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（7）专职安全员（按网上投标登记时选择拟投标的专职安全员）</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（8）拟委托技术负责人的相关证书、资料（具体要求由招标人明确）</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（9）拟委派项目负责人的建造师注册证书（取自平台内上传件）；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（10）项目负责人安全</w:t>
      </w:r>
      <w:r>
        <w:rPr>
          <w:rFonts w:hint="eastAsia" w:ascii="宋体" w:hAnsi="宋体" w:cs="宋体"/>
          <w:bCs/>
          <w:color w:val="auto"/>
          <w:sz w:val="24"/>
          <w:lang w:val="en-US" w:eastAsia="zh-CN"/>
        </w:rPr>
        <w:t>生产</w:t>
      </w:r>
      <w:r>
        <w:rPr>
          <w:rFonts w:hint="eastAsia" w:ascii="宋体" w:hAnsi="宋体" w:eastAsia="宋体" w:cs="宋体"/>
          <w:bCs/>
          <w:color w:val="auto"/>
          <w:sz w:val="24"/>
        </w:rPr>
        <w:t>考核合格证明或在有效期内的安全考核合格证书（B类）或建筑施工企业项目负责人安全生产考核合格证书（取自平台内上传件）</w:t>
      </w:r>
      <w:r>
        <w:rPr>
          <w:rFonts w:hint="eastAsia" w:ascii="宋体" w:hAnsi="宋体" w:eastAsia="宋体" w:cs="宋体"/>
          <w:bCs/>
          <w:color w:val="auto"/>
          <w:sz w:val="24"/>
          <w:szCs w:val="24"/>
        </w:rPr>
        <w:t>；</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rPr>
        <w:t>（11）专职安全员须具有在有效期内的安全考核合格证书（C类）或建筑施工企业专职安全生产管理人员安全生产考核合格证书</w:t>
      </w:r>
      <w:r>
        <w:rPr>
          <w:rFonts w:hint="eastAsia" w:ascii="宋体" w:hAnsi="宋体" w:eastAsia="宋体" w:cs="宋体"/>
          <w:bCs/>
          <w:color w:val="auto"/>
          <w:sz w:val="24"/>
          <w:szCs w:val="24"/>
        </w:rPr>
        <w:t>（取自平台内上传件）；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（12）用于资格审查的业绩（设置业绩要求时选择此项，投标人</w:t>
      </w:r>
      <w:r>
        <w:rPr>
          <w:rFonts w:hint="eastAsia" w:ascii="宋体" w:hAnsi="宋体" w:eastAsia="宋体" w:cs="宋体"/>
          <w:color w:val="auto"/>
          <w:sz w:val="24"/>
        </w:rPr>
        <w:t>须提供类似工程业绩的项目名称及项目编号，具体格式由招标人自定</w:t>
      </w:r>
      <w:r>
        <w:rPr>
          <w:rFonts w:hint="eastAsia" w:ascii="宋体" w:hAnsi="宋体" w:eastAsia="宋体" w:cs="宋体"/>
          <w:bCs/>
          <w:color w:val="auto"/>
          <w:sz w:val="24"/>
          <w:szCs w:val="24"/>
        </w:rPr>
        <w:t>）；</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（14）列明主办单位的联合体工作协议（采用联合体投标时需递交，投标人拟任本工程项目负责人应为联合体主办方信用档案中的在册人员，</w:t>
      </w:r>
      <w:r>
        <w:rPr>
          <w:rFonts w:hint="eastAsia" w:ascii="宋体" w:hAnsi="宋体" w:eastAsia="宋体" w:cs="宋体"/>
          <w:color w:val="auto"/>
          <w:sz w:val="24"/>
          <w:szCs w:val="24"/>
        </w:rPr>
        <w:t>联合体工作协议应明确约定各方拟承担的工作和责任</w:t>
      </w:r>
      <w:r>
        <w:rPr>
          <w:rFonts w:hint="eastAsia" w:ascii="宋体" w:hAnsi="宋体" w:eastAsia="宋体" w:cs="宋体"/>
          <w:bCs/>
          <w:color w:val="auto"/>
          <w:sz w:val="24"/>
          <w:szCs w:val="24"/>
        </w:rPr>
        <w:t xml:space="preserve">）；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szCs w:val="24"/>
        </w:rPr>
        <w:t>（15）</w:t>
      </w:r>
      <w:r>
        <w:rPr>
          <w:rFonts w:hint="eastAsia" w:ascii="宋体" w:hAnsi="宋体" w:eastAsia="宋体" w:cs="宋体"/>
          <w:color w:val="auto"/>
          <w:sz w:val="24"/>
          <w:szCs w:val="24"/>
        </w:rPr>
        <w:t>投标人具有在广州地区可使用适合本工程的机械设备的证明文件（</w:t>
      </w:r>
      <w:r>
        <w:rPr>
          <w:rFonts w:hint="eastAsia" w:ascii="宋体" w:hAnsi="宋体" w:eastAsia="宋体" w:cs="宋体"/>
          <w:color w:val="auto"/>
          <w:sz w:val="24"/>
        </w:rPr>
        <w:t>提供沥青摊铺机自有发票或权属证明及设备现场全貌彩照（彩照须能反映其规格型号）</w:t>
      </w:r>
      <w:r>
        <w:rPr>
          <w:rFonts w:hint="eastAsia" w:ascii="宋体" w:hAnsi="宋体" w:eastAsia="宋体" w:cs="宋体"/>
          <w:color w:val="auto"/>
          <w:sz w:val="24"/>
          <w:szCs w:val="24"/>
        </w:rPr>
        <w:t>）。（含有市政道路面层沥青摊铺且沥青摊铺占预计发包价50%或以上的大、中修市政公用工程需提供该项内容的证明文件）。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11.2.3项目管理机构配备。</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（1）投标人应列出该项目工程的施工组织机构构成和画出机构框架图及其负责人；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（3）其他辅助说明资料。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11.2.5施工组织设计或施工方案。（投标人在编制施工组织设计或施工方案时应按照招标人提出的施工现场建筑垃圾源头减量的具体要求以及建筑垃圾综合利用产品的使用要求提供相应措施。）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11.2.6按照</w:t>
      </w:r>
      <w:r>
        <w:rPr>
          <w:rFonts w:hint="eastAsia" w:ascii="宋体" w:hAnsi="宋体" w:eastAsia="宋体" w:cs="宋体"/>
          <w:bCs/>
          <w:color w:val="auto"/>
          <w:sz w:val="24"/>
        </w:rPr>
        <w:t>招标文件要求</w:t>
      </w:r>
      <w:r>
        <w:rPr>
          <w:rFonts w:hint="eastAsia" w:ascii="宋体" w:hAnsi="宋体" w:eastAsia="宋体" w:cs="宋体"/>
          <w:color w:val="auto"/>
          <w:sz w:val="24"/>
        </w:rPr>
        <w:t>填写的《参与编制技术标投标文件人员名单》。</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11.3 经济部分投标文件主要包括下列内容：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11.3.1 经济投标文件(按招标文件的要求填写)。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4"/>
          <w:szCs w:val="24"/>
        </w:rPr>
        <w:t>其中包括如下：</w:t>
      </w:r>
      <w:r>
        <w:rPr>
          <w:rFonts w:hint="eastAsia" w:ascii="宋体" w:hAnsi="宋体" w:eastAsia="宋体" w:cs="宋体"/>
          <w:color w:val="auto"/>
          <w:sz w:val="24"/>
        </w:rPr>
        <w:t xml:space="preserve"> </w:t>
      </w:r>
    </w:p>
    <w:p>
      <w:pPr>
        <w:spacing w:line="360" w:lineRule="auto"/>
        <w:ind w:firstLine="566" w:firstLineChars="236"/>
        <w:rPr>
          <w:rFonts w:hint="eastAsia" w:ascii="宋体" w:hAnsi="宋体" w:eastAsia="宋体" w:cs="宋体"/>
          <w:color w:val="auto"/>
          <w:sz w:val="24"/>
        </w:rPr>
      </w:pPr>
      <w:r>
        <w:rPr>
          <w:rFonts w:hint="eastAsia" w:ascii="宋体" w:hAnsi="宋体" w:eastAsia="宋体" w:cs="宋体"/>
          <w:color w:val="auto"/>
          <w:sz w:val="24"/>
        </w:rPr>
        <w:t>（1）投标总价封面、扉页；</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（2）总说明</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（3）工程项目投标报价汇总表；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（4）单项工程投标报价汇总表；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（5）单位工程投标报价汇总表；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（6）分部分项工程清单与计价表；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（7）单价措施项目清单与计价表；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（8）总价措施项目清单与计价表；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（9）综合单价分析表；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（10）其他项目清单与计价汇总表；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（11）暂列金额明细表；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（12）材料（工程设备）暂估价明细表；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（13）专业工程暂估价明细表；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（14）计日工表；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（15）总承包服务计价表；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（16）规费和税金项目计价表；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 xml:space="preserve"> （17）人工、主要材料和设备一览表</w:t>
      </w:r>
    </w:p>
    <w:p>
      <w:pPr>
        <w:tabs>
          <w:tab w:val="left" w:pos="112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11.3.3按照</w:t>
      </w:r>
      <w:r>
        <w:rPr>
          <w:rFonts w:hint="eastAsia" w:ascii="宋体" w:hAnsi="宋体" w:eastAsia="宋体" w:cs="宋体"/>
          <w:bCs/>
          <w:color w:val="auto"/>
          <w:sz w:val="24"/>
        </w:rPr>
        <w:t>招标文件要求</w:t>
      </w:r>
      <w:r>
        <w:rPr>
          <w:rFonts w:hint="eastAsia" w:ascii="宋体" w:hAnsi="宋体" w:eastAsia="宋体" w:cs="宋体"/>
          <w:color w:val="auto"/>
          <w:sz w:val="24"/>
        </w:rPr>
        <w:t>填写的《参与编制经济标投标文件人员名单》。</w:t>
      </w:r>
    </w:p>
    <w:p>
      <w:pPr>
        <w:tabs>
          <w:tab w:val="left" w:pos="112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11.3.4若投标人的投标报价低于工程成本警戒价的，投标人还须提供详细的施工组织设计、单价、措施性费用、单价分析表、主要材料价格表、投标人成本分析供评标委员会评审。</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12．投标文件格式</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 投标文件包括本须知第11条中规定的内容，投标人提交的投标文件应当使用招标文件所提供的投标文件全部格式（表格可以按同样格式扩展）。</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eastAsia="宋体" w:cs="宋体"/>
          <w:color w:val="auto"/>
          <w:sz w:val="24"/>
          <w:szCs w:val="24"/>
        </w:rPr>
        <w:t>全流程电子化项目的相关指南进行操作。详见：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12.3 </w:t>
      </w:r>
      <w:r>
        <w:rPr>
          <w:rFonts w:hint="eastAsia" w:ascii="宋体" w:hAnsi="宋体" w:eastAsia="宋体" w:cs="宋体"/>
          <w:bCs/>
          <w:color w:val="auto"/>
          <w:sz w:val="24"/>
          <w:szCs w:val="24"/>
        </w:rPr>
        <w:t>投标文件应按</w:t>
      </w:r>
      <w:r>
        <w:rPr>
          <w:rFonts w:hint="eastAsia" w:ascii="宋体" w:hAnsi="宋体" w:eastAsia="宋体" w:cs="宋体"/>
          <w:color w:val="auto"/>
          <w:sz w:val="24"/>
        </w:rPr>
        <w:t>照交易平台关于全流程电子化项目的相关指南进行编制，详见：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 xml:space="preserve">。               </w:t>
      </w:r>
    </w:p>
    <w:p>
      <w:pPr>
        <w:pStyle w:val="37"/>
        <w:spacing w:after="0" w:line="360" w:lineRule="auto"/>
        <w:ind w:firstLine="0"/>
        <w:rPr>
          <w:rFonts w:hint="eastAsia" w:ascii="宋体" w:hAnsi="宋体" w:eastAsia="宋体" w:cs="宋体"/>
          <w:color w:val="auto"/>
          <w:sz w:val="24"/>
        </w:rPr>
      </w:pPr>
      <w:r>
        <w:rPr>
          <w:rFonts w:hint="eastAsia" w:ascii="宋体" w:hAnsi="宋体" w:eastAsia="宋体" w:cs="宋体"/>
          <w:bCs/>
          <w:color w:val="auto"/>
          <w:sz w:val="24"/>
          <w:szCs w:val="24"/>
        </w:rPr>
        <w:t>如不按上述要求编制引起系统无法检索、读取相关信息的，其后果由投标人承担。</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13．投标报价及造价承包和变更结算方式</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13.1 本工程的投标报价采用投标须知前附表第12项所规定的方式。投标报价（含单价及总价）精确到“分”。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color w:val="auto"/>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13.5.1中标的投标文件工程量清单中已有相同项目的适用综合单价，则沿用；</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13.5.3 中标的投标文件工程量清单中没有相同项目或类似项目的，如可套取相关定额，则以相关定额为基数下浮计算单价,下浮率为中标价</w:t>
      </w:r>
      <w:r>
        <w:rPr>
          <w:rFonts w:hint="eastAsia" w:ascii="宋体" w:hAnsi="宋体" w:eastAsia="宋体" w:cs="宋体"/>
          <w:color w:val="auto"/>
          <w:sz w:val="24"/>
          <w:szCs w:val="24"/>
        </w:rPr>
        <w:t>相对于最高投标限价的下</w:t>
      </w:r>
      <w:r>
        <w:rPr>
          <w:rFonts w:hint="eastAsia" w:ascii="宋体" w:hAnsi="宋体" w:eastAsia="宋体" w:cs="宋体"/>
          <w:color w:val="auto"/>
          <w:sz w:val="24"/>
        </w:rPr>
        <w:t>浮率（下浮率=(</w:t>
      </w:r>
      <w:r>
        <w:rPr>
          <w:rFonts w:hint="eastAsia" w:ascii="宋体" w:hAnsi="宋体" w:eastAsia="宋体" w:cs="宋体"/>
          <w:color w:val="auto"/>
          <w:sz w:val="24"/>
          <w:szCs w:val="24"/>
        </w:rPr>
        <w:t>最高投标限价</w:t>
      </w:r>
      <w:r>
        <w:rPr>
          <w:rFonts w:hint="eastAsia" w:ascii="宋体" w:hAnsi="宋体" w:eastAsia="宋体" w:cs="宋体"/>
          <w:color w:val="auto"/>
          <w:sz w:val="24"/>
        </w:rPr>
        <w:t>-中标价)/</w:t>
      </w:r>
      <w:r>
        <w:rPr>
          <w:rFonts w:hint="eastAsia" w:ascii="宋体" w:hAnsi="宋体" w:eastAsia="宋体" w:cs="宋体"/>
          <w:color w:val="auto"/>
          <w:sz w:val="24"/>
          <w:szCs w:val="24"/>
        </w:rPr>
        <w:t xml:space="preserve"> 最高投标限价</w:t>
      </w:r>
      <w:r>
        <w:rPr>
          <w:rFonts w:hint="eastAsia" w:ascii="宋体" w:hAnsi="宋体" w:eastAsia="宋体" w:cs="宋体"/>
          <w:color w:val="auto"/>
          <w:sz w:val="24"/>
        </w:rPr>
        <w:t>）。</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13.5.4 如相关定额没有相应子目的，其计价方式由招标人在本招标文件第三章中另行规定。未规定的，中标后双方协商约定。</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13.6暂列金额、暂估价</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暂估价是指招标人在工程量清单中提供的用于支付必然发生但暂时不能确定价格的材料的单价以及专业工程的金额。</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13.7投标人可先到工地踏勘以充分了解工地位置、情况、道路、储存空间、装卸限制及任何其他足以影响承包价的情况，任何因忽视或误解工地情况而导致的索赔或工期延长申请将不被批准。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7"/>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13.9</w:t>
      </w:r>
      <w:r>
        <w:rPr>
          <w:rFonts w:hint="eastAsia" w:ascii="宋体" w:hAnsi="宋体" w:eastAsia="宋体" w:cs="宋体"/>
          <w:color w:val="auto"/>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14．投标货币</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14.1 本工程投标报价采用的币种为人民币。</w:t>
      </w:r>
    </w:p>
    <w:p>
      <w:pPr>
        <w:pStyle w:val="37"/>
        <w:spacing w:after="0"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15．投标有效期</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15.1 投标有效期见投标须知前附表第13项所规定的期限，在此期限内，凡符合本招标文件要求的投标文件均保持有效。</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16．投标保证金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16.1投标人应按投标须知前附表第14项所述金额和时间递交</w:t>
      </w:r>
      <w:r>
        <w:rPr>
          <w:rFonts w:hint="eastAsia" w:ascii="宋体" w:hAnsi="宋体" w:eastAsia="宋体" w:cs="宋体"/>
          <w:bCs/>
          <w:color w:val="auto"/>
          <w:sz w:val="24"/>
        </w:rPr>
        <w:t>投标保证金</w:t>
      </w:r>
      <w:r>
        <w:rPr>
          <w:rFonts w:hint="eastAsia" w:ascii="宋体" w:hAnsi="宋体" w:eastAsia="宋体" w:cs="宋体"/>
          <w:color w:val="auto"/>
          <w:sz w:val="24"/>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16.1.1 采用现金或者支票形式提交的，投标保证金须从投标人的银行基本账户转出。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16.1.3 采用电子形式的保函、担保或保证保险提交投标保证金的，应在招标文件中明确电子递交途径。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16.3投标保证金应依据法律法规的相关规定退还。</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16.4.1因投标人原因造成投标文件未解密的；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16.4.2投标人在投标有效期内撤销投标文件；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16.4.3中标人未能在规定期限内按要求提交履约担保；</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16.4.4中标人未能在规定期限内签署合同协议。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16.5.1投标人存在16.4条款所列情形且投标人提交的保函、担保或保证保险无法兑付的；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16.5.3按招标文件要求免于提供投标保证金的投标人存在16.4条款所列情形的。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注：16.5.3款由招标人二选一，需在招标文件中明确。</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17．投标文件的签署</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pStyle w:val="6"/>
        <w:spacing w:before="156" w:after="156"/>
        <w:rPr>
          <w:rFonts w:hint="eastAsia" w:ascii="宋体" w:hAnsi="宋体" w:eastAsia="宋体" w:cs="宋体"/>
          <w:color w:val="auto"/>
        </w:rPr>
      </w:pPr>
      <w:bookmarkStart w:id="27" w:name="_Toc21525496"/>
      <w:bookmarkStart w:id="28" w:name="_Toc2272552"/>
      <w:bookmarkStart w:id="29" w:name="_Toc9111"/>
      <w:r>
        <w:rPr>
          <w:rFonts w:hint="eastAsia" w:ascii="宋体" w:hAnsi="宋体" w:eastAsia="宋体" w:cs="宋体"/>
          <w:color w:val="auto"/>
        </w:rPr>
        <w:t>（四）投标文件的提交</w:t>
      </w:r>
      <w:bookmarkEnd w:id="27"/>
      <w:bookmarkEnd w:id="28"/>
      <w:bookmarkEnd w:id="29"/>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w:t>
      </w:r>
      <w:r>
        <w:rPr>
          <w:rFonts w:hint="eastAsia" w:ascii="宋体" w:hAnsi="宋体" w:eastAsia="宋体" w:cs="宋体"/>
          <w:b/>
          <w:color w:val="auto"/>
          <w:sz w:val="24"/>
          <w:szCs w:val="24"/>
        </w:rPr>
        <w:t>投标文件的密封和标记</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18.1递交的电子投标文件（不含备用光盘）必须进行加密。按照交易平台关于</w:t>
      </w:r>
      <w:r>
        <w:rPr>
          <w:rFonts w:hint="eastAsia" w:ascii="宋体" w:hAnsi="宋体" w:eastAsia="宋体" w:cs="宋体"/>
          <w:color w:val="auto"/>
          <w:sz w:val="24"/>
          <w:szCs w:val="24"/>
        </w:rPr>
        <w:t>全流程电子化项目的相关指南进行操作。详见：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18.2 未按要求加密的投标文件，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bCs/>
          <w:color w:val="auto"/>
          <w:sz w:val="24"/>
        </w:rPr>
        <w:t>将予以拒收。</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19．投标文件的递交和接收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19.1投标人通过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递交电子投标文件。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19.2投标人完成电子</w:t>
      </w:r>
      <w:r>
        <w:rPr>
          <w:rFonts w:hint="eastAsia" w:ascii="宋体" w:hAnsi="宋体" w:eastAsia="宋体" w:cs="宋体"/>
          <w:color w:val="auto"/>
          <w:sz w:val="24"/>
        </w:rPr>
        <w:t>投标文件</w:t>
      </w:r>
      <w:r>
        <w:rPr>
          <w:rFonts w:hint="eastAsia" w:ascii="宋体" w:hAnsi="宋体" w:eastAsia="宋体" w:cs="宋体"/>
          <w:bCs/>
          <w:color w:val="auto"/>
          <w:sz w:val="24"/>
        </w:rPr>
        <w:t>上传后，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即时向投标人发出递交回执通知。递交时间以递交回执通知载明的传输完成时间为准。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rPr>
        <w:t>19.3</w:t>
      </w:r>
      <w:r>
        <w:rPr>
          <w:rFonts w:hint="eastAsia" w:ascii="宋体" w:hAnsi="宋体" w:eastAsia="宋体" w:cs="宋体"/>
          <w:bCs/>
          <w:color w:val="auto"/>
          <w:sz w:val="24"/>
          <w:szCs w:val="24"/>
        </w:rPr>
        <w:t>逾期送达的</w:t>
      </w:r>
      <w:r>
        <w:rPr>
          <w:rFonts w:hint="eastAsia" w:ascii="宋体" w:hAnsi="宋体" w:eastAsia="宋体" w:cs="宋体"/>
          <w:bCs/>
          <w:color w:val="auto"/>
          <w:sz w:val="24"/>
        </w:rPr>
        <w:t>电子投标文件，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将予以拒收。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19.4 </w:t>
      </w:r>
      <w:r>
        <w:rPr>
          <w:rFonts w:hint="eastAsia" w:ascii="宋体" w:hAnsi="宋体" w:eastAsia="宋体" w:cs="宋体"/>
          <w:color w:val="auto"/>
          <w:sz w:val="24"/>
          <w:szCs w:val="24"/>
        </w:rPr>
        <w:t>投标截止前，招标人拒绝接收符合条件的投标文件，投标人可向招标投标监督机构投诉。</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19.5如技术标和经济标先后分别开启，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将按招标文件规定的时间分别开启技术标和经济标。</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20．投标文件提交的截止时间</w:t>
      </w:r>
    </w:p>
    <w:p>
      <w:pPr>
        <w:spacing w:line="360" w:lineRule="auto"/>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20.1投标人应在投标须知前附表第17项所述的时间前提交投标文件。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20.3 到投标截止时间止，招标人收到的投标文件少于3家的，招标人将重新组织招标</w:t>
      </w:r>
      <w:r>
        <w:rPr>
          <w:rFonts w:hint="eastAsia" w:ascii="宋体" w:hAnsi="宋体" w:eastAsia="宋体" w:cs="宋体"/>
          <w:color w:val="auto"/>
          <w:sz w:val="24"/>
          <w:szCs w:val="24"/>
        </w:rPr>
        <w:t>（当N个标段同时招标且不允许兼中时，若有效投标人不足N+2家，则重新组织招标）</w:t>
      </w:r>
      <w:r>
        <w:rPr>
          <w:rFonts w:hint="eastAsia" w:ascii="宋体" w:hAnsi="宋体" w:eastAsia="宋体" w:cs="宋体"/>
          <w:color w:val="auto"/>
          <w:sz w:val="24"/>
        </w:rPr>
        <w:t>。</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21．迟交的投标文件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 本须知前附表第17项规定的投标截止时间</w:t>
      </w:r>
      <w:r>
        <w:rPr>
          <w:rFonts w:hint="eastAsia" w:ascii="宋体" w:hAnsi="宋体" w:eastAsia="宋体" w:cs="宋体"/>
          <w:bCs/>
          <w:color w:val="auto"/>
          <w:sz w:val="24"/>
          <w:szCs w:val="24"/>
        </w:rPr>
        <w:t>后送达的</w:t>
      </w:r>
      <w:r>
        <w:rPr>
          <w:rFonts w:hint="eastAsia" w:ascii="宋体" w:hAnsi="宋体" w:eastAsia="宋体" w:cs="宋体"/>
          <w:bCs/>
          <w:color w:val="auto"/>
          <w:sz w:val="24"/>
        </w:rPr>
        <w:t>电子投标文件，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将予以拒收。</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22．投标文件的修改与撤回</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22.1在规定的投标截止时间前，投标人可以修改或撤回已递交的投标文件，但应以书面形式通知招标人。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22.2投标人修改或撤回已递交的投标文件，需在</w:t>
      </w:r>
      <w:r>
        <w:rPr>
          <w:rFonts w:hint="eastAsia" w:ascii="宋体" w:hAnsi="宋体" w:eastAsia="宋体" w:cs="宋体"/>
          <w:color w:val="auto"/>
          <w:sz w:val="24"/>
        </w:rPr>
        <w:t>交易平台发出修改或撤回</w:t>
      </w:r>
      <w:r>
        <w:rPr>
          <w:rFonts w:hint="eastAsia" w:ascii="宋体" w:hAnsi="宋体" w:eastAsia="宋体" w:cs="宋体"/>
          <w:color w:val="auto"/>
          <w:sz w:val="24"/>
          <w:szCs w:val="24"/>
        </w:rPr>
        <w:t>通知，并按要求加盖电子印章。</w:t>
      </w:r>
      <w:r>
        <w:rPr>
          <w:rFonts w:hint="eastAsia" w:ascii="宋体" w:hAnsi="宋体" w:eastAsia="宋体" w:cs="宋体"/>
          <w:bCs/>
          <w:iCs/>
          <w:color w:val="auto"/>
          <w:sz w:val="24"/>
          <w:szCs w:val="24"/>
        </w:rPr>
        <w:t>电子招标投标交易平台收到通知后，</w:t>
      </w:r>
      <w:r>
        <w:rPr>
          <w:rFonts w:hint="eastAsia" w:ascii="宋体" w:hAnsi="宋体" w:eastAsia="宋体" w:cs="宋体"/>
          <w:color w:val="auto"/>
          <w:sz w:val="24"/>
          <w:szCs w:val="24"/>
        </w:rPr>
        <w:t>即时向投标人发出确认回执通知。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22.3修改后再次递交的，按19点的规定执行。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22.4 在投标截止时间之后，投标人不得补充、修改和更换投标文件。</w:t>
      </w:r>
    </w:p>
    <w:p>
      <w:pPr>
        <w:pStyle w:val="6"/>
        <w:spacing w:before="156" w:after="156"/>
        <w:rPr>
          <w:rFonts w:hint="eastAsia" w:ascii="宋体" w:hAnsi="宋体" w:eastAsia="宋体" w:cs="宋体"/>
          <w:color w:val="auto"/>
        </w:rPr>
      </w:pPr>
      <w:bookmarkStart w:id="30" w:name="_Toc2272553"/>
      <w:bookmarkStart w:id="31" w:name="_Toc13881"/>
      <w:bookmarkStart w:id="32" w:name="_Toc21525497"/>
      <w:r>
        <w:rPr>
          <w:rFonts w:hint="eastAsia" w:ascii="宋体" w:hAnsi="宋体" w:eastAsia="宋体" w:cs="宋体"/>
          <w:color w:val="auto"/>
        </w:rPr>
        <w:t>（五）开标、评标、定标及合同签定</w:t>
      </w:r>
      <w:bookmarkEnd w:id="30"/>
      <w:bookmarkEnd w:id="31"/>
      <w:bookmarkEnd w:id="32"/>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23、开标。</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详见第二章开标、评标及定标办法</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24．评标过程的保密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25．投标文件的澄清，计算错误的修正</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详见招标文件第二章开标、评标及定标办法</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26．投标文件的评审、比较和否决</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rPr>
        <w:t>详见招标文件第二章开标、评标及定标办法。</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27．中标通知书</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27.1招标人将在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27.3中标人必须在收到中标通知书后24小时之内以书面形式回复招标人，确认收到。</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27.4在产生中标候选人后，招标人将中标候选人的投标文件商务部分文件的所有内容（包括人员、业绩、奖项等资料）在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交易平台和广东省招标投标监管网</w:t>
      </w:r>
      <w:r>
        <w:rPr>
          <w:rFonts w:hint="eastAsia" w:ascii="宋体" w:hAnsi="宋体" w:eastAsia="宋体" w:cs="宋体"/>
          <w:color w:val="auto"/>
          <w:sz w:val="24"/>
        </w:rPr>
        <w:t>公开。</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28．合同协议书的签订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28.4招标人支付工程款时，中标人应按规定开具发票。</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29．履约担保</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29.1 在收到中标通知书后的</w:t>
      </w:r>
      <w:r>
        <w:rPr>
          <w:rFonts w:hint="eastAsia" w:ascii="宋体" w:hAnsi="宋体" w:eastAsia="宋体" w:cs="宋体"/>
          <w:b/>
          <w:color w:val="auto"/>
          <w:sz w:val="24"/>
        </w:rPr>
        <w:t>15日</w:t>
      </w:r>
      <w:r>
        <w:rPr>
          <w:rFonts w:hint="eastAsia" w:ascii="宋体" w:hAnsi="宋体" w:eastAsia="宋体" w:cs="宋体"/>
          <w:color w:val="auto"/>
          <w:sz w:val="24"/>
        </w:rPr>
        <w:t>内，中标人应按本须知前附表第20项的规定向招标人提交履约担保。</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30．合同生效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30.1在合同双方全权代表在合同协议书上签字，并分别加盖双方单位的公章后，合同正式生效。</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31．其它费用</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32．腐败与欺诈行为</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在招标和合同实施期间，招标人要求投标人和承包人遵守最高的道德标准。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32．1对本条款的规定，特定义如下词汇：</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1）、“腐败行为”是指在招标或合同执行期间，通过提供、给予、接受或索要任何有价值的东西，从而影响招标人有关人员工作的行为；</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32．2如果投标人被认定在本招标的竞争中有腐败或欺诈行为，则会被取消投标资格。</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32.3投标人如在本项目中存在串通投标、弄虚作假</w:t>
      </w:r>
      <w:r>
        <w:rPr>
          <w:rFonts w:hint="eastAsia" w:ascii="宋体" w:hAnsi="宋体" w:cs="宋体"/>
          <w:color w:val="auto"/>
          <w:sz w:val="24"/>
          <w:lang w:val="en-US" w:eastAsia="zh-CN"/>
        </w:rPr>
        <w:t>骗取中标</w:t>
      </w:r>
      <w:r>
        <w:rPr>
          <w:rFonts w:hint="eastAsia" w:ascii="宋体" w:hAnsi="宋体" w:eastAsia="宋体" w:cs="宋体"/>
          <w:color w:val="auto"/>
          <w:sz w:val="24"/>
        </w:rPr>
        <w:t>、行贿情形的，中标无效，行政监督部门将对其违法行为进行政处罚并通报。该投标人将被招标人列入黑名单并限制其参与招标人后续项目的投标。</w:t>
      </w:r>
    </w:p>
    <w:bookmarkEnd w:id="17"/>
    <w:p>
      <w:pPr>
        <w:pStyle w:val="3"/>
        <w:jc w:val="center"/>
        <w:rPr>
          <w:b/>
          <w:bCs/>
          <w:color w:val="auto"/>
          <w:highlight w:val="none"/>
        </w:rPr>
      </w:pPr>
      <w:r>
        <w:rPr>
          <w:rFonts w:ascii="宋体"/>
          <w:color w:val="auto"/>
          <w:sz w:val="24"/>
          <w:highlight w:val="none"/>
        </w:rPr>
        <w:br w:type="page"/>
      </w:r>
      <w:bookmarkStart w:id="33" w:name="_Toc18062"/>
      <w:bookmarkStart w:id="34" w:name="_Toc20404"/>
      <w:r>
        <w:rPr>
          <w:rFonts w:hint="eastAsia"/>
          <w:b/>
          <w:bCs/>
          <w:color w:val="auto"/>
          <w:highlight w:val="none"/>
        </w:rPr>
        <w:t>第二章</w:t>
      </w:r>
      <w:r>
        <w:rPr>
          <w:b/>
          <w:bCs/>
          <w:color w:val="auto"/>
          <w:highlight w:val="none"/>
        </w:rPr>
        <w:t xml:space="preserve">  </w:t>
      </w:r>
      <w:r>
        <w:rPr>
          <w:rFonts w:hint="eastAsia"/>
          <w:b/>
          <w:bCs/>
          <w:color w:val="auto"/>
          <w:highlight w:val="none"/>
        </w:rPr>
        <w:t>开标、评标及定标办法</w:t>
      </w:r>
      <w:bookmarkEnd w:id="33"/>
      <w:bookmarkEnd w:id="34"/>
    </w:p>
    <w:p>
      <w:pPr>
        <w:pStyle w:val="4"/>
        <w:ind w:left="0"/>
        <w:rPr>
          <w:color w:val="auto"/>
          <w:highlight w:val="none"/>
        </w:rPr>
      </w:pPr>
      <w:bookmarkStart w:id="35" w:name="_Toc12518"/>
      <w:bookmarkStart w:id="36" w:name="_Toc24596"/>
      <w:r>
        <w:rPr>
          <w:rFonts w:hint="eastAsia"/>
          <w:color w:val="auto"/>
          <w:sz w:val="28"/>
          <w:szCs w:val="28"/>
          <w:highlight w:val="none"/>
        </w:rPr>
        <w:t>一、</w:t>
      </w:r>
      <w:r>
        <w:rPr>
          <w:rFonts w:hint="eastAsia"/>
          <w:color w:val="auto"/>
          <w:highlight w:val="none"/>
        </w:rPr>
        <w:t>开标、评标及定标办法修改表</w:t>
      </w:r>
      <w:bookmarkEnd w:id="35"/>
      <w:bookmarkEnd w:id="36"/>
    </w:p>
    <w:p>
      <w:pPr>
        <w:pStyle w:val="37"/>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color w:val="auto"/>
          <w:highlight w:val="none"/>
        </w:rPr>
        <w:t>http://zfcj.gz.gov.cn/</w:t>
      </w:r>
      <w:r>
        <w:rPr>
          <w:rStyle w:val="47"/>
          <w:rFonts w:hint="eastAsia"/>
          <w:b/>
          <w:color w:val="auto"/>
          <w:szCs w:val="21"/>
          <w:highlight w:val="none"/>
        </w:rPr>
        <w:t>）下载GZZB2018-3</w:t>
      </w:r>
      <w:r>
        <w:rPr>
          <w:rStyle w:val="47"/>
          <w:rFonts w:hint="eastAsia"/>
          <w:b/>
          <w:color w:val="auto"/>
          <w:szCs w:val="21"/>
          <w:highlight w:val="none"/>
        </w:rPr>
        <w:fldChar w:fldCharType="end"/>
      </w:r>
      <w:r>
        <w:rPr>
          <w:rFonts w:hint="eastAsia"/>
          <w:b/>
          <w:color w:val="auto"/>
          <w:szCs w:val="21"/>
          <w:highlight w:val="none"/>
        </w:rPr>
        <w:t>范本查阅。</w:t>
      </w:r>
    </w:p>
    <w:p>
      <w:pPr>
        <w:spacing w:line="480" w:lineRule="auto"/>
        <w:ind w:firstLine="472" w:firstLineChars="224"/>
        <w:rPr>
          <w:b/>
          <w:color w:val="auto"/>
          <w:szCs w:val="21"/>
          <w:highlight w:val="none"/>
        </w:rPr>
      </w:pPr>
      <w:r>
        <w:rPr>
          <w:rFonts w:hint="eastAsia"/>
          <w:b/>
          <w:color w:val="auto"/>
          <w:szCs w:val="21"/>
          <w:highlight w:val="none"/>
        </w:rPr>
        <w:t>条款号：36.1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条款号：36.3</w:t>
      </w:r>
      <w:r>
        <w:rPr>
          <w:b/>
          <w:color w:val="auto"/>
          <w:szCs w:val="21"/>
          <w:highlight w:val="none"/>
        </w:rPr>
        <w:t xml:space="preserve">             </w:t>
      </w:r>
      <w:r>
        <w:rPr>
          <w:rFonts w:hint="eastAsia"/>
          <w:b/>
          <w:color w:val="auto"/>
          <w:szCs w:val="21"/>
          <w:highlight w:val="none"/>
        </w:rPr>
        <w:t>修改类型：删除</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pBdr>
          <w:bottom w:val="single" w:color="auto" w:sz="6" w:space="1"/>
        </w:pBdr>
        <w:spacing w:line="360" w:lineRule="auto"/>
        <w:rPr>
          <w:rFonts w:ascii="宋体" w:hAnsi="宋体" w:cs="宋体"/>
          <w:b/>
          <w:szCs w:val="21"/>
        </w:rPr>
      </w:pPr>
    </w:p>
    <w:p>
      <w:pPr>
        <w:spacing w:line="360" w:lineRule="auto"/>
        <w:ind w:firstLine="472" w:firstLineChars="224"/>
        <w:rPr>
          <w:rFonts w:ascii="宋体" w:hAnsi="宋体" w:cs="宋体"/>
          <w:b/>
          <w:szCs w:val="21"/>
        </w:rPr>
      </w:pPr>
      <w:r>
        <w:rPr>
          <w:rFonts w:hint="eastAsia" w:ascii="宋体" w:hAnsi="宋体" w:cs="宋体"/>
          <w:b/>
          <w:szCs w:val="21"/>
        </w:rPr>
        <w:t>条款号：36.4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72" w:firstLineChars="224"/>
        <w:rPr>
          <w:rFonts w:ascii="宋体" w:hAnsi="宋体" w:cs="宋体"/>
          <w:bCs/>
          <w:szCs w:val="21"/>
        </w:rPr>
      </w:pPr>
      <w:r>
        <w:rPr>
          <w:rFonts w:hint="eastAsia" w:ascii="宋体" w:hAnsi="宋体" w:cs="宋体"/>
          <w:b/>
          <w:szCs w:val="21"/>
        </w:rPr>
        <w:t>现文：</w:t>
      </w:r>
      <w:r>
        <w:rPr>
          <w:rFonts w:hint="eastAsia" w:ascii="宋体" w:hAnsi="宋体" w:cs="宋体"/>
          <w:bCs/>
          <w:szCs w:val="21"/>
        </w:rPr>
        <w:t>36.4若递交投标文件的投标人不足3家，则重新组织招标。</w:t>
      </w:r>
    </w:p>
    <w:p>
      <w:pPr>
        <w:spacing w:line="480" w:lineRule="auto"/>
        <w:ind w:firstLine="472" w:firstLineChars="224"/>
        <w:rPr>
          <w:b/>
          <w:color w:val="auto"/>
          <w:szCs w:val="21"/>
          <w:highlight w:val="none"/>
        </w:rPr>
      </w:pPr>
      <w:r>
        <w:rPr>
          <w:rFonts w:hint="eastAsia"/>
          <w:b/>
          <w:color w:val="auto"/>
          <w:szCs w:val="21"/>
          <w:highlight w:val="none"/>
        </w:rPr>
        <w:t>条款号：36.5.1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在投标截止时间后半小时内，投标人通过</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hint="eastAsia" w:ascii="宋体" w:hAnsi="宋体"/>
          <w:color w:val="auto"/>
          <w:szCs w:val="20"/>
          <w:highlight w:val="none"/>
        </w:rPr>
      </w:pPr>
      <w:r>
        <w:rPr>
          <w:rFonts w:hint="eastAsia"/>
          <w:b/>
          <w:color w:val="auto"/>
          <w:szCs w:val="21"/>
          <w:highlight w:val="none"/>
        </w:rPr>
        <w:t>现文：</w:t>
      </w:r>
      <w:r>
        <w:rPr>
          <w:rFonts w:hint="eastAsia" w:ascii="宋体" w:hAnsi="宋体"/>
          <w:color w:val="auto"/>
          <w:szCs w:val="20"/>
          <w:highlight w:val="none"/>
        </w:rPr>
        <w:t>在投标截止时间后半小时内，投标人通过</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对已递交的电子投标文件进行解密。投标人完成解密后，再由招标人</w:t>
      </w:r>
      <w:r>
        <w:rPr>
          <w:rFonts w:hint="eastAsia" w:ascii="宋体" w:hAnsi="宋体"/>
          <w:color w:val="auto"/>
          <w:szCs w:val="20"/>
          <w:highlight w:val="none"/>
          <w:u w:val="single"/>
        </w:rPr>
        <w:t>或招标代理机构</w:t>
      </w:r>
      <w:r>
        <w:rPr>
          <w:rFonts w:hint="eastAsia" w:ascii="宋体" w:hAnsi="宋体"/>
          <w:color w:val="auto"/>
          <w:szCs w:val="20"/>
          <w:highlight w:val="none"/>
        </w:rPr>
        <w:t>进行解密。解密完成后，公布招标项目名称、投标人名称、投标保证金的递交情况、投标报价、工期及其他内容；</w:t>
      </w:r>
    </w:p>
    <w:p>
      <w:pPr>
        <w:spacing w:line="400" w:lineRule="exact"/>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bCs w:val="0"/>
          <w:color w:val="auto"/>
          <w:szCs w:val="21"/>
          <w:highlight w:val="none"/>
        </w:rPr>
        <w:t xml:space="preserve"> 36.5.3  </w:t>
      </w:r>
      <w:r>
        <w:rPr>
          <w:rFonts w:hint="eastAsia" w:ascii="宋体" w:hAnsi="宋体" w:eastAsia="宋体" w:cs="宋体"/>
          <w:b/>
          <w:color w:val="auto"/>
          <w:szCs w:val="21"/>
          <w:highlight w:val="none"/>
        </w:rPr>
        <w:t xml:space="preserve">         修改类型：修改</w:t>
      </w:r>
    </w:p>
    <w:p>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400" w:lineRule="exact"/>
        <w:ind w:firstLine="472" w:firstLineChars="224"/>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eastAsia="宋体" w:cs="宋体"/>
          <w:color w:val="auto"/>
          <w:szCs w:val="21"/>
          <w:highlight w:val="none"/>
          <w:u w:val="single"/>
        </w:rPr>
        <w:t>若投标人不参加开标会的，或不签字确认的，视同该投标人认可开标结果。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条款号：38.1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Cs w:val="21"/>
          <w:highlight w:val="none"/>
          <w:u w:val="single"/>
        </w:rPr>
        <w:t>、对同类问题表述不一致、有明显文字和计算错误的内容以及细微偏差</w:t>
      </w:r>
      <w:r>
        <w:rPr>
          <w:rFonts w:hint="eastAsia" w:ascii="宋体" w:hAnsi="宋体"/>
          <w:color w:val="auto"/>
          <w:szCs w:val="21"/>
          <w:highlight w:val="none"/>
        </w:rPr>
        <w:t>的内容作出澄清。</w:t>
      </w:r>
    </w:p>
    <w:p>
      <w:pPr>
        <w:spacing w:line="360" w:lineRule="auto"/>
        <w:ind w:firstLine="472" w:firstLineChars="224"/>
        <w:rPr>
          <w:b/>
          <w:color w:val="auto"/>
          <w:szCs w:val="21"/>
          <w:highlight w:val="none"/>
        </w:rPr>
      </w:pPr>
      <w:r>
        <w:rPr>
          <w:rFonts w:hint="eastAsia"/>
          <w:b/>
          <w:color w:val="auto"/>
          <w:szCs w:val="21"/>
          <w:highlight w:val="none"/>
        </w:rPr>
        <w:t>条款号：39.3</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Cs w:val="21"/>
          <w:highlight w:val="none"/>
          <w:u w:val="single"/>
        </w:rPr>
        <w:t>或经核查发现委派的项目负责人已在其他在建项目中担任本职务的，</w:t>
      </w:r>
      <w:r>
        <w:rPr>
          <w:rFonts w:hint="eastAsia" w:ascii="宋体" w:hAnsi="宋体"/>
          <w:color w:val="auto"/>
          <w:szCs w:val="21"/>
          <w:highlight w:val="none"/>
        </w:rPr>
        <w:t>招标人可以确定排名第二的中标候选人为中标人。</w:t>
      </w:r>
    </w:p>
    <w:p>
      <w:pPr>
        <w:spacing w:line="360" w:lineRule="auto"/>
        <w:ind w:firstLine="422" w:firstLineChars="200"/>
        <w:jc w:val="left"/>
        <w:rPr>
          <w:rFonts w:ascii="宋体" w:hAnsi="宋体" w:cs="宋体"/>
          <w:b/>
          <w:szCs w:val="21"/>
        </w:rPr>
      </w:pPr>
      <w:r>
        <w:rPr>
          <w:rFonts w:hint="eastAsia" w:ascii="宋体" w:hAnsi="宋体" w:cs="宋体"/>
          <w:b/>
          <w:szCs w:val="21"/>
        </w:rPr>
        <w:t xml:space="preserve">条款号：（二）开标评标办法程序和细则                             修改类型：删除                                              </w:t>
      </w:r>
    </w:p>
    <w:p>
      <w:pPr>
        <w:pBdr>
          <w:bottom w:val="single" w:color="auto" w:sz="6" w:space="1"/>
        </w:pBdr>
        <w:spacing w:line="360" w:lineRule="auto"/>
        <w:ind w:firstLine="527" w:firstLineChars="250"/>
        <w:rPr>
          <w:rFonts w:hint="eastAsia" w:ascii="宋体" w:hAnsi="宋体"/>
          <w:color w:val="auto"/>
          <w:szCs w:val="21"/>
          <w:highlight w:val="none"/>
        </w:rPr>
      </w:pPr>
      <w:r>
        <w:rPr>
          <w:rFonts w:hint="eastAsia" w:ascii="宋体" w:hAnsi="宋体" w:cs="宋体"/>
          <w:b/>
          <w:szCs w:val="21"/>
        </w:rPr>
        <w:t>原文：</w:t>
      </w:r>
      <w:r>
        <w:rPr>
          <w:rFonts w:hint="eastAsia" w:ascii="宋体" w:hAnsi="宋体" w:cs="宋体"/>
          <w:bCs/>
          <w:szCs w:val="21"/>
        </w:rPr>
        <w:t>注：以下七种评标办法所述企业综合诚信评价分数即投标截止当日广州市工程招标代理行业协会网站上公布的企业综合诚信评价60日诚信分</w:t>
      </w:r>
      <w:r>
        <w:rPr>
          <w:rFonts w:hint="eastAsia" w:ascii="宋体" w:hAnsi="宋体"/>
          <w:color w:val="auto"/>
          <w:szCs w:val="21"/>
          <w:highlight w:val="none"/>
        </w:rPr>
        <w:t>。</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可选办法一（适合综合评分法一，技术标与经济标先后分别开启）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可选办法二（适合综合评分法一，技术标与经济标同时开启）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可选办法三（适合综合评分法二，技术标与经济标先后分别开启）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可选办法四（适合综合评分法二，技术标与经济标同时开启）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可选办法五（适合综合评分法三，技术标与经济标先后分别开启）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可选办法六（适合综合评分法三，技术标与经济标同时开启）</w:t>
      </w:r>
    </w:p>
    <w:p>
      <w:pPr>
        <w:pBdr>
          <w:bottom w:val="single" w:color="auto" w:sz="6" w:space="1"/>
        </w:pBdr>
        <w:spacing w:line="360" w:lineRule="auto"/>
        <w:ind w:firstLine="527" w:firstLineChars="250"/>
        <w:rPr>
          <w:b/>
          <w:color w:val="auto"/>
          <w:szCs w:val="21"/>
          <w:highlight w:val="none"/>
        </w:rPr>
      </w:pPr>
      <w:r>
        <w:rPr>
          <w:rFonts w:hint="eastAsia" w:ascii="宋体" w:hAnsi="宋体" w:cs="宋体"/>
          <w:b/>
          <w:szCs w:val="21"/>
        </w:rPr>
        <w:t>原文：</w:t>
      </w:r>
      <w:r>
        <w:rPr>
          <w:rFonts w:hint="eastAsia" w:ascii="宋体" w:hAnsi="宋体" w:cs="宋体"/>
        </w:rPr>
        <w:t>可选办法八（适合经评审的最低投标价法，技术标与经济标同时开启）</w:t>
      </w:r>
    </w:p>
    <w:p>
      <w:pPr>
        <w:spacing w:line="480" w:lineRule="auto"/>
        <w:ind w:firstLine="472" w:firstLineChars="224"/>
        <w:rPr>
          <w:b/>
          <w:color w:val="auto"/>
          <w:szCs w:val="21"/>
          <w:highlight w:val="none"/>
        </w:rPr>
      </w:pPr>
      <w:r>
        <w:rPr>
          <w:rFonts w:hint="eastAsia"/>
          <w:b/>
          <w:color w:val="auto"/>
          <w:szCs w:val="21"/>
          <w:highlight w:val="none"/>
        </w:rPr>
        <w:t>条款号：41.1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 w:val="18"/>
          <w:szCs w:val="18"/>
          <w:highlight w:val="none"/>
        </w:rPr>
      </w:pPr>
      <w:r>
        <w:rPr>
          <w:rFonts w:hint="eastAsia"/>
          <w:b/>
          <w:color w:val="auto"/>
          <w:szCs w:val="21"/>
          <w:highlight w:val="none"/>
        </w:rPr>
        <w:t>原文：</w:t>
      </w:r>
      <w:r>
        <w:rPr>
          <w:rFonts w:hint="eastAsia" w:ascii="宋体" w:hAnsi="宋体"/>
          <w:color w:val="auto"/>
          <w:szCs w:val="21"/>
          <w:highlight w:val="none"/>
        </w:rPr>
        <w:t>开标由招标人主持；</w:t>
      </w:r>
    </w:p>
    <w:p>
      <w:pPr>
        <w:pBdr>
          <w:bottom w:val="single" w:color="auto" w:sz="6" w:space="1"/>
        </w:pBdr>
        <w:spacing w:line="360" w:lineRule="auto"/>
        <w:ind w:firstLine="527" w:firstLineChars="250"/>
        <w:rPr>
          <w:rFonts w:hint="eastAsia" w:ascii="宋体"/>
          <w:color w:val="auto"/>
          <w:szCs w:val="21"/>
          <w:highlight w:val="none"/>
        </w:rPr>
      </w:pPr>
      <w:r>
        <w:rPr>
          <w:rFonts w:hint="eastAsia"/>
          <w:b/>
          <w:color w:val="auto"/>
          <w:szCs w:val="21"/>
          <w:highlight w:val="none"/>
        </w:rPr>
        <w:t>现文：</w:t>
      </w:r>
      <w:r>
        <w:rPr>
          <w:rFonts w:hint="eastAsia" w:ascii="宋体"/>
          <w:color w:val="auto"/>
          <w:szCs w:val="21"/>
          <w:highlight w:val="none"/>
          <w:u w:val="none"/>
        </w:rPr>
        <w:t>开标由招标人</w:t>
      </w:r>
      <w:r>
        <w:rPr>
          <w:rFonts w:hint="eastAsia" w:ascii="宋体"/>
          <w:color w:val="auto"/>
          <w:szCs w:val="21"/>
          <w:highlight w:val="none"/>
          <w:u w:val="single"/>
        </w:rPr>
        <w:t>或招标代理</w:t>
      </w:r>
      <w:r>
        <w:rPr>
          <w:rFonts w:hint="eastAsia" w:ascii="宋体"/>
          <w:color w:val="auto"/>
          <w:szCs w:val="21"/>
          <w:highlight w:val="none"/>
          <w:u w:val="none"/>
        </w:rPr>
        <w:t>主持</w:t>
      </w:r>
      <w:r>
        <w:rPr>
          <w:rFonts w:hint="eastAsia" w:ascii="宋体"/>
          <w:color w:val="auto"/>
          <w:szCs w:val="21"/>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条款号：41.2.1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 w:val="18"/>
          <w:szCs w:val="18"/>
          <w:highlight w:val="none"/>
        </w:rPr>
      </w:pPr>
      <w:r>
        <w:rPr>
          <w:rFonts w:hint="eastAsia"/>
          <w:b/>
          <w:color w:val="auto"/>
          <w:szCs w:val="21"/>
          <w:highlight w:val="none"/>
        </w:rPr>
        <w:t>原文：</w:t>
      </w:r>
      <w:r>
        <w:rPr>
          <w:rFonts w:hint="eastAsia" w:ascii="宋体" w:hAnsi="宋体"/>
          <w:color w:val="auto"/>
          <w:szCs w:val="21"/>
          <w:highlight w:val="none"/>
        </w:rPr>
        <w:t>投标截止期前，各投标人递交投标文件（包括技术标投标文件、经济标投标文件）至</w:t>
      </w:r>
      <w:r>
        <w:rPr>
          <w:color w:val="auto"/>
          <w:szCs w:val="21"/>
          <w:highlight w:val="none"/>
          <w:u w:val="single"/>
        </w:rPr>
        <w:t xml:space="preserve">        </w:t>
      </w:r>
      <w:r>
        <w:rPr>
          <w:rFonts w:hint="eastAsia" w:ascii="宋体" w:hAnsi="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color w:val="auto"/>
          <w:szCs w:val="21"/>
          <w:highlight w:val="none"/>
        </w:rPr>
        <w:t>投标截止期前，各投标人递交投标文件（包括技术标（含资格审查文件）投标文件、经济标投标文件）至</w:t>
      </w:r>
      <w:r>
        <w:rPr>
          <w:rFonts w:hint="eastAsia" w:ascii="宋体"/>
          <w:color w:val="auto"/>
          <w:szCs w:val="21"/>
          <w:highlight w:val="none"/>
          <w:u w:val="single"/>
        </w:rPr>
        <w:t>广州公共资源交易中心</w:t>
      </w:r>
      <w:r>
        <w:rPr>
          <w:rFonts w:hint="eastAsia" w:ascii="宋体"/>
          <w:color w:val="auto"/>
          <w:szCs w:val="21"/>
          <w:highlight w:val="none"/>
        </w:rPr>
        <w:t>交易平台。有关投标文件提交的事项详见第一章投标须知。</w:t>
      </w:r>
    </w:p>
    <w:p>
      <w:pPr>
        <w:spacing w:line="480" w:lineRule="auto"/>
        <w:ind w:firstLine="472" w:firstLineChars="224"/>
        <w:rPr>
          <w:b/>
          <w:color w:val="auto"/>
          <w:szCs w:val="21"/>
          <w:highlight w:val="none"/>
        </w:rPr>
      </w:pPr>
      <w:r>
        <w:rPr>
          <w:rFonts w:hint="eastAsia"/>
          <w:b/>
          <w:color w:val="auto"/>
          <w:szCs w:val="21"/>
          <w:highlight w:val="none"/>
        </w:rPr>
        <w:t>条款号：41.2.2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360" w:lineRule="auto"/>
        <w:ind w:firstLine="527" w:firstLineChars="250"/>
        <w:rPr>
          <w:rFonts w:hint="eastAsia" w:ascii="宋体"/>
          <w:color w:val="auto"/>
          <w:szCs w:val="21"/>
          <w:highlight w:val="none"/>
        </w:rPr>
      </w:pPr>
      <w:r>
        <w:rPr>
          <w:rFonts w:hint="eastAsia"/>
          <w:b/>
          <w:color w:val="auto"/>
          <w:szCs w:val="21"/>
          <w:highlight w:val="none"/>
        </w:rPr>
        <w:t>原文：</w:t>
      </w:r>
      <w:r>
        <w:rPr>
          <w:rFonts w:hint="eastAsia" w:ascii="宋体"/>
          <w:color w:val="auto"/>
          <w:szCs w:val="21"/>
          <w:highlight w:val="none"/>
        </w:rPr>
        <w:t>开标前，首先由招标人随机抽取确定该工程计算评标参考价的等分点值X。</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72" w:firstLineChars="224"/>
        <w:rPr>
          <w:rFonts w:ascii="宋体" w:hAnsi="宋体" w:cs="宋体"/>
          <w:b/>
          <w:color w:val="auto"/>
          <w:sz w:val="18"/>
          <w:szCs w:val="18"/>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41.3招标人对开标过程进行记录，并存档备查，投标人在技术标开标记录上签字。</w:t>
      </w:r>
    </w:p>
    <w:p>
      <w:pPr>
        <w:pBdr>
          <w:bottom w:val="single" w:color="auto" w:sz="6" w:space="1"/>
        </w:pBdr>
        <w:spacing w:line="360" w:lineRule="auto"/>
        <w:ind w:firstLine="527" w:firstLineChars="250"/>
        <w:rPr>
          <w:color w:val="auto"/>
          <w:sz w:val="18"/>
          <w:szCs w:val="20"/>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对开标过程进行记录，并存档备查，投标人在开标记录上签字</w:t>
      </w:r>
      <w:r>
        <w:rPr>
          <w:rFonts w:hint="eastAsia" w:ascii="宋体" w:hAnsi="宋体" w:cs="宋体"/>
          <w:color w:val="auto"/>
          <w:szCs w:val="21"/>
          <w:highlight w:val="none"/>
          <w:u w:val="single"/>
        </w:rPr>
        <w:t>，投标人未签字且未提出异议的将被视为默认开标结果</w:t>
      </w:r>
      <w:r>
        <w:rPr>
          <w:rFonts w:hint="eastAsia" w:ascii="宋体"/>
          <w:color w:val="auto"/>
          <w:szCs w:val="21"/>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条款号：42.2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b/>
          <w:color w:val="auto"/>
          <w:szCs w:val="21"/>
          <w:highlight w:val="none"/>
        </w:rPr>
        <w:t>原文：</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420" w:firstLineChars="200"/>
        <w:rPr>
          <w:rFonts w:ascii="宋体"/>
          <w:color w:val="auto"/>
          <w:szCs w:val="21"/>
          <w:highlight w:val="none"/>
        </w:rPr>
      </w:pPr>
      <w:r>
        <w:rPr>
          <w:rFonts w:hint="eastAsia" w:ascii="宋体"/>
          <w:color w:val="auto"/>
          <w:szCs w:val="21"/>
          <w:highlight w:val="none"/>
        </w:rPr>
        <w:t>方式一：评标委员会为综合评标委员会，负责资格审查及评标工作。</w:t>
      </w:r>
    </w:p>
    <w:p>
      <w:pPr>
        <w:spacing w:line="360" w:lineRule="auto"/>
        <w:ind w:firstLine="470" w:firstLineChars="224"/>
        <w:rPr>
          <w:b/>
          <w:color w:val="auto"/>
          <w:sz w:val="15"/>
          <w:szCs w:val="15"/>
          <w:highlight w:val="none"/>
        </w:rPr>
      </w:pPr>
      <w:r>
        <w:rPr>
          <w:rFonts w:hint="eastAsia" w:ascii="宋体"/>
          <w:color w:val="auto"/>
          <w:szCs w:val="21"/>
          <w:highlight w:val="none"/>
        </w:rPr>
        <w:t>方式二：评标委员会由技术评审组和经济评审组组成。其中：资格审查及技术评审由技术评标组负责，经济评审由经济评审组负责。</w:t>
      </w:r>
    </w:p>
    <w:p>
      <w:pPr>
        <w:pStyle w:val="37"/>
        <w:tabs>
          <w:tab w:val="left" w:pos="7380"/>
        </w:tabs>
        <w:snapToGrid w:val="0"/>
        <w:spacing w:after="0" w:line="360" w:lineRule="auto"/>
        <w:ind w:firstLine="422" w:firstLineChars="200"/>
        <w:rPr>
          <w:rFonts w:ascii="宋体"/>
          <w:color w:val="auto"/>
          <w:szCs w:val="21"/>
          <w:highlight w:val="none"/>
        </w:rPr>
      </w:pPr>
      <w:r>
        <w:rPr>
          <w:rFonts w:hint="eastAsia"/>
          <w:b/>
          <w:color w:val="auto"/>
          <w:szCs w:val="21"/>
          <w:highlight w:val="none"/>
        </w:rPr>
        <w:t>现文：</w:t>
      </w:r>
      <w:r>
        <w:rPr>
          <w:rFonts w:hint="eastAsia" w:ascii="宋体"/>
          <w:color w:val="auto"/>
          <w:szCs w:val="21"/>
          <w:highlight w:val="none"/>
        </w:rPr>
        <w:t>评标委员会的组成：方式</w:t>
      </w:r>
      <w:r>
        <w:rPr>
          <w:rFonts w:hint="eastAsia" w:ascii="宋体"/>
          <w:color w:val="auto"/>
          <w:szCs w:val="21"/>
          <w:highlight w:val="none"/>
          <w:u w:val="single"/>
        </w:rPr>
        <w:t xml:space="preserve"> 一 </w:t>
      </w:r>
      <w:r>
        <w:rPr>
          <w:rFonts w:hint="eastAsia" w:ascii="宋体"/>
          <w:color w:val="auto"/>
          <w:szCs w:val="21"/>
          <w:highlight w:val="none"/>
        </w:rPr>
        <w:t>。</w:t>
      </w:r>
    </w:p>
    <w:p>
      <w:pPr>
        <w:pBdr>
          <w:bottom w:val="none" w:color="auto" w:sz="0" w:space="0"/>
        </w:pBdr>
        <w:snapToGrid w:val="0"/>
        <w:spacing w:line="360" w:lineRule="auto"/>
        <w:ind w:firstLine="420" w:firstLineChars="200"/>
        <w:rPr>
          <w:color w:val="auto"/>
          <w:sz w:val="18"/>
          <w:szCs w:val="20"/>
          <w:highlight w:val="none"/>
        </w:rPr>
      </w:pPr>
      <w:r>
        <w:rPr>
          <w:rFonts w:hint="eastAsia" w:ascii="宋体"/>
          <w:color w:val="auto"/>
          <w:szCs w:val="21"/>
          <w:highlight w:val="none"/>
        </w:rPr>
        <w:t>方式一：评标委员会为综合评标委员会，负责资格审查及评标工作。</w:t>
      </w:r>
    </w:p>
    <w:p>
      <w:pPr>
        <w:pStyle w:val="37"/>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43.6</w:t>
      </w:r>
      <w:r>
        <w:rPr>
          <w:rFonts w:hint="eastAsia" w:ascii="宋体" w:hAnsi="宋体" w:cs="宋体"/>
          <w:b/>
          <w:bCs/>
          <w:szCs w:val="21"/>
          <w:lang w:val="en-US" w:eastAsia="zh-CN"/>
        </w:rPr>
        <w:t xml:space="preserve">            </w:t>
      </w:r>
      <w:r>
        <w:rPr>
          <w:rFonts w:hint="eastAsia" w:ascii="宋体" w:hAnsi="宋体" w:cs="宋体"/>
          <w:b/>
          <w:szCs w:val="21"/>
        </w:rPr>
        <w:t>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43.6</w:t>
      </w:r>
      <w:r>
        <w:rPr>
          <w:rFonts w:hint="eastAsia" w:ascii="宋体" w:hAnsi="宋体" w:cs="宋体"/>
          <w:bCs/>
          <w:szCs w:val="21"/>
        </w:rPr>
        <w:t>资格审查合格的投标人少于3名的（当N个标段同时招标且不允许兼中时，资格审查合格的投标人少于N+2名），则本项目招标失败。</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43.6</w:t>
      </w:r>
      <w:r>
        <w:rPr>
          <w:rFonts w:hint="eastAsia" w:ascii="宋体" w:hAnsi="宋体" w:cs="宋体"/>
          <w:bCs/>
          <w:szCs w:val="21"/>
          <w:u w:val="single"/>
        </w:rPr>
        <w:t>资格审查合格的投标人少于3名的，则本项目招标失败</w:t>
      </w:r>
      <w:r>
        <w:rPr>
          <w:rFonts w:hint="eastAsia" w:ascii="宋体" w:hAnsi="宋体" w:cs="宋体"/>
          <w:bCs/>
          <w:szCs w:val="21"/>
        </w:rPr>
        <w:t>。</w:t>
      </w:r>
    </w:p>
    <w:p>
      <w:pPr>
        <w:pStyle w:val="37"/>
        <w:spacing w:after="0" w:line="460" w:lineRule="exact"/>
        <w:ind w:firstLine="422" w:firstLineChars="200"/>
        <w:rPr>
          <w:rFonts w:ascii="宋体" w:hAnsi="宋体" w:cs="宋体"/>
          <w:szCs w:val="21"/>
        </w:rPr>
      </w:pPr>
      <w:r>
        <w:rPr>
          <w:rFonts w:hint="eastAsia" w:ascii="宋体" w:hAnsi="宋体" w:cs="宋体"/>
          <w:b/>
          <w:szCs w:val="21"/>
        </w:rPr>
        <w:t>条款号：44.1</w:t>
      </w:r>
      <w:r>
        <w:rPr>
          <w:rFonts w:hint="eastAsia" w:ascii="宋体" w:hAnsi="宋体" w:cs="宋体"/>
          <w:b/>
          <w:szCs w:val="21"/>
          <w:lang w:val="en-US" w:eastAsia="zh-CN"/>
        </w:rPr>
        <w:t xml:space="preserve">            </w:t>
      </w:r>
      <w:r>
        <w:rPr>
          <w:rFonts w:hint="eastAsia" w:ascii="宋体" w:hAnsi="宋体" w:cs="宋体"/>
          <w:b/>
          <w:szCs w:val="21"/>
        </w:rPr>
        <w:t>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eastAsia="宋体" w:cs="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cs="宋体"/>
          <w:bCs/>
          <w:szCs w:val="21"/>
          <w:u w:val="single"/>
        </w:rPr>
        <w:t>若通过技术标有效性审查的投标人不足</w:t>
      </w:r>
      <w:r>
        <w:rPr>
          <w:rFonts w:hint="eastAsia" w:ascii="宋体" w:hAnsi="宋体" w:cs="宋体"/>
          <w:bCs/>
          <w:szCs w:val="21"/>
          <w:u w:val="single"/>
          <w:lang w:val="en-US" w:eastAsia="zh-CN"/>
        </w:rPr>
        <w:t>3名</w:t>
      </w:r>
      <w:r>
        <w:rPr>
          <w:rFonts w:hint="eastAsia" w:ascii="宋体" w:hAnsi="宋体" w:cs="宋体"/>
          <w:bCs/>
          <w:szCs w:val="21"/>
          <w:u w:val="single"/>
        </w:rPr>
        <w:t>，则本项目招标失败。</w:t>
      </w:r>
      <w:r>
        <w:rPr>
          <w:rFonts w:hint="eastAsia" w:ascii="宋体" w:hAnsi="宋体" w:cs="宋体"/>
          <w:bCs/>
          <w:szCs w:val="21"/>
          <w:u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hint="eastAsia"/>
          <w:b/>
          <w:color w:val="auto"/>
          <w:szCs w:val="21"/>
          <w:highlight w:val="none"/>
        </w:rPr>
      </w:pPr>
      <w:r>
        <w:rPr>
          <w:rFonts w:hint="eastAsia"/>
          <w:b/>
          <w:bCs/>
          <w:color w:val="auto"/>
          <w:sz w:val="21"/>
        </w:rPr>
        <w:t xml:space="preserve">条款号: </w:t>
      </w:r>
      <w:r>
        <w:rPr>
          <w:b/>
          <w:bCs/>
          <w:color w:val="auto"/>
          <w:sz w:val="21"/>
        </w:rPr>
        <w:t>44.2</w:t>
      </w:r>
      <w:r>
        <w:rPr>
          <w:rFonts w:hint="eastAsia"/>
          <w:b/>
          <w:bCs/>
          <w:color w:val="auto"/>
          <w:sz w:val="21"/>
        </w:rPr>
        <w:t xml:space="preserve">               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color w:val="auto"/>
          <w:szCs w:val="21"/>
          <w:highlight w:val="none"/>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color w:val="auto"/>
          <w:szCs w:val="21"/>
          <w:highlight w:val="none"/>
        </w:rPr>
        <w:t>技术标详细审查评分：评标委员会按照附表四《技术标详细审查评分表》的标准，对通过技术标有效性审查的投标文件技术标进行详细审查，评出技术分，投标人的技术分为各评委评分</w:t>
      </w:r>
      <w:r>
        <w:rPr>
          <w:rFonts w:hint="eastAsia" w:ascii="宋体" w:hAnsi="宋体" w:cs="宋体"/>
          <w:sz w:val="21"/>
          <w:szCs w:val="21"/>
        </w:rPr>
        <w:t>的算术平均值</w:t>
      </w:r>
      <w:r>
        <w:rPr>
          <w:rFonts w:hint="eastAsia" w:ascii="宋体"/>
          <w:color w:val="auto"/>
          <w:szCs w:val="21"/>
          <w:highlight w:val="none"/>
        </w:rPr>
        <w:t>，得分四舍五入精确到小数点后两位。</w:t>
      </w:r>
    </w:p>
    <w:p>
      <w:pPr>
        <w:spacing w:line="480" w:lineRule="auto"/>
        <w:ind w:firstLine="472" w:firstLineChars="224"/>
        <w:rPr>
          <w:b/>
          <w:color w:val="auto"/>
          <w:szCs w:val="21"/>
          <w:highlight w:val="none"/>
        </w:rPr>
      </w:pPr>
      <w:r>
        <w:rPr>
          <w:rFonts w:hint="eastAsia"/>
          <w:b/>
          <w:color w:val="auto"/>
          <w:szCs w:val="21"/>
          <w:highlight w:val="none"/>
        </w:rPr>
        <w:t>条款号：45.1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若通过技术标有效性审查的投标人中</w:t>
      </w:r>
      <w:r>
        <w:rPr>
          <w:rFonts w:hint="eastAsia" w:ascii="宋体" w:hAnsi="宋体"/>
          <w:color w:val="auto"/>
          <w:szCs w:val="21"/>
          <w:highlight w:val="none"/>
          <w:lang w:val="en-US" w:eastAsia="zh-CN"/>
        </w:rPr>
        <w:t>所</w:t>
      </w:r>
      <w:r>
        <w:rPr>
          <w:rFonts w:hint="eastAsia" w:ascii="宋体" w:hAnsi="宋体"/>
          <w:color w:val="auto"/>
          <w:szCs w:val="21"/>
          <w:highlight w:val="none"/>
        </w:rPr>
        <w:t>有投标报价均大于等于最高投标限价*D%（D的取值范围为[94,100],由招标人自主确定）的（具体金额为：</w:t>
      </w:r>
      <w:r>
        <w:rPr>
          <w:rFonts w:hint="eastAsia" w:ascii="宋体" w:hAnsi="宋体"/>
          <w:color w:val="auto"/>
          <w:szCs w:val="21"/>
          <w:highlight w:val="none"/>
          <w:u w:val="single"/>
        </w:rPr>
        <w:t xml:space="preserve">      </w:t>
      </w:r>
      <w:r>
        <w:rPr>
          <w:rFonts w:hint="eastAsia" w:ascii="宋体" w:hAnsi="宋体"/>
          <w:color w:val="auto"/>
          <w:szCs w:val="21"/>
          <w:highlight w:val="none"/>
        </w:rPr>
        <w:t>元），则本项目招标失败，由招标人依法重新招标。</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若通过技术标有效性审查的投标人中</w:t>
      </w:r>
      <w:r>
        <w:rPr>
          <w:rFonts w:hint="eastAsia" w:ascii="宋体" w:hAnsi="宋体"/>
          <w:color w:val="auto"/>
          <w:szCs w:val="21"/>
          <w:highlight w:val="none"/>
          <w:lang w:val="en-US" w:eastAsia="zh-CN"/>
        </w:rPr>
        <w:t>所</w:t>
      </w:r>
      <w:r>
        <w:rPr>
          <w:rFonts w:hint="eastAsia" w:ascii="宋体" w:hAnsi="宋体"/>
          <w:color w:val="auto"/>
          <w:szCs w:val="21"/>
          <w:highlight w:val="none"/>
        </w:rPr>
        <w:t>有投标报价均大于等于最高投标限价*</w:t>
      </w:r>
      <w:r>
        <w:rPr>
          <w:rFonts w:hint="eastAsia" w:ascii="宋体" w:hAnsi="宋体"/>
          <w:color w:val="auto"/>
          <w:szCs w:val="21"/>
          <w:highlight w:val="none"/>
          <w:lang w:val="en-US" w:eastAsia="zh-CN"/>
        </w:rPr>
        <w:t>100</w:t>
      </w:r>
      <w:r>
        <w:rPr>
          <w:rFonts w:hint="eastAsia" w:ascii="宋体" w:hAnsi="宋体"/>
          <w:color w:val="auto"/>
          <w:szCs w:val="21"/>
          <w:highlight w:val="none"/>
        </w:rPr>
        <w:t>%（D的取值范围为[94,100],由招标人自主确定）的（具体金额为：</w:t>
      </w:r>
      <w:r>
        <w:rPr>
          <w:rFonts w:hint="eastAsia" w:ascii="宋体" w:hAnsi="宋体"/>
          <w:color w:val="auto"/>
          <w:szCs w:val="21"/>
          <w:highlight w:val="none"/>
          <w:u w:val="single"/>
        </w:rPr>
        <w:t>31891145.95</w:t>
      </w:r>
      <w:r>
        <w:rPr>
          <w:rFonts w:hint="eastAsia" w:ascii="宋体" w:hAnsi="宋体"/>
          <w:color w:val="auto"/>
          <w:szCs w:val="21"/>
          <w:highlight w:val="none"/>
        </w:rPr>
        <w:t>元），则本项目招标失败，由招标人依法重新招标。</w:t>
      </w:r>
    </w:p>
    <w:p>
      <w:pPr>
        <w:spacing w:line="480" w:lineRule="auto"/>
        <w:ind w:firstLine="472" w:firstLineChars="224"/>
        <w:rPr>
          <w:b/>
          <w:color w:val="auto"/>
          <w:szCs w:val="21"/>
          <w:highlight w:val="none"/>
        </w:rPr>
      </w:pPr>
      <w:r>
        <w:rPr>
          <w:rFonts w:hint="eastAsia"/>
          <w:b/>
          <w:color w:val="auto"/>
          <w:szCs w:val="21"/>
          <w:highlight w:val="none"/>
        </w:rPr>
        <w:t>条款号：45.2</w:t>
      </w:r>
      <w:r>
        <w:rPr>
          <w:b/>
          <w:color w:val="auto"/>
          <w:szCs w:val="21"/>
          <w:highlight w:val="none"/>
        </w:rPr>
        <w:t xml:space="preserve">             </w:t>
      </w:r>
      <w:r>
        <w:rPr>
          <w:rFonts w:hint="eastAsia"/>
          <w:b/>
          <w:color w:val="auto"/>
          <w:szCs w:val="21"/>
          <w:highlight w:val="none"/>
        </w:rPr>
        <w:t>修改类型：修改</w:t>
      </w:r>
    </w:p>
    <w:p>
      <w:pPr>
        <w:pStyle w:val="37"/>
        <w:tabs>
          <w:tab w:val="left" w:pos="7380"/>
        </w:tabs>
        <w:snapToGrid w:val="0"/>
        <w:spacing w:after="0" w:line="360" w:lineRule="auto"/>
        <w:ind w:firstLine="422" w:firstLineChars="200"/>
        <w:rPr>
          <w:rFonts w:ascii="宋体"/>
          <w:color w:val="auto"/>
          <w:szCs w:val="21"/>
          <w:highlight w:val="none"/>
        </w:rPr>
      </w:pPr>
      <w:r>
        <w:rPr>
          <w:rFonts w:hint="eastAsia"/>
          <w:b/>
          <w:color w:val="auto"/>
          <w:szCs w:val="21"/>
          <w:highlight w:val="none"/>
        </w:rPr>
        <w:t>原文：</w:t>
      </w:r>
      <w:r>
        <w:rPr>
          <w:rFonts w:hint="eastAsia" w:ascii="宋体" w:hAnsi="宋体"/>
          <w:color w:val="auto"/>
          <w:szCs w:val="21"/>
          <w:highlight w:val="none"/>
        </w:rPr>
        <w:t>按方法</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43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7"/>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4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8"/>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4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9"/>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4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10"/>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44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11"/>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4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12"/>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70" w:firstLineChars="224"/>
        <w:rPr>
          <w:b/>
          <w:color w:val="auto"/>
          <w:sz w:val="18"/>
          <w:szCs w:val="18"/>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pStyle w:val="37"/>
        <w:tabs>
          <w:tab w:val="left" w:pos="7380"/>
        </w:tabs>
        <w:snapToGrid w:val="0"/>
        <w:spacing w:after="0" w:line="360" w:lineRule="auto"/>
        <w:ind w:firstLine="422" w:firstLineChars="200"/>
        <w:rPr>
          <w:rFonts w:ascii="宋体"/>
          <w:color w:val="auto"/>
          <w:szCs w:val="21"/>
          <w:highlight w:val="none"/>
        </w:rPr>
      </w:pPr>
      <w:r>
        <w:rPr>
          <w:rFonts w:hint="eastAsia"/>
          <w:b/>
          <w:color w:val="auto"/>
          <w:szCs w:val="21"/>
          <w:highlight w:val="none"/>
        </w:rPr>
        <w:t>现文：</w:t>
      </w:r>
      <w:r>
        <w:rPr>
          <w:rFonts w:hint="eastAsia" w:ascii="宋体" w:hAnsi="宋体"/>
          <w:color w:val="auto"/>
          <w:szCs w:val="21"/>
          <w:highlight w:val="none"/>
        </w:rPr>
        <w:t>按方法</w:t>
      </w:r>
      <w:r>
        <w:rPr>
          <w:rFonts w:hint="eastAsia" w:ascii="宋体" w:hAnsi="宋体"/>
          <w:color w:val="auto"/>
          <w:szCs w:val="21"/>
          <w:highlight w:val="none"/>
          <w:u w:val="single"/>
        </w:rPr>
        <w:t xml:space="preserve"> 一 </w:t>
      </w:r>
      <w:r>
        <w:rPr>
          <w:rFonts w:hint="eastAsia" w:ascii="宋体" w:hAnsi="宋体"/>
          <w:color w:val="auto"/>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技术标得分前5名（N=5，不足5名时，取通过技术标有效性审查的所有投标人个数）且经济报价位于[工程成本警戒价，最高投标限价*100%]区间的经济报价加权平均，计算评标参考价。公式如下：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44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13"/>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44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14"/>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44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15"/>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4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16"/>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44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17"/>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5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18"/>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0" w:firstLineChars="200"/>
        <w:rPr>
          <w:rFonts w:ascii="宋体" w:hAnsi="宋体" w:cs="仿宋"/>
          <w:strike/>
          <w:color w:val="auto"/>
          <w:szCs w:val="21"/>
          <w:highlight w:val="none"/>
        </w:rPr>
      </w:pPr>
      <w:r>
        <w:rPr>
          <w:rFonts w:hint="eastAsia" w:ascii="宋体" w:hAnsi="宋体" w:cs="仿宋"/>
          <w:color w:val="auto"/>
          <w:szCs w:val="21"/>
          <w:highlight w:val="none"/>
        </w:rPr>
        <w:t>技术得分相同的，以投标总报价低的排名靠前；技术得分与投标总报价均相同的投标人，由评标委员会采用记名投票方式，确定技术得分的排名。记名投票方式确定技术得分排名的具体操作步</w:t>
      </w:r>
    </w:p>
    <w:p>
      <w:pPr>
        <w:pBdr>
          <w:bottom w:val="single" w:color="auto" w:sz="6" w:space="1"/>
        </w:pBdr>
        <w:spacing w:line="360" w:lineRule="auto"/>
        <w:ind w:firstLine="0" w:firstLineChars="0"/>
        <w:rPr>
          <w:color w:val="auto"/>
          <w:highlight w:val="none"/>
        </w:rPr>
      </w:pPr>
      <w:r>
        <w:rPr>
          <w:rFonts w:hint="eastAsia" w:ascii="宋体" w:hAnsi="宋体" w:cs="仿宋"/>
          <w:color w:val="auto"/>
          <w:szCs w:val="21"/>
          <w:highlight w:val="none"/>
        </w:rPr>
        <w:t>骤为：由评标委员会对出现该情况的投标人进行编号，然后通过记名投票方式，以得票多的排前确定排名。（评标参考价精确到小数点后两位）。</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w:t>
      </w:r>
      <w:r>
        <w:rPr>
          <w:rFonts w:ascii="宋体" w:hAnsi="宋体" w:cs="宋体"/>
          <w:b/>
          <w:color w:val="auto"/>
          <w:kern w:val="0"/>
          <w:szCs w:val="21"/>
          <w:highlight w:val="none"/>
        </w:rPr>
        <w:t>5</w:t>
      </w:r>
      <w:r>
        <w:rPr>
          <w:rFonts w:hint="eastAsia" w:ascii="宋体" w:hAnsi="宋体" w:cs="宋体"/>
          <w:b/>
          <w:color w:val="auto"/>
          <w:kern w:val="0"/>
          <w:szCs w:val="21"/>
          <w:highlight w:val="none"/>
        </w:rPr>
        <w:t>.3</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45.3当标价等于评标参考价时得100分，标价每高于评标参考价1%，扣</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0.2</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分，每低于评标参考价1%，扣</w:t>
      </w:r>
      <w:r>
        <w:rPr>
          <w:rFonts w:ascii="宋体" w:hAnsi="宋体" w:cs="宋体"/>
          <w:color w:val="auto"/>
          <w:kern w:val="0"/>
          <w:szCs w:val="21"/>
          <w:highlight w:val="none"/>
          <w:u w:val="single"/>
        </w:rPr>
        <w:t xml:space="preserve"> 0.</w:t>
      </w:r>
      <w:r>
        <w:rPr>
          <w:rFonts w:hint="eastAsia" w:ascii="宋体" w:hAnsi="宋体" w:cs="宋体"/>
          <w:color w:val="auto"/>
          <w:kern w:val="0"/>
          <w:szCs w:val="21"/>
          <w:highlight w:val="none"/>
          <w:u w:val="single"/>
          <w:lang w:val="en-US" w:eastAsia="zh-CN"/>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分，扣至0分为止，得出经济分，精确到小数点后两位。</w:t>
      </w:r>
    </w:p>
    <w:p>
      <w:pPr>
        <w:spacing w:line="480" w:lineRule="auto"/>
        <w:ind w:firstLine="472" w:firstLineChars="224"/>
        <w:rPr>
          <w:b/>
          <w:color w:val="auto"/>
          <w:szCs w:val="21"/>
          <w:highlight w:val="none"/>
        </w:rPr>
      </w:pPr>
      <w:r>
        <w:rPr>
          <w:rFonts w:hint="eastAsia"/>
          <w:b/>
          <w:color w:val="auto"/>
          <w:szCs w:val="21"/>
          <w:highlight w:val="none"/>
        </w:rPr>
        <w:t>条款号：45.4</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color w:val="auto"/>
          <w:szCs w:val="21"/>
          <w:highlight w:val="none"/>
        </w:rPr>
        <w:t>计算通过技术标有效性审查的投标人总得分。投标人总得分=（技术得分×技术得分权重</w:t>
      </w:r>
      <w:r>
        <w:rPr>
          <w:rFonts w:hint="eastAsia" w:ascii="宋体" w:cs="宋体"/>
          <w:color w:val="auto"/>
          <w:szCs w:val="21"/>
          <w:highlight w:val="none"/>
        </w:rPr>
        <w:t>＋</w:t>
      </w:r>
      <w:r>
        <w:rPr>
          <w:rFonts w:hint="eastAsia" w:ascii="宋体"/>
          <w:color w:val="auto"/>
          <w:szCs w:val="21"/>
          <w:highlight w:val="none"/>
        </w:rPr>
        <w:t>经济得分×经济得分权重）×（1-综合诚信评价分数权重）</w:t>
      </w:r>
      <w:r>
        <w:rPr>
          <w:rFonts w:hint="eastAsia" w:ascii="宋体" w:cs="宋体"/>
          <w:color w:val="auto"/>
          <w:szCs w:val="21"/>
          <w:highlight w:val="none"/>
        </w:rPr>
        <w:t>＋</w:t>
      </w:r>
      <w:r>
        <w:rPr>
          <w:rFonts w:hint="eastAsia" w:ascii="宋体"/>
          <w:color w:val="auto"/>
          <w:szCs w:val="21"/>
          <w:highlight w:val="none"/>
        </w:rPr>
        <w:t>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rFonts w:hint="eastAsia" w:ascii="宋体"/>
          <w:color w:val="auto"/>
          <w:szCs w:val="21"/>
          <w:highlight w:val="none"/>
        </w:rPr>
      </w:pPr>
      <w:r>
        <w:rPr>
          <w:rFonts w:hint="eastAsia"/>
          <w:b/>
          <w:color w:val="auto"/>
          <w:szCs w:val="21"/>
          <w:highlight w:val="none"/>
        </w:rPr>
        <w:t>现文：</w:t>
      </w:r>
      <w:r>
        <w:rPr>
          <w:rFonts w:hint="eastAsia" w:ascii="宋体"/>
          <w:color w:val="auto"/>
          <w:szCs w:val="21"/>
          <w:highlight w:val="none"/>
        </w:rPr>
        <w:t>计算通过技术标有效性审查的投标人总得分。</w:t>
      </w:r>
      <w:r>
        <w:rPr>
          <w:rFonts w:hint="eastAsia" w:ascii="宋体"/>
          <w:color w:val="auto"/>
          <w:szCs w:val="21"/>
          <w:highlight w:val="none"/>
          <w:u w:val="single"/>
        </w:rPr>
        <w:t>投标人总得分=技术得分</w:t>
      </w:r>
      <w:r>
        <w:rPr>
          <w:rFonts w:hint="eastAsia" w:ascii="宋体"/>
          <w:color w:val="auto"/>
          <w:szCs w:val="21"/>
          <w:highlight w:val="none"/>
          <w:u w:val="single"/>
          <w:lang w:eastAsia="zh-CN"/>
        </w:rPr>
        <w:t>（</w:t>
      </w:r>
      <w:r>
        <w:rPr>
          <w:rFonts w:hint="eastAsia" w:ascii="宋体"/>
          <w:color w:val="auto"/>
          <w:szCs w:val="21"/>
          <w:highlight w:val="none"/>
          <w:u w:val="single"/>
          <w:lang w:val="en-US" w:eastAsia="zh-CN"/>
        </w:rPr>
        <w:t>20分</w:t>
      </w:r>
      <w:r>
        <w:rPr>
          <w:rFonts w:hint="eastAsia" w:ascii="宋体"/>
          <w:color w:val="auto"/>
          <w:szCs w:val="21"/>
          <w:highlight w:val="none"/>
          <w:u w:val="single"/>
          <w:lang w:eastAsia="zh-CN"/>
        </w:rPr>
        <w:t>）</w:t>
      </w:r>
      <w:r>
        <w:rPr>
          <w:rFonts w:hint="eastAsia" w:ascii="宋体"/>
          <w:color w:val="auto"/>
          <w:szCs w:val="21"/>
          <w:highlight w:val="none"/>
          <w:u w:val="single"/>
        </w:rPr>
        <w:t>＋经济得分</w:t>
      </w:r>
      <w:bookmarkStart w:id="37" w:name="OLE_LINK5"/>
      <w:r>
        <w:rPr>
          <w:rFonts w:hint="eastAsia" w:ascii="宋体"/>
          <w:color w:val="auto"/>
          <w:szCs w:val="21"/>
          <w:highlight w:val="none"/>
          <w:u w:val="single"/>
          <w:lang w:eastAsia="zh-CN"/>
        </w:rPr>
        <w:t>（</w:t>
      </w:r>
      <w:r>
        <w:rPr>
          <w:rFonts w:hint="eastAsia" w:ascii="宋体"/>
          <w:color w:val="auto"/>
          <w:szCs w:val="21"/>
          <w:highlight w:val="none"/>
          <w:u w:val="single"/>
          <w:lang w:val="en-US" w:eastAsia="zh-CN"/>
        </w:rPr>
        <w:t>满分100分</w:t>
      </w:r>
      <w:r>
        <w:rPr>
          <w:rFonts w:hint="eastAsia" w:ascii="宋体"/>
          <w:color w:val="auto"/>
          <w:szCs w:val="21"/>
          <w:highlight w:val="none"/>
          <w:u w:val="single"/>
          <w:lang w:eastAsia="zh-CN"/>
        </w:rPr>
        <w:t>）</w:t>
      </w:r>
      <w:r>
        <w:rPr>
          <w:rFonts w:hint="eastAsia" w:ascii="宋体"/>
          <w:color w:val="auto"/>
          <w:szCs w:val="21"/>
          <w:highlight w:val="none"/>
          <w:u w:val="single"/>
        </w:rPr>
        <w:t>×经济得分权重（80%）</w:t>
      </w:r>
      <w:bookmarkEnd w:id="37"/>
      <w:r>
        <w:rPr>
          <w:rFonts w:hint="eastAsia" w:ascii="宋体"/>
          <w:color w:val="auto"/>
          <w:szCs w:val="21"/>
          <w:highlight w:val="none"/>
        </w:rPr>
        <w:t>。技术、经济得分权重按投标须知前附表的规定执行。总得分四舍五入保留两位小数。</w:t>
      </w:r>
    </w:p>
    <w:p>
      <w:pPr>
        <w:pBdr>
          <w:bottom w:val="single" w:color="auto" w:sz="6" w:space="1"/>
        </w:pBdr>
        <w:spacing w:line="360" w:lineRule="auto"/>
        <w:ind w:firstLine="525" w:firstLineChars="250"/>
        <w:rPr>
          <w:color w:val="auto"/>
          <w:highlight w:val="none"/>
        </w:rPr>
      </w:pPr>
      <w:r>
        <w:rPr>
          <w:rFonts w:hint="eastAsia"/>
        </w:rPr>
        <w:t>评标委员会按照投标人总得分由高至低排序。总得分相同的投标文件，以技术得分较高的排前；总得分与技术得分均相同的投标文件，则对具有相同情况的投标人，由评标委员会采用记名投票方式，确定投标人的排序。</w:t>
      </w:r>
    </w:p>
    <w:p>
      <w:pPr>
        <w:spacing w:line="480" w:lineRule="auto"/>
        <w:ind w:firstLine="472" w:firstLineChars="224"/>
        <w:rPr>
          <w:b/>
          <w:color w:val="auto"/>
          <w:szCs w:val="21"/>
          <w:highlight w:val="none"/>
        </w:rPr>
      </w:pPr>
      <w:r>
        <w:rPr>
          <w:rFonts w:hint="eastAsia"/>
          <w:b/>
          <w:color w:val="auto"/>
          <w:szCs w:val="21"/>
          <w:highlight w:val="none"/>
        </w:rPr>
        <w:t>条款号：48</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评标委员会应在通过投标文件经济标有效性审查的投标人中，按步骤45.4确定的投标人第二阶段排序，推荐前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pPr>
        <w:pBdr>
          <w:bottom w:val="single" w:color="auto" w:sz="6" w:space="1"/>
        </w:pBdr>
        <w:spacing w:line="360" w:lineRule="auto"/>
        <w:ind w:firstLine="527" w:firstLineChars="250"/>
        <w:rPr>
          <w:rFonts w:hint="eastAsia" w:ascii="宋体" w:hAnsi="宋体"/>
          <w:color w:val="auto"/>
          <w:szCs w:val="21"/>
          <w:highlight w:val="none"/>
        </w:rPr>
      </w:pPr>
      <w:r>
        <w:rPr>
          <w:rFonts w:hint="eastAsia"/>
          <w:b/>
          <w:color w:val="auto"/>
          <w:szCs w:val="21"/>
          <w:highlight w:val="none"/>
        </w:rPr>
        <w:t>现文：</w:t>
      </w:r>
      <w:r>
        <w:rPr>
          <w:rFonts w:hint="eastAsia" w:ascii="宋体" w:hAnsi="宋体"/>
          <w:color w:val="auto"/>
          <w:szCs w:val="21"/>
          <w:highlight w:val="none"/>
        </w:rPr>
        <w:t>评标委员会应在通过投标文件经济标有效性审查的投标人中，按步骤45.4确定的投标人</w:t>
      </w:r>
      <w:r>
        <w:rPr>
          <w:rFonts w:hint="eastAsia" w:ascii="宋体" w:hAnsi="宋体"/>
          <w:color w:val="auto"/>
          <w:szCs w:val="21"/>
          <w:highlight w:val="none"/>
          <w:u w:val="single"/>
        </w:rPr>
        <w:t>总得分</w:t>
      </w:r>
      <w:r>
        <w:rPr>
          <w:rFonts w:hint="eastAsia" w:ascii="宋体" w:hAnsi="宋体"/>
          <w:color w:val="auto"/>
          <w:szCs w:val="21"/>
          <w:highlight w:val="none"/>
        </w:rPr>
        <w:t>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pPr>
        <w:pStyle w:val="37"/>
        <w:spacing w:after="0" w:line="460" w:lineRule="exact"/>
        <w:rPr>
          <w:rFonts w:ascii="宋体" w:hAnsi="宋体" w:cs="宋体"/>
          <w:szCs w:val="21"/>
        </w:rPr>
      </w:pPr>
      <w:r>
        <w:rPr>
          <w:rFonts w:hint="eastAsia" w:ascii="宋体" w:hAnsi="宋体" w:cs="宋体"/>
          <w:b/>
          <w:szCs w:val="21"/>
        </w:rPr>
        <w:t>条款号：49 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49.若通过经济标有效性审查的投标人不足三家，应当依法重新招标。（当N个标段同时招标且不允许兼中时，若有效投标人不足N+2家，应当依法重新招标）</w:t>
      </w:r>
    </w:p>
    <w:p>
      <w:pPr>
        <w:pBdr>
          <w:bottom w:val="single" w:color="auto" w:sz="6" w:space="1"/>
        </w:pBdr>
        <w:spacing w:line="460" w:lineRule="exact"/>
        <w:ind w:firstLine="413" w:firstLineChars="196"/>
      </w:pPr>
      <w:r>
        <w:rPr>
          <w:rFonts w:hint="eastAsia" w:ascii="宋体" w:hAnsi="宋体" w:cs="宋体"/>
          <w:b/>
          <w:szCs w:val="21"/>
        </w:rPr>
        <w:t>现文：</w:t>
      </w:r>
      <w:r>
        <w:rPr>
          <w:rFonts w:hint="eastAsia" w:ascii="宋体" w:hAnsi="宋体" w:cs="宋体"/>
          <w:bCs/>
          <w:szCs w:val="21"/>
          <w:u w:val="single"/>
        </w:rPr>
        <w:t>49.若通过经济标有效性审查的投标人不足三家，应当依法重新招标。</w:t>
      </w:r>
    </w:p>
    <w:p>
      <w:pPr>
        <w:pBdr>
          <w:top w:val="single" w:color="auto" w:sz="4"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见后附：附表一《资格审查表》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见后附：附表二《技术标有效性审查表》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见后附：附表三《经济标有效性审查表》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 xml:space="preserve">条款号：附表四《技术标详细审查评分表》            修改类型：修改  </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见后附：附表四《技术标详细审查评分表》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条款号：附表五《经济标评分表》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rPr>
          <w:color w:val="auto"/>
          <w:highlight w:val="none"/>
        </w:rPr>
      </w:pPr>
      <w:r>
        <w:rPr>
          <w:rFonts w:hint="eastAsia"/>
          <w:b/>
          <w:color w:val="auto"/>
          <w:szCs w:val="21"/>
          <w:highlight w:val="none"/>
        </w:rPr>
        <w:t>（以下无正文）</w:t>
      </w:r>
    </w:p>
    <w:p>
      <w:pPr>
        <w:rPr>
          <w:color w:val="auto"/>
          <w:highlight w:val="none"/>
        </w:rPr>
      </w:pPr>
      <w:r>
        <w:rPr>
          <w:rFonts w:hint="eastAsia"/>
          <w:color w:val="auto"/>
          <w:highlight w:val="none"/>
        </w:rPr>
        <w:br w:type="page"/>
      </w:r>
    </w:p>
    <w:p>
      <w:pPr>
        <w:pStyle w:val="4"/>
        <w:ind w:firstLine="525"/>
        <w:rPr>
          <w:color w:val="auto"/>
          <w:highlight w:val="none"/>
        </w:rPr>
      </w:pPr>
      <w:bookmarkStart w:id="38" w:name="_Toc10583"/>
      <w:bookmarkStart w:id="39" w:name="_Toc26030"/>
      <w:r>
        <w:rPr>
          <w:rFonts w:hint="eastAsia"/>
          <w:color w:val="auto"/>
          <w:highlight w:val="none"/>
        </w:rPr>
        <w:t>二、开标、评标及定标办法</w:t>
      </w:r>
      <w:r>
        <w:rPr>
          <w:rFonts w:hint="eastAsia"/>
          <w:color w:val="auto"/>
          <w:szCs w:val="30"/>
          <w:highlight w:val="none"/>
        </w:rPr>
        <w:t>通用条款</w:t>
      </w:r>
      <w:bookmarkEnd w:id="38"/>
      <w:bookmarkEnd w:id="39"/>
    </w:p>
    <w:p>
      <w:pPr>
        <w:spacing w:beforeLines="50" w:afterLines="50"/>
        <w:jc w:val="center"/>
        <w:rPr>
          <w:b/>
          <w:sz w:val="24"/>
          <w:szCs w:val="24"/>
        </w:rPr>
      </w:pPr>
      <w:bookmarkStart w:id="40" w:name="_Toc6408"/>
      <w:r>
        <w:rPr>
          <w:rFonts w:hint="eastAsia"/>
          <w:b/>
          <w:sz w:val="24"/>
          <w:szCs w:val="24"/>
        </w:rPr>
        <w:t>（一）总则</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spacing w:beforeLines="50" w:afterLines="50"/>
        <w:jc w:val="center"/>
        <w:rPr>
          <w:b/>
          <w:sz w:val="24"/>
          <w:szCs w:val="24"/>
        </w:rPr>
      </w:pPr>
      <w:bookmarkStart w:id="41" w:name="_Toc2272558"/>
      <w:bookmarkEnd w:id="41"/>
      <w:r>
        <w:rPr>
          <w:rFonts w:hint="eastAsia"/>
          <w:b/>
          <w:sz w:val="24"/>
          <w:szCs w:val="24"/>
        </w:rPr>
        <w:t>（二）开标评标办法程序和细则</w:t>
      </w:r>
    </w:p>
    <w:p>
      <w:pPr>
        <w:spacing w:line="360" w:lineRule="auto"/>
        <w:ind w:firstLine="480" w:firstLineChars="200"/>
        <w:rPr>
          <w:rFonts w:ascii="宋体" w:hAnsi="宋体"/>
          <w:dstrike/>
          <w:sz w:val="24"/>
          <w:szCs w:val="24"/>
        </w:rPr>
      </w:pPr>
      <w:r>
        <w:rPr>
          <w:rFonts w:hint="eastAsia" w:ascii="宋体" w:hAnsi="宋体"/>
          <w:dstrike/>
          <w:sz w:val="24"/>
          <w:szCs w:val="24"/>
        </w:rPr>
        <w:t>注：以下七种评标办法所述企业综合诚信评价分数即投标截止当日广州市工程招标代理行业协会网站上公布的企业综合诚信评价</w:t>
      </w:r>
      <w:r>
        <w:rPr>
          <w:rFonts w:ascii="宋体" w:hAnsi="宋体"/>
          <w:dstrike/>
          <w:sz w:val="24"/>
          <w:szCs w:val="24"/>
        </w:rPr>
        <w:t>60</w:t>
      </w:r>
      <w:r>
        <w:rPr>
          <w:rFonts w:hint="eastAsia" w:ascii="宋体" w:hAnsi="宋体"/>
          <w:dstrike/>
          <w:sz w:val="24"/>
          <w:szCs w:val="24"/>
        </w:rPr>
        <w:t>日诚信分。</w:t>
      </w:r>
    </w:p>
    <w:p>
      <w:pPr>
        <w:snapToGrid w:val="0"/>
        <w:spacing w:line="360" w:lineRule="auto"/>
        <w:ind w:firstLine="480" w:firstLineChars="200"/>
        <w:rPr>
          <w:rFonts w:hint="eastAsia" w:ascii="宋体"/>
          <w:sz w:val="24"/>
          <w:szCs w:val="24"/>
        </w:rPr>
      </w:pPr>
      <w:bookmarkStart w:id="42" w:name="_Toc2272564"/>
      <w:bookmarkEnd w:id="42"/>
      <w:r>
        <w:rPr>
          <w:rFonts w:hint="eastAsia" w:ascii="宋体"/>
          <w:sz w:val="24"/>
          <w:szCs w:val="24"/>
        </w:rPr>
        <w:t>可选办法七（适合综合评分法四，技术标与经济标同时开启）</w:t>
      </w:r>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37"/>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37"/>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37"/>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6350" b="635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6350" b="635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6350" b="635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6350" b="635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37"/>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37"/>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1906" w:h="16838"/>
          <w:pgMar w:top="1134" w:right="1418" w:bottom="1247" w:left="1418" w:header="851" w:footer="907" w:gutter="0"/>
          <w:pgNumType w:fmt="decimal" w:start="1"/>
          <w:cols w:space="425" w:num="1"/>
          <w:titlePg/>
          <w:docGrid w:type="lines" w:linePitch="312" w:charSpace="0"/>
        </w:sect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bookmarkEnd w:id="40"/>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outlineLvl w:val="2"/>
        <w:rPr>
          <w:b/>
          <w:color w:val="auto"/>
          <w:sz w:val="32"/>
          <w:szCs w:val="32"/>
          <w:highlight w:val="none"/>
        </w:rPr>
      </w:pPr>
      <w:bookmarkStart w:id="43" w:name="_Toc2545"/>
      <w:bookmarkStart w:id="44" w:name="_Toc2333"/>
      <w:r>
        <w:rPr>
          <w:rFonts w:hint="eastAsia"/>
          <w:b/>
          <w:color w:val="auto"/>
          <w:sz w:val="32"/>
          <w:szCs w:val="32"/>
          <w:highlight w:val="none"/>
        </w:rPr>
        <w:t>资格审查表</w:t>
      </w:r>
      <w:bookmarkEnd w:id="43"/>
      <w:bookmarkEnd w:id="44"/>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9"/>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营业执照在广州市住建行业信用管理平台内的上传件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资质证书及安全生产许可证在广州市住建行业信用管理平台内的上传件；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建筑工程专业贰级或以上级别的注册建造师证书在广州市住建行业信用管理平台内的上传件。</w:t>
            </w:r>
            <w:r>
              <w:rPr>
                <w:rFonts w:hint="eastAsia" w:ascii="宋体" w:hAnsi="宋体"/>
                <w:color w:val="auto"/>
                <w:szCs w:val="21"/>
                <w:highlight w:val="none"/>
                <w:u w:val="single"/>
              </w:rPr>
              <w:t>（注：打印建造师电子证书后，应在个人签名处手写本人签名再上传广州市住建行业信用平台，上传件未手写签名或与签名图像笔迹不一致的，该电子证书无效。）</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w:t>
            </w:r>
            <w:r>
              <w:rPr>
                <w:rFonts w:hint="eastAsia" w:ascii="宋体" w:hAnsi="宋体"/>
                <w:color w:val="auto"/>
                <w:szCs w:val="21"/>
                <w:highlight w:val="none"/>
                <w:lang w:val="en-US" w:eastAsia="zh-CN"/>
              </w:rPr>
              <w:t>生产</w:t>
            </w:r>
            <w:r>
              <w:rPr>
                <w:rFonts w:hint="eastAsia" w:ascii="宋体" w:hAnsi="宋体"/>
                <w:color w:val="auto"/>
                <w:szCs w:val="21"/>
                <w:highlight w:val="none"/>
              </w:rPr>
              <w:t>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类）或建筑施工企业项目负责人安全生产考核合格证书</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w:t>
            </w:r>
            <w:r>
              <w:rPr>
                <w:rFonts w:hint="eastAsia" w:ascii="宋体" w:hAnsi="宋体"/>
                <w:color w:val="auto"/>
                <w:szCs w:val="21"/>
                <w:highlight w:val="none"/>
                <w:lang w:val="en-US" w:eastAsia="zh-CN"/>
              </w:rPr>
              <w:t>生产</w:t>
            </w:r>
            <w:r>
              <w:rPr>
                <w:rFonts w:hint="eastAsia" w:ascii="宋体" w:hAnsi="宋体"/>
                <w:color w:val="auto"/>
                <w:szCs w:val="21"/>
                <w:highlight w:val="none"/>
              </w:rPr>
              <w:t>考核合格证（B证）或建筑施工企业项目负责人安全生产考核合格证书在广州市住建行业信用管理平台内上传件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拟委托技术负责人的职称证书（须提供证书原件扫描件）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类）或建筑施工企业专职安全生产管理人员安全生产考核合格证书</w:t>
            </w:r>
            <w:r>
              <w:rPr>
                <w:rFonts w:hint="eastAsia" w:ascii="宋体" w:hAnsi="宋体"/>
                <w:color w:val="auto"/>
                <w:szCs w:val="21"/>
                <w:highlight w:val="none"/>
                <w:lang w:eastAsia="zh-CN"/>
              </w:rPr>
              <w:t>（</w:t>
            </w:r>
            <w:r>
              <w:rPr>
                <w:rFonts w:hint="eastAsia" w:ascii="宋体" w:hAnsi="宋体"/>
                <w:color w:val="auto"/>
                <w:szCs w:val="21"/>
                <w:highlight w:val="none"/>
              </w:rPr>
              <w:t>C3类</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类）或建筑施工企业专职安全生产管理人员安全生产考核合格证书</w:t>
            </w:r>
            <w:r>
              <w:rPr>
                <w:rFonts w:hint="eastAsia" w:ascii="宋体" w:hAnsi="宋体"/>
                <w:color w:val="auto"/>
                <w:szCs w:val="21"/>
                <w:highlight w:val="none"/>
                <w:lang w:eastAsia="zh-CN"/>
              </w:rPr>
              <w:t>（</w:t>
            </w:r>
            <w:r>
              <w:rPr>
                <w:rFonts w:hint="eastAsia" w:ascii="宋体" w:hAnsi="宋体"/>
                <w:color w:val="auto"/>
                <w:szCs w:val="21"/>
                <w:highlight w:val="none"/>
              </w:rPr>
              <w:t>C3类</w:t>
            </w:r>
            <w:r>
              <w:rPr>
                <w:rFonts w:hint="eastAsia" w:ascii="宋体" w:hAnsi="宋体"/>
                <w:color w:val="auto"/>
                <w:szCs w:val="21"/>
                <w:highlight w:val="none"/>
                <w:lang w:eastAsia="zh-CN"/>
              </w:rPr>
              <w:t>）</w:t>
            </w:r>
            <w:r>
              <w:rPr>
                <w:rFonts w:hint="eastAsia" w:ascii="宋体" w:hAnsi="宋体"/>
                <w:color w:val="auto"/>
                <w:szCs w:val="21"/>
                <w:highlight w:val="none"/>
              </w:rPr>
              <w:t>在广州市住建行业信用管理平台内上传件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lang w:val="en-US" w:eastAsia="zh-CN"/>
              </w:rPr>
              <w:t>网上投标</w:t>
            </w:r>
            <w:r>
              <w:rPr>
                <w:rFonts w:hint="eastAsia" w:ascii="宋体" w:hAnsi="宋体"/>
                <w:color w:val="auto"/>
                <w:szCs w:val="21"/>
                <w:highlight w:val="none"/>
              </w:rPr>
              <w:t>时选择拟投标的项目负责人、资格审查文件中拟委派的技术负责人及投标人声明</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bookmarkStart w:id="45" w:name="OLE_LINK1"/>
            <w:r>
              <w:rPr>
                <w:rFonts w:hint="eastAsia" w:ascii="宋体" w:hAnsi="宋体"/>
                <w:color w:val="auto"/>
                <w:szCs w:val="21"/>
                <w:highlight w:val="none"/>
              </w:rPr>
              <w:t>无联合体进行投标</w:t>
            </w:r>
            <w:bookmarkEnd w:id="45"/>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资格审查前，投标人须在广州市住建行业信用管理平台建立企业信用档案及拟担任本工程项目负责人、专职安全员须是本企业信用档案中的在册人员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投标人在广州市住建行业信用管理平台内内企业信用档案的企业和人员信息</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lang w:val="en-US" w:eastAsia="zh-CN"/>
              </w:rPr>
              <w:t>投标人</w:t>
            </w:r>
            <w:r>
              <w:rPr>
                <w:rFonts w:hint="eastAsia" w:ascii="宋体" w:hAnsi="宋体"/>
                <w:color w:val="auto"/>
                <w:szCs w:val="21"/>
                <w:highlight w:val="non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bookmarkStart w:id="91" w:name="_GoBack"/>
            <w:r>
              <w:rPr>
                <w:rFonts w:hint="eastAsia" w:ascii="宋体" w:hAnsi="宋体"/>
                <w:color w:val="auto"/>
                <w:szCs w:val="21"/>
                <w:highlight w:val="none"/>
              </w:rPr>
              <w:t>投标人无需提供资料，按交易系统比对的结果进行评审</w:t>
            </w:r>
            <w:bookmarkEnd w:id="91"/>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24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24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24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240" w:lineRule="auto"/>
        <w:ind w:firstLine="470" w:firstLineChars="224"/>
        <w:rPr>
          <w:rFonts w:ascii="宋体" w:hAnsi="宋体" w:eastAsia="宋体" w:cs="Times New Roman"/>
          <w:color w:val="auto"/>
          <w:szCs w:val="21"/>
          <w:highlight w:val="none"/>
        </w:rPr>
      </w:pPr>
      <w:r>
        <w:rPr>
          <w:rFonts w:hint="default" w:ascii="宋体" w:hAnsi="宋体"/>
          <w:color w:val="auto"/>
          <w:szCs w:val="21"/>
          <w:highlight w:val="none"/>
        </w:rPr>
        <w:t>3.</w:t>
      </w:r>
      <w:r>
        <w:rPr>
          <w:rFonts w:ascii="宋体" w:hAnsi="宋体"/>
          <w:color w:val="auto"/>
          <w:szCs w:val="21"/>
          <w:highlight w:val="none"/>
        </w:rPr>
        <w:t>不得将</w:t>
      </w:r>
      <w:r>
        <w:rPr>
          <w:rFonts w:hint="default" w:ascii="宋体" w:hAnsi="宋体"/>
          <w:color w:val="auto"/>
          <w:szCs w:val="21"/>
          <w:highlight w:val="none"/>
        </w:rPr>
        <w:t>文件顺序、</w:t>
      </w:r>
      <w:r>
        <w:rPr>
          <w:rFonts w:ascii="宋体" w:hAnsi="宋体"/>
          <w:color w:val="auto"/>
          <w:szCs w:val="21"/>
          <w:highlight w:val="none"/>
        </w:rPr>
        <w:t>明显的文字错误等列为否</w:t>
      </w:r>
      <w:r>
        <w:rPr>
          <w:rFonts w:hint="default" w:ascii="宋体" w:hAnsi="宋体"/>
          <w:color w:val="auto"/>
          <w:szCs w:val="21"/>
          <w:highlight w:val="none"/>
        </w:rPr>
        <w:t>决</w:t>
      </w:r>
      <w:r>
        <w:rPr>
          <w:rFonts w:ascii="宋体" w:hAnsi="宋体"/>
          <w:color w:val="auto"/>
          <w:szCs w:val="21"/>
          <w:highlight w:val="none"/>
        </w:rPr>
        <w:t>投标的</w:t>
      </w:r>
      <w:r>
        <w:rPr>
          <w:rFonts w:hint="default" w:ascii="宋体" w:hAnsi="宋体"/>
          <w:color w:val="auto"/>
          <w:szCs w:val="21"/>
          <w:highlight w:val="none"/>
        </w:rPr>
        <w:t>情形。评委</w:t>
      </w:r>
      <w:r>
        <w:rPr>
          <w:rFonts w:ascii="宋体" w:hAnsi="宋体"/>
          <w:color w:val="auto"/>
          <w:szCs w:val="21"/>
          <w:highlight w:val="none"/>
        </w:rPr>
        <w:t>发现</w:t>
      </w:r>
      <w:r>
        <w:rPr>
          <w:rFonts w:hint="default" w:ascii="宋体" w:hAnsi="宋体"/>
          <w:color w:val="auto"/>
          <w:szCs w:val="21"/>
          <w:highlight w:val="none"/>
        </w:rPr>
        <w:t>资格审查文件</w:t>
      </w:r>
      <w:r>
        <w:rPr>
          <w:rFonts w:ascii="宋体" w:hAnsi="宋体"/>
          <w:color w:val="auto"/>
          <w:szCs w:val="21"/>
          <w:highlight w:val="none"/>
        </w:rPr>
        <w:t>中</w:t>
      </w:r>
      <w:r>
        <w:rPr>
          <w:rFonts w:hint="default" w:ascii="宋体" w:hAnsi="宋体"/>
          <w:color w:val="auto"/>
          <w:szCs w:val="21"/>
          <w:highlight w:val="none"/>
        </w:rPr>
        <w:t>含义不明确</w:t>
      </w:r>
      <w:r>
        <w:rPr>
          <w:rFonts w:ascii="宋体" w:hAnsi="宋体"/>
          <w:color w:val="auto"/>
          <w:szCs w:val="21"/>
          <w:highlight w:val="none"/>
        </w:rPr>
        <w:t>、对同类问题表述不一致、有明显</w:t>
      </w:r>
      <w:r>
        <w:rPr>
          <w:rFonts w:hint="default" w:ascii="宋体" w:hAnsi="宋体"/>
          <w:color w:val="auto"/>
          <w:szCs w:val="21"/>
          <w:highlight w:val="none"/>
        </w:rPr>
        <w:t>文字</w:t>
      </w:r>
      <w:r>
        <w:rPr>
          <w:rFonts w:ascii="宋体" w:hAnsi="宋体"/>
          <w:color w:val="auto"/>
          <w:szCs w:val="21"/>
          <w:highlight w:val="none"/>
        </w:rPr>
        <w:t>和计算错误的，应当</w:t>
      </w:r>
      <w:r>
        <w:rPr>
          <w:rFonts w:hint="default" w:ascii="宋体" w:hAnsi="宋体"/>
          <w:color w:val="auto"/>
          <w:szCs w:val="21"/>
          <w:highlight w:val="none"/>
        </w:rPr>
        <w:t>要求</w:t>
      </w:r>
      <w:r>
        <w:rPr>
          <w:rFonts w:ascii="宋体" w:hAnsi="宋体"/>
          <w:color w:val="auto"/>
          <w:szCs w:val="21"/>
          <w:highlight w:val="none"/>
        </w:rPr>
        <w:t>投标人作必要的澄清、说明</w:t>
      </w:r>
      <w:r>
        <w:rPr>
          <w:rFonts w:hint="default" w:ascii="宋体" w:hAnsi="宋体"/>
          <w:color w:val="auto"/>
          <w:szCs w:val="21"/>
          <w:highlight w:val="none"/>
        </w:rPr>
        <w:t>后再判定投标人是否通过资格审查</w:t>
      </w:r>
      <w:r>
        <w:rPr>
          <w:rFonts w:ascii="宋体" w:hAnsi="宋体"/>
          <w:color w:val="auto"/>
          <w:szCs w:val="21"/>
          <w:highlight w:val="none"/>
        </w:rPr>
        <w:t>，不得直接</w:t>
      </w:r>
      <w:r>
        <w:rPr>
          <w:rFonts w:hint="default" w:ascii="宋体" w:hAnsi="宋体"/>
          <w:color w:val="auto"/>
          <w:szCs w:val="21"/>
          <w:highlight w:val="none"/>
        </w:rPr>
        <w:t>认定其不通过资格审查。</w:t>
      </w:r>
    </w:p>
    <w:p>
      <w:pPr>
        <w:spacing w:line="240" w:lineRule="auto"/>
        <w:ind w:firstLine="470" w:firstLineChars="224"/>
        <w:jc w:val="left"/>
        <w:rPr>
          <w:rFonts w:ascii="宋体" w:hAnsi="宋体" w:eastAsia="宋体" w:cs="Times New Roman"/>
          <w:color w:val="auto"/>
          <w:szCs w:val="21"/>
          <w:highlight w:val="none"/>
        </w:rPr>
        <w:sectPr>
          <w:footerReference r:id="rId16" w:type="first"/>
          <w:footerReference r:id="rId15" w:type="default"/>
          <w:endnotePr>
            <w:numFmt w:val="decimal"/>
          </w:endnotePr>
          <w:pgSz w:w="11906" w:h="16838"/>
          <w:pgMar w:top="1134" w:right="1418" w:bottom="1247" w:left="1418" w:header="851" w:footer="907" w:gutter="0"/>
          <w:pgNumType w:fmt="decimal"/>
          <w:cols w:space="720" w:num="1"/>
          <w:docGrid w:type="lines" w:linePitch="312" w:charSpace="0"/>
        </w:sectPr>
      </w:pPr>
      <w:r>
        <w:rPr>
          <w:rFonts w:hint="eastAsia"/>
          <w:kern w:val="0"/>
          <w:szCs w:val="21"/>
        </w:rPr>
        <w:t>评委签名：                                  日期：</w:t>
      </w:r>
    </w:p>
    <w:p>
      <w:pPr>
        <w:rPr>
          <w:color w:val="auto"/>
          <w:szCs w:val="21"/>
          <w:highlight w:val="none"/>
        </w:rPr>
      </w:pPr>
      <w:r>
        <w:rPr>
          <w:rFonts w:hint="eastAsia"/>
          <w:color w:val="auto"/>
          <w:szCs w:val="21"/>
          <w:highlight w:val="none"/>
        </w:rPr>
        <w:t>附表二</w:t>
      </w:r>
    </w:p>
    <w:p>
      <w:pPr>
        <w:jc w:val="center"/>
        <w:outlineLvl w:val="2"/>
        <w:rPr>
          <w:b/>
          <w:color w:val="auto"/>
          <w:sz w:val="36"/>
          <w:szCs w:val="36"/>
          <w:highlight w:val="none"/>
        </w:rPr>
      </w:pPr>
      <w:bookmarkStart w:id="46" w:name="_Toc17204"/>
      <w:bookmarkStart w:id="47" w:name="_Toc14534"/>
      <w:r>
        <w:rPr>
          <w:rFonts w:hint="eastAsia"/>
          <w:b/>
          <w:color w:val="auto"/>
          <w:sz w:val="36"/>
          <w:szCs w:val="36"/>
          <w:highlight w:val="none"/>
        </w:rPr>
        <w:t>技术标有效性审查表</w:t>
      </w:r>
      <w:bookmarkEnd w:id="46"/>
      <w:bookmarkEnd w:id="47"/>
    </w:p>
    <w:p>
      <w:pPr>
        <w:rPr>
          <w:color w:val="auto"/>
          <w:szCs w:val="21"/>
          <w:highlight w:val="none"/>
        </w:rPr>
      </w:pPr>
      <w:r>
        <w:rPr>
          <w:rFonts w:hint="eastAsia"/>
          <w:color w:val="auto"/>
          <w:szCs w:val="21"/>
          <w:highlight w:val="none"/>
        </w:rPr>
        <w:t>工程名称：</w:t>
      </w:r>
    </w:p>
    <w:tbl>
      <w:tblPr>
        <w:tblStyle w:val="39"/>
        <w:tblW w:w="14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158"/>
        <w:gridCol w:w="1350"/>
        <w:gridCol w:w="1416"/>
        <w:gridCol w:w="1400"/>
        <w:gridCol w:w="1584"/>
        <w:gridCol w:w="150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15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《广州建设工程施工招标投标书》中工期不能满足完成投标项目工期的；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《广州建设工程施工招标投标书》中质量标准不符合招标文件的；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w:t>
            </w:r>
            <w:r>
              <w:rPr>
                <w:rFonts w:hint="eastAsia" w:ascii="宋体" w:hAnsi="宋体"/>
                <w:color w:val="auto"/>
                <w:szCs w:val="21"/>
                <w:highlight w:val="none"/>
                <w:lang w:val="en-US" w:eastAsia="zh-CN"/>
              </w:rPr>
              <w:t>本项目</w:t>
            </w:r>
            <w:r>
              <w:rPr>
                <w:rFonts w:hint="eastAsia" w:ascii="宋体" w:hAnsi="宋体"/>
                <w:color w:val="auto"/>
                <w:szCs w:val="21"/>
                <w:highlight w:val="none"/>
              </w:rPr>
              <w:t>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630" w:firstLineChars="300"/>
        <w:rPr>
          <w:rFonts w:hint="eastAsia" w:ascii="宋体" w:hAnsi="宋体" w:eastAsia="宋体"/>
          <w:color w:val="auto"/>
          <w:szCs w:val="21"/>
          <w:highlight w:val="none"/>
          <w:lang w:val="en-US" w:eastAsia="zh-CN"/>
        </w:rPr>
      </w:pPr>
      <w:r>
        <w:rPr>
          <w:rFonts w:hint="eastAsia" w:ascii="宋体" w:hAnsi="宋体"/>
          <w:color w:val="auto"/>
          <w:szCs w:val="21"/>
          <w:highlight w:val="none"/>
        </w:rPr>
        <w:t>评委签名：</w:t>
      </w:r>
      <w:r>
        <w:rPr>
          <w:rFonts w:hint="eastAsia" w:ascii="宋体" w:hAnsi="宋体"/>
          <w:color w:val="auto"/>
          <w:szCs w:val="21"/>
          <w:highlight w:val="none"/>
          <w:lang w:val="en-US" w:eastAsia="zh-CN"/>
        </w:rPr>
        <w:t xml:space="preserve">                                   日期：</w:t>
      </w:r>
    </w:p>
    <w:p>
      <w:pPr>
        <w:rPr>
          <w:color w:val="auto"/>
          <w:szCs w:val="21"/>
          <w:highlight w:val="none"/>
        </w:rPr>
      </w:pPr>
      <w:r>
        <w:rPr>
          <w:color w:val="auto"/>
          <w:highlight w:val="none"/>
        </w:rPr>
        <w:br w:type="page"/>
      </w:r>
      <w:r>
        <w:rPr>
          <w:rFonts w:hint="eastAsia"/>
          <w:color w:val="auto"/>
          <w:szCs w:val="21"/>
          <w:highlight w:val="none"/>
        </w:rPr>
        <w:t>附表三</w:t>
      </w:r>
    </w:p>
    <w:p>
      <w:pPr>
        <w:jc w:val="center"/>
        <w:outlineLvl w:val="2"/>
        <w:rPr>
          <w:b/>
          <w:color w:val="auto"/>
          <w:sz w:val="36"/>
          <w:szCs w:val="36"/>
          <w:highlight w:val="none"/>
        </w:rPr>
      </w:pPr>
      <w:bookmarkStart w:id="48" w:name="_Toc30681"/>
      <w:bookmarkStart w:id="49" w:name="_Toc875"/>
      <w:r>
        <w:rPr>
          <w:rFonts w:hint="eastAsia"/>
          <w:b/>
          <w:color w:val="auto"/>
          <w:sz w:val="36"/>
          <w:szCs w:val="36"/>
          <w:highlight w:val="none"/>
        </w:rPr>
        <w:t>经济标有效性审查表</w:t>
      </w:r>
      <w:bookmarkEnd w:id="48"/>
      <w:bookmarkEnd w:id="49"/>
    </w:p>
    <w:p>
      <w:pPr>
        <w:rPr>
          <w:color w:val="auto"/>
          <w:szCs w:val="21"/>
          <w:highlight w:val="none"/>
        </w:rPr>
      </w:pPr>
      <w:r>
        <w:rPr>
          <w:rFonts w:hint="eastAsia"/>
          <w:color w:val="auto"/>
          <w:szCs w:val="21"/>
          <w:highlight w:val="none"/>
        </w:rPr>
        <w:t>工程名称：</w:t>
      </w:r>
    </w:p>
    <w:tbl>
      <w:tblPr>
        <w:tblStyle w:val="39"/>
        <w:tblW w:w="15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830"/>
        <w:gridCol w:w="1223"/>
        <w:gridCol w:w="1290"/>
        <w:gridCol w:w="950"/>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83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8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68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投标人与本项目其他投标人的投标文件工程量清单编制机器样件信息一致的（以</w:t>
            </w:r>
            <w:r>
              <w:rPr>
                <w:rFonts w:hint="eastAsia" w:ascii="宋体" w:hAnsi="宋体"/>
                <w:color w:val="auto"/>
                <w:szCs w:val="21"/>
                <w:highlight w:val="none"/>
                <w:u w:val="single"/>
                <w:lang w:eastAsia="zh-CN"/>
              </w:rPr>
              <w:t>广州公共资源交易中心</w:t>
            </w:r>
            <w:r>
              <w:rPr>
                <w:rFonts w:hint="eastAsia" w:ascii="宋体" w:hAnsi="宋体"/>
                <w:color w:val="auto"/>
                <w:szCs w:val="21"/>
                <w:highlight w:val="none"/>
                <w:u w:val="none"/>
                <w:lang w:eastAsia="zh-CN"/>
              </w:rPr>
              <w:t>交易平台评标系统的检索信息为准</w:t>
            </w:r>
            <w:r>
              <w:rPr>
                <w:rFonts w:hint="eastAsia" w:ascii="宋体" w:hAnsi="宋体"/>
                <w:color w:val="auto"/>
                <w:szCs w:val="21"/>
                <w:highlight w:val="none"/>
                <w:lang w:eastAsia="zh-CN"/>
              </w:rPr>
              <w:t>）</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pPr>
      <w:r>
        <w:rPr>
          <w:rFonts w:hint="eastAsia" w:ascii="宋体" w:hAnsi="宋体" w:eastAsia="宋体" w:cs="Times New Roman"/>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7"/>
        <w:ind w:firstLine="458"/>
        <w:rPr>
          <w:rFonts w:hint="eastAsia" w:ascii="宋体" w:hAnsi="宋体" w:eastAsia="宋体"/>
          <w:color w:val="auto"/>
          <w:szCs w:val="21"/>
          <w:highlight w:val="none"/>
          <w:lang w:val="en-US" w:eastAsia="zh-CN"/>
        </w:rPr>
        <w:sectPr>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olor w:val="auto"/>
          <w:szCs w:val="21"/>
          <w:highlight w:val="none"/>
        </w:rPr>
        <w:t>评委签名：</w:t>
      </w:r>
      <w:r>
        <w:rPr>
          <w:rFonts w:hint="eastAsia" w:ascii="宋体" w:hAnsi="宋体"/>
          <w:color w:val="auto"/>
          <w:szCs w:val="21"/>
          <w:highlight w:val="none"/>
          <w:lang w:val="en-US" w:eastAsia="zh-CN"/>
        </w:rPr>
        <w:t xml:space="preserve">                                         日期：</w:t>
      </w:r>
    </w:p>
    <w:p>
      <w:pPr>
        <w:jc w:val="left"/>
        <w:rPr>
          <w:color w:val="auto"/>
          <w:szCs w:val="21"/>
          <w:highlight w:val="none"/>
        </w:rPr>
      </w:pPr>
      <w:r>
        <w:rPr>
          <w:rFonts w:hint="eastAsia"/>
          <w:color w:val="auto"/>
          <w:szCs w:val="21"/>
          <w:highlight w:val="none"/>
        </w:rPr>
        <w:t xml:space="preserve">附表四                                      </w:t>
      </w:r>
    </w:p>
    <w:p>
      <w:pPr>
        <w:jc w:val="center"/>
        <w:outlineLvl w:val="2"/>
        <w:rPr>
          <w:rFonts w:ascii="宋体" w:hAnsi="宋体"/>
          <w:color w:val="auto"/>
          <w:highlight w:val="none"/>
        </w:rPr>
      </w:pPr>
      <w:bookmarkStart w:id="50" w:name="_Toc15528"/>
      <w:bookmarkStart w:id="51" w:name="_Toc25779"/>
      <w:r>
        <w:rPr>
          <w:rFonts w:hint="eastAsia" w:ascii="宋体" w:hAnsi="宋体"/>
          <w:b/>
          <w:color w:val="auto"/>
          <w:sz w:val="36"/>
          <w:szCs w:val="36"/>
          <w:highlight w:val="none"/>
        </w:rPr>
        <w:t>技术标详细审查评分表</w:t>
      </w:r>
      <w:bookmarkEnd w:id="50"/>
      <w:bookmarkEnd w:id="51"/>
    </w:p>
    <w:tbl>
      <w:tblPr>
        <w:tblStyle w:val="39"/>
        <w:tblW w:w="1485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615"/>
        <w:gridCol w:w="1408"/>
        <w:gridCol w:w="675"/>
        <w:gridCol w:w="1109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jc w:val="center"/>
        </w:trPr>
        <w:tc>
          <w:tcPr>
            <w:tcW w:w="1065"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评分项目</w:t>
            </w:r>
          </w:p>
        </w:tc>
        <w:tc>
          <w:tcPr>
            <w:tcW w:w="2023" w:type="dxa"/>
            <w:gridSpan w:val="2"/>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评分内容</w:t>
            </w:r>
          </w:p>
        </w:tc>
        <w:tc>
          <w:tcPr>
            <w:tcW w:w="675"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分值</w:t>
            </w:r>
          </w:p>
        </w:tc>
        <w:tc>
          <w:tcPr>
            <w:tcW w:w="1109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065" w:type="dxa"/>
            <w:vMerge w:val="restart"/>
            <w:tcBorders>
              <w:top w:val="single" w:color="auto" w:sz="4" w:space="0"/>
              <w:left w:val="single" w:color="auto" w:sz="8" w:space="0"/>
              <w:right w:val="single" w:color="auto" w:sz="4" w:space="0"/>
            </w:tcBorders>
            <w:vAlign w:val="center"/>
          </w:tcPr>
          <w:p>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一、项目组织管理机构能力（</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分）</w:t>
            </w:r>
          </w:p>
        </w:tc>
        <w:tc>
          <w:tcPr>
            <w:tcW w:w="615" w:type="dxa"/>
            <w:vMerge w:val="restart"/>
            <w:tcBorders>
              <w:top w:val="single" w:color="auto" w:sz="4" w:space="0"/>
              <w:left w:val="single" w:color="auto" w:sz="4" w:space="0"/>
              <w:right w:val="single" w:color="auto" w:sz="4" w:space="0"/>
            </w:tcBorders>
            <w:vAlign w:val="center"/>
          </w:tcPr>
          <w:p>
            <w:pPr>
              <w:pStyle w:val="136"/>
              <w:jc w:val="center"/>
              <w:rPr>
                <w:rFonts w:hint="eastAsia" w:ascii="宋体" w:hAnsi="宋体" w:eastAsia="宋体" w:cs="Times New Roman"/>
                <w:color w:val="auto"/>
                <w:kern w:val="2"/>
                <w:sz w:val="21"/>
                <w:szCs w:val="21"/>
                <w:highlight w:val="none"/>
                <w:lang w:eastAsia="zh-CN"/>
              </w:rPr>
            </w:pPr>
          </w:p>
          <w:p>
            <w:pPr>
              <w:pStyle w:val="136"/>
              <w:jc w:val="center"/>
              <w:rPr>
                <w:rFonts w:hint="eastAsia" w:ascii="宋体" w:hAnsi="宋体" w:eastAsia="宋体" w:cs="Times New Roman"/>
                <w:color w:val="auto"/>
                <w:kern w:val="2"/>
                <w:sz w:val="21"/>
                <w:szCs w:val="21"/>
                <w:highlight w:val="none"/>
              </w:rPr>
            </w:pPr>
          </w:p>
          <w:p>
            <w:pPr>
              <w:pStyle w:val="136"/>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项目管理机构</w:t>
            </w:r>
          </w:p>
          <w:p>
            <w:pPr>
              <w:tabs>
                <w:tab w:val="left" w:pos="360"/>
              </w:tabs>
              <w:snapToGrid w:val="0"/>
              <w:jc w:val="center"/>
              <w:rPr>
                <w:rFonts w:hint="eastAsia" w:ascii="宋体" w:hAnsi="宋体" w:eastAsia="宋体" w:cs="Times New Roman"/>
                <w:color w:val="auto"/>
                <w:kern w:val="2"/>
                <w:sz w:val="21"/>
                <w:szCs w:val="21"/>
                <w:highlight w:val="none"/>
                <w:lang w:val="en-US" w:eastAsia="zh-CN" w:bidi="ar-SA"/>
              </w:rPr>
            </w:pPr>
          </w:p>
          <w:p>
            <w:pPr>
              <w:tabs>
                <w:tab w:val="left" w:pos="360"/>
              </w:tabs>
              <w:snapToGrid w:val="0"/>
              <w:jc w:val="center"/>
              <w:rPr>
                <w:rFonts w:hint="eastAsia" w:ascii="宋体" w:hAnsi="宋体" w:eastAsia="宋体" w:cs="Times New Roman"/>
                <w:color w:val="auto"/>
                <w:kern w:val="2"/>
                <w:sz w:val="21"/>
                <w:szCs w:val="21"/>
                <w:highlight w:val="none"/>
                <w:lang w:val="en-US" w:eastAsia="zh-CN"/>
              </w:rPr>
            </w:pPr>
          </w:p>
        </w:tc>
        <w:tc>
          <w:tcPr>
            <w:tcW w:w="1408" w:type="dxa"/>
            <w:tcBorders>
              <w:top w:val="single" w:color="auto" w:sz="4" w:space="0"/>
              <w:left w:val="single" w:color="auto" w:sz="4" w:space="0"/>
              <w:right w:val="single" w:color="auto" w:sz="4" w:space="0"/>
            </w:tcBorders>
            <w:vAlign w:val="center"/>
          </w:tcPr>
          <w:p>
            <w:pPr>
              <w:jc w:val="center"/>
              <w:rPr>
                <w:rFonts w:hint="eastAsia" w:ascii="宋体" w:hAnsi="宋体" w:eastAsia="宋体" w:cs="Times New Roman"/>
                <w:color w:val="auto"/>
                <w:kern w:val="2"/>
                <w:sz w:val="21"/>
                <w:szCs w:val="21"/>
                <w:highlight w:val="none"/>
                <w:lang w:val="en-US" w:eastAsia="zh-CN"/>
              </w:rPr>
            </w:pPr>
            <w:r>
              <w:rPr>
                <w:rFonts w:ascii="宋体" w:hAnsi="宋体" w:cs="宋体"/>
                <w:color w:val="auto"/>
                <w:szCs w:val="21"/>
                <w:highlight w:val="none"/>
              </w:rPr>
              <w:t>项目负责人</w:t>
            </w:r>
          </w:p>
        </w:tc>
        <w:tc>
          <w:tcPr>
            <w:tcW w:w="675" w:type="dxa"/>
            <w:tcBorders>
              <w:top w:val="single" w:color="auto" w:sz="4" w:space="0"/>
              <w:left w:val="single" w:color="auto" w:sz="4" w:space="0"/>
              <w:right w:val="single" w:color="auto" w:sz="4" w:space="0"/>
            </w:tcBorders>
            <w:vAlign w:val="center"/>
          </w:tcPr>
          <w:p>
            <w:pPr>
              <w:jc w:val="center"/>
              <w:rPr>
                <w:rFonts w:hint="eastAsia" w:ascii="宋体" w:hAnsi="宋体" w:eastAsia="宋体" w:cs="Times New Roman"/>
                <w:color w:val="auto"/>
                <w:kern w:val="2"/>
                <w:sz w:val="21"/>
                <w:szCs w:val="21"/>
                <w:highlight w:val="none"/>
                <w:lang w:val="en-US" w:eastAsia="zh-CN"/>
              </w:rPr>
            </w:pPr>
            <w:r>
              <w:rPr>
                <w:rFonts w:hint="eastAsia" w:ascii="宋体" w:hAnsi="宋体" w:cs="宋体"/>
                <w:color w:val="auto"/>
                <w:szCs w:val="21"/>
                <w:highlight w:val="none"/>
                <w:lang w:val="en-US" w:eastAsia="zh-CN"/>
              </w:rPr>
              <w:t>4</w:t>
            </w:r>
          </w:p>
        </w:tc>
        <w:tc>
          <w:tcPr>
            <w:tcW w:w="11093"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2"/>
                <w:sz w:val="21"/>
                <w:szCs w:val="21"/>
                <w:highlight w:val="none"/>
              </w:rPr>
            </w:pPr>
            <w:r>
              <w:rPr>
                <w:rFonts w:ascii="宋体" w:hAnsi="宋体" w:cs="宋体"/>
                <w:color w:val="auto"/>
                <w:szCs w:val="21"/>
                <w:highlight w:val="none"/>
              </w:rPr>
              <w:t>从业能力：具有工程类专业中级或以上技术职称，得</w:t>
            </w:r>
            <w:r>
              <w:rPr>
                <w:rFonts w:hint="eastAsia" w:ascii="宋体" w:hAnsi="宋体" w:cs="宋体"/>
                <w:color w:val="auto"/>
                <w:szCs w:val="21"/>
                <w:highlight w:val="none"/>
                <w:lang w:val="en-US" w:eastAsia="zh-CN"/>
              </w:rPr>
              <w:t>4</w:t>
            </w:r>
            <w:r>
              <w:rPr>
                <w:rFonts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065" w:type="dxa"/>
            <w:vMerge w:val="continue"/>
            <w:tcBorders>
              <w:left w:val="single" w:color="auto" w:sz="8" w:space="0"/>
              <w:right w:val="single" w:color="auto" w:sz="4" w:space="0"/>
            </w:tcBorders>
            <w:vAlign w:val="center"/>
          </w:tcPr>
          <w:p>
            <w:pPr>
              <w:pStyle w:val="137"/>
              <w:snapToGrid w:val="0"/>
              <w:jc w:val="left"/>
            </w:pPr>
          </w:p>
        </w:tc>
        <w:tc>
          <w:tcPr>
            <w:tcW w:w="615" w:type="dxa"/>
            <w:vMerge w:val="continue"/>
            <w:tcBorders>
              <w:left w:val="single" w:color="auto" w:sz="4" w:space="0"/>
              <w:right w:val="single" w:color="auto" w:sz="4" w:space="0"/>
            </w:tcBorders>
            <w:vAlign w:val="center"/>
          </w:tcPr>
          <w:p>
            <w:pPr>
              <w:pStyle w:val="137"/>
              <w:snapToGrid w:val="0"/>
              <w:jc w:val="left"/>
            </w:pPr>
          </w:p>
        </w:tc>
        <w:tc>
          <w:tcPr>
            <w:tcW w:w="1408" w:type="dxa"/>
            <w:tcBorders>
              <w:left w:val="single" w:color="auto" w:sz="4" w:space="0"/>
              <w:right w:val="single" w:color="auto" w:sz="4" w:space="0"/>
            </w:tcBorders>
            <w:vAlign w:val="center"/>
          </w:tcPr>
          <w:p>
            <w:pPr>
              <w:widowControl/>
              <w:adjustRightInd w:val="0"/>
              <w:snapToGrid w:val="0"/>
              <w:jc w:val="center"/>
            </w:pPr>
            <w:r>
              <w:rPr>
                <w:rFonts w:ascii="宋体" w:hAnsi="宋体" w:cs="宋体"/>
                <w:color w:val="auto"/>
                <w:szCs w:val="21"/>
                <w:highlight w:val="none"/>
              </w:rPr>
              <w:t>技术负责人</w:t>
            </w:r>
          </w:p>
        </w:tc>
        <w:tc>
          <w:tcPr>
            <w:tcW w:w="675" w:type="dxa"/>
            <w:tcBorders>
              <w:left w:val="single" w:color="auto" w:sz="4" w:space="0"/>
              <w:right w:val="single" w:color="auto" w:sz="4" w:space="0"/>
            </w:tcBorders>
            <w:vAlign w:val="center"/>
          </w:tcPr>
          <w:p>
            <w:pPr>
              <w:widowControl/>
              <w:adjustRightInd w:val="0"/>
              <w:snapToGrid w:val="0"/>
              <w:jc w:val="center"/>
              <w:rPr>
                <w:rFonts w:hint="eastAsia" w:eastAsia="宋体"/>
                <w:lang w:eastAsia="zh-CN"/>
              </w:rPr>
            </w:pPr>
            <w:r>
              <w:rPr>
                <w:rFonts w:hint="eastAsia" w:ascii="宋体" w:hAnsi="宋体" w:cs="宋体"/>
                <w:color w:val="auto"/>
                <w:szCs w:val="21"/>
                <w:highlight w:val="none"/>
                <w:lang w:val="en-US" w:eastAsia="zh-CN"/>
              </w:rPr>
              <w:t>4</w:t>
            </w:r>
          </w:p>
        </w:tc>
        <w:tc>
          <w:tcPr>
            <w:tcW w:w="110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b/>
                <w:bCs/>
                <w:sz w:val="21"/>
                <w:szCs w:val="21"/>
                <w:highlight w:val="none"/>
              </w:rPr>
            </w:pPr>
            <w:r>
              <w:rPr>
                <w:rFonts w:ascii="宋体" w:hAnsi="宋体" w:cs="宋体"/>
                <w:color w:val="auto"/>
                <w:szCs w:val="21"/>
                <w:highlight w:val="none"/>
              </w:rPr>
              <w:t>从业能力：具有工程类专业高级工程师或以上技术职称</w:t>
            </w:r>
            <w:r>
              <w:rPr>
                <w:rFonts w:hint="eastAsia" w:ascii="_5b8b_4f53" w:hAnsi="_5b8b_4f53"/>
                <w:color w:val="000000"/>
                <w:highlight w:val="none"/>
              </w:rPr>
              <w:t>10年或以上（以发证日期为准）</w:t>
            </w:r>
            <w:r>
              <w:rPr>
                <w:rFonts w:ascii="宋体" w:hAnsi="宋体" w:cs="宋体"/>
                <w:color w:val="auto"/>
                <w:szCs w:val="21"/>
                <w:highlight w:val="none"/>
              </w:rPr>
              <w:t>，得</w:t>
            </w:r>
            <w:r>
              <w:rPr>
                <w:rFonts w:hint="eastAsia" w:ascii="宋体" w:hAnsi="宋体" w:cs="宋体"/>
                <w:color w:val="auto"/>
                <w:szCs w:val="21"/>
                <w:highlight w:val="none"/>
                <w:lang w:val="en-US" w:eastAsia="zh-CN"/>
              </w:rPr>
              <w:t>4</w:t>
            </w:r>
            <w:r>
              <w:rPr>
                <w:rFonts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065" w:type="dxa"/>
            <w:vMerge w:val="continue"/>
            <w:tcBorders>
              <w:left w:val="single" w:color="auto" w:sz="8" w:space="0"/>
              <w:right w:val="single" w:color="auto" w:sz="4" w:space="0"/>
            </w:tcBorders>
            <w:vAlign w:val="center"/>
          </w:tcPr>
          <w:p>
            <w:pPr>
              <w:pStyle w:val="137"/>
              <w:snapToGrid w:val="0"/>
              <w:jc w:val="left"/>
              <w:rPr>
                <w:rFonts w:hint="eastAsia" w:ascii="宋体" w:hAnsi="宋体" w:cs="宋体"/>
                <w:b/>
                <w:bCs/>
                <w:sz w:val="21"/>
                <w:szCs w:val="21"/>
                <w:highlight w:val="none"/>
              </w:rPr>
            </w:pPr>
          </w:p>
        </w:tc>
        <w:tc>
          <w:tcPr>
            <w:tcW w:w="615" w:type="dxa"/>
            <w:vMerge w:val="continue"/>
            <w:tcBorders>
              <w:left w:val="single" w:color="auto" w:sz="4" w:space="0"/>
              <w:right w:val="single" w:color="auto" w:sz="4" w:space="0"/>
            </w:tcBorders>
            <w:vAlign w:val="center"/>
          </w:tcPr>
          <w:p>
            <w:pPr>
              <w:pStyle w:val="137"/>
              <w:snapToGrid w:val="0"/>
              <w:jc w:val="left"/>
              <w:rPr>
                <w:rFonts w:hint="eastAsia" w:ascii="宋体" w:hAnsi="宋体" w:cs="宋体"/>
                <w:b/>
                <w:bCs/>
                <w:sz w:val="21"/>
                <w:szCs w:val="21"/>
                <w:highlight w:val="none"/>
              </w:rPr>
            </w:pPr>
          </w:p>
        </w:tc>
        <w:tc>
          <w:tcPr>
            <w:tcW w:w="1408" w:type="dxa"/>
            <w:tcBorders>
              <w:left w:val="single" w:color="auto" w:sz="4" w:space="0"/>
              <w:right w:val="single" w:color="auto" w:sz="4" w:space="0"/>
            </w:tcBorders>
            <w:vAlign w:val="center"/>
          </w:tcPr>
          <w:p>
            <w:pPr>
              <w:widowControl/>
              <w:adjustRightInd w:val="0"/>
              <w:snapToGrid w:val="0"/>
              <w:jc w:val="center"/>
              <w:rPr>
                <w:rFonts w:hint="eastAsia" w:ascii="宋体" w:hAnsi="宋体" w:cs="宋体"/>
                <w:b/>
                <w:bCs/>
                <w:sz w:val="21"/>
                <w:szCs w:val="21"/>
                <w:highlight w:val="none"/>
              </w:rPr>
            </w:pPr>
            <w:r>
              <w:rPr>
                <w:rFonts w:ascii="宋体" w:hAnsi="宋体" w:cs="宋体"/>
                <w:color w:val="auto"/>
                <w:szCs w:val="21"/>
                <w:highlight w:val="none"/>
              </w:rPr>
              <w:t>质量负责人</w:t>
            </w:r>
          </w:p>
        </w:tc>
        <w:tc>
          <w:tcPr>
            <w:tcW w:w="675" w:type="dxa"/>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b/>
                <w:bCs/>
                <w:sz w:val="21"/>
                <w:szCs w:val="21"/>
                <w:highlight w:val="none"/>
                <w:lang w:eastAsia="zh-CN"/>
              </w:rPr>
            </w:pPr>
            <w:r>
              <w:rPr>
                <w:rFonts w:hint="eastAsia" w:ascii="宋体" w:hAnsi="宋体" w:cs="宋体"/>
                <w:color w:val="auto"/>
                <w:szCs w:val="21"/>
                <w:highlight w:val="none"/>
                <w:lang w:val="en-US" w:eastAsia="zh-CN"/>
              </w:rPr>
              <w:t>2</w:t>
            </w:r>
          </w:p>
        </w:tc>
        <w:tc>
          <w:tcPr>
            <w:tcW w:w="110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b/>
                <w:bCs/>
                <w:sz w:val="21"/>
                <w:szCs w:val="21"/>
                <w:highlight w:val="none"/>
              </w:rPr>
            </w:pPr>
            <w:r>
              <w:rPr>
                <w:rFonts w:ascii="宋体" w:hAnsi="宋体" w:cs="宋体"/>
                <w:color w:val="auto"/>
                <w:szCs w:val="21"/>
                <w:highlight w:val="none"/>
              </w:rPr>
              <w:t>从业能力：具有工程类专业中级或以上技术职称，得</w:t>
            </w:r>
            <w:r>
              <w:rPr>
                <w:rFonts w:hint="eastAsia" w:ascii="宋体" w:hAnsi="宋体" w:cs="宋体"/>
                <w:color w:val="auto"/>
                <w:szCs w:val="21"/>
                <w:highlight w:val="none"/>
                <w:lang w:val="en-US" w:eastAsia="zh-CN"/>
              </w:rPr>
              <w:t>2</w:t>
            </w:r>
            <w:r>
              <w:rPr>
                <w:rFonts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1065" w:type="dxa"/>
            <w:vMerge w:val="continue"/>
            <w:tcBorders>
              <w:left w:val="single" w:color="auto" w:sz="8" w:space="0"/>
              <w:right w:val="single" w:color="auto" w:sz="4" w:space="0"/>
            </w:tcBorders>
            <w:vAlign w:val="center"/>
          </w:tcPr>
          <w:p>
            <w:pPr>
              <w:pStyle w:val="137"/>
              <w:snapToGrid w:val="0"/>
              <w:jc w:val="left"/>
              <w:rPr>
                <w:rFonts w:hint="eastAsia" w:ascii="宋体" w:hAnsi="宋体" w:cs="宋体"/>
                <w:b/>
                <w:bCs/>
                <w:sz w:val="21"/>
                <w:szCs w:val="21"/>
                <w:highlight w:val="none"/>
              </w:rPr>
            </w:pPr>
          </w:p>
        </w:tc>
        <w:tc>
          <w:tcPr>
            <w:tcW w:w="615" w:type="dxa"/>
            <w:vMerge w:val="continue"/>
            <w:tcBorders>
              <w:left w:val="single" w:color="auto" w:sz="4" w:space="0"/>
              <w:right w:val="single" w:color="auto" w:sz="4" w:space="0"/>
            </w:tcBorders>
            <w:vAlign w:val="center"/>
          </w:tcPr>
          <w:p>
            <w:pPr>
              <w:pStyle w:val="137"/>
              <w:snapToGrid w:val="0"/>
              <w:jc w:val="left"/>
              <w:rPr>
                <w:rFonts w:hint="eastAsia" w:ascii="宋体" w:hAnsi="宋体" w:cs="宋体"/>
                <w:b/>
                <w:bCs/>
                <w:sz w:val="21"/>
                <w:szCs w:val="21"/>
                <w:highlight w:val="none"/>
              </w:rPr>
            </w:pPr>
          </w:p>
        </w:tc>
        <w:tc>
          <w:tcPr>
            <w:tcW w:w="1408" w:type="dxa"/>
            <w:tcBorders>
              <w:left w:val="single" w:color="auto" w:sz="4" w:space="0"/>
              <w:right w:val="single" w:color="auto" w:sz="4" w:space="0"/>
            </w:tcBorders>
            <w:vAlign w:val="center"/>
          </w:tcPr>
          <w:p>
            <w:pPr>
              <w:widowControl/>
              <w:adjustRightInd w:val="0"/>
              <w:snapToGrid w:val="0"/>
              <w:jc w:val="center"/>
              <w:rPr>
                <w:rFonts w:hint="eastAsia" w:ascii="宋体" w:hAnsi="宋体" w:cs="宋体"/>
                <w:b/>
                <w:bCs/>
                <w:sz w:val="21"/>
                <w:szCs w:val="21"/>
                <w:highlight w:val="none"/>
              </w:rPr>
            </w:pPr>
            <w:r>
              <w:rPr>
                <w:rFonts w:ascii="宋体" w:hAnsi="宋体" w:cs="宋体"/>
                <w:color w:val="auto"/>
                <w:szCs w:val="21"/>
                <w:highlight w:val="none"/>
              </w:rPr>
              <w:t>安全负责人</w:t>
            </w:r>
          </w:p>
        </w:tc>
        <w:tc>
          <w:tcPr>
            <w:tcW w:w="675" w:type="dxa"/>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b/>
                <w:bCs/>
                <w:sz w:val="21"/>
                <w:szCs w:val="21"/>
                <w:highlight w:val="none"/>
                <w:lang w:eastAsia="zh-CN"/>
              </w:rPr>
            </w:pPr>
            <w:r>
              <w:rPr>
                <w:rFonts w:hint="eastAsia" w:ascii="宋体" w:hAnsi="宋体" w:cs="宋体"/>
                <w:color w:val="auto"/>
                <w:szCs w:val="21"/>
                <w:highlight w:val="none"/>
                <w:lang w:val="en-US" w:eastAsia="zh-CN"/>
              </w:rPr>
              <w:t>2</w:t>
            </w:r>
          </w:p>
        </w:tc>
        <w:tc>
          <w:tcPr>
            <w:tcW w:w="110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b/>
                <w:bCs/>
                <w:sz w:val="21"/>
                <w:szCs w:val="21"/>
                <w:highlight w:val="none"/>
              </w:rPr>
            </w:pPr>
            <w:r>
              <w:rPr>
                <w:rFonts w:ascii="宋体" w:hAnsi="宋体" w:cs="宋体"/>
                <w:color w:val="auto"/>
                <w:kern w:val="0"/>
                <w:szCs w:val="21"/>
                <w:highlight w:val="none"/>
              </w:rPr>
              <w:t>从业能力</w:t>
            </w:r>
            <w:r>
              <w:rPr>
                <w:rFonts w:ascii="宋体" w:hAnsi="宋体" w:cs="宋体"/>
                <w:color w:val="auto"/>
                <w:szCs w:val="21"/>
                <w:highlight w:val="none"/>
              </w:rPr>
              <w:t>：具有</w:t>
            </w:r>
            <w:r>
              <w:rPr>
                <w:rFonts w:hint="eastAsia" w:ascii="宋体" w:hAnsi="宋体" w:cs="宋体"/>
                <w:color w:val="auto"/>
                <w:szCs w:val="21"/>
                <w:highlight w:val="none"/>
              </w:rPr>
              <w:t>注册</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工程师</w:t>
            </w:r>
            <w:r>
              <w:rPr>
                <w:rFonts w:hint="eastAsia" w:ascii="宋体" w:hAnsi="宋体" w:cs="宋体"/>
                <w:color w:val="auto"/>
                <w:szCs w:val="21"/>
                <w:highlight w:val="none"/>
                <w:lang w:eastAsia="zh-CN"/>
              </w:rPr>
              <w:t>证书或</w:t>
            </w:r>
            <w:r>
              <w:rPr>
                <w:rFonts w:ascii="宋体" w:hAnsi="宋体" w:cs="宋体"/>
                <w:color w:val="auto"/>
                <w:szCs w:val="21"/>
                <w:highlight w:val="none"/>
              </w:rPr>
              <w:t>工程类专业中级</w:t>
            </w:r>
            <w:r>
              <w:rPr>
                <w:rFonts w:hint="eastAsia" w:ascii="宋体" w:hAnsi="宋体" w:cs="宋体"/>
                <w:color w:val="auto"/>
                <w:szCs w:val="21"/>
                <w:highlight w:val="none"/>
                <w:lang w:eastAsia="zh-CN"/>
              </w:rPr>
              <w:t>（</w:t>
            </w:r>
            <w:r>
              <w:rPr>
                <w:rFonts w:ascii="宋体" w:hAnsi="宋体" w:cs="宋体"/>
                <w:color w:val="auto"/>
                <w:szCs w:val="21"/>
                <w:highlight w:val="none"/>
              </w:rPr>
              <w:t>或以上</w:t>
            </w:r>
            <w:r>
              <w:rPr>
                <w:rFonts w:hint="eastAsia" w:ascii="宋体" w:hAnsi="宋体" w:cs="宋体"/>
                <w:color w:val="auto"/>
                <w:szCs w:val="21"/>
                <w:highlight w:val="none"/>
                <w:lang w:eastAsia="zh-CN"/>
              </w:rPr>
              <w:t>）</w:t>
            </w:r>
            <w:r>
              <w:rPr>
                <w:rFonts w:ascii="宋体" w:hAnsi="宋体" w:cs="宋体"/>
                <w:color w:val="auto"/>
                <w:szCs w:val="21"/>
                <w:highlight w:val="none"/>
              </w:rPr>
              <w:t>技术职称，且具有在有效期内的安全生产考核合格证（B类）或安全生产考核合格证（C类）</w:t>
            </w:r>
            <w:r>
              <w:rPr>
                <w:rFonts w:ascii="宋体" w:hAnsi="宋体" w:cs="宋体"/>
                <w:color w:val="auto"/>
                <w:szCs w:val="21"/>
                <w:highlight w:val="none"/>
                <w:lang w:bidi="ar"/>
              </w:rPr>
              <w:t>或建筑施工企业项目负责人安全生产考核合格证书或建筑施工企业专职安全生产管理人员安全生产考核合格证书（C3</w:t>
            </w:r>
            <w:r>
              <w:rPr>
                <w:rFonts w:hint="eastAsia" w:ascii="宋体" w:hAnsi="宋体" w:cs="宋体"/>
                <w:color w:val="auto"/>
                <w:szCs w:val="21"/>
                <w:highlight w:val="none"/>
                <w:lang w:val="en-US" w:eastAsia="zh-CN" w:bidi="ar"/>
              </w:rPr>
              <w:t>类</w:t>
            </w:r>
            <w:r>
              <w:rPr>
                <w:rFonts w:ascii="宋体" w:hAnsi="宋体" w:cs="宋体"/>
                <w:color w:val="auto"/>
                <w:szCs w:val="21"/>
                <w:highlight w:val="none"/>
                <w:lang w:bidi="ar"/>
              </w:rPr>
              <w:t>）</w:t>
            </w:r>
            <w:r>
              <w:rPr>
                <w:rFonts w:ascii="宋体" w:hAnsi="宋体" w:cs="宋体"/>
                <w:color w:val="auto"/>
                <w:szCs w:val="21"/>
                <w:highlight w:val="none"/>
              </w:rPr>
              <w:t>，得</w:t>
            </w:r>
            <w:r>
              <w:rPr>
                <w:rFonts w:hint="eastAsia" w:ascii="宋体" w:hAnsi="宋体" w:cs="宋体"/>
                <w:color w:val="auto"/>
                <w:szCs w:val="21"/>
                <w:highlight w:val="none"/>
                <w:lang w:val="en-US" w:eastAsia="zh-CN"/>
              </w:rPr>
              <w:t>2</w:t>
            </w:r>
            <w:r>
              <w:rPr>
                <w:rFonts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065" w:type="dxa"/>
            <w:vMerge w:val="continue"/>
            <w:tcBorders>
              <w:left w:val="single" w:color="auto" w:sz="8" w:space="0"/>
              <w:right w:val="single" w:color="auto" w:sz="4" w:space="0"/>
            </w:tcBorders>
            <w:vAlign w:val="center"/>
          </w:tcPr>
          <w:p>
            <w:pPr>
              <w:pStyle w:val="137"/>
              <w:snapToGrid w:val="0"/>
              <w:jc w:val="left"/>
              <w:rPr>
                <w:rFonts w:hint="eastAsia" w:ascii="宋体" w:hAnsi="宋体" w:cs="宋体"/>
                <w:b/>
                <w:bCs/>
                <w:sz w:val="21"/>
                <w:szCs w:val="21"/>
                <w:highlight w:val="none"/>
              </w:rPr>
            </w:pPr>
          </w:p>
        </w:tc>
        <w:tc>
          <w:tcPr>
            <w:tcW w:w="615" w:type="dxa"/>
            <w:vMerge w:val="continue"/>
            <w:tcBorders>
              <w:left w:val="single" w:color="auto" w:sz="4" w:space="0"/>
              <w:right w:val="single" w:color="auto" w:sz="4" w:space="0"/>
            </w:tcBorders>
            <w:vAlign w:val="center"/>
          </w:tcPr>
          <w:p>
            <w:pPr>
              <w:pStyle w:val="137"/>
              <w:snapToGrid w:val="0"/>
              <w:jc w:val="left"/>
              <w:rPr>
                <w:rFonts w:hint="eastAsia" w:ascii="宋体" w:hAnsi="宋体" w:cs="宋体"/>
                <w:b/>
                <w:bCs/>
                <w:sz w:val="21"/>
                <w:szCs w:val="21"/>
                <w:highlight w:val="none"/>
              </w:rPr>
            </w:pPr>
          </w:p>
        </w:tc>
        <w:tc>
          <w:tcPr>
            <w:tcW w:w="1408" w:type="dxa"/>
            <w:tcBorders>
              <w:left w:val="single" w:color="auto" w:sz="4" w:space="0"/>
              <w:right w:val="single" w:color="auto" w:sz="4" w:space="0"/>
            </w:tcBorders>
            <w:vAlign w:val="center"/>
          </w:tcPr>
          <w:p>
            <w:pPr>
              <w:widowControl/>
              <w:adjustRightInd w:val="0"/>
              <w:snapToGrid w:val="0"/>
              <w:jc w:val="center"/>
              <w:rPr>
                <w:rFonts w:hint="eastAsia" w:ascii="宋体" w:hAnsi="宋体" w:cs="宋体"/>
                <w:b/>
                <w:bCs/>
                <w:sz w:val="21"/>
                <w:szCs w:val="21"/>
                <w:highlight w:val="none"/>
              </w:rPr>
            </w:pPr>
            <w:r>
              <w:rPr>
                <w:rFonts w:ascii="宋体" w:hAnsi="宋体" w:cs="宋体"/>
                <w:color w:val="auto"/>
                <w:szCs w:val="21"/>
                <w:highlight w:val="none"/>
              </w:rPr>
              <w:t>造价负责人</w:t>
            </w:r>
          </w:p>
        </w:tc>
        <w:tc>
          <w:tcPr>
            <w:tcW w:w="675" w:type="dxa"/>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b/>
                <w:bCs/>
                <w:sz w:val="21"/>
                <w:szCs w:val="21"/>
                <w:highlight w:val="none"/>
                <w:lang w:eastAsia="zh-CN"/>
              </w:rPr>
            </w:pPr>
            <w:r>
              <w:rPr>
                <w:rFonts w:hint="eastAsia" w:ascii="宋体" w:hAnsi="宋体" w:cs="宋体"/>
                <w:color w:val="auto"/>
                <w:szCs w:val="21"/>
                <w:highlight w:val="none"/>
                <w:lang w:val="en-US" w:eastAsia="zh-CN"/>
              </w:rPr>
              <w:t>2</w:t>
            </w:r>
          </w:p>
        </w:tc>
        <w:tc>
          <w:tcPr>
            <w:tcW w:w="110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b/>
                <w:bCs/>
                <w:sz w:val="21"/>
                <w:szCs w:val="21"/>
                <w:highlight w:val="none"/>
              </w:rPr>
            </w:pPr>
            <w:r>
              <w:rPr>
                <w:rFonts w:ascii="宋体" w:hAnsi="宋体" w:eastAsia="宋体" w:cs="宋体"/>
                <w:color w:val="auto"/>
                <w:kern w:val="2"/>
                <w:sz w:val="21"/>
                <w:szCs w:val="21"/>
                <w:highlight w:val="none"/>
                <w:u w:val="none"/>
              </w:rPr>
              <w:t>从业能力：具有有效的注册造价工程师（或注册一级造价工程师）证书或具有</w:t>
            </w:r>
            <w:r>
              <w:rPr>
                <w:rFonts w:hint="eastAsia" w:ascii="宋体" w:hAnsi="宋体" w:cs="宋体"/>
                <w:color w:val="auto"/>
                <w:kern w:val="2"/>
                <w:sz w:val="21"/>
                <w:szCs w:val="21"/>
                <w:highlight w:val="none"/>
                <w:u w:val="none"/>
                <w:lang w:eastAsia="zh-CN"/>
              </w:rPr>
              <w:t>建筑工程</w:t>
            </w:r>
            <w:r>
              <w:rPr>
                <w:rFonts w:ascii="宋体" w:hAnsi="宋体" w:eastAsia="宋体" w:cs="宋体"/>
                <w:color w:val="auto"/>
                <w:kern w:val="2"/>
                <w:sz w:val="21"/>
                <w:szCs w:val="21"/>
                <w:highlight w:val="none"/>
                <w:u w:val="none"/>
              </w:rPr>
              <w:t>造价专业</w:t>
            </w:r>
            <w:r>
              <w:rPr>
                <w:rFonts w:hint="eastAsia" w:ascii="宋体" w:hAnsi="宋体" w:cs="宋体"/>
                <w:color w:val="auto"/>
                <w:kern w:val="2"/>
                <w:sz w:val="21"/>
                <w:szCs w:val="21"/>
                <w:highlight w:val="none"/>
                <w:u w:val="none"/>
                <w:lang w:val="en-US" w:eastAsia="zh-CN"/>
              </w:rPr>
              <w:t>高</w:t>
            </w:r>
            <w:r>
              <w:rPr>
                <w:rFonts w:ascii="宋体" w:hAnsi="宋体" w:eastAsia="宋体" w:cs="宋体"/>
                <w:color w:val="auto"/>
                <w:kern w:val="2"/>
                <w:sz w:val="21"/>
                <w:szCs w:val="21"/>
                <w:highlight w:val="none"/>
                <w:u w:val="none"/>
              </w:rPr>
              <w:t>级或以上技术职称，得</w:t>
            </w:r>
            <w:r>
              <w:rPr>
                <w:rFonts w:hint="eastAsia" w:ascii="宋体" w:hAnsi="宋体" w:cs="宋体"/>
                <w:color w:val="auto"/>
                <w:kern w:val="2"/>
                <w:sz w:val="21"/>
                <w:szCs w:val="21"/>
                <w:highlight w:val="none"/>
                <w:u w:val="none"/>
                <w:lang w:val="en-US" w:eastAsia="zh-CN"/>
              </w:rPr>
              <w:t>2</w:t>
            </w:r>
            <w:r>
              <w:rPr>
                <w:rFonts w:ascii="宋体" w:hAnsi="宋体" w:eastAsia="宋体" w:cs="宋体"/>
                <w:color w:val="auto"/>
                <w:kern w:val="2"/>
                <w:sz w:val="21"/>
                <w:szCs w:val="21"/>
                <w:highlight w:val="none"/>
                <w:u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065" w:type="dxa"/>
            <w:vMerge w:val="continue"/>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p>
        </w:tc>
        <w:tc>
          <w:tcPr>
            <w:tcW w:w="1379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注：①上述人员须提供投标截止前近一个月（2023年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月）有效社保证明，且须按相应要求提供相关证书扫描件并加盖投标人电子公章；</w:t>
            </w:r>
          </w:p>
          <w:p>
            <w:pPr>
              <w:autoSpaceDE w:val="0"/>
              <w:autoSpaceDN w:val="0"/>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②项目负责人、技术负责人、质量负责人、安全负责人、造价负责人不得兼任，且安全负责人不能同时兼任专职安全员。</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065" w:type="dxa"/>
            <w:vMerge w:val="restart"/>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二、企业资信（</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2023" w:type="dxa"/>
            <w:gridSpan w:val="2"/>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sz w:val="21"/>
                <w:szCs w:val="21"/>
                <w:highlight w:val="none"/>
              </w:rPr>
            </w:pPr>
            <w:r>
              <w:rPr>
                <w:rFonts w:hint="eastAsia" w:ascii="宋体" w:hAnsi="宋体" w:cs="宋体"/>
                <w:b w:val="0"/>
                <w:bCs w:val="0"/>
                <w:kern w:val="0"/>
                <w:szCs w:val="21"/>
              </w:rPr>
              <w:t>企业类似工程业绩</w:t>
            </w:r>
          </w:p>
        </w:tc>
        <w:tc>
          <w:tcPr>
            <w:tcW w:w="675"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sz w:val="21"/>
                <w:szCs w:val="21"/>
                <w:highlight w:val="none"/>
              </w:rPr>
            </w:pPr>
            <w:r>
              <w:rPr>
                <w:rFonts w:hint="eastAsia" w:ascii="宋体" w:hAnsi="宋体" w:cs="宋体"/>
                <w:szCs w:val="21"/>
                <w:lang w:val="en-US" w:eastAsia="zh-CN"/>
              </w:rPr>
              <w:t>1</w:t>
            </w:r>
          </w:p>
        </w:tc>
        <w:tc>
          <w:tcPr>
            <w:tcW w:w="11093" w:type="dxa"/>
            <w:tcBorders>
              <w:top w:val="single" w:color="auto" w:sz="4" w:space="0"/>
              <w:left w:val="single" w:color="auto" w:sz="4" w:space="0"/>
              <w:bottom w:val="single" w:color="auto" w:sz="4" w:space="0"/>
              <w:right w:val="single" w:color="auto" w:sz="4" w:space="0"/>
            </w:tcBorders>
            <w:vAlign w:val="center"/>
          </w:tcPr>
          <w:p>
            <w:pPr>
              <w:snapToGrid w:val="0"/>
              <w:ind w:left="42" w:leftChars="20" w:right="42" w:rightChars="20"/>
              <w:jc w:val="left"/>
              <w:rPr>
                <w:rFonts w:hint="eastAsia" w:ascii="宋体" w:hAnsi="宋体" w:eastAsia="宋体" w:cs="宋体"/>
                <w:color w:val="auto"/>
                <w:sz w:val="21"/>
                <w:szCs w:val="21"/>
                <w:highlight w:val="none"/>
                <w:lang w:val="zh-TW"/>
              </w:rPr>
            </w:pPr>
            <w:r>
              <w:rPr>
                <w:rFonts w:hint="eastAsia" w:ascii="宋体" w:hAnsi="宋体" w:cs="宋体"/>
                <w:szCs w:val="21"/>
                <w:lang w:val="zh-CN"/>
              </w:rPr>
              <w:t>投标人</w:t>
            </w:r>
            <w:r>
              <w:rPr>
                <w:rFonts w:hint="eastAsia" w:ascii="宋体" w:hAnsi="宋体" w:cs="宋体"/>
                <w:bCs/>
                <w:szCs w:val="21"/>
                <w:lang w:val="zh-TW"/>
              </w:rPr>
              <w:t>自201</w:t>
            </w:r>
            <w:r>
              <w:rPr>
                <w:rFonts w:hint="eastAsia" w:ascii="宋体" w:hAnsi="宋体" w:cs="宋体"/>
                <w:bCs/>
                <w:szCs w:val="21"/>
              </w:rPr>
              <w:t>8</w:t>
            </w:r>
            <w:r>
              <w:rPr>
                <w:rFonts w:hint="eastAsia" w:ascii="宋体" w:hAnsi="宋体" w:cs="宋体"/>
                <w:bCs/>
                <w:szCs w:val="21"/>
                <w:lang w:val="zh-TW"/>
              </w:rPr>
              <w:t>年1月1日至投标截止日止，完成过质量合格的类似工程业绩【类似工程是指工程造价等于或大于</w:t>
            </w:r>
            <w:r>
              <w:rPr>
                <w:rFonts w:hint="eastAsia" w:ascii="宋体" w:hAnsi="宋体" w:cs="宋体"/>
                <w:bCs/>
                <w:szCs w:val="21"/>
                <w:lang w:val="en-US" w:eastAsia="zh-CN"/>
              </w:rPr>
              <w:t>3</w:t>
            </w:r>
            <w:r>
              <w:rPr>
                <w:rFonts w:hint="eastAsia" w:ascii="宋体" w:hAnsi="宋体" w:cs="宋体"/>
                <w:bCs/>
                <w:szCs w:val="21"/>
                <w:lang w:val="zh-TW"/>
              </w:rPr>
              <w:t>000万元的建筑工程施工总承包项目（包括（勘察）设计施工总承包或（勘察）设计施工一体化项目的施工部分）】，每项得</w:t>
            </w:r>
            <w:r>
              <w:rPr>
                <w:rFonts w:hint="eastAsia" w:ascii="宋体" w:hAnsi="宋体" w:cs="宋体"/>
                <w:bCs/>
                <w:szCs w:val="21"/>
                <w:lang w:val="en-US" w:eastAsia="zh-CN"/>
              </w:rPr>
              <w:t>0.1</w:t>
            </w:r>
            <w:r>
              <w:rPr>
                <w:rFonts w:hint="eastAsia" w:ascii="宋体" w:hAnsi="宋体" w:cs="宋体"/>
                <w:bCs/>
                <w:szCs w:val="21"/>
                <w:lang w:val="zh-TW"/>
              </w:rPr>
              <w:t>分，本项最多得</w:t>
            </w:r>
            <w:r>
              <w:rPr>
                <w:rFonts w:hint="eastAsia" w:ascii="宋体" w:hAnsi="宋体" w:cs="宋体"/>
                <w:bCs/>
                <w:szCs w:val="21"/>
                <w:lang w:val="en-US" w:eastAsia="zh-CN"/>
              </w:rPr>
              <w:t>1</w:t>
            </w:r>
            <w:r>
              <w:rPr>
                <w:rFonts w:hint="eastAsia" w:ascii="宋体" w:hAnsi="宋体" w:cs="宋体"/>
                <w:bCs/>
                <w:szCs w:val="21"/>
                <w:lang w:val="zh-TW"/>
              </w:rPr>
              <w:t>分</w:t>
            </w:r>
            <w:r>
              <w:rPr>
                <w:rFonts w:hint="eastAsia" w:ascii="宋体" w:hAnsi="宋体" w:cs="宋体"/>
                <w:szCs w:val="21"/>
                <w:lang w:val="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065" w:type="dxa"/>
            <w:vMerge w:val="continue"/>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p>
        </w:tc>
        <w:tc>
          <w:tcPr>
            <w:tcW w:w="2023" w:type="dxa"/>
            <w:gridSpan w:val="2"/>
            <w:tcBorders>
              <w:top w:val="single" w:color="auto" w:sz="4" w:space="0"/>
              <w:left w:val="single" w:color="auto" w:sz="4" w:space="0"/>
              <w:right w:val="single" w:color="auto" w:sz="4" w:space="0"/>
            </w:tcBorders>
            <w:vAlign w:val="center"/>
          </w:tcPr>
          <w:p>
            <w:pPr>
              <w:tabs>
                <w:tab w:val="left" w:pos="360"/>
              </w:tabs>
              <w:snapToGrid w:val="0"/>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kern w:val="0"/>
                <w:szCs w:val="21"/>
              </w:rPr>
              <w:t>企业获奖</w:t>
            </w:r>
          </w:p>
        </w:tc>
        <w:tc>
          <w:tcPr>
            <w:tcW w:w="675" w:type="dxa"/>
            <w:tcBorders>
              <w:top w:val="single" w:color="auto" w:sz="4" w:space="0"/>
              <w:left w:val="single" w:color="auto" w:sz="4" w:space="0"/>
              <w:right w:val="single" w:color="auto" w:sz="4" w:space="0"/>
            </w:tcBorders>
            <w:vAlign w:val="center"/>
          </w:tcPr>
          <w:p>
            <w:pPr>
              <w:tabs>
                <w:tab w:val="left" w:pos="360"/>
              </w:tabs>
              <w:snapToGrid w:val="0"/>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cs="宋体"/>
                <w:bCs/>
                <w:kern w:val="0"/>
                <w:szCs w:val="21"/>
                <w:lang w:val="en-US" w:eastAsia="zh-CN"/>
              </w:rPr>
              <w:t>2</w:t>
            </w:r>
          </w:p>
        </w:tc>
        <w:tc>
          <w:tcPr>
            <w:tcW w:w="11093" w:type="dxa"/>
            <w:tcBorders>
              <w:top w:val="single" w:color="auto" w:sz="4" w:space="0"/>
              <w:left w:val="single" w:color="auto" w:sz="4" w:space="0"/>
              <w:bottom w:val="single" w:color="auto" w:sz="4" w:space="0"/>
              <w:right w:val="single" w:color="auto" w:sz="4" w:space="0"/>
            </w:tcBorders>
            <w:vAlign w:val="center"/>
          </w:tcPr>
          <w:p>
            <w:pPr>
              <w:snapToGrid w:val="0"/>
              <w:ind w:left="84" w:leftChars="40" w:right="42" w:rightChars="20"/>
              <w:jc w:val="left"/>
              <w:rPr>
                <w:rFonts w:hint="eastAsia" w:ascii="宋体" w:hAnsi="宋体" w:eastAsia="宋体" w:cs="宋体"/>
                <w:color w:val="auto"/>
                <w:sz w:val="21"/>
                <w:szCs w:val="21"/>
                <w:highlight w:val="none"/>
                <w:lang w:val="en-US" w:eastAsia="zh-CN"/>
              </w:rPr>
            </w:pPr>
            <w:r>
              <w:rPr>
                <w:rFonts w:hint="eastAsia" w:ascii="宋体" w:hAnsi="宋体" w:cs="宋体"/>
                <w:szCs w:val="21"/>
                <w:lang w:val="zh-CN"/>
              </w:rPr>
              <w:t>投标人</w:t>
            </w:r>
            <w:r>
              <w:rPr>
                <w:rFonts w:hint="eastAsia" w:ascii="宋体" w:hAnsi="宋体" w:cs="宋体"/>
                <w:bCs/>
                <w:szCs w:val="21"/>
                <w:lang w:val="zh-TW"/>
              </w:rPr>
              <w:t>自2018年1月1日至投标截止日止，完成的建筑工程施工总承包项目【包括（勘察）设计施工总承包或（勘察）设计施工一体化项目】获得市级（或以上）奖项，10项</w:t>
            </w:r>
            <w:r>
              <w:rPr>
                <w:rFonts w:hint="eastAsia" w:ascii="宋体" w:hAnsi="宋体" w:cs="宋体"/>
                <w:bCs/>
                <w:szCs w:val="21"/>
                <w:lang w:val="zh-TW" w:eastAsia="zh-CN"/>
              </w:rPr>
              <w:t>或</w:t>
            </w:r>
            <w:r>
              <w:rPr>
                <w:rFonts w:hint="eastAsia" w:ascii="宋体" w:hAnsi="宋体" w:cs="宋体"/>
                <w:bCs/>
                <w:szCs w:val="21"/>
                <w:lang w:val="zh-TW"/>
              </w:rPr>
              <w:t>以上的得</w:t>
            </w:r>
            <w:r>
              <w:rPr>
                <w:rFonts w:hint="eastAsia" w:ascii="宋体" w:hAnsi="宋体" w:cs="宋体"/>
                <w:bCs/>
                <w:szCs w:val="21"/>
                <w:lang w:val="en-US" w:eastAsia="zh-CN"/>
              </w:rPr>
              <w:t>2</w:t>
            </w:r>
            <w:r>
              <w:rPr>
                <w:rFonts w:hint="eastAsia" w:ascii="宋体" w:hAnsi="宋体" w:cs="宋体"/>
                <w:bCs/>
                <w:szCs w:val="21"/>
                <w:lang w:val="zh-TW"/>
              </w:rPr>
              <w:t>分；获得</w:t>
            </w:r>
            <w:r>
              <w:rPr>
                <w:rFonts w:ascii="宋体" w:hAnsi="宋体" w:cs="宋体"/>
                <w:bCs/>
                <w:szCs w:val="21"/>
                <w:lang w:val="zh-TW"/>
              </w:rPr>
              <w:t>7</w:t>
            </w:r>
            <w:r>
              <w:rPr>
                <w:rFonts w:hint="eastAsia" w:ascii="宋体" w:hAnsi="宋体" w:cs="宋体"/>
                <w:bCs/>
                <w:szCs w:val="21"/>
                <w:lang w:val="zh-TW"/>
              </w:rPr>
              <w:t>至</w:t>
            </w:r>
            <w:r>
              <w:rPr>
                <w:rFonts w:hint="eastAsia" w:ascii="宋体" w:hAnsi="宋体" w:cs="宋体"/>
                <w:bCs/>
                <w:szCs w:val="21"/>
                <w:lang w:val="en-US" w:eastAsia="zh-CN"/>
              </w:rPr>
              <w:t>9</w:t>
            </w:r>
            <w:r>
              <w:rPr>
                <w:rFonts w:hint="eastAsia" w:ascii="宋体" w:hAnsi="宋体" w:cs="宋体"/>
                <w:bCs/>
                <w:szCs w:val="21"/>
                <w:lang w:val="zh-TW"/>
              </w:rPr>
              <w:t>项的得</w:t>
            </w:r>
            <w:r>
              <w:rPr>
                <w:rFonts w:hint="eastAsia" w:ascii="宋体" w:hAnsi="宋体" w:cs="宋体"/>
                <w:bCs/>
                <w:szCs w:val="21"/>
                <w:lang w:val="en-US" w:eastAsia="zh-CN"/>
              </w:rPr>
              <w:t>1</w:t>
            </w:r>
            <w:r>
              <w:rPr>
                <w:rFonts w:hint="eastAsia" w:ascii="宋体" w:hAnsi="宋体" w:cs="宋体"/>
                <w:bCs/>
                <w:szCs w:val="21"/>
                <w:lang w:val="zh-TW"/>
              </w:rPr>
              <w:t>分；获得</w:t>
            </w:r>
            <w:r>
              <w:rPr>
                <w:rFonts w:ascii="宋体" w:hAnsi="宋体" w:cs="宋体"/>
                <w:bCs/>
                <w:szCs w:val="21"/>
                <w:lang w:val="zh-TW"/>
              </w:rPr>
              <w:t>4</w:t>
            </w:r>
            <w:r>
              <w:rPr>
                <w:rFonts w:hint="eastAsia" w:ascii="宋体" w:hAnsi="宋体" w:cs="宋体"/>
                <w:bCs/>
                <w:szCs w:val="21"/>
                <w:lang w:val="zh-TW"/>
              </w:rPr>
              <w:t>至</w:t>
            </w:r>
            <w:r>
              <w:rPr>
                <w:rFonts w:ascii="宋体" w:hAnsi="宋体" w:cs="宋体"/>
                <w:bCs/>
                <w:szCs w:val="21"/>
                <w:lang w:val="zh-TW"/>
              </w:rPr>
              <w:t>6</w:t>
            </w:r>
            <w:r>
              <w:rPr>
                <w:rFonts w:hint="eastAsia" w:ascii="宋体" w:hAnsi="宋体" w:cs="宋体"/>
                <w:bCs/>
                <w:szCs w:val="21"/>
                <w:lang w:val="zh-TW"/>
              </w:rPr>
              <w:t>项的得</w:t>
            </w:r>
            <w:r>
              <w:rPr>
                <w:rFonts w:hint="eastAsia" w:ascii="宋体" w:hAnsi="宋体" w:cs="宋体"/>
                <w:bCs/>
                <w:szCs w:val="21"/>
                <w:lang w:val="en-US" w:eastAsia="zh-CN"/>
              </w:rPr>
              <w:t>0.5</w:t>
            </w:r>
            <w:r>
              <w:rPr>
                <w:rFonts w:hint="eastAsia" w:ascii="宋体" w:hAnsi="宋体" w:cs="宋体"/>
                <w:bCs/>
                <w:szCs w:val="21"/>
                <w:lang w:val="zh-TW"/>
              </w:rPr>
              <w:t>分；获得</w:t>
            </w:r>
            <w:r>
              <w:rPr>
                <w:rFonts w:hint="eastAsia" w:ascii="宋体" w:hAnsi="宋体" w:cs="宋体"/>
                <w:bCs/>
                <w:szCs w:val="21"/>
                <w:lang w:val="en-US" w:eastAsia="zh-CN"/>
              </w:rPr>
              <w:t>1</w:t>
            </w:r>
            <w:r>
              <w:rPr>
                <w:rFonts w:hint="eastAsia" w:ascii="宋体" w:hAnsi="宋体" w:cs="宋体"/>
                <w:bCs/>
                <w:szCs w:val="21"/>
                <w:lang w:val="zh-TW"/>
              </w:rPr>
              <w:t>至</w:t>
            </w:r>
            <w:r>
              <w:rPr>
                <w:rFonts w:hint="eastAsia" w:ascii="宋体" w:hAnsi="宋体" w:cs="宋体"/>
                <w:bCs/>
                <w:szCs w:val="21"/>
                <w:lang w:val="en-US" w:eastAsia="zh-CN"/>
              </w:rPr>
              <w:t>3</w:t>
            </w:r>
            <w:r>
              <w:rPr>
                <w:rFonts w:hint="eastAsia" w:ascii="宋体" w:hAnsi="宋体" w:cs="宋体"/>
                <w:bCs/>
                <w:szCs w:val="21"/>
                <w:lang w:val="zh-TW"/>
              </w:rPr>
              <w:t>项的得</w:t>
            </w:r>
            <w:r>
              <w:rPr>
                <w:rFonts w:hint="eastAsia" w:ascii="宋体" w:hAnsi="宋体" w:cs="宋体"/>
                <w:bCs/>
                <w:szCs w:val="21"/>
                <w:lang w:val="en-US" w:eastAsia="zh-CN"/>
              </w:rPr>
              <w:t>0.25</w:t>
            </w:r>
            <w:r>
              <w:rPr>
                <w:rFonts w:hint="eastAsia" w:ascii="宋体" w:hAnsi="宋体" w:cs="宋体"/>
                <w:bCs/>
                <w:szCs w:val="21"/>
                <w:lang w:val="zh-TW"/>
              </w:rPr>
              <w:t>分</w:t>
            </w:r>
            <w:r>
              <w:rPr>
                <w:rFonts w:hint="eastAsia" w:ascii="宋体" w:hAnsi="宋体" w:cs="宋体"/>
                <w:bCs/>
                <w:szCs w:val="21"/>
                <w:lang w:val="zh-TW" w:eastAsia="zh-CN"/>
              </w:rPr>
              <w:t>，</w:t>
            </w:r>
            <w:r>
              <w:rPr>
                <w:rFonts w:hint="eastAsia" w:ascii="宋体" w:hAnsi="宋体" w:cs="宋体"/>
                <w:bCs/>
                <w:szCs w:val="21"/>
                <w:lang w:val="zh-TW"/>
              </w:rPr>
              <w:t>本项最多得</w:t>
            </w:r>
            <w:r>
              <w:rPr>
                <w:rFonts w:hint="eastAsia" w:ascii="宋体" w:hAnsi="宋体" w:cs="宋体"/>
                <w:bCs/>
                <w:szCs w:val="21"/>
                <w:lang w:val="en-US" w:eastAsia="zh-CN"/>
              </w:rPr>
              <w:t>2</w:t>
            </w:r>
            <w:r>
              <w:rPr>
                <w:rFonts w:hint="eastAsia" w:ascii="宋体" w:hAnsi="宋体" w:cs="宋体"/>
                <w:bCs/>
                <w:szCs w:val="21"/>
                <w:lang w:val="zh-TW"/>
              </w:rPr>
              <w:t>分</w:t>
            </w:r>
            <w:r>
              <w:rPr>
                <w:rFonts w:hint="eastAsia" w:ascii="宋体" w:hAnsi="宋体" w:cs="宋体"/>
                <w:szCs w:val="21"/>
                <w:lang w:val="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1065" w:type="dxa"/>
            <w:vMerge w:val="continue"/>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p>
        </w:tc>
        <w:tc>
          <w:tcPr>
            <w:tcW w:w="2023" w:type="dxa"/>
            <w:gridSpan w:val="2"/>
            <w:tcBorders>
              <w:top w:val="single" w:color="auto" w:sz="4" w:space="0"/>
              <w:left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sz w:val="21"/>
                <w:szCs w:val="21"/>
                <w:highlight w:val="none"/>
              </w:rPr>
            </w:pPr>
            <w:r>
              <w:rPr>
                <w:rFonts w:hint="eastAsia" w:ascii="宋体" w:hAnsi="宋体" w:cs="宋体"/>
                <w:b w:val="0"/>
                <w:bCs w:val="0"/>
                <w:kern w:val="0"/>
                <w:szCs w:val="21"/>
              </w:rPr>
              <w:t>第三方评价</w:t>
            </w:r>
          </w:p>
        </w:tc>
        <w:tc>
          <w:tcPr>
            <w:tcW w:w="675" w:type="dxa"/>
            <w:tcBorders>
              <w:top w:val="single" w:color="auto" w:sz="4" w:space="0"/>
              <w:left w:val="single" w:color="auto" w:sz="4" w:space="0"/>
              <w:right w:val="single" w:color="auto" w:sz="4" w:space="0"/>
            </w:tcBorders>
            <w:vAlign w:val="center"/>
          </w:tcPr>
          <w:p>
            <w:pPr>
              <w:tabs>
                <w:tab w:val="left" w:pos="360"/>
              </w:tabs>
              <w:snapToGrid w:val="0"/>
              <w:jc w:val="center"/>
              <w:rPr>
                <w:rFonts w:hint="default" w:ascii="宋体" w:hAnsi="宋体" w:eastAsia="宋体" w:cs="宋体"/>
                <w:color w:val="auto"/>
                <w:sz w:val="21"/>
                <w:szCs w:val="21"/>
                <w:highlight w:val="none"/>
                <w:lang w:val="en-US"/>
              </w:rPr>
            </w:pPr>
            <w:r>
              <w:rPr>
                <w:rFonts w:hint="eastAsia" w:ascii="宋体" w:hAnsi="宋体" w:cs="宋体"/>
                <w:szCs w:val="21"/>
                <w:lang w:val="en-US" w:eastAsia="zh-CN"/>
              </w:rPr>
              <w:t>1.2</w:t>
            </w:r>
          </w:p>
        </w:tc>
        <w:tc>
          <w:tcPr>
            <w:tcW w:w="110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84" w:leftChars="40" w:right="154" w:rightChars="0"/>
              <w:jc w:val="left"/>
              <w:rPr>
                <w:rFonts w:hint="eastAsia" w:ascii="宋体" w:hAnsi="宋体" w:eastAsia="宋体" w:cs="宋体"/>
                <w:color w:val="auto"/>
                <w:sz w:val="21"/>
                <w:szCs w:val="21"/>
                <w:highlight w:val="none"/>
                <w:lang w:val="en-US" w:eastAsia="zh-CN"/>
              </w:rPr>
            </w:pPr>
            <w:r>
              <w:rPr>
                <w:rFonts w:hint="eastAsia" w:ascii="宋体" w:hAnsi="宋体" w:cs="宋体"/>
                <w:bCs/>
                <w:szCs w:val="21"/>
                <w:lang w:val="zh-TW" w:eastAsia="zh-CN"/>
              </w:rPr>
              <w:t>投标人</w:t>
            </w:r>
            <w:r>
              <w:rPr>
                <w:rFonts w:hint="eastAsia" w:ascii="宋体" w:hAnsi="宋体" w:cs="宋体"/>
                <w:bCs/>
                <w:szCs w:val="21"/>
                <w:lang w:val="zh-TW"/>
              </w:rPr>
              <w:t>获得“工程建设企业信用星级”证书的，信用星级</w:t>
            </w:r>
            <w:r>
              <w:rPr>
                <w:rFonts w:hint="eastAsia" w:ascii="宋体" w:hAnsi="宋体" w:cs="宋体"/>
                <w:bCs/>
                <w:szCs w:val="21"/>
                <w:lang w:val="en-US" w:eastAsia="zh-CN"/>
              </w:rPr>
              <w:t>20</w:t>
            </w:r>
            <w:r>
              <w:rPr>
                <w:rFonts w:hint="eastAsia" w:ascii="宋体" w:hAnsi="宋体" w:cs="宋体"/>
                <w:bCs/>
                <w:szCs w:val="21"/>
                <w:lang w:val="zh-TW"/>
              </w:rPr>
              <w:t>星以上</w:t>
            </w:r>
            <w:r>
              <w:rPr>
                <w:rFonts w:hint="eastAsia" w:ascii="宋体" w:hAnsi="宋体" w:cs="宋体"/>
                <w:bCs/>
                <w:szCs w:val="21"/>
                <w:lang w:val="zh-TW" w:eastAsia="zh-CN"/>
              </w:rPr>
              <w:t>（</w:t>
            </w:r>
            <w:r>
              <w:rPr>
                <w:rFonts w:hint="eastAsia" w:ascii="宋体" w:hAnsi="宋体" w:cs="宋体"/>
                <w:bCs/>
                <w:szCs w:val="21"/>
                <w:lang w:val="en-US" w:eastAsia="zh-CN"/>
              </w:rPr>
              <w:t>不含20星</w:t>
            </w:r>
            <w:r>
              <w:rPr>
                <w:rFonts w:hint="eastAsia" w:ascii="宋体" w:hAnsi="宋体" w:cs="宋体"/>
                <w:bCs/>
                <w:szCs w:val="21"/>
                <w:lang w:val="zh-TW" w:eastAsia="zh-CN"/>
              </w:rPr>
              <w:t>）</w:t>
            </w:r>
            <w:r>
              <w:rPr>
                <w:rFonts w:hint="eastAsia" w:ascii="宋体" w:hAnsi="宋体" w:cs="宋体"/>
                <w:bCs/>
                <w:szCs w:val="21"/>
                <w:lang w:val="zh-TW"/>
              </w:rPr>
              <w:t>的，得</w:t>
            </w:r>
            <w:r>
              <w:rPr>
                <w:rFonts w:hint="eastAsia" w:ascii="宋体" w:hAnsi="宋体" w:cs="宋体"/>
                <w:bCs/>
                <w:szCs w:val="21"/>
                <w:lang w:val="en-US" w:eastAsia="zh-CN"/>
              </w:rPr>
              <w:t>1.2</w:t>
            </w:r>
            <w:r>
              <w:rPr>
                <w:rFonts w:hint="eastAsia" w:ascii="宋体" w:hAnsi="宋体" w:cs="宋体"/>
                <w:bCs/>
                <w:szCs w:val="21"/>
                <w:lang w:val="zh-TW"/>
              </w:rPr>
              <w:t>分；信用星级</w:t>
            </w:r>
            <w:r>
              <w:rPr>
                <w:rFonts w:hint="eastAsia" w:ascii="宋体" w:hAnsi="宋体" w:cs="宋体"/>
                <w:bCs/>
                <w:szCs w:val="21"/>
                <w:lang w:val="en-US" w:eastAsia="zh-CN"/>
              </w:rPr>
              <w:t>15</w:t>
            </w:r>
            <w:r>
              <w:rPr>
                <w:rFonts w:hint="eastAsia" w:ascii="宋体" w:hAnsi="宋体" w:cs="宋体"/>
                <w:bCs/>
                <w:szCs w:val="21"/>
                <w:lang w:val="zh-TW"/>
              </w:rPr>
              <w:t>星以上</w:t>
            </w:r>
            <w:r>
              <w:rPr>
                <w:rFonts w:hint="eastAsia" w:ascii="宋体" w:hAnsi="宋体" w:cs="宋体"/>
                <w:bCs/>
                <w:szCs w:val="21"/>
                <w:lang w:val="zh-TW" w:eastAsia="zh-CN"/>
              </w:rPr>
              <w:t>（</w:t>
            </w:r>
            <w:r>
              <w:rPr>
                <w:rFonts w:hint="eastAsia" w:ascii="宋体" w:hAnsi="宋体" w:cs="宋体"/>
                <w:bCs/>
                <w:szCs w:val="21"/>
                <w:lang w:val="en-US" w:eastAsia="zh-CN"/>
              </w:rPr>
              <w:t>不含15星</w:t>
            </w:r>
            <w:r>
              <w:rPr>
                <w:rFonts w:hint="eastAsia" w:ascii="宋体" w:hAnsi="宋体" w:cs="宋体"/>
                <w:bCs/>
                <w:szCs w:val="21"/>
                <w:lang w:val="zh-TW" w:eastAsia="zh-CN"/>
              </w:rPr>
              <w:t>）</w:t>
            </w:r>
            <w:r>
              <w:rPr>
                <w:rFonts w:hint="eastAsia" w:ascii="宋体" w:hAnsi="宋体" w:cs="宋体"/>
                <w:bCs/>
                <w:szCs w:val="21"/>
                <w:lang w:val="zh-TW"/>
              </w:rPr>
              <w:t>的，得</w:t>
            </w:r>
            <w:r>
              <w:rPr>
                <w:rFonts w:hint="eastAsia" w:ascii="宋体" w:hAnsi="宋体" w:cs="宋体"/>
                <w:bCs/>
                <w:szCs w:val="21"/>
                <w:lang w:val="en-US" w:eastAsia="zh-CN"/>
              </w:rPr>
              <w:t>0.6</w:t>
            </w:r>
            <w:r>
              <w:rPr>
                <w:rFonts w:hint="eastAsia" w:ascii="宋体" w:hAnsi="宋体" w:cs="宋体"/>
                <w:bCs/>
                <w:szCs w:val="21"/>
                <w:lang w:val="zh-TW"/>
              </w:rPr>
              <w:t>分；信用星级</w:t>
            </w:r>
            <w:r>
              <w:rPr>
                <w:rFonts w:hint="eastAsia" w:ascii="宋体" w:hAnsi="宋体" w:cs="宋体"/>
                <w:bCs/>
                <w:szCs w:val="21"/>
                <w:lang w:val="en-US" w:eastAsia="zh-CN"/>
              </w:rPr>
              <w:t>10</w:t>
            </w:r>
            <w:r>
              <w:rPr>
                <w:rFonts w:hint="eastAsia" w:ascii="宋体" w:hAnsi="宋体" w:cs="宋体"/>
                <w:bCs/>
                <w:szCs w:val="21"/>
                <w:lang w:val="zh-TW"/>
              </w:rPr>
              <w:t>星以上</w:t>
            </w:r>
            <w:r>
              <w:rPr>
                <w:rFonts w:hint="eastAsia" w:ascii="宋体" w:hAnsi="宋体" w:cs="宋体"/>
                <w:bCs/>
                <w:szCs w:val="21"/>
                <w:lang w:val="zh-TW" w:eastAsia="zh-CN"/>
              </w:rPr>
              <w:t>（</w:t>
            </w:r>
            <w:r>
              <w:rPr>
                <w:rFonts w:hint="eastAsia" w:ascii="宋体" w:hAnsi="宋体" w:cs="宋体"/>
                <w:bCs/>
                <w:szCs w:val="21"/>
                <w:lang w:val="en-US" w:eastAsia="zh-CN"/>
              </w:rPr>
              <w:t>不含10星</w:t>
            </w:r>
            <w:r>
              <w:rPr>
                <w:rFonts w:hint="eastAsia" w:ascii="宋体" w:hAnsi="宋体" w:cs="宋体"/>
                <w:bCs/>
                <w:szCs w:val="21"/>
                <w:lang w:val="zh-TW" w:eastAsia="zh-CN"/>
              </w:rPr>
              <w:t>）</w:t>
            </w:r>
            <w:r>
              <w:rPr>
                <w:rFonts w:hint="eastAsia" w:ascii="宋体" w:hAnsi="宋体" w:cs="宋体"/>
                <w:bCs/>
                <w:szCs w:val="21"/>
                <w:lang w:val="zh-TW"/>
              </w:rPr>
              <w:t>的，得</w:t>
            </w:r>
            <w:r>
              <w:rPr>
                <w:rFonts w:hint="eastAsia" w:ascii="宋体" w:hAnsi="宋体" w:cs="宋体"/>
                <w:bCs/>
                <w:szCs w:val="21"/>
                <w:lang w:val="en-US" w:eastAsia="zh-CN"/>
              </w:rPr>
              <w:t>0.3</w:t>
            </w:r>
            <w:r>
              <w:rPr>
                <w:rFonts w:hint="eastAsia" w:ascii="宋体" w:hAnsi="宋体" w:cs="宋体"/>
                <w:bCs/>
                <w:szCs w:val="21"/>
                <w:lang w:val="zh-TW"/>
              </w:rPr>
              <w:t>分；信用星级</w:t>
            </w:r>
            <w:r>
              <w:rPr>
                <w:rFonts w:hint="eastAsia" w:ascii="宋体" w:hAnsi="宋体" w:cs="宋体"/>
                <w:bCs/>
                <w:szCs w:val="21"/>
                <w:lang w:val="en-US" w:eastAsia="zh-CN"/>
              </w:rPr>
              <w:t>5</w:t>
            </w:r>
            <w:r>
              <w:rPr>
                <w:rFonts w:hint="eastAsia" w:ascii="宋体" w:hAnsi="宋体" w:cs="宋体"/>
                <w:bCs/>
                <w:szCs w:val="21"/>
                <w:lang w:val="zh-TW"/>
              </w:rPr>
              <w:t>星以上</w:t>
            </w:r>
            <w:r>
              <w:rPr>
                <w:rFonts w:hint="eastAsia" w:ascii="宋体" w:hAnsi="宋体" w:cs="宋体"/>
                <w:bCs/>
                <w:szCs w:val="21"/>
                <w:lang w:val="zh-TW" w:eastAsia="zh-CN"/>
              </w:rPr>
              <w:t>（</w:t>
            </w:r>
            <w:r>
              <w:rPr>
                <w:rFonts w:hint="eastAsia" w:ascii="宋体" w:hAnsi="宋体" w:cs="宋体"/>
                <w:bCs/>
                <w:szCs w:val="21"/>
                <w:lang w:val="en-US" w:eastAsia="zh-CN"/>
              </w:rPr>
              <w:t>不含5星</w:t>
            </w:r>
            <w:r>
              <w:rPr>
                <w:rFonts w:hint="eastAsia" w:ascii="宋体" w:hAnsi="宋体" w:cs="宋体"/>
                <w:bCs/>
                <w:szCs w:val="21"/>
                <w:lang w:val="zh-TW" w:eastAsia="zh-CN"/>
              </w:rPr>
              <w:t>）</w:t>
            </w:r>
            <w:r>
              <w:rPr>
                <w:rFonts w:hint="eastAsia" w:ascii="宋体" w:hAnsi="宋体" w:cs="宋体"/>
                <w:bCs/>
                <w:szCs w:val="21"/>
                <w:lang w:val="zh-TW"/>
              </w:rPr>
              <w:t>的，得</w:t>
            </w:r>
            <w:r>
              <w:rPr>
                <w:rFonts w:hint="eastAsia" w:ascii="宋体" w:hAnsi="宋体" w:cs="宋体"/>
                <w:bCs/>
                <w:szCs w:val="21"/>
                <w:lang w:val="en-US" w:eastAsia="zh-CN"/>
              </w:rPr>
              <w:t>0.15</w:t>
            </w:r>
            <w:r>
              <w:rPr>
                <w:rFonts w:hint="eastAsia" w:ascii="宋体" w:hAnsi="宋体" w:cs="宋体"/>
                <w:bCs/>
                <w:szCs w:val="21"/>
                <w:lang w:val="zh-TW"/>
              </w:rPr>
              <w:t>分</w:t>
            </w:r>
            <w:r>
              <w:rPr>
                <w:rFonts w:hint="eastAsia" w:ascii="宋体" w:hAnsi="宋体" w:cs="宋体"/>
                <w:bCs/>
                <w:szCs w:val="21"/>
                <w:lang w:val="zh-TW" w:eastAsia="zh-CN"/>
              </w:rPr>
              <w:t>，</w:t>
            </w:r>
            <w:r>
              <w:rPr>
                <w:rFonts w:hint="eastAsia" w:ascii="宋体" w:hAnsi="宋体" w:cs="宋体"/>
                <w:bCs/>
                <w:szCs w:val="21"/>
                <w:lang w:val="zh-TW"/>
              </w:rPr>
              <w:t>本项最多得</w:t>
            </w:r>
            <w:r>
              <w:rPr>
                <w:rFonts w:hint="eastAsia" w:ascii="宋体" w:hAnsi="宋体" w:cs="宋体"/>
                <w:bCs/>
                <w:szCs w:val="21"/>
                <w:lang w:val="en-US" w:eastAsia="zh-CN"/>
              </w:rPr>
              <w:t>1.2</w:t>
            </w:r>
            <w:r>
              <w:rPr>
                <w:rFonts w:hint="eastAsia" w:ascii="宋体" w:hAnsi="宋体" w:cs="宋体"/>
                <w:bCs/>
                <w:szCs w:val="21"/>
                <w:lang w:val="zh-TW"/>
              </w:rPr>
              <w:t>分</w:t>
            </w:r>
            <w:r>
              <w:rPr>
                <w:rFonts w:hint="eastAsia" w:ascii="宋体" w:hAnsi="宋体" w:cs="宋体"/>
                <w:bCs/>
                <w:szCs w:val="21"/>
                <w:lang w:val="zh-TW"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65" w:type="dxa"/>
            <w:vMerge w:val="continue"/>
            <w:tcBorders>
              <w:left w:val="single" w:color="auto" w:sz="8"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p>
        </w:tc>
        <w:tc>
          <w:tcPr>
            <w:tcW w:w="2023" w:type="dxa"/>
            <w:gridSpan w:val="2"/>
            <w:tcBorders>
              <w:left w:val="single" w:color="auto" w:sz="4" w:space="0"/>
              <w:bottom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sz w:val="21"/>
                <w:szCs w:val="21"/>
                <w:highlight w:val="none"/>
              </w:rPr>
            </w:pPr>
            <w:r>
              <w:rPr>
                <w:rFonts w:hint="eastAsia" w:ascii="宋体" w:hAnsi="宋体" w:cs="宋体"/>
                <w:b w:val="0"/>
                <w:bCs w:val="0"/>
                <w:kern w:val="0"/>
                <w:szCs w:val="21"/>
              </w:rPr>
              <w:t>工程研发能力</w:t>
            </w:r>
          </w:p>
        </w:tc>
        <w:tc>
          <w:tcPr>
            <w:tcW w:w="675" w:type="dxa"/>
            <w:tcBorders>
              <w:left w:val="single" w:color="auto" w:sz="4" w:space="0"/>
              <w:bottom w:val="single" w:color="auto" w:sz="4" w:space="0"/>
              <w:right w:val="single" w:color="auto" w:sz="4" w:space="0"/>
            </w:tcBorders>
            <w:vAlign w:val="center"/>
          </w:tcPr>
          <w:p>
            <w:pPr>
              <w:tabs>
                <w:tab w:val="left" w:pos="360"/>
              </w:tabs>
              <w:snapToGrid w:val="0"/>
              <w:jc w:val="center"/>
              <w:rPr>
                <w:rFonts w:hint="default" w:ascii="宋体" w:hAnsi="宋体" w:eastAsia="宋体" w:cs="宋体"/>
                <w:color w:val="auto"/>
                <w:sz w:val="21"/>
                <w:szCs w:val="21"/>
                <w:highlight w:val="none"/>
                <w:lang w:val="en-US"/>
              </w:rPr>
            </w:pPr>
            <w:r>
              <w:rPr>
                <w:rFonts w:hint="eastAsia" w:ascii="宋体" w:hAnsi="宋体" w:cs="宋体"/>
                <w:bCs/>
                <w:kern w:val="0"/>
                <w:szCs w:val="21"/>
                <w:lang w:val="en-US" w:eastAsia="zh-CN"/>
              </w:rPr>
              <w:t>1.8</w:t>
            </w:r>
          </w:p>
        </w:tc>
        <w:tc>
          <w:tcPr>
            <w:tcW w:w="11093" w:type="dxa"/>
            <w:tcBorders>
              <w:top w:val="single" w:color="auto" w:sz="4" w:space="0"/>
              <w:left w:val="single" w:color="auto" w:sz="4" w:space="0"/>
              <w:bottom w:val="single" w:color="auto" w:sz="4" w:space="0"/>
              <w:right w:val="single" w:color="auto" w:sz="4" w:space="0"/>
            </w:tcBorders>
            <w:vAlign w:val="center"/>
          </w:tcPr>
          <w:p>
            <w:pPr>
              <w:pStyle w:val="5"/>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cs="宋体"/>
                <w:szCs w:val="21"/>
                <w:lang w:val="zh-CN"/>
              </w:rPr>
              <w:t>投标人自201</w:t>
            </w:r>
            <w:r>
              <w:rPr>
                <w:rFonts w:ascii="宋体" w:hAnsi="宋体" w:cs="宋体"/>
                <w:szCs w:val="21"/>
                <w:lang w:val="zh-CN"/>
              </w:rPr>
              <w:t>8</w:t>
            </w:r>
            <w:r>
              <w:rPr>
                <w:rFonts w:hint="eastAsia" w:ascii="宋体" w:hAnsi="宋体" w:cs="宋体"/>
                <w:szCs w:val="21"/>
                <w:lang w:val="zh-CN"/>
              </w:rPr>
              <w:t>年1月1日至投标截止日止，获得过</w:t>
            </w:r>
            <w:r>
              <w:rPr>
                <w:rFonts w:ascii="宋体" w:hAnsi="宋体" w:cs="宋体"/>
                <w:szCs w:val="21"/>
                <w:lang w:val="zh-CN"/>
              </w:rPr>
              <w:t>国家科学技术进步奖</w:t>
            </w:r>
            <w:r>
              <w:rPr>
                <w:rFonts w:hint="eastAsia" w:ascii="宋体" w:hAnsi="宋体" w:cs="宋体"/>
                <w:szCs w:val="21"/>
                <w:lang w:val="zh-CN"/>
              </w:rPr>
              <w:t>的得</w:t>
            </w:r>
            <w:r>
              <w:rPr>
                <w:rFonts w:hint="eastAsia" w:ascii="宋体" w:hAnsi="宋体" w:cs="宋体"/>
                <w:szCs w:val="21"/>
                <w:lang w:val="en-US" w:eastAsia="zh-CN"/>
              </w:rPr>
              <w:t>1.8</w:t>
            </w:r>
            <w:r>
              <w:rPr>
                <w:rFonts w:hint="eastAsia" w:ascii="宋体" w:hAnsi="宋体" w:cs="宋体"/>
                <w:szCs w:val="21"/>
                <w:lang w:val="zh-CN"/>
              </w:rPr>
              <w:t>分，没有的不得分，</w:t>
            </w:r>
            <w:r>
              <w:rPr>
                <w:rFonts w:hint="eastAsia" w:ascii="宋体" w:hAnsi="宋体" w:cs="宋体"/>
                <w:bCs/>
                <w:szCs w:val="21"/>
                <w:lang w:val="zh-TW"/>
              </w:rPr>
              <w:t>本项最多得</w:t>
            </w:r>
            <w:r>
              <w:rPr>
                <w:rFonts w:hint="eastAsia" w:ascii="宋体" w:hAnsi="宋体" w:cs="宋体"/>
                <w:bCs/>
                <w:szCs w:val="21"/>
                <w:lang w:val="en-US" w:eastAsia="zh-CN"/>
              </w:rPr>
              <w:t>1.8</w:t>
            </w:r>
            <w:r>
              <w:rPr>
                <w:rFonts w:hint="eastAsia" w:ascii="宋体" w:hAnsi="宋体" w:cs="宋体"/>
                <w:bCs/>
                <w:szCs w:val="21"/>
                <w:lang w:val="zh-TW"/>
              </w:rPr>
              <w:t>分</w:t>
            </w:r>
            <w:r>
              <w:rPr>
                <w:rFonts w:hint="eastAsia" w:ascii="宋体" w:hAnsi="宋体" w:cs="宋体"/>
                <w:bCs/>
                <w:szCs w:val="21"/>
                <w:lang w:val="zh-TW"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3088" w:type="dxa"/>
            <w:gridSpan w:val="3"/>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6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20分</w:t>
            </w:r>
          </w:p>
        </w:tc>
        <w:tc>
          <w:tcPr>
            <w:tcW w:w="110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ascii="宋体" w:hAnsi="宋体" w:cs="宋体"/>
                <w:color w:val="auto"/>
                <w:szCs w:val="21"/>
                <w:highlight w:val="none"/>
              </w:rPr>
            </w:pPr>
          </w:p>
        </w:tc>
      </w:tr>
    </w:tbl>
    <w:p>
      <w:pPr>
        <w:ind w:firstLine="424" w:firstLineChars="202"/>
        <w:rPr>
          <w:rFonts w:ascii="宋体" w:hAnsi="宋体"/>
          <w:szCs w:val="21"/>
        </w:rPr>
      </w:pPr>
      <w:r>
        <w:rPr>
          <w:rFonts w:hint="eastAsia" w:ascii="宋体" w:hAnsi="宋体"/>
          <w:szCs w:val="21"/>
        </w:rPr>
        <w:t>备注：</w:t>
      </w:r>
    </w:p>
    <w:p>
      <w:pPr>
        <w:widowControl/>
        <w:adjustRightInd w:val="0"/>
        <w:snapToGrid w:val="0"/>
        <w:ind w:right="154" w:firstLine="424" w:firstLineChars="202"/>
        <w:jc w:val="left"/>
        <w:rPr>
          <w:rFonts w:ascii="宋体" w:hAnsi="宋体" w:cs="宋体"/>
          <w:bCs/>
          <w:szCs w:val="21"/>
          <w:lang w:val="zh-TW"/>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b/>
          <w:szCs w:val="21"/>
        </w:rPr>
        <w:t>【企业类似工程业绩】：</w:t>
      </w:r>
      <w:r>
        <w:rPr>
          <w:rFonts w:hint="eastAsia" w:ascii="宋体" w:hAnsi="宋体" w:cs="宋体"/>
          <w:bCs/>
          <w:szCs w:val="21"/>
          <w:lang w:val="zh-TW"/>
        </w:rPr>
        <w:t>业绩取自广州市住建行业信用管理平台。投标人须提供类似工程业绩的项目名称及业绩在广州市住建行业信用管理平台中项目编号（业绩相关附件的上传件可不提交）。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widowControl/>
        <w:adjustRightInd w:val="0"/>
        <w:snapToGrid w:val="0"/>
        <w:ind w:right="154" w:firstLine="424" w:firstLineChars="202"/>
        <w:jc w:val="left"/>
        <w:rPr>
          <w:rFonts w:ascii="宋体" w:hAnsi="宋体" w:cs="宋体"/>
          <w:bCs/>
          <w:szCs w:val="21"/>
          <w:lang w:val="zh-TW"/>
        </w:rPr>
      </w:pPr>
      <w:r>
        <w:rPr>
          <w:rFonts w:hint="eastAsia" w:ascii="宋体" w:hAnsi="宋体" w:cs="宋体"/>
          <w:bCs/>
          <w:szCs w:val="21"/>
          <w:lang w:val="zh-TW"/>
        </w:rPr>
        <w:t>（1）金额以中标通知书为准，中标通知书上没有金额或免招标的，以施工合同（不含补充合同）为准。</w:t>
      </w:r>
    </w:p>
    <w:p>
      <w:pPr>
        <w:widowControl/>
        <w:adjustRightInd w:val="0"/>
        <w:snapToGrid w:val="0"/>
        <w:ind w:right="154" w:firstLine="424" w:firstLineChars="202"/>
        <w:jc w:val="left"/>
        <w:rPr>
          <w:rFonts w:ascii="宋体" w:hAnsi="宋体" w:cs="宋体"/>
          <w:bCs/>
          <w:szCs w:val="21"/>
          <w:lang w:val="zh-TW"/>
        </w:rPr>
      </w:pPr>
      <w:r>
        <w:rPr>
          <w:rFonts w:hint="eastAsia" w:ascii="宋体" w:hAnsi="宋体" w:cs="宋体"/>
          <w:bCs/>
          <w:szCs w:val="21"/>
          <w:lang w:val="zh-TW"/>
        </w:rPr>
        <w:t>（2）技术指标需在广州市住建行业信用管理平台内业绩上传件中反映。</w:t>
      </w:r>
    </w:p>
    <w:p>
      <w:pPr>
        <w:widowControl/>
        <w:adjustRightInd w:val="0"/>
        <w:snapToGrid w:val="0"/>
        <w:ind w:right="154" w:firstLine="424" w:firstLineChars="202"/>
        <w:jc w:val="left"/>
        <w:rPr>
          <w:rFonts w:ascii="宋体" w:hAnsi="宋体" w:cs="宋体"/>
          <w:bCs/>
          <w:szCs w:val="21"/>
          <w:lang w:val="zh-TW"/>
        </w:rPr>
      </w:pPr>
      <w:r>
        <w:rPr>
          <w:rFonts w:hint="eastAsia" w:ascii="宋体" w:hAnsi="宋体" w:cs="宋体"/>
          <w:bCs/>
          <w:szCs w:val="21"/>
          <w:lang w:val="zh-TW"/>
        </w:rPr>
        <w:t>（3）完成时间以竣工验收文件为准。验收文件至少具有建设单位、设计、施工和监理单位盖章。</w:t>
      </w:r>
    </w:p>
    <w:p>
      <w:pPr>
        <w:widowControl/>
        <w:ind w:firstLine="424" w:firstLineChars="202"/>
        <w:jc w:val="left"/>
        <w:rPr>
          <w:rFonts w:ascii="宋体" w:hAnsi="宋体" w:cs="宋体"/>
          <w:szCs w:val="21"/>
        </w:rPr>
      </w:pPr>
      <w:r>
        <w:rPr>
          <w:rFonts w:hint="eastAsia" w:ascii="宋体" w:hAnsi="宋体" w:cs="宋体"/>
          <w:bCs/>
          <w:szCs w:val="21"/>
          <w:lang w:val="zh-TW"/>
        </w:rPr>
        <w:t>（4）平台内业绩上传件不符合上述要求的或登记的工程资质内容与施工合同等业绩证明资料不相符的，该项业绩不予认定。</w:t>
      </w:r>
    </w:p>
    <w:p>
      <w:pPr>
        <w:widowControl/>
        <w:ind w:firstLine="424" w:firstLineChars="202"/>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b/>
          <w:szCs w:val="21"/>
        </w:rPr>
        <w:t>【企业获奖】：</w:t>
      </w:r>
      <w:r>
        <w:rPr>
          <w:rFonts w:hint="eastAsia" w:ascii="宋体" w:hAnsi="宋体" w:cs="宋体"/>
          <w:bCs/>
          <w:szCs w:val="21"/>
          <w:lang w:val="zh-TW"/>
        </w:rPr>
        <w:t>工程获奖及获奖业绩均取自广</w:t>
      </w:r>
      <w:r>
        <w:rPr>
          <w:rFonts w:hint="eastAsia" w:ascii="宋体" w:hAnsi="宋体" w:cs="宋体"/>
          <w:bCs/>
          <w:szCs w:val="21"/>
          <w:highlight w:val="none"/>
          <w:lang w:val="zh-TW"/>
        </w:rPr>
        <w:t>州市住建行业信用管理平台，投标人须提供工程获奖及获奖业绩在平台内的网页截图并加盖电子印章以供核对（相关附件的上传件可不提交），日期以网页验收材料信息栏显示的验收日期为准，奖项</w:t>
      </w:r>
      <w:r>
        <w:rPr>
          <w:rFonts w:hint="eastAsia" w:ascii="宋体" w:hAnsi="宋体" w:cs="宋体"/>
          <w:bCs/>
          <w:szCs w:val="21"/>
          <w:highlight w:val="none"/>
          <w:lang w:val="zh-TW" w:eastAsia="zh-CN"/>
        </w:rPr>
        <w:t>名称</w:t>
      </w:r>
      <w:r>
        <w:rPr>
          <w:rFonts w:hint="eastAsia" w:ascii="宋体" w:hAnsi="宋体" w:cs="宋体"/>
          <w:bCs/>
          <w:szCs w:val="21"/>
          <w:highlight w:val="none"/>
          <w:lang w:val="zh-TW"/>
        </w:rPr>
        <w:t>以网页奖</w:t>
      </w:r>
      <w:r>
        <w:rPr>
          <w:rFonts w:hint="eastAsia" w:ascii="宋体" w:hAnsi="宋体" w:cs="宋体"/>
          <w:bCs/>
          <w:szCs w:val="21"/>
          <w:highlight w:val="none"/>
          <w:lang w:val="zh-TW" w:eastAsia="zh-CN"/>
        </w:rPr>
        <w:t>项</w:t>
      </w:r>
      <w:r>
        <w:rPr>
          <w:rFonts w:hint="eastAsia" w:ascii="宋体" w:hAnsi="宋体" w:cs="宋体"/>
          <w:bCs/>
          <w:szCs w:val="21"/>
          <w:highlight w:val="none"/>
          <w:lang w:val="zh-TW"/>
        </w:rPr>
        <w:t>信息栏显示的为准。国家级工程质量奖或安全文明工地奖是指国家政府部门或国家级行业协会颁发的工程质量或安全文明工地奖项，如中国建设工程鲁班奖、国家</w:t>
      </w:r>
      <w:r>
        <w:rPr>
          <w:rFonts w:hint="eastAsia" w:ascii="宋体" w:hAnsi="宋体" w:cs="宋体"/>
          <w:bCs/>
          <w:szCs w:val="21"/>
          <w:lang w:val="zh-TW"/>
        </w:rPr>
        <w:t>优质工程金质奖、国家优质工程奖、中国土木工程詹天佑奖、国家AAA级安全文明标准化诚信工地、建设工程项目施工安全生产标准化建设工地等。省或市级工程质量奖或安全文明工地奖是指由建设行政主管部门或行业协会颁发的工程质量或安全文明工地奖项，如工程优质奖或优质结构奖或优良样板工程奖或安全奖或文明施工奖等。上述获奖不含“参建”类奖项，同一项目获得多个奖项的，只按最高级别奖项计一次得分。不符合上述条件或提供的证明材料不全的不得分。</w:t>
      </w:r>
    </w:p>
    <w:p>
      <w:pPr>
        <w:widowControl/>
        <w:adjustRightInd w:val="0"/>
        <w:snapToGrid w:val="0"/>
        <w:ind w:right="154" w:firstLine="424" w:firstLineChars="202"/>
        <w:jc w:val="left"/>
        <w:rPr>
          <w:rFonts w:ascii="宋体" w:hAnsi="宋体"/>
          <w:szCs w:val="21"/>
          <w:lang w:val="zh-TW"/>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b/>
          <w:szCs w:val="21"/>
        </w:rPr>
        <w:t>【第三方评价】</w:t>
      </w:r>
      <w:r>
        <w:rPr>
          <w:rFonts w:hint="eastAsia" w:ascii="宋体" w:hAnsi="宋体" w:cs="宋体"/>
          <w:szCs w:val="21"/>
        </w:rPr>
        <w:t>：</w:t>
      </w:r>
      <w:r>
        <w:rPr>
          <w:rFonts w:hint="eastAsia" w:ascii="宋体" w:hAnsi="宋体" w:cs="宋体"/>
          <w:bCs/>
          <w:szCs w:val="21"/>
          <w:lang w:val="zh-TW" w:eastAsia="zh-TW"/>
        </w:rPr>
        <w:t>投标人须提供证书</w:t>
      </w:r>
      <w:r>
        <w:rPr>
          <w:rFonts w:hint="eastAsia" w:ascii="宋体" w:hAnsi="宋体" w:cs="宋体"/>
          <w:bCs/>
          <w:szCs w:val="21"/>
          <w:lang w:val="zh-TW" w:eastAsia="zh-CN"/>
        </w:rPr>
        <w:t>电子版</w:t>
      </w:r>
      <w:r>
        <w:rPr>
          <w:rFonts w:hint="eastAsia" w:ascii="宋体" w:hAnsi="宋体" w:cs="宋体"/>
          <w:bCs/>
          <w:szCs w:val="21"/>
          <w:lang w:val="zh-TW" w:eastAsia="zh-TW"/>
        </w:rPr>
        <w:t>以及查询网址(http://xy.cacem.com.cn）网页截图并加盖电子印章。“工程建设企业信用星级认定”由中国施工企业管理协会信用评价工作委员会颁布的</w:t>
      </w:r>
      <w:r>
        <w:rPr>
          <w:rFonts w:hint="eastAsia" w:ascii="宋体" w:hAnsi="宋体" w:cs="宋体"/>
          <w:bCs/>
          <w:szCs w:val="21"/>
          <w:lang w:val="zh-TW"/>
        </w:rPr>
        <w:t>为准</w:t>
      </w:r>
      <w:r>
        <w:rPr>
          <w:rFonts w:hint="eastAsia" w:ascii="宋体" w:hAnsi="宋体" w:cs="宋体"/>
          <w:bCs/>
          <w:szCs w:val="21"/>
          <w:lang w:val="zh-TW" w:eastAsia="zh-TW"/>
        </w:rPr>
        <w:t>。</w:t>
      </w:r>
      <w:r>
        <w:rPr>
          <w:rFonts w:hint="eastAsia" w:ascii="宋体" w:hAnsi="宋体" w:cs="宋体"/>
          <w:bCs/>
          <w:szCs w:val="21"/>
          <w:lang w:val="zh-TW"/>
        </w:rPr>
        <w:t>不符合上述条件或提供的证明材料不全的不得分。</w:t>
      </w:r>
    </w:p>
    <w:p>
      <w:pPr>
        <w:widowControl/>
        <w:ind w:firstLine="424" w:firstLineChars="202"/>
        <w:jc w:val="left"/>
        <w:rPr>
          <w:rFonts w:ascii="宋体" w:hAnsi="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b/>
          <w:szCs w:val="21"/>
        </w:rPr>
        <w:t>【工程研发能力】</w:t>
      </w:r>
      <w:r>
        <w:rPr>
          <w:rFonts w:hint="eastAsia" w:ascii="宋体" w:hAnsi="宋体"/>
          <w:szCs w:val="21"/>
        </w:rPr>
        <w:t>：投标人须提供国家科学技术进步奖获奖证书扫描件及网上查询网页截图并加盖电子印章，获奖单位必须为投标单位，时间以奖项证书上的时间为准。国家科学技术进步奖以国务院颁发的为准。不符合上述条件或提供的证明材料不全的不得分。</w:t>
      </w:r>
    </w:p>
    <w:p>
      <w:pPr>
        <w:spacing w:line="360" w:lineRule="exact"/>
        <w:ind w:firstLine="420" w:firstLineChars="200"/>
        <w:rPr>
          <w:rFonts w:ascii="宋体" w:hAnsi="宋体" w:cs="宋体"/>
          <w:color w:val="auto"/>
          <w:sz w:val="18"/>
          <w:szCs w:val="18"/>
          <w:highlight w:val="none"/>
        </w:rPr>
      </w:pPr>
      <w:r>
        <w:rPr>
          <w:rFonts w:hint="eastAsia" w:ascii="宋体" w:hAnsi="宋体" w:cs="宋体"/>
          <w:sz w:val="21"/>
          <w:szCs w:val="21"/>
          <w:lang w:val="en-US" w:eastAsia="zh-CN"/>
        </w:rPr>
        <w:t>5</w:t>
      </w:r>
      <w:r>
        <w:rPr>
          <w:rFonts w:hint="eastAsia" w:ascii="宋体" w:hAnsi="宋体" w:cs="宋体"/>
          <w:sz w:val="21"/>
          <w:szCs w:val="21"/>
        </w:rPr>
        <w:t>、所有评委的分数的算术平均值为投标人的最终得分。分数出现小数点，保留小数点后二位小数，第三位小数四舍五入。</w:t>
      </w:r>
    </w:p>
    <w:p>
      <w:pPr>
        <w:spacing w:line="360" w:lineRule="exact"/>
        <w:rPr>
          <w:rFonts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评委签名：                                                                    日期：</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rPr>
          <w:color w:val="auto"/>
          <w:szCs w:val="21"/>
          <w:highlight w:val="none"/>
        </w:rPr>
      </w:pPr>
      <w:r>
        <w:rPr>
          <w:rFonts w:hint="eastAsia"/>
          <w:color w:val="auto"/>
          <w:szCs w:val="21"/>
          <w:highlight w:val="none"/>
        </w:rPr>
        <w:t>附表五（适用于加权平均法）</w:t>
      </w:r>
    </w:p>
    <w:p>
      <w:pPr>
        <w:jc w:val="center"/>
        <w:outlineLvl w:val="2"/>
        <w:rPr>
          <w:b/>
          <w:color w:val="auto"/>
          <w:sz w:val="36"/>
          <w:szCs w:val="36"/>
          <w:highlight w:val="none"/>
        </w:rPr>
      </w:pPr>
      <w:bookmarkStart w:id="52" w:name="_Toc26945"/>
      <w:bookmarkStart w:id="53" w:name="_Toc25493"/>
      <w:r>
        <w:rPr>
          <w:rFonts w:hint="eastAsia"/>
          <w:b/>
          <w:color w:val="auto"/>
          <w:sz w:val="36"/>
          <w:szCs w:val="36"/>
          <w:highlight w:val="none"/>
        </w:rPr>
        <w:t>经济标评分表</w:t>
      </w:r>
      <w:bookmarkEnd w:id="52"/>
      <w:bookmarkEnd w:id="53"/>
    </w:p>
    <w:p>
      <w:pPr>
        <w:rPr>
          <w:color w:val="auto"/>
          <w:szCs w:val="21"/>
          <w:highlight w:val="none"/>
        </w:rPr>
      </w:pPr>
      <w:r>
        <w:rPr>
          <w:rFonts w:hint="eastAsia"/>
          <w:color w:val="auto"/>
          <w:szCs w:val="21"/>
          <w:highlight w:val="none"/>
        </w:rPr>
        <w:t>工程名称：</w:t>
      </w:r>
    </w:p>
    <w:tbl>
      <w:tblPr>
        <w:tblStyle w:val="39"/>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szCs w:val="21"/>
          <w:highlight w:val="none"/>
        </w:rPr>
      </w:pPr>
      <w:r>
        <w:rPr>
          <w:rFonts w:hint="eastAsia"/>
          <w:color w:val="auto"/>
          <w:szCs w:val="21"/>
          <w:highlight w:val="none"/>
        </w:rPr>
        <w:t>评委签名：</w:t>
      </w:r>
    </w:p>
    <w:p>
      <w:pPr>
        <w:pStyle w:val="74"/>
        <w:rPr>
          <w:color w:val="auto"/>
          <w:szCs w:val="21"/>
          <w:highlight w:val="none"/>
        </w:rPr>
      </w:pPr>
    </w:p>
    <w:p>
      <w:pPr>
        <w:pStyle w:val="74"/>
        <w:rPr>
          <w:color w:val="auto"/>
          <w:szCs w:val="21"/>
          <w:highlight w:val="none"/>
        </w:rPr>
      </w:pPr>
    </w:p>
    <w:p>
      <w:pPr>
        <w:pStyle w:val="74"/>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outlineLvl w:val="2"/>
        <w:rPr>
          <w:b/>
          <w:color w:val="auto"/>
          <w:sz w:val="36"/>
          <w:szCs w:val="36"/>
          <w:highlight w:val="none"/>
        </w:rPr>
      </w:pPr>
      <w:bookmarkStart w:id="54" w:name="_Toc23671"/>
      <w:bookmarkStart w:id="55" w:name="_Toc30676"/>
      <w:r>
        <w:rPr>
          <w:rFonts w:hint="eastAsia"/>
          <w:b/>
          <w:color w:val="auto"/>
          <w:sz w:val="36"/>
          <w:szCs w:val="36"/>
          <w:highlight w:val="none"/>
        </w:rPr>
        <w:t>算术复核表</w:t>
      </w:r>
      <w:bookmarkEnd w:id="54"/>
      <w:bookmarkEnd w:id="55"/>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9"/>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9"/>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9" w:type="first"/>
          <w:footerReference r:id="rId22" w:type="first"/>
          <w:headerReference r:id="rId17" w:type="default"/>
          <w:footerReference r:id="rId20" w:type="default"/>
          <w:headerReference r:id="rId18" w:type="even"/>
          <w:footerReference r:id="rId21" w:type="even"/>
          <w:endnotePr>
            <w:numFmt w:val="decimal"/>
          </w:endnotePr>
          <w:pgSz w:w="16838" w:h="11906" w:orient="landscape"/>
          <w:pgMar w:top="1418" w:right="1247" w:bottom="1418" w:left="1134" w:header="851" w:footer="907" w:gutter="0"/>
          <w:pgNumType w:fmt="decimal"/>
          <w:cols w:space="720" w:num="1"/>
          <w:titlePg/>
          <w:docGrid w:type="lines" w:linePitch="312" w:charSpace="0"/>
        </w:sectPr>
      </w:pPr>
    </w:p>
    <w:p>
      <w:pPr>
        <w:pStyle w:val="3"/>
        <w:jc w:val="center"/>
        <w:rPr>
          <w:color w:val="auto"/>
          <w:highlight w:val="none"/>
        </w:rPr>
      </w:pPr>
      <w:bookmarkStart w:id="56" w:name="_Toc32710"/>
      <w:bookmarkStart w:id="57" w:name="_Toc30486"/>
      <w:r>
        <w:rPr>
          <w:rFonts w:hint="eastAsia"/>
          <w:color w:val="auto"/>
          <w:highlight w:val="none"/>
        </w:rPr>
        <w:t>第三章</w:t>
      </w:r>
      <w:r>
        <w:rPr>
          <w:color w:val="auto"/>
          <w:highlight w:val="none"/>
        </w:rPr>
        <w:t xml:space="preserve">  </w:t>
      </w:r>
      <w:r>
        <w:rPr>
          <w:rFonts w:hint="eastAsia"/>
          <w:color w:val="auto"/>
          <w:highlight w:val="none"/>
        </w:rPr>
        <w:t>合同条款</w:t>
      </w:r>
      <w:bookmarkEnd w:id="56"/>
      <w:bookmarkEnd w:id="57"/>
    </w:p>
    <w:p>
      <w:pPr>
        <w:jc w:val="center"/>
        <w:rPr>
          <w:rFonts w:ascii="宋体"/>
          <w:b/>
          <w:color w:val="auto"/>
          <w:sz w:val="24"/>
          <w:szCs w:val="24"/>
          <w:highlight w:val="none"/>
        </w:rPr>
      </w:pPr>
      <w:r>
        <w:rPr>
          <w:rFonts w:hint="eastAsia"/>
          <w:color w:val="auto"/>
          <w:sz w:val="24"/>
          <w:szCs w:val="24"/>
          <w:highlight w:val="none"/>
        </w:rPr>
        <w:t>（</w:t>
      </w:r>
      <w:r>
        <w:rPr>
          <w:rFonts w:hint="eastAsia" w:ascii="宋体" w:hAnsi="宋体"/>
          <w:color w:val="auto"/>
          <w:sz w:val="24"/>
          <w:szCs w:val="24"/>
          <w:highlight w:val="none"/>
        </w:rPr>
        <w:t>另册</w:t>
      </w:r>
      <w:r>
        <w:rPr>
          <w:rFonts w:hint="eastAsia"/>
          <w:color w:val="auto"/>
          <w:sz w:val="24"/>
          <w:szCs w:val="24"/>
          <w:highlight w:val="none"/>
        </w:rPr>
        <w:t>）</w:t>
      </w:r>
    </w:p>
    <w:p>
      <w:pPr>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21"/>
        <w:spacing w:line="360" w:lineRule="auto"/>
        <w:rPr>
          <w:color w:val="auto"/>
          <w:sz w:val="24"/>
          <w:szCs w:val="24"/>
          <w:highlight w:val="none"/>
        </w:rPr>
      </w:pPr>
    </w:p>
    <w:p>
      <w:pPr>
        <w:pStyle w:val="21"/>
        <w:spacing w:line="360" w:lineRule="auto"/>
        <w:jc w:val="center"/>
        <w:outlineLvl w:val="0"/>
        <w:rPr>
          <w:color w:val="auto"/>
          <w:highlight w:val="none"/>
        </w:rPr>
      </w:pPr>
      <w:r>
        <w:rPr>
          <w:color w:val="auto"/>
          <w:sz w:val="24"/>
          <w:szCs w:val="24"/>
          <w:highlight w:val="none"/>
        </w:rPr>
        <w:br w:type="page"/>
      </w:r>
      <w:bookmarkStart w:id="58" w:name="_Toc14670"/>
      <w:bookmarkStart w:id="59" w:name="_Toc10025"/>
      <w:r>
        <w:rPr>
          <w:rStyle w:val="102"/>
          <w:rFonts w:hint="eastAsia"/>
          <w:color w:val="auto"/>
          <w:highlight w:val="none"/>
        </w:rPr>
        <w:t>第四章  投标文件格式</w:t>
      </w:r>
      <w:bookmarkEnd w:id="58"/>
      <w:bookmarkEnd w:id="59"/>
    </w:p>
    <w:p>
      <w:pPr>
        <w:pStyle w:val="74"/>
        <w:rPr>
          <w:color w:val="auto"/>
          <w:sz w:val="24"/>
          <w:szCs w:val="24"/>
          <w:highlight w:val="none"/>
        </w:rPr>
      </w:pPr>
    </w:p>
    <w:p>
      <w:pPr>
        <w:tabs>
          <w:tab w:val="right" w:leader="dot" w:pos="9060"/>
        </w:tabs>
        <w:jc w:val="center"/>
        <w:rPr>
          <w:rFonts w:ascii="宋体" w:hAnsi="宋体" w:cs="宋体"/>
          <w:color w:val="auto"/>
          <w:highlight w:val="none"/>
        </w:rPr>
      </w:pPr>
      <w:r>
        <w:rPr>
          <w:rFonts w:hint="eastAsia" w:ascii="宋体" w:hAnsi="宋体" w:cs="宋体"/>
          <w:color w:val="auto"/>
          <w:highlight w:val="none"/>
        </w:rPr>
        <w:br w:type="page"/>
      </w:r>
      <w:bookmarkStart w:id="60" w:name="_Toc23800"/>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outlineLvl w:val="1"/>
        <w:rPr>
          <w:rFonts w:ascii="宋体" w:hAnsi="宋体" w:cs="宋体"/>
          <w:bCs/>
          <w:color w:val="auto"/>
          <w:sz w:val="32"/>
          <w:szCs w:val="36"/>
          <w:highlight w:val="none"/>
        </w:rPr>
      </w:pPr>
      <w:bookmarkStart w:id="61" w:name="_Toc2940"/>
      <w:r>
        <w:rPr>
          <w:rFonts w:hint="eastAsia" w:ascii="宋体" w:hAnsi="宋体" w:cs="宋体"/>
          <w:b/>
          <w:bCs/>
          <w:color w:val="auto"/>
          <w:sz w:val="32"/>
          <w:szCs w:val="36"/>
          <w:highlight w:val="none"/>
        </w:rPr>
        <w:t>一、技术标投标文件格式</w:t>
      </w:r>
      <w:r>
        <w:rPr>
          <w:rFonts w:ascii="宋体" w:hAnsi="宋体" w:cs="宋体"/>
          <w:b/>
          <w:bCs/>
          <w:color w:val="auto"/>
          <w:sz w:val="32"/>
          <w:szCs w:val="36"/>
          <w:highlight w:val="none"/>
        </w:rPr>
        <w:br w:type="page"/>
      </w:r>
      <w:bookmarkEnd w:id="61"/>
    </w:p>
    <w:p>
      <w:pPr>
        <w:pStyle w:val="4"/>
        <w:spacing w:before="0" w:after="0" w:line="240" w:lineRule="auto"/>
        <w:ind w:left="0"/>
        <w:jc w:val="left"/>
        <w:rPr>
          <w:rFonts w:ascii="宋体" w:hAnsi="宋体" w:cs="宋体"/>
          <w:color w:val="auto"/>
          <w:highlight w:val="none"/>
        </w:rPr>
      </w:pPr>
      <w:bookmarkStart w:id="62" w:name="_Toc25533"/>
      <w:r>
        <w:rPr>
          <w:rFonts w:hint="eastAsia" w:ascii="宋体" w:hAnsi="宋体" w:cs="宋体"/>
          <w:color w:val="auto"/>
          <w:highlight w:val="none"/>
        </w:rPr>
        <w:t>格式一：技术标投标文件封面</w:t>
      </w:r>
      <w:bookmarkEnd w:id="60"/>
      <w:bookmarkEnd w:id="62"/>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0" w:firstLineChars="0"/>
        <w:jc w:val="center"/>
        <w:rPr>
          <w:rFonts w:ascii="宋体" w:hAnsi="宋体" w:cs="宋体"/>
          <w:color w:val="auto"/>
          <w:sz w:val="36"/>
          <w:szCs w:val="36"/>
          <w:highlight w:val="none"/>
        </w:rPr>
      </w:pPr>
      <w:r>
        <w:rPr>
          <w:rFonts w:hint="eastAsia" w:ascii="宋体" w:hAnsi="宋体" w:cs="宋体"/>
          <w:b/>
          <w:color w:val="auto"/>
          <w:sz w:val="36"/>
          <w:szCs w:val="36"/>
          <w:highlight w:val="none"/>
          <w:u w:val="single"/>
        </w:rPr>
        <w:t>[工程名称]</w:t>
      </w:r>
    </w:p>
    <w:p>
      <w:pPr>
        <w:pStyle w:val="56"/>
        <w:ind w:firstLine="496"/>
        <w:rPr>
          <w:rFonts w:ascii="宋体" w:hAnsi="宋体" w:cs="宋体"/>
          <w:color w:val="auto"/>
          <w:highlight w:val="none"/>
        </w:rPr>
      </w:pPr>
    </w:p>
    <w:p>
      <w:pPr>
        <w:pStyle w:val="78"/>
        <w:rPr>
          <w:rFonts w:ascii="宋体" w:hAnsi="宋体" w:eastAsia="宋体" w:cs="宋体"/>
          <w:b w:val="0"/>
          <w:color w:val="auto"/>
          <w:highlight w:val="none"/>
        </w:rPr>
      </w:pPr>
    </w:p>
    <w:p>
      <w:pPr>
        <w:pStyle w:val="56"/>
        <w:ind w:firstLine="0" w:firstLineChars="0"/>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技术标投标文件（含资格审查文件）</w:t>
      </w: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5"/>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（盖章）</w:t>
      </w:r>
    </w:p>
    <w:p>
      <w:pPr>
        <w:pStyle w:val="55"/>
        <w:ind w:firstLine="1848" w:firstLineChars="600"/>
        <w:rPr>
          <w:rFonts w:ascii="宋体" w:hAnsi="宋体" w:cs="宋体"/>
          <w:color w:val="auto"/>
          <w:highlight w:val="none"/>
          <w:u w:val="single"/>
        </w:rPr>
      </w:pPr>
      <w:r>
        <w:rPr>
          <w:rFonts w:hint="eastAsia" w:ascii="宋体" w:hAnsi="宋体" w:cs="宋体"/>
          <w:color w:val="auto"/>
          <w:highlight w:val="none"/>
          <w:u w:val="single"/>
        </w:rPr>
        <w:t xml:space="preserve">                                </w:t>
      </w:r>
    </w:p>
    <w:p>
      <w:pPr>
        <w:pStyle w:val="56"/>
        <w:ind w:firstLine="496"/>
        <w:rPr>
          <w:color w:val="auto"/>
          <w:highlight w:val="none"/>
        </w:rPr>
      </w:pPr>
    </w:p>
    <w:p>
      <w:pPr>
        <w:pStyle w:val="55"/>
        <w:ind w:firstLine="616"/>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（签字或盖章）</w:t>
      </w:r>
    </w:p>
    <w:p>
      <w:pPr>
        <w:pStyle w:val="55"/>
        <w:ind w:firstLine="616"/>
        <w:rPr>
          <w:rFonts w:ascii="宋体" w:hAnsi="宋体" w:cs="宋体"/>
          <w:color w:val="auto"/>
          <w:sz w:val="24"/>
          <w:szCs w:val="24"/>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pStyle w:val="74"/>
        <w:rPr>
          <w:color w:val="auto"/>
          <w:sz w:val="24"/>
          <w:szCs w:val="24"/>
          <w:highlight w:val="none"/>
        </w:rPr>
      </w:pPr>
    </w:p>
    <w:p>
      <w:pPr>
        <w:pStyle w:val="74"/>
        <w:rPr>
          <w:color w:val="auto"/>
          <w:sz w:val="24"/>
          <w:szCs w:val="24"/>
          <w:highlight w:val="none"/>
        </w:rPr>
      </w:pPr>
    </w:p>
    <w:p>
      <w:pPr>
        <w:pStyle w:val="74"/>
        <w:rPr>
          <w:color w:val="auto"/>
          <w:sz w:val="24"/>
          <w:szCs w:val="24"/>
          <w:highlight w:val="none"/>
        </w:rPr>
      </w:pPr>
    </w:p>
    <w:p>
      <w:pPr>
        <w:pStyle w:val="4"/>
        <w:ind w:left="0"/>
        <w:jc w:val="both"/>
        <w:rPr>
          <w:color w:val="auto"/>
          <w:highlight w:val="none"/>
        </w:rPr>
      </w:pPr>
      <w:bookmarkStart w:id="63" w:name="_Toc55169946"/>
      <w:r>
        <w:rPr>
          <w:rFonts w:hint="eastAsia" w:ascii="宋体" w:hAnsi="宋体" w:cs="宋体"/>
          <w:color w:val="auto"/>
          <w:highlight w:val="none"/>
        </w:rPr>
        <w:br w:type="page"/>
      </w:r>
      <w:bookmarkStart w:id="64" w:name="_Toc19777"/>
      <w:bookmarkStart w:id="65" w:name="_Toc2556"/>
      <w:r>
        <w:rPr>
          <w:rFonts w:hint="eastAsia"/>
          <w:color w:val="auto"/>
          <w:highlight w:val="none"/>
        </w:rPr>
        <w:t>格式二：广州建设工程施工招标投标书</w:t>
      </w:r>
      <w:bookmarkEnd w:id="64"/>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4"/>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51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 暂列金额（元）</w:t>
            </w:r>
          </w:p>
        </w:tc>
        <w:tc>
          <w:tcPr>
            <w:tcW w:w="5145" w:type="dxa"/>
            <w:tcBorders>
              <w:top w:val="single" w:color="auto" w:sz="4" w:space="0"/>
              <w:left w:val="single" w:color="auto" w:sz="4" w:space="0"/>
              <w:bottom w:val="single" w:color="auto" w:sz="4" w:space="0"/>
              <w:right w:val="single" w:color="auto" w:sz="4" w:space="0"/>
            </w:tcBorders>
            <w:vAlign w:val="top"/>
          </w:tcPr>
          <w:p>
            <w:pPr>
              <w:widowControl/>
              <w:autoSpaceDE/>
              <w:autoSpaceDN/>
              <w:adjustRightInd/>
              <w:spacing w:line="360" w:lineRule="auto"/>
              <w:jc w:val="left"/>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其中：专业工程暂估价</w:t>
            </w:r>
          </w:p>
        </w:tc>
        <w:tc>
          <w:tcPr>
            <w:tcW w:w="5145" w:type="dxa"/>
            <w:tcBorders>
              <w:top w:val="single" w:color="auto" w:sz="4" w:space="0"/>
              <w:left w:val="single" w:color="auto" w:sz="4" w:space="0"/>
              <w:bottom w:val="single" w:color="auto" w:sz="4" w:space="0"/>
              <w:right w:val="single" w:color="auto" w:sz="4" w:space="0"/>
            </w:tcBorders>
            <w:vAlign w:val="top"/>
          </w:tcPr>
          <w:p>
            <w:pPr>
              <w:widowControl/>
              <w:autoSpaceDE/>
              <w:autoSpaceDN/>
              <w:adjustRightInd/>
              <w:spacing w:line="360" w:lineRule="auto"/>
              <w:jc w:val="left"/>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51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1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51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right" w:leader="dot" w:pos="9060"/>
        </w:tabs>
        <w:jc w:val="left"/>
        <w:rPr>
          <w:rFonts w:ascii="宋体" w:hAnsi="宋体" w:cs="宋体"/>
          <w:color w:val="auto"/>
          <w:highlight w:val="none"/>
        </w:rPr>
      </w:pPr>
      <w:r>
        <w:rPr>
          <w:rFonts w:hint="eastAsia" w:ascii="宋体" w:hAnsi="宋体" w:cs="宋体"/>
          <w:color w:val="auto"/>
          <w:highlight w:val="none"/>
        </w:rPr>
        <w:br w:type="page"/>
      </w:r>
    </w:p>
    <w:p>
      <w:pPr>
        <w:jc w:val="left"/>
        <w:outlineLvl w:val="1"/>
        <w:rPr>
          <w:rFonts w:ascii="Arial" w:hAnsi="Arial"/>
          <w:b/>
          <w:color w:val="auto"/>
          <w:sz w:val="24"/>
          <w:szCs w:val="24"/>
          <w:highlight w:val="none"/>
        </w:rPr>
      </w:pPr>
      <w:bookmarkStart w:id="66" w:name="_Toc29706"/>
      <w:r>
        <w:rPr>
          <w:rFonts w:hint="eastAsia" w:ascii="Arial" w:hAnsi="Arial"/>
          <w:b/>
          <w:color w:val="auto"/>
          <w:sz w:val="24"/>
          <w:szCs w:val="24"/>
          <w:highlight w:val="none"/>
        </w:rPr>
        <w:t>格式三：施工项目管理团队人员信息表</w:t>
      </w:r>
      <w:bookmarkEnd w:id="66"/>
    </w:p>
    <w:tbl>
      <w:tblPr>
        <w:tblStyle w:val="39"/>
        <w:tblpPr w:leftFromText="180" w:rightFromText="180" w:vertAnchor="text" w:horzAnchor="page" w:tblpX="1553" w:tblpY="149"/>
        <w:tblOverlap w:val="never"/>
        <w:tblW w:w="8946" w:type="dxa"/>
        <w:tblInd w:w="0" w:type="dxa"/>
        <w:tblLayout w:type="fixed"/>
        <w:tblCellMar>
          <w:top w:w="0" w:type="dxa"/>
          <w:left w:w="0" w:type="dxa"/>
          <w:bottom w:w="0" w:type="dxa"/>
          <w:right w:w="0" w:type="dxa"/>
        </w:tblCellMar>
      </w:tblPr>
      <w:tblGrid>
        <w:gridCol w:w="582"/>
        <w:gridCol w:w="1701"/>
        <w:gridCol w:w="2383"/>
        <w:gridCol w:w="1586"/>
        <w:gridCol w:w="2694"/>
      </w:tblGrid>
      <w:tr>
        <w:tblPrEx>
          <w:tblCellMar>
            <w:top w:w="0" w:type="dxa"/>
            <w:left w:w="0" w:type="dxa"/>
            <w:bottom w:w="0" w:type="dxa"/>
            <w:right w:w="0" w:type="dxa"/>
          </w:tblCellMar>
        </w:tblPrEx>
        <w:trPr>
          <w:trHeight w:val="880" w:hRule="atLeast"/>
        </w:trPr>
        <w:tc>
          <w:tcPr>
            <w:tcW w:w="8946"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施工项目管理团队人员信息表</w:t>
            </w:r>
          </w:p>
        </w:tc>
      </w:tr>
      <w:tr>
        <w:tblPrEx>
          <w:tblCellMar>
            <w:top w:w="0" w:type="dxa"/>
            <w:left w:w="0" w:type="dxa"/>
            <w:bottom w:w="0" w:type="dxa"/>
            <w:right w:w="0" w:type="dxa"/>
          </w:tblCellMar>
        </w:tblPrEx>
        <w:trPr>
          <w:trHeight w:val="77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序号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姓名</w:t>
            </w:r>
          </w:p>
        </w:tc>
        <w:tc>
          <w:tcPr>
            <w:tcW w:w="2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岗位</w:t>
            </w:r>
          </w:p>
        </w:tc>
        <w:tc>
          <w:tcPr>
            <w:tcW w:w="1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职称</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职称证书或资格证书编号</w:t>
            </w:r>
          </w:p>
        </w:tc>
      </w:tr>
      <w:tr>
        <w:tblPrEx>
          <w:tblCellMar>
            <w:top w:w="0" w:type="dxa"/>
            <w:left w:w="0" w:type="dxa"/>
            <w:bottom w:w="0" w:type="dxa"/>
            <w:right w:w="0" w:type="dxa"/>
          </w:tblCellMar>
        </w:tblPrEx>
        <w:trPr>
          <w:trHeight w:val="87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rFonts w:ascii="宋体" w:hAnsi="宋体" w:cs="宋体"/>
                <w:color w:val="auto"/>
                <w:szCs w:val="21"/>
                <w:highlight w:val="none"/>
              </w:rPr>
            </w:pPr>
            <w:r>
              <w:rPr>
                <w:rFonts w:hint="eastAsia"/>
                <w:color w:val="auto"/>
                <w:kern w:val="0"/>
                <w:sz w:val="20"/>
                <w:highlight w:val="none"/>
              </w:rPr>
              <w:t>技术负责人</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90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dstrike/>
                <w:color w:val="auto"/>
                <w:kern w:val="0"/>
                <w:szCs w:val="21"/>
                <w:highlight w:val="none"/>
              </w:rPr>
            </w:pPr>
            <w:r>
              <w:rPr>
                <w:rFonts w:hint="eastAsia" w:ascii="宋体" w:hAnsi="宋体" w:cs="宋体"/>
                <w:dstrike/>
                <w:color w:val="auto"/>
                <w:kern w:val="0"/>
                <w:szCs w:val="21"/>
                <w:highlight w:val="none"/>
              </w:rPr>
              <w:t>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rFonts w:ascii="宋体" w:hAnsi="宋体" w:cs="宋体"/>
                <w:bCs/>
                <w:color w:val="auto"/>
                <w:kern w:val="44"/>
                <w:szCs w:val="21"/>
                <w:highlight w:val="none"/>
              </w:rPr>
            </w:pPr>
            <w:r>
              <w:rPr>
                <w:rFonts w:hint="eastAsia"/>
                <w:color w:val="auto"/>
                <w:kern w:val="0"/>
                <w:sz w:val="20"/>
                <w:highlight w:val="none"/>
              </w:rPr>
              <w:t xml:space="preserve">质量负责人 </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78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rFonts w:ascii="宋体" w:hAnsi="宋体" w:cs="宋体"/>
                <w:bCs/>
                <w:color w:val="auto"/>
                <w:kern w:val="44"/>
                <w:szCs w:val="21"/>
                <w:highlight w:val="none"/>
              </w:rPr>
            </w:pPr>
            <w:r>
              <w:rPr>
                <w:rFonts w:hint="eastAsia"/>
                <w:color w:val="auto"/>
                <w:kern w:val="0"/>
                <w:sz w:val="20"/>
                <w:highlight w:val="none"/>
                <w:lang w:val="en-US" w:eastAsia="zh-CN"/>
              </w:rPr>
              <w:t>安全</w:t>
            </w:r>
            <w:r>
              <w:rPr>
                <w:rFonts w:hint="eastAsia"/>
                <w:color w:val="auto"/>
                <w:kern w:val="0"/>
                <w:sz w:val="20"/>
                <w:highlight w:val="none"/>
              </w:rPr>
              <w:t>负责人</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82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rFonts w:ascii="宋体" w:hAnsi="宋体" w:cs="宋体"/>
                <w:bCs/>
                <w:color w:val="auto"/>
                <w:kern w:val="44"/>
                <w:szCs w:val="21"/>
                <w:highlight w:val="none"/>
              </w:rPr>
            </w:pPr>
            <w:r>
              <w:rPr>
                <w:rFonts w:hint="eastAsia"/>
                <w:color w:val="auto"/>
                <w:kern w:val="0"/>
                <w:sz w:val="20"/>
                <w:highlight w:val="none"/>
                <w:lang w:val="en-US" w:eastAsia="zh-CN"/>
              </w:rPr>
              <w:t>造价</w:t>
            </w:r>
            <w:r>
              <w:rPr>
                <w:rFonts w:hint="eastAsia"/>
                <w:color w:val="auto"/>
                <w:kern w:val="0"/>
                <w:sz w:val="20"/>
                <w:highlight w:val="none"/>
              </w:rPr>
              <w:t>负责人</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890"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color w:val="auto"/>
                <w:kern w:val="0"/>
                <w:sz w:val="20"/>
                <w:highlight w:val="none"/>
              </w:rPr>
            </w:pPr>
            <w:r>
              <w:rPr>
                <w:rFonts w:hint="eastAsia"/>
                <w:color w:val="auto"/>
                <w:kern w:val="0"/>
                <w:sz w:val="20"/>
                <w:highlight w:val="none"/>
              </w:rPr>
              <w:t>......</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3814" w:hRule="atLeast"/>
        </w:trPr>
        <w:tc>
          <w:tcPr>
            <w:tcW w:w="894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134"/>
                <w:rFonts w:hint="eastAsia" w:cs="宋体" w:asciiTheme="minorEastAsia" w:hAnsiTheme="minorEastAsia" w:eastAsiaTheme="minorEastAsia"/>
                <w:color w:val="auto"/>
                <w:sz w:val="21"/>
                <w:szCs w:val="21"/>
                <w:highlight w:val="none"/>
                <w:lang w:eastAsia="zh-CN"/>
              </w:rPr>
            </w:pPr>
            <w:r>
              <w:rPr>
                <w:rStyle w:val="134"/>
                <w:rFonts w:hint="default" w:cs="宋体" w:asciiTheme="minorEastAsia" w:hAnsiTheme="minorEastAsia" w:eastAsiaTheme="minorEastAsia"/>
                <w:color w:val="auto"/>
                <w:sz w:val="21"/>
                <w:szCs w:val="21"/>
                <w:highlight w:val="none"/>
              </w:rPr>
              <w:t>备注：</w:t>
            </w:r>
          </w:p>
          <w:p>
            <w:pPr>
              <w:widowControl/>
              <w:jc w:val="left"/>
              <w:textAlignment w:val="center"/>
              <w:rPr>
                <w:rStyle w:val="134"/>
                <w:rFonts w:hint="eastAsia" w:cs="宋体" w:asciiTheme="minorEastAsia" w:hAnsiTheme="minorEastAsia" w:eastAsiaTheme="minorEastAsia"/>
                <w:color w:val="auto"/>
                <w:sz w:val="21"/>
                <w:szCs w:val="21"/>
                <w:highlight w:val="none"/>
                <w:lang w:eastAsia="zh-CN"/>
              </w:rPr>
            </w:pPr>
            <w:r>
              <w:rPr>
                <w:rStyle w:val="134"/>
                <w:rFonts w:hint="default" w:cs="宋体" w:asciiTheme="minorEastAsia" w:hAnsiTheme="minorEastAsia" w:eastAsiaTheme="minorEastAsia"/>
                <w:color w:val="auto"/>
                <w:sz w:val="21"/>
                <w:szCs w:val="21"/>
                <w:highlight w:val="none"/>
              </w:rPr>
              <w:t>1、“岗位”要求</w:t>
            </w:r>
            <w:r>
              <w:rPr>
                <w:rStyle w:val="135"/>
                <w:rFonts w:hint="default" w:cs="宋体" w:asciiTheme="minorEastAsia" w:hAnsiTheme="minorEastAsia" w:eastAsiaTheme="minorEastAsia"/>
                <w:color w:val="auto"/>
                <w:sz w:val="21"/>
                <w:szCs w:val="21"/>
                <w:highlight w:val="none"/>
              </w:rPr>
              <w:t>（除项目负责人和专职安全员外）</w:t>
            </w:r>
            <w:r>
              <w:rPr>
                <w:rStyle w:val="134"/>
                <w:rFonts w:hint="default" w:cs="宋体" w:asciiTheme="minorEastAsia" w:hAnsiTheme="minorEastAsia" w:eastAsiaTheme="minorEastAsia"/>
                <w:color w:val="auto"/>
                <w:sz w:val="21"/>
                <w:szCs w:val="21"/>
                <w:highlight w:val="none"/>
              </w:rPr>
              <w:t>由招标人根据项目管理需要在本表备注中明确提出，如：拟派驻施工现场的技术负责人、质量负责人、</w:t>
            </w:r>
            <w:r>
              <w:rPr>
                <w:rStyle w:val="134"/>
                <w:rFonts w:hint="eastAsia" w:cs="宋体" w:asciiTheme="minorEastAsia" w:hAnsiTheme="minorEastAsia" w:eastAsiaTheme="minorEastAsia"/>
                <w:color w:val="auto"/>
                <w:sz w:val="21"/>
                <w:szCs w:val="21"/>
                <w:highlight w:val="none"/>
                <w:lang w:val="en-US" w:eastAsia="zh-CN"/>
              </w:rPr>
              <w:t>安全</w:t>
            </w:r>
            <w:r>
              <w:rPr>
                <w:rStyle w:val="134"/>
                <w:rFonts w:hint="default" w:cs="宋体" w:asciiTheme="minorEastAsia" w:hAnsiTheme="minorEastAsia" w:eastAsiaTheme="minorEastAsia"/>
                <w:color w:val="auto"/>
                <w:sz w:val="21"/>
                <w:szCs w:val="21"/>
                <w:highlight w:val="none"/>
              </w:rPr>
              <w:t>负责人、</w:t>
            </w:r>
            <w:r>
              <w:rPr>
                <w:rStyle w:val="134"/>
                <w:rFonts w:hint="eastAsia" w:cs="宋体" w:asciiTheme="minorEastAsia" w:hAnsiTheme="minorEastAsia" w:eastAsiaTheme="minorEastAsia"/>
                <w:color w:val="auto"/>
                <w:sz w:val="21"/>
                <w:szCs w:val="21"/>
                <w:highlight w:val="none"/>
                <w:lang w:val="en-US" w:eastAsia="zh-CN"/>
              </w:rPr>
              <w:t>造价</w:t>
            </w:r>
            <w:r>
              <w:rPr>
                <w:rStyle w:val="134"/>
                <w:rFonts w:hint="default" w:cs="宋体" w:asciiTheme="minorEastAsia" w:hAnsiTheme="minorEastAsia" w:eastAsiaTheme="minorEastAsia"/>
                <w:color w:val="auto"/>
                <w:sz w:val="21"/>
                <w:szCs w:val="21"/>
                <w:highlight w:val="none"/>
              </w:rPr>
              <w:t>负责人等。以上项目管理团队人员信息将由交易系统提取后供各相关单位在履约时比对、查核。</w:t>
            </w:r>
          </w:p>
          <w:p>
            <w:pPr>
              <w:widowControl/>
              <w:jc w:val="left"/>
              <w:textAlignment w:val="center"/>
              <w:rPr>
                <w:rStyle w:val="134"/>
                <w:rFonts w:hint="eastAsia" w:cs="宋体" w:asciiTheme="minorEastAsia" w:hAnsiTheme="minorEastAsia" w:eastAsiaTheme="minorEastAsia"/>
                <w:color w:val="auto"/>
                <w:sz w:val="21"/>
                <w:szCs w:val="21"/>
                <w:highlight w:val="none"/>
                <w:lang w:eastAsia="zh-CN"/>
              </w:rPr>
            </w:pPr>
            <w:r>
              <w:rPr>
                <w:rStyle w:val="134"/>
                <w:rFonts w:hint="default" w:cs="宋体" w:asciiTheme="minorEastAsia" w:hAnsiTheme="minorEastAsia" w:eastAsiaTheme="minorEastAsia"/>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pPr>
              <w:widowControl/>
              <w:jc w:val="left"/>
              <w:textAlignment w:val="center"/>
              <w:rPr>
                <w:rFonts w:ascii="宋体" w:hAnsi="宋体" w:cs="宋体"/>
                <w:color w:val="auto"/>
                <w:szCs w:val="21"/>
                <w:highlight w:val="none"/>
              </w:rPr>
            </w:pPr>
            <w:r>
              <w:rPr>
                <w:rStyle w:val="134"/>
                <w:rFonts w:hint="default" w:cs="宋体" w:asciiTheme="minorEastAsia" w:hAnsiTheme="minorEastAsia" w:eastAsiaTheme="minorEastAsia"/>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before="120" w:beforeLines="50" w:after="120" w:afterLines="50" w:line="360" w:lineRule="auto"/>
        <w:jc w:val="center"/>
        <w:rPr>
          <w:color w:val="auto"/>
          <w:highlight w:val="none"/>
        </w:rPr>
      </w:pPr>
      <w:r>
        <w:rPr>
          <w:rFonts w:hint="eastAsia"/>
          <w:color w:val="auto"/>
          <w:highlight w:val="none"/>
        </w:rPr>
        <w:br w:type="page"/>
      </w:r>
    </w:p>
    <w:p>
      <w:pPr>
        <w:pStyle w:val="4"/>
        <w:ind w:left="0"/>
        <w:jc w:val="left"/>
        <w:rPr>
          <w:color w:val="auto"/>
          <w:highlight w:val="none"/>
        </w:rPr>
      </w:pPr>
      <w:bookmarkStart w:id="67" w:name="_Toc26399"/>
      <w:r>
        <w:rPr>
          <w:rFonts w:hint="eastAsia"/>
          <w:color w:val="auto"/>
          <w:highlight w:val="none"/>
        </w:rPr>
        <w:t>格式四：投标函</w:t>
      </w:r>
      <w:bookmarkEnd w:id="67"/>
    </w:p>
    <w:p>
      <w:pPr>
        <w:pStyle w:val="73"/>
        <w:rPr>
          <w:color w:val="auto"/>
          <w:highlight w:val="none"/>
        </w:rPr>
      </w:pPr>
      <w:r>
        <w:rPr>
          <w:rFonts w:hint="eastAsia"/>
          <w:color w:val="auto"/>
          <w:highlight w:val="none"/>
        </w:rPr>
        <w:t>投 标 函</w:t>
      </w:r>
    </w:p>
    <w:p>
      <w:pPr>
        <w:pStyle w:val="56"/>
        <w:ind w:firstLine="0" w:firstLineChars="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致：</w:t>
      </w:r>
      <w:r>
        <w:rPr>
          <w:rFonts w:hint="eastAsia" w:ascii="宋体" w:hAnsi="宋体"/>
          <w:color w:val="auto"/>
          <w:sz w:val="21"/>
          <w:szCs w:val="21"/>
          <w:highlight w:val="none"/>
          <w:u w:val="single"/>
          <w:lang w:eastAsia="zh-CN"/>
        </w:rPr>
        <w:t>广州市花都区花东镇人民政府</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1.根据招标人</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2.我方已详细审核全部招标文件，包括修改文件（如有时）及有关附件。</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3.如果我方中标，我方保证按照合同文件中规定的开工日期开始施工，并按规定的预计竣工日期完成和交付全部工程。</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6.如果我方中标，我方将按照招标文件的规定，按时提交履约担保，以保障本项目优质、优价、按期、顺利完成。</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7.我方同意所提交的投标文件在招标文件投标须知中第15条规定的投标有效期内有效，在此期限届满之前，本投标书始终将对我方具有约束力，并随时接受中标。</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8.在合同协议书正式签署生效之前，本投标书连同你单位的中标通知书将构成我们双方之间共同遵守的文件，对双方具有约束力。</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9.如果我方在投标文件有效期内</w:t>
      </w:r>
      <w:r>
        <w:rPr>
          <w:rFonts w:hint="eastAsia" w:ascii="宋体" w:hAnsi="宋体"/>
          <w:color w:val="auto"/>
          <w:sz w:val="21"/>
          <w:szCs w:val="21"/>
          <w:highlight w:val="none"/>
          <w:lang w:val="en-US" w:eastAsia="zh-CN"/>
        </w:rPr>
        <w:t>撤销</w:t>
      </w:r>
      <w:r>
        <w:rPr>
          <w:rFonts w:hint="eastAsia" w:ascii="宋体" w:hAnsi="宋体"/>
          <w:color w:val="auto"/>
          <w:sz w:val="21"/>
          <w:szCs w:val="21"/>
          <w:highlight w:val="none"/>
        </w:rPr>
        <w:t>投标文件；或在接到中标通知书后30天内未能或拒绝签订合同协议书；或未能</w:t>
      </w:r>
      <w:r>
        <w:rPr>
          <w:rFonts w:hint="eastAsia" w:ascii="宋体" w:hAnsi="宋体"/>
          <w:b/>
          <w:color w:val="auto"/>
          <w:sz w:val="21"/>
          <w:szCs w:val="21"/>
          <w:highlight w:val="none"/>
        </w:rPr>
        <w:t>按招标文件要求</w:t>
      </w:r>
      <w:r>
        <w:rPr>
          <w:rFonts w:hint="eastAsia" w:ascii="宋体" w:hAnsi="宋体"/>
          <w:color w:val="auto"/>
          <w:sz w:val="21"/>
          <w:szCs w:val="21"/>
          <w:highlight w:val="none"/>
        </w:rPr>
        <w:t>提交履约担保，你单位有权另选中标单位。</w:t>
      </w:r>
    </w:p>
    <w:p>
      <w:pPr>
        <w:pStyle w:val="56"/>
        <w:ind w:firstLine="436"/>
        <w:rPr>
          <w:rFonts w:ascii="宋体" w:hAnsi="宋体"/>
          <w:color w:val="auto"/>
          <w:sz w:val="21"/>
          <w:szCs w:val="21"/>
          <w:highlight w:val="none"/>
        </w:rPr>
      </w:pPr>
      <w:r>
        <w:rPr>
          <w:rFonts w:hint="eastAsia" w:ascii="宋体" w:hAnsi="宋体"/>
          <w:color w:val="auto"/>
          <w:sz w:val="21"/>
          <w:szCs w:val="21"/>
          <w:highlight w:val="none"/>
        </w:rPr>
        <w:t>10.我方理解，你单位不一定接受最低标价的投标或你单位接到的其它任何投标。同时也理解，你单位不负担我方的任何投标费用。</w:t>
      </w:r>
    </w:p>
    <w:p>
      <w:pPr>
        <w:pStyle w:val="56"/>
        <w:spacing w:line="480" w:lineRule="auto"/>
        <w:ind w:firstLine="0" w:firstLineChars="0"/>
        <w:rPr>
          <w:rFonts w:ascii="宋体" w:hAnsi="宋体"/>
          <w:color w:val="auto"/>
          <w:sz w:val="21"/>
          <w:szCs w:val="21"/>
          <w:highlight w:val="none"/>
        </w:rPr>
      </w:pPr>
    </w:p>
    <w:p>
      <w:pPr>
        <w:spacing w:line="360" w:lineRule="auto"/>
        <w:ind w:right="90" w:firstLine="2835" w:firstLineChars="1350"/>
        <w:rPr>
          <w:rFonts w:ascii="宋体" w:hAnsi="宋体"/>
          <w:color w:val="auto"/>
          <w:szCs w:val="21"/>
          <w:highlight w:val="none"/>
          <w:u w:val="single"/>
        </w:rPr>
      </w:pPr>
      <w:r>
        <w:rPr>
          <w:rFonts w:hint="eastAsia" w:ascii="宋体" w:hAnsi="宋体"/>
          <w:color w:val="auto"/>
          <w:szCs w:val="21"/>
          <w:highlight w:val="none"/>
        </w:rPr>
        <w:t>投标人名称（盖法人公章）：</w:t>
      </w:r>
      <w:r>
        <w:rPr>
          <w:rFonts w:hint="eastAsia" w:ascii="宋体" w:hAnsi="宋体"/>
          <w:color w:val="auto"/>
          <w:szCs w:val="21"/>
          <w:highlight w:val="none"/>
          <w:u w:val="single"/>
        </w:rPr>
        <w:t xml:space="preserve">                  </w:t>
      </w:r>
    </w:p>
    <w:p>
      <w:pPr>
        <w:spacing w:line="360" w:lineRule="auto"/>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r>
        <w:rPr>
          <w:rFonts w:hint="eastAsia" w:ascii="宋体" w:hAnsi="宋体"/>
          <w:color w:val="auto"/>
          <w:szCs w:val="21"/>
          <w:highlight w:val="none"/>
          <w:u w:val="single"/>
        </w:rPr>
        <w:t xml:space="preserve">                  </w:t>
      </w:r>
    </w:p>
    <w:p>
      <w:pPr>
        <w:spacing w:line="360" w:lineRule="auto"/>
        <w:rPr>
          <w:color w:val="auto"/>
          <w:highlight w:val="none"/>
        </w:rPr>
      </w:pPr>
      <w:r>
        <w:rPr>
          <w:rFonts w:hint="eastAsia"/>
          <w:color w:val="auto"/>
          <w:highlight w:val="none"/>
        </w:rPr>
        <w:t xml:space="preserve">                                               日期：      年   月   日 </w:t>
      </w:r>
    </w:p>
    <w:p>
      <w:pPr>
        <w:ind w:firstLine="616"/>
        <w:rPr>
          <w:rFonts w:ascii="宋体" w:hAnsi="宋体" w:cs="宋体"/>
          <w:color w:val="auto"/>
          <w:sz w:val="24"/>
          <w:szCs w:val="24"/>
          <w:highlight w:val="none"/>
        </w:rPr>
      </w:pPr>
      <w:r>
        <w:rPr>
          <w:rFonts w:hint="eastAsia" w:ascii="宋体" w:hAnsi="宋体" w:cs="宋体"/>
          <w:color w:val="auto"/>
          <w:highlight w:val="none"/>
        </w:rPr>
        <w:br w:type="page"/>
      </w:r>
      <w:bookmarkEnd w:id="63"/>
      <w:bookmarkEnd w:id="65"/>
    </w:p>
    <w:p>
      <w:pPr>
        <w:pStyle w:val="4"/>
        <w:spacing w:before="0" w:after="0" w:line="240" w:lineRule="auto"/>
        <w:ind w:left="0"/>
        <w:jc w:val="left"/>
        <w:rPr>
          <w:rFonts w:ascii="宋体" w:hAnsi="宋体" w:cs="宋体"/>
          <w:color w:val="auto"/>
          <w:highlight w:val="none"/>
        </w:rPr>
      </w:pPr>
      <w:bookmarkStart w:id="68" w:name="_Toc25411"/>
      <w:bookmarkStart w:id="69" w:name="_Toc55169948"/>
      <w:bookmarkStart w:id="70" w:name="_Toc12262586"/>
      <w:bookmarkStart w:id="71" w:name="_Toc29161"/>
      <w:r>
        <w:rPr>
          <w:rFonts w:hint="eastAsia" w:ascii="宋体" w:hAnsi="宋体" w:cs="宋体"/>
          <w:color w:val="auto"/>
          <w:highlight w:val="none"/>
        </w:rPr>
        <w:t>格式五：响应招标文件所附施工组织设计要点的承诺书</w:t>
      </w:r>
      <w:bookmarkEnd w:id="68"/>
      <w:bookmarkEnd w:id="69"/>
      <w:bookmarkEnd w:id="70"/>
      <w:bookmarkEnd w:id="71"/>
    </w:p>
    <w:p>
      <w:pPr>
        <w:pStyle w:val="56"/>
        <w:ind w:firstLine="0" w:firstLineChars="0"/>
        <w:rPr>
          <w:rFonts w:ascii="宋体" w:hAnsi="宋体" w:cs="宋体"/>
          <w:color w:val="auto"/>
          <w:highlight w:val="none"/>
        </w:rPr>
      </w:pPr>
    </w:p>
    <w:p>
      <w:pPr>
        <w:pStyle w:val="56"/>
        <w:ind w:firstLine="0" w:firstLineChars="0"/>
        <w:jc w:val="center"/>
        <w:rPr>
          <w:rFonts w:ascii="宋体" w:hAnsi="宋体" w:cs="宋体"/>
          <w:color w:val="auto"/>
          <w:sz w:val="32"/>
          <w:szCs w:val="32"/>
          <w:highlight w:val="none"/>
        </w:rPr>
      </w:pPr>
    </w:p>
    <w:p>
      <w:pPr>
        <w:pStyle w:val="56"/>
        <w:ind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响应招标文件所附施工组织设计要点的承诺书</w:t>
      </w:r>
    </w:p>
    <w:p>
      <w:pPr>
        <w:pStyle w:val="56"/>
        <w:ind w:firstLine="0" w:firstLineChars="0"/>
        <w:jc w:val="left"/>
        <w:rPr>
          <w:rFonts w:ascii="宋体" w:hAnsi="宋体" w:cs="宋体"/>
          <w:color w:val="auto"/>
          <w:sz w:val="28"/>
          <w:szCs w:val="28"/>
          <w:highlight w:val="none"/>
          <w:u w:val="single"/>
        </w:rPr>
      </w:pPr>
    </w:p>
    <w:p>
      <w:pPr>
        <w:pStyle w:val="56"/>
        <w:ind w:firstLine="0" w:firstLineChars="0"/>
        <w:jc w:val="left"/>
        <w:rPr>
          <w:rFonts w:ascii="宋体" w:hAnsi="宋体" w:cs="宋体"/>
          <w:color w:val="auto"/>
          <w:highlight w:val="none"/>
          <w:u w:val="single"/>
        </w:rPr>
      </w:pPr>
      <w:r>
        <w:rPr>
          <w:rFonts w:hint="eastAsia" w:ascii="宋体" w:hAnsi="宋体" w:cs="宋体"/>
          <w:color w:val="auto"/>
          <w:highlight w:val="none"/>
          <w:u w:val="single"/>
          <w:lang w:eastAsia="zh-CN"/>
        </w:rPr>
        <w:t>广州市花都区花东镇人民政府</w:t>
      </w:r>
      <w:r>
        <w:rPr>
          <w:rFonts w:hint="eastAsia" w:ascii="宋体" w:hAnsi="宋体" w:cs="宋体"/>
          <w:color w:val="auto"/>
          <w:highlight w:val="none"/>
          <w:u w:val="single"/>
        </w:rPr>
        <w:t>：</w:t>
      </w:r>
    </w:p>
    <w:p>
      <w:pPr>
        <w:pStyle w:val="56"/>
        <w:ind w:firstLine="496"/>
        <w:rPr>
          <w:rFonts w:ascii="宋体" w:hAnsi="宋体" w:cs="宋体"/>
          <w:color w:val="auto"/>
          <w:highlight w:val="none"/>
        </w:rPr>
      </w:pPr>
      <w:r>
        <w:rPr>
          <w:rFonts w:hint="eastAsia" w:ascii="宋体" w:hAnsi="宋体" w:cs="宋体"/>
          <w:color w:val="auto"/>
          <w:highlight w:val="none"/>
        </w:rPr>
        <w:t>我方如中标承建</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花东镇中心幼儿园施工总承包</w:t>
      </w:r>
      <w:r>
        <w:rPr>
          <w:rFonts w:hint="eastAsia" w:ascii="宋体" w:hAnsi="宋体" w:cs="宋体"/>
          <w:color w:val="auto"/>
          <w:highlight w:val="none"/>
          <w:u w:val="single"/>
        </w:rPr>
        <w:t xml:space="preserve"> </w:t>
      </w:r>
      <w:r>
        <w:rPr>
          <w:rFonts w:hint="eastAsia" w:ascii="宋体" w:hAnsi="宋体" w:cs="宋体"/>
          <w:color w:val="auto"/>
          <w:highlight w:val="none"/>
        </w:rPr>
        <w:t>，将按招标文件所附的本工程施工组织设计要点进行响应的基础上自行组织施工，并郑重承诺：</w:t>
      </w:r>
    </w:p>
    <w:p>
      <w:pPr>
        <w:pStyle w:val="56"/>
        <w:numPr>
          <w:ilvl w:val="-1"/>
          <w:numId w:val="0"/>
        </w:numPr>
        <w:ind w:firstLine="496"/>
        <w:rPr>
          <w:rFonts w:ascii="宋体" w:hAnsi="宋体" w:cs="宋体"/>
          <w:color w:val="auto"/>
          <w:highlight w:val="none"/>
        </w:rPr>
      </w:pPr>
      <w:r>
        <w:rPr>
          <w:rFonts w:hint="eastAsia" w:ascii="宋体" w:hAnsi="宋体" w:cs="宋体"/>
          <w:color w:val="auto"/>
          <w:highlight w:val="none"/>
        </w:rPr>
        <w:t>在中标后按招标文件所附的施工组织设计要点基础上编制详细的施工组织设计，报经监理单位和发包人审批后实施。</w:t>
      </w:r>
    </w:p>
    <w:p>
      <w:pPr>
        <w:pStyle w:val="56"/>
        <w:ind w:firstLine="0" w:firstLineChars="0"/>
        <w:jc w:val="left"/>
        <w:rPr>
          <w:rFonts w:ascii="宋体" w:hAnsi="宋体" w:cs="宋体"/>
          <w:color w:val="auto"/>
          <w:szCs w:val="21"/>
          <w:highlight w:val="none"/>
        </w:rPr>
      </w:pPr>
    </w:p>
    <w:p>
      <w:pPr>
        <w:pStyle w:val="56"/>
        <w:ind w:firstLine="3596" w:firstLineChars="1450"/>
        <w:rPr>
          <w:rFonts w:ascii="宋体" w:hAnsi="宋体" w:cs="宋体"/>
          <w:color w:val="auto"/>
          <w:highlight w:val="none"/>
        </w:rPr>
      </w:pPr>
      <w:r>
        <w:rPr>
          <w:rFonts w:hint="eastAsia" w:ascii="宋体" w:hAnsi="宋体" w:cs="宋体"/>
          <w:color w:val="auto"/>
          <w:highlight w:val="none"/>
        </w:rPr>
        <w:t>投标人：　　（盖章）</w:t>
      </w:r>
    </w:p>
    <w:p>
      <w:pPr>
        <w:pStyle w:val="56"/>
        <w:ind w:firstLine="3596" w:firstLineChars="1450"/>
        <w:rPr>
          <w:rFonts w:ascii="宋体" w:hAnsi="宋体" w:cs="宋体"/>
          <w:color w:val="auto"/>
          <w:highlight w:val="none"/>
        </w:rPr>
      </w:pPr>
      <w:r>
        <w:rPr>
          <w:rFonts w:hint="eastAsia" w:ascii="宋体" w:hAnsi="宋体" w:cs="宋体"/>
          <w:color w:val="auto"/>
          <w:highlight w:val="none"/>
        </w:rPr>
        <w:t>法定代表人或授权代理人（签字或盖章）：</w:t>
      </w:r>
    </w:p>
    <w:p>
      <w:pPr>
        <w:pStyle w:val="56"/>
        <w:ind w:right="992" w:firstLine="3543" w:firstLineChars="1429"/>
        <w:rPr>
          <w:rFonts w:ascii="宋体" w:hAnsi="宋体" w:cs="宋体"/>
          <w:color w:val="auto"/>
          <w:szCs w:val="21"/>
          <w:highlight w:val="none"/>
        </w:rPr>
      </w:pPr>
      <w:r>
        <w:rPr>
          <w:rFonts w:hint="eastAsia" w:ascii="宋体" w:hAnsi="宋体" w:cs="宋体"/>
          <w:color w:val="auto"/>
          <w:highlight w:val="none"/>
        </w:rPr>
        <w:t xml:space="preserve">日   期：    年    月    日  </w:t>
      </w:r>
    </w:p>
    <w:p>
      <w:pPr>
        <w:autoSpaceDE w:val="0"/>
        <w:autoSpaceDN w:val="0"/>
        <w:adjustRightInd w:val="0"/>
        <w:rPr>
          <w:rFonts w:ascii="宋体" w:hAnsi="宋体" w:cs="宋体"/>
          <w:color w:val="auto"/>
          <w:sz w:val="24"/>
          <w:szCs w:val="24"/>
          <w:highlight w:val="none"/>
        </w:rPr>
      </w:pPr>
    </w:p>
    <w:p>
      <w:pPr>
        <w:tabs>
          <w:tab w:val="right" w:leader="dot" w:pos="9060"/>
        </w:tabs>
        <w:jc w:val="left"/>
        <w:rPr>
          <w:color w:val="auto"/>
          <w:highlight w:val="none"/>
        </w:rPr>
      </w:pPr>
      <w:r>
        <w:rPr>
          <w:color w:val="auto"/>
          <w:highlight w:val="none"/>
        </w:rPr>
        <w:br w:type="page"/>
      </w:r>
      <w:bookmarkStart w:id="72" w:name="_Toc55169949"/>
      <w:bookmarkStart w:id="73" w:name="_Toc2405"/>
      <w:bookmarkStart w:id="74" w:name="_Toc12262587"/>
    </w:p>
    <w:p>
      <w:pPr>
        <w:pStyle w:val="56"/>
        <w:spacing w:before="0" w:after="0" w:line="240" w:lineRule="auto"/>
        <w:ind w:left="0" w:firstLine="0" w:firstLineChars="0"/>
        <w:jc w:val="left"/>
        <w:rPr>
          <w:rFonts w:hint="eastAsia" w:ascii="Arial" w:hAnsi="Arial" w:eastAsia="宋体" w:cs="Times New Roman"/>
          <w:b/>
          <w:color w:val="auto"/>
          <w:spacing w:val="0"/>
          <w:kern w:val="2"/>
          <w:highlight w:val="none"/>
        </w:rPr>
      </w:pPr>
      <w:r>
        <w:rPr>
          <w:rFonts w:hint="eastAsia" w:ascii="Arial" w:hAnsi="Arial" w:eastAsia="宋体" w:cs="Times New Roman"/>
          <w:b/>
          <w:color w:val="auto"/>
          <w:spacing w:val="0"/>
          <w:kern w:val="2"/>
          <w:highlight w:val="none"/>
        </w:rPr>
        <w:t>格式</w:t>
      </w:r>
      <w:r>
        <w:rPr>
          <w:rFonts w:hint="eastAsia" w:ascii="Arial" w:hAnsi="Arial" w:cs="Times New Roman"/>
          <w:b/>
          <w:color w:val="auto"/>
          <w:spacing w:val="0"/>
          <w:kern w:val="2"/>
          <w:highlight w:val="none"/>
          <w:lang w:val="en-US" w:eastAsia="zh-CN"/>
        </w:rPr>
        <w:t>六</w:t>
      </w:r>
      <w:r>
        <w:rPr>
          <w:rFonts w:hint="eastAsia" w:ascii="Arial" w:hAnsi="Arial" w:eastAsia="宋体" w:cs="Times New Roman"/>
          <w:b/>
          <w:color w:val="auto"/>
          <w:spacing w:val="0"/>
          <w:kern w:val="2"/>
          <w:highlight w:val="none"/>
        </w:rPr>
        <w:t>：参与编制技术标投标文件人员名单</w:t>
      </w:r>
      <w:bookmarkEnd w:id="72"/>
      <w:bookmarkEnd w:id="73"/>
      <w:bookmarkEnd w:id="74"/>
    </w:p>
    <w:p>
      <w:pPr>
        <w:autoSpaceDE w:val="0"/>
        <w:autoSpaceDN w:val="0"/>
        <w:adjustRightInd w:val="0"/>
        <w:rPr>
          <w:color w:val="auto"/>
          <w:szCs w:val="21"/>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参与编制技术标投标文件人员名单</w:t>
      </w:r>
    </w:p>
    <w:tbl>
      <w:tblPr>
        <w:tblStyle w:val="39"/>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37"/>
        <w:spacing w:after="0" w:line="360" w:lineRule="auto"/>
        <w:ind w:left="-2" w:leftChars="-1" w:firstLine="367" w:firstLineChars="175"/>
        <w:jc w:val="left"/>
        <w:rPr>
          <w:color w:val="auto"/>
          <w:szCs w:val="21"/>
          <w:highlight w:val="none"/>
        </w:rPr>
      </w:pPr>
      <w:r>
        <w:rPr>
          <w:rFonts w:hint="eastAsia"/>
          <w:color w:val="auto"/>
          <w:szCs w:val="21"/>
          <w:highlight w:val="none"/>
        </w:rPr>
        <w:t>注：参与编制</w:t>
      </w:r>
      <w:r>
        <w:rPr>
          <w:rFonts w:hint="eastAsia"/>
          <w:color w:val="auto"/>
          <w:szCs w:val="21"/>
          <w:highlight w:val="none"/>
          <w:lang w:val="en-US" w:eastAsia="zh-CN"/>
        </w:rPr>
        <w:t>技术标</w:t>
      </w:r>
      <w:r>
        <w:rPr>
          <w:rFonts w:hint="eastAsia"/>
          <w:color w:val="auto"/>
          <w:szCs w:val="21"/>
          <w:highlight w:val="none"/>
        </w:rPr>
        <w:t>投标文件所有人员名单应包括如编制技术投标方案、负责清样校对、负责打印及复印等所有人员在内的人员名单。</w:t>
      </w:r>
    </w:p>
    <w:p>
      <w:pPr>
        <w:tabs>
          <w:tab w:val="right" w:leader="dot" w:pos="9060"/>
        </w:tabs>
        <w:jc w:val="center"/>
        <w:rPr>
          <w:rFonts w:ascii="宋体" w:hAnsi="宋体" w:cs="宋体"/>
          <w:color w:val="auto"/>
          <w:highlight w:val="none"/>
        </w:rPr>
      </w:pPr>
      <w:bookmarkStart w:id="75" w:name="_Toc55169950"/>
      <w:r>
        <w:rPr>
          <w:rFonts w:hint="eastAsia" w:ascii="宋体" w:hAnsi="宋体" w:cs="宋体"/>
          <w:color w:val="auto"/>
          <w:highlight w:val="none"/>
        </w:rPr>
        <w:br w:type="page"/>
      </w:r>
      <w:bookmarkStart w:id="76" w:name="_Toc16533"/>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outlineLvl w:val="1"/>
        <w:rPr>
          <w:rFonts w:ascii="宋体" w:hAnsi="宋体" w:cs="宋体"/>
          <w:bCs/>
          <w:color w:val="auto"/>
          <w:sz w:val="36"/>
          <w:szCs w:val="40"/>
          <w:highlight w:val="none"/>
        </w:rPr>
      </w:pPr>
      <w:bookmarkStart w:id="77" w:name="_Toc2974"/>
      <w:r>
        <w:rPr>
          <w:rFonts w:hint="eastAsia" w:ascii="宋体" w:hAnsi="宋体" w:cs="宋体"/>
          <w:b/>
          <w:bCs/>
          <w:color w:val="auto"/>
          <w:sz w:val="36"/>
          <w:szCs w:val="40"/>
          <w:highlight w:val="none"/>
        </w:rPr>
        <w:t>二、经济标投标文件格式</w:t>
      </w:r>
      <w:r>
        <w:rPr>
          <w:rFonts w:ascii="宋体" w:hAnsi="宋体" w:cs="宋体"/>
          <w:b/>
          <w:bCs/>
          <w:color w:val="auto"/>
          <w:sz w:val="36"/>
          <w:szCs w:val="40"/>
          <w:highlight w:val="none"/>
        </w:rPr>
        <w:br w:type="page"/>
      </w:r>
      <w:bookmarkEnd w:id="77"/>
    </w:p>
    <w:p>
      <w:pPr>
        <w:pStyle w:val="4"/>
        <w:spacing w:before="0" w:after="0" w:line="240" w:lineRule="auto"/>
        <w:ind w:left="0"/>
        <w:jc w:val="left"/>
        <w:rPr>
          <w:rFonts w:ascii="宋体" w:hAnsi="宋体" w:cs="宋体"/>
          <w:color w:val="auto"/>
          <w:highlight w:val="none"/>
        </w:rPr>
      </w:pPr>
      <w:bookmarkStart w:id="78" w:name="_Toc9572"/>
      <w:r>
        <w:rPr>
          <w:rFonts w:hint="eastAsia" w:ascii="宋体" w:hAnsi="宋体" w:cs="宋体"/>
          <w:color w:val="auto"/>
          <w:highlight w:val="none"/>
        </w:rPr>
        <w:t>格式一：经济标投标文件封面</w:t>
      </w:r>
      <w:bookmarkEnd w:id="78"/>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0" w:firstLineChars="0"/>
        <w:jc w:val="center"/>
        <w:rPr>
          <w:rFonts w:ascii="宋体" w:hAnsi="宋体" w:cs="宋体"/>
          <w:color w:val="auto"/>
          <w:sz w:val="36"/>
          <w:szCs w:val="36"/>
          <w:highlight w:val="none"/>
        </w:rPr>
      </w:pPr>
      <w:r>
        <w:rPr>
          <w:rFonts w:hint="eastAsia" w:ascii="宋体" w:hAnsi="宋体" w:cs="宋体"/>
          <w:b/>
          <w:color w:val="auto"/>
          <w:sz w:val="36"/>
          <w:szCs w:val="36"/>
          <w:highlight w:val="none"/>
          <w:u w:val="single"/>
        </w:rPr>
        <w:t>[工程名称]</w:t>
      </w:r>
    </w:p>
    <w:p>
      <w:pPr>
        <w:pStyle w:val="56"/>
        <w:ind w:firstLine="496"/>
        <w:rPr>
          <w:rFonts w:ascii="宋体" w:hAnsi="宋体" w:cs="宋体"/>
          <w:color w:val="auto"/>
          <w:highlight w:val="none"/>
        </w:rPr>
      </w:pPr>
    </w:p>
    <w:p>
      <w:pPr>
        <w:pStyle w:val="78"/>
        <w:rPr>
          <w:rFonts w:ascii="宋体" w:hAnsi="宋体" w:eastAsia="宋体" w:cs="宋体"/>
          <w:b w:val="0"/>
          <w:color w:val="auto"/>
          <w:highlight w:val="none"/>
        </w:rPr>
      </w:pPr>
    </w:p>
    <w:p>
      <w:pPr>
        <w:pStyle w:val="56"/>
        <w:ind w:firstLine="0" w:firstLineChars="0"/>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经济标投标文件</w:t>
      </w: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6"/>
        <w:ind w:firstLine="496"/>
        <w:rPr>
          <w:rFonts w:ascii="宋体" w:hAnsi="宋体" w:cs="宋体"/>
          <w:color w:val="auto"/>
          <w:highlight w:val="none"/>
        </w:rPr>
      </w:pPr>
    </w:p>
    <w:p>
      <w:pPr>
        <w:pStyle w:val="55"/>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（盖章）</w:t>
      </w:r>
    </w:p>
    <w:p>
      <w:pPr>
        <w:pStyle w:val="55"/>
        <w:ind w:firstLine="1848" w:firstLineChars="600"/>
        <w:rPr>
          <w:rFonts w:ascii="宋体" w:hAnsi="宋体" w:cs="宋体"/>
          <w:color w:val="auto"/>
          <w:highlight w:val="none"/>
          <w:u w:val="single"/>
        </w:rPr>
      </w:pPr>
      <w:r>
        <w:rPr>
          <w:rFonts w:hint="eastAsia" w:ascii="宋体" w:hAnsi="宋体" w:cs="宋体"/>
          <w:color w:val="auto"/>
          <w:highlight w:val="none"/>
          <w:u w:val="single"/>
        </w:rPr>
        <w:t xml:space="preserve">                               </w:t>
      </w:r>
    </w:p>
    <w:p>
      <w:pPr>
        <w:pStyle w:val="55"/>
        <w:ind w:firstLine="616"/>
        <w:rPr>
          <w:rFonts w:ascii="宋体" w:hAnsi="宋体" w:cs="宋体"/>
          <w:color w:val="auto"/>
          <w:highlight w:val="none"/>
        </w:rPr>
      </w:pPr>
    </w:p>
    <w:p>
      <w:pPr>
        <w:pStyle w:val="55"/>
        <w:ind w:firstLine="616"/>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（签字或盖章）</w:t>
      </w:r>
    </w:p>
    <w:p>
      <w:pPr>
        <w:pStyle w:val="55"/>
        <w:tabs>
          <w:tab w:val="right" w:leader="dot" w:pos="9060"/>
        </w:tabs>
        <w:spacing w:line="240" w:lineRule="auto"/>
        <w:ind w:firstLine="616"/>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rPr>
        <w:br w:type="page"/>
      </w:r>
    </w:p>
    <w:p>
      <w:pPr>
        <w:outlineLvl w:val="2"/>
        <w:rPr>
          <w:rFonts w:ascii="宋体" w:hAnsi="宋体" w:cs="宋体"/>
          <w:b/>
          <w:color w:val="auto"/>
          <w:sz w:val="24"/>
          <w:szCs w:val="24"/>
          <w:highlight w:val="none"/>
        </w:rPr>
      </w:pPr>
      <w:bookmarkStart w:id="79" w:name="_Toc9214"/>
      <w:r>
        <w:rPr>
          <w:rFonts w:hint="eastAsia" w:ascii="宋体" w:hAnsi="宋体" w:cs="宋体"/>
          <w:b/>
          <w:color w:val="auto"/>
          <w:sz w:val="24"/>
          <w:szCs w:val="24"/>
          <w:highlight w:val="none"/>
        </w:rPr>
        <w:t>格式二：工程量清单计价表</w:t>
      </w:r>
      <w:bookmarkEnd w:id="79"/>
    </w:p>
    <w:p>
      <w:pPr>
        <w:pStyle w:val="56"/>
        <w:ind w:firstLine="498"/>
        <w:rPr>
          <w:rFonts w:ascii="宋体" w:hAnsi="宋体" w:cs="宋体"/>
          <w:b/>
          <w:color w:val="auto"/>
          <w:highlight w:val="none"/>
        </w:rPr>
      </w:pPr>
    </w:p>
    <w:p>
      <w:pPr>
        <w:pStyle w:val="73"/>
        <w:ind w:firstLine="617"/>
        <w:rPr>
          <w:rFonts w:ascii="宋体" w:hAnsi="宋体" w:eastAsia="宋体" w:cs="宋体"/>
          <w:color w:val="auto"/>
          <w:highlight w:val="none"/>
        </w:rPr>
      </w:pPr>
      <w:r>
        <w:rPr>
          <w:rFonts w:hint="eastAsia" w:ascii="宋体" w:hAnsi="宋体" w:eastAsia="宋体" w:cs="宋体"/>
          <w:color w:val="auto"/>
          <w:highlight w:val="none"/>
        </w:rPr>
        <w:t>工程量清单计价表</w:t>
      </w:r>
    </w:p>
    <w:p>
      <w:pPr>
        <w:pStyle w:val="56"/>
        <w:ind w:firstLine="498"/>
        <w:rPr>
          <w:rFonts w:ascii="宋体" w:hAnsi="宋体" w:cs="宋体"/>
          <w:b/>
          <w:color w:val="auto"/>
          <w:highlight w:val="none"/>
        </w:rPr>
      </w:pPr>
    </w:p>
    <w:p>
      <w:pPr>
        <w:tabs>
          <w:tab w:val="right" w:leader="dot" w:pos="9060"/>
        </w:tabs>
        <w:jc w:val="left"/>
        <w:rPr>
          <w:rFonts w:ascii="宋体" w:hAnsi="宋体" w:cs="宋体"/>
          <w:color w:val="auto"/>
          <w:highlight w:val="none"/>
        </w:rPr>
      </w:pPr>
      <w:r>
        <w:rPr>
          <w:rFonts w:hint="eastAsia" w:ascii="宋体" w:hAnsi="宋体" w:cs="宋体"/>
          <w:b/>
          <w:color w:val="auto"/>
          <w:highlight w:val="none"/>
        </w:rPr>
        <w:t>本部分内容详见招标文件第七章工程量清单。</w:t>
      </w:r>
      <w:r>
        <w:rPr>
          <w:rFonts w:hint="eastAsia" w:ascii="宋体" w:hAnsi="宋体" w:cs="宋体"/>
          <w:color w:val="auto"/>
          <w:highlight w:val="none"/>
        </w:rPr>
        <w:br w:type="page"/>
      </w:r>
    </w:p>
    <w:p>
      <w:pPr>
        <w:pStyle w:val="4"/>
        <w:spacing w:before="0" w:after="0" w:line="240" w:lineRule="auto"/>
        <w:ind w:left="0"/>
        <w:jc w:val="left"/>
        <w:rPr>
          <w:rFonts w:ascii="宋体" w:hAnsi="宋体" w:cs="宋体"/>
          <w:color w:val="auto"/>
          <w:highlight w:val="none"/>
        </w:rPr>
      </w:pPr>
      <w:bookmarkStart w:id="80" w:name="_Toc30490"/>
      <w:r>
        <w:rPr>
          <w:rFonts w:hint="eastAsia" w:ascii="宋体" w:hAnsi="宋体" w:cs="宋体"/>
          <w:color w:val="auto"/>
          <w:highlight w:val="none"/>
        </w:rPr>
        <w:t>格式三：参与编制经济标投标文件人员名单</w:t>
      </w:r>
      <w:bookmarkEnd w:id="80"/>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参与编制经济标投标文件人员名单</w:t>
      </w:r>
    </w:p>
    <w:tbl>
      <w:tblPr>
        <w:tblStyle w:val="39"/>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37"/>
        <w:spacing w:after="0" w:line="360" w:lineRule="auto"/>
        <w:ind w:left="-2" w:leftChars="-1" w:firstLine="367" w:firstLineChars="175"/>
        <w:jc w:val="left"/>
        <w:rPr>
          <w:color w:val="auto"/>
          <w:szCs w:val="21"/>
          <w:highlight w:val="none"/>
        </w:rPr>
      </w:pPr>
      <w:r>
        <w:rPr>
          <w:rFonts w:hint="eastAsia"/>
          <w:color w:val="auto"/>
          <w:szCs w:val="21"/>
          <w:highlight w:val="none"/>
        </w:rPr>
        <w:t>注：参与编制</w:t>
      </w:r>
      <w:r>
        <w:rPr>
          <w:rFonts w:hint="eastAsia"/>
          <w:color w:val="auto"/>
          <w:szCs w:val="21"/>
          <w:highlight w:val="none"/>
          <w:lang w:val="en-US" w:eastAsia="zh-CN"/>
        </w:rPr>
        <w:t>经济标</w:t>
      </w:r>
      <w:r>
        <w:rPr>
          <w:rFonts w:hint="eastAsia"/>
          <w:color w:val="auto"/>
          <w:szCs w:val="21"/>
          <w:highlight w:val="none"/>
        </w:rPr>
        <w:t>投标文件所有人员名单应包括如编制各种专业工程量清单投标报价、负责清样校对、负责打印及复印等所有人员在内的人员名单。</w:t>
      </w:r>
    </w:p>
    <w:p>
      <w:pPr>
        <w:tabs>
          <w:tab w:val="right" w:leader="dot" w:pos="9060"/>
        </w:tabs>
        <w:jc w:val="left"/>
        <w:rPr>
          <w:rFonts w:ascii="宋体" w:hAnsi="宋体" w:cs="宋体"/>
          <w:color w:val="auto"/>
          <w:highlight w:val="none"/>
        </w:rPr>
      </w:pPr>
      <w:r>
        <w:rPr>
          <w:rFonts w:hint="eastAsia" w:ascii="宋体" w:hAnsi="宋体" w:cs="宋体"/>
          <w:color w:val="auto"/>
          <w:highlight w:val="none"/>
        </w:rPr>
        <w:br w:type="page"/>
      </w:r>
    </w:p>
    <w:p>
      <w:pPr>
        <w:pStyle w:val="4"/>
        <w:spacing w:before="0" w:after="0" w:line="240" w:lineRule="auto"/>
        <w:ind w:left="0"/>
        <w:jc w:val="left"/>
        <w:rPr>
          <w:rFonts w:ascii="宋体" w:hAnsi="宋体" w:cs="宋体"/>
          <w:color w:val="auto"/>
          <w:highlight w:val="none"/>
        </w:rPr>
      </w:pPr>
      <w:bookmarkStart w:id="81" w:name="_Toc14587"/>
      <w:r>
        <w:rPr>
          <w:rFonts w:hint="eastAsia" w:ascii="宋体" w:hAnsi="宋体" w:cs="宋体"/>
          <w:color w:val="auto"/>
          <w:highlight w:val="none"/>
        </w:rPr>
        <w:t>格式四：对投标文件编制的承诺</w:t>
      </w:r>
      <w:bookmarkEnd w:id="75"/>
      <w:bookmarkEnd w:id="76"/>
      <w:bookmarkEnd w:id="81"/>
    </w:p>
    <w:p>
      <w:pPr>
        <w:pStyle w:val="37"/>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37"/>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3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74"/>
        <w:rPr>
          <w:color w:val="auto"/>
          <w:highlight w:val="none"/>
        </w:rPr>
      </w:pPr>
    </w:p>
    <w:p>
      <w:pPr>
        <w:pStyle w:val="37"/>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37"/>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3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9"/>
        <w:tblW w:w="8306" w:type="dxa"/>
        <w:tblInd w:w="108"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37"/>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37"/>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37"/>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37"/>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spacing w:line="360" w:lineRule="auto"/>
        <w:rPr>
          <w:rFonts w:ascii="宋体" w:hAnsi="宋体"/>
          <w:color w:val="auto"/>
          <w:sz w:val="24"/>
          <w:szCs w:val="24"/>
          <w:highlight w:val="none"/>
        </w:rPr>
      </w:pPr>
    </w:p>
    <w:p>
      <w:pPr>
        <w:pStyle w:val="74"/>
        <w:rPr>
          <w:rFonts w:ascii="宋体" w:hAnsi="宋体"/>
          <w:color w:val="auto"/>
          <w:sz w:val="24"/>
          <w:szCs w:val="24"/>
          <w:highlight w:val="none"/>
        </w:rPr>
      </w:pPr>
    </w:p>
    <w:p>
      <w:pPr>
        <w:tabs>
          <w:tab w:val="left" w:pos="720"/>
        </w:tabs>
        <w:snapToGrid w:val="0"/>
        <w:spacing w:line="360" w:lineRule="auto"/>
        <w:jc w:val="center"/>
        <w:outlineLvl w:val="0"/>
        <w:rPr>
          <w:rStyle w:val="102"/>
          <w:color w:val="auto"/>
          <w:highlight w:val="none"/>
        </w:rPr>
      </w:pPr>
      <w:bookmarkStart w:id="82" w:name="_Toc3463602"/>
      <w:r>
        <w:rPr>
          <w:rFonts w:hint="eastAsia"/>
          <w:color w:val="auto"/>
          <w:highlight w:val="none"/>
        </w:rPr>
        <w:br w:type="page"/>
      </w:r>
      <w:bookmarkEnd w:id="82"/>
      <w:bookmarkStart w:id="83" w:name="_Toc27820"/>
      <w:bookmarkStart w:id="84" w:name="_Toc2539"/>
      <w:r>
        <w:rPr>
          <w:rStyle w:val="102"/>
          <w:rFonts w:hint="eastAsia"/>
          <w:color w:val="auto"/>
          <w:highlight w:val="none"/>
        </w:rPr>
        <w:t>第五章</w:t>
      </w:r>
      <w:r>
        <w:rPr>
          <w:rStyle w:val="102"/>
          <w:color w:val="auto"/>
          <w:highlight w:val="none"/>
        </w:rPr>
        <w:t xml:space="preserve">  </w:t>
      </w:r>
      <w:r>
        <w:rPr>
          <w:rStyle w:val="102"/>
          <w:rFonts w:hint="eastAsia"/>
          <w:color w:val="auto"/>
          <w:highlight w:val="none"/>
        </w:rPr>
        <w:t>技术条件（工程建设标准）</w:t>
      </w:r>
      <w:bookmarkEnd w:id="83"/>
      <w:bookmarkEnd w:id="84"/>
    </w:p>
    <w:p>
      <w:pPr>
        <w:pStyle w:val="50"/>
        <w:rPr>
          <w:color w:val="auto"/>
          <w:highlight w:val="none"/>
        </w:rPr>
      </w:pPr>
    </w:p>
    <w:p>
      <w:pPr>
        <w:pStyle w:val="5"/>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1、具体按施工图纸、中华人民共和国现行技术和验收规范、图纸中规定的其它技术和验收标准、遵照招标人相关规定要求为准。</w:t>
      </w:r>
    </w:p>
    <w:p>
      <w:pPr>
        <w:pStyle w:val="5"/>
        <w:spacing w:line="360" w:lineRule="auto"/>
        <w:rPr>
          <w:rFonts w:hint="eastAsia" w:ascii="宋体" w:hAnsi="宋体" w:cs="宋体"/>
          <w:color w:val="auto"/>
          <w:sz w:val="24"/>
          <w:szCs w:val="22"/>
          <w:highlight w:val="none"/>
        </w:rPr>
      </w:pPr>
      <w:r>
        <w:rPr>
          <w:rFonts w:hint="eastAsia" w:ascii="宋体" w:hAnsi="宋体" w:cs="宋体"/>
          <w:color w:val="auto"/>
          <w:sz w:val="24"/>
          <w:szCs w:val="22"/>
          <w:highlight w:val="none"/>
        </w:rPr>
        <w:t>2、依据设计文件的要求，本招标工程项目的材料、设备、施工须达到中华人民共和国以及省、市或行业的工程建设标准、规范的要求。</w:t>
      </w:r>
    </w:p>
    <w:p>
      <w:pPr>
        <w:rPr>
          <w:rStyle w:val="102"/>
          <w:rFonts w:hint="eastAsia"/>
          <w:color w:val="auto"/>
          <w:highlight w:val="none"/>
        </w:rPr>
      </w:pPr>
      <w:bookmarkStart w:id="85" w:name="_Toc6085"/>
      <w:bookmarkStart w:id="86" w:name="_Toc15057"/>
      <w:r>
        <w:rPr>
          <w:rStyle w:val="102"/>
          <w:rFonts w:hint="eastAsia"/>
          <w:color w:val="auto"/>
          <w:highlight w:val="none"/>
        </w:rPr>
        <w:br w:type="page"/>
      </w:r>
    </w:p>
    <w:p>
      <w:pPr>
        <w:tabs>
          <w:tab w:val="left" w:pos="720"/>
        </w:tabs>
        <w:snapToGrid w:val="0"/>
        <w:spacing w:line="360" w:lineRule="auto"/>
        <w:jc w:val="center"/>
        <w:outlineLvl w:val="0"/>
        <w:rPr>
          <w:rStyle w:val="102"/>
          <w:color w:val="auto"/>
          <w:highlight w:val="none"/>
        </w:rPr>
      </w:pPr>
      <w:r>
        <w:rPr>
          <w:rStyle w:val="102"/>
          <w:rFonts w:hint="eastAsia"/>
          <w:color w:val="auto"/>
          <w:highlight w:val="none"/>
        </w:rPr>
        <w:t>第六章  图纸及勘察资料</w:t>
      </w:r>
      <w:bookmarkEnd w:id="85"/>
      <w:bookmarkEnd w:id="86"/>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3"/>
        <w:jc w:val="center"/>
        <w:rPr>
          <w:color w:val="auto"/>
          <w:highlight w:val="none"/>
        </w:rPr>
      </w:pPr>
      <w:r>
        <w:rPr>
          <w:rFonts w:hint="eastAsia"/>
          <w:color w:val="auto"/>
          <w:highlight w:val="none"/>
        </w:rPr>
        <w:br w:type="page"/>
      </w:r>
      <w:bookmarkStart w:id="87" w:name="_Toc26764"/>
      <w:bookmarkStart w:id="88" w:name="_Toc18092"/>
      <w:r>
        <w:rPr>
          <w:rFonts w:hint="eastAsia"/>
          <w:color w:val="auto"/>
          <w:highlight w:val="none"/>
        </w:rPr>
        <w:t>第七章</w:t>
      </w:r>
      <w:r>
        <w:rPr>
          <w:color w:val="auto"/>
          <w:highlight w:val="none"/>
        </w:rPr>
        <w:t xml:space="preserve">  </w:t>
      </w:r>
      <w:r>
        <w:rPr>
          <w:rFonts w:hint="eastAsia"/>
          <w:color w:val="auto"/>
          <w:highlight w:val="none"/>
        </w:rPr>
        <w:t>工程量清单</w:t>
      </w:r>
      <w:bookmarkEnd w:id="87"/>
      <w:bookmarkEnd w:id="88"/>
    </w:p>
    <w:p>
      <w:pPr>
        <w:jc w:val="center"/>
        <w:rPr>
          <w:rFonts w:ascii="宋体"/>
          <w:b/>
          <w:color w:val="auto"/>
          <w:sz w:val="24"/>
          <w:szCs w:val="24"/>
          <w:highlight w:val="none"/>
        </w:rPr>
      </w:pPr>
      <w:r>
        <w:rPr>
          <w:rFonts w:hint="eastAsia" w:ascii="宋体" w:hAnsi="宋体"/>
          <w:color w:val="auto"/>
          <w:sz w:val="24"/>
          <w:szCs w:val="24"/>
          <w:highlight w:val="none"/>
        </w:rPr>
        <w:t>（另册）</w:t>
      </w:r>
    </w:p>
    <w:p>
      <w:pPr>
        <w:rPr>
          <w:rFonts w:ascii="宋体"/>
          <w:b/>
          <w:color w:val="auto"/>
          <w:sz w:val="24"/>
          <w:szCs w:val="24"/>
          <w:highlight w:val="none"/>
        </w:rPr>
      </w:pPr>
    </w:p>
    <w:p>
      <w:pPr>
        <w:pStyle w:val="37"/>
        <w:spacing w:after="0" w:line="360" w:lineRule="auto"/>
        <w:ind w:left="-2" w:leftChars="-1" w:firstLine="960" w:firstLineChars="400"/>
        <w:rPr>
          <w:rFonts w:ascii="宋体"/>
          <w:color w:val="auto"/>
          <w:sz w:val="24"/>
          <w:highlight w:val="none"/>
        </w:rPr>
      </w:pPr>
    </w:p>
    <w:p>
      <w:pPr>
        <w:pStyle w:val="3"/>
        <w:jc w:val="center"/>
        <w:rPr>
          <w:rFonts w:ascii="宋体"/>
          <w:color w:val="auto"/>
          <w:highlight w:val="none"/>
        </w:rPr>
      </w:pPr>
      <w:r>
        <w:rPr>
          <w:rFonts w:hint="eastAsia"/>
          <w:color w:val="auto"/>
          <w:highlight w:val="none"/>
        </w:rPr>
        <w:br w:type="page"/>
      </w:r>
      <w:bookmarkStart w:id="89" w:name="_Toc27240"/>
      <w:bookmarkStart w:id="90" w:name="_Toc369"/>
      <w:r>
        <w:rPr>
          <w:rFonts w:hint="eastAsia"/>
          <w:color w:val="auto"/>
          <w:highlight w:val="none"/>
        </w:rPr>
        <w:t>第八章</w:t>
      </w:r>
      <w:r>
        <w:rPr>
          <w:color w:val="auto"/>
          <w:highlight w:val="none"/>
        </w:rPr>
        <w:t xml:space="preserve">  </w:t>
      </w:r>
      <w:r>
        <w:rPr>
          <w:rFonts w:hint="eastAsia"/>
          <w:color w:val="auto"/>
          <w:highlight w:val="none"/>
        </w:rPr>
        <w:t>最高投标限价</w:t>
      </w:r>
      <w:bookmarkEnd w:id="89"/>
      <w:bookmarkEnd w:id="90"/>
    </w:p>
    <w:p>
      <w:pPr>
        <w:spacing w:line="360" w:lineRule="auto"/>
        <w:jc w:val="center"/>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另册</w:t>
      </w:r>
      <w:r>
        <w:rPr>
          <w:rFonts w:hint="eastAsia" w:ascii="宋体" w:hAnsi="宋体"/>
          <w:color w:val="auto"/>
          <w:sz w:val="24"/>
          <w:szCs w:val="24"/>
          <w:highlight w:val="none"/>
          <w:u w:val="single"/>
          <w:lang w:eastAsia="zh-CN"/>
        </w:rPr>
        <w:t>）</w:t>
      </w:r>
    </w:p>
    <w:p>
      <w:pPr>
        <w:rPr>
          <w:color w:val="auto"/>
          <w:highlight w:val="none"/>
        </w:rPr>
      </w:pPr>
    </w:p>
    <w:p>
      <w:pPr>
        <w:adjustRightInd w:val="0"/>
        <w:snapToGrid w:val="0"/>
        <w:spacing w:line="400" w:lineRule="exact"/>
        <w:rPr>
          <w:color w:val="auto"/>
          <w:highlight w:val="none"/>
        </w:rPr>
      </w:pPr>
    </w:p>
    <w:sectPr>
      <w:footerReference r:id="rId2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_5b8b_4f53">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rPr>
        <w:rStyle w:val="4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4"/>
      </w:rPr>
    </w:pPr>
    <w:r>
      <w:fldChar w:fldCharType="begin"/>
    </w:r>
    <w:r>
      <w:rPr>
        <w:rStyle w:val="44"/>
      </w:rPr>
      <w:instrText xml:space="preserve">PAGE  </w:instrText>
    </w:r>
    <w:r>
      <w:fldChar w:fldCharType="separate"/>
    </w:r>
    <w:r>
      <w:rPr>
        <w:rStyle w:val="44"/>
        <w:rFonts w:hint="eastAsia"/>
      </w:rPr>
      <w:t>一</w:t>
    </w:r>
    <w:r>
      <w:rPr>
        <w:rStyle w:val="44"/>
      </w:rPr>
      <w:t>–2</w:t>
    </w:r>
    <w:r>
      <w:fldChar w:fldCharType="end"/>
    </w:r>
  </w:p>
  <w:p>
    <w:pPr>
      <w:pStyle w:val="26"/>
      <w:ind w:right="360" w:firstLine="360"/>
      <w:jc w:val="center"/>
    </w:pPr>
    <w:r>
      <w:rPr>
        <w:kern w:val="0"/>
        <w:sz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rPr>
                              <w:rStyle w:val="44"/>
                            </w:rPr>
                            <w:instrText xml:space="preserve"> PAGE </w:instrText>
                          </w:r>
                          <w:r>
                            <w:fldChar w:fldCharType="separate"/>
                          </w:r>
                          <w:r>
                            <w:rPr>
                              <w:rStyle w:val="44"/>
                            </w:rPr>
                            <w:t>48</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YvI8MBAACPAwAADgAAAGRycy9lMm9Eb2MueG1srVPNjtMwEL4j8Q6W&#10;79TZakF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9f4+Adtzjy84/v55+/z7++&#10;kessUB+gxrz7gJlpeOsHXJvZD+jMvAcVbf4iI4JxlPd0kVcOiYj8aLVcrSoMCYzNF8RnD89DhPRO&#10;ekuy0dCI8yuy8uMHSGPqnJKrOX+njSkzNO4fB2JmD8u9jz1mKw27YSK08+0J+fQ4+oY63HRKzHuH&#10;yuYtmY04G7vJyDUg3B4SFi79ZNQRaiqGcyqMpp3Ki/D3vWQ9/Ee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Lli8jwwEAAI8DAAAOAAAAAAAAAAEAIAAAAB4BAABkcnMvZTJvRG9jLnhtbFBL&#10;BQYAAAAABgAGAFkBAABTBQAAAAA=&#10;">
              <v:fill on="f" focussize="0,0"/>
              <v:stroke on="f"/>
              <v:imagedata o:title=""/>
              <o:lock v:ext="edit" aspectratio="f"/>
              <v:textbox inset="0mm,0mm,0mm,0mm" style="mso-fit-shape-to-text:t;">
                <w:txbxContent>
                  <w:p>
                    <w:pPr>
                      <w:pStyle w:val="26"/>
                      <w:jc w:val="center"/>
                    </w:pPr>
                    <w:r>
                      <w:fldChar w:fldCharType="begin"/>
                    </w:r>
                    <w:r>
                      <w:rPr>
                        <w:rStyle w:val="44"/>
                      </w:rPr>
                      <w:instrText xml:space="preserve"> PAGE </w:instrText>
                    </w:r>
                    <w:r>
                      <w:fldChar w:fldCharType="separate"/>
                    </w:r>
                    <w:r>
                      <w:rPr>
                        <w:rStyle w:val="44"/>
                      </w:rP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rPr>
                              <w:lang w:val="zh-CN"/>
                            </w:rPr>
                            <w:t>76</w:t>
                          </w:r>
                          <w:r>
                            <w:rPr>
                              <w:lang w:val="zh-CN"/>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x5EcMBAACPAwAADgAAAGRycy9lMm9Eb2MueG1srVNLbtswEN0X6B0I&#10;7mMqRhA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anp1vaTEcoMjP/3+dfrz7/T3&#10;JymTQL2HCvPuPWbG4YMbcG1mP6Az8R7aYNIXGRGMo7zHs7xyiESkR+WyLAsMCYzNF8RnD899gPhR&#10;OkOSUdOA88uy8sNniGPqnJKqWXentM4z1PaJAzGTh6Xexx6TFYftMBHauuaIfHocfU0tbjol+pNF&#10;ZdOWzEaYje1kpBrgb/cRC+d+EuoINRXDOWVG006lRXh8z1kP/9H6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0vHkRwwEAAI8DAAAOAAAAAAAAAAEAIAAAAB4BAABkcnMvZTJvRG9jLnhtbFBL&#10;BQYAAAAABgAGAFkBAABTBQ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rPr>
                        <w:lang w:val="zh-CN"/>
                      </w:rPr>
                      <w:t>76</w:t>
                    </w:r>
                    <w:r>
                      <w:rPr>
                        <w:lang w:val="zh-CN"/>
                      </w:rPr>
                      <w:fldChar w:fldCharType="end"/>
                    </w:r>
                  </w:p>
                </w:txbxContent>
              </v:textbox>
            </v:shape>
          </w:pict>
        </mc:Fallback>
      </mc:AlternateConten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4"/>
      </w:rPr>
    </w:pPr>
    <w:r>
      <w:fldChar w:fldCharType="begin"/>
    </w:r>
    <w:r>
      <w:rPr>
        <w:rStyle w:val="44"/>
      </w:rPr>
      <w:instrText xml:space="preserve">PAGE  </w:instrText>
    </w:r>
    <w:r>
      <w:fldChar w:fldCharType="separate"/>
    </w:r>
    <w:r>
      <w:rPr>
        <w:rStyle w:val="44"/>
        <w:rFonts w:hint="eastAsia"/>
      </w:rPr>
      <w:t>一</w:t>
    </w:r>
    <w:r>
      <w:rPr>
        <w:rStyle w:val="44"/>
      </w:rPr>
      <w:t>–2</w:t>
    </w:r>
    <w:r>
      <w:fldChar w:fldCharType="end"/>
    </w:r>
  </w:p>
  <w:p>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024829"/>
                          </w:sdtPr>
                          <w:sdtContent>
                            <w:p>
                              <w:pPr>
                                <w:pStyle w:val="26"/>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4024829"/>
                    </w:sdtPr>
                    <w:sdtContent>
                      <w:p>
                        <w:pPr>
                          <w:pStyle w:val="26"/>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8"/>
                    </w:pPr>
                  </w:p>
                </w:txbxContent>
              </v:textbox>
            </v:shape>
          </w:pict>
        </mc:Fallback>
      </mc:AlternateContent>
    </w:r>
  </w:p>
  <w:p>
    <w:pPr>
      <w:pStyle w:val="26"/>
      <w:rPr>
        <w:rStyle w:val="4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4"/>
      </w:rPr>
    </w:pPr>
    <w:r>
      <w:rPr>
        <w:rStyle w:val="44"/>
      </w:rPr>
      <w:fldChar w:fldCharType="begin"/>
    </w:r>
    <w:r>
      <w:rPr>
        <w:rStyle w:val="44"/>
      </w:rPr>
      <w:instrText xml:space="preserve">PAGE  </w:instrText>
    </w:r>
    <w:r>
      <w:rPr>
        <w:rStyle w:val="44"/>
      </w:rPr>
      <w:fldChar w:fldCharType="separate"/>
    </w:r>
    <w:r>
      <w:rPr>
        <w:rStyle w:val="44"/>
        <w:rFonts w:hint="eastAsia"/>
      </w:rPr>
      <w:t>一</w:t>
    </w:r>
    <w:r>
      <w:rPr>
        <w:rStyle w:val="44"/>
      </w:rPr>
      <w:t>–2</w:t>
    </w:r>
    <w:r>
      <w:rPr>
        <w:rStyle w:val="44"/>
      </w:rPr>
      <w:fldChar w:fldCharType="end"/>
    </w:r>
  </w:p>
  <w:p>
    <w:pPr>
      <w:pStyle w:val="26"/>
      <w:ind w:firstLine="392"/>
    </w:pPr>
    <w:r>
      <w:rPr>
        <w:kern w:val="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sdt>
      <w:sdtPr>
        <w:id w:val="24024830"/>
      </w:sdtPr>
      <w:sdtContent>
        <w:r>
          <w:rPr>
            <w:rFonts w:hint="eastAsia"/>
          </w:rPr>
          <w:t>1</w:t>
        </w:r>
      </w:sdtContent>
    </w:sdt>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rPr>
        <w:rStyle w:val="4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ind w:firstLine="392"/>
                            <w:jc w:val="right"/>
                          </w:pPr>
                          <w:r>
                            <w:fldChar w:fldCharType="begin"/>
                          </w:r>
                          <w:r>
                            <w:rPr>
                              <w:rStyle w:val="44"/>
                            </w:rPr>
                            <w:instrText xml:space="preserve">PAGE  </w:instrText>
                          </w:r>
                          <w:r>
                            <w:fldChar w:fldCharType="separate"/>
                          </w:r>
                          <w:r>
                            <w:rPr>
                              <w:rStyle w:val="44"/>
                            </w:rPr>
                            <w:t>47</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MugG8QBAACPAwAADgAAAAAAAAABACAAAAAeAQAAZHJzL2Uyb0RvYy54bWxQ&#10;SwUGAAAAAAYABgBZAQAAVAUAAAAA&#10;">
              <v:fill on="f" focussize="0,0"/>
              <v:stroke on="f"/>
              <v:imagedata o:title=""/>
              <o:lock v:ext="edit" aspectratio="f"/>
              <v:textbox inset="0mm,0mm,0mm,0mm" style="mso-fit-shape-to-text:t;">
                <w:txbxContent>
                  <w:p>
                    <w:pPr>
                      <w:pStyle w:val="26"/>
                      <w:ind w:firstLine="392"/>
                      <w:jc w:val="right"/>
                    </w:pPr>
                    <w:r>
                      <w:fldChar w:fldCharType="begin"/>
                    </w:r>
                    <w:r>
                      <w:rPr>
                        <w:rStyle w:val="44"/>
                      </w:rPr>
                      <w:instrText xml:space="preserve">PAGE  </w:instrText>
                    </w:r>
                    <w:r>
                      <w:fldChar w:fldCharType="separate"/>
                    </w:r>
                    <w:r>
                      <w:rPr>
                        <w:rStyle w:val="44"/>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ind w:firstLine="392"/>
                          </w:pPr>
                          <w:r>
                            <w:fldChar w:fldCharType="begin"/>
                          </w:r>
                          <w:r>
                            <w:rPr>
                              <w:rStyle w:val="44"/>
                            </w:rPr>
                            <w:instrText xml:space="preserve"> PAGE </w:instrText>
                          </w:r>
                          <w:r>
                            <w:fldChar w:fldCharType="separate"/>
                          </w:r>
                          <w:r>
                            <w:rPr>
                              <w:rStyle w:val="44"/>
                            </w:rPr>
                            <w:t>46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5ksMBAACPAwAADgAAAGRycy9lMm9Eb2MueG1srVPNjtMwEL4j8Q6W&#10;79TZClV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OsVauK4xZFffny//Px9+fWN&#10;rLJAfYAa8+4DZqbhrR9wbWY/oDPzHlS0+YuMCMYR6nyVVw6JiPxovVyvKwwJjM0XxGcPz0OE9E56&#10;S7LR0IjzK7Ly0wdIY+qckqs5f6eNKTM07i8HYmYPy72PPWYrDfthIrT37Rn59Dj6hjrcdErMe4fK&#10;Yn9pNuJs7Ccj14Dw5piwcOkno45QUzGcU2E07VRehMf3kvXwH2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H4jmSwwEAAI8DAAAOAAAAAAAAAAEAIAAAAB4BAABkcnMvZTJvRG9jLnhtbFBL&#10;BQYAAAAABgAGAFkBAABTBQAAAAA=&#10;">
              <v:fill on="f" focussize="0,0"/>
              <v:stroke on="f"/>
              <v:imagedata o:title=""/>
              <o:lock v:ext="edit" aspectratio="f"/>
              <v:textbox inset="0mm,0mm,0mm,0mm" style="mso-fit-shape-to-text:t;">
                <w:txbxContent>
                  <w:p>
                    <w:pPr>
                      <w:pStyle w:val="26"/>
                      <w:ind w:firstLine="392"/>
                    </w:pPr>
                    <w:r>
                      <w:fldChar w:fldCharType="begin"/>
                    </w:r>
                    <w:r>
                      <w:rPr>
                        <w:rStyle w:val="44"/>
                      </w:rPr>
                      <w:instrText xml:space="preserve"> PAGE </w:instrText>
                    </w:r>
                    <w:r>
                      <w:fldChar w:fldCharType="separate"/>
                    </w:r>
                    <w:r>
                      <w:rPr>
                        <w:rStyle w:val="44"/>
                      </w:rP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rPr>
                              <w:rStyle w:val="44"/>
                            </w:rPr>
                          </w:pPr>
                          <w:r>
                            <w:fldChar w:fldCharType="begin"/>
                          </w:r>
                          <w:r>
                            <w:rPr>
                              <w:rStyle w:val="44"/>
                            </w:rPr>
                            <w:instrText xml:space="preserve">PAGE  </w:instrText>
                          </w:r>
                          <w:r>
                            <w:fldChar w:fldCharType="separate"/>
                          </w:r>
                          <w:r>
                            <w:rPr>
                              <w:rStyle w:val="44"/>
                            </w:rPr>
                            <w:t>53</w:t>
                          </w:r>
                          <w:r>
                            <w:fldChar w:fldCharType="end"/>
                          </w:r>
                        </w:p>
                        <w:p>
                          <w:pPr>
                            <w:pStyle w:val="26"/>
                            <w:ind w:left="-4410" w:leftChars="-2100" w:right="-4439" w:rightChars="-2114"/>
                            <w:rPr>
                              <w:rStyle w:val="44"/>
                            </w:rPr>
                          </w:pPr>
                        </w:p>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xqnMgsQBAACPAwAADgAAAAAAAAABACAAAAAeAQAAZHJzL2Uyb0RvYy54bWxQ&#10;SwUGAAAAAAYABgBZAQAAVAUAAAAA&#10;">
              <v:fill on="f" focussize="0,0"/>
              <v:stroke on="f"/>
              <v:imagedata o:title=""/>
              <o:lock v:ext="edit" aspectratio="f"/>
              <v:textbox inset="0mm,0mm,0mm,0mm" style="mso-fit-shape-to-text:t;">
                <w:txbxContent>
                  <w:p>
                    <w:pPr>
                      <w:pStyle w:val="26"/>
                      <w:jc w:val="center"/>
                      <w:rPr>
                        <w:rStyle w:val="44"/>
                      </w:rPr>
                    </w:pPr>
                    <w:r>
                      <w:fldChar w:fldCharType="begin"/>
                    </w:r>
                    <w:r>
                      <w:rPr>
                        <w:rStyle w:val="44"/>
                      </w:rPr>
                      <w:instrText xml:space="preserve">PAGE  </w:instrText>
                    </w:r>
                    <w:r>
                      <w:fldChar w:fldCharType="separate"/>
                    </w:r>
                    <w:r>
                      <w:rPr>
                        <w:rStyle w:val="44"/>
                      </w:rPr>
                      <w:t>53</w:t>
                    </w:r>
                    <w:r>
                      <w:fldChar w:fldCharType="end"/>
                    </w:r>
                  </w:p>
                  <w:p>
                    <w:pPr>
                      <w:pStyle w:val="26"/>
                      <w:ind w:left="-4410" w:leftChars="-2100" w:right="-4439" w:rightChars="-2114"/>
                      <w:rPr>
                        <w:rStyle w:val="44"/>
                      </w:rPr>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9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7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ODE4OTM0NDNkZGZmNjczZjI0Y2UxN2FhZWM5NGEifQ=="/>
  </w:docVars>
  <w:rsids>
    <w:rsidRoot w:val="00172A27"/>
    <w:rsid w:val="00022036"/>
    <w:rsid w:val="001141C8"/>
    <w:rsid w:val="001526F2"/>
    <w:rsid w:val="00172A27"/>
    <w:rsid w:val="001D6DE9"/>
    <w:rsid w:val="002A043C"/>
    <w:rsid w:val="00415BF0"/>
    <w:rsid w:val="005A6BA3"/>
    <w:rsid w:val="005E757E"/>
    <w:rsid w:val="00666498"/>
    <w:rsid w:val="0068043D"/>
    <w:rsid w:val="00690604"/>
    <w:rsid w:val="006B6B0D"/>
    <w:rsid w:val="00726F3F"/>
    <w:rsid w:val="00761B8F"/>
    <w:rsid w:val="00782F49"/>
    <w:rsid w:val="007B41BE"/>
    <w:rsid w:val="007C33A0"/>
    <w:rsid w:val="007E7DFB"/>
    <w:rsid w:val="007F2D5C"/>
    <w:rsid w:val="008E139D"/>
    <w:rsid w:val="008F3A74"/>
    <w:rsid w:val="009A7D17"/>
    <w:rsid w:val="00A84835"/>
    <w:rsid w:val="00AA75B5"/>
    <w:rsid w:val="00B50791"/>
    <w:rsid w:val="00B50880"/>
    <w:rsid w:val="00B80659"/>
    <w:rsid w:val="00BC063D"/>
    <w:rsid w:val="00C408D3"/>
    <w:rsid w:val="00CD2902"/>
    <w:rsid w:val="00D50292"/>
    <w:rsid w:val="00D83C80"/>
    <w:rsid w:val="00E00A3D"/>
    <w:rsid w:val="00F934ED"/>
    <w:rsid w:val="011A5927"/>
    <w:rsid w:val="017737CC"/>
    <w:rsid w:val="018A1867"/>
    <w:rsid w:val="020A481E"/>
    <w:rsid w:val="026F16E9"/>
    <w:rsid w:val="027E7342"/>
    <w:rsid w:val="02896C7C"/>
    <w:rsid w:val="028D53ED"/>
    <w:rsid w:val="02CA41C9"/>
    <w:rsid w:val="02D63872"/>
    <w:rsid w:val="034857C7"/>
    <w:rsid w:val="03E62F58"/>
    <w:rsid w:val="047B1CED"/>
    <w:rsid w:val="04ED6E69"/>
    <w:rsid w:val="051C3540"/>
    <w:rsid w:val="053F0678"/>
    <w:rsid w:val="05586721"/>
    <w:rsid w:val="0564312A"/>
    <w:rsid w:val="05AD29E4"/>
    <w:rsid w:val="05BF2A28"/>
    <w:rsid w:val="05E036F4"/>
    <w:rsid w:val="06027E91"/>
    <w:rsid w:val="064C4D02"/>
    <w:rsid w:val="06506DF8"/>
    <w:rsid w:val="06540D99"/>
    <w:rsid w:val="065956BD"/>
    <w:rsid w:val="06860170"/>
    <w:rsid w:val="06AA0251"/>
    <w:rsid w:val="06B93CFC"/>
    <w:rsid w:val="06D532A5"/>
    <w:rsid w:val="06E120BD"/>
    <w:rsid w:val="07A52958"/>
    <w:rsid w:val="087939A9"/>
    <w:rsid w:val="08C76EB9"/>
    <w:rsid w:val="093F79E9"/>
    <w:rsid w:val="094B12F4"/>
    <w:rsid w:val="09675528"/>
    <w:rsid w:val="09680543"/>
    <w:rsid w:val="09826C77"/>
    <w:rsid w:val="09A22DA8"/>
    <w:rsid w:val="09AB19F8"/>
    <w:rsid w:val="0A457394"/>
    <w:rsid w:val="0A6131A6"/>
    <w:rsid w:val="0A8B402E"/>
    <w:rsid w:val="0A95096C"/>
    <w:rsid w:val="0B70426A"/>
    <w:rsid w:val="0BD05811"/>
    <w:rsid w:val="0BDE56BA"/>
    <w:rsid w:val="0C0527BE"/>
    <w:rsid w:val="0C231B92"/>
    <w:rsid w:val="0C2352EC"/>
    <w:rsid w:val="0C9211C2"/>
    <w:rsid w:val="0C961C11"/>
    <w:rsid w:val="0C98323A"/>
    <w:rsid w:val="0CA110FA"/>
    <w:rsid w:val="0CA47519"/>
    <w:rsid w:val="0CD470E5"/>
    <w:rsid w:val="0CEF12B6"/>
    <w:rsid w:val="0D2C5AC8"/>
    <w:rsid w:val="0D7E079D"/>
    <w:rsid w:val="0D9E7C23"/>
    <w:rsid w:val="0DC10EC6"/>
    <w:rsid w:val="0E785332"/>
    <w:rsid w:val="0EE74E5F"/>
    <w:rsid w:val="0F260533"/>
    <w:rsid w:val="0F391D1E"/>
    <w:rsid w:val="1036377D"/>
    <w:rsid w:val="105E1543"/>
    <w:rsid w:val="107278B0"/>
    <w:rsid w:val="10802265"/>
    <w:rsid w:val="10C93DED"/>
    <w:rsid w:val="10DB28A7"/>
    <w:rsid w:val="116F64C1"/>
    <w:rsid w:val="118A2047"/>
    <w:rsid w:val="11B72816"/>
    <w:rsid w:val="11CF49BB"/>
    <w:rsid w:val="12171460"/>
    <w:rsid w:val="12480F59"/>
    <w:rsid w:val="124B24A6"/>
    <w:rsid w:val="129A79EB"/>
    <w:rsid w:val="12B85942"/>
    <w:rsid w:val="13045A22"/>
    <w:rsid w:val="131D6689"/>
    <w:rsid w:val="137D1D59"/>
    <w:rsid w:val="138C3411"/>
    <w:rsid w:val="13C7154F"/>
    <w:rsid w:val="1407543B"/>
    <w:rsid w:val="147757B0"/>
    <w:rsid w:val="14863FB7"/>
    <w:rsid w:val="15157CDC"/>
    <w:rsid w:val="15403EA5"/>
    <w:rsid w:val="1559233C"/>
    <w:rsid w:val="15A86181"/>
    <w:rsid w:val="15D471AB"/>
    <w:rsid w:val="1633769F"/>
    <w:rsid w:val="165E4770"/>
    <w:rsid w:val="166D0619"/>
    <w:rsid w:val="16EB2A31"/>
    <w:rsid w:val="16EF1304"/>
    <w:rsid w:val="16FD3BA6"/>
    <w:rsid w:val="172872D5"/>
    <w:rsid w:val="17656F96"/>
    <w:rsid w:val="17D336D0"/>
    <w:rsid w:val="181E3AE5"/>
    <w:rsid w:val="1827036A"/>
    <w:rsid w:val="18504329"/>
    <w:rsid w:val="185449B0"/>
    <w:rsid w:val="18573E08"/>
    <w:rsid w:val="18A8403A"/>
    <w:rsid w:val="18B711DB"/>
    <w:rsid w:val="18DF12C2"/>
    <w:rsid w:val="18E447AB"/>
    <w:rsid w:val="191F3026"/>
    <w:rsid w:val="19772978"/>
    <w:rsid w:val="19DB14B6"/>
    <w:rsid w:val="19E82350"/>
    <w:rsid w:val="19FB6A61"/>
    <w:rsid w:val="1A395708"/>
    <w:rsid w:val="1A5E56B6"/>
    <w:rsid w:val="1A636B61"/>
    <w:rsid w:val="1A8E1FEB"/>
    <w:rsid w:val="1A9148BB"/>
    <w:rsid w:val="1AA86769"/>
    <w:rsid w:val="1AC06EAF"/>
    <w:rsid w:val="1AD65237"/>
    <w:rsid w:val="1AD6646C"/>
    <w:rsid w:val="1AFE3D2E"/>
    <w:rsid w:val="1B4D5EE5"/>
    <w:rsid w:val="1B750A9E"/>
    <w:rsid w:val="1B7B45A9"/>
    <w:rsid w:val="1B877B32"/>
    <w:rsid w:val="1B8A7657"/>
    <w:rsid w:val="1C1D2D61"/>
    <w:rsid w:val="1C3B4EB4"/>
    <w:rsid w:val="1C651FAD"/>
    <w:rsid w:val="1C705AD5"/>
    <w:rsid w:val="1C760286"/>
    <w:rsid w:val="1C8220D9"/>
    <w:rsid w:val="1C962EC1"/>
    <w:rsid w:val="1C9F5E25"/>
    <w:rsid w:val="1CC22CE1"/>
    <w:rsid w:val="1CD40CF0"/>
    <w:rsid w:val="1CF67201"/>
    <w:rsid w:val="1D8D3EAB"/>
    <w:rsid w:val="1D9301A0"/>
    <w:rsid w:val="1DC93563"/>
    <w:rsid w:val="1DDF34E1"/>
    <w:rsid w:val="1E8B4A4A"/>
    <w:rsid w:val="1ECD0795"/>
    <w:rsid w:val="1EEE1380"/>
    <w:rsid w:val="1F143BE2"/>
    <w:rsid w:val="1F1C14E2"/>
    <w:rsid w:val="1F21671B"/>
    <w:rsid w:val="1F4B32AB"/>
    <w:rsid w:val="1FB311B0"/>
    <w:rsid w:val="20A041EA"/>
    <w:rsid w:val="20E612A9"/>
    <w:rsid w:val="212A7E0A"/>
    <w:rsid w:val="213B5E42"/>
    <w:rsid w:val="21781E3E"/>
    <w:rsid w:val="21A60FF2"/>
    <w:rsid w:val="21AF0F55"/>
    <w:rsid w:val="220E63E7"/>
    <w:rsid w:val="22555E56"/>
    <w:rsid w:val="228B3A0E"/>
    <w:rsid w:val="22A730ED"/>
    <w:rsid w:val="22B159DA"/>
    <w:rsid w:val="22B63C63"/>
    <w:rsid w:val="22B71FC6"/>
    <w:rsid w:val="22F37B0E"/>
    <w:rsid w:val="2354632A"/>
    <w:rsid w:val="237E2163"/>
    <w:rsid w:val="239813F6"/>
    <w:rsid w:val="23F1401F"/>
    <w:rsid w:val="242C729C"/>
    <w:rsid w:val="24500FEE"/>
    <w:rsid w:val="247054BC"/>
    <w:rsid w:val="24854EE4"/>
    <w:rsid w:val="24B050BF"/>
    <w:rsid w:val="24FD15A8"/>
    <w:rsid w:val="25695685"/>
    <w:rsid w:val="25774177"/>
    <w:rsid w:val="25774D30"/>
    <w:rsid w:val="25DF794F"/>
    <w:rsid w:val="264A728C"/>
    <w:rsid w:val="26993D7D"/>
    <w:rsid w:val="26F948A9"/>
    <w:rsid w:val="270B3A6E"/>
    <w:rsid w:val="27A16CBF"/>
    <w:rsid w:val="27CA0AA2"/>
    <w:rsid w:val="27D0036E"/>
    <w:rsid w:val="27DF076D"/>
    <w:rsid w:val="28044392"/>
    <w:rsid w:val="28486084"/>
    <w:rsid w:val="28582DDD"/>
    <w:rsid w:val="28840DF5"/>
    <w:rsid w:val="28DA754A"/>
    <w:rsid w:val="29095A04"/>
    <w:rsid w:val="291B4325"/>
    <w:rsid w:val="29722049"/>
    <w:rsid w:val="297C57E3"/>
    <w:rsid w:val="299040D2"/>
    <w:rsid w:val="29951F8E"/>
    <w:rsid w:val="29A958AB"/>
    <w:rsid w:val="29B17A11"/>
    <w:rsid w:val="29F0739F"/>
    <w:rsid w:val="2A0F54D3"/>
    <w:rsid w:val="2A2F5290"/>
    <w:rsid w:val="2A363FD7"/>
    <w:rsid w:val="2A3B38B7"/>
    <w:rsid w:val="2A8474BE"/>
    <w:rsid w:val="2AB96736"/>
    <w:rsid w:val="2B3C4D3A"/>
    <w:rsid w:val="2B5D66C3"/>
    <w:rsid w:val="2B8E0B67"/>
    <w:rsid w:val="2BB01E07"/>
    <w:rsid w:val="2BB90500"/>
    <w:rsid w:val="2BFD5568"/>
    <w:rsid w:val="2C003A26"/>
    <w:rsid w:val="2C321754"/>
    <w:rsid w:val="2C7C2AD6"/>
    <w:rsid w:val="2D4D76B0"/>
    <w:rsid w:val="2D77165D"/>
    <w:rsid w:val="2D806A5F"/>
    <w:rsid w:val="2DAC7415"/>
    <w:rsid w:val="2E0E5885"/>
    <w:rsid w:val="2E1210D1"/>
    <w:rsid w:val="2E5A41E3"/>
    <w:rsid w:val="2E640A26"/>
    <w:rsid w:val="2E8B033D"/>
    <w:rsid w:val="2EE3223F"/>
    <w:rsid w:val="2F1403D1"/>
    <w:rsid w:val="2F194481"/>
    <w:rsid w:val="2F735041"/>
    <w:rsid w:val="2F807ADD"/>
    <w:rsid w:val="2FE37E91"/>
    <w:rsid w:val="300231AE"/>
    <w:rsid w:val="30225EB4"/>
    <w:rsid w:val="3033152B"/>
    <w:rsid w:val="30594B11"/>
    <w:rsid w:val="306F1059"/>
    <w:rsid w:val="30C30C7D"/>
    <w:rsid w:val="30D931A2"/>
    <w:rsid w:val="311C0B53"/>
    <w:rsid w:val="311C2D95"/>
    <w:rsid w:val="312D35BD"/>
    <w:rsid w:val="31317880"/>
    <w:rsid w:val="3159525B"/>
    <w:rsid w:val="31AB2C2B"/>
    <w:rsid w:val="32660F70"/>
    <w:rsid w:val="329868D3"/>
    <w:rsid w:val="32E86567"/>
    <w:rsid w:val="33C32BE3"/>
    <w:rsid w:val="33C5760E"/>
    <w:rsid w:val="33F50D56"/>
    <w:rsid w:val="33F8464E"/>
    <w:rsid w:val="3412436B"/>
    <w:rsid w:val="34972396"/>
    <w:rsid w:val="34A50503"/>
    <w:rsid w:val="34E53D53"/>
    <w:rsid w:val="350A79A5"/>
    <w:rsid w:val="358B7CE3"/>
    <w:rsid w:val="35BF6369"/>
    <w:rsid w:val="35C05EC9"/>
    <w:rsid w:val="35F54551"/>
    <w:rsid w:val="36146354"/>
    <w:rsid w:val="36652C5E"/>
    <w:rsid w:val="367F1F8F"/>
    <w:rsid w:val="37154910"/>
    <w:rsid w:val="373373FE"/>
    <w:rsid w:val="375D20AC"/>
    <w:rsid w:val="3823516B"/>
    <w:rsid w:val="38330BDE"/>
    <w:rsid w:val="383346A1"/>
    <w:rsid w:val="387A6C6E"/>
    <w:rsid w:val="38B377D1"/>
    <w:rsid w:val="38B848E3"/>
    <w:rsid w:val="38F11F81"/>
    <w:rsid w:val="391229FC"/>
    <w:rsid w:val="394037F8"/>
    <w:rsid w:val="399D65E6"/>
    <w:rsid w:val="39DF68CC"/>
    <w:rsid w:val="3A153B71"/>
    <w:rsid w:val="3A3C1234"/>
    <w:rsid w:val="3A561A09"/>
    <w:rsid w:val="3A7E1052"/>
    <w:rsid w:val="3ADB7134"/>
    <w:rsid w:val="3B76548B"/>
    <w:rsid w:val="3B8361C9"/>
    <w:rsid w:val="3BAD255A"/>
    <w:rsid w:val="3BB126FE"/>
    <w:rsid w:val="3BF93ABB"/>
    <w:rsid w:val="3C0E551B"/>
    <w:rsid w:val="3C331CC1"/>
    <w:rsid w:val="3C4302E0"/>
    <w:rsid w:val="3C886FC3"/>
    <w:rsid w:val="3C8F1340"/>
    <w:rsid w:val="3CAA2DA9"/>
    <w:rsid w:val="3CC328A9"/>
    <w:rsid w:val="3CE13C8B"/>
    <w:rsid w:val="3CF76F98"/>
    <w:rsid w:val="3D360CC0"/>
    <w:rsid w:val="3D71500D"/>
    <w:rsid w:val="3EDC288D"/>
    <w:rsid w:val="3EFE2E96"/>
    <w:rsid w:val="3F7E49B2"/>
    <w:rsid w:val="3F904C49"/>
    <w:rsid w:val="3FA908EB"/>
    <w:rsid w:val="3FBA0879"/>
    <w:rsid w:val="3FF85084"/>
    <w:rsid w:val="4009352E"/>
    <w:rsid w:val="401B0E5D"/>
    <w:rsid w:val="405417DB"/>
    <w:rsid w:val="408A12DC"/>
    <w:rsid w:val="411A3775"/>
    <w:rsid w:val="412C0DB2"/>
    <w:rsid w:val="4132611F"/>
    <w:rsid w:val="41446CBE"/>
    <w:rsid w:val="4191167E"/>
    <w:rsid w:val="41A67226"/>
    <w:rsid w:val="41B037C1"/>
    <w:rsid w:val="41C0440F"/>
    <w:rsid w:val="429002CB"/>
    <w:rsid w:val="431502B0"/>
    <w:rsid w:val="43236C93"/>
    <w:rsid w:val="435B5414"/>
    <w:rsid w:val="436C0251"/>
    <w:rsid w:val="436E5866"/>
    <w:rsid w:val="439F2E37"/>
    <w:rsid w:val="43C74670"/>
    <w:rsid w:val="43EC2737"/>
    <w:rsid w:val="4426286A"/>
    <w:rsid w:val="44473292"/>
    <w:rsid w:val="44C953A4"/>
    <w:rsid w:val="44FE2077"/>
    <w:rsid w:val="45105748"/>
    <w:rsid w:val="45170878"/>
    <w:rsid w:val="452C0B9D"/>
    <w:rsid w:val="456618EC"/>
    <w:rsid w:val="45662856"/>
    <w:rsid w:val="45E021B5"/>
    <w:rsid w:val="460A14A4"/>
    <w:rsid w:val="46145E89"/>
    <w:rsid w:val="4631002D"/>
    <w:rsid w:val="466C2D73"/>
    <w:rsid w:val="466E2B68"/>
    <w:rsid w:val="46724E4C"/>
    <w:rsid w:val="46931338"/>
    <w:rsid w:val="46961529"/>
    <w:rsid w:val="46BE5ECB"/>
    <w:rsid w:val="46FA72BA"/>
    <w:rsid w:val="471A13D9"/>
    <w:rsid w:val="47A43147"/>
    <w:rsid w:val="47AB309D"/>
    <w:rsid w:val="47AD429B"/>
    <w:rsid w:val="47F64D83"/>
    <w:rsid w:val="483A3C5F"/>
    <w:rsid w:val="483D5171"/>
    <w:rsid w:val="48927486"/>
    <w:rsid w:val="489F6AFD"/>
    <w:rsid w:val="490329FA"/>
    <w:rsid w:val="49262A22"/>
    <w:rsid w:val="494845D8"/>
    <w:rsid w:val="49AE3CDF"/>
    <w:rsid w:val="49BD7FA4"/>
    <w:rsid w:val="49E83CF6"/>
    <w:rsid w:val="49F12153"/>
    <w:rsid w:val="4A6B20F3"/>
    <w:rsid w:val="4AC16A9A"/>
    <w:rsid w:val="4B05109C"/>
    <w:rsid w:val="4B341CF5"/>
    <w:rsid w:val="4B435287"/>
    <w:rsid w:val="4B8148DD"/>
    <w:rsid w:val="4B8D0D64"/>
    <w:rsid w:val="4BA83306"/>
    <w:rsid w:val="4BB02823"/>
    <w:rsid w:val="4BEB48C2"/>
    <w:rsid w:val="4BEE1D70"/>
    <w:rsid w:val="4BF247F7"/>
    <w:rsid w:val="4BF80EE7"/>
    <w:rsid w:val="4C4045CE"/>
    <w:rsid w:val="4C5F23C3"/>
    <w:rsid w:val="4D1F7C77"/>
    <w:rsid w:val="4D221D16"/>
    <w:rsid w:val="4D41409C"/>
    <w:rsid w:val="4D600804"/>
    <w:rsid w:val="4D7632E3"/>
    <w:rsid w:val="4E0D44D2"/>
    <w:rsid w:val="4E1743FD"/>
    <w:rsid w:val="4E4153D3"/>
    <w:rsid w:val="4EE97FAF"/>
    <w:rsid w:val="4EF04A2C"/>
    <w:rsid w:val="4EF86618"/>
    <w:rsid w:val="4EFF0EA6"/>
    <w:rsid w:val="4F08012E"/>
    <w:rsid w:val="4F09068B"/>
    <w:rsid w:val="4F10038E"/>
    <w:rsid w:val="4F7052A4"/>
    <w:rsid w:val="4FB46AF8"/>
    <w:rsid w:val="4FBC26CE"/>
    <w:rsid w:val="4FE73AE6"/>
    <w:rsid w:val="50335F6D"/>
    <w:rsid w:val="507C3CDE"/>
    <w:rsid w:val="50A23AD9"/>
    <w:rsid w:val="50DB36A9"/>
    <w:rsid w:val="50E83BA8"/>
    <w:rsid w:val="511B0545"/>
    <w:rsid w:val="51473871"/>
    <w:rsid w:val="51607DCF"/>
    <w:rsid w:val="51A34D5B"/>
    <w:rsid w:val="51AC0C65"/>
    <w:rsid w:val="51B52A12"/>
    <w:rsid w:val="51C17285"/>
    <w:rsid w:val="51D5508B"/>
    <w:rsid w:val="51FB521E"/>
    <w:rsid w:val="521051AA"/>
    <w:rsid w:val="52107298"/>
    <w:rsid w:val="529878FB"/>
    <w:rsid w:val="52AB619D"/>
    <w:rsid w:val="533829D5"/>
    <w:rsid w:val="54283D71"/>
    <w:rsid w:val="54605CBA"/>
    <w:rsid w:val="546278B5"/>
    <w:rsid w:val="54E4544F"/>
    <w:rsid w:val="54F06370"/>
    <w:rsid w:val="5538603E"/>
    <w:rsid w:val="55481872"/>
    <w:rsid w:val="557C43A3"/>
    <w:rsid w:val="55933087"/>
    <w:rsid w:val="55BE1A71"/>
    <w:rsid w:val="55CB1DDD"/>
    <w:rsid w:val="55F75ED0"/>
    <w:rsid w:val="56067FE7"/>
    <w:rsid w:val="56282713"/>
    <w:rsid w:val="5655590A"/>
    <w:rsid w:val="57105165"/>
    <w:rsid w:val="57486C67"/>
    <w:rsid w:val="576014CE"/>
    <w:rsid w:val="577708F0"/>
    <w:rsid w:val="57792650"/>
    <w:rsid w:val="57C96DD1"/>
    <w:rsid w:val="57CF5152"/>
    <w:rsid w:val="57D31469"/>
    <w:rsid w:val="57D736AB"/>
    <w:rsid w:val="57E82C92"/>
    <w:rsid w:val="59667F3B"/>
    <w:rsid w:val="59812AEF"/>
    <w:rsid w:val="59F365C9"/>
    <w:rsid w:val="5A217402"/>
    <w:rsid w:val="5A470DDC"/>
    <w:rsid w:val="5A475C1D"/>
    <w:rsid w:val="5AAD2021"/>
    <w:rsid w:val="5AB370E2"/>
    <w:rsid w:val="5ABA5EEF"/>
    <w:rsid w:val="5AC54162"/>
    <w:rsid w:val="5AE43DF7"/>
    <w:rsid w:val="5B1C60A0"/>
    <w:rsid w:val="5B412B1B"/>
    <w:rsid w:val="5B7053D9"/>
    <w:rsid w:val="5B8A6D99"/>
    <w:rsid w:val="5B913480"/>
    <w:rsid w:val="5B94467C"/>
    <w:rsid w:val="5BBE703E"/>
    <w:rsid w:val="5BC462FA"/>
    <w:rsid w:val="5C5541F9"/>
    <w:rsid w:val="5CCD775E"/>
    <w:rsid w:val="5CE6040B"/>
    <w:rsid w:val="5D0339EF"/>
    <w:rsid w:val="5D2F25D0"/>
    <w:rsid w:val="5D8717FB"/>
    <w:rsid w:val="5DD9676F"/>
    <w:rsid w:val="5E2F56A9"/>
    <w:rsid w:val="5E40582E"/>
    <w:rsid w:val="5E5902E6"/>
    <w:rsid w:val="5E7154E3"/>
    <w:rsid w:val="5EEC6EC6"/>
    <w:rsid w:val="5EFF5FB7"/>
    <w:rsid w:val="5F163D75"/>
    <w:rsid w:val="5F2120D9"/>
    <w:rsid w:val="5F2D185D"/>
    <w:rsid w:val="5F41642A"/>
    <w:rsid w:val="5F8232A3"/>
    <w:rsid w:val="5FE151C4"/>
    <w:rsid w:val="602A379F"/>
    <w:rsid w:val="605D5D9B"/>
    <w:rsid w:val="60881E97"/>
    <w:rsid w:val="60EB785D"/>
    <w:rsid w:val="60FD144A"/>
    <w:rsid w:val="61006118"/>
    <w:rsid w:val="61CD3CC1"/>
    <w:rsid w:val="61E32600"/>
    <w:rsid w:val="62855FC7"/>
    <w:rsid w:val="63025E0F"/>
    <w:rsid w:val="631B549D"/>
    <w:rsid w:val="63275EB3"/>
    <w:rsid w:val="63633078"/>
    <w:rsid w:val="63745B22"/>
    <w:rsid w:val="639F3B5E"/>
    <w:rsid w:val="63C57C20"/>
    <w:rsid w:val="63E568B9"/>
    <w:rsid w:val="64123318"/>
    <w:rsid w:val="646A3B6C"/>
    <w:rsid w:val="650221E6"/>
    <w:rsid w:val="65367FBF"/>
    <w:rsid w:val="654B6F0B"/>
    <w:rsid w:val="655817C1"/>
    <w:rsid w:val="65832A99"/>
    <w:rsid w:val="658916B3"/>
    <w:rsid w:val="6607280C"/>
    <w:rsid w:val="660D094F"/>
    <w:rsid w:val="669C4FA4"/>
    <w:rsid w:val="66D91562"/>
    <w:rsid w:val="66DF496B"/>
    <w:rsid w:val="66E0395C"/>
    <w:rsid w:val="66E71456"/>
    <w:rsid w:val="66E768D3"/>
    <w:rsid w:val="66FC52EB"/>
    <w:rsid w:val="67154391"/>
    <w:rsid w:val="6719559D"/>
    <w:rsid w:val="675533F0"/>
    <w:rsid w:val="67561739"/>
    <w:rsid w:val="678B4C26"/>
    <w:rsid w:val="679C3BC3"/>
    <w:rsid w:val="6808751C"/>
    <w:rsid w:val="688C1208"/>
    <w:rsid w:val="68A367FF"/>
    <w:rsid w:val="68D617BD"/>
    <w:rsid w:val="68F70E89"/>
    <w:rsid w:val="68FE71B7"/>
    <w:rsid w:val="696526FC"/>
    <w:rsid w:val="69AE4FB3"/>
    <w:rsid w:val="69EF2AD0"/>
    <w:rsid w:val="69F24A94"/>
    <w:rsid w:val="6A141768"/>
    <w:rsid w:val="6A1438AF"/>
    <w:rsid w:val="6A1D1429"/>
    <w:rsid w:val="6A622DAE"/>
    <w:rsid w:val="6ACB2303"/>
    <w:rsid w:val="6AFC5936"/>
    <w:rsid w:val="6B326EFB"/>
    <w:rsid w:val="6B9067E9"/>
    <w:rsid w:val="6B987A2F"/>
    <w:rsid w:val="6BC76A80"/>
    <w:rsid w:val="6BE04ECD"/>
    <w:rsid w:val="6BE91C07"/>
    <w:rsid w:val="6C3B49B9"/>
    <w:rsid w:val="6C620CBD"/>
    <w:rsid w:val="6C693E99"/>
    <w:rsid w:val="6C9D700A"/>
    <w:rsid w:val="6CB330A7"/>
    <w:rsid w:val="6CE175A7"/>
    <w:rsid w:val="6D0B0206"/>
    <w:rsid w:val="6DC302F2"/>
    <w:rsid w:val="6DD90A9D"/>
    <w:rsid w:val="6E1E73AB"/>
    <w:rsid w:val="6E616504"/>
    <w:rsid w:val="6E6315B4"/>
    <w:rsid w:val="6E6352EA"/>
    <w:rsid w:val="6E830B61"/>
    <w:rsid w:val="6E871FB0"/>
    <w:rsid w:val="6EA9360E"/>
    <w:rsid w:val="6EB64297"/>
    <w:rsid w:val="6ECD251F"/>
    <w:rsid w:val="6ED240F4"/>
    <w:rsid w:val="6F8846F5"/>
    <w:rsid w:val="6F954F52"/>
    <w:rsid w:val="6FB24875"/>
    <w:rsid w:val="6FCA6D21"/>
    <w:rsid w:val="6FD25BC7"/>
    <w:rsid w:val="6FDE34E3"/>
    <w:rsid w:val="6FE51E3B"/>
    <w:rsid w:val="70124031"/>
    <w:rsid w:val="70FD3746"/>
    <w:rsid w:val="711935D2"/>
    <w:rsid w:val="712331C2"/>
    <w:rsid w:val="714512A4"/>
    <w:rsid w:val="7158784F"/>
    <w:rsid w:val="71662709"/>
    <w:rsid w:val="718D1B7E"/>
    <w:rsid w:val="718F7283"/>
    <w:rsid w:val="719A7212"/>
    <w:rsid w:val="719E2417"/>
    <w:rsid w:val="71B042A0"/>
    <w:rsid w:val="71B45EEF"/>
    <w:rsid w:val="71BC6FEB"/>
    <w:rsid w:val="725467FF"/>
    <w:rsid w:val="726E7219"/>
    <w:rsid w:val="72982F11"/>
    <w:rsid w:val="72D15192"/>
    <w:rsid w:val="72FB6E73"/>
    <w:rsid w:val="731F6255"/>
    <w:rsid w:val="734B3502"/>
    <w:rsid w:val="73DF3E97"/>
    <w:rsid w:val="740E6E9B"/>
    <w:rsid w:val="74210653"/>
    <w:rsid w:val="74472CAB"/>
    <w:rsid w:val="745019A9"/>
    <w:rsid w:val="746260BB"/>
    <w:rsid w:val="747C257B"/>
    <w:rsid w:val="748313C2"/>
    <w:rsid w:val="749D2B10"/>
    <w:rsid w:val="74A470E1"/>
    <w:rsid w:val="74E129D0"/>
    <w:rsid w:val="74F25790"/>
    <w:rsid w:val="75587D93"/>
    <w:rsid w:val="756D02AE"/>
    <w:rsid w:val="75991C74"/>
    <w:rsid w:val="759967C7"/>
    <w:rsid w:val="75AF7BBC"/>
    <w:rsid w:val="76447E5D"/>
    <w:rsid w:val="767603C7"/>
    <w:rsid w:val="769E1D5F"/>
    <w:rsid w:val="76B65B12"/>
    <w:rsid w:val="7738591E"/>
    <w:rsid w:val="77433C8A"/>
    <w:rsid w:val="776971C2"/>
    <w:rsid w:val="77A26008"/>
    <w:rsid w:val="77C452CB"/>
    <w:rsid w:val="781A54CB"/>
    <w:rsid w:val="7837750A"/>
    <w:rsid w:val="78892964"/>
    <w:rsid w:val="789216E7"/>
    <w:rsid w:val="78CA3F5C"/>
    <w:rsid w:val="78DF0249"/>
    <w:rsid w:val="78FA0450"/>
    <w:rsid w:val="790C35E4"/>
    <w:rsid w:val="795A0C9E"/>
    <w:rsid w:val="79690B0F"/>
    <w:rsid w:val="7973083E"/>
    <w:rsid w:val="79835825"/>
    <w:rsid w:val="798C3CAF"/>
    <w:rsid w:val="79996B8B"/>
    <w:rsid w:val="7A05445A"/>
    <w:rsid w:val="7A250DDB"/>
    <w:rsid w:val="7A336EA6"/>
    <w:rsid w:val="7A4F68AD"/>
    <w:rsid w:val="7A761B7B"/>
    <w:rsid w:val="7A812719"/>
    <w:rsid w:val="7A885873"/>
    <w:rsid w:val="7AD8117C"/>
    <w:rsid w:val="7B1D7A9D"/>
    <w:rsid w:val="7BF254B9"/>
    <w:rsid w:val="7C10460B"/>
    <w:rsid w:val="7C2E7554"/>
    <w:rsid w:val="7C395D62"/>
    <w:rsid w:val="7C4F648D"/>
    <w:rsid w:val="7C5D68CF"/>
    <w:rsid w:val="7C684851"/>
    <w:rsid w:val="7CA827B6"/>
    <w:rsid w:val="7CB55C35"/>
    <w:rsid w:val="7CB70D7A"/>
    <w:rsid w:val="7CEA5C90"/>
    <w:rsid w:val="7D2620BD"/>
    <w:rsid w:val="7D48035E"/>
    <w:rsid w:val="7D7735FA"/>
    <w:rsid w:val="7DBC5FEC"/>
    <w:rsid w:val="7DC33D88"/>
    <w:rsid w:val="7DD52982"/>
    <w:rsid w:val="7DFF1076"/>
    <w:rsid w:val="7E3C339A"/>
    <w:rsid w:val="7E4C33B5"/>
    <w:rsid w:val="7E5A497C"/>
    <w:rsid w:val="7EF531EA"/>
    <w:rsid w:val="7F6E3331"/>
    <w:rsid w:val="7FF6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02"/>
    <w:qFormat/>
    <w:uiPriority w:val="0"/>
    <w:pPr>
      <w:keepNext/>
      <w:keepLines/>
      <w:spacing w:after="120" w:line="360" w:lineRule="auto"/>
      <w:jc w:val="left"/>
      <w:outlineLvl w:val="0"/>
    </w:pPr>
    <w:rPr>
      <w:kern w:val="44"/>
      <w:sz w:val="28"/>
      <w:szCs w:val="28"/>
    </w:rPr>
  </w:style>
  <w:style w:type="paragraph" w:styleId="4">
    <w:name w:val="heading 2"/>
    <w:basedOn w:val="1"/>
    <w:next w:val="5"/>
    <w:link w:val="105"/>
    <w:qFormat/>
    <w:uiPriority w:val="0"/>
    <w:pPr>
      <w:keepNext/>
      <w:keepLines/>
      <w:tabs>
        <w:tab w:val="right" w:leader="dot" w:pos="9060"/>
      </w:tab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100"/>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1"/>
    <w:link w:val="11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89"/>
    <w:qFormat/>
    <w:uiPriority w:val="0"/>
    <w:pPr>
      <w:numPr>
        <w:ilvl w:val="4"/>
      </w:numPr>
      <w:spacing w:line="240" w:lineRule="exact"/>
      <w:outlineLvl w:val="4"/>
    </w:pPr>
  </w:style>
  <w:style w:type="paragraph" w:styleId="9">
    <w:name w:val="heading 6"/>
    <w:basedOn w:val="1"/>
    <w:next w:val="1"/>
    <w:link w:val="98"/>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92"/>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5"/>
    <w:link w:val="8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8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eastAsia="宋体" w:cs="Times New Roman"/>
      <w:b/>
      <w:lang w:bidi="ar-SA"/>
    </w:rPr>
  </w:style>
  <w:style w:type="paragraph" w:styleId="5">
    <w:name w:val="Normal Indent"/>
    <w:basedOn w:val="1"/>
    <w:qFormat/>
    <w:uiPriority w:val="0"/>
    <w:pPr>
      <w:ind w:firstLine="420"/>
    </w:pPr>
    <w:rPr>
      <w:szCs w:val="20"/>
    </w:rPr>
  </w:style>
  <w:style w:type="paragraph" w:styleId="13">
    <w:name w:val="Document Map"/>
    <w:basedOn w:val="1"/>
    <w:link w:val="122"/>
    <w:qFormat/>
    <w:uiPriority w:val="0"/>
    <w:pPr>
      <w:shd w:val="clear" w:color="auto" w:fill="000080"/>
    </w:pPr>
    <w:rPr>
      <w:szCs w:val="20"/>
    </w:rPr>
  </w:style>
  <w:style w:type="paragraph" w:styleId="14">
    <w:name w:val="annotation text"/>
    <w:basedOn w:val="1"/>
    <w:link w:val="96"/>
    <w:qFormat/>
    <w:uiPriority w:val="0"/>
    <w:pPr>
      <w:spacing w:line="360" w:lineRule="auto"/>
      <w:ind w:firstLine="523" w:firstLineChars="218"/>
      <w:jc w:val="left"/>
    </w:pPr>
    <w:rPr>
      <w:rFonts w:ascii="宋体" w:hAnsi="宋体"/>
      <w:sz w:val="24"/>
      <w:szCs w:val="24"/>
    </w:rPr>
  </w:style>
  <w:style w:type="paragraph" w:styleId="15">
    <w:name w:val="Salutation"/>
    <w:basedOn w:val="1"/>
    <w:next w:val="1"/>
    <w:qFormat/>
    <w:uiPriority w:val="0"/>
    <w:pPr>
      <w:adjustRightInd w:val="0"/>
      <w:snapToGrid w:val="0"/>
      <w:spacing w:line="500" w:lineRule="atLeast"/>
      <w:textAlignment w:val="baseline"/>
    </w:pPr>
    <w:rPr>
      <w:rFonts w:ascii="宋体"/>
      <w:b/>
      <w:kern w:val="0"/>
      <w:sz w:val="28"/>
      <w:szCs w:val="20"/>
    </w:rPr>
  </w:style>
  <w:style w:type="paragraph" w:styleId="16">
    <w:name w:val="Body Text 3"/>
    <w:basedOn w:val="1"/>
    <w:unhideWhenUsed/>
    <w:qFormat/>
    <w:uiPriority w:val="99"/>
    <w:rPr>
      <w:rFonts w:ascii="宋体"/>
      <w:sz w:val="24"/>
      <w:szCs w:val="20"/>
    </w:rPr>
  </w:style>
  <w:style w:type="paragraph" w:styleId="17">
    <w:name w:val="Body Text"/>
    <w:basedOn w:val="1"/>
    <w:next w:val="1"/>
    <w:link w:val="85"/>
    <w:qFormat/>
    <w:uiPriority w:val="0"/>
    <w:pPr>
      <w:spacing w:after="120"/>
    </w:pPr>
    <w:rPr>
      <w:szCs w:val="20"/>
    </w:rPr>
  </w:style>
  <w:style w:type="paragraph" w:styleId="18">
    <w:name w:val="Body Text Indent"/>
    <w:basedOn w:val="1"/>
    <w:next w:val="19"/>
    <w:link w:val="94"/>
    <w:qFormat/>
    <w:uiPriority w:val="0"/>
    <w:pPr>
      <w:ind w:firstLine="570"/>
    </w:pPr>
    <w:rPr>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sz w:val="24"/>
      <w:szCs w:val="20"/>
    </w:rPr>
  </w:style>
  <w:style w:type="paragraph" w:styleId="21">
    <w:name w:val="Plain Text"/>
    <w:basedOn w:val="1"/>
    <w:next w:val="1"/>
    <w:link w:val="108"/>
    <w:qFormat/>
    <w:uiPriority w:val="0"/>
    <w:rPr>
      <w:rFonts w:ascii="宋体" w:hAnsi="Courier New"/>
      <w:szCs w:val="20"/>
    </w:rPr>
  </w:style>
  <w:style w:type="paragraph" w:styleId="22">
    <w:name w:val="Date"/>
    <w:basedOn w:val="1"/>
    <w:next w:val="1"/>
    <w:link w:val="81"/>
    <w:qFormat/>
    <w:uiPriority w:val="0"/>
    <w:rPr>
      <w:szCs w:val="20"/>
    </w:rPr>
  </w:style>
  <w:style w:type="paragraph" w:styleId="23">
    <w:name w:val="Body Text Indent 2"/>
    <w:basedOn w:val="1"/>
    <w:link w:val="107"/>
    <w:qFormat/>
    <w:uiPriority w:val="0"/>
    <w:pPr>
      <w:spacing w:line="400" w:lineRule="exact"/>
      <w:ind w:left="425"/>
    </w:pPr>
    <w:rPr>
      <w:color w:val="000000"/>
      <w:sz w:val="24"/>
      <w:szCs w:val="20"/>
    </w:rPr>
  </w:style>
  <w:style w:type="paragraph" w:styleId="24">
    <w:name w:val="endnote text"/>
    <w:basedOn w:val="1"/>
    <w:link w:val="110"/>
    <w:qFormat/>
    <w:uiPriority w:val="0"/>
    <w:pPr>
      <w:snapToGrid w:val="0"/>
      <w:jc w:val="left"/>
    </w:pPr>
    <w:rPr>
      <w:szCs w:val="20"/>
    </w:rPr>
  </w:style>
  <w:style w:type="paragraph" w:styleId="25">
    <w:name w:val="Balloon Text"/>
    <w:basedOn w:val="1"/>
    <w:link w:val="86"/>
    <w:qFormat/>
    <w:uiPriority w:val="0"/>
    <w:rPr>
      <w:sz w:val="18"/>
      <w:szCs w:val="18"/>
    </w:rPr>
  </w:style>
  <w:style w:type="paragraph" w:styleId="26">
    <w:name w:val="footer"/>
    <w:basedOn w:val="1"/>
    <w:link w:val="114"/>
    <w:unhideWhenUsed/>
    <w:qFormat/>
    <w:uiPriority w:val="0"/>
    <w:pPr>
      <w:tabs>
        <w:tab w:val="center" w:pos="4153"/>
        <w:tab w:val="right" w:pos="8306"/>
      </w:tabs>
      <w:snapToGrid w:val="0"/>
      <w:jc w:val="left"/>
    </w:pPr>
    <w:rPr>
      <w:sz w:val="18"/>
      <w:szCs w:val="18"/>
    </w:rPr>
  </w:style>
  <w:style w:type="paragraph" w:styleId="27">
    <w:name w:val="header"/>
    <w:basedOn w:val="1"/>
    <w:link w:val="104"/>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30"/>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93"/>
    <w:qFormat/>
    <w:uiPriority w:val="0"/>
    <w:pPr>
      <w:tabs>
        <w:tab w:val="left" w:pos="0"/>
      </w:tabs>
      <w:spacing w:line="400" w:lineRule="exact"/>
      <w:ind w:left="563" w:leftChars="228" w:hanging="84" w:hangingChars="35"/>
    </w:pPr>
    <w:rPr>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32">
    <w:name w:val="Body Text 2"/>
    <w:basedOn w:val="1"/>
    <w:link w:val="117"/>
    <w:qFormat/>
    <w:uiPriority w:val="0"/>
    <w:rPr>
      <w:rFonts w:ascii="宋体" w:hAnsi="宋体"/>
      <w:szCs w:val="24"/>
      <w:u w:val="single"/>
    </w:rPr>
  </w:style>
  <w:style w:type="paragraph" w:styleId="3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4">
    <w:name w:val="index 1"/>
    <w:basedOn w:val="1"/>
    <w:next w:val="1"/>
    <w:qFormat/>
    <w:uiPriority w:val="0"/>
    <w:rPr>
      <w:rFonts w:eastAsia="仿宋_GB2312"/>
      <w:sz w:val="28"/>
      <w:szCs w:val="20"/>
    </w:rPr>
  </w:style>
  <w:style w:type="paragraph" w:styleId="35">
    <w:name w:val="Title"/>
    <w:basedOn w:val="1"/>
    <w:link w:val="118"/>
    <w:qFormat/>
    <w:uiPriority w:val="0"/>
    <w:pPr>
      <w:spacing w:before="120" w:after="60"/>
      <w:jc w:val="center"/>
    </w:pPr>
    <w:rPr>
      <w:rFonts w:ascii="Arial" w:hAnsi="Arial"/>
      <w:b/>
      <w:sz w:val="44"/>
      <w:szCs w:val="20"/>
    </w:rPr>
  </w:style>
  <w:style w:type="paragraph" w:styleId="36">
    <w:name w:val="annotation subject"/>
    <w:basedOn w:val="14"/>
    <w:next w:val="14"/>
    <w:link w:val="125"/>
    <w:qFormat/>
    <w:uiPriority w:val="0"/>
    <w:rPr>
      <w:b/>
      <w:bCs/>
    </w:rPr>
  </w:style>
  <w:style w:type="paragraph" w:styleId="37">
    <w:name w:val="Body Text First Indent"/>
    <w:basedOn w:val="17"/>
    <w:link w:val="88"/>
    <w:qFormat/>
    <w:uiPriority w:val="0"/>
    <w:pPr>
      <w:ind w:firstLine="420"/>
    </w:pPr>
  </w:style>
  <w:style w:type="paragraph" w:styleId="38">
    <w:name w:val="Body Text First Indent 2"/>
    <w:basedOn w:val="18"/>
    <w:next w:val="1"/>
    <w:unhideWhenUsed/>
    <w:qFormat/>
    <w:uiPriority w:val="99"/>
    <w:pPr>
      <w:widowControl/>
      <w:spacing w:after="120"/>
      <w:ind w:left="420" w:leftChars="200" w:firstLine="420" w:firstLineChars="200"/>
      <w:jc w:val="left"/>
    </w:pPr>
    <w:rPr>
      <w:sz w:val="21"/>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rPr>
  </w:style>
  <w:style w:type="character" w:styleId="43">
    <w:name w:val="endnote reference"/>
    <w:qFormat/>
    <w:uiPriority w:val="0"/>
    <w:rPr>
      <w:vertAlign w:val="superscript"/>
    </w:rPr>
  </w:style>
  <w:style w:type="character" w:styleId="44">
    <w:name w:val="page number"/>
    <w:qFormat/>
    <w:uiPriority w:val="0"/>
    <w:rPr>
      <w:rFonts w:cs="Times New Roman"/>
    </w:rPr>
  </w:style>
  <w:style w:type="character" w:styleId="45">
    <w:name w:val="FollowedHyperlink"/>
    <w:unhideWhenUsed/>
    <w:qFormat/>
    <w:uiPriority w:val="99"/>
    <w:rPr>
      <w:color w:val="954F72"/>
      <w:u w:val="single"/>
    </w:rPr>
  </w:style>
  <w:style w:type="character" w:styleId="46">
    <w:name w:val="Emphasis"/>
    <w:qFormat/>
    <w:uiPriority w:val="20"/>
    <w:rPr>
      <w:color w:val="CC0000"/>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paragraph" w:customStyle="1" w:styleId="50">
    <w:name w:val="Default"/>
    <w:next w:val="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5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3">
    <w:name w:val="发文落款"/>
    <w:basedOn w:val="52"/>
    <w:qFormat/>
    <w:uiPriority w:val="0"/>
    <w:pPr>
      <w:ind w:left="4094" w:right="607" w:firstLine="0"/>
      <w:jc w:val="center"/>
    </w:pPr>
  </w:style>
  <w:style w:type="paragraph" w:customStyle="1" w:styleId="54">
    <w:name w:val="Char Char Char1 Char"/>
    <w:basedOn w:val="13"/>
    <w:qFormat/>
    <w:uiPriority w:val="0"/>
    <w:rPr>
      <w:rFonts w:ascii="Tahoma" w:hAnsi="Tahoma"/>
      <w:sz w:val="24"/>
      <w:szCs w:val="24"/>
    </w:rPr>
  </w:style>
  <w:style w:type="paragraph" w:customStyle="1" w:styleId="55">
    <w:name w:val="封四"/>
    <w:basedOn w:val="56"/>
    <w:next w:val="56"/>
    <w:qFormat/>
    <w:uiPriority w:val="0"/>
    <w:pPr>
      <w:jc w:val="left"/>
    </w:pPr>
    <w:rPr>
      <w:sz w:val="30"/>
      <w:szCs w:val="30"/>
    </w:rPr>
  </w:style>
  <w:style w:type="paragraph" w:customStyle="1" w:styleId="56">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57">
    <w:name w:val="普通(网站) Char"/>
    <w:basedOn w:val="1"/>
    <w:qFormat/>
    <w:uiPriority w:val="0"/>
    <w:pPr>
      <w:spacing w:before="100" w:beforeAutospacing="1" w:after="100" w:afterAutospacing="1"/>
      <w:jc w:val="left"/>
    </w:pPr>
    <w:rPr>
      <w:rFonts w:hint="eastAsia" w:ascii="宋体" w:hAnsi="宋体"/>
      <w:kern w:val="0"/>
      <w:sz w:val="24"/>
      <w:szCs w:val="24"/>
    </w:rPr>
  </w:style>
  <w:style w:type="paragraph" w:customStyle="1" w:styleId="58">
    <w:name w:val="章节三"/>
    <w:basedOn w:val="56"/>
    <w:next w:val="56"/>
    <w:qFormat/>
    <w:uiPriority w:val="0"/>
    <w:pPr>
      <w:spacing w:before="156" w:beforeLines="50" w:after="156" w:afterLines="50" w:line="240" w:lineRule="auto"/>
      <w:ind w:firstLine="0" w:firstLineChars="0"/>
      <w:jc w:val="left"/>
      <w:outlineLvl w:val="2"/>
    </w:pPr>
    <w:rPr>
      <w:rFonts w:ascii="黑体" w:hAnsi="宋体" w:eastAsia="黑体"/>
      <w:b/>
    </w:rPr>
  </w:style>
  <w:style w:type="paragraph" w:customStyle="1" w:styleId="59">
    <w:name w:val="_Style 55"/>
    <w:basedOn w:val="3"/>
    <w:next w:val="1"/>
    <w:qFormat/>
    <w:uiPriority w:val="39"/>
    <w:pPr>
      <w:widowControl/>
      <w:spacing w:before="480" w:after="0" w:line="276" w:lineRule="auto"/>
      <w:outlineLvl w:val="9"/>
    </w:pPr>
    <w:rPr>
      <w:rFonts w:ascii="Cambria" w:hAnsi="Cambria"/>
      <w:color w:val="365F91"/>
      <w:kern w:val="0"/>
    </w:rPr>
  </w:style>
  <w:style w:type="paragraph" w:customStyle="1" w:styleId="60">
    <w:name w:val="Normal Indent1"/>
    <w:basedOn w:val="1"/>
    <w:qFormat/>
    <w:uiPriority w:val="0"/>
    <w:pPr>
      <w:ind w:firstLine="624"/>
      <w:jc w:val="left"/>
    </w:pPr>
  </w:style>
  <w:style w:type="paragraph" w:customStyle="1" w:styleId="61">
    <w:name w:val="列表段落1"/>
    <w:basedOn w:val="1"/>
    <w:qFormat/>
    <w:uiPriority w:val="34"/>
    <w:pPr>
      <w:ind w:firstLine="420" w:firstLineChars="200"/>
    </w:pPr>
    <w:rPr>
      <w:szCs w:val="20"/>
    </w:rPr>
  </w:style>
  <w:style w:type="paragraph" w:customStyle="1" w:styleId="62">
    <w:name w:val="Char Char Char Char"/>
    <w:basedOn w:val="1"/>
    <w:qFormat/>
    <w:uiPriority w:val="0"/>
    <w:rPr>
      <w:sz w:val="30"/>
      <w:szCs w:val="24"/>
    </w:rPr>
  </w:style>
  <w:style w:type="paragraph" w:customStyle="1" w:styleId="63">
    <w:name w:val="公文抬头"/>
    <w:basedOn w:val="5"/>
    <w:qFormat/>
    <w:uiPriority w:val="0"/>
    <w:pPr>
      <w:ind w:firstLine="0"/>
    </w:pPr>
    <w:rPr>
      <w:rFonts w:ascii="仿宋_GB2312" w:eastAsia="仿宋_GB2312"/>
      <w:sz w:val="30"/>
      <w:szCs w:val="24"/>
    </w:rPr>
  </w:style>
  <w:style w:type="paragraph" w:customStyle="1" w:styleId="64">
    <w:name w:val="表头"/>
    <w:basedOn w:val="1"/>
    <w:qFormat/>
    <w:uiPriority w:val="0"/>
    <w:pPr>
      <w:spacing w:line="360" w:lineRule="auto"/>
      <w:jc w:val="center"/>
    </w:pPr>
    <w:rPr>
      <w:rFonts w:ascii="黑体" w:eastAsia="黑体"/>
      <w:kern w:val="0"/>
      <w:sz w:val="24"/>
      <w:szCs w:val="20"/>
    </w:rPr>
  </w:style>
  <w:style w:type="paragraph" w:customStyle="1" w:styleId="65">
    <w:name w:val="_Style 25"/>
    <w:basedOn w:val="1"/>
    <w:next w:val="1"/>
    <w:qFormat/>
    <w:uiPriority w:val="0"/>
  </w:style>
  <w:style w:type="paragraph" w:customStyle="1" w:styleId="66">
    <w:name w:val="文二"/>
    <w:basedOn w:val="1"/>
    <w:qFormat/>
    <w:uiPriority w:val="0"/>
    <w:pPr>
      <w:jc w:val="left"/>
    </w:pPr>
    <w:rPr>
      <w:rFonts w:ascii="宋体" w:hAnsi="宋体"/>
      <w:szCs w:val="21"/>
    </w:rPr>
  </w:style>
  <w:style w:type="paragraph" w:customStyle="1" w:styleId="67">
    <w:name w:val="Char"/>
    <w:basedOn w:val="1"/>
    <w:qFormat/>
    <w:uiPriority w:val="0"/>
    <w:rPr>
      <w:rFonts w:ascii="Tahoma" w:hAnsi="Tahoma"/>
      <w:sz w:val="24"/>
      <w:szCs w:val="20"/>
    </w:rPr>
  </w:style>
  <w:style w:type="paragraph" w:customStyle="1" w:styleId="6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9">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70">
    <w:name w:val="TOC 标题1"/>
    <w:basedOn w:val="3"/>
    <w:next w:val="1"/>
    <w:qFormat/>
    <w:uiPriority w:val="0"/>
    <w:pPr>
      <w:widowControl/>
      <w:spacing w:before="480" w:after="0" w:line="276" w:lineRule="auto"/>
      <w:outlineLvl w:val="9"/>
    </w:pPr>
    <w:rPr>
      <w:rFonts w:ascii="Cambria" w:hAnsi="Cambria"/>
      <w:color w:val="365F91"/>
      <w:kern w:val="0"/>
      <w:szCs w:val="20"/>
    </w:rPr>
  </w:style>
  <w:style w:type="paragraph" w:customStyle="1" w:styleId="71">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72">
    <w:name w:val="文一 New"/>
    <w:basedOn w:val="1"/>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73">
    <w:name w:val="正题"/>
    <w:basedOn w:val="56"/>
    <w:next w:val="56"/>
    <w:qFormat/>
    <w:uiPriority w:val="0"/>
    <w:pPr>
      <w:ind w:firstLine="0" w:firstLineChars="0"/>
      <w:jc w:val="center"/>
    </w:pPr>
    <w:rPr>
      <w:rFonts w:eastAsia="黑体"/>
      <w:b/>
      <w:sz w:val="36"/>
      <w:szCs w:val="36"/>
    </w:rPr>
  </w:style>
  <w:style w:type="paragraph" w:customStyle="1" w:styleId="74">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A正文"/>
    <w:basedOn w:val="1"/>
    <w:qFormat/>
    <w:uiPriority w:val="0"/>
    <w:pPr>
      <w:overflowPunct w:val="0"/>
      <w:autoSpaceDE w:val="0"/>
      <w:autoSpaceDN w:val="0"/>
      <w:spacing w:line="360" w:lineRule="auto"/>
      <w:ind w:firstLine="200" w:firstLineChars="200"/>
    </w:pPr>
    <w:rPr>
      <w:rFonts w:ascii="等线" w:hAnsi="等线" w:eastAsia="仿宋_GB2312" w:cs="黑体"/>
      <w:sz w:val="24"/>
      <w:szCs w:val="24"/>
    </w:rPr>
  </w:style>
  <w:style w:type="paragraph" w:customStyle="1" w:styleId="76">
    <w:name w:val="_Style 73"/>
    <w:semiHidden/>
    <w:qFormat/>
    <w:uiPriority w:val="99"/>
    <w:rPr>
      <w:rFonts w:ascii="Times New Roman" w:hAnsi="Times New Roman" w:eastAsia="宋体" w:cs="Times New Roman"/>
      <w:kern w:val="2"/>
      <w:sz w:val="21"/>
      <w:lang w:val="en-US" w:eastAsia="zh-CN" w:bidi="ar-SA"/>
    </w:rPr>
  </w:style>
  <w:style w:type="paragraph" w:customStyle="1" w:styleId="77">
    <w:name w:val="Char1"/>
    <w:basedOn w:val="1"/>
    <w:qFormat/>
    <w:uiPriority w:val="0"/>
    <w:pPr>
      <w:numPr>
        <w:ilvl w:val="0"/>
        <w:numId w:val="1"/>
      </w:numPr>
    </w:pPr>
    <w:rPr>
      <w:sz w:val="24"/>
      <w:szCs w:val="24"/>
    </w:rPr>
  </w:style>
  <w:style w:type="paragraph" w:customStyle="1" w:styleId="78">
    <w:name w:val="封一"/>
    <w:basedOn w:val="56"/>
    <w:next w:val="56"/>
    <w:qFormat/>
    <w:uiPriority w:val="0"/>
    <w:pPr>
      <w:ind w:firstLine="0" w:firstLineChars="0"/>
      <w:jc w:val="center"/>
    </w:pPr>
    <w:rPr>
      <w:rFonts w:eastAsia="黑体"/>
      <w:b/>
      <w:sz w:val="84"/>
      <w:szCs w:val="84"/>
    </w:rPr>
  </w:style>
  <w:style w:type="character" w:customStyle="1" w:styleId="79">
    <w:name w:val="标题 2 Char"/>
    <w:qFormat/>
    <w:uiPriority w:val="0"/>
    <w:rPr>
      <w:rFonts w:ascii="Arial" w:hAnsi="Arial" w:eastAsia="宋体" w:cs="Times New Roman"/>
      <w:b/>
      <w:color w:val="000000"/>
      <w:sz w:val="24"/>
      <w:szCs w:val="24"/>
    </w:rPr>
  </w:style>
  <w:style w:type="character" w:customStyle="1" w:styleId="80">
    <w:name w:val="正文文本缩进 3 字符"/>
    <w:semiHidden/>
    <w:qFormat/>
    <w:uiPriority w:val="99"/>
    <w:rPr>
      <w:rFonts w:ascii="Calibri" w:hAnsi="Calibri" w:eastAsia="宋体" w:cs="Times New Roman"/>
      <w:sz w:val="16"/>
      <w:szCs w:val="16"/>
    </w:rPr>
  </w:style>
  <w:style w:type="character" w:customStyle="1" w:styleId="81">
    <w:name w:val="日期 字符1"/>
    <w:link w:val="22"/>
    <w:qFormat/>
    <w:uiPriority w:val="0"/>
    <w:rPr>
      <w:rFonts w:ascii="Times New Roman" w:hAnsi="Times New Roman" w:eastAsia="宋体" w:cs="Times New Roman"/>
      <w:szCs w:val="20"/>
    </w:rPr>
  </w:style>
  <w:style w:type="character" w:customStyle="1" w:styleId="82">
    <w:name w:val="标题 8 字符1"/>
    <w:link w:val="11"/>
    <w:qFormat/>
    <w:uiPriority w:val="0"/>
    <w:rPr>
      <w:rFonts w:ascii="Arial" w:hAnsi="Arial" w:eastAsia="黑体" w:cs="Times New Roman"/>
      <w:sz w:val="24"/>
      <w:szCs w:val="20"/>
    </w:rPr>
  </w:style>
  <w:style w:type="character" w:customStyle="1" w:styleId="83">
    <w:name w:val="标题 9 字符1"/>
    <w:link w:val="12"/>
    <w:qFormat/>
    <w:uiPriority w:val="0"/>
    <w:rPr>
      <w:rFonts w:ascii="Arial" w:hAnsi="Arial" w:eastAsia="黑体" w:cs="Times New Roman"/>
      <w:szCs w:val="20"/>
    </w:rPr>
  </w:style>
  <w:style w:type="character" w:customStyle="1" w:styleId="84">
    <w:name w:val="标题 4 Char"/>
    <w:qFormat/>
    <w:uiPriority w:val="0"/>
    <w:rPr>
      <w:rFonts w:ascii="Arial" w:hAnsi="Arial" w:eastAsia="宋体" w:cs="Times New Roman"/>
      <w:color w:val="000000"/>
      <w:szCs w:val="21"/>
    </w:rPr>
  </w:style>
  <w:style w:type="character" w:customStyle="1" w:styleId="85">
    <w:name w:val="正文文本 字符1"/>
    <w:link w:val="17"/>
    <w:qFormat/>
    <w:uiPriority w:val="0"/>
    <w:rPr>
      <w:rFonts w:ascii="Times New Roman" w:hAnsi="Times New Roman" w:eastAsia="宋体" w:cs="Times New Roman"/>
      <w:szCs w:val="20"/>
    </w:rPr>
  </w:style>
  <w:style w:type="character" w:customStyle="1" w:styleId="86">
    <w:name w:val="批注框文本 字符1"/>
    <w:link w:val="25"/>
    <w:qFormat/>
    <w:uiPriority w:val="0"/>
    <w:rPr>
      <w:rFonts w:ascii="Times New Roman" w:hAnsi="Times New Roman" w:eastAsia="宋体" w:cs="Times New Roman"/>
      <w:sz w:val="18"/>
      <w:szCs w:val="18"/>
    </w:rPr>
  </w:style>
  <w:style w:type="character" w:customStyle="1" w:styleId="87">
    <w:name w:val="正文文本缩进 字符"/>
    <w:semiHidden/>
    <w:qFormat/>
    <w:uiPriority w:val="99"/>
    <w:rPr>
      <w:rFonts w:ascii="Calibri" w:hAnsi="Calibri" w:eastAsia="宋体" w:cs="Times New Roman"/>
    </w:rPr>
  </w:style>
  <w:style w:type="character" w:customStyle="1" w:styleId="88">
    <w:name w:val="正文首行缩进 字符1"/>
    <w:link w:val="37"/>
    <w:qFormat/>
    <w:uiPriority w:val="0"/>
  </w:style>
  <w:style w:type="character" w:customStyle="1" w:styleId="89">
    <w:name w:val="标题 5 字符1"/>
    <w:link w:val="8"/>
    <w:qFormat/>
    <w:uiPriority w:val="0"/>
    <w:rPr>
      <w:rFonts w:ascii="Arial" w:hAnsi="Arial" w:eastAsia="宋体" w:cs="Times New Roman"/>
      <w:color w:val="000000"/>
      <w:szCs w:val="21"/>
    </w:rPr>
  </w:style>
  <w:style w:type="character" w:customStyle="1" w:styleId="90">
    <w:name w:val="正文文本 2 字符"/>
    <w:semiHidden/>
    <w:qFormat/>
    <w:uiPriority w:val="99"/>
    <w:rPr>
      <w:rFonts w:ascii="Calibri" w:hAnsi="Calibri" w:eastAsia="宋体" w:cs="Times New Roman"/>
    </w:rPr>
  </w:style>
  <w:style w:type="character" w:customStyle="1" w:styleId="91">
    <w:name w:val="批注文字 字符"/>
    <w:semiHidden/>
    <w:qFormat/>
    <w:uiPriority w:val="99"/>
    <w:rPr>
      <w:rFonts w:ascii="Calibri" w:hAnsi="Calibri" w:eastAsia="宋体" w:cs="Times New Roman"/>
    </w:rPr>
  </w:style>
  <w:style w:type="character" w:customStyle="1" w:styleId="92">
    <w:name w:val="标题 7 字符1"/>
    <w:link w:val="10"/>
    <w:qFormat/>
    <w:uiPriority w:val="0"/>
    <w:rPr>
      <w:rFonts w:ascii="Times New Roman" w:hAnsi="Times New Roman" w:eastAsia="宋体" w:cs="Times New Roman"/>
      <w:b/>
      <w:sz w:val="24"/>
      <w:szCs w:val="20"/>
    </w:rPr>
  </w:style>
  <w:style w:type="character" w:customStyle="1" w:styleId="93">
    <w:name w:val="正文文本缩进 3 字符1"/>
    <w:link w:val="30"/>
    <w:qFormat/>
    <w:uiPriority w:val="0"/>
    <w:rPr>
      <w:rFonts w:ascii="Times New Roman" w:hAnsi="Times New Roman" w:eastAsia="宋体" w:cs="Times New Roman"/>
      <w:color w:val="000000"/>
      <w:sz w:val="24"/>
      <w:szCs w:val="20"/>
    </w:rPr>
  </w:style>
  <w:style w:type="character" w:customStyle="1" w:styleId="94">
    <w:name w:val="正文文本缩进 字符1"/>
    <w:link w:val="18"/>
    <w:qFormat/>
    <w:uiPriority w:val="0"/>
    <w:rPr>
      <w:rFonts w:ascii="Times New Roman" w:hAnsi="Times New Roman" w:eastAsia="宋体" w:cs="Times New Roman"/>
      <w:sz w:val="28"/>
      <w:szCs w:val="20"/>
    </w:rPr>
  </w:style>
  <w:style w:type="character" w:customStyle="1" w:styleId="95">
    <w:name w:val="日期 字符"/>
    <w:semiHidden/>
    <w:qFormat/>
    <w:uiPriority w:val="99"/>
    <w:rPr>
      <w:rFonts w:ascii="Calibri" w:hAnsi="Calibri" w:eastAsia="宋体" w:cs="Times New Roman"/>
    </w:rPr>
  </w:style>
  <w:style w:type="character" w:customStyle="1" w:styleId="96">
    <w:name w:val="批注文字 字符1"/>
    <w:link w:val="14"/>
    <w:qFormat/>
    <w:uiPriority w:val="0"/>
    <w:rPr>
      <w:rFonts w:ascii="宋体" w:hAnsi="宋体" w:eastAsia="宋体" w:cs="Times New Roman"/>
      <w:sz w:val="24"/>
      <w:szCs w:val="24"/>
    </w:rPr>
  </w:style>
  <w:style w:type="character" w:customStyle="1" w:styleId="97">
    <w:name w:val="标题 9 字符"/>
    <w:semiHidden/>
    <w:qFormat/>
    <w:uiPriority w:val="9"/>
    <w:rPr>
      <w:rFonts w:ascii="等线 Light" w:hAnsi="等线 Light" w:eastAsia="等线 Light" w:cs="Times New Roman"/>
      <w:szCs w:val="21"/>
    </w:rPr>
  </w:style>
  <w:style w:type="character" w:customStyle="1" w:styleId="98">
    <w:name w:val="标题 6 字符1"/>
    <w:link w:val="9"/>
    <w:qFormat/>
    <w:uiPriority w:val="0"/>
    <w:rPr>
      <w:rFonts w:ascii="Arial" w:hAnsi="Arial" w:eastAsia="黑体" w:cs="Times New Roman"/>
      <w:b/>
      <w:bCs/>
      <w:sz w:val="24"/>
      <w:szCs w:val="24"/>
    </w:rPr>
  </w:style>
  <w:style w:type="character" w:customStyle="1" w:styleId="99">
    <w:name w:val="页眉 字符"/>
    <w:semiHidden/>
    <w:qFormat/>
    <w:uiPriority w:val="99"/>
    <w:rPr>
      <w:rFonts w:ascii="Calibri" w:hAnsi="Calibri" w:eastAsia="宋体" w:cs="Times New Roman"/>
      <w:sz w:val="18"/>
      <w:szCs w:val="18"/>
    </w:rPr>
  </w:style>
  <w:style w:type="character" w:customStyle="1" w:styleId="100">
    <w:name w:val="标题 3 字符1"/>
    <w:link w:val="6"/>
    <w:qFormat/>
    <w:uiPriority w:val="0"/>
    <w:rPr>
      <w:rFonts w:ascii="宋体" w:hAnsi="宋体" w:eastAsia="宋体" w:cs="宋体"/>
      <w:kern w:val="0"/>
      <w:sz w:val="27"/>
      <w:szCs w:val="27"/>
    </w:rPr>
  </w:style>
  <w:style w:type="character" w:customStyle="1" w:styleId="101">
    <w:name w:val="页脚 字符"/>
    <w:semiHidden/>
    <w:qFormat/>
    <w:uiPriority w:val="99"/>
    <w:rPr>
      <w:rFonts w:ascii="Calibri" w:hAnsi="Calibri" w:eastAsia="宋体" w:cs="Times New Roman"/>
      <w:sz w:val="18"/>
      <w:szCs w:val="18"/>
    </w:rPr>
  </w:style>
  <w:style w:type="character" w:customStyle="1" w:styleId="102">
    <w:name w:val="标题 1 字符1"/>
    <w:link w:val="3"/>
    <w:qFormat/>
    <w:uiPriority w:val="0"/>
    <w:rPr>
      <w:rFonts w:ascii="Arial" w:hAnsi="Arial" w:eastAsia="宋体" w:cs="Times New Roman"/>
      <w:b/>
      <w:kern w:val="44"/>
      <w:sz w:val="28"/>
      <w:szCs w:val="28"/>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页眉 字符1"/>
    <w:link w:val="27"/>
    <w:qFormat/>
    <w:uiPriority w:val="0"/>
    <w:rPr>
      <w:rFonts w:ascii="Calibri" w:hAnsi="Calibri" w:eastAsia="宋体" w:cs="Times New Roman"/>
      <w:sz w:val="18"/>
      <w:szCs w:val="18"/>
    </w:rPr>
  </w:style>
  <w:style w:type="character" w:customStyle="1" w:styleId="105">
    <w:name w:val="标题 2 字符"/>
    <w:link w:val="4"/>
    <w:semiHidden/>
    <w:qFormat/>
    <w:uiPriority w:val="9"/>
    <w:rPr>
      <w:rFonts w:ascii="等线 Light" w:hAnsi="等线 Light" w:eastAsia="等线 Light" w:cs="Times New Roman"/>
      <w:b/>
      <w:bCs/>
      <w:sz w:val="32"/>
      <w:szCs w:val="32"/>
    </w:rPr>
  </w:style>
  <w:style w:type="character" w:customStyle="1" w:styleId="106">
    <w:name w:val="标题 6 字符"/>
    <w:semiHidden/>
    <w:qFormat/>
    <w:uiPriority w:val="9"/>
    <w:rPr>
      <w:rFonts w:ascii="等线 Light" w:hAnsi="等线 Light" w:eastAsia="等线 Light" w:cs="Times New Roman"/>
      <w:b/>
      <w:bCs/>
      <w:sz w:val="24"/>
      <w:szCs w:val="24"/>
    </w:rPr>
  </w:style>
  <w:style w:type="character" w:customStyle="1" w:styleId="107">
    <w:name w:val="正文文本缩进 2 字符1"/>
    <w:link w:val="23"/>
    <w:qFormat/>
    <w:uiPriority w:val="0"/>
    <w:rPr>
      <w:rFonts w:ascii="Times New Roman" w:hAnsi="Times New Roman" w:eastAsia="宋体" w:cs="Times New Roman"/>
      <w:color w:val="000000"/>
      <w:sz w:val="24"/>
      <w:szCs w:val="20"/>
    </w:rPr>
  </w:style>
  <w:style w:type="character" w:customStyle="1" w:styleId="108">
    <w:name w:val="纯文本 字符1"/>
    <w:link w:val="21"/>
    <w:qFormat/>
    <w:uiPriority w:val="0"/>
    <w:rPr>
      <w:rFonts w:ascii="宋体" w:hAnsi="Courier New" w:eastAsia="宋体" w:cs="Times New Roman"/>
      <w:szCs w:val="20"/>
    </w:rPr>
  </w:style>
  <w:style w:type="character" w:customStyle="1" w:styleId="109">
    <w:name w:val="尾注文本 字符"/>
    <w:semiHidden/>
    <w:qFormat/>
    <w:uiPriority w:val="99"/>
    <w:rPr>
      <w:rFonts w:ascii="Calibri" w:hAnsi="Calibri" w:eastAsia="宋体" w:cs="Times New Roman"/>
    </w:rPr>
  </w:style>
  <w:style w:type="character" w:customStyle="1" w:styleId="110">
    <w:name w:val="尾注文本 字符1"/>
    <w:link w:val="24"/>
    <w:qFormat/>
    <w:uiPriority w:val="0"/>
    <w:rPr>
      <w:rFonts w:ascii="Times New Roman" w:hAnsi="Times New Roman" w:eastAsia="宋体" w:cs="Times New Roman"/>
      <w:szCs w:val="20"/>
    </w:rPr>
  </w:style>
  <w:style w:type="character" w:customStyle="1" w:styleId="111">
    <w:name w:val="正文首行缩进 字符"/>
    <w:basedOn w:val="112"/>
    <w:semiHidden/>
    <w:qFormat/>
    <w:uiPriority w:val="99"/>
    <w:rPr>
      <w:rFonts w:ascii="Calibri" w:hAnsi="Calibri" w:eastAsia="宋体" w:cs="Times New Roman"/>
    </w:rPr>
  </w:style>
  <w:style w:type="character" w:customStyle="1" w:styleId="112">
    <w:name w:val="正文文本 字符"/>
    <w:semiHidden/>
    <w:qFormat/>
    <w:uiPriority w:val="99"/>
    <w:rPr>
      <w:rFonts w:ascii="Calibri" w:hAnsi="Calibri" w:eastAsia="宋体" w:cs="Times New Roman"/>
    </w:rPr>
  </w:style>
  <w:style w:type="character" w:customStyle="1" w:styleId="113">
    <w:name w:val="文档结构图 字符"/>
    <w:semiHidden/>
    <w:qFormat/>
    <w:uiPriority w:val="99"/>
    <w:rPr>
      <w:rFonts w:ascii="Microsoft YaHei UI" w:hAnsi="Calibri" w:eastAsia="Microsoft YaHei UI" w:cs="Times New Roman"/>
      <w:sz w:val="18"/>
      <w:szCs w:val="18"/>
    </w:rPr>
  </w:style>
  <w:style w:type="character" w:customStyle="1" w:styleId="114">
    <w:name w:val="页脚 字符1"/>
    <w:link w:val="26"/>
    <w:qFormat/>
    <w:uiPriority w:val="0"/>
    <w:rPr>
      <w:rFonts w:ascii="Calibri" w:hAnsi="Calibri" w:eastAsia="宋体" w:cs="Times New Roman"/>
      <w:sz w:val="18"/>
      <w:szCs w:val="18"/>
    </w:rPr>
  </w:style>
  <w:style w:type="character" w:customStyle="1" w:styleId="115">
    <w:name w:val="标题 4 字符"/>
    <w:link w:val="7"/>
    <w:semiHidden/>
    <w:qFormat/>
    <w:uiPriority w:val="9"/>
    <w:rPr>
      <w:rFonts w:ascii="等线 Light" w:hAnsi="等线 Light" w:eastAsia="等线 Light" w:cs="Times New Roman"/>
      <w:b/>
      <w:bCs/>
      <w:sz w:val="28"/>
      <w:szCs w:val="28"/>
    </w:rPr>
  </w:style>
  <w:style w:type="character" w:customStyle="1" w:styleId="116">
    <w:name w:val="纯文本 字符"/>
    <w:semiHidden/>
    <w:qFormat/>
    <w:uiPriority w:val="99"/>
    <w:rPr>
      <w:rFonts w:ascii="等线" w:hAnsi="Courier New" w:cs="Courier New"/>
    </w:rPr>
  </w:style>
  <w:style w:type="character" w:customStyle="1" w:styleId="117">
    <w:name w:val="正文文本 2 字符1"/>
    <w:link w:val="32"/>
    <w:qFormat/>
    <w:uiPriority w:val="0"/>
    <w:rPr>
      <w:rFonts w:ascii="宋体" w:hAnsi="宋体" w:eastAsia="宋体" w:cs="Times New Roman"/>
      <w:szCs w:val="24"/>
      <w:u w:val="single"/>
    </w:rPr>
  </w:style>
  <w:style w:type="character" w:customStyle="1" w:styleId="118">
    <w:name w:val="标题 字符1"/>
    <w:link w:val="35"/>
    <w:qFormat/>
    <w:uiPriority w:val="0"/>
    <w:rPr>
      <w:rFonts w:ascii="Arial" w:hAnsi="Arial" w:eastAsia="宋体" w:cs="Times New Roman"/>
      <w:b/>
      <w:sz w:val="44"/>
      <w:szCs w:val="20"/>
    </w:rPr>
  </w:style>
  <w:style w:type="character" w:customStyle="1" w:styleId="119">
    <w:name w:val="脚注文本 字符"/>
    <w:semiHidden/>
    <w:qFormat/>
    <w:uiPriority w:val="99"/>
    <w:rPr>
      <w:rFonts w:ascii="Calibri" w:hAnsi="Calibri" w:eastAsia="宋体" w:cs="Times New Roman"/>
      <w:sz w:val="18"/>
      <w:szCs w:val="18"/>
    </w:rPr>
  </w:style>
  <w:style w:type="character" w:customStyle="1" w:styleId="120">
    <w:name w:val="标题 3 字符"/>
    <w:semiHidden/>
    <w:qFormat/>
    <w:uiPriority w:val="9"/>
    <w:rPr>
      <w:rFonts w:ascii="Calibri" w:hAnsi="Calibri" w:eastAsia="宋体" w:cs="Times New Roman"/>
      <w:b/>
      <w:bCs/>
      <w:sz w:val="32"/>
      <w:szCs w:val="32"/>
    </w:rPr>
  </w:style>
  <w:style w:type="character" w:customStyle="1" w:styleId="121">
    <w:name w:val="正文文本缩进 2 字符"/>
    <w:semiHidden/>
    <w:qFormat/>
    <w:uiPriority w:val="99"/>
    <w:rPr>
      <w:rFonts w:ascii="Calibri" w:hAnsi="Calibri" w:eastAsia="宋体" w:cs="Times New Roman"/>
    </w:rPr>
  </w:style>
  <w:style w:type="character" w:customStyle="1" w:styleId="122">
    <w:name w:val="文档结构图 字符1"/>
    <w:link w:val="13"/>
    <w:qFormat/>
    <w:uiPriority w:val="0"/>
    <w:rPr>
      <w:rFonts w:ascii="Times New Roman" w:hAnsi="Times New Roman" w:eastAsia="宋体" w:cs="Times New Roman"/>
      <w:szCs w:val="20"/>
      <w:shd w:val="clear" w:color="auto" w:fill="000080"/>
    </w:rPr>
  </w:style>
  <w:style w:type="character" w:customStyle="1" w:styleId="123">
    <w:name w:val="批注主题 字符"/>
    <w:semiHidden/>
    <w:qFormat/>
    <w:uiPriority w:val="99"/>
    <w:rPr>
      <w:rFonts w:ascii="Calibri" w:hAnsi="Calibri" w:eastAsia="宋体" w:cs="Times New Roman"/>
      <w:b/>
      <w:bCs/>
    </w:rPr>
  </w:style>
  <w:style w:type="character" w:customStyle="1" w:styleId="124">
    <w:name w:val="标题 8 字符"/>
    <w:semiHidden/>
    <w:qFormat/>
    <w:uiPriority w:val="9"/>
    <w:rPr>
      <w:rFonts w:ascii="等线 Light" w:hAnsi="等线 Light" w:eastAsia="等线 Light" w:cs="Times New Roman"/>
      <w:sz w:val="24"/>
      <w:szCs w:val="24"/>
    </w:rPr>
  </w:style>
  <w:style w:type="character" w:customStyle="1" w:styleId="125">
    <w:name w:val="批注主题 字符1"/>
    <w:link w:val="36"/>
    <w:qFormat/>
    <w:uiPriority w:val="0"/>
    <w:rPr>
      <w:rFonts w:ascii="宋体" w:hAnsi="宋体" w:eastAsia="宋体" w:cs="Times New Roman"/>
      <w:b/>
      <w:bCs/>
      <w:sz w:val="24"/>
      <w:szCs w:val="24"/>
    </w:rPr>
  </w:style>
  <w:style w:type="character" w:customStyle="1" w:styleId="126">
    <w:name w:val="标题 字符"/>
    <w:qFormat/>
    <w:uiPriority w:val="10"/>
    <w:rPr>
      <w:rFonts w:ascii="等线 Light" w:hAnsi="等线 Light" w:eastAsia="等线 Light" w:cs="Times New Roman"/>
      <w:b/>
      <w:bCs/>
      <w:sz w:val="32"/>
      <w:szCs w:val="32"/>
    </w:rPr>
  </w:style>
  <w:style w:type="character" w:customStyle="1" w:styleId="127">
    <w:name w:val="标题 5 字符"/>
    <w:semiHidden/>
    <w:qFormat/>
    <w:uiPriority w:val="9"/>
    <w:rPr>
      <w:rFonts w:ascii="Calibri" w:hAnsi="Calibri" w:eastAsia="宋体" w:cs="Times New Roman"/>
      <w:b/>
      <w:bCs/>
      <w:sz w:val="28"/>
      <w:szCs w:val="28"/>
    </w:rPr>
  </w:style>
  <w:style w:type="character" w:customStyle="1" w:styleId="128">
    <w:name w:val="s15"/>
    <w:qFormat/>
    <w:uiPriority w:val="0"/>
    <w:rPr>
      <w:color w:val="2131A1"/>
    </w:rPr>
  </w:style>
  <w:style w:type="character" w:customStyle="1" w:styleId="129">
    <w:name w:val="标题 7 字符"/>
    <w:semiHidden/>
    <w:qFormat/>
    <w:uiPriority w:val="9"/>
    <w:rPr>
      <w:rFonts w:ascii="Calibri" w:hAnsi="Calibri" w:eastAsia="宋体" w:cs="Times New Roman"/>
      <w:b/>
      <w:bCs/>
      <w:sz w:val="24"/>
      <w:szCs w:val="24"/>
    </w:rPr>
  </w:style>
  <w:style w:type="character" w:customStyle="1" w:styleId="130">
    <w:name w:val="脚注文本 字符1"/>
    <w:link w:val="29"/>
    <w:qFormat/>
    <w:uiPriority w:val="0"/>
    <w:rPr>
      <w:rFonts w:ascii="宋体" w:hAnsi="宋体" w:eastAsia="宋体" w:cs="Times New Roman"/>
      <w:sz w:val="18"/>
      <w:szCs w:val="18"/>
    </w:rPr>
  </w:style>
  <w:style w:type="character" w:customStyle="1" w:styleId="131">
    <w:name w:val="标题 1 字符"/>
    <w:qFormat/>
    <w:uiPriority w:val="9"/>
    <w:rPr>
      <w:rFonts w:ascii="Calibri" w:hAnsi="Calibri" w:eastAsia="宋体" w:cs="Times New Roman"/>
      <w:b/>
      <w:bCs/>
      <w:kern w:val="44"/>
      <w:sz w:val="44"/>
      <w:szCs w:val="44"/>
    </w:rPr>
  </w:style>
  <w:style w:type="paragraph" w:customStyle="1" w:styleId="132">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133">
    <w:name w:val="样式 小四"/>
    <w:qFormat/>
    <w:uiPriority w:val="0"/>
    <w:pPr>
      <w:widowControl w:val="0"/>
    </w:pPr>
    <w:rPr>
      <w:rFonts w:ascii="宋体" w:hAnsi="Times New Roman" w:eastAsia="宋体" w:cs="Times New Roman"/>
      <w:kern w:val="2"/>
      <w:sz w:val="24"/>
      <w:szCs w:val="21"/>
      <w:lang w:val="en-US" w:eastAsia="zh-CN" w:bidi="ar-SA"/>
    </w:rPr>
  </w:style>
  <w:style w:type="character" w:customStyle="1" w:styleId="134">
    <w:name w:val="font11"/>
    <w:qFormat/>
    <w:uiPriority w:val="0"/>
    <w:rPr>
      <w:rFonts w:hint="eastAsia" w:ascii="仿宋" w:hAnsi="仿宋" w:eastAsia="仿宋" w:cs="仿宋"/>
      <w:b/>
      <w:color w:val="000000"/>
      <w:sz w:val="28"/>
      <w:szCs w:val="28"/>
      <w:u w:val="none"/>
    </w:rPr>
  </w:style>
  <w:style w:type="character" w:customStyle="1" w:styleId="135">
    <w:name w:val="font21"/>
    <w:qFormat/>
    <w:uiPriority w:val="0"/>
    <w:rPr>
      <w:rFonts w:hint="eastAsia" w:ascii="仿宋" w:hAnsi="仿宋" w:eastAsia="仿宋" w:cs="仿宋"/>
      <w:b/>
      <w:color w:val="000000"/>
      <w:sz w:val="28"/>
      <w:szCs w:val="28"/>
      <w:u w:val="none"/>
    </w:rPr>
  </w:style>
  <w:style w:type="paragraph" w:customStyle="1" w:styleId="136">
    <w:name w:val="正文 New New"/>
    <w:qFormat/>
    <w:uiPriority w:val="0"/>
    <w:pPr>
      <w:widowControl w:val="0"/>
      <w:jc w:val="both"/>
    </w:pPr>
    <w:rPr>
      <w:rFonts w:ascii="Calibri" w:hAnsi="Calibri" w:eastAsia="楷体_GB2312" w:cs="Times New Roman"/>
      <w:lang w:val="en-US" w:eastAsia="zh-CN" w:bidi="ar-SA"/>
    </w:rPr>
  </w:style>
  <w:style w:type="paragraph" w:customStyle="1" w:styleId="137">
    <w:name w:val="PlainText"/>
    <w:basedOn w:val="1"/>
    <w:qFormat/>
    <w:uiPriority w:val="0"/>
    <w:pPr>
      <w:textAlignment w:val="baseline"/>
    </w:pPr>
    <w:rPr>
      <w:rFonts w:ascii="宋体" w:hAnsi="Courier New" w:cs="Calibri"/>
      <w:color w:val="000000"/>
      <w:kern w:val="0"/>
      <w:sz w:val="20"/>
      <w:szCs w:val="20"/>
    </w:rPr>
  </w:style>
  <w:style w:type="paragraph" w:customStyle="1" w:styleId="138">
    <w:name w:val="BodyText"/>
    <w:basedOn w:val="1"/>
    <w:qFormat/>
    <w:uiPriority w:val="0"/>
    <w:pPr>
      <w:spacing w:after="120"/>
    </w:pPr>
    <w:rPr>
      <w:rFonts w:ascii="Times New Roman" w:hAnsi="Times New Roman" w:eastAsia="等线"/>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42661</Words>
  <Characters>44932</Characters>
  <Lines>363</Lines>
  <Paragraphs>102</Paragraphs>
  <TotalTime>12</TotalTime>
  <ScaleCrop>false</ScaleCrop>
  <LinksUpToDate>false</LinksUpToDate>
  <CharactersWithSpaces>48168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2022-06-08T13:48:00Z</dcterms:created>
  <dc:creator>管理员</dc:creator>
  <cp:lastModifiedBy>林杰桦</cp:lastModifiedBy>
  <cp:lastPrinted>2022-07-08T08:56:00Z</cp:lastPrinted>
  <dcterms:modified xsi:type="dcterms:W3CDTF">2023-11-07T00:49:43Z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AD64B8814BA243DDB9063488602B3594</vt:lpwstr>
  </property>
</Properties>
</file>