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adjustRightInd w:val="0"/>
        <w:snapToGrid w:val="0"/>
        <w:spacing w:line="360" w:lineRule="auto"/>
        <w:jc w:val="center"/>
        <w:rPr>
          <w:rFonts w:hint="eastAsia" w:ascii="宋体" w:hAnsi="宋体" w:cs="宋体"/>
          <w:b/>
          <w:color w:val="auto"/>
          <w:sz w:val="48"/>
          <w:szCs w:val="48"/>
          <w:highlight w:val="none"/>
        </w:rPr>
      </w:pPr>
    </w:p>
    <w:p>
      <w:pPr>
        <w:shd w:val="clear"/>
        <w:adjustRightInd w:val="0"/>
        <w:snapToGrid w:val="0"/>
        <w:spacing w:line="360" w:lineRule="auto"/>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石涌口渠箱强排泵站工程</w:t>
      </w:r>
    </w:p>
    <w:p>
      <w:pPr>
        <w:shd w:val="clear"/>
        <w:adjustRightInd w:val="0"/>
        <w:snapToGrid w:val="0"/>
        <w:spacing w:line="360" w:lineRule="auto"/>
        <w:jc w:val="center"/>
        <w:rPr>
          <w:rFonts w:hint="eastAsia" w:ascii="宋体" w:hAnsi="宋体" w:cs="宋体"/>
          <w:color w:val="auto"/>
          <w:sz w:val="48"/>
          <w:szCs w:val="48"/>
          <w:highlight w:val="none"/>
        </w:rPr>
      </w:pPr>
      <w:r>
        <w:rPr>
          <w:rFonts w:hint="eastAsia" w:ascii="宋体" w:hAnsi="宋体" w:cs="宋体"/>
          <w:b/>
          <w:color w:val="auto"/>
          <w:sz w:val="48"/>
          <w:szCs w:val="48"/>
          <w:highlight w:val="none"/>
        </w:rPr>
        <w:t>设计施工总承包</w:t>
      </w:r>
    </w:p>
    <w:p>
      <w:pPr>
        <w:shd w:val="clear"/>
        <w:jc w:val="center"/>
        <w:rPr>
          <w:rFonts w:hint="eastAsia" w:ascii="宋体" w:hAnsi="宋体" w:cs="宋体"/>
          <w:color w:val="auto"/>
          <w:sz w:val="72"/>
          <w:szCs w:val="72"/>
          <w:highlight w:val="none"/>
        </w:rPr>
      </w:pPr>
    </w:p>
    <w:p>
      <w:pPr>
        <w:pStyle w:val="2"/>
        <w:shd w:val="clear"/>
        <w:rPr>
          <w:rFonts w:hint="eastAsia" w:hAnsi="宋体" w:cs="宋体"/>
          <w:color w:val="auto"/>
          <w:sz w:val="72"/>
          <w:szCs w:val="72"/>
          <w:highlight w:val="none"/>
        </w:rPr>
      </w:pPr>
    </w:p>
    <w:p>
      <w:pPr>
        <w:pStyle w:val="2"/>
        <w:shd w:val="clear"/>
        <w:rPr>
          <w:rFonts w:hint="eastAsia" w:hAnsi="宋体" w:cs="宋体"/>
          <w:color w:val="auto"/>
          <w:sz w:val="72"/>
          <w:szCs w:val="72"/>
          <w:highlight w:val="none"/>
        </w:rPr>
      </w:pPr>
    </w:p>
    <w:p>
      <w:pPr>
        <w:shd w:val="clear"/>
        <w:jc w:val="center"/>
        <w:outlineLvl w:val="0"/>
        <w:rPr>
          <w:rFonts w:hint="eastAsia" w:ascii="宋体" w:hAnsi="宋体" w:cs="宋体"/>
          <w:color w:val="auto"/>
          <w:sz w:val="84"/>
          <w:szCs w:val="84"/>
          <w:highlight w:val="none"/>
        </w:rPr>
      </w:pPr>
      <w:bookmarkStart w:id="0" w:name="_Toc516265912"/>
      <w:bookmarkStart w:id="1" w:name="_Toc60859825"/>
      <w:bookmarkStart w:id="2" w:name="_Toc515980125"/>
      <w:bookmarkStart w:id="3" w:name="_Toc21535089"/>
      <w:bookmarkStart w:id="4" w:name="_Toc65361635"/>
      <w:r>
        <w:rPr>
          <w:rFonts w:hint="eastAsia" w:ascii="宋体" w:hAnsi="宋体" w:cs="宋体"/>
          <w:color w:val="auto"/>
          <w:sz w:val="84"/>
          <w:szCs w:val="84"/>
          <w:highlight w:val="none"/>
        </w:rPr>
        <w:t>招标文件</w:t>
      </w:r>
      <w:bookmarkEnd w:id="0"/>
      <w:bookmarkEnd w:id="1"/>
      <w:bookmarkEnd w:id="2"/>
      <w:bookmarkEnd w:id="3"/>
      <w:bookmarkEnd w:id="4"/>
    </w:p>
    <w:p>
      <w:pPr>
        <w:shd w:val="clear"/>
        <w:jc w:val="center"/>
        <w:rPr>
          <w:rStyle w:val="19"/>
          <w:rFonts w:hint="eastAsia" w:ascii="宋体" w:hAnsi="宋体" w:cs="宋体"/>
          <w:color w:val="auto"/>
          <w:sz w:val="48"/>
          <w:highlight w:val="none"/>
        </w:rPr>
      </w:pPr>
    </w:p>
    <w:p>
      <w:pPr>
        <w:shd w:val="clear"/>
        <w:jc w:val="center"/>
        <w:rPr>
          <w:rFonts w:hint="eastAsia" w:ascii="宋体" w:hAnsi="宋体" w:cs="宋体"/>
          <w:color w:val="auto"/>
          <w:sz w:val="32"/>
          <w:szCs w:val="32"/>
          <w:highlight w:val="none"/>
        </w:rPr>
      </w:pPr>
    </w:p>
    <w:p>
      <w:pPr>
        <w:shd w:val="clear"/>
        <w:spacing w:line="400" w:lineRule="exact"/>
        <w:jc w:val="center"/>
        <w:rPr>
          <w:rFonts w:hint="eastAsia" w:ascii="宋体" w:hAnsi="宋体" w:cs="宋体"/>
          <w:color w:val="auto"/>
          <w:highlight w:val="none"/>
        </w:rPr>
      </w:pPr>
    </w:p>
    <w:p>
      <w:pPr>
        <w:shd w:val="clear"/>
        <w:spacing w:line="400" w:lineRule="exact"/>
        <w:jc w:val="center"/>
        <w:rPr>
          <w:rFonts w:hint="eastAsia" w:ascii="宋体" w:hAnsi="宋体" w:cs="宋体"/>
          <w:color w:val="auto"/>
          <w:highlight w:val="none"/>
        </w:rPr>
      </w:pPr>
    </w:p>
    <w:p>
      <w:pPr>
        <w:shd w:val="clear"/>
        <w:spacing w:line="400" w:lineRule="exact"/>
        <w:jc w:val="center"/>
        <w:rPr>
          <w:rFonts w:hint="eastAsia" w:ascii="宋体" w:hAnsi="宋体" w:cs="宋体"/>
          <w:color w:val="auto"/>
          <w:highlight w:val="none"/>
        </w:rPr>
      </w:pPr>
    </w:p>
    <w:p>
      <w:pPr>
        <w:shd w:val="clear"/>
        <w:spacing w:line="400" w:lineRule="exact"/>
        <w:jc w:val="center"/>
        <w:rPr>
          <w:rFonts w:hint="eastAsia" w:ascii="宋体" w:hAnsi="宋体" w:cs="宋体"/>
          <w:color w:val="auto"/>
          <w:highlight w:val="none"/>
        </w:rPr>
      </w:pPr>
    </w:p>
    <w:p>
      <w:pPr>
        <w:shd w:val="clear"/>
        <w:spacing w:line="400" w:lineRule="exact"/>
        <w:rPr>
          <w:rFonts w:hint="eastAsia" w:ascii="宋体" w:hAnsi="宋体" w:cs="宋体"/>
          <w:color w:val="auto"/>
          <w:highlight w:val="none"/>
        </w:rPr>
      </w:pPr>
    </w:p>
    <w:p>
      <w:pPr>
        <w:shd w:val="clear"/>
        <w:spacing w:line="400" w:lineRule="exact"/>
        <w:jc w:val="center"/>
        <w:rPr>
          <w:rFonts w:hint="eastAsia" w:ascii="宋体" w:hAnsi="宋体" w:cs="宋体"/>
          <w:color w:val="auto"/>
          <w:highlight w:val="none"/>
        </w:rPr>
      </w:pPr>
    </w:p>
    <w:p>
      <w:pPr>
        <w:shd w:val="clear"/>
        <w:spacing w:line="400" w:lineRule="exact"/>
        <w:jc w:val="center"/>
        <w:rPr>
          <w:rFonts w:hint="eastAsia" w:ascii="宋体" w:hAnsi="宋体" w:cs="宋体"/>
          <w:color w:val="auto"/>
          <w:highlight w:val="none"/>
        </w:rPr>
      </w:pPr>
    </w:p>
    <w:p>
      <w:pPr>
        <w:shd w:val="clear"/>
        <w:spacing w:line="400" w:lineRule="exact"/>
        <w:rPr>
          <w:rFonts w:hint="eastAsia" w:ascii="宋体" w:hAnsi="宋体" w:cs="宋体"/>
          <w:color w:val="auto"/>
          <w:sz w:val="32"/>
          <w:szCs w:val="32"/>
          <w:highlight w:val="none"/>
        </w:rPr>
      </w:pPr>
    </w:p>
    <w:p>
      <w:pPr>
        <w:shd w:val="clear"/>
        <w:spacing w:line="400" w:lineRule="exact"/>
        <w:rPr>
          <w:rFonts w:hint="eastAsia" w:ascii="宋体" w:hAnsi="宋体" w:cs="宋体"/>
          <w:color w:val="auto"/>
          <w:sz w:val="32"/>
          <w:szCs w:val="32"/>
          <w:highlight w:val="none"/>
        </w:rPr>
      </w:pPr>
    </w:p>
    <w:p>
      <w:pPr>
        <w:pStyle w:val="8"/>
        <w:shd w:val="clear"/>
        <w:tabs>
          <w:tab w:val="left" w:pos="5458"/>
          <w:tab w:val="left" w:pos="8533"/>
        </w:tabs>
        <w:spacing w:line="350" w:lineRule="auto"/>
        <w:ind w:right="213" w:firstLine="1506" w:firstLineChars="500"/>
        <w:rPr>
          <w:rFonts w:hint="eastAsia" w:ascii="宋体" w:hAnsi="宋体" w:cs="宋体"/>
          <w:b/>
          <w:color w:val="auto"/>
          <w:sz w:val="30"/>
          <w:szCs w:val="30"/>
          <w:highlight w:val="none"/>
          <w:u w:val="single"/>
        </w:rPr>
      </w:pPr>
      <w:r>
        <w:rPr>
          <w:rFonts w:hint="eastAsia" w:ascii="宋体" w:hAnsi="宋体" w:cs="宋体"/>
          <w:b/>
          <w:color w:val="auto"/>
          <w:sz w:val="30"/>
          <w:szCs w:val="30"/>
          <w:highlight w:val="none"/>
        </w:rPr>
        <w:t>招 标 人：</w:t>
      </w:r>
      <w:r>
        <w:rPr>
          <w:rFonts w:hint="eastAsia" w:ascii="宋体" w:hAnsi="宋体" w:cs="宋体"/>
          <w:b/>
          <w:color w:val="auto"/>
          <w:sz w:val="30"/>
          <w:szCs w:val="30"/>
          <w:highlight w:val="none"/>
          <w:u w:val="single"/>
        </w:rPr>
        <w:t>广州市海珠区河涌管理所</w:t>
      </w:r>
    </w:p>
    <w:p>
      <w:pPr>
        <w:pStyle w:val="8"/>
        <w:shd w:val="clear"/>
        <w:tabs>
          <w:tab w:val="left" w:pos="5458"/>
          <w:tab w:val="left" w:pos="8533"/>
        </w:tabs>
        <w:spacing w:line="350" w:lineRule="auto"/>
        <w:ind w:right="213" w:firstLine="1506" w:firstLineChars="500"/>
        <w:rPr>
          <w:rFonts w:hint="eastAsia" w:ascii="宋体" w:hAnsi="宋体" w:cs="宋体"/>
          <w:b/>
          <w:color w:val="auto"/>
          <w:sz w:val="30"/>
          <w:szCs w:val="30"/>
          <w:highlight w:val="none"/>
          <w:u w:val="single"/>
        </w:rPr>
      </w:pPr>
      <w:r>
        <w:rPr>
          <w:rFonts w:hint="eastAsia" w:ascii="宋体" w:hAnsi="宋体" w:cs="宋体"/>
          <w:b/>
          <w:color w:val="auto"/>
          <w:sz w:val="30"/>
          <w:szCs w:val="30"/>
          <w:highlight w:val="none"/>
        </w:rPr>
        <w:t>招标代理：</w:t>
      </w:r>
      <w:r>
        <w:rPr>
          <w:rFonts w:hint="eastAsia" w:ascii="宋体" w:hAnsi="宋体" w:cs="宋体"/>
          <w:b/>
          <w:color w:val="auto"/>
          <w:sz w:val="30"/>
          <w:szCs w:val="30"/>
          <w:highlight w:val="none"/>
          <w:u w:val="single"/>
        </w:rPr>
        <w:t>华杰工程咨询有限公司</w:t>
      </w:r>
    </w:p>
    <w:p>
      <w:pPr>
        <w:shd w:val="clear"/>
        <w:spacing w:line="360" w:lineRule="auto"/>
        <w:ind w:firstLine="1560" w:firstLineChars="518"/>
        <w:rPr>
          <w:rFonts w:hint="eastAsia" w:ascii="宋体" w:hAnsi="宋体" w:cs="宋体"/>
          <w:b/>
          <w:color w:val="auto"/>
          <w:sz w:val="30"/>
          <w:szCs w:val="30"/>
          <w:highlight w:val="none"/>
        </w:rPr>
        <w:sectPr>
          <w:footerReference r:id="rId4" w:type="default"/>
          <w:headerReference r:id="rId3" w:type="even"/>
          <w:footerReference r:id="rId5" w:type="even"/>
          <w:pgSz w:w="11906" w:h="16838"/>
          <w:pgMar w:top="1418" w:right="1417" w:bottom="1418" w:left="1418" w:header="851" w:footer="992" w:gutter="0"/>
          <w:pgNumType w:fmt="decimal" w:start="0"/>
          <w:cols w:space="720" w:num="1"/>
          <w:titlePg/>
          <w:docGrid w:linePitch="312" w:charSpace="0"/>
        </w:sectPr>
      </w:pPr>
      <w:r>
        <w:rPr>
          <w:rFonts w:hint="eastAsia" w:ascii="宋体" w:hAnsi="宋体" w:cs="宋体"/>
          <w:b/>
          <w:color w:val="auto"/>
          <w:sz w:val="30"/>
          <w:szCs w:val="30"/>
          <w:highlight w:val="none"/>
        </w:rPr>
        <w:t>日    期：2023年</w:t>
      </w:r>
      <w:r>
        <w:rPr>
          <w:rFonts w:hint="eastAsia" w:ascii="宋体" w:hAnsi="宋体" w:cs="宋体"/>
          <w:b/>
          <w:color w:val="auto"/>
          <w:sz w:val="30"/>
          <w:szCs w:val="30"/>
          <w:highlight w:val="none"/>
          <w:lang w:val="en-US" w:eastAsia="zh-CN"/>
        </w:rPr>
        <w:t>11</w:t>
      </w:r>
      <w:r>
        <w:rPr>
          <w:rFonts w:hint="eastAsia" w:ascii="宋体" w:hAnsi="宋体" w:cs="宋体"/>
          <w:b/>
          <w:color w:val="auto"/>
          <w:sz w:val="30"/>
          <w:szCs w:val="30"/>
          <w:highlight w:val="none"/>
        </w:rPr>
        <w:t>月</w:t>
      </w:r>
    </w:p>
    <w:p>
      <w:pPr>
        <w:pStyle w:val="3"/>
        <w:shd w:val="clear"/>
        <w:spacing w:before="0" w:after="0" w:line="360" w:lineRule="auto"/>
        <w:jc w:val="center"/>
        <w:rPr>
          <w:rFonts w:hint="eastAsia" w:ascii="宋体" w:hAnsi="宋体" w:cs="宋体"/>
          <w:color w:val="auto"/>
          <w:sz w:val="56"/>
          <w:highlight w:val="none"/>
        </w:rPr>
      </w:pPr>
      <w:bookmarkStart w:id="5" w:name="_Toc515980126"/>
      <w:bookmarkStart w:id="6" w:name="_Toc144974478"/>
      <w:bookmarkStart w:id="7" w:name="_Toc516265913"/>
      <w:bookmarkStart w:id="8" w:name="_Toc300834926"/>
      <w:bookmarkStart w:id="9" w:name="_Toc21535090"/>
      <w:bookmarkStart w:id="10" w:name="_Toc152042286"/>
      <w:bookmarkStart w:id="11" w:name="_Toc436834719"/>
      <w:bookmarkStart w:id="12" w:name="_Toc60859826"/>
      <w:bookmarkStart w:id="13" w:name="_Toc247527532"/>
      <w:bookmarkStart w:id="14" w:name="_Toc65361636"/>
      <w:r>
        <w:rPr>
          <w:rFonts w:hint="eastAsia" w:ascii="宋体" w:hAnsi="宋体" w:cs="宋体"/>
          <w:color w:val="auto"/>
          <w:highlight w:val="none"/>
        </w:rPr>
        <w:t>目 录</w:t>
      </w:r>
      <w:bookmarkEnd w:id="5"/>
      <w:bookmarkEnd w:id="6"/>
      <w:bookmarkEnd w:id="7"/>
      <w:bookmarkEnd w:id="8"/>
      <w:bookmarkEnd w:id="9"/>
      <w:bookmarkEnd w:id="10"/>
      <w:bookmarkEnd w:id="11"/>
      <w:bookmarkEnd w:id="12"/>
      <w:bookmarkEnd w:id="13"/>
      <w:bookmarkEnd w:id="14"/>
      <w:bookmarkStart w:id="15" w:name="_Toc247527533"/>
      <w:bookmarkStart w:id="16" w:name="_Toc152042287"/>
      <w:bookmarkStart w:id="17" w:name="_Toc247513932"/>
      <w:bookmarkStart w:id="18" w:name="_Toc144974479"/>
      <w:bookmarkStart w:id="19" w:name="_Toc152045511"/>
      <w:r>
        <w:rPr>
          <w:rFonts w:hint="eastAsia" w:ascii="宋体" w:hAnsi="宋体" w:cs="宋体"/>
          <w:b w:val="0"/>
          <w:color w:val="auto"/>
          <w:sz w:val="32"/>
          <w:szCs w:val="28"/>
          <w:highlight w:val="none"/>
        </w:rPr>
        <w:fldChar w:fldCharType="begin"/>
      </w:r>
      <w:r>
        <w:rPr>
          <w:rFonts w:hint="eastAsia" w:ascii="宋体" w:hAnsi="宋体" w:cs="宋体"/>
          <w:b w:val="0"/>
          <w:caps/>
          <w:color w:val="auto"/>
          <w:sz w:val="32"/>
          <w:szCs w:val="28"/>
          <w:highlight w:val="none"/>
        </w:rPr>
        <w:instrText xml:space="preserve"> TOC \o "1-3" \h \z \u </w:instrText>
      </w:r>
      <w:r>
        <w:rPr>
          <w:rFonts w:hint="eastAsia" w:ascii="宋体" w:hAnsi="宋体" w:cs="宋体"/>
          <w:b w:val="0"/>
          <w:color w:val="auto"/>
          <w:sz w:val="32"/>
          <w:szCs w:val="28"/>
          <w:highlight w:val="none"/>
        </w:rPr>
        <w:fldChar w:fldCharType="separate"/>
      </w:r>
    </w:p>
    <w:p>
      <w:pPr>
        <w:pStyle w:val="13"/>
        <w:shd w:val="clear"/>
        <w:tabs>
          <w:tab w:val="right" w:leader="dot" w:pos="9060"/>
        </w:tabs>
        <w:spacing w:line="360" w:lineRule="auto"/>
        <w:rPr>
          <w:rFonts w:hint="eastAsia" w:ascii="宋体" w:hAnsi="宋体" w:cs="宋体"/>
          <w:bCs w:val="0"/>
          <w:caps w:val="0"/>
          <w:color w:val="auto"/>
          <w:sz w:val="28"/>
          <w:szCs w:val="28"/>
          <w:highlight w:val="none"/>
        </w:rPr>
      </w:pPr>
      <w:r>
        <w:rPr>
          <w:rFonts w:hint="eastAsia" w:ascii="宋体" w:hAnsi="宋体" w:cs="宋体"/>
          <w:bCs w:val="0"/>
          <w:color w:val="auto"/>
          <w:sz w:val="28"/>
          <w:szCs w:val="28"/>
          <w:highlight w:val="none"/>
        </w:rPr>
        <w:fldChar w:fldCharType="begin"/>
      </w:r>
      <w:r>
        <w:rPr>
          <w:rFonts w:hint="eastAsia" w:ascii="宋体" w:hAnsi="宋体" w:cs="宋体"/>
          <w:bCs w:val="0"/>
          <w:color w:val="auto"/>
          <w:sz w:val="28"/>
          <w:szCs w:val="28"/>
          <w:highlight w:val="none"/>
        </w:rPr>
        <w:instrText xml:space="preserve">HYPERLINK \l "_Toc65361637"</w:instrText>
      </w:r>
      <w:r>
        <w:rPr>
          <w:rFonts w:hint="eastAsia" w:ascii="宋体" w:hAnsi="宋体" w:cs="宋体"/>
          <w:bCs w:val="0"/>
          <w:color w:val="auto"/>
          <w:sz w:val="28"/>
          <w:szCs w:val="28"/>
          <w:highlight w:val="none"/>
        </w:rPr>
        <w:fldChar w:fldCharType="separate"/>
      </w:r>
      <w:r>
        <w:rPr>
          <w:rStyle w:val="18"/>
          <w:rFonts w:hint="eastAsia" w:ascii="宋体" w:hAnsi="宋体" w:cs="宋体"/>
          <w:bCs w:val="0"/>
          <w:color w:val="auto"/>
          <w:sz w:val="28"/>
          <w:szCs w:val="28"/>
          <w:highlight w:val="none"/>
        </w:rPr>
        <w:t>第一卷</w:t>
      </w:r>
      <w:r>
        <w:rPr>
          <w:rFonts w:hint="eastAsia" w:ascii="宋体" w:hAnsi="宋体" w:cs="宋体"/>
          <w:bCs w:val="0"/>
          <w:color w:val="auto"/>
          <w:sz w:val="28"/>
          <w:szCs w:val="28"/>
          <w:highlight w:val="none"/>
        </w:rPr>
        <w:tab/>
      </w:r>
      <w:r>
        <w:rPr>
          <w:rFonts w:hint="eastAsia" w:ascii="宋体" w:hAnsi="宋体" w:cs="宋体"/>
          <w:bCs w:val="0"/>
          <w:color w:val="auto"/>
          <w:sz w:val="28"/>
          <w:szCs w:val="28"/>
          <w:highlight w:val="none"/>
        </w:rPr>
        <w:fldChar w:fldCharType="begin"/>
      </w:r>
      <w:r>
        <w:rPr>
          <w:rFonts w:hint="eastAsia" w:ascii="宋体" w:hAnsi="宋体" w:cs="宋体"/>
          <w:bCs w:val="0"/>
          <w:color w:val="auto"/>
          <w:sz w:val="28"/>
          <w:szCs w:val="28"/>
          <w:highlight w:val="none"/>
        </w:rPr>
        <w:instrText xml:space="preserve"> PAGEREF _Toc65361637 \h </w:instrText>
      </w:r>
      <w:r>
        <w:rPr>
          <w:rFonts w:hint="eastAsia" w:ascii="宋体" w:hAnsi="宋体" w:cs="宋体"/>
          <w:bCs w:val="0"/>
          <w:color w:val="auto"/>
          <w:sz w:val="28"/>
          <w:szCs w:val="28"/>
          <w:highlight w:val="none"/>
        </w:rPr>
        <w:fldChar w:fldCharType="separate"/>
      </w:r>
      <w:r>
        <w:rPr>
          <w:rFonts w:hint="eastAsia" w:ascii="宋体" w:hAnsi="宋体" w:cs="宋体"/>
          <w:bCs w:val="0"/>
          <w:color w:val="auto"/>
          <w:sz w:val="28"/>
          <w:szCs w:val="28"/>
          <w:highlight w:val="none"/>
        </w:rPr>
        <w:t>2</w:t>
      </w:r>
      <w:r>
        <w:rPr>
          <w:rFonts w:hint="eastAsia" w:ascii="宋体" w:hAnsi="宋体" w:cs="宋体"/>
          <w:bCs w:val="0"/>
          <w:color w:val="auto"/>
          <w:sz w:val="28"/>
          <w:szCs w:val="28"/>
          <w:highlight w:val="none"/>
        </w:rPr>
        <w:fldChar w:fldCharType="end"/>
      </w:r>
      <w:r>
        <w:rPr>
          <w:rFonts w:hint="eastAsia" w:ascii="宋体" w:hAnsi="宋体" w:cs="宋体"/>
          <w:bCs w:val="0"/>
          <w:color w:val="auto"/>
          <w:sz w:val="28"/>
          <w:szCs w:val="28"/>
          <w:highlight w:val="none"/>
        </w:rPr>
        <w:fldChar w:fldCharType="end"/>
      </w:r>
    </w:p>
    <w:p>
      <w:pPr>
        <w:pStyle w:val="13"/>
        <w:shd w:val="clear"/>
        <w:tabs>
          <w:tab w:val="right" w:leader="dot" w:pos="9060"/>
        </w:tabs>
        <w:spacing w:line="360" w:lineRule="auto"/>
        <w:ind w:firstLine="281" w:firstLineChars="100"/>
        <w:rPr>
          <w:rFonts w:hint="eastAsia" w:ascii="宋体" w:hAnsi="宋体" w:cs="宋体"/>
          <w:bCs w:val="0"/>
          <w:caps w:val="0"/>
          <w:color w:val="auto"/>
          <w:sz w:val="28"/>
          <w:szCs w:val="28"/>
          <w:highlight w:val="none"/>
        </w:rPr>
      </w:pPr>
      <w:r>
        <w:rPr>
          <w:rFonts w:hint="eastAsia" w:ascii="宋体" w:hAnsi="宋体" w:cs="宋体"/>
          <w:bCs w:val="0"/>
          <w:color w:val="auto"/>
          <w:sz w:val="28"/>
          <w:szCs w:val="28"/>
          <w:highlight w:val="none"/>
        </w:rPr>
        <w:fldChar w:fldCharType="begin"/>
      </w:r>
      <w:r>
        <w:rPr>
          <w:rFonts w:hint="eastAsia" w:ascii="宋体" w:hAnsi="宋体" w:cs="宋体"/>
          <w:bCs w:val="0"/>
          <w:color w:val="auto"/>
          <w:sz w:val="28"/>
          <w:szCs w:val="28"/>
          <w:highlight w:val="none"/>
        </w:rPr>
        <w:instrText xml:space="preserve">HYPERLINK \l "_Toc65361638"</w:instrText>
      </w:r>
      <w:r>
        <w:rPr>
          <w:rFonts w:hint="eastAsia" w:ascii="宋体" w:hAnsi="宋体" w:cs="宋体"/>
          <w:bCs w:val="0"/>
          <w:color w:val="auto"/>
          <w:sz w:val="28"/>
          <w:szCs w:val="28"/>
          <w:highlight w:val="none"/>
        </w:rPr>
        <w:fldChar w:fldCharType="separate"/>
      </w:r>
      <w:r>
        <w:rPr>
          <w:rStyle w:val="18"/>
          <w:rFonts w:hint="eastAsia" w:ascii="宋体" w:hAnsi="宋体" w:cs="宋体"/>
          <w:bCs w:val="0"/>
          <w:color w:val="auto"/>
          <w:sz w:val="28"/>
          <w:szCs w:val="28"/>
          <w:highlight w:val="none"/>
        </w:rPr>
        <w:t>第一章 招标公告</w:t>
      </w:r>
      <w:r>
        <w:rPr>
          <w:rFonts w:hint="eastAsia" w:ascii="宋体" w:hAnsi="宋体" w:cs="宋体"/>
          <w:bCs w:val="0"/>
          <w:color w:val="auto"/>
          <w:sz w:val="28"/>
          <w:szCs w:val="28"/>
          <w:highlight w:val="none"/>
        </w:rPr>
        <w:tab/>
      </w:r>
      <w:r>
        <w:rPr>
          <w:rFonts w:hint="eastAsia" w:ascii="宋体" w:hAnsi="宋体" w:cs="宋体"/>
          <w:bCs w:val="0"/>
          <w:color w:val="auto"/>
          <w:sz w:val="28"/>
          <w:szCs w:val="28"/>
          <w:highlight w:val="none"/>
        </w:rPr>
        <w:fldChar w:fldCharType="begin"/>
      </w:r>
      <w:r>
        <w:rPr>
          <w:rFonts w:hint="eastAsia" w:ascii="宋体" w:hAnsi="宋体" w:cs="宋体"/>
          <w:bCs w:val="0"/>
          <w:color w:val="auto"/>
          <w:sz w:val="28"/>
          <w:szCs w:val="28"/>
          <w:highlight w:val="none"/>
        </w:rPr>
        <w:instrText xml:space="preserve"> PAGEREF _Toc65361638 \h </w:instrText>
      </w:r>
      <w:r>
        <w:rPr>
          <w:rFonts w:hint="eastAsia" w:ascii="宋体" w:hAnsi="宋体" w:cs="宋体"/>
          <w:bCs w:val="0"/>
          <w:color w:val="auto"/>
          <w:sz w:val="28"/>
          <w:szCs w:val="28"/>
          <w:highlight w:val="none"/>
        </w:rPr>
        <w:fldChar w:fldCharType="separate"/>
      </w:r>
      <w:r>
        <w:rPr>
          <w:rFonts w:hint="eastAsia" w:ascii="宋体" w:hAnsi="宋体" w:cs="宋体"/>
          <w:bCs w:val="0"/>
          <w:color w:val="auto"/>
          <w:sz w:val="28"/>
          <w:szCs w:val="28"/>
          <w:highlight w:val="none"/>
        </w:rPr>
        <w:t>3</w:t>
      </w:r>
      <w:r>
        <w:rPr>
          <w:rFonts w:hint="eastAsia" w:ascii="宋体" w:hAnsi="宋体" w:cs="宋体"/>
          <w:bCs w:val="0"/>
          <w:color w:val="auto"/>
          <w:sz w:val="28"/>
          <w:szCs w:val="28"/>
          <w:highlight w:val="none"/>
        </w:rPr>
        <w:fldChar w:fldCharType="end"/>
      </w:r>
      <w:r>
        <w:rPr>
          <w:rFonts w:hint="eastAsia" w:ascii="宋体" w:hAnsi="宋体" w:cs="宋体"/>
          <w:bCs w:val="0"/>
          <w:color w:val="auto"/>
          <w:sz w:val="28"/>
          <w:szCs w:val="28"/>
          <w:highlight w:val="none"/>
        </w:rPr>
        <w:fldChar w:fldCharType="end"/>
      </w:r>
    </w:p>
    <w:p>
      <w:pPr>
        <w:pStyle w:val="13"/>
        <w:shd w:val="clear"/>
        <w:tabs>
          <w:tab w:val="right" w:leader="dot" w:pos="9060"/>
        </w:tabs>
        <w:spacing w:line="360" w:lineRule="auto"/>
        <w:ind w:firstLine="281" w:firstLineChars="100"/>
        <w:rPr>
          <w:rFonts w:hint="eastAsia" w:ascii="宋体" w:hAnsi="宋体" w:cs="宋体"/>
          <w:bCs w:val="0"/>
          <w:caps w:val="0"/>
          <w:color w:val="auto"/>
          <w:sz w:val="28"/>
          <w:szCs w:val="28"/>
          <w:highlight w:val="none"/>
        </w:rPr>
      </w:pPr>
      <w:r>
        <w:rPr>
          <w:rFonts w:hint="eastAsia" w:ascii="宋体" w:hAnsi="宋体" w:cs="宋体"/>
          <w:bCs w:val="0"/>
          <w:color w:val="auto"/>
          <w:sz w:val="28"/>
          <w:szCs w:val="28"/>
          <w:highlight w:val="none"/>
        </w:rPr>
        <w:fldChar w:fldCharType="begin"/>
      </w:r>
      <w:r>
        <w:rPr>
          <w:rFonts w:hint="eastAsia" w:ascii="宋体" w:hAnsi="宋体" w:cs="宋体"/>
          <w:bCs w:val="0"/>
          <w:color w:val="auto"/>
          <w:sz w:val="28"/>
          <w:szCs w:val="28"/>
          <w:highlight w:val="none"/>
        </w:rPr>
        <w:instrText xml:space="preserve">HYPERLINK \l "_Toc65361639"</w:instrText>
      </w:r>
      <w:r>
        <w:rPr>
          <w:rFonts w:hint="eastAsia" w:ascii="宋体" w:hAnsi="宋体" w:cs="宋体"/>
          <w:bCs w:val="0"/>
          <w:color w:val="auto"/>
          <w:sz w:val="28"/>
          <w:szCs w:val="28"/>
          <w:highlight w:val="none"/>
        </w:rPr>
        <w:fldChar w:fldCharType="separate"/>
      </w:r>
      <w:r>
        <w:rPr>
          <w:rStyle w:val="18"/>
          <w:rFonts w:hint="eastAsia" w:ascii="宋体" w:hAnsi="宋体" w:cs="宋体"/>
          <w:bCs w:val="0"/>
          <w:color w:val="auto"/>
          <w:sz w:val="28"/>
          <w:szCs w:val="28"/>
          <w:highlight w:val="none"/>
        </w:rPr>
        <w:t>第二章 投标人须知</w:t>
      </w:r>
      <w:r>
        <w:rPr>
          <w:rFonts w:hint="eastAsia" w:ascii="宋体" w:hAnsi="宋体" w:cs="宋体"/>
          <w:bCs w:val="0"/>
          <w:color w:val="auto"/>
          <w:sz w:val="28"/>
          <w:szCs w:val="28"/>
          <w:highlight w:val="none"/>
        </w:rPr>
        <w:tab/>
      </w:r>
      <w:r>
        <w:rPr>
          <w:rFonts w:hint="eastAsia" w:ascii="宋体" w:hAnsi="宋体" w:cs="宋体"/>
          <w:bCs w:val="0"/>
          <w:color w:val="auto"/>
          <w:sz w:val="28"/>
          <w:szCs w:val="28"/>
          <w:highlight w:val="none"/>
        </w:rPr>
        <w:fldChar w:fldCharType="begin"/>
      </w:r>
      <w:r>
        <w:rPr>
          <w:rFonts w:hint="eastAsia" w:ascii="宋体" w:hAnsi="宋体" w:cs="宋体"/>
          <w:bCs w:val="0"/>
          <w:color w:val="auto"/>
          <w:sz w:val="28"/>
          <w:szCs w:val="28"/>
          <w:highlight w:val="none"/>
        </w:rPr>
        <w:instrText xml:space="preserve"> PAGEREF _Toc65361639 \h </w:instrText>
      </w:r>
      <w:r>
        <w:rPr>
          <w:rFonts w:hint="eastAsia" w:ascii="宋体" w:hAnsi="宋体" w:cs="宋体"/>
          <w:bCs w:val="0"/>
          <w:color w:val="auto"/>
          <w:sz w:val="28"/>
          <w:szCs w:val="28"/>
          <w:highlight w:val="none"/>
        </w:rPr>
        <w:fldChar w:fldCharType="separate"/>
      </w:r>
      <w:r>
        <w:rPr>
          <w:rFonts w:hint="eastAsia" w:ascii="宋体" w:hAnsi="宋体" w:cs="宋体"/>
          <w:bCs w:val="0"/>
          <w:color w:val="auto"/>
          <w:sz w:val="28"/>
          <w:szCs w:val="28"/>
          <w:highlight w:val="none"/>
        </w:rPr>
        <w:t>4</w:t>
      </w:r>
      <w:r>
        <w:rPr>
          <w:rFonts w:hint="eastAsia" w:ascii="宋体" w:hAnsi="宋体" w:cs="宋体"/>
          <w:bCs w:val="0"/>
          <w:color w:val="auto"/>
          <w:sz w:val="28"/>
          <w:szCs w:val="28"/>
          <w:highlight w:val="none"/>
        </w:rPr>
        <w:fldChar w:fldCharType="end"/>
      </w:r>
      <w:r>
        <w:rPr>
          <w:rFonts w:hint="eastAsia" w:ascii="宋体" w:hAnsi="宋体" w:cs="宋体"/>
          <w:bCs w:val="0"/>
          <w:color w:val="auto"/>
          <w:sz w:val="28"/>
          <w:szCs w:val="28"/>
          <w:highlight w:val="none"/>
        </w:rPr>
        <w:fldChar w:fldCharType="end"/>
      </w:r>
    </w:p>
    <w:p>
      <w:pPr>
        <w:pStyle w:val="13"/>
        <w:shd w:val="clear"/>
        <w:tabs>
          <w:tab w:val="right" w:leader="dot" w:pos="9060"/>
        </w:tabs>
        <w:spacing w:line="360" w:lineRule="auto"/>
        <w:ind w:firstLine="281" w:firstLineChars="100"/>
        <w:rPr>
          <w:rFonts w:hint="eastAsia" w:ascii="宋体" w:hAnsi="宋体" w:cs="宋体"/>
          <w:bCs w:val="0"/>
          <w:caps w:val="0"/>
          <w:color w:val="auto"/>
          <w:sz w:val="28"/>
          <w:szCs w:val="28"/>
          <w:highlight w:val="none"/>
        </w:rPr>
      </w:pPr>
      <w:r>
        <w:rPr>
          <w:rFonts w:hint="eastAsia" w:ascii="宋体" w:hAnsi="宋体" w:cs="宋体"/>
          <w:bCs w:val="0"/>
          <w:color w:val="auto"/>
          <w:sz w:val="28"/>
          <w:szCs w:val="28"/>
          <w:highlight w:val="none"/>
        </w:rPr>
        <w:fldChar w:fldCharType="begin"/>
      </w:r>
      <w:r>
        <w:rPr>
          <w:rFonts w:hint="eastAsia" w:ascii="宋体" w:hAnsi="宋体" w:cs="宋体"/>
          <w:bCs w:val="0"/>
          <w:color w:val="auto"/>
          <w:sz w:val="28"/>
          <w:szCs w:val="28"/>
          <w:highlight w:val="none"/>
        </w:rPr>
        <w:instrText xml:space="preserve">HYPERLINK \l "_Toc65361693"</w:instrText>
      </w:r>
      <w:r>
        <w:rPr>
          <w:rFonts w:hint="eastAsia" w:ascii="宋体" w:hAnsi="宋体" w:cs="宋体"/>
          <w:bCs w:val="0"/>
          <w:color w:val="auto"/>
          <w:sz w:val="28"/>
          <w:szCs w:val="28"/>
          <w:highlight w:val="none"/>
        </w:rPr>
        <w:fldChar w:fldCharType="separate"/>
      </w:r>
      <w:r>
        <w:rPr>
          <w:rStyle w:val="18"/>
          <w:rFonts w:hint="eastAsia" w:ascii="宋体" w:hAnsi="宋体" w:cs="宋体"/>
          <w:bCs w:val="0"/>
          <w:color w:val="auto"/>
          <w:sz w:val="28"/>
          <w:szCs w:val="28"/>
          <w:highlight w:val="none"/>
        </w:rPr>
        <w:t>第三章 评标办法（综合评估法）</w:t>
      </w:r>
      <w:r>
        <w:rPr>
          <w:rFonts w:hint="eastAsia" w:ascii="宋体" w:hAnsi="宋体" w:cs="宋体"/>
          <w:bCs w:val="0"/>
          <w:color w:val="auto"/>
          <w:sz w:val="28"/>
          <w:szCs w:val="28"/>
          <w:highlight w:val="none"/>
        </w:rPr>
        <w:tab/>
      </w:r>
      <w:r>
        <w:rPr>
          <w:rFonts w:hint="eastAsia" w:ascii="宋体" w:hAnsi="宋体" w:cs="宋体"/>
          <w:bCs w:val="0"/>
          <w:color w:val="auto"/>
          <w:sz w:val="28"/>
          <w:szCs w:val="28"/>
          <w:highlight w:val="none"/>
        </w:rPr>
        <w:t>2</w:t>
      </w:r>
      <w:r>
        <w:rPr>
          <w:rFonts w:hint="eastAsia" w:ascii="宋体" w:hAnsi="宋体" w:cs="宋体"/>
          <w:bCs w:val="0"/>
          <w:color w:val="auto"/>
          <w:sz w:val="28"/>
          <w:szCs w:val="28"/>
          <w:highlight w:val="none"/>
        </w:rPr>
        <w:fldChar w:fldCharType="end"/>
      </w:r>
      <w:r>
        <w:rPr>
          <w:rFonts w:hint="eastAsia" w:ascii="宋体" w:hAnsi="宋体" w:cs="宋体"/>
          <w:bCs w:val="0"/>
          <w:color w:val="auto"/>
          <w:sz w:val="28"/>
          <w:szCs w:val="28"/>
          <w:highlight w:val="none"/>
        </w:rPr>
        <w:t>7</w:t>
      </w:r>
    </w:p>
    <w:p>
      <w:pPr>
        <w:pStyle w:val="13"/>
        <w:shd w:val="clear"/>
        <w:tabs>
          <w:tab w:val="right" w:leader="dot" w:pos="9060"/>
        </w:tabs>
        <w:spacing w:line="360" w:lineRule="auto"/>
        <w:ind w:firstLine="281" w:firstLineChars="100"/>
        <w:rPr>
          <w:rFonts w:hint="eastAsia" w:ascii="宋体" w:hAnsi="宋体" w:cs="宋体"/>
          <w:bCs w:val="0"/>
          <w:caps w:val="0"/>
          <w:color w:val="auto"/>
          <w:sz w:val="28"/>
          <w:szCs w:val="28"/>
          <w:highlight w:val="none"/>
        </w:rPr>
      </w:pPr>
      <w:r>
        <w:rPr>
          <w:rFonts w:hint="eastAsia" w:ascii="宋体" w:hAnsi="宋体" w:cs="宋体"/>
          <w:bCs w:val="0"/>
          <w:color w:val="auto"/>
          <w:sz w:val="28"/>
          <w:szCs w:val="28"/>
          <w:highlight w:val="none"/>
        </w:rPr>
        <w:fldChar w:fldCharType="begin"/>
      </w:r>
      <w:r>
        <w:rPr>
          <w:rFonts w:hint="eastAsia" w:ascii="宋体" w:hAnsi="宋体" w:cs="宋体"/>
          <w:bCs w:val="0"/>
          <w:color w:val="auto"/>
          <w:sz w:val="28"/>
          <w:szCs w:val="28"/>
          <w:highlight w:val="none"/>
        </w:rPr>
        <w:instrText xml:space="preserve">HYPERLINK \l "_Toc65361712"</w:instrText>
      </w:r>
      <w:r>
        <w:rPr>
          <w:rFonts w:hint="eastAsia" w:ascii="宋体" w:hAnsi="宋体" w:cs="宋体"/>
          <w:bCs w:val="0"/>
          <w:color w:val="auto"/>
          <w:sz w:val="28"/>
          <w:szCs w:val="28"/>
          <w:highlight w:val="none"/>
        </w:rPr>
        <w:fldChar w:fldCharType="separate"/>
      </w:r>
      <w:r>
        <w:rPr>
          <w:rStyle w:val="18"/>
          <w:rFonts w:hint="eastAsia" w:ascii="宋体" w:hAnsi="宋体" w:cs="宋体"/>
          <w:bCs w:val="0"/>
          <w:color w:val="auto"/>
          <w:sz w:val="28"/>
          <w:szCs w:val="28"/>
          <w:highlight w:val="none"/>
        </w:rPr>
        <w:t>第四章 合同条款及格式</w:t>
      </w:r>
      <w:r>
        <w:rPr>
          <w:rFonts w:hint="eastAsia" w:ascii="宋体" w:hAnsi="宋体" w:cs="宋体"/>
          <w:bCs w:val="0"/>
          <w:color w:val="auto"/>
          <w:sz w:val="28"/>
          <w:szCs w:val="28"/>
          <w:highlight w:val="none"/>
        </w:rPr>
        <w:tab/>
      </w:r>
      <w:r>
        <w:rPr>
          <w:rFonts w:hint="eastAsia" w:ascii="宋体" w:hAnsi="宋体" w:cs="宋体"/>
          <w:bCs w:val="0"/>
          <w:color w:val="auto"/>
          <w:sz w:val="28"/>
          <w:szCs w:val="28"/>
          <w:highlight w:val="none"/>
        </w:rPr>
        <w:fldChar w:fldCharType="begin"/>
      </w:r>
      <w:r>
        <w:rPr>
          <w:rFonts w:hint="eastAsia" w:ascii="宋体" w:hAnsi="宋体" w:cs="宋体"/>
          <w:bCs w:val="0"/>
          <w:color w:val="auto"/>
          <w:sz w:val="28"/>
          <w:szCs w:val="28"/>
          <w:highlight w:val="none"/>
        </w:rPr>
        <w:instrText xml:space="preserve"> PAGEREF _Toc65361712 \h </w:instrText>
      </w:r>
      <w:r>
        <w:rPr>
          <w:rFonts w:hint="eastAsia" w:ascii="宋体" w:hAnsi="宋体" w:cs="宋体"/>
          <w:bCs w:val="0"/>
          <w:color w:val="auto"/>
          <w:sz w:val="28"/>
          <w:szCs w:val="28"/>
          <w:highlight w:val="none"/>
        </w:rPr>
        <w:fldChar w:fldCharType="separate"/>
      </w:r>
      <w:r>
        <w:rPr>
          <w:rFonts w:hint="eastAsia" w:ascii="宋体" w:hAnsi="宋体" w:cs="宋体"/>
          <w:bCs w:val="0"/>
          <w:color w:val="auto"/>
          <w:sz w:val="28"/>
          <w:szCs w:val="28"/>
          <w:highlight w:val="none"/>
        </w:rPr>
        <w:t>39</w:t>
      </w:r>
      <w:r>
        <w:rPr>
          <w:rFonts w:hint="eastAsia" w:ascii="宋体" w:hAnsi="宋体" w:cs="宋体"/>
          <w:bCs w:val="0"/>
          <w:color w:val="auto"/>
          <w:sz w:val="28"/>
          <w:szCs w:val="28"/>
          <w:highlight w:val="none"/>
        </w:rPr>
        <w:fldChar w:fldCharType="end"/>
      </w:r>
      <w:r>
        <w:rPr>
          <w:rFonts w:hint="eastAsia" w:ascii="宋体" w:hAnsi="宋体" w:cs="宋体"/>
          <w:bCs w:val="0"/>
          <w:color w:val="auto"/>
          <w:sz w:val="28"/>
          <w:szCs w:val="28"/>
          <w:highlight w:val="none"/>
        </w:rPr>
        <w:fldChar w:fldCharType="end"/>
      </w:r>
    </w:p>
    <w:p>
      <w:pPr>
        <w:pStyle w:val="13"/>
        <w:shd w:val="clear"/>
        <w:tabs>
          <w:tab w:val="right" w:leader="dot" w:pos="9060"/>
        </w:tabs>
        <w:spacing w:line="360" w:lineRule="auto"/>
        <w:rPr>
          <w:rFonts w:hint="eastAsia" w:ascii="宋体" w:hAnsi="宋体" w:cs="宋体"/>
          <w:bCs w:val="0"/>
          <w:caps w:val="0"/>
          <w:color w:val="auto"/>
          <w:sz w:val="28"/>
          <w:szCs w:val="28"/>
          <w:highlight w:val="none"/>
        </w:rPr>
      </w:pPr>
      <w:r>
        <w:rPr>
          <w:rFonts w:hint="eastAsia" w:ascii="宋体" w:hAnsi="宋体" w:cs="宋体"/>
          <w:bCs w:val="0"/>
          <w:color w:val="auto"/>
          <w:sz w:val="28"/>
          <w:szCs w:val="28"/>
          <w:highlight w:val="none"/>
        </w:rPr>
        <w:fldChar w:fldCharType="begin"/>
      </w:r>
      <w:r>
        <w:rPr>
          <w:rFonts w:hint="eastAsia" w:ascii="宋体" w:hAnsi="宋体" w:cs="宋体"/>
          <w:bCs w:val="0"/>
          <w:color w:val="auto"/>
          <w:sz w:val="28"/>
          <w:szCs w:val="28"/>
          <w:highlight w:val="none"/>
        </w:rPr>
        <w:instrText xml:space="preserve">HYPERLINK \l "_Toc65361956"</w:instrText>
      </w:r>
      <w:r>
        <w:rPr>
          <w:rFonts w:hint="eastAsia" w:ascii="宋体" w:hAnsi="宋体" w:cs="宋体"/>
          <w:bCs w:val="0"/>
          <w:color w:val="auto"/>
          <w:sz w:val="28"/>
          <w:szCs w:val="28"/>
          <w:highlight w:val="none"/>
        </w:rPr>
        <w:fldChar w:fldCharType="separate"/>
      </w:r>
      <w:r>
        <w:rPr>
          <w:rStyle w:val="18"/>
          <w:rFonts w:hint="eastAsia" w:ascii="宋体" w:hAnsi="宋体" w:cs="宋体"/>
          <w:bCs w:val="0"/>
          <w:color w:val="auto"/>
          <w:sz w:val="28"/>
          <w:szCs w:val="28"/>
          <w:highlight w:val="none"/>
        </w:rPr>
        <w:t>第二卷</w:t>
      </w:r>
      <w:r>
        <w:rPr>
          <w:rFonts w:hint="eastAsia" w:ascii="宋体" w:hAnsi="宋体" w:cs="宋体"/>
          <w:bCs w:val="0"/>
          <w:color w:val="auto"/>
          <w:sz w:val="28"/>
          <w:szCs w:val="28"/>
          <w:highlight w:val="none"/>
        </w:rPr>
        <w:tab/>
      </w:r>
      <w:r>
        <w:rPr>
          <w:rFonts w:hint="eastAsia" w:ascii="宋体" w:hAnsi="宋体" w:cs="宋体"/>
          <w:bCs w:val="0"/>
          <w:color w:val="auto"/>
          <w:sz w:val="28"/>
          <w:szCs w:val="28"/>
          <w:highlight w:val="none"/>
        </w:rPr>
        <w:fldChar w:fldCharType="begin"/>
      </w:r>
      <w:r>
        <w:rPr>
          <w:rFonts w:hint="eastAsia" w:ascii="宋体" w:hAnsi="宋体" w:cs="宋体"/>
          <w:bCs w:val="0"/>
          <w:color w:val="auto"/>
          <w:sz w:val="28"/>
          <w:szCs w:val="28"/>
          <w:highlight w:val="none"/>
        </w:rPr>
        <w:instrText xml:space="preserve"> PAGEREF _Toc65361956 \h </w:instrText>
      </w:r>
      <w:r>
        <w:rPr>
          <w:rFonts w:hint="eastAsia" w:ascii="宋体" w:hAnsi="宋体" w:cs="宋体"/>
          <w:bCs w:val="0"/>
          <w:color w:val="auto"/>
          <w:sz w:val="28"/>
          <w:szCs w:val="28"/>
          <w:highlight w:val="none"/>
        </w:rPr>
        <w:fldChar w:fldCharType="separate"/>
      </w:r>
      <w:r>
        <w:rPr>
          <w:rFonts w:hint="eastAsia" w:ascii="宋体" w:hAnsi="宋体" w:cs="宋体"/>
          <w:bCs w:val="0"/>
          <w:color w:val="auto"/>
          <w:sz w:val="28"/>
          <w:szCs w:val="28"/>
          <w:highlight w:val="none"/>
        </w:rPr>
        <w:t>40</w:t>
      </w:r>
      <w:r>
        <w:rPr>
          <w:rFonts w:hint="eastAsia" w:ascii="宋体" w:hAnsi="宋体" w:cs="宋体"/>
          <w:bCs w:val="0"/>
          <w:color w:val="auto"/>
          <w:sz w:val="28"/>
          <w:szCs w:val="28"/>
          <w:highlight w:val="none"/>
        </w:rPr>
        <w:fldChar w:fldCharType="end"/>
      </w:r>
      <w:r>
        <w:rPr>
          <w:rFonts w:hint="eastAsia" w:ascii="宋体" w:hAnsi="宋体" w:cs="宋体"/>
          <w:bCs w:val="0"/>
          <w:color w:val="auto"/>
          <w:sz w:val="28"/>
          <w:szCs w:val="28"/>
          <w:highlight w:val="none"/>
        </w:rPr>
        <w:fldChar w:fldCharType="end"/>
      </w:r>
    </w:p>
    <w:p>
      <w:pPr>
        <w:pStyle w:val="13"/>
        <w:shd w:val="clear"/>
        <w:tabs>
          <w:tab w:val="right" w:leader="dot" w:pos="9060"/>
        </w:tabs>
        <w:spacing w:line="360" w:lineRule="auto"/>
        <w:ind w:firstLine="281" w:firstLineChars="100"/>
        <w:rPr>
          <w:rFonts w:hint="eastAsia" w:ascii="宋体" w:hAnsi="宋体" w:cs="宋体"/>
          <w:bCs w:val="0"/>
          <w:caps w:val="0"/>
          <w:color w:val="auto"/>
          <w:sz w:val="28"/>
          <w:szCs w:val="28"/>
          <w:highlight w:val="none"/>
        </w:rPr>
      </w:pPr>
      <w:r>
        <w:rPr>
          <w:rFonts w:hint="eastAsia" w:ascii="宋体" w:hAnsi="宋体" w:cs="宋体"/>
          <w:bCs w:val="0"/>
          <w:color w:val="auto"/>
          <w:sz w:val="28"/>
          <w:szCs w:val="28"/>
          <w:highlight w:val="none"/>
        </w:rPr>
        <w:fldChar w:fldCharType="begin"/>
      </w:r>
      <w:r>
        <w:rPr>
          <w:rFonts w:hint="eastAsia" w:ascii="宋体" w:hAnsi="宋体" w:cs="宋体"/>
          <w:bCs w:val="0"/>
          <w:color w:val="auto"/>
          <w:sz w:val="28"/>
          <w:szCs w:val="28"/>
          <w:highlight w:val="none"/>
        </w:rPr>
        <w:instrText xml:space="preserve">HYPERLINK \l "_Toc65361957"</w:instrText>
      </w:r>
      <w:r>
        <w:rPr>
          <w:rFonts w:hint="eastAsia" w:ascii="宋体" w:hAnsi="宋体" w:cs="宋体"/>
          <w:bCs w:val="0"/>
          <w:color w:val="auto"/>
          <w:sz w:val="28"/>
          <w:szCs w:val="28"/>
          <w:highlight w:val="none"/>
        </w:rPr>
        <w:fldChar w:fldCharType="separate"/>
      </w:r>
      <w:r>
        <w:rPr>
          <w:rStyle w:val="18"/>
          <w:rFonts w:hint="eastAsia" w:ascii="宋体" w:hAnsi="宋体" w:cs="宋体"/>
          <w:bCs w:val="0"/>
          <w:color w:val="auto"/>
          <w:sz w:val="28"/>
          <w:szCs w:val="28"/>
          <w:highlight w:val="none"/>
        </w:rPr>
        <w:t>第五章 发包人要</w:t>
      </w:r>
      <w:bookmarkStart w:id="20" w:name="_Hlt66891941"/>
      <w:bookmarkStart w:id="21" w:name="_Hlt66891940"/>
      <w:r>
        <w:rPr>
          <w:rStyle w:val="18"/>
          <w:rFonts w:hint="eastAsia" w:ascii="宋体" w:hAnsi="宋体" w:cs="宋体"/>
          <w:bCs w:val="0"/>
          <w:color w:val="auto"/>
          <w:sz w:val="28"/>
          <w:szCs w:val="28"/>
          <w:highlight w:val="none"/>
        </w:rPr>
        <w:t>求</w:t>
      </w:r>
      <w:bookmarkEnd w:id="20"/>
      <w:bookmarkEnd w:id="21"/>
      <w:r>
        <w:rPr>
          <w:rFonts w:hint="eastAsia" w:ascii="宋体" w:hAnsi="宋体" w:cs="宋体"/>
          <w:bCs w:val="0"/>
          <w:color w:val="auto"/>
          <w:sz w:val="28"/>
          <w:szCs w:val="28"/>
          <w:highlight w:val="none"/>
        </w:rPr>
        <w:tab/>
      </w:r>
      <w:r>
        <w:rPr>
          <w:rFonts w:hint="eastAsia" w:ascii="宋体" w:hAnsi="宋体" w:cs="宋体"/>
          <w:bCs w:val="0"/>
          <w:color w:val="auto"/>
          <w:sz w:val="28"/>
          <w:szCs w:val="28"/>
          <w:highlight w:val="none"/>
        </w:rPr>
        <w:fldChar w:fldCharType="begin"/>
      </w:r>
      <w:r>
        <w:rPr>
          <w:rFonts w:hint="eastAsia" w:ascii="宋体" w:hAnsi="宋体" w:cs="宋体"/>
          <w:bCs w:val="0"/>
          <w:color w:val="auto"/>
          <w:sz w:val="28"/>
          <w:szCs w:val="28"/>
          <w:highlight w:val="none"/>
        </w:rPr>
        <w:instrText xml:space="preserve"> PAGEREF _Toc65361957 \h </w:instrText>
      </w:r>
      <w:r>
        <w:rPr>
          <w:rFonts w:hint="eastAsia" w:ascii="宋体" w:hAnsi="宋体" w:cs="宋体"/>
          <w:bCs w:val="0"/>
          <w:color w:val="auto"/>
          <w:sz w:val="28"/>
          <w:szCs w:val="28"/>
          <w:highlight w:val="none"/>
        </w:rPr>
        <w:fldChar w:fldCharType="separate"/>
      </w:r>
      <w:r>
        <w:rPr>
          <w:rFonts w:hint="eastAsia" w:ascii="宋体" w:hAnsi="宋体" w:cs="宋体"/>
          <w:bCs w:val="0"/>
          <w:color w:val="auto"/>
          <w:sz w:val="28"/>
          <w:szCs w:val="28"/>
          <w:highlight w:val="none"/>
        </w:rPr>
        <w:t>41</w:t>
      </w:r>
      <w:r>
        <w:rPr>
          <w:rFonts w:hint="eastAsia" w:ascii="宋体" w:hAnsi="宋体" w:cs="宋体"/>
          <w:bCs w:val="0"/>
          <w:color w:val="auto"/>
          <w:sz w:val="28"/>
          <w:szCs w:val="28"/>
          <w:highlight w:val="none"/>
        </w:rPr>
        <w:fldChar w:fldCharType="end"/>
      </w:r>
      <w:r>
        <w:rPr>
          <w:rFonts w:hint="eastAsia" w:ascii="宋体" w:hAnsi="宋体" w:cs="宋体"/>
          <w:bCs w:val="0"/>
          <w:color w:val="auto"/>
          <w:sz w:val="28"/>
          <w:szCs w:val="28"/>
          <w:highlight w:val="none"/>
        </w:rPr>
        <w:fldChar w:fldCharType="end"/>
      </w:r>
    </w:p>
    <w:p>
      <w:pPr>
        <w:pStyle w:val="13"/>
        <w:shd w:val="clear"/>
        <w:tabs>
          <w:tab w:val="right" w:leader="dot" w:pos="9060"/>
        </w:tabs>
        <w:spacing w:line="360" w:lineRule="auto"/>
        <w:ind w:firstLine="281" w:firstLineChars="100"/>
        <w:rPr>
          <w:rFonts w:hint="eastAsia" w:ascii="宋体" w:hAnsi="宋体" w:cs="宋体"/>
          <w:bCs w:val="0"/>
          <w:caps w:val="0"/>
          <w:color w:val="auto"/>
          <w:sz w:val="28"/>
          <w:szCs w:val="28"/>
          <w:highlight w:val="none"/>
        </w:rPr>
      </w:pPr>
      <w:r>
        <w:rPr>
          <w:rFonts w:hint="eastAsia" w:ascii="宋体" w:hAnsi="宋体" w:cs="宋体"/>
          <w:bCs w:val="0"/>
          <w:color w:val="auto"/>
          <w:sz w:val="28"/>
          <w:szCs w:val="28"/>
          <w:highlight w:val="none"/>
        </w:rPr>
        <w:fldChar w:fldCharType="begin"/>
      </w:r>
      <w:r>
        <w:rPr>
          <w:rFonts w:hint="eastAsia" w:ascii="宋体" w:hAnsi="宋体" w:cs="宋体"/>
          <w:bCs w:val="0"/>
          <w:color w:val="auto"/>
          <w:sz w:val="28"/>
          <w:szCs w:val="28"/>
          <w:highlight w:val="none"/>
        </w:rPr>
        <w:instrText xml:space="preserve">HYPERLINK \l "_Toc65361959"</w:instrText>
      </w:r>
      <w:r>
        <w:rPr>
          <w:rFonts w:hint="eastAsia" w:ascii="宋体" w:hAnsi="宋体" w:cs="宋体"/>
          <w:bCs w:val="0"/>
          <w:color w:val="auto"/>
          <w:sz w:val="28"/>
          <w:szCs w:val="28"/>
          <w:highlight w:val="none"/>
        </w:rPr>
        <w:fldChar w:fldCharType="separate"/>
      </w:r>
      <w:r>
        <w:rPr>
          <w:rStyle w:val="18"/>
          <w:rFonts w:hint="eastAsia" w:ascii="宋体" w:hAnsi="宋体" w:cs="宋体"/>
          <w:bCs w:val="0"/>
          <w:color w:val="auto"/>
          <w:sz w:val="28"/>
          <w:szCs w:val="28"/>
          <w:highlight w:val="none"/>
        </w:rPr>
        <w:t>第六章 发包人提供的资料</w:t>
      </w:r>
      <w:r>
        <w:rPr>
          <w:rFonts w:hint="eastAsia" w:ascii="宋体" w:hAnsi="宋体" w:cs="宋体"/>
          <w:bCs w:val="0"/>
          <w:color w:val="auto"/>
          <w:sz w:val="28"/>
          <w:szCs w:val="28"/>
          <w:highlight w:val="none"/>
        </w:rPr>
        <w:tab/>
      </w:r>
      <w:r>
        <w:rPr>
          <w:rFonts w:hint="eastAsia" w:ascii="宋体" w:hAnsi="宋体" w:cs="宋体"/>
          <w:bCs w:val="0"/>
          <w:color w:val="auto"/>
          <w:sz w:val="28"/>
          <w:szCs w:val="28"/>
          <w:highlight w:val="none"/>
        </w:rPr>
        <w:fldChar w:fldCharType="begin"/>
      </w:r>
      <w:r>
        <w:rPr>
          <w:rFonts w:hint="eastAsia" w:ascii="宋体" w:hAnsi="宋体" w:cs="宋体"/>
          <w:bCs w:val="0"/>
          <w:color w:val="auto"/>
          <w:sz w:val="28"/>
          <w:szCs w:val="28"/>
          <w:highlight w:val="none"/>
        </w:rPr>
        <w:instrText xml:space="preserve"> PAGEREF _Toc65361959 \h </w:instrText>
      </w:r>
      <w:r>
        <w:rPr>
          <w:rFonts w:hint="eastAsia" w:ascii="宋体" w:hAnsi="宋体" w:cs="宋体"/>
          <w:bCs w:val="0"/>
          <w:color w:val="auto"/>
          <w:sz w:val="28"/>
          <w:szCs w:val="28"/>
          <w:highlight w:val="none"/>
        </w:rPr>
        <w:fldChar w:fldCharType="separate"/>
      </w:r>
      <w:r>
        <w:rPr>
          <w:rFonts w:hint="eastAsia" w:ascii="宋体" w:hAnsi="宋体" w:cs="宋体"/>
          <w:bCs w:val="0"/>
          <w:color w:val="auto"/>
          <w:sz w:val="28"/>
          <w:szCs w:val="28"/>
          <w:highlight w:val="none"/>
        </w:rPr>
        <w:t>42</w:t>
      </w:r>
      <w:r>
        <w:rPr>
          <w:rFonts w:hint="eastAsia" w:ascii="宋体" w:hAnsi="宋体" w:cs="宋体"/>
          <w:bCs w:val="0"/>
          <w:color w:val="auto"/>
          <w:sz w:val="28"/>
          <w:szCs w:val="28"/>
          <w:highlight w:val="none"/>
        </w:rPr>
        <w:fldChar w:fldCharType="end"/>
      </w:r>
      <w:r>
        <w:rPr>
          <w:rFonts w:hint="eastAsia" w:ascii="宋体" w:hAnsi="宋体" w:cs="宋体"/>
          <w:bCs w:val="0"/>
          <w:color w:val="auto"/>
          <w:sz w:val="28"/>
          <w:szCs w:val="28"/>
          <w:highlight w:val="none"/>
        </w:rPr>
        <w:fldChar w:fldCharType="end"/>
      </w:r>
    </w:p>
    <w:p>
      <w:pPr>
        <w:pStyle w:val="13"/>
        <w:shd w:val="clear"/>
        <w:tabs>
          <w:tab w:val="right" w:leader="dot" w:pos="9060"/>
        </w:tabs>
        <w:spacing w:line="360" w:lineRule="auto"/>
        <w:rPr>
          <w:rFonts w:hint="eastAsia" w:ascii="宋体" w:hAnsi="宋体" w:cs="宋体"/>
          <w:bCs w:val="0"/>
          <w:caps w:val="0"/>
          <w:color w:val="auto"/>
          <w:sz w:val="28"/>
          <w:szCs w:val="28"/>
          <w:highlight w:val="none"/>
        </w:rPr>
      </w:pPr>
      <w:r>
        <w:rPr>
          <w:rFonts w:hint="eastAsia" w:ascii="宋体" w:hAnsi="宋体" w:cs="宋体"/>
          <w:bCs w:val="0"/>
          <w:color w:val="auto"/>
          <w:sz w:val="28"/>
          <w:szCs w:val="28"/>
          <w:highlight w:val="none"/>
        </w:rPr>
        <w:fldChar w:fldCharType="begin"/>
      </w:r>
      <w:r>
        <w:rPr>
          <w:rFonts w:hint="eastAsia" w:ascii="宋体" w:hAnsi="宋体" w:cs="宋体"/>
          <w:bCs w:val="0"/>
          <w:color w:val="auto"/>
          <w:sz w:val="28"/>
          <w:szCs w:val="28"/>
          <w:highlight w:val="none"/>
        </w:rPr>
        <w:instrText xml:space="preserve">HYPERLINK \l "_Toc65361960"</w:instrText>
      </w:r>
      <w:r>
        <w:rPr>
          <w:rFonts w:hint="eastAsia" w:ascii="宋体" w:hAnsi="宋体" w:cs="宋体"/>
          <w:bCs w:val="0"/>
          <w:color w:val="auto"/>
          <w:sz w:val="28"/>
          <w:szCs w:val="28"/>
          <w:highlight w:val="none"/>
        </w:rPr>
        <w:fldChar w:fldCharType="separate"/>
      </w:r>
      <w:r>
        <w:rPr>
          <w:rStyle w:val="18"/>
          <w:rFonts w:hint="eastAsia" w:ascii="宋体" w:hAnsi="宋体" w:cs="宋体"/>
          <w:bCs w:val="0"/>
          <w:color w:val="auto"/>
          <w:kern w:val="44"/>
          <w:sz w:val="28"/>
          <w:szCs w:val="28"/>
          <w:highlight w:val="none"/>
        </w:rPr>
        <w:t>第三卷</w:t>
      </w:r>
      <w:r>
        <w:rPr>
          <w:rFonts w:hint="eastAsia" w:ascii="宋体" w:hAnsi="宋体" w:cs="宋体"/>
          <w:bCs w:val="0"/>
          <w:color w:val="auto"/>
          <w:sz w:val="28"/>
          <w:szCs w:val="28"/>
          <w:highlight w:val="none"/>
        </w:rPr>
        <w:tab/>
      </w:r>
      <w:r>
        <w:rPr>
          <w:rFonts w:hint="eastAsia" w:ascii="宋体" w:hAnsi="宋体" w:cs="宋体"/>
          <w:bCs w:val="0"/>
          <w:color w:val="auto"/>
          <w:sz w:val="28"/>
          <w:szCs w:val="28"/>
          <w:highlight w:val="none"/>
        </w:rPr>
        <w:fldChar w:fldCharType="begin"/>
      </w:r>
      <w:r>
        <w:rPr>
          <w:rFonts w:hint="eastAsia" w:ascii="宋体" w:hAnsi="宋体" w:cs="宋体"/>
          <w:bCs w:val="0"/>
          <w:color w:val="auto"/>
          <w:sz w:val="28"/>
          <w:szCs w:val="28"/>
          <w:highlight w:val="none"/>
        </w:rPr>
        <w:instrText xml:space="preserve"> PAGEREF _Toc65361960 \h </w:instrText>
      </w:r>
      <w:r>
        <w:rPr>
          <w:rFonts w:hint="eastAsia" w:ascii="宋体" w:hAnsi="宋体" w:cs="宋体"/>
          <w:bCs w:val="0"/>
          <w:color w:val="auto"/>
          <w:sz w:val="28"/>
          <w:szCs w:val="28"/>
          <w:highlight w:val="none"/>
        </w:rPr>
        <w:fldChar w:fldCharType="separate"/>
      </w:r>
      <w:r>
        <w:rPr>
          <w:rFonts w:hint="eastAsia" w:ascii="宋体" w:hAnsi="宋体" w:cs="宋体"/>
          <w:bCs w:val="0"/>
          <w:color w:val="auto"/>
          <w:sz w:val="28"/>
          <w:szCs w:val="28"/>
          <w:highlight w:val="none"/>
        </w:rPr>
        <w:t>43</w:t>
      </w:r>
      <w:r>
        <w:rPr>
          <w:rFonts w:hint="eastAsia" w:ascii="宋体" w:hAnsi="宋体" w:cs="宋体"/>
          <w:bCs w:val="0"/>
          <w:color w:val="auto"/>
          <w:sz w:val="28"/>
          <w:szCs w:val="28"/>
          <w:highlight w:val="none"/>
        </w:rPr>
        <w:fldChar w:fldCharType="end"/>
      </w:r>
      <w:r>
        <w:rPr>
          <w:rFonts w:hint="eastAsia" w:ascii="宋体" w:hAnsi="宋体" w:cs="宋体"/>
          <w:bCs w:val="0"/>
          <w:color w:val="auto"/>
          <w:sz w:val="28"/>
          <w:szCs w:val="28"/>
          <w:highlight w:val="none"/>
        </w:rPr>
        <w:fldChar w:fldCharType="end"/>
      </w:r>
    </w:p>
    <w:p>
      <w:pPr>
        <w:pStyle w:val="13"/>
        <w:shd w:val="clear"/>
        <w:tabs>
          <w:tab w:val="right" w:leader="dot" w:pos="9060"/>
        </w:tabs>
        <w:spacing w:line="360" w:lineRule="auto"/>
        <w:ind w:firstLine="281" w:firstLineChars="100"/>
        <w:rPr>
          <w:rFonts w:hint="eastAsia" w:ascii="宋体" w:hAnsi="宋体" w:cs="宋体"/>
          <w:bCs w:val="0"/>
          <w:caps w:val="0"/>
          <w:color w:val="auto"/>
          <w:sz w:val="28"/>
          <w:szCs w:val="28"/>
          <w:highlight w:val="none"/>
        </w:rPr>
      </w:pPr>
      <w:r>
        <w:rPr>
          <w:rFonts w:hint="eastAsia" w:ascii="宋体" w:hAnsi="宋体" w:cs="宋体"/>
          <w:bCs w:val="0"/>
          <w:color w:val="auto"/>
          <w:sz w:val="28"/>
          <w:szCs w:val="28"/>
          <w:highlight w:val="none"/>
        </w:rPr>
        <w:fldChar w:fldCharType="begin"/>
      </w:r>
      <w:r>
        <w:rPr>
          <w:rFonts w:hint="eastAsia" w:ascii="宋体" w:hAnsi="宋体" w:cs="宋体"/>
          <w:bCs w:val="0"/>
          <w:color w:val="auto"/>
          <w:sz w:val="28"/>
          <w:szCs w:val="28"/>
          <w:highlight w:val="none"/>
        </w:rPr>
        <w:instrText xml:space="preserve">HYPERLINK \l "_Toc65361961"</w:instrText>
      </w:r>
      <w:r>
        <w:rPr>
          <w:rFonts w:hint="eastAsia" w:ascii="宋体" w:hAnsi="宋体" w:cs="宋体"/>
          <w:bCs w:val="0"/>
          <w:color w:val="auto"/>
          <w:sz w:val="28"/>
          <w:szCs w:val="28"/>
          <w:highlight w:val="none"/>
        </w:rPr>
        <w:fldChar w:fldCharType="separate"/>
      </w:r>
      <w:r>
        <w:rPr>
          <w:rStyle w:val="18"/>
          <w:rFonts w:hint="eastAsia" w:ascii="宋体" w:hAnsi="宋体" w:cs="宋体"/>
          <w:bCs w:val="0"/>
          <w:color w:val="auto"/>
          <w:sz w:val="28"/>
          <w:szCs w:val="28"/>
          <w:highlight w:val="none"/>
        </w:rPr>
        <w:t>第七章 投标文件格</w:t>
      </w:r>
      <w:bookmarkStart w:id="22" w:name="_Hlt66120276"/>
      <w:r>
        <w:rPr>
          <w:rStyle w:val="18"/>
          <w:rFonts w:hint="eastAsia" w:ascii="宋体" w:hAnsi="宋体" w:cs="宋体"/>
          <w:bCs w:val="0"/>
          <w:color w:val="auto"/>
          <w:sz w:val="28"/>
          <w:szCs w:val="28"/>
          <w:highlight w:val="none"/>
        </w:rPr>
        <w:t>式</w:t>
      </w:r>
      <w:bookmarkEnd w:id="22"/>
      <w:r>
        <w:rPr>
          <w:rFonts w:hint="eastAsia" w:ascii="宋体" w:hAnsi="宋体" w:cs="宋体"/>
          <w:bCs w:val="0"/>
          <w:color w:val="auto"/>
          <w:sz w:val="28"/>
          <w:szCs w:val="28"/>
          <w:highlight w:val="none"/>
        </w:rPr>
        <w:tab/>
      </w:r>
      <w:r>
        <w:rPr>
          <w:rFonts w:hint="eastAsia" w:ascii="宋体" w:hAnsi="宋体" w:cs="宋体"/>
          <w:bCs w:val="0"/>
          <w:color w:val="auto"/>
          <w:sz w:val="28"/>
          <w:szCs w:val="28"/>
          <w:highlight w:val="none"/>
        </w:rPr>
        <w:fldChar w:fldCharType="begin"/>
      </w:r>
      <w:r>
        <w:rPr>
          <w:rFonts w:hint="eastAsia" w:ascii="宋体" w:hAnsi="宋体" w:cs="宋体"/>
          <w:bCs w:val="0"/>
          <w:color w:val="auto"/>
          <w:sz w:val="28"/>
          <w:szCs w:val="28"/>
          <w:highlight w:val="none"/>
        </w:rPr>
        <w:instrText xml:space="preserve"> PAGEREF _Toc65361961 \h </w:instrText>
      </w:r>
      <w:r>
        <w:rPr>
          <w:rFonts w:hint="eastAsia" w:ascii="宋体" w:hAnsi="宋体" w:cs="宋体"/>
          <w:bCs w:val="0"/>
          <w:color w:val="auto"/>
          <w:sz w:val="28"/>
          <w:szCs w:val="28"/>
          <w:highlight w:val="none"/>
        </w:rPr>
        <w:fldChar w:fldCharType="separate"/>
      </w:r>
      <w:r>
        <w:rPr>
          <w:rFonts w:hint="eastAsia" w:ascii="宋体" w:hAnsi="宋体" w:cs="宋体"/>
          <w:bCs w:val="0"/>
          <w:color w:val="auto"/>
          <w:sz w:val="28"/>
          <w:szCs w:val="28"/>
          <w:highlight w:val="none"/>
        </w:rPr>
        <w:t>44</w:t>
      </w:r>
      <w:r>
        <w:rPr>
          <w:rFonts w:hint="eastAsia" w:ascii="宋体" w:hAnsi="宋体" w:cs="宋体"/>
          <w:bCs w:val="0"/>
          <w:color w:val="auto"/>
          <w:sz w:val="28"/>
          <w:szCs w:val="28"/>
          <w:highlight w:val="none"/>
        </w:rPr>
        <w:fldChar w:fldCharType="end"/>
      </w:r>
      <w:r>
        <w:rPr>
          <w:rFonts w:hint="eastAsia" w:ascii="宋体" w:hAnsi="宋体" w:cs="宋体"/>
          <w:bCs w:val="0"/>
          <w:color w:val="auto"/>
          <w:sz w:val="28"/>
          <w:szCs w:val="28"/>
          <w:highlight w:val="none"/>
        </w:rPr>
        <w:fldChar w:fldCharType="end"/>
      </w:r>
    </w:p>
    <w:p>
      <w:pPr>
        <w:widowControl/>
        <w:shd w:val="clear"/>
        <w:spacing w:line="360" w:lineRule="auto"/>
        <w:rPr>
          <w:rFonts w:hint="eastAsia" w:ascii="宋体" w:hAnsi="宋体" w:cs="宋体"/>
          <w:color w:val="auto"/>
          <w:highlight w:val="none"/>
        </w:rPr>
        <w:sectPr>
          <w:footerReference r:id="rId6" w:type="default"/>
          <w:pgSz w:w="11906" w:h="16838"/>
          <w:pgMar w:top="1418" w:right="1417" w:bottom="1418" w:left="1418" w:header="851" w:footer="992" w:gutter="0"/>
          <w:pgNumType w:fmt="decimal" w:start="1"/>
          <w:cols w:space="720" w:num="1"/>
          <w:docGrid w:linePitch="312" w:charSpace="0"/>
        </w:sectPr>
      </w:pPr>
      <w:r>
        <w:rPr>
          <w:rFonts w:hint="eastAsia" w:ascii="宋体" w:hAnsi="宋体" w:cs="宋体"/>
          <w:color w:val="auto"/>
          <w:highlight w:val="none"/>
        </w:rPr>
        <w:fldChar w:fldCharType="end"/>
      </w:r>
      <w:r>
        <w:rPr>
          <w:rFonts w:hint="eastAsia" w:ascii="宋体" w:hAnsi="宋体" w:cs="宋体"/>
          <w:color w:val="auto"/>
          <w:highlight w:val="none"/>
        </w:rPr>
        <w:t xml:space="preserve">   </w:t>
      </w:r>
      <w:bookmarkEnd w:id="15"/>
      <w:bookmarkEnd w:id="16"/>
      <w:bookmarkEnd w:id="17"/>
      <w:bookmarkEnd w:id="18"/>
      <w:bookmarkEnd w:id="19"/>
      <w:bookmarkStart w:id="23" w:name="_Toc516265914"/>
      <w:bookmarkStart w:id="24" w:name="_Toc152045526"/>
      <w:bookmarkStart w:id="25" w:name="_Toc247513949"/>
      <w:bookmarkStart w:id="26" w:name="_Toc515980127"/>
      <w:bookmarkStart w:id="27" w:name="_Toc247527550"/>
      <w:bookmarkStart w:id="28" w:name="_Toc144974494"/>
      <w:bookmarkStart w:id="29" w:name="_Toc152042302"/>
      <w:r>
        <w:rPr>
          <w:rFonts w:hint="eastAsia" w:ascii="宋体" w:hAnsi="宋体" w:cs="宋体"/>
          <w:b/>
          <w:bCs/>
          <w:caps/>
          <w:color w:val="auto"/>
          <w:sz w:val="28"/>
          <w:szCs w:val="28"/>
          <w:highlight w:val="none"/>
        </w:rPr>
        <w:fldChar w:fldCharType="begin"/>
      </w:r>
      <w:r>
        <w:rPr>
          <w:rFonts w:hint="eastAsia" w:ascii="宋体" w:hAnsi="宋体" w:cs="宋体"/>
          <w:b/>
          <w:bCs/>
          <w:caps/>
          <w:color w:val="auto"/>
          <w:sz w:val="28"/>
          <w:szCs w:val="28"/>
          <w:highlight w:val="none"/>
        </w:rPr>
        <w:instrText xml:space="preserve">HYPERLINK \l "_Toc65361961"</w:instrText>
      </w:r>
      <w:r>
        <w:rPr>
          <w:rFonts w:hint="eastAsia" w:ascii="宋体" w:hAnsi="宋体" w:cs="宋体"/>
          <w:b/>
          <w:bCs/>
          <w:caps/>
          <w:color w:val="auto"/>
          <w:sz w:val="28"/>
          <w:szCs w:val="28"/>
          <w:highlight w:val="none"/>
        </w:rPr>
        <w:fldChar w:fldCharType="separate"/>
      </w:r>
      <w:r>
        <w:rPr>
          <w:rFonts w:hint="eastAsia" w:ascii="宋体" w:hAnsi="宋体" w:cs="宋体"/>
          <w:b/>
          <w:bCs/>
          <w:caps/>
          <w:color w:val="auto"/>
          <w:sz w:val="28"/>
          <w:szCs w:val="28"/>
          <w:highlight w:val="none"/>
        </w:rPr>
        <w:t>第八章 否决性条款汇........................................ 5</w:t>
      </w:r>
      <w:r>
        <w:rPr>
          <w:rFonts w:hint="eastAsia" w:ascii="宋体" w:hAnsi="宋体" w:cs="宋体"/>
          <w:b/>
          <w:bCs/>
          <w:caps/>
          <w:color w:val="auto"/>
          <w:sz w:val="28"/>
          <w:szCs w:val="28"/>
          <w:highlight w:val="none"/>
        </w:rPr>
        <w:fldChar w:fldCharType="end"/>
      </w:r>
      <w:r>
        <w:rPr>
          <w:rFonts w:hint="eastAsia" w:ascii="宋体" w:hAnsi="宋体" w:cs="宋体"/>
          <w:b/>
          <w:bCs/>
          <w:caps/>
          <w:color w:val="auto"/>
          <w:sz w:val="28"/>
          <w:szCs w:val="28"/>
          <w:highlight w:val="none"/>
        </w:rPr>
        <w:t>4</w:t>
      </w:r>
    </w:p>
    <w:p>
      <w:pPr>
        <w:pStyle w:val="3"/>
        <w:shd w:val="clear"/>
        <w:spacing w:before="0" w:after="0" w:line="240" w:lineRule="auto"/>
        <w:jc w:val="center"/>
        <w:rPr>
          <w:rFonts w:hint="eastAsia" w:ascii="宋体" w:hAnsi="宋体" w:cs="宋体"/>
          <w:color w:val="auto"/>
          <w:highlight w:val="none"/>
        </w:rPr>
      </w:pPr>
      <w:bookmarkStart w:id="30" w:name="_Toc65361637"/>
      <w:r>
        <w:rPr>
          <w:rFonts w:hint="eastAsia" w:ascii="宋体" w:hAnsi="宋体" w:cs="宋体"/>
          <w:color w:val="auto"/>
          <w:highlight w:val="none"/>
        </w:rPr>
        <w:t>第一卷</w:t>
      </w:r>
      <w:bookmarkEnd w:id="30"/>
    </w:p>
    <w:p>
      <w:pPr>
        <w:pStyle w:val="3"/>
        <w:shd w:val="clear"/>
        <w:spacing w:before="0" w:after="0" w:line="240" w:lineRule="auto"/>
        <w:jc w:val="center"/>
        <w:rPr>
          <w:rFonts w:hint="eastAsia" w:ascii="宋体" w:hAnsi="宋体" w:cs="宋体"/>
          <w:color w:val="auto"/>
          <w:highlight w:val="none"/>
        </w:rPr>
        <w:sectPr>
          <w:footerReference r:id="rId7" w:type="default"/>
          <w:pgSz w:w="11906" w:h="16838"/>
          <w:pgMar w:top="1418" w:right="1417" w:bottom="1418" w:left="1418" w:header="851" w:footer="992" w:gutter="0"/>
          <w:pgNumType w:fmt="decimal"/>
          <w:cols w:space="720" w:num="1"/>
          <w:docGrid w:linePitch="312" w:charSpace="0"/>
        </w:sectPr>
      </w:pPr>
    </w:p>
    <w:p>
      <w:pPr>
        <w:pStyle w:val="3"/>
        <w:shd w:val="clear"/>
        <w:spacing w:before="0" w:after="0" w:line="240" w:lineRule="auto"/>
        <w:jc w:val="center"/>
        <w:rPr>
          <w:rFonts w:hint="eastAsia" w:ascii="宋体" w:hAnsi="宋体" w:cs="宋体"/>
          <w:color w:val="auto"/>
          <w:highlight w:val="none"/>
        </w:rPr>
      </w:pPr>
      <w:bookmarkStart w:id="31" w:name="_Toc65361638"/>
      <w:r>
        <w:rPr>
          <w:rFonts w:hint="eastAsia" w:ascii="宋体" w:hAnsi="宋体" w:cs="宋体"/>
          <w:color w:val="auto"/>
          <w:highlight w:val="none"/>
        </w:rPr>
        <w:t xml:space="preserve">第一章  </w:t>
      </w:r>
      <w:bookmarkEnd w:id="23"/>
      <w:bookmarkEnd w:id="24"/>
      <w:bookmarkEnd w:id="25"/>
      <w:bookmarkEnd w:id="26"/>
      <w:bookmarkEnd w:id="27"/>
      <w:bookmarkEnd w:id="28"/>
      <w:bookmarkEnd w:id="29"/>
      <w:r>
        <w:rPr>
          <w:rFonts w:hint="eastAsia" w:ascii="宋体" w:hAnsi="宋体" w:cs="宋体"/>
          <w:color w:val="auto"/>
          <w:highlight w:val="none"/>
        </w:rPr>
        <w:t>招标公告</w:t>
      </w:r>
      <w:bookmarkEnd w:id="31"/>
    </w:p>
    <w:p>
      <w:pPr>
        <w:shd w:val="clear"/>
        <w:spacing w:line="360" w:lineRule="auto"/>
        <w:ind w:firstLine="480" w:firstLineChars="200"/>
        <w:rPr>
          <w:rFonts w:hint="eastAsia" w:ascii="宋体" w:hAnsi="宋体" w:cs="宋体"/>
          <w:color w:val="auto"/>
          <w:sz w:val="24"/>
          <w:szCs w:val="24"/>
          <w:highlight w:val="none"/>
        </w:rPr>
      </w:pPr>
      <w:bookmarkStart w:id="32" w:name="_Toc247513950"/>
      <w:bookmarkStart w:id="33" w:name="_Toc247527551"/>
      <w:bookmarkStart w:id="34" w:name="_Toc152045527"/>
      <w:bookmarkStart w:id="35" w:name="_Toc144974495"/>
      <w:bookmarkStart w:id="36" w:name="_Toc152042303"/>
    </w:p>
    <w:p>
      <w:pPr>
        <w:shd w:val="clear"/>
        <w:spacing w:line="360" w:lineRule="auto"/>
        <w:ind w:firstLine="480" w:firstLineChars="200"/>
        <w:jc w:val="center"/>
        <w:rPr>
          <w:rFonts w:hint="eastAsia" w:ascii="宋体" w:hAnsi="宋体" w:cs="宋体"/>
          <w:color w:val="auto"/>
          <w:sz w:val="24"/>
          <w:szCs w:val="24"/>
          <w:highlight w:val="none"/>
        </w:rPr>
        <w:sectPr>
          <w:pgSz w:w="11906" w:h="16838"/>
          <w:pgMar w:top="1418" w:right="1417" w:bottom="1418" w:left="1418" w:header="851" w:footer="992" w:gutter="0"/>
          <w:pgNumType w:fmt="decimal"/>
          <w:cols w:space="720" w:num="1"/>
          <w:docGrid w:linePitch="312" w:charSpace="0"/>
        </w:sectPr>
      </w:pPr>
      <w:bookmarkStart w:id="37" w:name="_Toc21535092"/>
      <w:r>
        <w:rPr>
          <w:rFonts w:hint="eastAsia" w:ascii="宋体" w:hAnsi="宋体" w:cs="宋体"/>
          <w:color w:val="auto"/>
          <w:sz w:val="24"/>
          <w:szCs w:val="24"/>
          <w:highlight w:val="none"/>
        </w:rPr>
        <w:t>（另册）</w:t>
      </w:r>
    </w:p>
    <w:p>
      <w:pPr>
        <w:pStyle w:val="3"/>
        <w:shd w:val="clear"/>
        <w:spacing w:before="0" w:after="0" w:line="360" w:lineRule="auto"/>
        <w:jc w:val="center"/>
        <w:rPr>
          <w:rFonts w:hint="eastAsia" w:ascii="宋体" w:hAnsi="宋体" w:cs="宋体"/>
          <w:caps/>
          <w:color w:val="auto"/>
          <w:kern w:val="2"/>
          <w:highlight w:val="none"/>
        </w:rPr>
      </w:pPr>
      <w:bookmarkStart w:id="38" w:name="_Toc515980128"/>
      <w:bookmarkStart w:id="39" w:name="_Toc516265915"/>
      <w:bookmarkStart w:id="40" w:name="_Toc65361639"/>
      <w:r>
        <w:rPr>
          <w:rFonts w:hint="eastAsia" w:ascii="宋体" w:hAnsi="宋体" w:cs="宋体"/>
          <w:color w:val="auto"/>
          <w:highlight w:val="none"/>
        </w:rPr>
        <w:t>第二章  投标人须知</w:t>
      </w:r>
      <w:bookmarkEnd w:id="32"/>
      <w:bookmarkEnd w:id="33"/>
      <w:bookmarkEnd w:id="34"/>
      <w:bookmarkEnd w:id="35"/>
      <w:bookmarkEnd w:id="36"/>
      <w:bookmarkEnd w:id="37"/>
      <w:bookmarkEnd w:id="38"/>
      <w:bookmarkEnd w:id="39"/>
      <w:bookmarkEnd w:id="40"/>
    </w:p>
    <w:p>
      <w:pPr>
        <w:pStyle w:val="4"/>
        <w:shd w:val="clear"/>
        <w:adjustRightInd w:val="0"/>
        <w:snapToGrid w:val="0"/>
        <w:spacing w:before="0" w:after="0" w:line="360" w:lineRule="auto"/>
        <w:jc w:val="left"/>
        <w:rPr>
          <w:rFonts w:hint="eastAsia" w:ascii="宋体" w:hAnsi="宋体" w:eastAsia="宋体" w:cs="宋体"/>
          <w:color w:val="auto"/>
          <w:sz w:val="24"/>
          <w:szCs w:val="24"/>
          <w:highlight w:val="none"/>
        </w:rPr>
      </w:pPr>
      <w:bookmarkStart w:id="41" w:name="_Toc436834130"/>
      <w:bookmarkStart w:id="42" w:name="_Toc60859830"/>
      <w:bookmarkStart w:id="43" w:name="_Toc247527552"/>
      <w:bookmarkStart w:id="44" w:name="_Toc300834948"/>
      <w:bookmarkStart w:id="45" w:name="_Toc399165372"/>
      <w:bookmarkStart w:id="46" w:name="_Toc152042304"/>
      <w:bookmarkStart w:id="47" w:name="_Toc516265916"/>
      <w:bookmarkStart w:id="48" w:name="_Toc21535094"/>
      <w:bookmarkStart w:id="49" w:name="_Toc247513951"/>
      <w:bookmarkStart w:id="50" w:name="_Toc515980129"/>
      <w:bookmarkStart w:id="51" w:name="_Toc436834723"/>
      <w:bookmarkStart w:id="52" w:name="_Toc144974496"/>
      <w:bookmarkStart w:id="53" w:name="_Toc152045528"/>
      <w:bookmarkStart w:id="54" w:name="_Toc65361640"/>
      <w:r>
        <w:rPr>
          <w:rFonts w:hint="eastAsia" w:ascii="宋体" w:hAnsi="宋体" w:eastAsia="宋体" w:cs="宋体"/>
          <w:color w:val="auto"/>
          <w:sz w:val="24"/>
          <w:szCs w:val="24"/>
          <w:highlight w:val="none"/>
        </w:rPr>
        <w:t>投标人须知前附表</w:t>
      </w:r>
      <w:bookmarkEnd w:id="41"/>
      <w:bookmarkEnd w:id="42"/>
      <w:bookmarkEnd w:id="43"/>
      <w:bookmarkEnd w:id="44"/>
      <w:bookmarkEnd w:id="45"/>
      <w:bookmarkEnd w:id="46"/>
      <w:bookmarkEnd w:id="47"/>
      <w:bookmarkEnd w:id="48"/>
      <w:bookmarkEnd w:id="49"/>
      <w:bookmarkEnd w:id="50"/>
      <w:bookmarkEnd w:id="51"/>
      <w:bookmarkEnd w:id="52"/>
      <w:bookmarkEnd w:id="53"/>
      <w:bookmarkEnd w:id="54"/>
    </w:p>
    <w:p>
      <w:pPr>
        <w:shd w:val="clear"/>
        <w:adjustRightInd w:val="0"/>
        <w:snapToGrid w:val="0"/>
        <w:spacing w:line="360" w:lineRule="auto"/>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说明：投标人须知前附表部分为选择性条款，以■表示选用，以□表示不选用。</w:t>
      </w:r>
    </w:p>
    <w:tbl>
      <w:tblPr>
        <w:tblStyle w:val="15"/>
        <w:tblW w:w="10021"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19"/>
        <w:gridCol w:w="969"/>
        <w:gridCol w:w="1258"/>
        <w:gridCol w:w="667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19" w:type="dxa"/>
            <w:tcBorders>
              <w:top w:val="single" w:color="auto" w:sz="4" w:space="0"/>
              <w:left w:val="single" w:color="auto" w:sz="4"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p>
        </w:tc>
        <w:tc>
          <w:tcPr>
            <w:tcW w:w="2227" w:type="dxa"/>
            <w:gridSpan w:val="2"/>
            <w:tcBorders>
              <w:top w:val="single" w:color="auto" w:sz="4" w:space="0"/>
              <w:left w:val="single" w:color="auto" w:sz="6"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条 款 名 称</w:t>
            </w:r>
          </w:p>
        </w:tc>
        <w:tc>
          <w:tcPr>
            <w:tcW w:w="6675" w:type="dxa"/>
            <w:tcBorders>
              <w:top w:val="single" w:color="auto" w:sz="4" w:space="0"/>
              <w:left w:val="single" w:color="auto" w:sz="6" w:space="0"/>
              <w:bottom w:val="single" w:color="auto" w:sz="6" w:space="0"/>
              <w:right w:val="single" w:color="auto" w:sz="4" w:space="0"/>
            </w:tcBorders>
            <w:noWrap w:val="0"/>
            <w:vAlign w:val="center"/>
          </w:tcPr>
          <w:p>
            <w:pPr>
              <w:shd w:val="clear"/>
              <w:adjustRightInd w:val="0"/>
              <w:snapToGrid w:val="0"/>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19" w:type="dxa"/>
            <w:tcBorders>
              <w:top w:val="single" w:color="auto" w:sz="6" w:space="0"/>
              <w:left w:val="single" w:color="auto" w:sz="4"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1.1.2</w:t>
            </w:r>
          </w:p>
        </w:tc>
        <w:tc>
          <w:tcPr>
            <w:tcW w:w="2227" w:type="dxa"/>
            <w:gridSpan w:val="2"/>
            <w:tcBorders>
              <w:top w:val="single" w:color="auto" w:sz="6" w:space="0"/>
              <w:left w:val="single" w:color="auto" w:sz="6"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招标人</w:t>
            </w:r>
          </w:p>
        </w:tc>
        <w:tc>
          <w:tcPr>
            <w:tcW w:w="6675" w:type="dxa"/>
            <w:tcBorders>
              <w:top w:val="single" w:color="auto" w:sz="6" w:space="0"/>
              <w:left w:val="single" w:color="auto" w:sz="6" w:space="0"/>
              <w:bottom w:val="single" w:color="auto" w:sz="6" w:space="0"/>
              <w:right w:val="single" w:color="auto" w:sz="4" w:space="0"/>
            </w:tcBorders>
            <w:noWrap w:val="0"/>
            <w:vAlign w:val="center"/>
          </w:tcPr>
          <w:p>
            <w:pPr>
              <w:shd w:val="clear"/>
              <w:adjustRightInd w:val="0"/>
              <w:snapToGrid w:val="0"/>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名称：</w:t>
            </w:r>
            <w:r>
              <w:rPr>
                <w:rFonts w:hint="eastAsia" w:ascii="宋体" w:hAnsi="宋体" w:cs="宋体"/>
                <w:color w:val="auto"/>
                <w:sz w:val="24"/>
                <w:szCs w:val="24"/>
                <w:highlight w:val="none"/>
                <w:u w:val="single"/>
              </w:rPr>
              <w:t>广州市海珠区河涌管理所</w:t>
            </w:r>
          </w:p>
          <w:p>
            <w:pPr>
              <w:shd w:val="clear"/>
              <w:adjustRightInd w:val="0"/>
              <w:snapToGrid w:val="0"/>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rPr>
              <w:t>广州市海珠区前进路前桂大街19号</w:t>
            </w:r>
          </w:p>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rPr>
              <w:t>黄工</w:t>
            </w:r>
          </w:p>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电话：</w:t>
            </w:r>
            <w:r>
              <w:rPr>
                <w:rFonts w:hint="eastAsia" w:ascii="宋体" w:hAnsi="宋体" w:cs="宋体"/>
                <w:color w:val="auto"/>
                <w:sz w:val="24"/>
                <w:szCs w:val="24"/>
                <w:highlight w:val="none"/>
                <w:u w:val="single"/>
              </w:rPr>
              <w:t>020-89888086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19" w:type="dxa"/>
            <w:tcBorders>
              <w:top w:val="single" w:color="auto" w:sz="6" w:space="0"/>
              <w:left w:val="single" w:color="auto" w:sz="4"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1.1.3</w:t>
            </w:r>
          </w:p>
        </w:tc>
        <w:tc>
          <w:tcPr>
            <w:tcW w:w="2227" w:type="dxa"/>
            <w:gridSpan w:val="2"/>
            <w:tcBorders>
              <w:top w:val="single" w:color="auto" w:sz="6" w:space="0"/>
              <w:left w:val="single" w:color="auto" w:sz="6"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招标代理机构</w:t>
            </w:r>
          </w:p>
        </w:tc>
        <w:tc>
          <w:tcPr>
            <w:tcW w:w="6675" w:type="dxa"/>
            <w:tcBorders>
              <w:top w:val="single" w:color="auto" w:sz="6" w:space="0"/>
              <w:left w:val="single" w:color="auto" w:sz="6" w:space="0"/>
              <w:bottom w:val="single" w:color="auto" w:sz="6" w:space="0"/>
              <w:right w:val="single" w:color="auto" w:sz="4" w:space="0"/>
            </w:tcBorders>
            <w:noWrap w:val="0"/>
            <w:vAlign w:val="center"/>
          </w:tcPr>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名称：</w:t>
            </w:r>
            <w:r>
              <w:rPr>
                <w:rFonts w:hint="eastAsia" w:ascii="宋体" w:hAnsi="宋体" w:cs="宋体"/>
                <w:color w:val="auto"/>
                <w:sz w:val="24"/>
                <w:szCs w:val="24"/>
                <w:highlight w:val="none"/>
                <w:u w:val="single"/>
              </w:rPr>
              <w:t>华杰工程咨询有限公司</w:t>
            </w:r>
          </w:p>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rPr>
              <w:t>佛山市禅城区祖庙路46号华辉大厦2302室</w:t>
            </w:r>
          </w:p>
          <w:p>
            <w:pPr>
              <w:shd w:val="clear"/>
              <w:adjustRightInd w:val="0"/>
              <w:snapToGrid w:val="0"/>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rPr>
              <w:t>陈工、李工</w:t>
            </w:r>
          </w:p>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电话：</w:t>
            </w:r>
            <w:r>
              <w:rPr>
                <w:rFonts w:hint="eastAsia" w:ascii="宋体" w:hAnsi="宋体" w:cs="宋体"/>
                <w:color w:val="auto"/>
                <w:sz w:val="24"/>
                <w:szCs w:val="24"/>
                <w:highlight w:val="none"/>
                <w:u w:val="single"/>
              </w:rPr>
              <w:t>0757-82556401-604、0757-82556406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19" w:type="dxa"/>
            <w:tcBorders>
              <w:top w:val="single" w:color="auto" w:sz="6" w:space="0"/>
              <w:left w:val="single" w:color="auto" w:sz="4"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1.1.4</w:t>
            </w:r>
          </w:p>
        </w:tc>
        <w:tc>
          <w:tcPr>
            <w:tcW w:w="2227" w:type="dxa"/>
            <w:gridSpan w:val="2"/>
            <w:tcBorders>
              <w:top w:val="single" w:color="auto" w:sz="6" w:space="0"/>
              <w:left w:val="single" w:color="auto" w:sz="6"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6675" w:type="dxa"/>
            <w:tcBorders>
              <w:top w:val="single" w:color="auto" w:sz="6" w:space="0"/>
              <w:left w:val="single" w:color="auto" w:sz="6" w:space="0"/>
              <w:bottom w:val="single" w:color="auto" w:sz="6" w:space="0"/>
              <w:right w:val="single" w:color="auto" w:sz="4" w:space="0"/>
            </w:tcBorders>
            <w:noWrap w:val="0"/>
            <w:vAlign w:val="center"/>
          </w:tcPr>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石涌口渠箱强排泵站工程设计施工总承包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19" w:type="dxa"/>
            <w:tcBorders>
              <w:top w:val="single" w:color="auto" w:sz="6" w:space="0"/>
              <w:left w:val="single" w:color="auto" w:sz="4"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1.1.5</w:t>
            </w:r>
          </w:p>
        </w:tc>
        <w:tc>
          <w:tcPr>
            <w:tcW w:w="2227" w:type="dxa"/>
            <w:gridSpan w:val="2"/>
            <w:tcBorders>
              <w:top w:val="single" w:color="auto" w:sz="6" w:space="0"/>
              <w:left w:val="single" w:color="auto" w:sz="6"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建设地点</w:t>
            </w:r>
          </w:p>
        </w:tc>
        <w:tc>
          <w:tcPr>
            <w:tcW w:w="6675" w:type="dxa"/>
            <w:tcBorders>
              <w:top w:val="single" w:color="auto" w:sz="6" w:space="0"/>
              <w:left w:val="single" w:color="auto" w:sz="6" w:space="0"/>
              <w:bottom w:val="single" w:color="auto" w:sz="6" w:space="0"/>
              <w:right w:val="single" w:color="auto" w:sz="4" w:space="0"/>
            </w:tcBorders>
            <w:noWrap w:val="0"/>
            <w:vAlign w:val="center"/>
          </w:tcPr>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19" w:type="dxa"/>
            <w:tcBorders>
              <w:top w:val="single" w:color="auto" w:sz="6" w:space="0"/>
              <w:left w:val="single" w:color="auto" w:sz="4"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1.2.1</w:t>
            </w:r>
          </w:p>
        </w:tc>
        <w:tc>
          <w:tcPr>
            <w:tcW w:w="2227" w:type="dxa"/>
            <w:gridSpan w:val="2"/>
            <w:tcBorders>
              <w:top w:val="single" w:color="auto" w:sz="6" w:space="0"/>
              <w:left w:val="single" w:color="auto" w:sz="6"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资金来源及比例</w:t>
            </w:r>
          </w:p>
        </w:tc>
        <w:tc>
          <w:tcPr>
            <w:tcW w:w="6675" w:type="dxa"/>
            <w:tcBorders>
              <w:top w:val="single" w:color="auto" w:sz="6" w:space="0"/>
              <w:left w:val="single" w:color="auto" w:sz="6" w:space="0"/>
              <w:bottom w:val="single" w:color="auto" w:sz="6" w:space="0"/>
              <w:right w:val="single" w:color="auto" w:sz="4" w:space="0"/>
            </w:tcBorders>
            <w:noWrap w:val="0"/>
            <w:vAlign w:val="center"/>
          </w:tcPr>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市、区财政出资（区政府债券为主），100%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19" w:type="dxa"/>
            <w:tcBorders>
              <w:top w:val="single" w:color="auto" w:sz="6" w:space="0"/>
              <w:left w:val="single" w:color="auto" w:sz="4"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1.2.2</w:t>
            </w:r>
          </w:p>
        </w:tc>
        <w:tc>
          <w:tcPr>
            <w:tcW w:w="2227" w:type="dxa"/>
            <w:gridSpan w:val="2"/>
            <w:tcBorders>
              <w:top w:val="single" w:color="auto" w:sz="6" w:space="0"/>
              <w:left w:val="single" w:color="auto" w:sz="6"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资金落实情况</w:t>
            </w:r>
          </w:p>
        </w:tc>
        <w:tc>
          <w:tcPr>
            <w:tcW w:w="6675" w:type="dxa"/>
            <w:tcBorders>
              <w:top w:val="single" w:color="auto" w:sz="6" w:space="0"/>
              <w:left w:val="single" w:color="auto" w:sz="6" w:space="0"/>
              <w:bottom w:val="single" w:color="auto" w:sz="6" w:space="0"/>
              <w:right w:val="single" w:color="auto" w:sz="4" w:space="0"/>
            </w:tcBorders>
            <w:noWrap w:val="0"/>
            <w:vAlign w:val="center"/>
          </w:tcPr>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资金已落实。</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19" w:type="dxa"/>
            <w:tcBorders>
              <w:top w:val="single" w:color="auto" w:sz="6" w:space="0"/>
              <w:left w:val="single" w:color="auto" w:sz="4"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1.3.1</w:t>
            </w:r>
          </w:p>
        </w:tc>
        <w:tc>
          <w:tcPr>
            <w:tcW w:w="2227" w:type="dxa"/>
            <w:gridSpan w:val="2"/>
            <w:tcBorders>
              <w:top w:val="single" w:color="auto" w:sz="6" w:space="0"/>
              <w:left w:val="single" w:color="auto" w:sz="6"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招标范围</w:t>
            </w:r>
          </w:p>
        </w:tc>
        <w:tc>
          <w:tcPr>
            <w:tcW w:w="6675" w:type="dxa"/>
            <w:tcBorders>
              <w:top w:val="single" w:color="auto" w:sz="6" w:space="0"/>
              <w:left w:val="single" w:color="auto" w:sz="6" w:space="0"/>
              <w:bottom w:val="single" w:color="auto" w:sz="6" w:space="0"/>
              <w:right w:val="single" w:color="auto" w:sz="4" w:space="0"/>
            </w:tcBorders>
            <w:noWrap w:val="0"/>
            <w:vAlign w:val="center"/>
          </w:tcPr>
          <w:p>
            <w:pPr>
              <w:widowControl/>
              <w:shd w:val="clear"/>
              <w:adjustRightInd w:val="0"/>
              <w:snapToGrid w:val="0"/>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19" w:type="dxa"/>
            <w:tcBorders>
              <w:top w:val="single" w:color="auto" w:sz="6" w:space="0"/>
              <w:left w:val="single" w:color="auto" w:sz="4"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1.3.2</w:t>
            </w:r>
          </w:p>
        </w:tc>
        <w:tc>
          <w:tcPr>
            <w:tcW w:w="2227" w:type="dxa"/>
            <w:gridSpan w:val="2"/>
            <w:tcBorders>
              <w:top w:val="single" w:color="auto" w:sz="6" w:space="0"/>
              <w:left w:val="single" w:color="auto" w:sz="6"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计划工期</w:t>
            </w:r>
          </w:p>
        </w:tc>
        <w:tc>
          <w:tcPr>
            <w:tcW w:w="6675" w:type="dxa"/>
            <w:tcBorders>
              <w:top w:val="single" w:color="auto" w:sz="6" w:space="0"/>
              <w:left w:val="single" w:color="auto" w:sz="6" w:space="0"/>
              <w:bottom w:val="single" w:color="auto" w:sz="6" w:space="0"/>
              <w:right w:val="single" w:color="auto" w:sz="4" w:space="0"/>
            </w:tcBorders>
            <w:noWrap w:val="0"/>
            <w:vAlign w:val="center"/>
          </w:tcPr>
          <w:p>
            <w:pPr>
              <w:shd w:val="clear"/>
              <w:tabs>
                <w:tab w:val="left" w:pos="1260"/>
              </w:tabs>
              <w:adjustRightInd w:val="0"/>
              <w:snapToGrid w:val="0"/>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19" w:type="dxa"/>
            <w:tcBorders>
              <w:top w:val="single" w:color="auto" w:sz="6" w:space="0"/>
              <w:left w:val="single" w:color="auto" w:sz="4"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1.3.3</w:t>
            </w:r>
          </w:p>
        </w:tc>
        <w:tc>
          <w:tcPr>
            <w:tcW w:w="2227" w:type="dxa"/>
            <w:gridSpan w:val="2"/>
            <w:tcBorders>
              <w:top w:val="single" w:color="auto" w:sz="6" w:space="0"/>
              <w:left w:val="single" w:color="auto" w:sz="6"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质量标准</w:t>
            </w:r>
          </w:p>
        </w:tc>
        <w:tc>
          <w:tcPr>
            <w:tcW w:w="6675" w:type="dxa"/>
            <w:tcBorders>
              <w:top w:val="single" w:color="auto" w:sz="6" w:space="0"/>
              <w:left w:val="single" w:color="auto" w:sz="6" w:space="0"/>
              <w:bottom w:val="single" w:color="auto" w:sz="6" w:space="0"/>
              <w:right w:val="single" w:color="auto" w:sz="4" w:space="0"/>
            </w:tcBorders>
            <w:noWrap w:val="0"/>
            <w:vAlign w:val="center"/>
          </w:tcPr>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设计要求：符合《建设工程质量管理条例》、《建设工程勘察设计管理条例》、《建筑工程设计文件编制深度规定（2016年版）》等国家及地方有关工程设计管理法规和规章，达到行业相关规范技术标准等要求；符合建设工程设计的技术规范及本项目设计任务书的要求。</w:t>
            </w:r>
          </w:p>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2.施工质量标准：重要隐蔽单元工程和关键部位单元工程质量评定的约定：优良 ，本项目单元工程优良率须达到90%以上。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19" w:type="dxa"/>
            <w:tcBorders>
              <w:top w:val="single" w:color="auto" w:sz="6" w:space="0"/>
              <w:left w:val="single" w:color="auto" w:sz="4"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1.4.1</w:t>
            </w:r>
          </w:p>
        </w:tc>
        <w:tc>
          <w:tcPr>
            <w:tcW w:w="2227" w:type="dxa"/>
            <w:gridSpan w:val="2"/>
            <w:tcBorders>
              <w:top w:val="single" w:color="auto" w:sz="6" w:space="0"/>
              <w:left w:val="single" w:color="auto" w:sz="6"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投标人资质条件、能力和信誉</w:t>
            </w:r>
          </w:p>
        </w:tc>
        <w:tc>
          <w:tcPr>
            <w:tcW w:w="6675" w:type="dxa"/>
            <w:tcBorders>
              <w:top w:val="single" w:color="auto" w:sz="6" w:space="0"/>
              <w:left w:val="single" w:color="auto" w:sz="6" w:space="0"/>
              <w:bottom w:val="single" w:color="auto" w:sz="6" w:space="0"/>
              <w:right w:val="single" w:color="auto" w:sz="4" w:space="0"/>
            </w:tcBorders>
            <w:noWrap w:val="0"/>
            <w:vAlign w:val="center"/>
          </w:tcPr>
          <w:p>
            <w:pPr>
              <w:shd w:val="clear"/>
              <w:adjustRightInd w:val="0"/>
              <w:snapToGrid w:val="0"/>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详见本项目招标公告。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19" w:type="dxa"/>
            <w:tcBorders>
              <w:top w:val="single" w:color="auto" w:sz="6" w:space="0"/>
              <w:left w:val="single" w:color="auto" w:sz="4"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1.4.2</w:t>
            </w:r>
          </w:p>
        </w:tc>
        <w:tc>
          <w:tcPr>
            <w:tcW w:w="2227" w:type="dxa"/>
            <w:gridSpan w:val="2"/>
            <w:tcBorders>
              <w:top w:val="single" w:color="auto" w:sz="6" w:space="0"/>
              <w:left w:val="single" w:color="auto" w:sz="6"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是否接受联合体投标</w:t>
            </w:r>
          </w:p>
        </w:tc>
        <w:tc>
          <w:tcPr>
            <w:tcW w:w="6675" w:type="dxa"/>
            <w:tcBorders>
              <w:top w:val="single" w:color="auto" w:sz="6" w:space="0"/>
              <w:left w:val="single" w:color="auto" w:sz="6" w:space="0"/>
              <w:bottom w:val="single" w:color="auto" w:sz="6" w:space="0"/>
              <w:right w:val="single" w:color="auto" w:sz="4" w:space="0"/>
            </w:tcBorders>
            <w:noWrap w:val="0"/>
            <w:vAlign w:val="center"/>
          </w:tcPr>
          <w:p>
            <w:pPr>
              <w:pStyle w:val="7"/>
              <w:shd w:val="clear"/>
              <w:topLinePunct/>
              <w:adjustRightInd w:val="0"/>
              <w:snapToGrid w:val="0"/>
              <w:spacing w:after="0" w:line="360" w:lineRule="auto"/>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□不接受</w:t>
            </w:r>
          </w:p>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■接受，应满足下列要求：见本项目招标公告要求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19" w:type="dxa"/>
            <w:tcBorders>
              <w:top w:val="single" w:color="auto" w:sz="6" w:space="0"/>
              <w:left w:val="single" w:color="auto" w:sz="4"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1.5</w:t>
            </w:r>
          </w:p>
        </w:tc>
        <w:tc>
          <w:tcPr>
            <w:tcW w:w="2227" w:type="dxa"/>
            <w:gridSpan w:val="2"/>
            <w:tcBorders>
              <w:top w:val="single" w:color="auto" w:sz="6" w:space="0"/>
              <w:left w:val="single" w:color="auto" w:sz="6"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费用承担和设计成果补偿</w:t>
            </w:r>
          </w:p>
        </w:tc>
        <w:tc>
          <w:tcPr>
            <w:tcW w:w="6675" w:type="dxa"/>
            <w:tcBorders>
              <w:top w:val="single" w:color="auto" w:sz="6" w:space="0"/>
              <w:left w:val="single" w:color="auto" w:sz="6" w:space="0"/>
              <w:bottom w:val="single" w:color="auto" w:sz="6" w:space="0"/>
              <w:right w:val="single" w:color="auto" w:sz="4" w:space="0"/>
            </w:tcBorders>
            <w:noWrap w:val="0"/>
            <w:vAlign w:val="center"/>
          </w:tcPr>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■不补偿</w:t>
            </w:r>
          </w:p>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□补偿，补偿标准：</w:t>
            </w:r>
            <w:r>
              <w:rPr>
                <w:rFonts w:hint="eastAsia" w:ascii="宋体" w:hAnsi="宋体" w:cs="宋体"/>
                <w:color w:val="auto"/>
                <w:sz w:val="24"/>
                <w:szCs w:val="24"/>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19" w:type="dxa"/>
            <w:tcBorders>
              <w:top w:val="single" w:color="auto" w:sz="6" w:space="0"/>
              <w:left w:val="single" w:color="auto" w:sz="4"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1.9.1</w:t>
            </w:r>
          </w:p>
        </w:tc>
        <w:tc>
          <w:tcPr>
            <w:tcW w:w="2227" w:type="dxa"/>
            <w:gridSpan w:val="2"/>
            <w:tcBorders>
              <w:top w:val="single" w:color="auto" w:sz="6" w:space="0"/>
              <w:left w:val="single" w:color="auto" w:sz="6"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踏勘</w:t>
            </w:r>
          </w:p>
        </w:tc>
        <w:tc>
          <w:tcPr>
            <w:tcW w:w="6675" w:type="dxa"/>
            <w:tcBorders>
              <w:top w:val="single" w:color="auto" w:sz="6" w:space="0"/>
              <w:left w:val="single" w:color="auto" w:sz="6" w:space="0"/>
              <w:bottom w:val="single" w:color="auto" w:sz="6" w:space="0"/>
              <w:right w:val="single" w:color="auto" w:sz="4" w:space="0"/>
            </w:tcBorders>
            <w:noWrap w:val="0"/>
            <w:vAlign w:val="center"/>
          </w:tcPr>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■不组织：投标人可自行结合招标文件等对工程现场及周围环境进行踏勘，以便获取有关编制投标文件和签署合同所涉及现场的资料。考察期间所发生一切费用或意外由投标人自行负责。</w:t>
            </w:r>
          </w:p>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□组织，踏勘时间：</w:t>
            </w:r>
            <w:r>
              <w:rPr>
                <w:rFonts w:hint="eastAsia" w:ascii="宋体" w:hAnsi="宋体" w:cs="宋体"/>
                <w:color w:val="auto"/>
                <w:sz w:val="24"/>
                <w:szCs w:val="24"/>
                <w:highlight w:val="none"/>
                <w:u w:val="single"/>
              </w:rPr>
              <w:t>/</w:t>
            </w:r>
          </w:p>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踏勘集中地点：</w:t>
            </w:r>
            <w:r>
              <w:rPr>
                <w:rFonts w:hint="eastAsia" w:ascii="宋体" w:hAnsi="宋体" w:cs="宋体"/>
                <w:color w:val="auto"/>
                <w:sz w:val="24"/>
                <w:szCs w:val="24"/>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19" w:type="dxa"/>
            <w:tcBorders>
              <w:top w:val="single" w:color="auto" w:sz="6" w:space="0"/>
              <w:left w:val="single" w:color="auto" w:sz="4"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1.10.1</w:t>
            </w:r>
          </w:p>
        </w:tc>
        <w:tc>
          <w:tcPr>
            <w:tcW w:w="2227" w:type="dxa"/>
            <w:gridSpan w:val="2"/>
            <w:tcBorders>
              <w:top w:val="single" w:color="auto" w:sz="6" w:space="0"/>
              <w:left w:val="single" w:color="auto" w:sz="6"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投标预备会</w:t>
            </w:r>
          </w:p>
        </w:tc>
        <w:tc>
          <w:tcPr>
            <w:tcW w:w="6675" w:type="dxa"/>
            <w:tcBorders>
              <w:top w:val="single" w:color="auto" w:sz="6" w:space="0"/>
              <w:left w:val="single" w:color="auto" w:sz="6" w:space="0"/>
              <w:bottom w:val="single" w:color="auto" w:sz="6" w:space="0"/>
              <w:right w:val="single" w:color="auto" w:sz="4" w:space="0"/>
            </w:tcBorders>
            <w:noWrap w:val="0"/>
            <w:vAlign w:val="center"/>
          </w:tcPr>
          <w:p>
            <w:pPr>
              <w:pStyle w:val="7"/>
              <w:shd w:val="clear"/>
              <w:topLinePunct/>
              <w:adjustRightInd w:val="0"/>
              <w:snapToGrid w:val="0"/>
              <w:spacing w:after="0" w:line="360" w:lineRule="auto"/>
              <w:rPr>
                <w:rFonts w:hint="eastAsia" w:ascii="宋体" w:hAnsi="宋体" w:cs="宋体"/>
                <w:color w:val="auto"/>
                <w:kern w:val="2"/>
                <w:sz w:val="24"/>
                <w:szCs w:val="24"/>
                <w:highlight w:val="none"/>
              </w:rPr>
            </w:pPr>
            <w:r>
              <w:rPr>
                <w:rFonts w:hint="eastAsia" w:ascii="宋体" w:hAnsi="宋体" w:cs="宋体"/>
                <w:color w:val="auto"/>
                <w:sz w:val="24"/>
                <w:szCs w:val="24"/>
                <w:highlight w:val="none"/>
              </w:rPr>
              <w:t>■</w:t>
            </w:r>
            <w:r>
              <w:rPr>
                <w:rFonts w:hint="eastAsia" w:ascii="宋体" w:hAnsi="宋体" w:cs="宋体"/>
                <w:color w:val="auto"/>
                <w:kern w:val="2"/>
                <w:sz w:val="24"/>
                <w:szCs w:val="24"/>
                <w:highlight w:val="none"/>
              </w:rPr>
              <w:t>不召开</w:t>
            </w:r>
          </w:p>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□召开，召开时间： </w:t>
            </w:r>
          </w:p>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19" w:type="dxa"/>
            <w:tcBorders>
              <w:top w:val="single" w:color="auto" w:sz="6" w:space="0"/>
              <w:left w:val="single" w:color="auto" w:sz="4"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1.10.2</w:t>
            </w:r>
          </w:p>
        </w:tc>
        <w:tc>
          <w:tcPr>
            <w:tcW w:w="2227" w:type="dxa"/>
            <w:gridSpan w:val="2"/>
            <w:tcBorders>
              <w:top w:val="single" w:color="auto" w:sz="6" w:space="0"/>
              <w:left w:val="single" w:color="auto" w:sz="6"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投标人提出问题的截止时间</w:t>
            </w:r>
          </w:p>
        </w:tc>
        <w:tc>
          <w:tcPr>
            <w:tcW w:w="6675" w:type="dxa"/>
            <w:tcBorders>
              <w:top w:val="single" w:color="auto" w:sz="6" w:space="0"/>
              <w:left w:val="single" w:color="auto" w:sz="6" w:space="0"/>
              <w:bottom w:val="single" w:color="auto" w:sz="6" w:space="0"/>
              <w:right w:val="single" w:color="auto" w:sz="4" w:space="0"/>
            </w:tcBorders>
            <w:noWrap w:val="0"/>
            <w:vAlign w:val="center"/>
          </w:tcPr>
          <w:p>
            <w:pPr>
              <w:shd w:val="clear"/>
              <w:rPr>
                <w:color w:val="auto"/>
                <w:highlight w:val="none"/>
              </w:rPr>
            </w:pPr>
          </w:p>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19" w:type="dxa"/>
            <w:tcBorders>
              <w:top w:val="single" w:color="auto" w:sz="6" w:space="0"/>
              <w:left w:val="single" w:color="auto" w:sz="4"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1.10.3</w:t>
            </w:r>
          </w:p>
        </w:tc>
        <w:tc>
          <w:tcPr>
            <w:tcW w:w="2227" w:type="dxa"/>
            <w:gridSpan w:val="2"/>
            <w:tcBorders>
              <w:top w:val="single" w:color="auto" w:sz="6" w:space="0"/>
              <w:left w:val="single" w:color="auto" w:sz="6"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招标人书面澄清的时间</w:t>
            </w:r>
          </w:p>
        </w:tc>
        <w:tc>
          <w:tcPr>
            <w:tcW w:w="6675" w:type="dxa"/>
            <w:tcBorders>
              <w:top w:val="single" w:color="auto" w:sz="6" w:space="0"/>
              <w:left w:val="single" w:color="auto" w:sz="6" w:space="0"/>
              <w:bottom w:val="single" w:color="auto" w:sz="6" w:space="0"/>
              <w:right w:val="single" w:color="auto" w:sz="4" w:space="0"/>
            </w:tcBorders>
            <w:noWrap w:val="0"/>
            <w:vAlign w:val="center"/>
          </w:tcPr>
          <w:p>
            <w:pPr>
              <w:shd w:val="clear"/>
              <w:rPr>
                <w:color w:val="auto"/>
                <w:highlight w:val="none"/>
              </w:rPr>
            </w:pPr>
          </w:p>
          <w:p>
            <w:pPr>
              <w:shd w:val="clear"/>
              <w:adjustRightInd w:val="0"/>
              <w:snapToGrid w:val="0"/>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19" w:type="dxa"/>
            <w:tcBorders>
              <w:top w:val="single" w:color="auto" w:sz="6" w:space="0"/>
              <w:left w:val="single" w:color="auto" w:sz="4"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1.11.1</w:t>
            </w:r>
          </w:p>
        </w:tc>
        <w:tc>
          <w:tcPr>
            <w:tcW w:w="2227" w:type="dxa"/>
            <w:gridSpan w:val="2"/>
            <w:tcBorders>
              <w:top w:val="single" w:color="auto" w:sz="6" w:space="0"/>
              <w:left w:val="single" w:color="auto" w:sz="6"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招标人规定由分包人承担的工作</w:t>
            </w:r>
          </w:p>
        </w:tc>
        <w:tc>
          <w:tcPr>
            <w:tcW w:w="6675" w:type="dxa"/>
            <w:tcBorders>
              <w:top w:val="single" w:color="auto" w:sz="6" w:space="0"/>
              <w:left w:val="single" w:color="auto" w:sz="6" w:space="0"/>
              <w:bottom w:val="single" w:color="auto" w:sz="6" w:space="0"/>
              <w:right w:val="single" w:color="auto" w:sz="4" w:space="0"/>
            </w:tcBorders>
            <w:noWrap w:val="0"/>
            <w:vAlign w:val="center"/>
          </w:tcPr>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19" w:type="dxa"/>
            <w:tcBorders>
              <w:top w:val="single" w:color="auto" w:sz="6" w:space="0"/>
              <w:left w:val="single" w:color="auto" w:sz="4"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1.11.2</w:t>
            </w:r>
          </w:p>
        </w:tc>
        <w:tc>
          <w:tcPr>
            <w:tcW w:w="2227" w:type="dxa"/>
            <w:gridSpan w:val="2"/>
            <w:tcBorders>
              <w:top w:val="single" w:color="auto" w:sz="6" w:space="0"/>
              <w:left w:val="single" w:color="auto" w:sz="6"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投标人拟分包的工作</w:t>
            </w:r>
          </w:p>
        </w:tc>
        <w:tc>
          <w:tcPr>
            <w:tcW w:w="6675" w:type="dxa"/>
            <w:tcBorders>
              <w:top w:val="single" w:color="auto" w:sz="6" w:space="0"/>
              <w:left w:val="single" w:color="auto" w:sz="6" w:space="0"/>
              <w:bottom w:val="single" w:color="auto" w:sz="6" w:space="0"/>
              <w:right w:val="single" w:color="auto" w:sz="4" w:space="0"/>
            </w:tcBorders>
            <w:noWrap w:val="0"/>
            <w:vAlign w:val="center"/>
          </w:tcPr>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■不允许</w:t>
            </w:r>
          </w:p>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□允许，分包内容要要求：/</w:t>
            </w:r>
          </w:p>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分包金额要求：/</w:t>
            </w:r>
          </w:p>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对分包人的资质要求：/。</w:t>
            </w:r>
          </w:p>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对分包人的其他要求：/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19" w:type="dxa"/>
            <w:tcBorders>
              <w:top w:val="single" w:color="auto" w:sz="6" w:space="0"/>
              <w:left w:val="single" w:color="auto" w:sz="4"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1.12</w:t>
            </w:r>
          </w:p>
        </w:tc>
        <w:tc>
          <w:tcPr>
            <w:tcW w:w="2227" w:type="dxa"/>
            <w:gridSpan w:val="2"/>
            <w:tcBorders>
              <w:top w:val="single" w:color="auto" w:sz="6" w:space="0"/>
              <w:left w:val="single" w:color="auto" w:sz="6"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偏离</w:t>
            </w:r>
          </w:p>
        </w:tc>
        <w:tc>
          <w:tcPr>
            <w:tcW w:w="6675" w:type="dxa"/>
            <w:tcBorders>
              <w:top w:val="single" w:color="auto" w:sz="6" w:space="0"/>
              <w:left w:val="single" w:color="auto" w:sz="6" w:space="0"/>
              <w:bottom w:val="single" w:color="auto" w:sz="6" w:space="0"/>
              <w:right w:val="single" w:color="auto" w:sz="4" w:space="0"/>
            </w:tcBorders>
            <w:noWrap w:val="0"/>
            <w:vAlign w:val="center"/>
          </w:tcPr>
          <w:p>
            <w:pPr>
              <w:pStyle w:val="7"/>
              <w:shd w:val="clear"/>
              <w:topLinePunct/>
              <w:adjustRightInd w:val="0"/>
              <w:snapToGrid w:val="0"/>
              <w:spacing w:after="0" w:line="360" w:lineRule="auto"/>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■不允许</w:t>
            </w:r>
          </w:p>
          <w:p>
            <w:pPr>
              <w:pStyle w:val="7"/>
              <w:shd w:val="clear"/>
              <w:topLinePunct/>
              <w:adjustRightInd w:val="0"/>
              <w:snapToGrid w:val="0"/>
              <w:spacing w:after="0" w:line="360" w:lineRule="auto"/>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□允许，允许偏离的内容、偏离范围和幅度：</w:t>
            </w:r>
            <w:r>
              <w:rPr>
                <w:rFonts w:hint="eastAsia" w:ascii="宋体" w:hAnsi="宋体" w:cs="宋体"/>
                <w:color w:val="auto"/>
                <w:kern w:val="2"/>
                <w:sz w:val="24"/>
                <w:szCs w:val="24"/>
                <w:highlight w:val="none"/>
                <w:u w:val="single"/>
              </w:rPr>
              <w:t>/</w:t>
            </w:r>
            <w:r>
              <w:rPr>
                <w:rFonts w:hint="eastAsia" w:ascii="宋体" w:hAnsi="宋体" w:cs="宋体"/>
                <w:color w:val="auto"/>
                <w:kern w:val="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19" w:type="dxa"/>
            <w:tcBorders>
              <w:top w:val="single" w:color="auto" w:sz="6" w:space="0"/>
              <w:left w:val="single" w:color="auto" w:sz="4"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2.1</w:t>
            </w:r>
          </w:p>
        </w:tc>
        <w:tc>
          <w:tcPr>
            <w:tcW w:w="2227" w:type="dxa"/>
            <w:gridSpan w:val="2"/>
            <w:tcBorders>
              <w:top w:val="single" w:color="auto" w:sz="6" w:space="0"/>
              <w:left w:val="single" w:color="auto" w:sz="6"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构成招标文件的其他资料</w:t>
            </w:r>
          </w:p>
        </w:tc>
        <w:tc>
          <w:tcPr>
            <w:tcW w:w="6675" w:type="dxa"/>
            <w:tcBorders>
              <w:top w:val="single" w:color="auto" w:sz="6" w:space="0"/>
              <w:left w:val="single" w:color="auto" w:sz="6" w:space="0"/>
              <w:bottom w:val="single" w:color="auto" w:sz="6" w:space="0"/>
              <w:right w:val="single" w:color="auto" w:sz="4" w:space="0"/>
            </w:tcBorders>
            <w:noWrap w:val="0"/>
            <w:vAlign w:val="center"/>
          </w:tcPr>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答疑纪要、澄清文件等（如有）。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19" w:type="dxa"/>
            <w:tcBorders>
              <w:top w:val="single" w:color="auto" w:sz="6" w:space="0"/>
              <w:left w:val="single" w:color="auto" w:sz="4"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2.2.1</w:t>
            </w:r>
          </w:p>
        </w:tc>
        <w:tc>
          <w:tcPr>
            <w:tcW w:w="2227" w:type="dxa"/>
            <w:gridSpan w:val="2"/>
            <w:tcBorders>
              <w:top w:val="single" w:color="auto" w:sz="6" w:space="0"/>
              <w:left w:val="single" w:color="auto" w:sz="6"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投标人要求澄清招标文件的截止时间</w:t>
            </w:r>
          </w:p>
        </w:tc>
        <w:tc>
          <w:tcPr>
            <w:tcW w:w="6675" w:type="dxa"/>
            <w:tcBorders>
              <w:top w:val="single" w:color="auto" w:sz="6" w:space="0"/>
              <w:left w:val="single" w:color="auto" w:sz="6" w:space="0"/>
              <w:bottom w:val="single" w:color="auto" w:sz="6" w:space="0"/>
              <w:right w:val="single" w:color="auto" w:sz="4" w:space="0"/>
            </w:tcBorders>
            <w:noWrap w:val="0"/>
            <w:vAlign w:val="center"/>
          </w:tcPr>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时间：</w:t>
            </w:r>
            <w:r>
              <w:rPr>
                <w:rFonts w:hint="eastAsia" w:ascii="宋体" w:hAnsi="宋体" w:cs="宋体"/>
                <w:color w:val="auto"/>
                <w:sz w:val="24"/>
                <w:szCs w:val="24"/>
                <w:highlight w:val="none"/>
                <w:lang w:val="en-US" w:eastAsia="zh-CN"/>
              </w:rPr>
              <w:t>2023</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17</w:t>
            </w:r>
            <w:r>
              <w:rPr>
                <w:rFonts w:hint="eastAsia" w:ascii="宋体" w:hAnsi="宋体" w:cs="宋体"/>
                <w:color w:val="auto"/>
                <w:sz w:val="24"/>
                <w:szCs w:val="24"/>
                <w:highlight w:val="none"/>
              </w:rPr>
              <w:t>时</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分（北京时间）前提出（具体详见广州公共资源交易中心网上日程安排）。</w:t>
            </w:r>
          </w:p>
          <w:p>
            <w:pPr>
              <w:shd w:val="clear"/>
              <w:rPr>
                <w:color w:val="auto"/>
                <w:highlight w:val="none"/>
              </w:rPr>
            </w:pPr>
            <w:r>
              <w:rPr>
                <w:rFonts w:hint="eastAsia" w:ascii="宋体" w:hAnsi="宋体" w:cs="宋体"/>
                <w:color w:val="auto"/>
                <w:sz w:val="24"/>
                <w:szCs w:val="24"/>
                <w:highlight w:val="none"/>
              </w:rPr>
              <w:t>形式：投标人的疑问通过广州公共资源交易中心数字交易平台提交。具体操作方法详见广州公共资源交易中心网站发布的全流程电子化项目操作指引。提问一律不得署名。</w:t>
            </w:r>
          </w:p>
          <w:p>
            <w:pPr>
              <w:shd w:val="clear"/>
              <w:adjustRightInd w:val="0"/>
              <w:snapToGrid w:val="0"/>
              <w:spacing w:line="360" w:lineRule="auto"/>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19" w:type="dxa"/>
            <w:tcBorders>
              <w:top w:val="single" w:color="auto" w:sz="6" w:space="0"/>
              <w:left w:val="single" w:color="auto" w:sz="4"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2.2.2</w:t>
            </w:r>
          </w:p>
        </w:tc>
        <w:tc>
          <w:tcPr>
            <w:tcW w:w="2227" w:type="dxa"/>
            <w:gridSpan w:val="2"/>
            <w:tcBorders>
              <w:top w:val="single" w:color="auto" w:sz="6" w:space="0"/>
              <w:left w:val="single" w:color="auto" w:sz="6"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投标截止时间</w:t>
            </w:r>
          </w:p>
        </w:tc>
        <w:tc>
          <w:tcPr>
            <w:tcW w:w="6675" w:type="dxa"/>
            <w:tcBorders>
              <w:top w:val="single" w:color="auto" w:sz="6" w:space="0"/>
              <w:left w:val="single" w:color="auto" w:sz="6" w:space="0"/>
              <w:bottom w:val="single" w:color="auto" w:sz="6" w:space="0"/>
              <w:right w:val="single" w:color="auto" w:sz="4" w:space="0"/>
            </w:tcBorders>
            <w:noWrap w:val="0"/>
            <w:vAlign w:val="center"/>
          </w:tcPr>
          <w:p>
            <w:pPr>
              <w:shd w:val="clear"/>
              <w:adjustRightInd w:val="0"/>
              <w:snapToGrid w:val="0"/>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投标截止时间：2023年</w:t>
            </w:r>
            <w:r>
              <w:rPr>
                <w:rFonts w:hint="eastAsia" w:ascii="宋体" w:hAnsi="宋体" w:cs="宋体"/>
                <w:color w:val="auto"/>
                <w:kern w:val="0"/>
                <w:sz w:val="24"/>
                <w:szCs w:val="24"/>
                <w:highlight w:val="none"/>
                <w:u w:val="single"/>
                <w:lang w:val="en-US" w:eastAsia="zh-CN"/>
              </w:rPr>
              <w:t>11</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27</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u w:val="single"/>
                <w:lang w:val="en-US" w:eastAsia="zh-CN"/>
              </w:rPr>
              <w:t>9</w:t>
            </w:r>
            <w:r>
              <w:rPr>
                <w:rFonts w:hint="eastAsia" w:ascii="宋体" w:hAnsi="宋体" w:cs="宋体"/>
                <w:color w:val="auto"/>
                <w:kern w:val="0"/>
                <w:sz w:val="24"/>
                <w:szCs w:val="24"/>
                <w:highlight w:val="none"/>
              </w:rPr>
              <w:t>时</w:t>
            </w:r>
            <w:r>
              <w:rPr>
                <w:rFonts w:hint="eastAsia" w:ascii="宋体" w:hAnsi="宋体" w:cs="宋体"/>
                <w:color w:val="auto"/>
                <w:kern w:val="0"/>
                <w:sz w:val="24"/>
                <w:szCs w:val="24"/>
                <w:highlight w:val="none"/>
                <w:u w:val="single"/>
                <w:lang w:val="en-US" w:eastAsia="zh-CN"/>
              </w:rPr>
              <w:t>30</w:t>
            </w:r>
            <w:r>
              <w:rPr>
                <w:rFonts w:hint="eastAsia" w:ascii="宋体" w:hAnsi="宋体" w:cs="宋体"/>
                <w:color w:val="auto"/>
                <w:kern w:val="0"/>
                <w:sz w:val="24"/>
                <w:szCs w:val="24"/>
                <w:highlight w:val="none"/>
              </w:rPr>
              <w:t>分；</w:t>
            </w:r>
          </w:p>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具体时间可以到广州公共资源交易中心网站的项目查询(日程安排、答疑纪要)中输入本项目编号或项目名称进行查询。</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19" w:type="dxa"/>
            <w:tcBorders>
              <w:top w:val="single" w:color="auto" w:sz="6" w:space="0"/>
              <w:left w:val="single" w:color="auto" w:sz="4"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2.2.3</w:t>
            </w:r>
          </w:p>
        </w:tc>
        <w:tc>
          <w:tcPr>
            <w:tcW w:w="2227" w:type="dxa"/>
            <w:gridSpan w:val="2"/>
            <w:tcBorders>
              <w:top w:val="single" w:color="auto" w:sz="6" w:space="0"/>
              <w:left w:val="single" w:color="auto" w:sz="6"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投标人确认收到招标文件澄清的时间</w:t>
            </w:r>
          </w:p>
        </w:tc>
        <w:tc>
          <w:tcPr>
            <w:tcW w:w="6675" w:type="dxa"/>
            <w:tcBorders>
              <w:top w:val="single" w:color="auto" w:sz="6" w:space="0"/>
              <w:left w:val="single" w:color="auto" w:sz="6" w:space="0"/>
              <w:bottom w:val="single" w:color="auto" w:sz="6" w:space="0"/>
              <w:right w:val="single" w:color="auto" w:sz="4" w:space="0"/>
            </w:tcBorders>
            <w:noWrap w:val="0"/>
            <w:vAlign w:val="center"/>
          </w:tcPr>
          <w:p>
            <w:pPr>
              <w:shd w:val="clear"/>
              <w:adjustRightInd w:val="0"/>
              <w:snapToGrid w:val="0"/>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招标文件澄清或修改一经在广州公共资源交易中心数字交易平台网站发布，视作已发放给所有投标人，以交易平台网站发布时间作为送达时间。招标文件澄清或修改内容作为招标文件的组成部分，具有约束作用。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19" w:type="dxa"/>
            <w:tcBorders>
              <w:top w:val="single" w:color="auto" w:sz="6" w:space="0"/>
              <w:left w:val="single" w:color="auto" w:sz="4"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2.3.2</w:t>
            </w:r>
          </w:p>
        </w:tc>
        <w:tc>
          <w:tcPr>
            <w:tcW w:w="2227" w:type="dxa"/>
            <w:gridSpan w:val="2"/>
            <w:tcBorders>
              <w:top w:val="single" w:color="auto" w:sz="6" w:space="0"/>
              <w:left w:val="single" w:color="auto" w:sz="6"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投标人确认收到招标文件修改的时间</w:t>
            </w:r>
          </w:p>
        </w:tc>
        <w:tc>
          <w:tcPr>
            <w:tcW w:w="6675" w:type="dxa"/>
            <w:tcBorders>
              <w:top w:val="single" w:color="auto" w:sz="6" w:space="0"/>
              <w:left w:val="single" w:color="auto" w:sz="6" w:space="0"/>
              <w:bottom w:val="single" w:color="auto" w:sz="6" w:space="0"/>
              <w:right w:val="single" w:color="auto" w:sz="4" w:space="0"/>
            </w:tcBorders>
            <w:noWrap w:val="0"/>
            <w:vAlign w:val="center"/>
          </w:tcPr>
          <w:p>
            <w:pPr>
              <w:shd w:val="clear"/>
              <w:adjustRightInd w:val="0"/>
              <w:snapToGrid w:val="0"/>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招标文件澄清或修改一经在广州公共资源交易中心数字交易平台网站发布，视作已发放给所有投标人，以交易平台网站发布时间作为送达时间。招标文件澄清或修改内容作为招标文件的组成部分，具有约束作用。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19" w:type="dxa"/>
            <w:tcBorders>
              <w:top w:val="single" w:color="auto" w:sz="6" w:space="0"/>
              <w:left w:val="single" w:color="auto" w:sz="4"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3.1.1</w:t>
            </w:r>
          </w:p>
        </w:tc>
        <w:tc>
          <w:tcPr>
            <w:tcW w:w="2227" w:type="dxa"/>
            <w:gridSpan w:val="2"/>
            <w:tcBorders>
              <w:top w:val="single" w:color="auto" w:sz="6" w:space="0"/>
              <w:left w:val="single" w:color="auto" w:sz="6"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构成投标文件的其他资料</w:t>
            </w:r>
          </w:p>
        </w:tc>
        <w:tc>
          <w:tcPr>
            <w:tcW w:w="6675" w:type="dxa"/>
            <w:tcBorders>
              <w:top w:val="single" w:color="auto" w:sz="6" w:space="0"/>
              <w:left w:val="single" w:color="auto" w:sz="6" w:space="0"/>
              <w:bottom w:val="single" w:color="auto" w:sz="6" w:space="0"/>
              <w:right w:val="single" w:color="auto" w:sz="4" w:space="0"/>
            </w:tcBorders>
            <w:noWrap w:val="0"/>
            <w:vAlign w:val="center"/>
          </w:tcPr>
          <w:p>
            <w:pPr>
              <w:shd w:val="clear"/>
              <w:adjustRightInd w:val="0"/>
              <w:snapToGrid w:val="0"/>
              <w:spacing w:line="360" w:lineRule="auto"/>
              <w:rPr>
                <w:rFonts w:hint="eastAsia" w:ascii="宋体" w:hAnsi="宋体" w:cs="宋体"/>
                <w:b/>
                <w:color w:val="auto"/>
                <w:sz w:val="24"/>
                <w:szCs w:val="24"/>
                <w:highlight w:val="none"/>
                <w:u w:val="single"/>
              </w:rPr>
            </w:pPr>
            <w:r>
              <w:rPr>
                <w:rFonts w:hint="eastAsia" w:ascii="宋体" w:hAnsi="宋体" w:cs="宋体"/>
                <w:color w:val="auto"/>
                <w:kern w:val="2"/>
                <w:sz w:val="24"/>
                <w:szCs w:val="24"/>
                <w:highlight w:val="none"/>
              </w:rPr>
              <w:t>满足本项目评审要求的其他资料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19" w:type="dxa"/>
            <w:tcBorders>
              <w:top w:val="single" w:color="auto" w:sz="6" w:space="0"/>
              <w:left w:val="single" w:color="auto" w:sz="4"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3.2.4</w:t>
            </w:r>
          </w:p>
        </w:tc>
        <w:tc>
          <w:tcPr>
            <w:tcW w:w="2227" w:type="dxa"/>
            <w:gridSpan w:val="2"/>
            <w:tcBorders>
              <w:top w:val="single" w:color="auto" w:sz="6" w:space="0"/>
              <w:left w:val="single" w:color="auto" w:sz="6"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最高投标限价或其计算方法</w:t>
            </w:r>
          </w:p>
        </w:tc>
        <w:tc>
          <w:tcPr>
            <w:tcW w:w="6675" w:type="dxa"/>
            <w:tcBorders>
              <w:top w:val="single" w:color="auto" w:sz="6" w:space="0"/>
              <w:left w:val="single" w:color="auto" w:sz="6" w:space="0"/>
              <w:bottom w:val="single" w:color="auto" w:sz="6" w:space="0"/>
              <w:right w:val="single" w:color="auto" w:sz="4" w:space="0"/>
            </w:tcBorders>
            <w:noWrap w:val="0"/>
            <w:vAlign w:val="center"/>
          </w:tcPr>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本次投标最高投标限价为人民币43042415.61</w:t>
            </w:r>
            <w:r>
              <w:rPr>
                <w:rFonts w:hint="eastAsia" w:ascii="宋体" w:hAnsi="宋体" w:cs="宋体"/>
                <w:b/>
                <w:bCs/>
                <w:color w:val="auto"/>
                <w:sz w:val="24"/>
                <w:szCs w:val="24"/>
                <w:highlight w:val="none"/>
              </w:rPr>
              <w:t>元</w:t>
            </w:r>
            <w:r>
              <w:rPr>
                <w:rFonts w:hint="eastAsia" w:ascii="宋体" w:hAnsi="宋体" w:cs="宋体"/>
                <w:color w:val="auto"/>
                <w:sz w:val="24"/>
                <w:szCs w:val="24"/>
                <w:highlight w:val="none"/>
              </w:rPr>
              <w:t>。其中：</w:t>
            </w:r>
          </w:p>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工程设计费最高投标限价为人民币704400</w:t>
            </w:r>
            <w:r>
              <w:rPr>
                <w:rFonts w:hint="eastAsia" w:ascii="宋体" w:hAnsi="宋体" w:cs="宋体"/>
                <w:color w:val="auto"/>
                <w:sz w:val="24"/>
                <w:szCs w:val="24"/>
                <w:highlight w:val="none"/>
                <w:lang w:val="en-US" w:eastAsia="zh-CN"/>
              </w:rPr>
              <w:t>.00</w:t>
            </w:r>
            <w:r>
              <w:rPr>
                <w:rFonts w:hint="eastAsia" w:ascii="宋体" w:hAnsi="宋体" w:cs="宋体"/>
                <w:b/>
                <w:bCs/>
                <w:color w:val="auto"/>
                <w:sz w:val="24"/>
                <w:szCs w:val="24"/>
                <w:highlight w:val="none"/>
              </w:rPr>
              <w:t>元</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已包含施工设计费用、施工图预算编制费、竣工图编制费</w:t>
            </w:r>
            <w:r>
              <w:rPr>
                <w:rFonts w:hint="eastAsia" w:ascii="宋体" w:hAnsi="宋体" w:cs="宋体"/>
                <w:b/>
                <w:bCs/>
                <w:color w:val="auto"/>
                <w:sz w:val="24"/>
                <w:szCs w:val="24"/>
                <w:highlight w:val="none"/>
                <w:lang w:eastAsia="zh-CN"/>
              </w:rPr>
              <w:t>）</w:t>
            </w:r>
            <w:r>
              <w:rPr>
                <w:rFonts w:hint="eastAsia" w:ascii="宋体" w:hAnsi="宋体" w:cs="宋体"/>
                <w:color w:val="auto"/>
                <w:sz w:val="24"/>
                <w:szCs w:val="24"/>
                <w:highlight w:val="none"/>
              </w:rPr>
              <w:t>；</w:t>
            </w:r>
          </w:p>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建安工程费最高投标限价为人民币：</w:t>
            </w:r>
            <w:r>
              <w:rPr>
                <w:rFonts w:hint="eastAsia" w:ascii="宋体" w:hAnsi="宋体" w:cs="宋体"/>
                <w:color w:val="auto"/>
                <w:sz w:val="24"/>
                <w:szCs w:val="24"/>
                <w:highlight w:val="none"/>
                <w:lang w:val="en-US" w:eastAsia="zh-CN"/>
              </w:rPr>
              <w:t>42338015.61</w:t>
            </w:r>
            <w:r>
              <w:rPr>
                <w:rFonts w:hint="eastAsia" w:ascii="宋体" w:hAnsi="宋体" w:cs="宋体"/>
                <w:b/>
                <w:bCs/>
                <w:color w:val="auto"/>
                <w:sz w:val="24"/>
                <w:szCs w:val="24"/>
                <w:highlight w:val="none"/>
              </w:rPr>
              <w:t>元</w:t>
            </w:r>
            <w:r>
              <w:rPr>
                <w:rFonts w:hint="eastAsia" w:ascii="宋体" w:hAnsi="宋体" w:cs="宋体"/>
                <w:color w:val="auto"/>
                <w:sz w:val="24"/>
                <w:szCs w:val="24"/>
                <w:highlight w:val="none"/>
              </w:rPr>
              <w:t>。</w:t>
            </w:r>
          </w:p>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b/>
                <w:bCs/>
                <w:color w:val="auto"/>
                <w:sz w:val="24"/>
                <w:szCs w:val="24"/>
                <w:highlight w:val="none"/>
                <w:u w:val="single"/>
              </w:rPr>
              <w:t>投标人的总投标报价或工程设计费投标报价或建安工程费投标报价不得高于上述对应最高投标限价，否则，将否决其投标。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19" w:type="dxa"/>
            <w:tcBorders>
              <w:top w:val="single" w:color="auto" w:sz="6" w:space="0"/>
              <w:left w:val="single" w:color="auto" w:sz="4"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3.2.5</w:t>
            </w:r>
          </w:p>
        </w:tc>
        <w:tc>
          <w:tcPr>
            <w:tcW w:w="2227" w:type="dxa"/>
            <w:gridSpan w:val="2"/>
            <w:tcBorders>
              <w:top w:val="single" w:color="auto" w:sz="6" w:space="0"/>
              <w:left w:val="single" w:color="auto" w:sz="6"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投标报价的要求</w:t>
            </w:r>
          </w:p>
        </w:tc>
        <w:tc>
          <w:tcPr>
            <w:tcW w:w="6675" w:type="dxa"/>
            <w:tcBorders>
              <w:top w:val="single" w:color="auto" w:sz="6" w:space="0"/>
              <w:left w:val="single" w:color="auto" w:sz="6" w:space="0"/>
              <w:bottom w:val="single" w:color="auto" w:sz="6" w:space="0"/>
              <w:right w:val="single" w:color="auto" w:sz="4" w:space="0"/>
            </w:tcBorders>
            <w:noWrap w:val="0"/>
            <w:vAlign w:val="center"/>
          </w:tcPr>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1、投标报价由</w:t>
            </w:r>
            <w:r>
              <w:rPr>
                <w:rFonts w:hint="eastAsia" w:ascii="宋体" w:hAnsi="宋体" w:cs="宋体"/>
                <w:b/>
                <w:bCs/>
                <w:color w:val="auto"/>
                <w:sz w:val="24"/>
                <w:szCs w:val="24"/>
                <w:highlight w:val="none"/>
              </w:rPr>
              <w:t>工程设计费、建安工程费</w:t>
            </w:r>
            <w:r>
              <w:rPr>
                <w:rFonts w:hint="eastAsia" w:ascii="宋体" w:hAnsi="宋体" w:cs="宋体"/>
                <w:color w:val="auto"/>
                <w:sz w:val="24"/>
                <w:szCs w:val="24"/>
                <w:highlight w:val="none"/>
              </w:rPr>
              <w:t>两部分组成。</w:t>
            </w:r>
          </w:p>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（1）工程设计费的投标报价不得高于本工程设计费的最高投标限价，否则，将否决其投标。结算方式按照合同相关约定执行。</w:t>
            </w:r>
          </w:p>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建安工程费的投标报价不得高于建安工程费的最高投标限价（注：绿色施工安全防护措施费包含在建安工程费招标控制价内，投标报价已包含该部分费用），否则，将否决其投标。结算方式按照合同约定执行。</w:t>
            </w:r>
          </w:p>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2、投标报价要求及格式详见第七章《投标文件格式》要求。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19" w:type="dxa"/>
            <w:tcBorders>
              <w:top w:val="single" w:color="auto" w:sz="6" w:space="0"/>
              <w:left w:val="single" w:color="auto" w:sz="4"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3.3.1</w:t>
            </w:r>
          </w:p>
        </w:tc>
        <w:tc>
          <w:tcPr>
            <w:tcW w:w="2227" w:type="dxa"/>
            <w:gridSpan w:val="2"/>
            <w:tcBorders>
              <w:top w:val="single" w:color="auto" w:sz="6" w:space="0"/>
              <w:left w:val="single" w:color="auto" w:sz="6"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6675" w:type="dxa"/>
            <w:tcBorders>
              <w:top w:val="single" w:color="auto" w:sz="6" w:space="0"/>
              <w:left w:val="single" w:color="auto" w:sz="6" w:space="0"/>
              <w:bottom w:val="single" w:color="auto" w:sz="6" w:space="0"/>
              <w:right w:val="single" w:color="auto" w:sz="4" w:space="0"/>
            </w:tcBorders>
            <w:noWrap w:val="0"/>
            <w:vAlign w:val="center"/>
          </w:tcPr>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120</w:t>
            </w:r>
            <w:r>
              <w:rPr>
                <w:rFonts w:hint="eastAsia" w:ascii="宋体" w:hAnsi="宋体" w:cs="宋体"/>
                <w:color w:val="auto"/>
                <w:sz w:val="24"/>
                <w:szCs w:val="24"/>
                <w:highlight w:val="none"/>
              </w:rPr>
              <w:t>日历天（从递交投标文件截止之日计起）。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19" w:type="dxa"/>
            <w:tcBorders>
              <w:top w:val="single" w:color="auto" w:sz="6" w:space="0"/>
              <w:left w:val="single" w:color="auto" w:sz="4"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3.4.1</w:t>
            </w:r>
          </w:p>
        </w:tc>
        <w:tc>
          <w:tcPr>
            <w:tcW w:w="2227" w:type="dxa"/>
            <w:gridSpan w:val="2"/>
            <w:tcBorders>
              <w:top w:val="single" w:color="auto" w:sz="6" w:space="0"/>
              <w:left w:val="single" w:color="auto" w:sz="6"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投标保证金</w:t>
            </w:r>
          </w:p>
        </w:tc>
        <w:tc>
          <w:tcPr>
            <w:tcW w:w="6675" w:type="dxa"/>
            <w:tcBorders>
              <w:top w:val="single" w:color="auto" w:sz="6" w:space="0"/>
              <w:left w:val="single" w:color="auto" w:sz="6" w:space="0"/>
              <w:bottom w:val="single" w:color="auto" w:sz="6" w:space="0"/>
              <w:right w:val="single" w:color="auto" w:sz="4" w:space="0"/>
            </w:tcBorders>
            <w:noWrap w:val="0"/>
            <w:vAlign w:val="center"/>
          </w:tcPr>
          <w:p>
            <w:pPr>
              <w:shd w:val="clear"/>
              <w:topLinePunct/>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是否要求投标人递交投标保证金：</w:t>
            </w:r>
          </w:p>
          <w:p>
            <w:pPr>
              <w:shd w:val="clear"/>
              <w:topLinePunct/>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□要求，</w:t>
            </w:r>
          </w:p>
          <w:p>
            <w:pPr>
              <w:shd w:val="clear"/>
              <w:topLinePunct/>
              <w:adjustRightInd w:val="0"/>
              <w:snapToGrid w:val="0"/>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投标保证金的形式：</w:t>
            </w:r>
            <w:r>
              <w:rPr>
                <w:rFonts w:hint="eastAsia" w:ascii="宋体" w:hAnsi="宋体" w:cs="宋体"/>
                <w:color w:val="auto"/>
                <w:sz w:val="24"/>
                <w:szCs w:val="24"/>
                <w:highlight w:val="none"/>
                <w:u w:val="single"/>
              </w:rPr>
              <w:t xml:space="preserve"> / 。</w:t>
            </w:r>
          </w:p>
          <w:p>
            <w:pPr>
              <w:shd w:val="clear"/>
              <w:topLinePunct/>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投标保证金的金额：</w:t>
            </w:r>
            <w:r>
              <w:rPr>
                <w:rFonts w:hint="eastAsia" w:ascii="宋体" w:hAnsi="宋体" w:cs="宋体"/>
                <w:color w:val="auto"/>
                <w:sz w:val="24"/>
                <w:szCs w:val="24"/>
                <w:highlight w:val="none"/>
                <w:u w:val="single"/>
              </w:rPr>
              <w:t xml:space="preserve"> / 。</w:t>
            </w:r>
          </w:p>
          <w:p>
            <w:pPr>
              <w:shd w:val="clear"/>
              <w:topLinePunct/>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■不要求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19" w:type="dxa"/>
            <w:tcBorders>
              <w:top w:val="single" w:color="auto" w:sz="6" w:space="0"/>
              <w:left w:val="single" w:color="auto" w:sz="4"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3.5.2</w:t>
            </w:r>
          </w:p>
        </w:tc>
        <w:tc>
          <w:tcPr>
            <w:tcW w:w="2227" w:type="dxa"/>
            <w:gridSpan w:val="2"/>
            <w:tcBorders>
              <w:top w:val="single" w:color="auto" w:sz="6" w:space="0"/>
              <w:left w:val="single" w:color="auto" w:sz="6"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近年财务状况</w:t>
            </w:r>
          </w:p>
        </w:tc>
        <w:tc>
          <w:tcPr>
            <w:tcW w:w="6675" w:type="dxa"/>
            <w:tcBorders>
              <w:top w:val="single" w:color="auto" w:sz="6" w:space="0"/>
              <w:left w:val="single" w:color="auto" w:sz="6" w:space="0"/>
              <w:bottom w:val="single" w:color="auto" w:sz="6"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19" w:type="dxa"/>
            <w:tcBorders>
              <w:top w:val="single" w:color="auto" w:sz="6" w:space="0"/>
              <w:left w:val="single" w:color="auto" w:sz="4"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3.5.3</w:t>
            </w:r>
          </w:p>
        </w:tc>
        <w:tc>
          <w:tcPr>
            <w:tcW w:w="2227" w:type="dxa"/>
            <w:gridSpan w:val="2"/>
            <w:tcBorders>
              <w:top w:val="single" w:color="auto" w:sz="6" w:space="0"/>
              <w:left w:val="single" w:color="auto" w:sz="6"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近年完成的类似项目</w:t>
            </w:r>
          </w:p>
        </w:tc>
        <w:tc>
          <w:tcPr>
            <w:tcW w:w="6675" w:type="dxa"/>
            <w:tcBorders>
              <w:top w:val="single" w:color="auto" w:sz="6" w:space="0"/>
              <w:left w:val="single" w:color="auto" w:sz="6" w:space="0"/>
              <w:bottom w:val="single" w:color="auto" w:sz="6"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19" w:type="dxa"/>
            <w:tcBorders>
              <w:top w:val="single" w:color="auto" w:sz="6" w:space="0"/>
              <w:left w:val="single" w:color="auto" w:sz="4"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3.5.5</w:t>
            </w:r>
          </w:p>
        </w:tc>
        <w:tc>
          <w:tcPr>
            <w:tcW w:w="2227" w:type="dxa"/>
            <w:gridSpan w:val="2"/>
            <w:tcBorders>
              <w:top w:val="single" w:color="auto" w:sz="6" w:space="0"/>
              <w:left w:val="single" w:color="auto" w:sz="6"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近年发生的重大诉讼及仲裁情况</w:t>
            </w:r>
          </w:p>
        </w:tc>
        <w:tc>
          <w:tcPr>
            <w:tcW w:w="6675" w:type="dxa"/>
            <w:tcBorders>
              <w:top w:val="single" w:color="auto" w:sz="6" w:space="0"/>
              <w:left w:val="single" w:color="auto" w:sz="6" w:space="0"/>
              <w:bottom w:val="single" w:color="auto" w:sz="6"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19" w:type="dxa"/>
            <w:tcBorders>
              <w:top w:val="single" w:color="auto" w:sz="6" w:space="0"/>
              <w:left w:val="single" w:color="auto" w:sz="4"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3.6</w:t>
            </w:r>
          </w:p>
        </w:tc>
        <w:tc>
          <w:tcPr>
            <w:tcW w:w="2227" w:type="dxa"/>
            <w:gridSpan w:val="2"/>
            <w:tcBorders>
              <w:top w:val="single" w:color="auto" w:sz="6" w:space="0"/>
              <w:left w:val="single" w:color="auto" w:sz="6"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是否允许递交备选投标方案</w:t>
            </w:r>
          </w:p>
        </w:tc>
        <w:tc>
          <w:tcPr>
            <w:tcW w:w="6675" w:type="dxa"/>
            <w:tcBorders>
              <w:top w:val="single" w:color="auto" w:sz="6" w:space="0"/>
              <w:left w:val="single" w:color="auto" w:sz="6" w:space="0"/>
              <w:bottom w:val="single" w:color="auto" w:sz="6" w:space="0"/>
              <w:right w:val="single" w:color="auto" w:sz="4" w:space="0"/>
            </w:tcBorders>
            <w:noWrap w:val="0"/>
            <w:vAlign w:val="center"/>
          </w:tcPr>
          <w:p>
            <w:pPr>
              <w:pStyle w:val="7"/>
              <w:shd w:val="clear"/>
              <w:topLinePunct/>
              <w:adjustRightInd w:val="0"/>
              <w:snapToGrid w:val="0"/>
              <w:spacing w:after="0" w:line="360" w:lineRule="auto"/>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■不允许</w:t>
            </w:r>
          </w:p>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19" w:type="dxa"/>
            <w:tcBorders>
              <w:top w:val="single" w:color="auto" w:sz="6" w:space="0"/>
              <w:left w:val="single" w:color="auto" w:sz="4"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3.7.3</w:t>
            </w:r>
          </w:p>
        </w:tc>
        <w:tc>
          <w:tcPr>
            <w:tcW w:w="2227" w:type="dxa"/>
            <w:gridSpan w:val="2"/>
            <w:tcBorders>
              <w:top w:val="single" w:color="auto" w:sz="6" w:space="0"/>
              <w:left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签字或盖章要求</w:t>
            </w:r>
          </w:p>
        </w:tc>
        <w:tc>
          <w:tcPr>
            <w:tcW w:w="6675" w:type="dxa"/>
            <w:tcBorders>
              <w:top w:val="single" w:color="auto" w:sz="6" w:space="0"/>
              <w:left w:val="single" w:color="auto" w:sz="6"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投标人采用单位数字证书，按招标文件要求在相应位置加盖电子印章。投标文件中需个人签字或盖章的，应加盖个人电子印章或在线下签名后扫描上传。按照广州公共资源交易中心网站最新发布的全流程电子化项目操作指南进行操作。</w:t>
            </w:r>
          </w:p>
          <w:p>
            <w:pPr>
              <w:pStyle w:val="7"/>
              <w:shd w:val="clear"/>
              <w:topLinePunct/>
              <w:adjustRightInd w:val="0"/>
              <w:snapToGrid w:val="0"/>
              <w:spacing w:after="0" w:line="360" w:lineRule="auto"/>
              <w:jc w:val="left"/>
              <w:rPr>
                <w:rFonts w:hint="eastAsia" w:ascii="宋体" w:hAnsi="宋体" w:cs="宋体"/>
                <w:color w:val="auto"/>
                <w:kern w:val="2"/>
                <w:sz w:val="24"/>
                <w:szCs w:val="24"/>
                <w:highlight w:val="none"/>
              </w:rPr>
            </w:pPr>
            <w:r>
              <w:rPr>
                <w:rFonts w:hint="eastAsia" w:ascii="宋体" w:hAnsi="宋体" w:cs="宋体"/>
                <w:b/>
                <w:bCs/>
                <w:color w:val="auto"/>
                <w:sz w:val="24"/>
                <w:szCs w:val="24"/>
                <w:highlight w:val="none"/>
              </w:rPr>
              <w:t>联合体投标的，除投标文件中的《联合体投标协议书》需联合体各方盖章、签字外，投标文件其他内容中的“投标人”、“声明企业”应填写联合体各方的单位全称【参考格式表示为：(主)XXXX公司、(成)XXXX公司】，但由主办方盖章、签字即可。法定代表人证明书及授权委托证明书可由联合体主办方出具，其中“单位”一栏可只填写联合体主办方名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19" w:type="dxa"/>
            <w:tcBorders>
              <w:top w:val="single" w:color="auto" w:sz="6" w:space="0"/>
              <w:left w:val="single" w:color="auto" w:sz="4"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3.7.4</w:t>
            </w:r>
          </w:p>
        </w:tc>
        <w:tc>
          <w:tcPr>
            <w:tcW w:w="2227" w:type="dxa"/>
            <w:gridSpan w:val="2"/>
            <w:tcBorders>
              <w:top w:val="single" w:color="auto" w:sz="6" w:space="0"/>
              <w:left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投标文件副本份数</w:t>
            </w:r>
          </w:p>
        </w:tc>
        <w:tc>
          <w:tcPr>
            <w:tcW w:w="6675" w:type="dxa"/>
            <w:tcBorders>
              <w:top w:val="single" w:color="auto" w:sz="6" w:space="0"/>
              <w:left w:val="single" w:color="auto" w:sz="6"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本项目为电子招投标项目，该条款不适用。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27" w:hRule="atLeast"/>
          <w:jc w:val="center"/>
        </w:trPr>
        <w:tc>
          <w:tcPr>
            <w:tcW w:w="1119" w:type="dxa"/>
            <w:tcBorders>
              <w:top w:val="single" w:color="auto" w:sz="6" w:space="0"/>
              <w:left w:val="single" w:color="auto" w:sz="4"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3.7.5</w:t>
            </w:r>
          </w:p>
        </w:tc>
        <w:tc>
          <w:tcPr>
            <w:tcW w:w="2227" w:type="dxa"/>
            <w:gridSpan w:val="2"/>
            <w:tcBorders>
              <w:top w:val="single" w:color="auto" w:sz="6" w:space="0"/>
              <w:left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装订要求</w:t>
            </w:r>
          </w:p>
        </w:tc>
        <w:tc>
          <w:tcPr>
            <w:tcW w:w="6675" w:type="dxa"/>
            <w:tcBorders>
              <w:top w:val="single" w:color="auto" w:sz="6" w:space="0"/>
              <w:left w:val="single" w:color="auto" w:sz="6"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本项目为电子招投标项目，该条款不适用。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19" w:type="dxa"/>
            <w:tcBorders>
              <w:top w:val="single" w:color="auto" w:sz="6" w:space="0"/>
              <w:left w:val="single" w:color="auto" w:sz="4"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4.1.2</w:t>
            </w:r>
          </w:p>
        </w:tc>
        <w:tc>
          <w:tcPr>
            <w:tcW w:w="2227" w:type="dxa"/>
            <w:gridSpan w:val="2"/>
            <w:tcBorders>
              <w:top w:val="single" w:color="auto" w:sz="6" w:space="0"/>
              <w:left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封套上应载明的信息</w:t>
            </w:r>
          </w:p>
        </w:tc>
        <w:tc>
          <w:tcPr>
            <w:tcW w:w="6675" w:type="dxa"/>
            <w:tcBorders>
              <w:top w:val="single" w:color="auto" w:sz="6" w:space="0"/>
              <w:left w:val="single" w:color="auto" w:sz="6"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本项目为电子招投标项目，该条款不适用。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19" w:type="dxa"/>
            <w:tcBorders>
              <w:top w:val="single" w:color="auto" w:sz="6" w:space="0"/>
              <w:left w:val="single" w:color="auto" w:sz="4"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4.2.2</w:t>
            </w:r>
          </w:p>
        </w:tc>
        <w:tc>
          <w:tcPr>
            <w:tcW w:w="2227" w:type="dxa"/>
            <w:gridSpan w:val="2"/>
            <w:tcBorders>
              <w:top w:val="single" w:color="auto" w:sz="6" w:space="0"/>
              <w:left w:val="single" w:color="auto" w:sz="6"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pacing w:val="-10"/>
                <w:sz w:val="24"/>
                <w:szCs w:val="24"/>
                <w:highlight w:val="none"/>
              </w:rPr>
            </w:pPr>
            <w:r>
              <w:rPr>
                <w:rFonts w:hint="eastAsia" w:ascii="宋体" w:hAnsi="宋体" w:cs="宋体"/>
                <w:color w:val="auto"/>
                <w:spacing w:val="-10"/>
                <w:sz w:val="24"/>
                <w:szCs w:val="24"/>
                <w:highlight w:val="none"/>
              </w:rPr>
              <w:t>递交投标文件地点</w:t>
            </w:r>
          </w:p>
        </w:tc>
        <w:tc>
          <w:tcPr>
            <w:tcW w:w="6675" w:type="dxa"/>
            <w:tcBorders>
              <w:top w:val="single" w:color="auto" w:sz="6" w:space="0"/>
              <w:left w:val="single" w:color="auto" w:sz="6" w:space="0"/>
              <w:bottom w:val="single" w:color="auto" w:sz="6" w:space="0"/>
              <w:right w:val="single" w:color="auto" w:sz="4" w:space="0"/>
            </w:tcBorders>
            <w:noWrap w:val="0"/>
            <w:vAlign w:val="center"/>
          </w:tcPr>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投标人应在投标文件递交截止时间前通过广州公共资源交易中心数字交易平台递交电子投标文件。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19" w:type="dxa"/>
            <w:tcBorders>
              <w:top w:val="single" w:color="auto" w:sz="6" w:space="0"/>
              <w:left w:val="single" w:color="auto" w:sz="4"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4.2.3</w:t>
            </w:r>
          </w:p>
        </w:tc>
        <w:tc>
          <w:tcPr>
            <w:tcW w:w="2227" w:type="dxa"/>
            <w:gridSpan w:val="2"/>
            <w:tcBorders>
              <w:top w:val="single" w:color="auto" w:sz="6" w:space="0"/>
              <w:left w:val="single" w:color="auto" w:sz="6"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是否退还</w:t>
            </w:r>
          </w:p>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投标文件</w:t>
            </w:r>
          </w:p>
        </w:tc>
        <w:tc>
          <w:tcPr>
            <w:tcW w:w="6675" w:type="dxa"/>
            <w:tcBorders>
              <w:top w:val="single" w:color="auto" w:sz="6" w:space="0"/>
              <w:left w:val="single" w:color="auto" w:sz="6" w:space="0"/>
              <w:bottom w:val="single" w:color="auto" w:sz="6" w:space="0"/>
              <w:right w:val="single" w:color="auto" w:sz="4" w:space="0"/>
            </w:tcBorders>
            <w:noWrap w:val="0"/>
            <w:vAlign w:val="center"/>
          </w:tcPr>
          <w:p>
            <w:pPr>
              <w:pStyle w:val="7"/>
              <w:shd w:val="clear"/>
              <w:topLinePunct/>
              <w:adjustRightInd w:val="0"/>
              <w:snapToGrid w:val="0"/>
              <w:spacing w:after="0" w:line="360" w:lineRule="auto"/>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■否</w:t>
            </w:r>
          </w:p>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19" w:type="dxa"/>
            <w:tcBorders>
              <w:top w:val="single" w:color="auto" w:sz="6" w:space="0"/>
              <w:left w:val="single" w:color="auto" w:sz="4"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5.1</w:t>
            </w:r>
          </w:p>
        </w:tc>
        <w:tc>
          <w:tcPr>
            <w:tcW w:w="2227" w:type="dxa"/>
            <w:gridSpan w:val="2"/>
            <w:tcBorders>
              <w:top w:val="single" w:color="auto" w:sz="6" w:space="0"/>
              <w:left w:val="single" w:color="auto" w:sz="6"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开标时间和地点</w:t>
            </w:r>
          </w:p>
        </w:tc>
        <w:tc>
          <w:tcPr>
            <w:tcW w:w="6675" w:type="dxa"/>
            <w:tcBorders>
              <w:top w:val="single" w:color="auto" w:sz="6" w:space="0"/>
              <w:left w:val="single" w:color="auto" w:sz="6" w:space="0"/>
              <w:bottom w:val="single" w:color="auto" w:sz="6" w:space="0"/>
              <w:right w:val="single" w:color="auto" w:sz="4" w:space="0"/>
            </w:tcBorders>
            <w:noWrap w:val="0"/>
            <w:vAlign w:val="center"/>
          </w:tcPr>
          <w:p>
            <w:pPr>
              <w:shd w:val="clear"/>
              <w:adjustRightInd w:val="0"/>
              <w:snapToGrid w:val="0"/>
              <w:spacing w:line="360" w:lineRule="auto"/>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开标开始时间：</w:t>
            </w:r>
            <w:r>
              <w:rPr>
                <w:rFonts w:hint="eastAsia" w:ascii="宋体" w:hAnsi="宋体" w:cs="宋体"/>
                <w:color w:val="auto"/>
                <w:kern w:val="0"/>
                <w:sz w:val="24"/>
                <w:szCs w:val="24"/>
                <w:highlight w:val="none"/>
                <w:u w:val="single"/>
              </w:rPr>
              <w:t>开标时间同投标截止时间。</w:t>
            </w:r>
          </w:p>
          <w:p>
            <w:pPr>
              <w:shd w:val="clear"/>
              <w:adjustRightInd w:val="0"/>
              <w:snapToGrid w:val="0"/>
              <w:spacing w:line="360" w:lineRule="auto"/>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开标地点：</w:t>
            </w:r>
            <w:r>
              <w:rPr>
                <w:rFonts w:hint="eastAsia" w:ascii="宋体" w:hAnsi="宋体" w:cs="宋体"/>
                <w:color w:val="auto"/>
                <w:kern w:val="0"/>
                <w:sz w:val="24"/>
                <w:szCs w:val="24"/>
                <w:highlight w:val="none"/>
                <w:u w:val="single"/>
              </w:rPr>
              <w:t>广州公共资源交易中心</w:t>
            </w:r>
            <w:r>
              <w:rPr>
                <w:rFonts w:hint="eastAsia" w:ascii="宋体" w:hAnsi="宋体" w:cs="宋体"/>
                <w:color w:val="auto"/>
                <w:kern w:val="0"/>
                <w:sz w:val="24"/>
                <w:szCs w:val="24"/>
                <w:highlight w:val="none"/>
                <w:u w:val="single"/>
                <w:lang w:val="en-US" w:eastAsia="zh-CN"/>
              </w:rPr>
              <w:t>8</w:t>
            </w:r>
            <w:bookmarkStart w:id="839" w:name="_GoBack"/>
            <w:bookmarkEnd w:id="839"/>
            <w:r>
              <w:rPr>
                <w:rFonts w:hint="eastAsia" w:ascii="宋体" w:hAnsi="宋体" w:cs="宋体"/>
                <w:color w:val="auto"/>
                <w:kern w:val="0"/>
                <w:sz w:val="24"/>
                <w:szCs w:val="24"/>
                <w:highlight w:val="none"/>
                <w:u w:val="single"/>
              </w:rPr>
              <w:t>开标室。</w:t>
            </w:r>
          </w:p>
          <w:p>
            <w:pPr>
              <w:shd w:val="clear"/>
              <w:adjustRightInd w:val="0"/>
              <w:snapToGrid w:val="0"/>
              <w:spacing w:line="360" w:lineRule="auto"/>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投标人也可选择在线参加开标，具体按照交易平台相关指南进行操作。详见：广州公共资源交易中心网站（http:/ www.gzggzy.cn）服务指南栏目。</w:t>
            </w:r>
          </w:p>
          <w:p>
            <w:pPr>
              <w:pStyle w:val="2"/>
              <w:shd w:val="clear"/>
              <w:rPr>
                <w:rFonts w:hint="eastAsia"/>
                <w:color w:val="auto"/>
                <w:highlight w:val="none"/>
              </w:rPr>
            </w:pPr>
            <w:r>
              <w:rPr>
                <w:rFonts w:hint="eastAsia" w:hAnsi="宋体" w:cs="宋体"/>
                <w:color w:val="auto"/>
                <w:sz w:val="24"/>
                <w:szCs w:val="24"/>
                <w:highlight w:val="none"/>
                <w:u w:val="single"/>
              </w:rPr>
              <w:t>具体时间可以到广州公共资源交易中心网站的服务指南中的交易活动安排输入本项目编号或项目名称进行查询。</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19" w:type="dxa"/>
            <w:tcBorders>
              <w:top w:val="single" w:color="auto" w:sz="6" w:space="0"/>
              <w:left w:val="single" w:color="auto" w:sz="4"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5.2</w:t>
            </w:r>
          </w:p>
        </w:tc>
        <w:tc>
          <w:tcPr>
            <w:tcW w:w="2227" w:type="dxa"/>
            <w:gridSpan w:val="2"/>
            <w:tcBorders>
              <w:top w:val="single" w:color="auto" w:sz="6" w:space="0"/>
              <w:left w:val="single" w:color="auto" w:sz="6"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开标程序</w:t>
            </w:r>
          </w:p>
        </w:tc>
        <w:tc>
          <w:tcPr>
            <w:tcW w:w="6675" w:type="dxa"/>
            <w:tcBorders>
              <w:top w:val="single" w:color="auto" w:sz="6" w:space="0"/>
              <w:left w:val="single" w:color="auto" w:sz="6" w:space="0"/>
              <w:bottom w:val="single" w:color="auto" w:sz="6" w:space="0"/>
              <w:right w:val="single" w:color="auto" w:sz="4" w:space="0"/>
            </w:tcBorders>
            <w:noWrap w:val="0"/>
            <w:vAlign w:val="center"/>
          </w:tcPr>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1.按下列程序进行开标：</w:t>
            </w:r>
          </w:p>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（1）宣布开标纪律；</w:t>
            </w:r>
          </w:p>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在投标截止时间后30分钟内，投标人通过递交投标文件的交易平台对已递交的电子投标文件进行解密。投标人完成解密后，再由招标人进行解密（投标人只用执行一次解密，招标人执行解密次数根据招标文件开标次数确定）。</w:t>
            </w:r>
          </w:p>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（3）解密完成后，公布：a投标人名称；b投标文件递交情况；c投标文件解密情况；</w:t>
            </w:r>
            <w:r>
              <w:rPr>
                <w:rFonts w:hint="eastAsia" w:ascii="宋体" w:hAnsi="宋体" w:cs="宋体"/>
                <w:strike/>
                <w:color w:val="auto"/>
                <w:sz w:val="24"/>
                <w:szCs w:val="24"/>
                <w:highlight w:val="none"/>
              </w:rPr>
              <w:t>d投标担保递交情况</w:t>
            </w:r>
            <w:r>
              <w:rPr>
                <w:rFonts w:hint="eastAsia" w:ascii="宋体" w:hAnsi="宋体" w:cs="宋体"/>
                <w:color w:val="auto"/>
                <w:sz w:val="24"/>
                <w:szCs w:val="24"/>
                <w:highlight w:val="none"/>
              </w:rPr>
              <w:t>；e项目负责人（施工负责人）、设计负责人、专职安全员；f投标报价（含设计费报价和建安工程费报价）；g工期；h投标人的加密打包投标文件电脑机器特征码等主要内容，并记录在案。未在规定时间内解密的投标文件不参与开标、评标。</w:t>
            </w:r>
          </w:p>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（4）截标后，开标开始时间因故推迟的，相关评标信息仍以原定的开标开始时间的信息为准。</w:t>
            </w:r>
          </w:p>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（5）备用光盘</w:t>
            </w:r>
            <w:r>
              <w:rPr>
                <w:rFonts w:hint="eastAsia" w:ascii="宋体" w:hAnsi="宋体" w:cs="宋体"/>
                <w:color w:val="auto"/>
                <w:sz w:val="24"/>
                <w:szCs w:val="24"/>
                <w:highlight w:val="none"/>
                <w:lang w:val="zh-CN"/>
              </w:rPr>
              <w:t>或u盘</w:t>
            </w:r>
            <w:r>
              <w:rPr>
                <w:rFonts w:hint="eastAsia" w:ascii="宋体" w:hAnsi="宋体" w:cs="宋体"/>
                <w:color w:val="auto"/>
                <w:sz w:val="24"/>
                <w:szCs w:val="24"/>
                <w:highlight w:val="none"/>
              </w:rPr>
              <w:t>的读取按“10 电子招标投标”第6点的规定执行。</w:t>
            </w:r>
          </w:p>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7）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（8）投标人未参加开标或在规定的时间内未提出异议的，视为对开标无异议。</w:t>
            </w:r>
          </w:p>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（9）开标时，两个（含两个）以上的投标人加密打包投标文件电脑机器特征码一致的，不参与下一程序，并由评标委员会否决其投标。</w:t>
            </w:r>
          </w:p>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（10）参加开标会的投标人法人授权的投标人代表、招标人代表、见证人、记录人等有关人员在开标记录上签字确认；若有关人员不签字的，不影响开标程序；</w:t>
            </w:r>
          </w:p>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（11）开标结束。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19" w:type="dxa"/>
            <w:tcBorders>
              <w:top w:val="single" w:color="auto" w:sz="6" w:space="0"/>
              <w:left w:val="single" w:color="auto" w:sz="4"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6.1.1</w:t>
            </w:r>
          </w:p>
        </w:tc>
        <w:tc>
          <w:tcPr>
            <w:tcW w:w="2227" w:type="dxa"/>
            <w:gridSpan w:val="2"/>
            <w:tcBorders>
              <w:top w:val="single" w:color="auto" w:sz="6" w:space="0"/>
              <w:left w:val="single" w:color="auto" w:sz="6"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评标委员会的组建</w:t>
            </w:r>
          </w:p>
        </w:tc>
        <w:tc>
          <w:tcPr>
            <w:tcW w:w="6675" w:type="dxa"/>
            <w:tcBorders>
              <w:top w:val="single" w:color="auto" w:sz="6" w:space="0"/>
              <w:left w:val="single" w:color="auto" w:sz="6" w:space="0"/>
              <w:bottom w:val="single" w:color="auto" w:sz="6" w:space="0"/>
              <w:right w:val="single" w:color="auto" w:sz="4" w:space="0"/>
            </w:tcBorders>
            <w:noWrap w:val="0"/>
            <w:vAlign w:val="center"/>
          </w:tcPr>
          <w:p>
            <w:pPr>
              <w:shd w:val="clear"/>
              <w:adjustRightInd w:val="0"/>
              <w:snapToGrid w:val="0"/>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评标委员会由招标人依法组建。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19" w:type="dxa"/>
            <w:tcBorders>
              <w:top w:val="single" w:color="auto" w:sz="6" w:space="0"/>
              <w:left w:val="single" w:color="auto" w:sz="4"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7.1</w:t>
            </w:r>
          </w:p>
        </w:tc>
        <w:tc>
          <w:tcPr>
            <w:tcW w:w="2227" w:type="dxa"/>
            <w:gridSpan w:val="2"/>
            <w:tcBorders>
              <w:top w:val="single" w:color="auto" w:sz="6" w:space="0"/>
              <w:left w:val="single" w:color="auto" w:sz="6"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是否授权评标委员会确定中标人</w:t>
            </w:r>
          </w:p>
        </w:tc>
        <w:tc>
          <w:tcPr>
            <w:tcW w:w="6675" w:type="dxa"/>
            <w:tcBorders>
              <w:top w:val="single" w:color="auto" w:sz="6" w:space="0"/>
              <w:left w:val="single" w:color="auto" w:sz="6" w:space="0"/>
              <w:bottom w:val="single" w:color="auto" w:sz="6" w:space="0"/>
              <w:right w:val="single" w:color="auto" w:sz="4" w:space="0"/>
            </w:tcBorders>
            <w:noWrap w:val="0"/>
            <w:vAlign w:val="center"/>
          </w:tcPr>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□是</w:t>
            </w:r>
          </w:p>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■否，推荐的中标候选人数：</w:t>
            </w:r>
            <w:r>
              <w:rPr>
                <w:rFonts w:hint="eastAsia" w:ascii="宋体" w:hAnsi="宋体" w:cs="宋体"/>
                <w:color w:val="auto"/>
                <w:sz w:val="24"/>
                <w:szCs w:val="24"/>
                <w:highlight w:val="none"/>
                <w:u w:val="single"/>
              </w:rPr>
              <w:t>3</w:t>
            </w:r>
            <w:r>
              <w:rPr>
                <w:rFonts w:hint="eastAsia" w:ascii="宋体" w:hAnsi="宋体" w:cs="宋体"/>
                <w:color w:val="auto"/>
                <w:sz w:val="24"/>
                <w:szCs w:val="24"/>
                <w:highlight w:val="none"/>
              </w:rPr>
              <w:t>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19" w:type="dxa"/>
            <w:tcBorders>
              <w:top w:val="single" w:color="auto" w:sz="6" w:space="0"/>
              <w:left w:val="single" w:color="auto" w:sz="4"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7.2</w:t>
            </w:r>
          </w:p>
        </w:tc>
        <w:tc>
          <w:tcPr>
            <w:tcW w:w="2227" w:type="dxa"/>
            <w:gridSpan w:val="2"/>
            <w:tcBorders>
              <w:top w:val="single" w:color="auto" w:sz="6" w:space="0"/>
              <w:left w:val="single" w:color="auto" w:sz="6"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中标候选人公示媒介</w:t>
            </w:r>
          </w:p>
        </w:tc>
        <w:tc>
          <w:tcPr>
            <w:tcW w:w="6675" w:type="dxa"/>
            <w:tcBorders>
              <w:top w:val="single" w:color="auto" w:sz="6" w:space="0"/>
              <w:left w:val="single" w:color="auto" w:sz="6" w:space="0"/>
              <w:bottom w:val="single" w:color="auto" w:sz="6" w:space="0"/>
              <w:right w:val="single" w:color="auto" w:sz="4" w:space="0"/>
            </w:tcBorders>
            <w:noWrap w:val="0"/>
            <w:vAlign w:val="center"/>
          </w:tcPr>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公示媒介：中国招标投标公共服务平台、广东省招标投标监管网、广州公共资源交易网</w:t>
            </w:r>
          </w:p>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公示期限：3日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36" w:hRule="atLeast"/>
          <w:jc w:val="center"/>
        </w:trPr>
        <w:tc>
          <w:tcPr>
            <w:tcW w:w="1119" w:type="dxa"/>
            <w:tcBorders>
              <w:top w:val="single" w:color="auto" w:sz="6" w:space="0"/>
              <w:left w:val="single" w:color="auto" w:sz="4"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7.4.1</w:t>
            </w:r>
          </w:p>
        </w:tc>
        <w:tc>
          <w:tcPr>
            <w:tcW w:w="2227" w:type="dxa"/>
            <w:gridSpan w:val="2"/>
            <w:tcBorders>
              <w:top w:val="single" w:color="auto" w:sz="6" w:space="0"/>
              <w:left w:val="single" w:color="auto" w:sz="6"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履约担保</w:t>
            </w:r>
          </w:p>
        </w:tc>
        <w:tc>
          <w:tcPr>
            <w:tcW w:w="6675" w:type="dxa"/>
            <w:tcBorders>
              <w:top w:val="single" w:color="auto" w:sz="6" w:space="0"/>
              <w:left w:val="single" w:color="auto" w:sz="6" w:space="0"/>
              <w:bottom w:val="single" w:color="auto" w:sz="6" w:space="0"/>
              <w:right w:val="single" w:color="auto" w:sz="4" w:space="0"/>
            </w:tcBorders>
            <w:noWrap w:val="0"/>
            <w:vAlign w:val="center"/>
          </w:tcPr>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履约担保的形式：以合同约定为准。</w:t>
            </w:r>
          </w:p>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履约担保的金额：中标合同金额的10%。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45" w:hRule="atLeast"/>
          <w:jc w:val="center"/>
        </w:trPr>
        <w:tc>
          <w:tcPr>
            <w:tcW w:w="1119" w:type="dxa"/>
            <w:tcBorders>
              <w:top w:val="single" w:color="auto" w:sz="6" w:space="0"/>
              <w:left w:val="single" w:color="auto" w:sz="4"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9</w:t>
            </w:r>
          </w:p>
        </w:tc>
        <w:tc>
          <w:tcPr>
            <w:tcW w:w="8902" w:type="dxa"/>
            <w:gridSpan w:val="3"/>
            <w:tcBorders>
              <w:top w:val="single" w:color="auto" w:sz="6" w:space="0"/>
              <w:left w:val="single" w:color="auto" w:sz="6" w:space="0"/>
              <w:bottom w:val="single" w:color="auto" w:sz="6"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19" w:type="dxa"/>
            <w:tcBorders>
              <w:top w:val="single" w:color="auto" w:sz="6" w:space="0"/>
              <w:left w:val="single" w:color="auto" w:sz="4" w:space="0"/>
              <w:bottom w:val="single" w:color="auto" w:sz="6" w:space="0"/>
              <w:right w:val="single" w:color="auto" w:sz="6" w:space="0"/>
            </w:tcBorders>
            <w:noWrap w:val="0"/>
            <w:vAlign w:val="center"/>
          </w:tcPr>
          <w:p>
            <w:pPr>
              <w:widowControl/>
              <w:shd w:val="clear"/>
              <w:adjustRightInd w:val="0"/>
              <w:snapToGrid w:val="0"/>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9.1</w:t>
            </w:r>
          </w:p>
        </w:tc>
        <w:tc>
          <w:tcPr>
            <w:tcW w:w="8902" w:type="dxa"/>
            <w:gridSpan w:val="3"/>
            <w:tcBorders>
              <w:top w:val="single" w:color="auto" w:sz="6" w:space="0"/>
              <w:left w:val="single" w:color="auto" w:sz="6" w:space="0"/>
              <w:bottom w:val="single" w:color="auto" w:sz="6" w:space="0"/>
              <w:right w:val="single" w:color="auto" w:sz="4" w:space="0"/>
            </w:tcBorders>
            <w:noWrap w:val="0"/>
            <w:vAlign w:val="center"/>
          </w:tcPr>
          <w:p>
            <w:pPr>
              <w:widowControl/>
              <w:shd w:val="clear"/>
              <w:adjustRightInd w:val="0"/>
              <w:snapToGrid w:val="0"/>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建设工程质量检测单位：</w:t>
            </w:r>
          </w:p>
          <w:p>
            <w:pPr>
              <w:widowControl/>
              <w:shd w:val="clear"/>
              <w:adjustRightInd w:val="0"/>
              <w:snapToGrid w:val="0"/>
              <w:spacing w:line="360" w:lineRule="auto"/>
              <w:rPr>
                <w:rFonts w:hint="eastAsia" w:ascii="宋体" w:hAnsi="宋体" w:cs="宋体"/>
                <w:b/>
                <w:bCs/>
                <w:color w:val="auto"/>
                <w:kern w:val="0"/>
                <w:sz w:val="24"/>
                <w:szCs w:val="24"/>
                <w:highlight w:val="none"/>
              </w:rPr>
            </w:pPr>
            <w:r>
              <w:rPr>
                <w:rFonts w:hint="eastAsia" w:ascii="宋体" w:hAnsi="宋体" w:cs="宋体"/>
                <w:color w:val="auto"/>
                <w:kern w:val="0"/>
                <w:sz w:val="24"/>
                <w:szCs w:val="24"/>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jc w:val="center"/>
        </w:trPr>
        <w:tc>
          <w:tcPr>
            <w:tcW w:w="1119" w:type="dxa"/>
            <w:tcBorders>
              <w:top w:val="single" w:color="auto" w:sz="6" w:space="0"/>
              <w:left w:val="single" w:color="auto" w:sz="4" w:space="0"/>
              <w:bottom w:val="single" w:color="auto" w:sz="6" w:space="0"/>
              <w:right w:val="single" w:color="auto" w:sz="6" w:space="0"/>
            </w:tcBorders>
            <w:noWrap w:val="0"/>
            <w:vAlign w:val="center"/>
          </w:tcPr>
          <w:p>
            <w:pPr>
              <w:widowControl/>
              <w:shd w:val="clear"/>
              <w:adjustRightInd w:val="0"/>
              <w:snapToGrid w:val="0"/>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9.2</w:t>
            </w:r>
          </w:p>
        </w:tc>
        <w:tc>
          <w:tcPr>
            <w:tcW w:w="8902" w:type="dxa"/>
            <w:gridSpan w:val="3"/>
            <w:tcBorders>
              <w:top w:val="single" w:color="auto" w:sz="6" w:space="0"/>
              <w:left w:val="single" w:color="auto" w:sz="6" w:space="0"/>
              <w:bottom w:val="single" w:color="auto" w:sz="6" w:space="0"/>
              <w:right w:val="single" w:color="auto" w:sz="4" w:space="0"/>
            </w:tcBorders>
            <w:noWrap w:val="0"/>
            <w:vAlign w:val="center"/>
          </w:tcPr>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工程成本警戒价</w:t>
            </w:r>
            <w:r>
              <w:rPr>
                <w:rFonts w:hint="eastAsia" w:ascii="宋体" w:hAnsi="宋体" w:cs="宋体"/>
                <w:b/>
                <w:bCs/>
                <w:color w:val="auto"/>
                <w:sz w:val="24"/>
                <w:szCs w:val="24"/>
                <w:highlight w:val="none"/>
              </w:rPr>
              <w:t>为</w:t>
            </w:r>
            <w:r>
              <w:rPr>
                <w:rFonts w:hint="eastAsia" w:ascii="宋体" w:hAnsi="宋体" w:cs="宋体"/>
                <w:b/>
                <w:bCs/>
                <w:color w:val="auto"/>
                <w:sz w:val="24"/>
                <w:szCs w:val="24"/>
                <w:highlight w:val="none"/>
                <w:u w:val="single"/>
              </w:rPr>
              <w:t>38104214.0</w:t>
            </w:r>
            <w:r>
              <w:rPr>
                <w:rFonts w:hint="eastAsia" w:ascii="宋体" w:hAnsi="宋体" w:cs="宋体"/>
                <w:b/>
                <w:bCs/>
                <w:color w:val="auto"/>
                <w:sz w:val="24"/>
                <w:szCs w:val="24"/>
                <w:highlight w:val="none"/>
                <w:u w:val="single"/>
                <w:lang w:val="en-US" w:eastAsia="zh-CN"/>
              </w:rPr>
              <w:t>5</w:t>
            </w:r>
            <w:r>
              <w:rPr>
                <w:rFonts w:hint="eastAsia" w:ascii="宋体" w:hAnsi="宋体" w:cs="宋体"/>
                <w:b/>
                <w:bCs/>
                <w:color w:val="auto"/>
                <w:sz w:val="24"/>
                <w:szCs w:val="24"/>
                <w:highlight w:val="none"/>
              </w:rPr>
              <w:t>元</w:t>
            </w:r>
            <w:r>
              <w:rPr>
                <w:rFonts w:hint="eastAsia" w:ascii="宋体" w:hAnsi="宋体" w:cs="宋体"/>
                <w:color w:val="auto"/>
                <w:sz w:val="24"/>
                <w:szCs w:val="24"/>
                <w:highlight w:val="none"/>
              </w:rPr>
              <w:t>(按建安工程费投标最高限价的</w:t>
            </w:r>
            <w:r>
              <w:rPr>
                <w:rFonts w:hint="eastAsia" w:ascii="宋体" w:hAnsi="宋体" w:cs="宋体"/>
                <w:b/>
                <w:bCs/>
                <w:color w:val="auto"/>
                <w:sz w:val="24"/>
                <w:szCs w:val="24"/>
                <w:highlight w:val="none"/>
                <w:u w:val="single"/>
              </w:rPr>
              <w:t>90%</w:t>
            </w:r>
            <w:r>
              <w:rPr>
                <w:rFonts w:hint="eastAsia" w:ascii="宋体" w:hAnsi="宋体" w:cs="宋体"/>
                <w:color w:val="auto"/>
                <w:sz w:val="24"/>
                <w:szCs w:val="24"/>
                <w:highlight w:val="none"/>
              </w:rPr>
              <w:t>设置)。</w:t>
            </w:r>
          </w:p>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对建安工程费部分投标报价低于该警戒价的投标报价，投标人必须提供详细的施工组织设计、综合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widowControl/>
              <w:shd w:val="clear"/>
              <w:adjustRightInd w:val="0"/>
              <w:snapToGrid w:val="0"/>
              <w:spacing w:line="360" w:lineRule="auto"/>
              <w:rPr>
                <w:rFonts w:hint="eastAsia" w:ascii="宋体" w:hAnsi="宋体" w:cs="宋体"/>
                <w:color w:val="auto"/>
                <w:kern w:val="0"/>
                <w:sz w:val="24"/>
                <w:szCs w:val="24"/>
                <w:highlight w:val="none"/>
              </w:rPr>
            </w:pPr>
            <w:r>
              <w:rPr>
                <w:rFonts w:hint="eastAsia" w:ascii="宋体" w:hAnsi="宋体" w:cs="宋体"/>
                <w:color w:val="auto"/>
                <w:sz w:val="24"/>
                <w:szCs w:val="24"/>
                <w:highlight w:val="none"/>
              </w:rPr>
              <w:t>注：为充分体现招标人意愿及落实项目招标人负责制，警戒价由招标人决定。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1119" w:type="dxa"/>
            <w:tcBorders>
              <w:top w:val="single" w:color="auto" w:sz="6" w:space="0"/>
              <w:left w:val="single" w:color="auto" w:sz="4" w:space="0"/>
              <w:bottom w:val="single" w:color="auto" w:sz="6" w:space="0"/>
              <w:right w:val="single" w:color="auto" w:sz="6" w:space="0"/>
            </w:tcBorders>
            <w:noWrap w:val="0"/>
            <w:vAlign w:val="center"/>
          </w:tcPr>
          <w:p>
            <w:pPr>
              <w:widowControl/>
              <w:shd w:val="clear"/>
              <w:adjustRightInd w:val="0"/>
              <w:snapToGrid w:val="0"/>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9.3</w:t>
            </w:r>
          </w:p>
        </w:tc>
        <w:tc>
          <w:tcPr>
            <w:tcW w:w="8902" w:type="dxa"/>
            <w:gridSpan w:val="3"/>
            <w:tcBorders>
              <w:top w:val="single" w:color="auto" w:sz="6" w:space="0"/>
              <w:left w:val="single" w:color="auto" w:sz="6" w:space="0"/>
              <w:bottom w:val="single" w:color="auto" w:sz="6" w:space="0"/>
              <w:right w:val="single" w:color="auto" w:sz="4" w:space="0"/>
            </w:tcBorders>
            <w:noWrap w:val="0"/>
            <w:vAlign w:val="center"/>
          </w:tcPr>
          <w:p>
            <w:pPr>
              <w:widowControl/>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中标人需向广州公共资源交易中心缴纳公共资源交易服务费，由广州公共资源交易中心向中标人开具发票，其费用包含在投标人的投标报价中，投标人需在投标报价中综合考虑。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73" w:hRule="atLeast"/>
          <w:jc w:val="center"/>
        </w:trPr>
        <w:tc>
          <w:tcPr>
            <w:tcW w:w="1119" w:type="dxa"/>
            <w:tcBorders>
              <w:top w:val="single" w:color="auto" w:sz="6" w:space="0"/>
              <w:left w:val="single" w:color="auto" w:sz="4" w:space="0"/>
              <w:bottom w:val="single" w:color="auto" w:sz="6" w:space="0"/>
              <w:right w:val="single" w:color="auto" w:sz="6" w:space="0"/>
            </w:tcBorders>
            <w:noWrap w:val="0"/>
            <w:vAlign w:val="center"/>
          </w:tcPr>
          <w:p>
            <w:pPr>
              <w:widowControl/>
              <w:shd w:val="clear"/>
              <w:adjustRightInd w:val="0"/>
              <w:snapToGrid w:val="0"/>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w:t>
            </w:r>
          </w:p>
        </w:tc>
        <w:tc>
          <w:tcPr>
            <w:tcW w:w="969" w:type="dxa"/>
            <w:tcBorders>
              <w:top w:val="single" w:color="auto" w:sz="6" w:space="0"/>
              <w:left w:val="single" w:color="auto" w:sz="6" w:space="0"/>
              <w:bottom w:val="single" w:color="auto" w:sz="6" w:space="0"/>
              <w:right w:val="single" w:color="auto" w:sz="4" w:space="0"/>
            </w:tcBorders>
            <w:noWrap w:val="0"/>
            <w:vAlign w:val="center"/>
          </w:tcPr>
          <w:p>
            <w:pPr>
              <w:widowControl/>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电子招标投标</w:t>
            </w:r>
          </w:p>
        </w:tc>
        <w:tc>
          <w:tcPr>
            <w:tcW w:w="7933" w:type="dxa"/>
            <w:gridSpan w:val="2"/>
            <w:tcBorders>
              <w:top w:val="single" w:color="auto" w:sz="6" w:space="0"/>
              <w:left w:val="single" w:color="auto" w:sz="6" w:space="0"/>
              <w:bottom w:val="single" w:color="auto" w:sz="6" w:space="0"/>
              <w:right w:val="single" w:color="auto" w:sz="4" w:space="0"/>
            </w:tcBorders>
            <w:noWrap w:val="0"/>
            <w:vAlign w:val="center"/>
          </w:tcPr>
          <w:p>
            <w:pPr>
              <w:pStyle w:val="2"/>
              <w:shd w:val="clear"/>
              <w:adjustRightInd w:val="0"/>
              <w:snapToGrid w:val="0"/>
              <w:spacing w:line="360" w:lineRule="auto"/>
              <w:rPr>
                <w:rFonts w:hint="eastAsia" w:hAnsi="宋体" w:cs="宋体"/>
                <w:color w:val="auto"/>
                <w:kern w:val="2"/>
                <w:sz w:val="24"/>
                <w:szCs w:val="24"/>
                <w:highlight w:val="none"/>
                <w:lang w:val="zh-CN"/>
              </w:rPr>
            </w:pPr>
            <w:r>
              <w:rPr>
                <w:rFonts w:hint="eastAsia" w:hAnsi="宋体" w:cs="宋体"/>
                <w:color w:val="auto"/>
                <w:kern w:val="2"/>
                <w:sz w:val="24"/>
                <w:szCs w:val="24"/>
                <w:highlight w:val="none"/>
                <w:lang w:val="zh-CN"/>
              </w:rPr>
              <w:t>□否</w:t>
            </w:r>
          </w:p>
          <w:p>
            <w:pPr>
              <w:pStyle w:val="2"/>
              <w:shd w:val="clear"/>
              <w:adjustRightInd w:val="0"/>
              <w:snapToGrid w:val="0"/>
              <w:spacing w:line="360" w:lineRule="auto"/>
              <w:rPr>
                <w:rFonts w:hint="eastAsia" w:hAnsi="宋体" w:cs="宋体"/>
                <w:color w:val="auto"/>
                <w:kern w:val="2"/>
                <w:sz w:val="24"/>
                <w:szCs w:val="24"/>
                <w:highlight w:val="none"/>
                <w:lang w:val="zh-CN"/>
              </w:rPr>
            </w:pPr>
            <w:r>
              <w:rPr>
                <w:rFonts w:hint="eastAsia" w:hAnsi="宋体" w:cs="宋体"/>
                <w:color w:val="auto"/>
                <w:kern w:val="2"/>
                <w:sz w:val="24"/>
                <w:szCs w:val="24"/>
                <w:highlight w:val="none"/>
                <w:lang w:val="zh-CN"/>
              </w:rPr>
              <w:t>■是，具体要求：</w:t>
            </w:r>
          </w:p>
          <w:p>
            <w:pPr>
              <w:pStyle w:val="2"/>
              <w:shd w:val="clear"/>
              <w:adjustRightInd w:val="0"/>
              <w:snapToGrid w:val="0"/>
              <w:spacing w:line="360" w:lineRule="auto"/>
              <w:rPr>
                <w:rFonts w:hint="eastAsia" w:hAnsi="宋体" w:cs="宋体"/>
                <w:color w:val="auto"/>
                <w:kern w:val="2"/>
                <w:sz w:val="24"/>
                <w:szCs w:val="24"/>
                <w:highlight w:val="none"/>
                <w:lang w:val="zh-CN"/>
              </w:rPr>
            </w:pPr>
            <w:r>
              <w:rPr>
                <w:rFonts w:hint="eastAsia" w:hAnsi="宋体" w:cs="宋体"/>
                <w:color w:val="auto"/>
                <w:kern w:val="2"/>
                <w:sz w:val="24"/>
                <w:szCs w:val="24"/>
                <w:highlight w:val="none"/>
                <w:lang w:val="zh-CN"/>
              </w:rPr>
              <w:t>1、投标文件形式：投标文件全部采用电子文档，投标文件应按广州公共资源交易中心数字交易平台相关操作指南编制。如不按上述要求编制引起系统无法检索、读取相关信息的，其后果由投标人承担。投标文件所附证书证件均为原件扫描件，并采用单位数字证书，按招标文件要求在相应位置加盖电子印章。投标文件中需个人签字或盖章的，</w:t>
            </w:r>
            <w:r>
              <w:rPr>
                <w:rFonts w:hint="eastAsia" w:hAnsi="宋体" w:cs="宋体"/>
                <w:color w:val="auto"/>
                <w:sz w:val="24"/>
                <w:szCs w:val="24"/>
                <w:highlight w:val="none"/>
              </w:rPr>
              <w:t>应加盖个人电子印章或在线下签名后扫描上传</w:t>
            </w:r>
            <w:r>
              <w:rPr>
                <w:rFonts w:hint="eastAsia" w:hAnsi="宋体" w:cs="宋体"/>
                <w:color w:val="auto"/>
                <w:kern w:val="2"/>
                <w:sz w:val="24"/>
                <w:szCs w:val="24"/>
                <w:highlight w:val="none"/>
                <w:lang w:val="zh-CN"/>
              </w:rPr>
              <w:t>。具体详见广州公共资源交易中心全流程电子化项目操作指南。</w:t>
            </w:r>
          </w:p>
          <w:p>
            <w:pPr>
              <w:pStyle w:val="2"/>
              <w:shd w:val="clear"/>
              <w:adjustRightInd w:val="0"/>
              <w:snapToGrid w:val="0"/>
              <w:spacing w:line="360" w:lineRule="auto"/>
              <w:rPr>
                <w:rFonts w:hint="eastAsia" w:hAnsi="宋体" w:cs="宋体"/>
                <w:color w:val="auto"/>
                <w:kern w:val="2"/>
                <w:sz w:val="24"/>
                <w:szCs w:val="24"/>
                <w:highlight w:val="none"/>
                <w:lang w:val="zh-CN"/>
              </w:rPr>
            </w:pPr>
            <w:r>
              <w:rPr>
                <w:rFonts w:hint="eastAsia" w:hAnsi="宋体" w:cs="宋体"/>
                <w:color w:val="auto"/>
                <w:kern w:val="2"/>
                <w:sz w:val="24"/>
                <w:szCs w:val="24"/>
                <w:highlight w:val="none"/>
                <w:lang w:val="zh-CN"/>
              </w:rPr>
              <w:t>2、投标文件的修改与撤回：投标人修改或撤回已递交的投标文件，需在广州公共资源交易中心数字交易平台发出撤回通知，并按要求加盖电子印章。电子招标投标交易平台收到通知后，即时向投标人发出确认回执通知。投标人撤回投标文件的，招标人自收到投标人书面撤回通知之日起5日内退还已收取的投标保证金。</w:t>
            </w:r>
          </w:p>
          <w:p>
            <w:pPr>
              <w:pStyle w:val="2"/>
              <w:shd w:val="clear"/>
              <w:adjustRightInd w:val="0"/>
              <w:snapToGrid w:val="0"/>
              <w:spacing w:line="360" w:lineRule="auto"/>
              <w:rPr>
                <w:rFonts w:hint="eastAsia" w:hAnsi="宋体" w:cs="宋体"/>
                <w:color w:val="auto"/>
                <w:sz w:val="24"/>
                <w:szCs w:val="24"/>
                <w:highlight w:val="none"/>
              </w:rPr>
            </w:pPr>
            <w:r>
              <w:rPr>
                <w:rFonts w:hint="eastAsia" w:hAnsi="宋体" w:cs="宋体"/>
                <w:color w:val="auto"/>
                <w:kern w:val="2"/>
                <w:sz w:val="24"/>
                <w:szCs w:val="24"/>
                <w:highlight w:val="none"/>
                <w:lang w:val="zh-CN"/>
              </w:rPr>
              <w:t>3、</w:t>
            </w:r>
            <w:r>
              <w:rPr>
                <w:rFonts w:hint="eastAsia" w:hAnsi="宋体" w:cs="宋体"/>
                <w:b/>
                <w:bCs/>
                <w:color w:val="auto"/>
                <w:sz w:val="24"/>
                <w:szCs w:val="24"/>
                <w:highlight w:val="none"/>
                <w:u w:val="single"/>
              </w:rPr>
              <w:t>（重要风险提示）提交投标文件</w:t>
            </w:r>
            <w:r>
              <w:rPr>
                <w:rFonts w:hint="eastAsia" w:hAnsi="宋体" w:cs="宋体"/>
                <w:b/>
                <w:bCs/>
                <w:color w:val="auto"/>
                <w:sz w:val="24"/>
                <w:szCs w:val="24"/>
                <w:highlight w:val="none"/>
                <w:u w:val="single"/>
                <w:lang w:val="zh-CN"/>
              </w:rPr>
              <w:t>备用光盘或u盘</w:t>
            </w:r>
            <w:r>
              <w:rPr>
                <w:rFonts w:hint="eastAsia" w:hAnsi="宋体" w:cs="宋体"/>
                <w:b/>
                <w:bCs/>
                <w:color w:val="auto"/>
                <w:sz w:val="24"/>
                <w:szCs w:val="24"/>
                <w:highlight w:val="none"/>
                <w:u w:val="single"/>
              </w:rPr>
              <w:t>(备用)</w:t>
            </w:r>
            <w:r>
              <w:rPr>
                <w:rFonts w:hint="eastAsia" w:hAnsi="宋体" w:cs="宋体"/>
                <w:b/>
                <w:bCs/>
                <w:color w:val="auto"/>
                <w:sz w:val="24"/>
                <w:szCs w:val="24"/>
                <w:highlight w:val="none"/>
                <w:u w:val="single"/>
                <w:lang w:val="zh-CN"/>
              </w:rPr>
              <w:t>：</w:t>
            </w:r>
          </w:p>
          <w:p>
            <w:pPr>
              <w:pStyle w:val="2"/>
              <w:shd w:val="clear"/>
              <w:adjustRightInd w:val="0"/>
              <w:snapToGrid w:val="0"/>
              <w:spacing w:line="360" w:lineRule="auto"/>
              <w:rPr>
                <w:rFonts w:hint="eastAsia" w:hAnsi="宋体" w:cs="宋体"/>
                <w:color w:val="auto"/>
                <w:kern w:val="2"/>
                <w:sz w:val="24"/>
                <w:szCs w:val="24"/>
                <w:highlight w:val="none"/>
                <w:lang w:val="zh-CN"/>
              </w:rPr>
            </w:pPr>
            <w:r>
              <w:rPr>
                <w:rFonts w:hint="eastAsia" w:hAnsi="宋体" w:cs="宋体"/>
                <w:color w:val="auto"/>
                <w:kern w:val="2"/>
                <w:sz w:val="24"/>
                <w:szCs w:val="24"/>
                <w:highlight w:val="none"/>
                <w:lang w:val="zh-CN"/>
              </w:rPr>
              <w:t>投标人可使用投标文件制作工具生成非加密的电子投标文件载入光盘或u盘（1份，载体形式由投标人自选），在规定的时间、地点提交备用。刻录好的投标文件光盘或u盘密封在密封袋中，并在封口处加盖投标人单位公章。密封袋上应写明项目名称和招标人名称。递交的投标文件光盘或u盘（备用）不得加密。备用光盘或u盘无法读取或导入的，则视为未提交投标文件光盘或u盘（备用）。如果投标人没有按规定通过新交易平台网上递交电子投标文件的，不再读取提交的光盘。投标人也可不提交投标文件光盘或u盘（备用）。</w:t>
            </w:r>
          </w:p>
          <w:p>
            <w:pPr>
              <w:shd w:val="clea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4、投标文件备用光盘或u盘的递交：</w:t>
            </w:r>
          </w:p>
          <w:p>
            <w:pPr>
              <w:pStyle w:val="2"/>
              <w:shd w:val="clear"/>
              <w:adjustRightInd w:val="0"/>
              <w:snapToGrid w:val="0"/>
              <w:spacing w:line="360" w:lineRule="auto"/>
              <w:rPr>
                <w:rFonts w:hint="eastAsia" w:hAnsi="宋体" w:cs="宋体"/>
                <w:color w:val="auto"/>
                <w:kern w:val="2"/>
                <w:sz w:val="24"/>
                <w:szCs w:val="24"/>
                <w:highlight w:val="none"/>
                <w:lang w:val="zh-CN"/>
              </w:rPr>
            </w:pPr>
            <w:r>
              <w:rPr>
                <w:rFonts w:hint="eastAsia" w:hAnsi="宋体" w:cs="宋体"/>
                <w:color w:val="auto"/>
                <w:kern w:val="2"/>
                <w:sz w:val="24"/>
                <w:szCs w:val="24"/>
                <w:highlight w:val="none"/>
                <w:lang w:val="zh-CN"/>
              </w:rPr>
              <w:t>①投标文件递交的截止时间（投标截止时间，下同）为  年 月 日 时  分，投标人应在截止时间前通过电子招标投标交易平台递交电子投标文件。</w:t>
            </w:r>
          </w:p>
          <w:p>
            <w:pPr>
              <w:pStyle w:val="2"/>
              <w:shd w:val="clear"/>
              <w:adjustRightInd w:val="0"/>
              <w:snapToGrid w:val="0"/>
              <w:spacing w:line="360" w:lineRule="auto"/>
              <w:rPr>
                <w:rFonts w:hint="eastAsia" w:hAnsi="宋体" w:cs="宋体"/>
                <w:color w:val="auto"/>
                <w:kern w:val="2"/>
                <w:sz w:val="24"/>
                <w:szCs w:val="24"/>
                <w:highlight w:val="none"/>
                <w:lang w:val="zh-CN"/>
              </w:rPr>
            </w:pPr>
            <w:r>
              <w:rPr>
                <w:rFonts w:hint="eastAsia" w:hAnsi="宋体" w:cs="宋体"/>
                <w:color w:val="auto"/>
                <w:kern w:val="2"/>
                <w:sz w:val="24"/>
                <w:szCs w:val="24"/>
                <w:highlight w:val="none"/>
                <w:lang w:val="zh-CN"/>
              </w:rPr>
              <w:t>②提交投标文件备用光盘或u盘。</w:t>
            </w:r>
          </w:p>
          <w:p>
            <w:pPr>
              <w:pStyle w:val="2"/>
              <w:shd w:val="clear"/>
              <w:adjustRightInd w:val="0"/>
              <w:snapToGrid w:val="0"/>
              <w:spacing w:line="360" w:lineRule="auto"/>
              <w:rPr>
                <w:rFonts w:hint="eastAsia" w:hAnsi="宋体" w:cs="宋体"/>
                <w:color w:val="auto"/>
                <w:kern w:val="2"/>
                <w:sz w:val="24"/>
                <w:szCs w:val="24"/>
                <w:highlight w:val="none"/>
                <w:lang w:val="zh-CN"/>
              </w:rPr>
            </w:pPr>
            <w:r>
              <w:rPr>
                <w:rFonts w:hint="eastAsia" w:hAnsi="宋体" w:cs="宋体"/>
                <w:color w:val="auto"/>
                <w:kern w:val="2"/>
                <w:sz w:val="24"/>
                <w:szCs w:val="24"/>
                <w:highlight w:val="none"/>
                <w:lang w:val="zh-CN"/>
              </w:rPr>
              <w:t xml:space="preserve">投标文件光盘或u盘(备用)递交时间： 年 月 日 时 分至 年 月 日时 分，地点：广州公共资源交易中心开标室（具体以交易中心公告的开标室为准）。 </w:t>
            </w:r>
          </w:p>
          <w:p>
            <w:pPr>
              <w:pStyle w:val="2"/>
              <w:shd w:val="clear"/>
              <w:adjustRightInd w:val="0"/>
              <w:snapToGrid w:val="0"/>
              <w:spacing w:line="360" w:lineRule="auto"/>
              <w:rPr>
                <w:rFonts w:hint="eastAsia" w:hAnsi="宋体" w:cs="宋体"/>
                <w:color w:val="auto"/>
                <w:kern w:val="2"/>
                <w:sz w:val="24"/>
                <w:szCs w:val="24"/>
                <w:highlight w:val="none"/>
                <w:lang w:val="zh-CN"/>
              </w:rPr>
            </w:pPr>
            <w:r>
              <w:rPr>
                <w:rFonts w:hint="eastAsia" w:hAnsi="宋体" w:cs="宋体"/>
                <w:color w:val="auto"/>
                <w:kern w:val="2"/>
                <w:sz w:val="24"/>
                <w:szCs w:val="24"/>
                <w:highlight w:val="none"/>
                <w:lang w:val="zh-CN"/>
              </w:rPr>
              <w:t>③投标人完成电子投标上传后，电子招标投标交易平台即时向投标人发出递交回执通知。递交时间以递交回执通知载明的传输时间为准。</w:t>
            </w:r>
          </w:p>
          <w:p>
            <w:pPr>
              <w:pStyle w:val="2"/>
              <w:shd w:val="clear"/>
              <w:adjustRightInd w:val="0"/>
              <w:snapToGrid w:val="0"/>
              <w:spacing w:line="360" w:lineRule="auto"/>
              <w:rPr>
                <w:rFonts w:hint="eastAsia" w:hAnsi="宋体" w:cs="宋体"/>
                <w:color w:val="auto"/>
                <w:kern w:val="2"/>
                <w:sz w:val="24"/>
                <w:szCs w:val="24"/>
                <w:highlight w:val="none"/>
                <w:lang w:val="zh-CN"/>
              </w:rPr>
            </w:pPr>
            <w:r>
              <w:rPr>
                <w:rFonts w:hint="eastAsia" w:hAnsi="宋体" w:cs="宋体"/>
                <w:color w:val="auto"/>
                <w:kern w:val="2"/>
                <w:sz w:val="24"/>
                <w:szCs w:val="24"/>
                <w:highlight w:val="none"/>
                <w:lang w:val="zh-CN"/>
              </w:rPr>
              <w:t>④逾期送达的投标文件，电子招标投标交易平台将予以拒收。</w:t>
            </w:r>
          </w:p>
          <w:p>
            <w:pPr>
              <w:shd w:val="clear"/>
              <w:rPr>
                <w:color w:val="auto"/>
                <w:highlight w:val="none"/>
              </w:rPr>
            </w:pPr>
          </w:p>
          <w:p>
            <w:pPr>
              <w:pStyle w:val="2"/>
              <w:shd w:val="clear"/>
              <w:adjustRightInd w:val="0"/>
              <w:snapToGrid w:val="0"/>
              <w:spacing w:line="360" w:lineRule="auto"/>
              <w:rPr>
                <w:rFonts w:hint="eastAsia" w:hAnsi="宋体" w:cs="宋体"/>
                <w:color w:val="auto"/>
                <w:kern w:val="2"/>
                <w:sz w:val="24"/>
                <w:szCs w:val="24"/>
                <w:highlight w:val="none"/>
                <w:lang w:val="zh-CN"/>
              </w:rPr>
            </w:pPr>
            <w:r>
              <w:rPr>
                <w:rFonts w:hint="eastAsia" w:hAnsi="宋体" w:cs="宋体"/>
                <w:color w:val="auto"/>
                <w:kern w:val="2"/>
                <w:sz w:val="24"/>
                <w:szCs w:val="24"/>
                <w:highlight w:val="none"/>
                <w:lang w:val="zh-CN"/>
              </w:rPr>
              <w:t>5、投标文件加密要求：</w:t>
            </w:r>
          </w:p>
          <w:p>
            <w:pPr>
              <w:pStyle w:val="2"/>
              <w:shd w:val="clear"/>
              <w:adjustRightInd w:val="0"/>
              <w:snapToGrid w:val="0"/>
              <w:spacing w:line="360" w:lineRule="auto"/>
              <w:rPr>
                <w:rFonts w:hint="eastAsia" w:hAnsi="宋体" w:cs="宋体"/>
                <w:color w:val="auto"/>
                <w:kern w:val="2"/>
                <w:sz w:val="24"/>
                <w:szCs w:val="24"/>
                <w:highlight w:val="none"/>
                <w:lang w:val="zh-CN"/>
              </w:rPr>
            </w:pPr>
            <w:r>
              <w:rPr>
                <w:rFonts w:hint="eastAsia" w:hAnsi="宋体" w:cs="宋体"/>
                <w:color w:val="auto"/>
                <w:kern w:val="2"/>
                <w:sz w:val="24"/>
                <w:szCs w:val="24"/>
                <w:highlight w:val="none"/>
                <w:lang w:val="zh-CN"/>
              </w:rPr>
              <w:t>①网上递交的电子投标文件须进行加密。具体操作详见交易平台相关操作指南。</w:t>
            </w:r>
          </w:p>
          <w:p>
            <w:pPr>
              <w:pStyle w:val="2"/>
              <w:shd w:val="clear"/>
              <w:adjustRightInd w:val="0"/>
              <w:snapToGrid w:val="0"/>
              <w:spacing w:line="360" w:lineRule="auto"/>
              <w:rPr>
                <w:rFonts w:hint="eastAsia" w:hAnsi="宋体" w:cs="宋体"/>
                <w:color w:val="auto"/>
                <w:kern w:val="2"/>
                <w:sz w:val="24"/>
                <w:szCs w:val="24"/>
                <w:highlight w:val="none"/>
                <w:lang w:val="zh-CN"/>
              </w:rPr>
            </w:pPr>
            <w:r>
              <w:rPr>
                <w:rFonts w:hint="eastAsia" w:hAnsi="宋体" w:cs="宋体"/>
                <w:color w:val="auto"/>
                <w:kern w:val="2"/>
                <w:sz w:val="24"/>
                <w:szCs w:val="24"/>
                <w:highlight w:val="none"/>
                <w:lang w:val="zh-CN"/>
              </w:rPr>
              <w:t>②未按要求加密的投标文件，招标人将予以拒收。</w:t>
            </w:r>
          </w:p>
          <w:p>
            <w:pPr>
              <w:pStyle w:val="2"/>
              <w:shd w:val="clear"/>
              <w:adjustRightInd w:val="0"/>
              <w:snapToGrid w:val="0"/>
              <w:spacing w:line="360" w:lineRule="auto"/>
              <w:rPr>
                <w:rFonts w:hint="eastAsia" w:hAnsi="宋体" w:cs="宋体"/>
                <w:color w:val="auto"/>
                <w:kern w:val="2"/>
                <w:sz w:val="24"/>
                <w:szCs w:val="24"/>
                <w:highlight w:val="none"/>
                <w:lang w:val="zh-CN"/>
              </w:rPr>
            </w:pPr>
            <w:r>
              <w:rPr>
                <w:rFonts w:hint="eastAsia" w:hAnsi="宋体" w:cs="宋体"/>
                <w:color w:val="auto"/>
                <w:kern w:val="2"/>
                <w:sz w:val="24"/>
                <w:szCs w:val="24"/>
                <w:highlight w:val="none"/>
                <w:lang w:val="zh-CN"/>
              </w:rPr>
              <w:t>6、投标文件解密失败的补救方案：</w:t>
            </w:r>
          </w:p>
          <w:p>
            <w:pPr>
              <w:pStyle w:val="2"/>
              <w:shd w:val="clear"/>
              <w:adjustRightInd w:val="0"/>
              <w:snapToGrid w:val="0"/>
              <w:spacing w:line="360" w:lineRule="auto"/>
              <w:rPr>
                <w:rFonts w:hint="eastAsia" w:hAnsi="宋体" w:cs="宋体"/>
                <w:color w:val="auto"/>
                <w:kern w:val="2"/>
                <w:sz w:val="24"/>
                <w:szCs w:val="24"/>
                <w:highlight w:val="none"/>
                <w:lang w:val="zh-CN"/>
              </w:rPr>
            </w:pPr>
            <w:r>
              <w:rPr>
                <w:rFonts w:hint="eastAsia" w:hAnsi="宋体" w:cs="宋体"/>
                <w:color w:val="auto"/>
                <w:kern w:val="2"/>
                <w:sz w:val="24"/>
                <w:szCs w:val="24"/>
                <w:highlight w:val="none"/>
                <w:lang w:val="zh-CN"/>
              </w:rPr>
              <w:t>在规定时间内，因投标人之外原因(指网络瘫痪、服务器损坏、交易系统故障短期无法恢复)导致的电子投标文件解密失败，在开标现场读取光盘或u盘内容，继续开标程序。若出现招标人无法正常解密或导入开标系统的情况，在开标现场读取已成功解密、以及因投标人之外的原因导致电子投标文件解密失败的投标人递交的电子光盘或u盘内容。出现上述情况的，评标委员会对其投标文件的评审以光盘或u盘内容为准。因投标人之外原因解密失败且未递交电子光盘或u盘的，视为撤回投标文件。</w:t>
            </w:r>
          </w:p>
          <w:p>
            <w:pPr>
              <w:pStyle w:val="2"/>
              <w:shd w:val="clear"/>
              <w:adjustRightInd w:val="0"/>
              <w:snapToGrid w:val="0"/>
              <w:spacing w:line="360" w:lineRule="auto"/>
              <w:rPr>
                <w:rFonts w:hint="eastAsia" w:hAnsi="宋体" w:cs="宋体"/>
                <w:color w:val="auto"/>
                <w:sz w:val="24"/>
                <w:szCs w:val="24"/>
                <w:highlight w:val="none"/>
              </w:rPr>
            </w:pPr>
            <w:r>
              <w:rPr>
                <w:rFonts w:hint="eastAsia" w:hAnsi="宋体" w:cs="宋体"/>
                <w:color w:val="auto"/>
                <w:kern w:val="2"/>
                <w:sz w:val="24"/>
                <w:szCs w:val="24"/>
                <w:highlight w:val="none"/>
                <w:lang w:val="zh-CN"/>
              </w:rPr>
              <w:t>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73" w:hRule="atLeast"/>
          <w:jc w:val="center"/>
        </w:trPr>
        <w:tc>
          <w:tcPr>
            <w:tcW w:w="1119" w:type="dxa"/>
            <w:tcBorders>
              <w:top w:val="single" w:color="auto" w:sz="6" w:space="0"/>
              <w:left w:val="single" w:color="auto" w:sz="4" w:space="0"/>
              <w:bottom w:val="single" w:color="auto" w:sz="6" w:space="0"/>
              <w:right w:val="single" w:color="auto" w:sz="6" w:space="0"/>
            </w:tcBorders>
            <w:noWrap w:val="0"/>
            <w:vAlign w:val="center"/>
          </w:tcPr>
          <w:p>
            <w:pPr>
              <w:shd w:val="clear"/>
              <w:adjustRightInd w:val="0"/>
              <w:snapToGrid w:val="0"/>
              <w:spacing w:line="360" w:lineRule="auto"/>
              <w:jc w:val="center"/>
              <w:rPr>
                <w:rFonts w:hint="eastAsia" w:ascii="宋体" w:hAnsi="宋体" w:cs="宋体"/>
                <w:color w:val="auto"/>
                <w:kern w:val="0"/>
                <w:sz w:val="24"/>
                <w:szCs w:val="24"/>
                <w:highlight w:val="none"/>
              </w:rPr>
            </w:pPr>
            <w:r>
              <w:rPr>
                <w:rFonts w:hint="eastAsia" w:ascii="宋体" w:hAnsi="宋体" w:cs="宋体"/>
                <w:color w:val="auto"/>
                <w:sz w:val="24"/>
                <w:szCs w:val="24"/>
                <w:highlight w:val="none"/>
              </w:rPr>
              <w:t>11</w:t>
            </w:r>
          </w:p>
        </w:tc>
        <w:tc>
          <w:tcPr>
            <w:tcW w:w="2227" w:type="dxa"/>
            <w:gridSpan w:val="2"/>
            <w:tcBorders>
              <w:top w:val="single" w:color="auto" w:sz="6" w:space="0"/>
              <w:left w:val="single" w:color="auto" w:sz="6" w:space="0"/>
              <w:bottom w:val="single" w:color="auto" w:sz="6" w:space="0"/>
              <w:right w:val="single" w:color="auto" w:sz="4" w:space="0"/>
            </w:tcBorders>
            <w:noWrap w:val="0"/>
            <w:vAlign w:val="center"/>
          </w:tcPr>
          <w:p>
            <w:pPr>
              <w:shd w:val="clea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危险性较大的分部分项工程清单及超过一定规模的危险性较大的分部分项清单</w:t>
            </w:r>
          </w:p>
        </w:tc>
        <w:tc>
          <w:tcPr>
            <w:tcW w:w="6675" w:type="dxa"/>
            <w:tcBorders>
              <w:top w:val="single" w:color="auto" w:sz="6" w:space="0"/>
              <w:left w:val="single" w:color="auto" w:sz="6" w:space="0"/>
              <w:bottom w:val="single" w:color="auto" w:sz="6" w:space="0"/>
              <w:right w:val="single" w:color="auto" w:sz="4" w:space="0"/>
            </w:tcBorders>
            <w:noWrap w:val="0"/>
            <w:vAlign w:val="center"/>
          </w:tcPr>
          <w:p>
            <w:pPr>
              <w:shd w:val="clear"/>
              <w:adjustRightInd w:val="0"/>
              <w:snapToGrid w:val="0"/>
              <w:spacing w:line="360" w:lineRule="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u w:val="single"/>
              </w:rPr>
              <w:t>本项目目前处于初步设计阶段，现阶段无法明确危险性较大的分部分项工程清单及超过一定规模的危险性较大的分部分项清单，投标单位中标后，在施工图设计批复后，须根据项目实际情况，对危险性较大的分部分项工程清单及超过一定规模的危险性较大的分部分项清单部分工程内容明确相应的安全管理措施。投标人应充分考虑该部分工作内容及相关措施费。</w:t>
            </w:r>
          </w:p>
        </w:tc>
      </w:tr>
    </w:tbl>
    <w:p>
      <w:pPr>
        <w:pStyle w:val="4"/>
        <w:shd w:val="clear"/>
        <w:adjustRightInd w:val="0"/>
        <w:snapToGrid w:val="0"/>
        <w:spacing w:before="0"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bookmarkStart w:id="55" w:name="_Toc515980130"/>
      <w:bookmarkStart w:id="56" w:name="_Toc65361641"/>
      <w:bookmarkStart w:id="57" w:name="_Toc60859831"/>
      <w:bookmarkStart w:id="58" w:name="_Toc152045529"/>
      <w:bookmarkStart w:id="59" w:name="_Toc436834724"/>
      <w:bookmarkStart w:id="60" w:name="_Toc399165373"/>
      <w:bookmarkStart w:id="61" w:name="_Toc152042305"/>
      <w:bookmarkStart w:id="62" w:name="_Toc516265917"/>
      <w:bookmarkStart w:id="63" w:name="_Toc247513952"/>
      <w:bookmarkStart w:id="64" w:name="_Toc436834131"/>
      <w:bookmarkStart w:id="65" w:name="_Toc300834949"/>
      <w:bookmarkStart w:id="66" w:name="_Toc247527553"/>
      <w:bookmarkStart w:id="67" w:name="_Toc144974497"/>
      <w:bookmarkStart w:id="68" w:name="_Toc21535095"/>
      <w:r>
        <w:rPr>
          <w:rFonts w:hint="eastAsia" w:ascii="宋体" w:hAnsi="宋体" w:eastAsia="宋体" w:cs="宋体"/>
          <w:color w:val="auto"/>
          <w:sz w:val="24"/>
          <w:szCs w:val="24"/>
          <w:highlight w:val="none"/>
        </w:rPr>
        <w:t>1. 总则</w:t>
      </w:r>
      <w:bookmarkEnd w:id="55"/>
      <w:bookmarkEnd w:id="56"/>
      <w:bookmarkEnd w:id="57"/>
      <w:bookmarkEnd w:id="58"/>
      <w:bookmarkEnd w:id="59"/>
      <w:bookmarkEnd w:id="60"/>
      <w:bookmarkEnd w:id="61"/>
      <w:bookmarkEnd w:id="62"/>
      <w:bookmarkEnd w:id="63"/>
      <w:bookmarkEnd w:id="64"/>
      <w:bookmarkEnd w:id="65"/>
      <w:bookmarkEnd w:id="66"/>
      <w:bookmarkEnd w:id="67"/>
      <w:bookmarkEnd w:id="68"/>
    </w:p>
    <w:p>
      <w:pPr>
        <w:pStyle w:val="5"/>
        <w:shd w:val="clear"/>
        <w:adjustRightInd w:val="0"/>
        <w:snapToGrid w:val="0"/>
        <w:spacing w:before="0" w:after="0" w:line="360" w:lineRule="auto"/>
        <w:ind w:firstLine="118"/>
        <w:jc w:val="left"/>
        <w:rPr>
          <w:rFonts w:hint="eastAsia" w:ascii="宋体" w:eastAsia="宋体" w:cs="宋体"/>
          <w:color w:val="auto"/>
          <w:sz w:val="24"/>
          <w:szCs w:val="24"/>
          <w:highlight w:val="none"/>
        </w:rPr>
      </w:pPr>
      <w:bookmarkStart w:id="69" w:name="_Toc436834725"/>
      <w:bookmarkStart w:id="70" w:name="_Toc399165374"/>
      <w:bookmarkStart w:id="71" w:name="_Toc60859832"/>
      <w:bookmarkStart w:id="72" w:name="_Toc21535096"/>
      <w:bookmarkStart w:id="73" w:name="_Toc247513953"/>
      <w:bookmarkStart w:id="74" w:name="_Toc152042306"/>
      <w:bookmarkStart w:id="75" w:name="_Toc300834950"/>
      <w:bookmarkStart w:id="76" w:name="_Toc247527554"/>
      <w:bookmarkStart w:id="77" w:name="_Toc144974498"/>
      <w:bookmarkStart w:id="78" w:name="_Toc436834132"/>
      <w:bookmarkStart w:id="79" w:name="_Toc152045530"/>
      <w:bookmarkStart w:id="80" w:name="_Toc515980131"/>
      <w:bookmarkStart w:id="81" w:name="_Toc516265918"/>
      <w:bookmarkStart w:id="82" w:name="_Toc65361642"/>
      <w:r>
        <w:rPr>
          <w:rFonts w:hint="eastAsia" w:ascii="宋体" w:eastAsia="宋体" w:cs="宋体"/>
          <w:color w:val="auto"/>
          <w:sz w:val="24"/>
          <w:szCs w:val="24"/>
          <w:highlight w:val="none"/>
        </w:rPr>
        <w:t>1.1 项目概况</w:t>
      </w:r>
      <w:bookmarkEnd w:id="69"/>
      <w:bookmarkEnd w:id="70"/>
      <w:bookmarkEnd w:id="71"/>
      <w:bookmarkEnd w:id="72"/>
      <w:bookmarkEnd w:id="73"/>
      <w:bookmarkEnd w:id="74"/>
      <w:bookmarkEnd w:id="75"/>
      <w:bookmarkEnd w:id="76"/>
      <w:bookmarkEnd w:id="77"/>
      <w:bookmarkEnd w:id="78"/>
      <w:bookmarkEnd w:id="79"/>
      <w:bookmarkEnd w:id="80"/>
      <w:bookmarkEnd w:id="81"/>
      <w:bookmarkEnd w:id="82"/>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1.1.1根据《中华人民共和国招标投标法》等有关法律、法规和规章的规定，本招标项目已具备招标条件，现对该项目设计施工进行总承包招标。</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1.1.2 招标人：见投标人须知前附表。</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1.1.3 招标代理机构：见投标人须知前附表。</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1.1.4 招标项目名称：见投标人须知前附表。</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1.1.5 项目建设地点：见投标人须知前附表。</w:t>
      </w:r>
    </w:p>
    <w:p>
      <w:pPr>
        <w:pStyle w:val="5"/>
        <w:shd w:val="clear"/>
        <w:adjustRightInd w:val="0"/>
        <w:snapToGrid w:val="0"/>
        <w:spacing w:before="0" w:after="0" w:line="360" w:lineRule="auto"/>
        <w:ind w:firstLine="118"/>
        <w:jc w:val="left"/>
        <w:rPr>
          <w:rFonts w:hint="eastAsia" w:ascii="宋体" w:eastAsia="宋体" w:cs="宋体"/>
          <w:color w:val="auto"/>
          <w:sz w:val="24"/>
          <w:szCs w:val="24"/>
          <w:highlight w:val="none"/>
        </w:rPr>
      </w:pPr>
      <w:bookmarkStart w:id="83" w:name="_Toc65361643"/>
      <w:bookmarkStart w:id="84" w:name="_Toc399165375"/>
      <w:bookmarkStart w:id="85" w:name="_Toc60859833"/>
      <w:bookmarkStart w:id="86" w:name="_Toc515980132"/>
      <w:bookmarkStart w:id="87" w:name="_Toc247513954"/>
      <w:bookmarkStart w:id="88" w:name="_Toc247527555"/>
      <w:bookmarkStart w:id="89" w:name="_Toc436834726"/>
      <w:bookmarkStart w:id="90" w:name="_Toc300834951"/>
      <w:bookmarkStart w:id="91" w:name="_Toc436834133"/>
      <w:bookmarkStart w:id="92" w:name="_Toc144974499"/>
      <w:bookmarkStart w:id="93" w:name="_Toc516265919"/>
      <w:bookmarkStart w:id="94" w:name="_Toc152042307"/>
      <w:bookmarkStart w:id="95" w:name="_Toc21535097"/>
      <w:bookmarkStart w:id="96" w:name="_Toc152045531"/>
      <w:r>
        <w:rPr>
          <w:rFonts w:hint="eastAsia" w:ascii="宋体" w:eastAsia="宋体" w:cs="宋体"/>
          <w:color w:val="auto"/>
          <w:sz w:val="24"/>
          <w:szCs w:val="24"/>
          <w:highlight w:val="none"/>
        </w:rPr>
        <w:t>1.2 项目的资金来源和落实情况</w:t>
      </w:r>
      <w:bookmarkEnd w:id="83"/>
      <w:bookmarkEnd w:id="84"/>
      <w:bookmarkEnd w:id="85"/>
      <w:bookmarkEnd w:id="86"/>
      <w:bookmarkEnd w:id="87"/>
      <w:bookmarkEnd w:id="88"/>
      <w:bookmarkEnd w:id="89"/>
      <w:bookmarkEnd w:id="90"/>
      <w:bookmarkEnd w:id="91"/>
      <w:bookmarkEnd w:id="92"/>
      <w:bookmarkEnd w:id="93"/>
      <w:bookmarkEnd w:id="94"/>
      <w:bookmarkEnd w:id="95"/>
      <w:bookmarkEnd w:id="96"/>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1.2.1 资金来源及比例：见投标人须知前附表。</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1.2.2 资金落实情况：见投标人须知前附表。</w:t>
      </w:r>
    </w:p>
    <w:p>
      <w:pPr>
        <w:pStyle w:val="5"/>
        <w:shd w:val="clear"/>
        <w:adjustRightInd w:val="0"/>
        <w:snapToGrid w:val="0"/>
        <w:spacing w:before="0" w:after="0" w:line="360" w:lineRule="auto"/>
        <w:ind w:firstLine="118"/>
        <w:jc w:val="left"/>
        <w:rPr>
          <w:rFonts w:hint="eastAsia" w:ascii="宋体" w:eastAsia="宋体" w:cs="宋体"/>
          <w:color w:val="auto"/>
          <w:sz w:val="24"/>
          <w:szCs w:val="24"/>
          <w:highlight w:val="none"/>
        </w:rPr>
      </w:pPr>
      <w:bookmarkStart w:id="97" w:name="_Toc152045532"/>
      <w:bookmarkStart w:id="98" w:name="_Toc247513955"/>
      <w:bookmarkStart w:id="99" w:name="_Toc152042308"/>
      <w:bookmarkStart w:id="100" w:name="_Toc247527556"/>
      <w:bookmarkStart w:id="101" w:name="_Toc144974500"/>
      <w:bookmarkStart w:id="102" w:name="_Toc436834134"/>
      <w:bookmarkStart w:id="103" w:name="_Toc516265920"/>
      <w:bookmarkStart w:id="104" w:name="_Toc300834952"/>
      <w:bookmarkStart w:id="105" w:name="_Toc60859834"/>
      <w:bookmarkStart w:id="106" w:name="_Toc399165376"/>
      <w:bookmarkStart w:id="107" w:name="_Toc65361644"/>
      <w:bookmarkStart w:id="108" w:name="_Toc436834727"/>
      <w:bookmarkStart w:id="109" w:name="_Toc21535098"/>
      <w:bookmarkStart w:id="110" w:name="_Toc515980133"/>
      <w:r>
        <w:rPr>
          <w:rFonts w:hint="eastAsia" w:ascii="宋体" w:eastAsia="宋体" w:cs="宋体"/>
          <w:color w:val="auto"/>
          <w:sz w:val="24"/>
          <w:szCs w:val="24"/>
          <w:highlight w:val="none"/>
        </w:rPr>
        <w:t>1.3 招标范围、计划工期和</w:t>
      </w:r>
      <w:bookmarkEnd w:id="97"/>
      <w:bookmarkEnd w:id="98"/>
      <w:bookmarkEnd w:id="99"/>
      <w:bookmarkEnd w:id="100"/>
      <w:bookmarkEnd w:id="101"/>
      <w:r>
        <w:rPr>
          <w:rFonts w:hint="eastAsia" w:ascii="宋体" w:eastAsia="宋体" w:cs="宋体"/>
          <w:color w:val="auto"/>
          <w:sz w:val="24"/>
          <w:szCs w:val="24"/>
          <w:highlight w:val="none"/>
        </w:rPr>
        <w:t>质量标准</w:t>
      </w:r>
      <w:bookmarkEnd w:id="102"/>
      <w:bookmarkEnd w:id="103"/>
      <w:bookmarkEnd w:id="104"/>
      <w:bookmarkEnd w:id="105"/>
      <w:bookmarkEnd w:id="106"/>
      <w:bookmarkEnd w:id="107"/>
      <w:bookmarkEnd w:id="108"/>
      <w:bookmarkEnd w:id="109"/>
      <w:bookmarkEnd w:id="110"/>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1.3.1 招标范围：见投标人须知前附表。</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1.3.2 计划工期：见投标人须知前附表。</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1.3.3 质量标准：见投标人须知前附表。</w:t>
      </w:r>
    </w:p>
    <w:p>
      <w:pPr>
        <w:pStyle w:val="5"/>
        <w:shd w:val="clear"/>
        <w:adjustRightInd w:val="0"/>
        <w:snapToGrid w:val="0"/>
        <w:spacing w:before="0" w:after="0" w:line="360" w:lineRule="auto"/>
        <w:ind w:firstLine="118"/>
        <w:jc w:val="left"/>
        <w:rPr>
          <w:rFonts w:hint="eastAsia" w:ascii="宋体" w:eastAsia="宋体" w:cs="宋体"/>
          <w:color w:val="auto"/>
          <w:sz w:val="24"/>
          <w:szCs w:val="24"/>
          <w:highlight w:val="none"/>
        </w:rPr>
      </w:pPr>
      <w:bookmarkStart w:id="111" w:name="_Toc65361645"/>
      <w:bookmarkStart w:id="112" w:name="_Toc60859836"/>
      <w:r>
        <w:rPr>
          <w:rFonts w:hint="eastAsia" w:ascii="宋体" w:eastAsia="宋体" w:cs="宋体"/>
          <w:color w:val="auto"/>
          <w:sz w:val="24"/>
          <w:szCs w:val="24"/>
          <w:highlight w:val="none"/>
        </w:rPr>
        <w:t>1.4 投标人资格要求（适用于未进行资格预审的）</w:t>
      </w:r>
      <w:bookmarkEnd w:id="111"/>
      <w:bookmarkEnd w:id="112"/>
    </w:p>
    <w:p>
      <w:pPr>
        <w:shd w:val="clear"/>
        <w:adjustRightInd w:val="0"/>
        <w:snapToGrid w:val="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1.4.1 投标人应具备承担本招标项目资质条件、能力和信誉等资格要求，详见招标公告要求。</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1.4.2 投标人须知前附表规定接受联合体投标的，除应符合本章第1.4.1项和投标人须知前附表的要求外，还应遵守以下规定：</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（1）联合体各方应按招标文件提供的格式签订联合体协议书，明确联合体牵头人和各方权利义务；</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（2）由同一专业的单位组成的联合体，按照资质等级较低的单位确定资质等级；</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（3）联合体各方不得再以自己名义单独或参加其他联合体在本招标项目中投标。</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1.4.3 投标人不得存在下列情形之一：</w:t>
      </w:r>
    </w:p>
    <w:p>
      <w:pPr>
        <w:shd w:val="clear"/>
        <w:adjustRightInd w:val="0"/>
        <w:snapToGrid w:val="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投标人不得存在的情形以招标公告及《投标人声明》第三点的规定为准。</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1.4.4 单位负责人为同一人或者存在控股、管理关系的不同单位，不得同时参加本招标项目投标。</w:t>
      </w:r>
    </w:p>
    <w:p>
      <w:pPr>
        <w:pStyle w:val="5"/>
        <w:shd w:val="clear"/>
        <w:adjustRightInd w:val="0"/>
        <w:snapToGrid w:val="0"/>
        <w:spacing w:before="0" w:after="0" w:line="360" w:lineRule="auto"/>
        <w:ind w:firstLine="118"/>
        <w:jc w:val="left"/>
        <w:rPr>
          <w:rFonts w:hint="eastAsia" w:ascii="宋体" w:eastAsia="宋体" w:cs="宋体"/>
          <w:color w:val="auto"/>
          <w:sz w:val="24"/>
          <w:szCs w:val="24"/>
          <w:highlight w:val="none"/>
        </w:rPr>
      </w:pPr>
      <w:bookmarkStart w:id="113" w:name="_Toc247527559"/>
      <w:bookmarkStart w:id="114" w:name="_Toc152045535"/>
      <w:bookmarkStart w:id="115" w:name="_Toc152042311"/>
      <w:bookmarkStart w:id="116" w:name="_Toc144974503"/>
      <w:bookmarkStart w:id="117" w:name="_Toc247513958"/>
      <w:bookmarkStart w:id="118" w:name="_Toc515980135"/>
      <w:bookmarkStart w:id="119" w:name="_Toc436834729"/>
      <w:bookmarkStart w:id="120" w:name="_Toc436834136"/>
      <w:bookmarkStart w:id="121" w:name="_Toc399165378"/>
      <w:bookmarkStart w:id="122" w:name="_Toc516265922"/>
      <w:bookmarkStart w:id="123" w:name="_Toc300834955"/>
      <w:bookmarkStart w:id="124" w:name="_Toc60859837"/>
      <w:bookmarkStart w:id="125" w:name="_Toc65361646"/>
      <w:bookmarkStart w:id="126" w:name="_Toc21535100"/>
      <w:r>
        <w:rPr>
          <w:rFonts w:hint="eastAsia" w:ascii="宋体" w:eastAsia="宋体" w:cs="宋体"/>
          <w:color w:val="auto"/>
          <w:sz w:val="24"/>
          <w:szCs w:val="24"/>
          <w:highlight w:val="none"/>
        </w:rPr>
        <w:t>1.5 费用承担</w:t>
      </w:r>
      <w:bookmarkEnd w:id="113"/>
      <w:bookmarkEnd w:id="114"/>
      <w:bookmarkEnd w:id="115"/>
      <w:bookmarkEnd w:id="116"/>
      <w:bookmarkEnd w:id="117"/>
      <w:r>
        <w:rPr>
          <w:rFonts w:hint="eastAsia" w:ascii="宋体" w:eastAsia="宋体" w:cs="宋体"/>
          <w:color w:val="auto"/>
          <w:sz w:val="24"/>
          <w:szCs w:val="24"/>
          <w:highlight w:val="none"/>
        </w:rPr>
        <w:t>和设计成果补偿</w:t>
      </w:r>
      <w:bookmarkEnd w:id="118"/>
      <w:bookmarkEnd w:id="119"/>
      <w:bookmarkEnd w:id="120"/>
      <w:bookmarkEnd w:id="121"/>
      <w:bookmarkEnd w:id="122"/>
      <w:bookmarkEnd w:id="123"/>
      <w:bookmarkEnd w:id="124"/>
      <w:bookmarkEnd w:id="125"/>
      <w:bookmarkEnd w:id="126"/>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bookmarkStart w:id="127" w:name="_Toc436834730"/>
      <w:bookmarkStart w:id="128" w:name="_Toc399165379"/>
      <w:bookmarkStart w:id="129" w:name="_Toc436834137"/>
      <w:bookmarkStart w:id="130" w:name="_Toc516265923"/>
      <w:bookmarkStart w:id="131" w:name="_Toc21535101"/>
      <w:bookmarkStart w:id="132" w:name="_Toc515980136"/>
      <w:bookmarkStart w:id="133" w:name="_Toc300834956"/>
      <w:bookmarkStart w:id="134" w:name="_Toc144974504"/>
      <w:bookmarkStart w:id="135" w:name="_Toc247527560"/>
      <w:bookmarkStart w:id="136" w:name="_Toc152042312"/>
      <w:bookmarkStart w:id="137" w:name="_Toc152045536"/>
      <w:bookmarkStart w:id="138" w:name="_Toc247513959"/>
      <w:bookmarkStart w:id="139" w:name="_Toc60859838"/>
      <w:bookmarkStart w:id="140" w:name="_Toc65361647"/>
      <w:r>
        <w:rPr>
          <w:rFonts w:hint="eastAsia" w:ascii="宋体" w:hAnsi="宋体" w:cs="宋体"/>
          <w:color w:val="auto"/>
          <w:sz w:val="24"/>
          <w:szCs w:val="24"/>
          <w:highlight w:val="none"/>
        </w:rPr>
        <w:t>1.5.1 投标人准备和参加投标活动发生的费用自理。</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1.5.2 招标人对符合招标文件规定的未中标人的设计成果进行补偿的，按投标人须知前附表规定给予补偿，并有权免费使用未中标人设计成果。</w:t>
      </w:r>
    </w:p>
    <w:p>
      <w:pPr>
        <w:shd w:val="clear"/>
        <w:adjustRightInd w:val="0"/>
        <w:snapToGrid w:val="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1.5.3中标人需向广州公共资源交易中心缴纳公共资源交易服务费，由广州公共资源交易中心向中标人开具发票，其费用包含在投标人的投标报价中，投标人需在投标报价中综合考虑。</w:t>
      </w:r>
    </w:p>
    <w:p>
      <w:pPr>
        <w:pStyle w:val="5"/>
        <w:shd w:val="clear"/>
        <w:adjustRightInd w:val="0"/>
        <w:snapToGrid w:val="0"/>
        <w:spacing w:before="0" w:after="0" w:line="360" w:lineRule="auto"/>
        <w:ind w:firstLine="118"/>
        <w:jc w:val="left"/>
        <w:rPr>
          <w:rFonts w:hint="eastAsia" w:ascii="宋体" w:eastAsia="宋体" w:cs="宋体"/>
          <w:color w:val="auto"/>
          <w:sz w:val="24"/>
          <w:szCs w:val="24"/>
          <w:highlight w:val="none"/>
        </w:rPr>
      </w:pPr>
      <w:r>
        <w:rPr>
          <w:rFonts w:hint="eastAsia" w:ascii="宋体" w:eastAsia="宋体" w:cs="宋体"/>
          <w:color w:val="auto"/>
          <w:sz w:val="24"/>
          <w:szCs w:val="24"/>
          <w:highlight w:val="none"/>
        </w:rPr>
        <w:t>1.6 保密</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参与招标投标活动的各方应对招标文件和投标文件中的商业和技术等秘密保密，否则应承担相应的法律责任。</w:t>
      </w:r>
    </w:p>
    <w:p>
      <w:pPr>
        <w:pStyle w:val="5"/>
        <w:shd w:val="clear"/>
        <w:adjustRightInd w:val="0"/>
        <w:snapToGrid w:val="0"/>
        <w:spacing w:before="0" w:after="0" w:line="360" w:lineRule="auto"/>
        <w:ind w:firstLine="118"/>
        <w:jc w:val="left"/>
        <w:rPr>
          <w:rFonts w:hint="eastAsia" w:ascii="宋体" w:eastAsia="宋体" w:cs="宋体"/>
          <w:color w:val="auto"/>
          <w:sz w:val="24"/>
          <w:szCs w:val="24"/>
          <w:highlight w:val="none"/>
        </w:rPr>
      </w:pPr>
      <w:bookmarkStart w:id="141" w:name="_Toc144974505"/>
      <w:bookmarkStart w:id="142" w:name="_Toc399165380"/>
      <w:bookmarkStart w:id="143" w:name="_Toc436834731"/>
      <w:bookmarkStart w:id="144" w:name="_Toc247513960"/>
      <w:bookmarkStart w:id="145" w:name="_Toc516265924"/>
      <w:bookmarkStart w:id="146" w:name="_Toc247527561"/>
      <w:bookmarkStart w:id="147" w:name="_Toc436834138"/>
      <w:bookmarkStart w:id="148" w:name="_Toc65361648"/>
      <w:bookmarkStart w:id="149" w:name="_Toc60859839"/>
      <w:bookmarkStart w:id="150" w:name="_Toc152045537"/>
      <w:bookmarkStart w:id="151" w:name="_Toc515980137"/>
      <w:bookmarkStart w:id="152" w:name="_Toc21535102"/>
      <w:bookmarkStart w:id="153" w:name="_Toc300834957"/>
      <w:bookmarkStart w:id="154" w:name="_Toc152042313"/>
      <w:r>
        <w:rPr>
          <w:rFonts w:hint="eastAsia" w:ascii="宋体" w:eastAsia="宋体" w:cs="宋体"/>
          <w:color w:val="auto"/>
          <w:sz w:val="24"/>
          <w:szCs w:val="24"/>
          <w:highlight w:val="none"/>
        </w:rPr>
        <w:t>1.7 语言</w:t>
      </w:r>
      <w:bookmarkEnd w:id="141"/>
      <w:r>
        <w:rPr>
          <w:rFonts w:hint="eastAsia" w:ascii="宋体" w:eastAsia="宋体" w:cs="宋体"/>
          <w:color w:val="auto"/>
          <w:sz w:val="24"/>
          <w:szCs w:val="24"/>
          <w:highlight w:val="none"/>
        </w:rPr>
        <w:t>文字</w:t>
      </w:r>
      <w:bookmarkEnd w:id="142"/>
      <w:bookmarkEnd w:id="143"/>
      <w:bookmarkEnd w:id="144"/>
      <w:bookmarkEnd w:id="145"/>
      <w:bookmarkEnd w:id="146"/>
      <w:bookmarkEnd w:id="147"/>
      <w:bookmarkEnd w:id="148"/>
      <w:bookmarkEnd w:id="149"/>
      <w:bookmarkEnd w:id="150"/>
      <w:bookmarkEnd w:id="151"/>
      <w:bookmarkEnd w:id="152"/>
      <w:bookmarkEnd w:id="153"/>
      <w:bookmarkEnd w:id="154"/>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招标投标文件使用的语言文字为中文。专用术语使用外文的，应附有中文注释。</w:t>
      </w:r>
    </w:p>
    <w:p>
      <w:pPr>
        <w:pStyle w:val="5"/>
        <w:shd w:val="clear"/>
        <w:adjustRightInd w:val="0"/>
        <w:snapToGrid w:val="0"/>
        <w:spacing w:before="0" w:after="0" w:line="360" w:lineRule="auto"/>
        <w:ind w:firstLine="118"/>
        <w:jc w:val="left"/>
        <w:rPr>
          <w:rFonts w:hint="eastAsia" w:ascii="宋体" w:eastAsia="宋体" w:cs="宋体"/>
          <w:color w:val="auto"/>
          <w:sz w:val="24"/>
          <w:szCs w:val="24"/>
          <w:highlight w:val="none"/>
        </w:rPr>
      </w:pPr>
      <w:bookmarkStart w:id="155" w:name="_Toc65361649"/>
      <w:bookmarkStart w:id="156" w:name="_Toc399165381"/>
      <w:bookmarkStart w:id="157" w:name="_Toc436834139"/>
      <w:bookmarkStart w:id="158" w:name="_Toc516265925"/>
      <w:bookmarkStart w:id="159" w:name="_Toc515980138"/>
      <w:bookmarkStart w:id="160" w:name="_Toc21535103"/>
      <w:bookmarkStart w:id="161" w:name="_Toc247527562"/>
      <w:bookmarkStart w:id="162" w:name="_Toc436834732"/>
      <w:bookmarkStart w:id="163" w:name="_Toc60859840"/>
      <w:bookmarkStart w:id="164" w:name="_Toc152042314"/>
      <w:bookmarkStart w:id="165" w:name="_Toc247513961"/>
      <w:bookmarkStart w:id="166" w:name="_Toc300834958"/>
      <w:bookmarkStart w:id="167" w:name="_Toc144974506"/>
      <w:bookmarkStart w:id="168" w:name="_Toc152045538"/>
      <w:r>
        <w:rPr>
          <w:rFonts w:hint="eastAsia" w:ascii="宋体" w:eastAsia="宋体" w:cs="宋体"/>
          <w:color w:val="auto"/>
          <w:sz w:val="24"/>
          <w:szCs w:val="24"/>
          <w:highlight w:val="none"/>
        </w:rPr>
        <w:t>1.8 计量单位</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所有计量均采用中华人民共和国法定计量单位。</w:t>
      </w:r>
    </w:p>
    <w:p>
      <w:pPr>
        <w:pStyle w:val="5"/>
        <w:shd w:val="clear"/>
        <w:adjustRightInd w:val="0"/>
        <w:snapToGrid w:val="0"/>
        <w:spacing w:before="0" w:after="0" w:line="360" w:lineRule="auto"/>
        <w:ind w:firstLine="118"/>
        <w:jc w:val="left"/>
        <w:rPr>
          <w:rFonts w:hint="eastAsia" w:ascii="宋体" w:eastAsia="宋体" w:cs="宋体"/>
          <w:color w:val="auto"/>
          <w:sz w:val="24"/>
          <w:szCs w:val="24"/>
          <w:highlight w:val="none"/>
        </w:rPr>
      </w:pPr>
      <w:bookmarkStart w:id="169" w:name="_Toc515980139"/>
      <w:bookmarkStart w:id="170" w:name="_Toc21535104"/>
      <w:bookmarkStart w:id="171" w:name="_Toc152042315"/>
      <w:bookmarkStart w:id="172" w:name="_Toc247513962"/>
      <w:bookmarkStart w:id="173" w:name="_Toc247527563"/>
      <w:bookmarkStart w:id="174" w:name="_Toc60859841"/>
      <w:bookmarkStart w:id="175" w:name="_Toc436834140"/>
      <w:bookmarkStart w:id="176" w:name="_Toc436834733"/>
      <w:bookmarkStart w:id="177" w:name="_Toc516265926"/>
      <w:bookmarkStart w:id="178" w:name="_Toc65361650"/>
      <w:bookmarkStart w:id="179" w:name="_Toc152045539"/>
      <w:bookmarkStart w:id="180" w:name="_Toc300834959"/>
      <w:bookmarkStart w:id="181" w:name="_Toc399165382"/>
      <w:bookmarkStart w:id="182" w:name="_Toc144974507"/>
      <w:r>
        <w:rPr>
          <w:rFonts w:hint="eastAsia" w:ascii="宋体" w:eastAsia="宋体" w:cs="宋体"/>
          <w:color w:val="auto"/>
          <w:sz w:val="24"/>
          <w:szCs w:val="24"/>
          <w:highlight w:val="none"/>
        </w:rPr>
        <w:t>1.9 踏勘现场</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1.9.1 投标人须知前附表规定组织踏勘现场的，招标人按投标人须知前附表规定的时间、地点组织投标人踏勘项目现场。 </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1.9.2 投标人踏勘现场发生的费用自理。</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1.9.3 除招标人的原因外，投标人自行负责在踏勘现场中所发生的人员伤亡和财产损失。</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1.9.4 </w:t>
      </w:r>
      <w:r>
        <w:rPr>
          <w:rFonts w:hint="eastAsia" w:ascii="宋体" w:hAnsi="宋体" w:cs="宋体"/>
          <w:color w:val="auto"/>
          <w:sz w:val="24"/>
          <w:szCs w:val="24"/>
          <w:highlight w:val="none"/>
          <w:u w:val="single"/>
        </w:rPr>
        <w:t>现场由投标人自行踏勘，投标人不进行踏勘的，视为已熟知现场条件，自行承担相关风险。招标人不对投标人自行踏勘现场作出的判断和决策负责。</w:t>
      </w:r>
    </w:p>
    <w:p>
      <w:pPr>
        <w:pStyle w:val="5"/>
        <w:shd w:val="clear"/>
        <w:adjustRightInd w:val="0"/>
        <w:snapToGrid w:val="0"/>
        <w:spacing w:before="0" w:after="0" w:line="360" w:lineRule="auto"/>
        <w:ind w:firstLine="118"/>
        <w:jc w:val="left"/>
        <w:rPr>
          <w:rFonts w:hint="eastAsia" w:ascii="宋体" w:eastAsia="宋体" w:cs="宋体"/>
          <w:color w:val="auto"/>
          <w:sz w:val="24"/>
          <w:szCs w:val="24"/>
          <w:highlight w:val="none"/>
        </w:rPr>
      </w:pPr>
      <w:bookmarkStart w:id="183" w:name="_Toc152045540"/>
      <w:bookmarkStart w:id="184" w:name="_Toc144974508"/>
      <w:bookmarkStart w:id="185" w:name="_Toc436834141"/>
      <w:bookmarkStart w:id="186" w:name="_Toc247513963"/>
      <w:bookmarkStart w:id="187" w:name="_Toc436834734"/>
      <w:bookmarkStart w:id="188" w:name="_Toc247527564"/>
      <w:bookmarkStart w:id="189" w:name="_Toc152042316"/>
      <w:bookmarkStart w:id="190" w:name="_Toc399165383"/>
      <w:bookmarkStart w:id="191" w:name="_Toc300834960"/>
      <w:bookmarkStart w:id="192" w:name="_Toc516265927"/>
      <w:bookmarkStart w:id="193" w:name="_Toc65361651"/>
      <w:bookmarkStart w:id="194" w:name="_Toc60859842"/>
      <w:bookmarkStart w:id="195" w:name="_Toc515980140"/>
      <w:bookmarkStart w:id="196" w:name="_Toc21535105"/>
      <w:r>
        <w:rPr>
          <w:rFonts w:hint="eastAsia" w:ascii="宋体" w:eastAsia="宋体" w:cs="宋体"/>
          <w:color w:val="auto"/>
          <w:sz w:val="24"/>
          <w:szCs w:val="24"/>
          <w:highlight w:val="none"/>
        </w:rPr>
        <w:t>1.10</w:t>
      </w:r>
      <w:bookmarkEnd w:id="183"/>
      <w:bookmarkEnd w:id="184"/>
      <w:bookmarkEnd w:id="185"/>
      <w:bookmarkEnd w:id="186"/>
      <w:bookmarkEnd w:id="187"/>
      <w:bookmarkEnd w:id="188"/>
      <w:bookmarkEnd w:id="189"/>
      <w:bookmarkEnd w:id="190"/>
      <w:bookmarkEnd w:id="191"/>
      <w:r>
        <w:rPr>
          <w:rFonts w:hint="eastAsia" w:ascii="宋体" w:eastAsia="宋体" w:cs="宋体"/>
          <w:color w:val="auto"/>
          <w:sz w:val="24"/>
          <w:szCs w:val="24"/>
          <w:highlight w:val="none"/>
        </w:rPr>
        <w:t>投标预备会</w:t>
      </w:r>
      <w:bookmarkEnd w:id="192"/>
      <w:bookmarkEnd w:id="193"/>
      <w:bookmarkEnd w:id="194"/>
      <w:bookmarkEnd w:id="195"/>
      <w:bookmarkEnd w:id="196"/>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bookmarkStart w:id="197" w:name="_Toc247513964"/>
      <w:bookmarkStart w:id="198" w:name="_Toc399165384"/>
      <w:bookmarkStart w:id="199" w:name="_Toc152045541"/>
      <w:bookmarkStart w:id="200" w:name="_Toc144974509"/>
      <w:bookmarkStart w:id="201" w:name="_Toc436834735"/>
      <w:bookmarkStart w:id="202" w:name="_Toc436834142"/>
      <w:bookmarkStart w:id="203" w:name="_Toc247527565"/>
      <w:bookmarkStart w:id="204" w:name="_Toc300834961"/>
      <w:bookmarkStart w:id="205" w:name="_Toc152042317"/>
      <w:r>
        <w:rPr>
          <w:rFonts w:hint="eastAsia" w:ascii="宋体" w:hAnsi="宋体" w:cs="宋体"/>
          <w:color w:val="auto"/>
          <w:sz w:val="24"/>
          <w:szCs w:val="24"/>
          <w:highlight w:val="none"/>
        </w:rPr>
        <w:t>1.10.1 投标人须知前附表规定召开投标预备会的，招标人按投标人须知前附表规定的时间和地点召开投标预备会，澄清投标人提出的问题。</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1.10.2投标人应在投标人须知前附表规定的时间前，以书面形式将提出的问题送达招标人，以便招标人在会议期间澄清。</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1.10.3投标预备会后，招标人在投标人须知前附表规定的时间内，将对投标人所提问题的澄清，以书面形式通知所有购买招标文件的投标人。该澄清内容为招标文件的组成部分。</w:t>
      </w:r>
    </w:p>
    <w:p>
      <w:pPr>
        <w:pStyle w:val="5"/>
        <w:shd w:val="clear"/>
        <w:adjustRightInd w:val="0"/>
        <w:snapToGrid w:val="0"/>
        <w:spacing w:before="0" w:after="0" w:line="360" w:lineRule="auto"/>
        <w:ind w:firstLine="118"/>
        <w:jc w:val="left"/>
        <w:rPr>
          <w:rFonts w:hint="eastAsia" w:ascii="宋体" w:eastAsia="宋体" w:cs="宋体"/>
          <w:color w:val="auto"/>
          <w:sz w:val="24"/>
          <w:szCs w:val="24"/>
          <w:highlight w:val="none"/>
        </w:rPr>
      </w:pPr>
      <w:bookmarkStart w:id="206" w:name="_Toc65361652"/>
      <w:bookmarkStart w:id="207" w:name="_Toc60859843"/>
      <w:bookmarkStart w:id="208" w:name="_Toc516265928"/>
      <w:bookmarkStart w:id="209" w:name="_Toc21535106"/>
      <w:bookmarkStart w:id="210" w:name="_Toc515980141"/>
      <w:r>
        <w:rPr>
          <w:rFonts w:hint="eastAsia" w:ascii="宋体" w:eastAsia="宋体" w:cs="宋体"/>
          <w:color w:val="auto"/>
          <w:sz w:val="24"/>
          <w:szCs w:val="24"/>
          <w:highlight w:val="none"/>
        </w:rPr>
        <w:t>1.11 分包</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1.11.1 投标人须知前附表规定应当由分包人实施的非主体、非关键性工作，投标人应当按照第五章“发包人要求”的规定提供分包人侯选名单及其相应资料。</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1.11.2 投标人拟在中标后将中标项目的部分非主体、非关键性工作进行分包的，应符合投标人须知前附表规定的分包内容、分包金额和资质要求等限制性条件。</w:t>
      </w:r>
    </w:p>
    <w:p>
      <w:pPr>
        <w:pStyle w:val="5"/>
        <w:shd w:val="clear"/>
        <w:adjustRightInd w:val="0"/>
        <w:snapToGrid w:val="0"/>
        <w:spacing w:before="0" w:after="0" w:line="360" w:lineRule="auto"/>
        <w:ind w:firstLine="118"/>
        <w:jc w:val="left"/>
        <w:rPr>
          <w:rFonts w:hint="eastAsia" w:ascii="宋体" w:eastAsia="宋体" w:cs="宋体"/>
          <w:color w:val="auto"/>
          <w:sz w:val="24"/>
          <w:szCs w:val="24"/>
          <w:highlight w:val="none"/>
        </w:rPr>
      </w:pPr>
      <w:bookmarkStart w:id="211" w:name="_Toc60859844"/>
      <w:bookmarkStart w:id="212" w:name="_Toc516265929"/>
      <w:bookmarkStart w:id="213" w:name="_Toc515980142"/>
      <w:bookmarkStart w:id="214" w:name="_Toc247513965"/>
      <w:bookmarkStart w:id="215" w:name="_Toc65361653"/>
      <w:bookmarkStart w:id="216" w:name="_Toc436834143"/>
      <w:bookmarkStart w:id="217" w:name="_Toc21535107"/>
      <w:bookmarkStart w:id="218" w:name="_Toc247527566"/>
      <w:bookmarkStart w:id="219" w:name="_Toc300834962"/>
      <w:bookmarkStart w:id="220" w:name="_Toc436834736"/>
      <w:bookmarkStart w:id="221" w:name="_Toc399165385"/>
      <w:r>
        <w:rPr>
          <w:rFonts w:hint="eastAsia" w:ascii="宋体" w:eastAsia="宋体" w:cs="宋体"/>
          <w:color w:val="auto"/>
          <w:sz w:val="24"/>
          <w:szCs w:val="24"/>
          <w:highlight w:val="none"/>
        </w:rPr>
        <w:t>1.12 偏离</w:t>
      </w:r>
      <w:bookmarkEnd w:id="211"/>
      <w:bookmarkEnd w:id="212"/>
      <w:bookmarkEnd w:id="213"/>
      <w:bookmarkEnd w:id="214"/>
      <w:bookmarkEnd w:id="215"/>
      <w:bookmarkEnd w:id="216"/>
      <w:bookmarkEnd w:id="217"/>
      <w:bookmarkEnd w:id="218"/>
      <w:bookmarkEnd w:id="219"/>
      <w:bookmarkEnd w:id="220"/>
      <w:bookmarkEnd w:id="221"/>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投标人须知前附表允许投标文件偏离招标文件某些要求的，偏离应当符合招标文件规定的偏离范围和幅度。</w:t>
      </w:r>
    </w:p>
    <w:p>
      <w:pPr>
        <w:pStyle w:val="4"/>
        <w:shd w:val="clear"/>
        <w:adjustRightInd w:val="0"/>
        <w:snapToGrid w:val="0"/>
        <w:spacing w:before="0" w:after="0" w:line="360" w:lineRule="auto"/>
        <w:jc w:val="left"/>
        <w:rPr>
          <w:rFonts w:hint="eastAsia" w:ascii="宋体" w:hAnsi="宋体" w:eastAsia="宋体" w:cs="宋体"/>
          <w:color w:val="auto"/>
          <w:sz w:val="24"/>
          <w:szCs w:val="24"/>
          <w:highlight w:val="none"/>
        </w:rPr>
      </w:pPr>
      <w:bookmarkStart w:id="222" w:name="_Toc152045542"/>
      <w:bookmarkStart w:id="223" w:name="_Toc300834963"/>
      <w:bookmarkStart w:id="224" w:name="_Toc399165386"/>
      <w:bookmarkStart w:id="225" w:name="_Toc516265930"/>
      <w:bookmarkStart w:id="226" w:name="_Toc65361654"/>
      <w:bookmarkStart w:id="227" w:name="_Toc436834737"/>
      <w:bookmarkStart w:id="228" w:name="_Toc247513966"/>
      <w:bookmarkStart w:id="229" w:name="_Toc436834144"/>
      <w:bookmarkStart w:id="230" w:name="_Toc60859845"/>
      <w:bookmarkStart w:id="231" w:name="_Toc144974510"/>
      <w:bookmarkStart w:id="232" w:name="_Toc21535108"/>
      <w:bookmarkStart w:id="233" w:name="_Toc515980143"/>
      <w:bookmarkStart w:id="234" w:name="_Toc247527567"/>
      <w:bookmarkStart w:id="235" w:name="_Toc152042318"/>
      <w:r>
        <w:rPr>
          <w:rFonts w:hint="eastAsia" w:ascii="宋体" w:hAnsi="宋体" w:eastAsia="宋体" w:cs="宋体"/>
          <w:color w:val="auto"/>
          <w:sz w:val="24"/>
          <w:szCs w:val="24"/>
          <w:highlight w:val="none"/>
        </w:rPr>
        <w:t>2. 招标文件</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pStyle w:val="5"/>
        <w:shd w:val="clear"/>
        <w:adjustRightInd w:val="0"/>
        <w:snapToGrid w:val="0"/>
        <w:spacing w:before="0" w:after="0" w:line="360" w:lineRule="auto"/>
        <w:ind w:firstLine="118"/>
        <w:jc w:val="left"/>
        <w:rPr>
          <w:rFonts w:hint="eastAsia" w:ascii="宋体" w:eastAsia="宋体" w:cs="宋体"/>
          <w:color w:val="auto"/>
          <w:sz w:val="24"/>
          <w:szCs w:val="24"/>
          <w:highlight w:val="none"/>
        </w:rPr>
      </w:pPr>
      <w:bookmarkStart w:id="236" w:name="_Toc65361655"/>
      <w:bookmarkStart w:id="237" w:name="_Toc436834738"/>
      <w:bookmarkStart w:id="238" w:name="_Toc300834964"/>
      <w:bookmarkStart w:id="239" w:name="_Toc247513967"/>
      <w:bookmarkStart w:id="240" w:name="_Toc144974511"/>
      <w:bookmarkStart w:id="241" w:name="_Toc436834145"/>
      <w:bookmarkStart w:id="242" w:name="_Toc515980144"/>
      <w:bookmarkStart w:id="243" w:name="_Toc152045543"/>
      <w:bookmarkStart w:id="244" w:name="_Toc21535109"/>
      <w:bookmarkStart w:id="245" w:name="_Toc247527568"/>
      <w:bookmarkStart w:id="246" w:name="_Toc516265931"/>
      <w:bookmarkStart w:id="247" w:name="_Toc399165387"/>
      <w:bookmarkStart w:id="248" w:name="_Toc60859846"/>
      <w:bookmarkStart w:id="249" w:name="_Toc152042319"/>
      <w:r>
        <w:rPr>
          <w:rFonts w:hint="eastAsia" w:ascii="宋体" w:eastAsia="宋体" w:cs="宋体"/>
          <w:color w:val="auto"/>
          <w:sz w:val="24"/>
          <w:szCs w:val="24"/>
          <w:highlight w:val="none"/>
        </w:rPr>
        <w:t>2.1 招标文件的组成</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本招标文件包括：</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（1）招标公告</w:t>
      </w:r>
      <w:r>
        <w:rPr>
          <w:rFonts w:hint="eastAsia" w:ascii="宋体" w:hAnsi="宋体" w:cs="宋体"/>
          <w:strike/>
          <w:color w:val="auto"/>
          <w:sz w:val="24"/>
          <w:szCs w:val="24"/>
          <w:highlight w:val="none"/>
        </w:rPr>
        <w:t>（或投标邀请书）</w:t>
      </w:r>
      <w:r>
        <w:rPr>
          <w:rFonts w:hint="eastAsia" w:ascii="宋体" w:hAnsi="宋体" w:cs="宋体"/>
          <w:color w:val="auto"/>
          <w:sz w:val="24"/>
          <w:szCs w:val="24"/>
          <w:highlight w:val="none"/>
        </w:rPr>
        <w:t>；</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（2）投标人须知；</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（3）评标办法；</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（4）合同条款及格式；</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（5）发包人要求；</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（6）发包人提供的资料；</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（7）投标文件格式；</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（8）投标人须知前附表规定的其他资料。</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根据本章第1.10款、第2.2款和第2.3款对招标文件所作的澄清、修改，构成招标文件的组成部分。当招标文件的澄清、修改等在同一内容的表述不一致时，以最后发出的书面文件为准。</w:t>
      </w:r>
    </w:p>
    <w:p>
      <w:pPr>
        <w:shd w:val="clear"/>
        <w:adjustRightInd w:val="0"/>
        <w:snapToGrid w:val="0"/>
        <w:spacing w:line="360" w:lineRule="auto"/>
        <w:ind w:firstLine="482" w:firstLineChars="200"/>
        <w:jc w:val="left"/>
        <w:rPr>
          <w:rFonts w:hint="eastAsia" w:ascii="宋体" w:hAnsi="宋体" w:cs="宋体"/>
          <w:b/>
          <w:color w:val="auto"/>
          <w:sz w:val="24"/>
          <w:szCs w:val="24"/>
          <w:highlight w:val="none"/>
          <w:u w:val="single"/>
        </w:rPr>
      </w:pPr>
    </w:p>
    <w:p>
      <w:pPr>
        <w:pStyle w:val="5"/>
        <w:shd w:val="clear"/>
        <w:adjustRightInd w:val="0"/>
        <w:snapToGrid w:val="0"/>
        <w:spacing w:before="0" w:after="0" w:line="360" w:lineRule="auto"/>
        <w:ind w:firstLine="118"/>
        <w:jc w:val="left"/>
        <w:rPr>
          <w:rFonts w:hint="eastAsia" w:ascii="宋体" w:eastAsia="宋体" w:cs="宋体"/>
          <w:color w:val="auto"/>
          <w:sz w:val="24"/>
          <w:szCs w:val="24"/>
          <w:highlight w:val="none"/>
        </w:rPr>
      </w:pPr>
      <w:bookmarkStart w:id="250" w:name="_Toc436834739"/>
      <w:bookmarkStart w:id="251" w:name="_Toc65361656"/>
      <w:bookmarkStart w:id="252" w:name="_Toc436834146"/>
      <w:bookmarkStart w:id="253" w:name="_Toc21535110"/>
      <w:bookmarkStart w:id="254" w:name="_Toc515980145"/>
      <w:bookmarkStart w:id="255" w:name="_Toc152042320"/>
      <w:bookmarkStart w:id="256" w:name="_Toc247513968"/>
      <w:bookmarkStart w:id="257" w:name="_Toc247527569"/>
      <w:bookmarkStart w:id="258" w:name="_Toc516265932"/>
      <w:bookmarkStart w:id="259" w:name="_Toc399165388"/>
      <w:bookmarkStart w:id="260" w:name="_Toc300834965"/>
      <w:bookmarkStart w:id="261" w:name="_Toc152045544"/>
      <w:bookmarkStart w:id="262" w:name="_Toc144974512"/>
      <w:bookmarkStart w:id="263" w:name="_Toc60859847"/>
      <w:r>
        <w:rPr>
          <w:rFonts w:hint="eastAsia" w:ascii="宋体" w:eastAsia="宋体" w:cs="宋体"/>
          <w:color w:val="auto"/>
          <w:sz w:val="24"/>
          <w:szCs w:val="24"/>
          <w:highlight w:val="none"/>
        </w:rPr>
        <w:t>2.2 招标文件的澄清</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2.2.1 投标人应仔细阅读和检查招标文件的全部内容。如发现缺页或附件不全，应及时向招标人提出，以便补齐。如有疑问，应在投标人须知前附表规定的时间</w:t>
      </w:r>
      <w:r>
        <w:rPr>
          <w:rFonts w:hint="eastAsia" w:ascii="宋体" w:hAnsi="宋体" w:cs="宋体"/>
          <w:color w:val="auto"/>
          <w:sz w:val="24"/>
          <w:szCs w:val="24"/>
          <w:highlight w:val="none"/>
          <w:u w:val="single"/>
        </w:rPr>
        <w:t>和形式将提出的问题送达招标人</w:t>
      </w:r>
      <w:r>
        <w:rPr>
          <w:rFonts w:hint="eastAsia" w:ascii="宋体" w:hAnsi="宋体" w:cs="宋体"/>
          <w:color w:val="auto"/>
          <w:sz w:val="24"/>
          <w:szCs w:val="24"/>
          <w:highlight w:val="none"/>
        </w:rPr>
        <w:t>，要求招标人对招标文件予以澄清。</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2.2.2招标文件的澄清以</w:t>
      </w:r>
      <w:r>
        <w:rPr>
          <w:rFonts w:hint="eastAsia" w:ascii="宋体" w:hAnsi="宋体" w:cs="宋体"/>
          <w:color w:val="auto"/>
          <w:sz w:val="24"/>
          <w:szCs w:val="24"/>
          <w:highlight w:val="none"/>
          <w:u w:val="single"/>
        </w:rPr>
        <w:t>投标人须知前附表规定的时间和形式发给所有投标人</w:t>
      </w:r>
      <w:r>
        <w:rPr>
          <w:rFonts w:hint="eastAsia" w:ascii="宋体" w:hAnsi="宋体" w:cs="宋体"/>
          <w:color w:val="auto"/>
          <w:sz w:val="24"/>
          <w:szCs w:val="24"/>
          <w:highlight w:val="none"/>
        </w:rPr>
        <w:t>，但不指明澄清问题的来源。澄清发出的时间距投标人须知前附表规定的投标截止时间不足15天的，并且澄清内容影响投标文件编制的，将相应延长投标截止时间。</w:t>
      </w:r>
    </w:p>
    <w:p>
      <w:pPr>
        <w:shd w:val="clear"/>
        <w:adjustRightInd w:val="0"/>
        <w:snapToGrid w:val="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2.2.3</w:t>
      </w:r>
      <w:r>
        <w:rPr>
          <w:rFonts w:hint="eastAsia" w:ascii="宋体" w:hAnsi="宋体" w:cs="宋体"/>
          <w:color w:val="auto"/>
          <w:sz w:val="24"/>
          <w:szCs w:val="24"/>
          <w:highlight w:val="none"/>
          <w:u w:val="single"/>
        </w:rPr>
        <w:t>招标文件的澄清在广州公共资源交易中心网站发布。招标文件的澄清一经在广州公共资源交易中心网站发布，视作已发放给所有投标人，招标文件的澄清内容作为招标文件的组成部分，具有约束作用。</w:t>
      </w:r>
    </w:p>
    <w:p>
      <w:pPr>
        <w:shd w:val="clear"/>
        <w:adjustRightInd w:val="0"/>
        <w:snapToGrid w:val="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2.2.4 除非招标人认为确有必要答复，否则，招标人有权拒绝回复投标人在本章第 2.2.1 项规定的时间后的任何澄清要求。</w:t>
      </w:r>
    </w:p>
    <w:p>
      <w:pPr>
        <w:pStyle w:val="5"/>
        <w:shd w:val="clear"/>
        <w:adjustRightInd w:val="0"/>
        <w:snapToGrid w:val="0"/>
        <w:spacing w:before="0" w:after="0" w:line="360" w:lineRule="auto"/>
        <w:ind w:firstLine="118"/>
        <w:jc w:val="left"/>
        <w:rPr>
          <w:rFonts w:hint="eastAsia" w:ascii="宋体" w:eastAsia="宋体" w:cs="宋体"/>
          <w:color w:val="auto"/>
          <w:sz w:val="24"/>
          <w:szCs w:val="24"/>
          <w:highlight w:val="none"/>
        </w:rPr>
      </w:pPr>
      <w:bookmarkStart w:id="264" w:name="_Toc152042321"/>
      <w:bookmarkStart w:id="265" w:name="_Toc144974513"/>
      <w:bookmarkStart w:id="266" w:name="_Toc399165389"/>
      <w:bookmarkStart w:id="267" w:name="_Toc152045545"/>
      <w:bookmarkStart w:id="268" w:name="_Toc516265933"/>
      <w:bookmarkStart w:id="269" w:name="_Toc247513969"/>
      <w:bookmarkStart w:id="270" w:name="_Toc436834740"/>
      <w:bookmarkStart w:id="271" w:name="_Toc515980146"/>
      <w:bookmarkStart w:id="272" w:name="_Toc60859848"/>
      <w:bookmarkStart w:id="273" w:name="_Toc65361657"/>
      <w:bookmarkStart w:id="274" w:name="_Toc300834966"/>
      <w:bookmarkStart w:id="275" w:name="_Toc247527570"/>
      <w:bookmarkStart w:id="276" w:name="_Toc436834147"/>
      <w:bookmarkStart w:id="277" w:name="_Toc21535111"/>
      <w:r>
        <w:rPr>
          <w:rFonts w:hint="eastAsia" w:ascii="宋体" w:eastAsia="宋体" w:cs="宋体"/>
          <w:color w:val="auto"/>
          <w:sz w:val="24"/>
          <w:szCs w:val="24"/>
          <w:highlight w:val="none"/>
        </w:rPr>
        <w:t>2.3 招标文件的修改</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2.3.1招标人</w:t>
      </w:r>
      <w:r>
        <w:rPr>
          <w:rFonts w:hint="eastAsia" w:ascii="宋体" w:hAnsi="宋体" w:cs="宋体"/>
          <w:color w:val="auto"/>
          <w:sz w:val="24"/>
          <w:szCs w:val="24"/>
          <w:highlight w:val="none"/>
          <w:u w:val="single"/>
        </w:rPr>
        <w:t>以投标人须知前附表规定的时间和形式修改招标文件</w:t>
      </w:r>
      <w:r>
        <w:rPr>
          <w:rFonts w:hint="eastAsia" w:ascii="宋体" w:hAnsi="宋体" w:cs="宋体"/>
          <w:color w:val="auto"/>
          <w:sz w:val="24"/>
          <w:szCs w:val="24"/>
          <w:highlight w:val="none"/>
        </w:rPr>
        <w:t xml:space="preserve">。修改招标文件的时间距投标人须知前附表规定的投标截止时间不足15天的，并且澄清内容影响投标文件编制的，将相应延长投标截止时间。 </w:t>
      </w:r>
    </w:p>
    <w:p>
      <w:pPr>
        <w:shd w:val="clear"/>
        <w:adjustRightInd w:val="0"/>
        <w:snapToGrid w:val="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2.3.2</w:t>
      </w:r>
      <w:r>
        <w:rPr>
          <w:rFonts w:hint="eastAsia" w:ascii="宋体" w:hAnsi="宋体" w:cs="宋体"/>
          <w:color w:val="auto"/>
          <w:sz w:val="24"/>
          <w:szCs w:val="24"/>
          <w:highlight w:val="none"/>
          <w:u w:val="single"/>
        </w:rPr>
        <w:t>招标文件的修改在广州公共资源交易中心网站发布。招标文件的修改一经在广州公共资源交易中心网站发布，视作已发放给所有投标人，招标文件的修改内容作为招标文件的组成部分，具有约束作用。</w:t>
      </w:r>
    </w:p>
    <w:p>
      <w:pPr>
        <w:pStyle w:val="4"/>
        <w:shd w:val="clear"/>
        <w:adjustRightInd w:val="0"/>
        <w:snapToGrid w:val="0"/>
        <w:spacing w:before="0" w:after="0" w:line="360" w:lineRule="auto"/>
        <w:jc w:val="left"/>
        <w:rPr>
          <w:rFonts w:hint="eastAsia" w:ascii="宋体" w:hAnsi="宋体" w:eastAsia="宋体" w:cs="宋体"/>
          <w:color w:val="auto"/>
          <w:sz w:val="24"/>
          <w:szCs w:val="24"/>
          <w:highlight w:val="none"/>
        </w:rPr>
      </w:pPr>
      <w:bookmarkStart w:id="278" w:name="_Toc436834148"/>
      <w:bookmarkStart w:id="279" w:name="_Toc60859849"/>
      <w:bookmarkStart w:id="280" w:name="_Toc152042322"/>
      <w:bookmarkStart w:id="281" w:name="_Toc144974514"/>
      <w:bookmarkStart w:id="282" w:name="_Toc152045546"/>
      <w:bookmarkStart w:id="283" w:name="_Toc21535112"/>
      <w:bookmarkStart w:id="284" w:name="_Toc515980147"/>
      <w:bookmarkStart w:id="285" w:name="_Toc516265934"/>
      <w:bookmarkStart w:id="286" w:name="_Toc399165390"/>
      <w:bookmarkStart w:id="287" w:name="_Toc300834967"/>
      <w:bookmarkStart w:id="288" w:name="_Toc65361658"/>
      <w:bookmarkStart w:id="289" w:name="_Toc436834741"/>
      <w:bookmarkStart w:id="290" w:name="_Toc247527571"/>
      <w:bookmarkStart w:id="291" w:name="_Toc247513970"/>
      <w:r>
        <w:rPr>
          <w:rFonts w:hint="eastAsia" w:ascii="宋体" w:hAnsi="宋体" w:eastAsia="宋体" w:cs="宋体"/>
          <w:color w:val="auto"/>
          <w:sz w:val="24"/>
          <w:szCs w:val="24"/>
          <w:highlight w:val="none"/>
        </w:rPr>
        <w:t>3. 投标文件</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pPr>
        <w:pStyle w:val="5"/>
        <w:shd w:val="clear"/>
        <w:adjustRightInd w:val="0"/>
        <w:snapToGrid w:val="0"/>
        <w:spacing w:before="0" w:after="0" w:line="360" w:lineRule="auto"/>
        <w:ind w:firstLine="118"/>
        <w:jc w:val="left"/>
        <w:rPr>
          <w:rFonts w:hint="eastAsia" w:ascii="宋体" w:eastAsia="宋体" w:cs="宋体"/>
          <w:color w:val="auto"/>
          <w:sz w:val="24"/>
          <w:szCs w:val="24"/>
          <w:highlight w:val="none"/>
        </w:rPr>
      </w:pPr>
      <w:bookmarkStart w:id="292" w:name="_Toc21535113"/>
      <w:bookmarkStart w:id="293" w:name="_Toc65361659"/>
      <w:bookmarkStart w:id="294" w:name="_Toc384759593"/>
      <w:bookmarkStart w:id="295" w:name="_Toc152042323"/>
      <w:bookmarkStart w:id="296" w:name="_Toc436834742"/>
      <w:bookmarkStart w:id="297" w:name="_Toc515980148"/>
      <w:bookmarkStart w:id="298" w:name="_Toc247513971"/>
      <w:bookmarkStart w:id="299" w:name="_Toc436834149"/>
      <w:bookmarkStart w:id="300" w:name="_Toc247527572"/>
      <w:bookmarkStart w:id="301" w:name="_Toc60859850"/>
      <w:bookmarkStart w:id="302" w:name="_Toc152045547"/>
      <w:bookmarkStart w:id="303" w:name="_Toc144974515"/>
      <w:bookmarkStart w:id="304" w:name="_Toc516265935"/>
      <w:r>
        <w:rPr>
          <w:rFonts w:hint="eastAsia" w:ascii="宋体" w:eastAsia="宋体" w:cs="宋体"/>
          <w:color w:val="auto"/>
          <w:sz w:val="24"/>
          <w:szCs w:val="24"/>
          <w:highlight w:val="none"/>
        </w:rPr>
        <w:t>3.1 投标文件的组成</w:t>
      </w:r>
      <w:bookmarkEnd w:id="292"/>
      <w:bookmarkEnd w:id="293"/>
      <w:bookmarkEnd w:id="294"/>
      <w:bookmarkEnd w:id="295"/>
      <w:bookmarkEnd w:id="296"/>
      <w:bookmarkEnd w:id="297"/>
      <w:bookmarkEnd w:id="298"/>
      <w:bookmarkEnd w:id="299"/>
      <w:bookmarkEnd w:id="300"/>
      <w:bookmarkEnd w:id="301"/>
      <w:bookmarkEnd w:id="302"/>
      <w:bookmarkEnd w:id="303"/>
      <w:bookmarkEnd w:id="304"/>
    </w:p>
    <w:p>
      <w:pPr>
        <w:shd w:val="clear"/>
        <w:adjustRightInd w:val="0"/>
        <w:snapToGrid w:val="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3.1.1 </w:t>
      </w:r>
      <w:r>
        <w:rPr>
          <w:rFonts w:hint="eastAsia" w:ascii="宋体" w:hAnsi="宋体" w:cs="宋体"/>
          <w:color w:val="auto"/>
          <w:sz w:val="24"/>
          <w:szCs w:val="24"/>
          <w:highlight w:val="none"/>
          <w:u w:val="single"/>
        </w:rPr>
        <w:t>投标文件由工程总承包实施方案（含资格审查、投标报价）组成。如招标文件没有格式规定的，由投标人自行编制。</w:t>
      </w:r>
    </w:p>
    <w:p>
      <w:pPr>
        <w:shd w:val="clear"/>
        <w:adjustRightInd w:val="0"/>
        <w:snapToGrid w:val="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3.1.2工程总承包实施方案（含资格审查、投标报价）投标文件主要包括下列内容：</w:t>
      </w:r>
    </w:p>
    <w:p>
      <w:pPr>
        <w:shd w:val="clear"/>
        <w:adjustRightInd w:val="0"/>
        <w:snapToGrid w:val="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1.资格审查文件：</w:t>
      </w:r>
    </w:p>
    <w:p>
      <w:pPr>
        <w:shd w:val="clear"/>
        <w:adjustRightInd w:val="0"/>
        <w:snapToGrid w:val="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（1）投标单位法定代表人证明书及法定代表人授权委托证明书（联合体投标的，由联合体主办方提供）；</w:t>
      </w:r>
    </w:p>
    <w:p>
      <w:pPr>
        <w:shd w:val="clear"/>
        <w:adjustRightInd w:val="0"/>
        <w:snapToGrid w:val="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（2）企业营业执照扫描件（联合体投标的，联合体各方均提供）；</w:t>
      </w:r>
    </w:p>
    <w:p>
      <w:pPr>
        <w:shd w:val="clear"/>
        <w:adjustRightInd w:val="0"/>
        <w:snapToGrid w:val="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（3）资质证书扫描件（联合体投标的，联合体各方均提供）；</w:t>
      </w:r>
    </w:p>
    <w:p>
      <w:pPr>
        <w:shd w:val="clear"/>
        <w:adjustRightInd w:val="0"/>
        <w:snapToGrid w:val="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（4）安全生产许可证扫描件（联合体投标的，联合体主办方均提供）；</w:t>
      </w:r>
    </w:p>
    <w:p>
      <w:pPr>
        <w:shd w:val="clear"/>
        <w:adjustRightInd w:val="0"/>
        <w:snapToGrid w:val="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（5）投标人（或联合体主办方）拟派项目负责人（兼施工负责人，以投标登记时选取的项目负责人为准）的建造师注册证书的扫描件；</w:t>
      </w:r>
    </w:p>
    <w:p>
      <w:pPr>
        <w:shd w:val="clear"/>
        <w:adjustRightInd w:val="0"/>
        <w:snapToGrid w:val="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（6）投标人（或联合体主办方）拟派项目负责人（兼施工负责人）在有效期内的安全</w:t>
      </w:r>
      <w:r>
        <w:rPr>
          <w:rFonts w:hint="eastAsia" w:ascii="宋体" w:hAnsi="宋体" w:cs="宋体"/>
          <w:b/>
          <w:bCs/>
          <w:color w:val="auto"/>
          <w:sz w:val="24"/>
          <w:szCs w:val="24"/>
          <w:highlight w:val="none"/>
          <w:u w:val="single"/>
        </w:rPr>
        <w:t>生产</w:t>
      </w:r>
      <w:r>
        <w:rPr>
          <w:rFonts w:hint="eastAsia" w:ascii="宋体" w:hAnsi="宋体" w:cs="宋体"/>
          <w:color w:val="auto"/>
          <w:sz w:val="24"/>
          <w:szCs w:val="24"/>
          <w:highlight w:val="none"/>
          <w:u w:val="single"/>
        </w:rPr>
        <w:t>考核合格证（B类），或建筑施工企业项目负责人安全生产考核合格证书扫描件；</w:t>
      </w:r>
    </w:p>
    <w:p>
      <w:pPr>
        <w:shd w:val="clear"/>
        <w:adjustRightInd w:val="0"/>
        <w:snapToGrid w:val="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（7）投标人（或联合体设计方）拟派设计负责人（以投标登记时选取的设计负责人为准）的注册公用设备工程师（给水排水）证书或给排水相关专业职称证书扫描件；</w:t>
      </w:r>
    </w:p>
    <w:p>
      <w:pPr>
        <w:shd w:val="clear"/>
        <w:adjustRightInd w:val="0"/>
        <w:snapToGrid w:val="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（8）投标人（或联合体主办方）拟派专职安全员（以投标登记时选取的专职安全员为准）须具有在有效期内安全生产考核合格证（C类），或</w:t>
      </w:r>
      <w:r>
        <w:rPr>
          <w:rFonts w:hint="eastAsia" w:ascii="宋体" w:hAnsi="宋体" w:cs="宋体"/>
          <w:color w:val="auto"/>
          <w:kern w:val="0"/>
          <w:sz w:val="24"/>
          <w:szCs w:val="24"/>
          <w:highlight w:val="none"/>
          <w:u w:val="single"/>
        </w:rPr>
        <w:t>建筑施工企业专职安全生产管理人员安全生产考核合格证书（C3）</w:t>
      </w:r>
      <w:r>
        <w:rPr>
          <w:rFonts w:hint="eastAsia" w:ascii="宋体" w:hAnsi="宋体" w:cs="宋体"/>
          <w:color w:val="auto"/>
          <w:sz w:val="24"/>
          <w:szCs w:val="24"/>
          <w:highlight w:val="none"/>
          <w:u w:val="single"/>
        </w:rPr>
        <w:t>扫描件；</w:t>
      </w:r>
    </w:p>
    <w:p>
      <w:pPr>
        <w:shd w:val="clear"/>
        <w:adjustRightInd w:val="0"/>
        <w:snapToGrid w:val="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（9）按招标公告附件一盖章签署的《投标人声明》；</w:t>
      </w:r>
    </w:p>
    <w:p>
      <w:pPr>
        <w:shd w:val="clear"/>
        <w:adjustRightInd w:val="0"/>
        <w:snapToGrid w:val="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（10）按招标公告附件二盖章签署的联合体投标协议书（如有）； </w:t>
      </w:r>
    </w:p>
    <w:p>
      <w:pPr>
        <w:shd w:val="clear"/>
        <w:adjustRightInd w:val="0"/>
        <w:snapToGrid w:val="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11）投标人（若为联合体投标，指联合体各方）须在广州公共资源交易中心企业库办理企业信息登记及拟担任本工程项目负责人（兼施工负责人）、专职安全员、设计负责人须是本企业登记信息中的在册人员。（联合体投标的，企业登记信息和人员在册情况为联合体共同投标协议书中分工对应在广州公共资源交易中心企业库内信息。信息取自投标截止时间投标人在广州公共资源交易中心企业库登记的信息，广州公共资源交易中心企业库中该部分信息将被视为投标人递交资格审查资料的一部分，投标文件中可不提供相关证明材料</w:t>
      </w:r>
      <w:r>
        <w:rPr>
          <w:rFonts w:hint="eastAsia" w:ascii="宋体" w:hAnsi="宋体" w:cs="宋体"/>
          <w:color w:val="auto"/>
          <w:sz w:val="24"/>
          <w:szCs w:val="24"/>
          <w:highlight w:val="none"/>
        </w:rPr>
        <w:t>）；</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（12）投标人认为应该提供的其他资料。</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2.投标书；</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3.投标承诺函；</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4.投标人基本情况表；</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5.企业资信证明资料（如有）；</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6.拟派项目管理团队人员证明资料；</w:t>
      </w:r>
    </w:p>
    <w:p>
      <w:pPr>
        <w:shd w:val="clear"/>
        <w:tabs>
          <w:tab w:val="left" w:pos="8400"/>
        </w:tabs>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7.工程实施方案（包括设计和施工的融合措施、绿色节能控制措施、劳动力投入措施、进度控制措施等）；</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8.投标文件编制人员名单；</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9.投标人认为应该提供的其他资料。</w:t>
      </w:r>
    </w:p>
    <w:p>
      <w:pPr>
        <w:pStyle w:val="5"/>
        <w:shd w:val="clear"/>
        <w:adjustRightInd w:val="0"/>
        <w:snapToGrid w:val="0"/>
        <w:spacing w:before="0" w:after="0" w:line="360" w:lineRule="auto"/>
        <w:ind w:firstLine="118"/>
        <w:jc w:val="left"/>
        <w:rPr>
          <w:rFonts w:hint="eastAsia" w:ascii="宋体" w:eastAsia="宋体" w:cs="宋体"/>
          <w:color w:val="auto"/>
          <w:sz w:val="24"/>
          <w:szCs w:val="24"/>
          <w:highlight w:val="none"/>
        </w:rPr>
      </w:pPr>
      <w:bookmarkStart w:id="305" w:name="_Toc515980149"/>
      <w:bookmarkStart w:id="306" w:name="_Toc247527573"/>
      <w:bookmarkStart w:id="307" w:name="_Toc247513972"/>
      <w:bookmarkStart w:id="308" w:name="_Toc65361660"/>
      <w:bookmarkStart w:id="309" w:name="_Toc516265936"/>
      <w:bookmarkStart w:id="310" w:name="_Toc436834150"/>
      <w:bookmarkStart w:id="311" w:name="_Toc300834969"/>
      <w:bookmarkStart w:id="312" w:name="_Toc21535114"/>
      <w:bookmarkStart w:id="313" w:name="_Toc144974516"/>
      <w:bookmarkStart w:id="314" w:name="_Toc60859851"/>
      <w:bookmarkStart w:id="315" w:name="_Toc399165392"/>
      <w:bookmarkStart w:id="316" w:name="_Toc436834743"/>
      <w:bookmarkStart w:id="317" w:name="_Toc152045548"/>
      <w:bookmarkStart w:id="318" w:name="_Toc152042324"/>
      <w:r>
        <w:rPr>
          <w:rFonts w:hint="eastAsia" w:ascii="宋体" w:eastAsia="宋体" w:cs="宋体"/>
          <w:color w:val="auto"/>
          <w:sz w:val="24"/>
          <w:szCs w:val="24"/>
          <w:highlight w:val="none"/>
        </w:rPr>
        <w:t>3.2 投标报价</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bookmarkStart w:id="319" w:name="_Toc436834151"/>
      <w:bookmarkStart w:id="320" w:name="_Toc516265937"/>
      <w:bookmarkStart w:id="321" w:name="_Toc144974517"/>
      <w:bookmarkStart w:id="322" w:name="_Toc152042325"/>
      <w:bookmarkStart w:id="323" w:name="_Toc65361661"/>
      <w:bookmarkStart w:id="324" w:name="_Toc436834744"/>
      <w:bookmarkStart w:id="325" w:name="_Toc247513973"/>
      <w:bookmarkStart w:id="326" w:name="_Toc515980150"/>
      <w:bookmarkStart w:id="327" w:name="_Toc152045549"/>
      <w:bookmarkStart w:id="328" w:name="_Toc300834970"/>
      <w:bookmarkStart w:id="329" w:name="_Toc247527574"/>
      <w:bookmarkStart w:id="330" w:name="_Toc399165393"/>
      <w:bookmarkStart w:id="331" w:name="_Toc21535115"/>
      <w:bookmarkStart w:id="332" w:name="_Toc60859852"/>
      <w:r>
        <w:rPr>
          <w:rFonts w:hint="eastAsia" w:ascii="宋体" w:hAnsi="宋体" w:cs="宋体"/>
          <w:color w:val="auto"/>
          <w:sz w:val="24"/>
          <w:szCs w:val="24"/>
          <w:highlight w:val="none"/>
        </w:rPr>
        <w:t>3.2.1 投标人应按第七章“投标文件格式”的要求填写价格清单。</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3.2.2 投标人应充分了解施工场地的位置、周边环境、道路、装卸、保管、安装限制以及影响投标报价的其他要素。投标人根据投标设计，结合市场情况进行投标报价。</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3.2.3 投标人在投标截止时间前修改投标函中的投标报价总额，应同时修改投标文件“价格清单”中的相应报价，投标报价总额为各分项金额之和。此修改须符合本章第4.3款的有关要求。</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3.2.4 招标人设有最高投标限价的，投标人的投标报价不得超过最高投标限价，最高投标限价或其计算方法在投标人须知前附表中载明。</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3.2.5 投标报价的其他要求见投标人须知前附表。</w:t>
      </w:r>
    </w:p>
    <w:p>
      <w:pPr>
        <w:shd w:val="clear"/>
        <w:adjustRightInd w:val="0"/>
        <w:snapToGrid w:val="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3.2.6投标人的投标总报价，应是按照投标须知前附表的工期要求，在投标须知前附表的建设地点，完成投标须知前附表的招标范围内列明工作的全部费用，包括但不限于完成工作的成本、利润、税金、技术措施费、大型机械进出场费、风险费以及政策性文件规定费用等所有费用，不得以任何理由予以重复计算。</w:t>
      </w:r>
    </w:p>
    <w:p>
      <w:pPr>
        <w:pStyle w:val="5"/>
        <w:shd w:val="clear"/>
        <w:adjustRightInd w:val="0"/>
        <w:snapToGrid w:val="0"/>
        <w:spacing w:before="0" w:after="0" w:line="360" w:lineRule="auto"/>
        <w:ind w:firstLine="118"/>
        <w:jc w:val="left"/>
        <w:rPr>
          <w:rFonts w:hint="eastAsia" w:ascii="宋体" w:eastAsia="宋体" w:cs="宋体"/>
          <w:color w:val="auto"/>
          <w:sz w:val="24"/>
          <w:szCs w:val="24"/>
          <w:highlight w:val="none"/>
        </w:rPr>
      </w:pPr>
      <w:r>
        <w:rPr>
          <w:rFonts w:hint="eastAsia" w:ascii="宋体" w:eastAsia="宋体" w:cs="宋体"/>
          <w:color w:val="auto"/>
          <w:sz w:val="24"/>
          <w:szCs w:val="24"/>
          <w:highlight w:val="none"/>
        </w:rPr>
        <w:t>3.3 投标有效期</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3.3.1 除投标人须知前附表另有规定外，投标有效期为120天。</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3.3.2 在投标有效期内，投标人撤销或修改其投标文件的，应承担招标文件和法律规定的责任。</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5"/>
        <w:shd w:val="clear"/>
        <w:adjustRightInd w:val="0"/>
        <w:snapToGrid w:val="0"/>
        <w:spacing w:before="0" w:after="0" w:line="360" w:lineRule="auto"/>
        <w:ind w:firstLine="118"/>
        <w:jc w:val="left"/>
        <w:rPr>
          <w:rFonts w:hint="eastAsia" w:ascii="宋体" w:eastAsia="宋体" w:cs="宋体"/>
          <w:strike/>
          <w:color w:val="auto"/>
          <w:sz w:val="24"/>
          <w:szCs w:val="24"/>
          <w:highlight w:val="none"/>
        </w:rPr>
      </w:pPr>
      <w:bookmarkStart w:id="333" w:name="_Toc516265938"/>
      <w:bookmarkStart w:id="334" w:name="_Toc399165394"/>
      <w:bookmarkStart w:id="335" w:name="_Toc60859853"/>
      <w:bookmarkStart w:id="336" w:name="_Toc300834971"/>
      <w:bookmarkStart w:id="337" w:name="_Toc247527575"/>
      <w:bookmarkStart w:id="338" w:name="_Toc247513974"/>
      <w:bookmarkStart w:id="339" w:name="_Toc21535116"/>
      <w:bookmarkStart w:id="340" w:name="_Toc515980151"/>
      <w:bookmarkStart w:id="341" w:name="_Toc152042326"/>
      <w:bookmarkStart w:id="342" w:name="_Toc65361662"/>
      <w:bookmarkStart w:id="343" w:name="_Toc436834745"/>
      <w:bookmarkStart w:id="344" w:name="_Toc152045550"/>
      <w:bookmarkStart w:id="345" w:name="_Toc436834152"/>
      <w:bookmarkStart w:id="346" w:name="_Toc144974518"/>
      <w:r>
        <w:rPr>
          <w:rFonts w:hint="eastAsia" w:ascii="宋体" w:eastAsia="宋体" w:cs="宋体"/>
          <w:strike/>
          <w:color w:val="auto"/>
          <w:sz w:val="24"/>
          <w:szCs w:val="24"/>
          <w:highlight w:val="none"/>
        </w:rPr>
        <w:t>3.4 投标担保</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pPr>
        <w:shd w:val="clear"/>
        <w:adjustRightInd w:val="0"/>
        <w:snapToGrid w:val="0"/>
        <w:spacing w:line="360" w:lineRule="auto"/>
        <w:ind w:firstLine="360" w:firstLineChars="150"/>
        <w:jc w:val="left"/>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3.4.1 投标人在递交投标文件的同时，应按投标人须知前附表规定的金额、担保形式和第七章“投标文件格式”规定的投标保证金格式递交投标保证金，并作为其投标文件的组成部分。联合体投标的，其投标保证金由牵头人递交，并应符合投标人须知前附表的规定。</w:t>
      </w:r>
    </w:p>
    <w:p>
      <w:pPr>
        <w:shd w:val="clear"/>
        <w:adjustRightInd w:val="0"/>
        <w:snapToGrid w:val="0"/>
        <w:spacing w:line="360" w:lineRule="auto"/>
        <w:ind w:firstLine="360" w:firstLineChars="150"/>
        <w:jc w:val="left"/>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3.4.2 投标人不按本章第3.4.1项要求提交投标保证金的，评标委员会将否决其投标。</w:t>
      </w:r>
    </w:p>
    <w:p>
      <w:pPr>
        <w:shd w:val="clear"/>
        <w:adjustRightInd w:val="0"/>
        <w:snapToGrid w:val="0"/>
        <w:spacing w:line="360" w:lineRule="auto"/>
        <w:ind w:firstLine="360" w:firstLineChars="150"/>
        <w:jc w:val="left"/>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3.4.3 招标人与中标人签订合同后5日内，向未中标的投标人和中标人退还投标保证金及同期银行存款利息。</w:t>
      </w:r>
    </w:p>
    <w:p>
      <w:pPr>
        <w:shd w:val="clear"/>
        <w:adjustRightInd w:val="0"/>
        <w:snapToGrid w:val="0"/>
        <w:spacing w:line="360" w:lineRule="auto"/>
        <w:ind w:firstLine="360" w:firstLineChars="150"/>
        <w:jc w:val="left"/>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 xml:space="preserve">3.4.4 有下列情形之一的，投标保证金将不予退还： </w:t>
      </w:r>
    </w:p>
    <w:p>
      <w:pPr>
        <w:shd w:val="clear"/>
        <w:adjustRightInd w:val="0"/>
        <w:snapToGrid w:val="0"/>
        <w:spacing w:line="360" w:lineRule="auto"/>
        <w:ind w:firstLine="360" w:firstLineChars="150"/>
        <w:jc w:val="left"/>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（1）投标人在规定的投标有效期内撤销或修改其投标文件；</w:t>
      </w:r>
    </w:p>
    <w:p>
      <w:pPr>
        <w:shd w:val="clear"/>
        <w:adjustRightInd w:val="0"/>
        <w:snapToGrid w:val="0"/>
        <w:spacing w:line="360" w:lineRule="auto"/>
        <w:ind w:firstLine="360" w:firstLineChars="150"/>
        <w:jc w:val="left"/>
        <w:rPr>
          <w:rFonts w:hint="eastAsia" w:ascii="宋体" w:hAnsi="宋体" w:cs="宋体"/>
          <w:color w:val="auto"/>
          <w:sz w:val="24"/>
          <w:szCs w:val="24"/>
          <w:highlight w:val="none"/>
        </w:rPr>
      </w:pPr>
      <w:r>
        <w:rPr>
          <w:rFonts w:hint="eastAsia" w:ascii="宋体" w:hAnsi="宋体" w:cs="宋体"/>
          <w:strike/>
          <w:color w:val="auto"/>
          <w:sz w:val="24"/>
          <w:szCs w:val="24"/>
          <w:highlight w:val="none"/>
        </w:rPr>
        <w:t>（2）中标人在收到中标通知书后，无正当理由拒签合同或未按招标文件规定提交履约担保。</w:t>
      </w:r>
    </w:p>
    <w:p>
      <w:pPr>
        <w:pStyle w:val="5"/>
        <w:shd w:val="clear"/>
        <w:adjustRightInd w:val="0"/>
        <w:snapToGrid w:val="0"/>
        <w:spacing w:before="0" w:after="0" w:line="360" w:lineRule="auto"/>
        <w:ind w:firstLine="0" w:firstLineChars="0"/>
        <w:jc w:val="left"/>
        <w:rPr>
          <w:rFonts w:hint="eastAsia" w:ascii="宋体" w:eastAsia="宋体" w:cs="宋体"/>
          <w:color w:val="auto"/>
          <w:sz w:val="24"/>
          <w:szCs w:val="24"/>
          <w:highlight w:val="none"/>
        </w:rPr>
      </w:pPr>
      <w:bookmarkStart w:id="347" w:name="_Toc247527576"/>
      <w:bookmarkStart w:id="348" w:name="_Toc247513975"/>
      <w:bookmarkStart w:id="349" w:name="_Toc152045551"/>
      <w:bookmarkStart w:id="350" w:name="_Toc152042327"/>
      <w:bookmarkStart w:id="351" w:name="_Toc300834972"/>
      <w:bookmarkStart w:id="352" w:name="_Toc436834153"/>
      <w:bookmarkStart w:id="353" w:name="_Toc144974519"/>
      <w:bookmarkStart w:id="354" w:name="_Toc516265939"/>
      <w:bookmarkStart w:id="355" w:name="_Toc60859854"/>
      <w:bookmarkStart w:id="356" w:name="_Toc65361663"/>
      <w:bookmarkStart w:id="357" w:name="_Toc399165395"/>
      <w:bookmarkStart w:id="358" w:name="_Toc436834746"/>
      <w:bookmarkStart w:id="359" w:name="_Toc515980152"/>
      <w:bookmarkStart w:id="360" w:name="_Toc21535117"/>
      <w:r>
        <w:rPr>
          <w:rFonts w:hint="eastAsia" w:ascii="宋体" w:eastAsia="宋体" w:cs="宋体"/>
          <w:color w:val="auto"/>
          <w:sz w:val="24"/>
          <w:szCs w:val="24"/>
          <w:highlight w:val="none"/>
        </w:rPr>
        <w:t>3.5 资格审查资料</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Pr>
          <w:rFonts w:hint="eastAsia" w:ascii="宋体" w:eastAsia="宋体" w:cs="宋体"/>
          <w:color w:val="auto"/>
          <w:sz w:val="24"/>
          <w:szCs w:val="24"/>
          <w:highlight w:val="none"/>
        </w:rPr>
        <w:t>（适用于已进行资格预审的）</w:t>
      </w:r>
    </w:p>
    <w:p>
      <w:pPr>
        <w:shd w:val="clear"/>
        <w:adjustRightInd w:val="0"/>
        <w:snapToGrid w:val="0"/>
        <w:spacing w:line="360" w:lineRule="auto"/>
        <w:ind w:left="105" w:leftChars="50" w:firstLine="480" w:firstLineChars="200"/>
        <w:jc w:val="left"/>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投标人在递交投标文件前，发生可能影响其投标资格的新情况的，应更新或补充其在申请资格预审时提供的资料，以证实其各项资格条件仍能继续满足资格预审文件的要求，且没有实质性降低。</w:t>
      </w:r>
    </w:p>
    <w:p>
      <w:pPr>
        <w:pStyle w:val="5"/>
        <w:shd w:val="clear"/>
        <w:adjustRightInd w:val="0"/>
        <w:snapToGrid w:val="0"/>
        <w:spacing w:before="0" w:after="0" w:line="360" w:lineRule="auto"/>
        <w:ind w:firstLine="118"/>
        <w:jc w:val="left"/>
        <w:rPr>
          <w:rFonts w:hint="eastAsia" w:ascii="宋体" w:eastAsia="宋体" w:cs="宋体"/>
          <w:color w:val="auto"/>
          <w:sz w:val="24"/>
          <w:szCs w:val="24"/>
          <w:highlight w:val="none"/>
        </w:rPr>
      </w:pPr>
      <w:bookmarkStart w:id="361" w:name="_Toc516265940"/>
      <w:bookmarkStart w:id="362" w:name="_Toc300834974"/>
      <w:bookmarkStart w:id="363" w:name="_Toc152045553"/>
      <w:bookmarkStart w:id="364" w:name="_Toc144974521"/>
      <w:bookmarkStart w:id="365" w:name="_Toc21535118"/>
      <w:bookmarkStart w:id="366" w:name="_Toc65361664"/>
      <w:bookmarkStart w:id="367" w:name="_Toc515980153"/>
      <w:bookmarkStart w:id="368" w:name="_Toc436834154"/>
      <w:bookmarkStart w:id="369" w:name="_Toc60859856"/>
      <w:bookmarkStart w:id="370" w:name="_Toc247513977"/>
      <w:bookmarkStart w:id="371" w:name="_Toc247527578"/>
      <w:bookmarkStart w:id="372" w:name="_Toc399165396"/>
      <w:bookmarkStart w:id="373" w:name="_Toc152042329"/>
      <w:bookmarkStart w:id="374" w:name="_Toc436834747"/>
      <w:r>
        <w:rPr>
          <w:rFonts w:hint="eastAsia" w:ascii="宋体" w:eastAsia="宋体" w:cs="宋体"/>
          <w:color w:val="auto"/>
          <w:sz w:val="24"/>
          <w:szCs w:val="24"/>
          <w:highlight w:val="none"/>
        </w:rPr>
        <w:t>3.6 资格审查资料（适用于未进行资格预审的）</w:t>
      </w:r>
    </w:p>
    <w:p>
      <w:pPr>
        <w:shd w:val="clear"/>
        <w:spacing w:line="360" w:lineRule="auto"/>
        <w:ind w:left="105" w:leftChars="5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3.5.1 “投标人基本情况表”应附投标人营业执照</w:t>
      </w:r>
      <w:r>
        <w:rPr>
          <w:rFonts w:hint="eastAsia" w:ascii="宋体" w:hAnsi="宋体" w:cs="宋体"/>
          <w:strike/>
          <w:color w:val="auto"/>
          <w:sz w:val="24"/>
          <w:szCs w:val="24"/>
          <w:highlight w:val="none"/>
        </w:rPr>
        <w:t>及其年检合格的证明材料</w:t>
      </w:r>
      <w:r>
        <w:rPr>
          <w:rFonts w:hint="eastAsia" w:ascii="宋体" w:hAnsi="宋体" w:cs="宋体"/>
          <w:color w:val="auto"/>
          <w:sz w:val="24"/>
          <w:szCs w:val="24"/>
          <w:highlight w:val="none"/>
        </w:rPr>
        <w:t>、资质证书副本等材料的复印件。</w:t>
      </w:r>
    </w:p>
    <w:p>
      <w:pPr>
        <w:shd w:val="clear"/>
        <w:spacing w:line="360" w:lineRule="auto"/>
        <w:ind w:left="105" w:leftChars="50" w:firstLine="480"/>
        <w:rPr>
          <w:rFonts w:hint="eastAsia" w:ascii="宋体" w:hAnsi="宋体" w:cs="宋体"/>
          <w:strike/>
          <w:color w:val="auto"/>
          <w:sz w:val="24"/>
          <w:szCs w:val="24"/>
          <w:highlight w:val="none"/>
          <w:u w:val="single"/>
        </w:rPr>
      </w:pPr>
      <w:r>
        <w:rPr>
          <w:rFonts w:hint="eastAsia" w:ascii="宋体" w:hAnsi="宋体" w:cs="宋体"/>
          <w:strike/>
          <w:color w:val="auto"/>
          <w:sz w:val="24"/>
          <w:szCs w:val="24"/>
          <w:highlight w:val="none"/>
          <w:u w:val="single"/>
        </w:rPr>
        <w:t>3.5.2 “近年财务状况表”应附经会计师事务所或审计机构审计的财务会计报表，包括资产负债表、现金流量表、利润表和财务情况说明书等复印件，具体年份要求见投标人须知前附表。</w:t>
      </w:r>
    </w:p>
    <w:p>
      <w:pPr>
        <w:shd w:val="clear"/>
        <w:adjustRightInd w:val="0"/>
        <w:snapToGrid w:val="0"/>
        <w:spacing w:line="360" w:lineRule="auto"/>
        <w:ind w:left="105" w:leftChars="50" w:firstLine="480"/>
        <w:jc w:val="left"/>
        <w:rPr>
          <w:rFonts w:hint="eastAsia" w:ascii="宋体" w:hAnsi="宋体" w:cs="宋体"/>
          <w:strike/>
          <w:color w:val="auto"/>
          <w:sz w:val="24"/>
          <w:szCs w:val="24"/>
          <w:highlight w:val="none"/>
          <w:u w:val="single"/>
        </w:rPr>
      </w:pPr>
      <w:r>
        <w:rPr>
          <w:rFonts w:hint="eastAsia" w:ascii="宋体" w:hAnsi="宋体" w:cs="宋体"/>
          <w:strike/>
          <w:color w:val="auto"/>
          <w:sz w:val="24"/>
          <w:szCs w:val="24"/>
          <w:highlight w:val="none"/>
          <w:u w:val="single"/>
        </w:rPr>
        <w:t>3.5.3 “近年完成的类似设计施工总承包项目情况表”应附中标通知书和（或）合同协议书、工程接收证书（工程竣工验收证书）复印件；或“近年完成的类似工程设计项目情况表”应附中标通知书和（或）合同协议书、发包人出具的证明文件；“近年完成的类似施工项目情况表”应附中标通知书和（或）合同协议书、工程接收证书（工程竣工验收证书）复印件。具体年份要求见投标人须知前附表，每张表格只填写一个项目，并标明序号。</w:t>
      </w:r>
    </w:p>
    <w:p>
      <w:pPr>
        <w:shd w:val="clear"/>
        <w:adjustRightInd w:val="0"/>
        <w:snapToGrid w:val="0"/>
        <w:spacing w:line="360" w:lineRule="auto"/>
        <w:ind w:left="105" w:leftChars="50" w:firstLine="480"/>
        <w:jc w:val="left"/>
        <w:rPr>
          <w:rFonts w:hint="eastAsia" w:ascii="宋体" w:hAnsi="宋体" w:cs="宋体"/>
          <w:strike/>
          <w:color w:val="auto"/>
          <w:sz w:val="24"/>
          <w:szCs w:val="24"/>
          <w:highlight w:val="none"/>
          <w:u w:val="single"/>
        </w:rPr>
      </w:pPr>
      <w:r>
        <w:rPr>
          <w:rFonts w:hint="eastAsia" w:ascii="宋体" w:hAnsi="宋体" w:cs="宋体"/>
          <w:strike/>
          <w:color w:val="auto"/>
          <w:sz w:val="24"/>
          <w:szCs w:val="24"/>
          <w:highlight w:val="none"/>
          <w:u w:val="single"/>
        </w:rPr>
        <w:t>3.5.4 “正在实施和新承接的项目情况表”应附中标通知书和（或）合同协议书复印件。每张表格只填写一个项目，并标明序号。</w:t>
      </w:r>
    </w:p>
    <w:p>
      <w:pPr>
        <w:shd w:val="clear"/>
        <w:adjustRightInd w:val="0"/>
        <w:snapToGrid w:val="0"/>
        <w:spacing w:line="360" w:lineRule="auto"/>
        <w:ind w:left="105" w:leftChars="50" w:firstLine="480"/>
        <w:jc w:val="left"/>
        <w:rPr>
          <w:rFonts w:hint="eastAsia" w:ascii="宋体" w:hAnsi="宋体" w:cs="宋体"/>
          <w:strike/>
          <w:color w:val="auto"/>
          <w:sz w:val="24"/>
          <w:szCs w:val="24"/>
          <w:highlight w:val="none"/>
          <w:u w:val="single"/>
        </w:rPr>
      </w:pPr>
      <w:r>
        <w:rPr>
          <w:rFonts w:hint="eastAsia" w:ascii="宋体" w:hAnsi="宋体" w:cs="宋体"/>
          <w:strike/>
          <w:color w:val="auto"/>
          <w:sz w:val="24"/>
          <w:szCs w:val="24"/>
          <w:highlight w:val="none"/>
          <w:u w:val="single"/>
        </w:rPr>
        <w:t>3.5.5 “近年发生的重大诉讼及仲裁情况”应说明相关情况，并附法院或仲裁机构作出的判决、裁决等有关法律文书复印件，具体年份要求见投标人须知前附表。</w:t>
      </w:r>
    </w:p>
    <w:p>
      <w:pPr>
        <w:shd w:val="clear"/>
        <w:adjustRightInd w:val="0"/>
        <w:snapToGrid w:val="0"/>
        <w:spacing w:line="360" w:lineRule="auto"/>
        <w:ind w:left="105" w:leftChars="50"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3.5.6 投标人须知前附表规定接受联合体投标的，本章第3.5.1项至第3.5.5项规定的表格和资料应包括联合体各方相关情况。</w:t>
      </w:r>
    </w:p>
    <w:p>
      <w:pPr>
        <w:pStyle w:val="5"/>
        <w:shd w:val="clear"/>
        <w:adjustRightInd w:val="0"/>
        <w:snapToGrid w:val="0"/>
        <w:spacing w:before="0" w:after="0" w:line="360" w:lineRule="auto"/>
        <w:ind w:firstLine="0" w:firstLineChars="0"/>
        <w:jc w:val="left"/>
        <w:rPr>
          <w:rFonts w:hint="eastAsia" w:ascii="宋体" w:eastAsia="宋体" w:cs="宋体"/>
          <w:color w:val="auto"/>
          <w:sz w:val="24"/>
          <w:szCs w:val="24"/>
          <w:highlight w:val="none"/>
        </w:rPr>
      </w:pPr>
      <w:r>
        <w:rPr>
          <w:rFonts w:hint="eastAsia" w:ascii="宋体" w:eastAsia="宋体" w:cs="宋体"/>
          <w:color w:val="auto"/>
          <w:sz w:val="24"/>
          <w:szCs w:val="24"/>
          <w:highlight w:val="none"/>
        </w:rPr>
        <w:t>3.6备选投标方案</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pPr>
        <w:shd w:val="clear"/>
        <w:tabs>
          <w:tab w:val="left" w:pos="8040"/>
        </w:tabs>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5"/>
        <w:shd w:val="clear"/>
        <w:adjustRightInd w:val="0"/>
        <w:snapToGrid w:val="0"/>
        <w:spacing w:before="0" w:after="0" w:line="360" w:lineRule="auto"/>
        <w:ind w:firstLine="118"/>
        <w:jc w:val="left"/>
        <w:rPr>
          <w:rFonts w:hint="eastAsia" w:ascii="宋体" w:eastAsia="宋体" w:cs="宋体"/>
          <w:color w:val="auto"/>
          <w:sz w:val="24"/>
          <w:szCs w:val="24"/>
          <w:highlight w:val="none"/>
        </w:rPr>
      </w:pPr>
      <w:bookmarkStart w:id="375" w:name="_Toc144974522"/>
      <w:bookmarkStart w:id="376" w:name="_Toc436834748"/>
      <w:bookmarkStart w:id="377" w:name="_Toc21535119"/>
      <w:bookmarkStart w:id="378" w:name="_Toc515980154"/>
      <w:bookmarkStart w:id="379" w:name="_Toc300834975"/>
      <w:bookmarkStart w:id="380" w:name="_Toc152042330"/>
      <w:bookmarkStart w:id="381" w:name="_Toc436834155"/>
      <w:bookmarkStart w:id="382" w:name="_Toc65361665"/>
      <w:bookmarkStart w:id="383" w:name="_Toc152045554"/>
      <w:bookmarkStart w:id="384" w:name="_Toc247527579"/>
      <w:bookmarkStart w:id="385" w:name="_Toc399165397"/>
      <w:bookmarkStart w:id="386" w:name="_Toc516265941"/>
      <w:bookmarkStart w:id="387" w:name="_Toc60859857"/>
      <w:bookmarkStart w:id="388" w:name="_Toc247513978"/>
      <w:r>
        <w:rPr>
          <w:rFonts w:hint="eastAsia" w:ascii="宋体" w:eastAsia="宋体" w:cs="宋体"/>
          <w:color w:val="auto"/>
          <w:sz w:val="24"/>
          <w:szCs w:val="24"/>
          <w:highlight w:val="none"/>
        </w:rPr>
        <w:t>3.7 投标文件的编制</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pPr>
        <w:shd w:val="clear"/>
        <w:adjustRightInd w:val="0"/>
        <w:snapToGrid w:val="0"/>
        <w:spacing w:line="360" w:lineRule="auto"/>
        <w:ind w:firstLine="480" w:firstLineChars="200"/>
        <w:jc w:val="left"/>
        <w:rPr>
          <w:rFonts w:hint="eastAsia" w:ascii="宋体" w:hAnsi="宋体" w:cs="宋体"/>
          <w:color w:val="auto"/>
          <w:sz w:val="24"/>
          <w:szCs w:val="24"/>
          <w:highlight w:val="none"/>
          <w:u w:val="single"/>
        </w:rPr>
      </w:pPr>
      <w:bookmarkStart w:id="389" w:name="_Toc152042331"/>
      <w:bookmarkStart w:id="390" w:name="_Toc436834749"/>
      <w:bookmarkStart w:id="391" w:name="_Toc144974523"/>
      <w:bookmarkStart w:id="392" w:name="_Toc247513979"/>
      <w:bookmarkStart w:id="393" w:name="_Toc436834156"/>
      <w:bookmarkStart w:id="394" w:name="_Toc247527580"/>
      <w:bookmarkStart w:id="395" w:name="_Toc152045555"/>
      <w:bookmarkStart w:id="396" w:name="_Toc384759600"/>
      <w:bookmarkStart w:id="397" w:name="_Toc144974525"/>
      <w:bookmarkStart w:id="398" w:name="_Toc247527582"/>
      <w:bookmarkStart w:id="399" w:name="_Toc247513981"/>
      <w:bookmarkStart w:id="400" w:name="_Toc300834978"/>
      <w:bookmarkStart w:id="401" w:name="_Toc152045557"/>
      <w:bookmarkStart w:id="402" w:name="_Toc399165400"/>
      <w:bookmarkStart w:id="403" w:name="_Toc152042333"/>
      <w:r>
        <w:rPr>
          <w:rFonts w:hint="eastAsia" w:ascii="宋体" w:hAnsi="宋体" w:cs="宋体"/>
          <w:color w:val="auto"/>
          <w:sz w:val="24"/>
          <w:szCs w:val="24"/>
          <w:highlight w:val="none"/>
        </w:rPr>
        <w:t>3.7.1 投标文件应按第七章“投标文件格式”进行编写，如有必要，可以增加附页，作为投标文件的组成部分。其中，投标函附录在满足招标文件实质性要求的基础上，可以提出比招标文件要求更有利于招标人的承诺。</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3.7.2 投标文件应当对招标文件有关招标范围、投标有效期、工期、质量标准、发包人要求等实质性内容作出响应。</w:t>
      </w:r>
    </w:p>
    <w:p>
      <w:pPr>
        <w:shd w:val="clear"/>
        <w:adjustRightInd w:val="0"/>
        <w:snapToGrid w:val="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3.7.3</w:t>
      </w:r>
      <w:r>
        <w:rPr>
          <w:rFonts w:hint="eastAsia" w:ascii="宋体" w:hAnsi="宋体" w:cs="宋体"/>
          <w:color w:val="auto"/>
          <w:sz w:val="24"/>
          <w:szCs w:val="24"/>
          <w:highlight w:val="none"/>
          <w:u w:val="single"/>
        </w:rPr>
        <w:t>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shd w:val="clear"/>
        <w:adjustRightInd w:val="0"/>
        <w:snapToGrid w:val="0"/>
        <w:spacing w:line="360" w:lineRule="auto"/>
        <w:ind w:firstLine="480" w:firstLineChars="200"/>
        <w:jc w:val="left"/>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3.7.4 投标文件正本一份, 副本份数见投标人须知前附表。正本和副本的封面上应清楚地标记“正本”或“副本”的字样。当副本和正本不一致时，以正本为准。</w:t>
      </w:r>
    </w:p>
    <w:p>
      <w:pPr>
        <w:shd w:val="clear"/>
        <w:adjustRightInd w:val="0"/>
        <w:snapToGrid w:val="0"/>
        <w:spacing w:line="360" w:lineRule="auto"/>
        <w:ind w:firstLine="480" w:firstLineChars="200"/>
        <w:jc w:val="left"/>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3.7.5 投标文件的正本与副本应分别装订成册，具体装订要求见投标人须知前附表规定。</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p>
    <w:p>
      <w:pPr>
        <w:pStyle w:val="4"/>
        <w:shd w:val="clear"/>
        <w:adjustRightInd w:val="0"/>
        <w:snapToGrid w:val="0"/>
        <w:spacing w:before="0" w:after="0" w:line="360" w:lineRule="auto"/>
        <w:jc w:val="left"/>
        <w:rPr>
          <w:rFonts w:hint="eastAsia" w:ascii="宋体" w:hAnsi="宋体" w:eastAsia="宋体" w:cs="宋体"/>
          <w:color w:val="auto"/>
          <w:sz w:val="24"/>
          <w:szCs w:val="24"/>
          <w:highlight w:val="none"/>
        </w:rPr>
      </w:pPr>
      <w:bookmarkStart w:id="404" w:name="_Toc60859858"/>
      <w:bookmarkStart w:id="405" w:name="_Toc516265942"/>
      <w:bookmarkStart w:id="406" w:name="_Toc515980155"/>
      <w:bookmarkStart w:id="407" w:name="_Toc21535120"/>
      <w:bookmarkStart w:id="408" w:name="_Toc65361666"/>
      <w:r>
        <w:rPr>
          <w:rFonts w:hint="eastAsia" w:ascii="宋体" w:hAnsi="宋体" w:eastAsia="宋体" w:cs="宋体"/>
          <w:color w:val="auto"/>
          <w:sz w:val="24"/>
          <w:szCs w:val="24"/>
          <w:highlight w:val="none"/>
        </w:rPr>
        <w:t>4. 投标</w:t>
      </w:r>
      <w:bookmarkEnd w:id="389"/>
      <w:bookmarkEnd w:id="390"/>
      <w:bookmarkEnd w:id="391"/>
      <w:bookmarkEnd w:id="392"/>
      <w:bookmarkEnd w:id="393"/>
      <w:bookmarkEnd w:id="394"/>
      <w:bookmarkEnd w:id="395"/>
      <w:bookmarkEnd w:id="396"/>
      <w:bookmarkEnd w:id="404"/>
      <w:bookmarkEnd w:id="405"/>
      <w:bookmarkEnd w:id="406"/>
      <w:bookmarkEnd w:id="407"/>
      <w:bookmarkEnd w:id="408"/>
    </w:p>
    <w:p>
      <w:pPr>
        <w:pStyle w:val="5"/>
        <w:shd w:val="clear"/>
        <w:adjustRightInd w:val="0"/>
        <w:snapToGrid w:val="0"/>
        <w:spacing w:before="0" w:after="0" w:line="360" w:lineRule="auto"/>
        <w:ind w:firstLine="118"/>
        <w:jc w:val="left"/>
        <w:rPr>
          <w:rFonts w:hint="eastAsia" w:ascii="宋体" w:eastAsia="宋体" w:cs="宋体"/>
          <w:color w:val="auto"/>
          <w:sz w:val="24"/>
          <w:szCs w:val="24"/>
          <w:highlight w:val="none"/>
        </w:rPr>
      </w:pPr>
      <w:bookmarkStart w:id="409" w:name="_Toc247513980"/>
      <w:bookmarkStart w:id="410" w:name="_Toc21535121"/>
      <w:bookmarkStart w:id="411" w:name="_Toc65361667"/>
      <w:bookmarkStart w:id="412" w:name="_Toc144974524"/>
      <w:bookmarkStart w:id="413" w:name="_Toc152045556"/>
      <w:bookmarkStart w:id="414" w:name="_Toc436834750"/>
      <w:bookmarkStart w:id="415" w:name="_Toc384759601"/>
      <w:bookmarkStart w:id="416" w:name="_Toc516265943"/>
      <w:bookmarkStart w:id="417" w:name="_Toc60859859"/>
      <w:bookmarkStart w:id="418" w:name="_Toc152042332"/>
      <w:bookmarkStart w:id="419" w:name="_Toc436834157"/>
      <w:bookmarkStart w:id="420" w:name="_Toc247527581"/>
      <w:bookmarkStart w:id="421" w:name="_Toc515980156"/>
      <w:r>
        <w:rPr>
          <w:rFonts w:hint="eastAsia" w:ascii="宋体" w:eastAsia="宋体" w:cs="宋体"/>
          <w:color w:val="auto"/>
          <w:sz w:val="24"/>
          <w:szCs w:val="24"/>
          <w:highlight w:val="none"/>
        </w:rPr>
        <w:t>4.1 投标文件的密封和标记</w:t>
      </w:r>
      <w:bookmarkEnd w:id="409"/>
      <w:bookmarkEnd w:id="410"/>
      <w:bookmarkEnd w:id="411"/>
      <w:bookmarkEnd w:id="412"/>
      <w:bookmarkEnd w:id="413"/>
      <w:bookmarkEnd w:id="414"/>
      <w:bookmarkEnd w:id="415"/>
      <w:bookmarkEnd w:id="416"/>
      <w:bookmarkEnd w:id="417"/>
      <w:bookmarkEnd w:id="418"/>
      <w:bookmarkEnd w:id="419"/>
      <w:bookmarkEnd w:id="420"/>
      <w:bookmarkEnd w:id="421"/>
    </w:p>
    <w:p>
      <w:pPr>
        <w:shd w:val="clear"/>
        <w:adjustRightInd w:val="0"/>
        <w:snapToGrid w:val="0"/>
        <w:spacing w:line="360" w:lineRule="auto"/>
        <w:ind w:firstLine="480" w:firstLineChars="200"/>
        <w:jc w:val="left"/>
        <w:rPr>
          <w:rFonts w:hint="eastAsia" w:ascii="宋体" w:hAnsi="宋体" w:cs="宋体"/>
          <w:color w:val="auto"/>
          <w:sz w:val="24"/>
          <w:szCs w:val="24"/>
          <w:highlight w:val="none"/>
          <w:u w:val="single"/>
        </w:rPr>
      </w:pPr>
      <w:bookmarkStart w:id="422" w:name="_Toc436834751"/>
      <w:bookmarkStart w:id="423" w:name="_Toc436834158"/>
      <w:r>
        <w:rPr>
          <w:rFonts w:hint="eastAsia" w:ascii="宋体" w:hAnsi="宋体" w:cs="宋体"/>
          <w:color w:val="auto"/>
          <w:sz w:val="24"/>
          <w:szCs w:val="24"/>
          <w:highlight w:val="none"/>
          <w:u w:val="single"/>
        </w:rPr>
        <w:t>4.1.1 投标文件应当按照招标文件和电子招标投标交易平台的要求加密电子投标文件；刻录好的投标文件光盘或u盘密封在密封袋中，并在封口处加盖投标人单位公章。密封袋上应写明项目名称和招标人名称。具体要求见投标人须知前附表。</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4.1.2 投标文件封套上应写明的内容见投标人须知前附表。</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4.1.3 未按本章第4.1.1项或第4.1.2项要求密封和加写标记的投标文件，招标人不予受理。</w:t>
      </w:r>
    </w:p>
    <w:p>
      <w:pPr>
        <w:pStyle w:val="5"/>
        <w:shd w:val="clear"/>
        <w:adjustRightInd w:val="0"/>
        <w:snapToGrid w:val="0"/>
        <w:spacing w:before="0" w:after="0" w:line="360" w:lineRule="auto"/>
        <w:ind w:firstLine="118"/>
        <w:jc w:val="left"/>
        <w:rPr>
          <w:rFonts w:hint="eastAsia" w:ascii="宋体" w:eastAsia="宋体" w:cs="宋体"/>
          <w:color w:val="auto"/>
          <w:sz w:val="24"/>
          <w:szCs w:val="24"/>
          <w:highlight w:val="none"/>
        </w:rPr>
      </w:pPr>
      <w:bookmarkStart w:id="424" w:name="_Toc21535122"/>
      <w:bookmarkStart w:id="425" w:name="_Toc515980157"/>
      <w:bookmarkStart w:id="426" w:name="_Toc65361668"/>
      <w:bookmarkStart w:id="427" w:name="_Toc60859860"/>
      <w:bookmarkStart w:id="428" w:name="_Toc516265944"/>
      <w:r>
        <w:rPr>
          <w:rFonts w:hint="eastAsia" w:ascii="宋体" w:eastAsia="宋体" w:cs="宋体"/>
          <w:color w:val="auto"/>
          <w:sz w:val="24"/>
          <w:szCs w:val="24"/>
          <w:highlight w:val="none"/>
        </w:rPr>
        <w:t>4.2 投标文件的递交</w:t>
      </w:r>
      <w:bookmarkEnd w:id="397"/>
      <w:bookmarkEnd w:id="398"/>
      <w:bookmarkEnd w:id="399"/>
      <w:bookmarkEnd w:id="400"/>
      <w:bookmarkEnd w:id="401"/>
      <w:bookmarkEnd w:id="402"/>
      <w:bookmarkEnd w:id="403"/>
      <w:bookmarkEnd w:id="422"/>
      <w:bookmarkEnd w:id="423"/>
      <w:bookmarkEnd w:id="424"/>
      <w:bookmarkEnd w:id="425"/>
      <w:bookmarkEnd w:id="426"/>
      <w:bookmarkEnd w:id="427"/>
      <w:bookmarkEnd w:id="428"/>
    </w:p>
    <w:p>
      <w:pPr>
        <w:shd w:val="clear"/>
        <w:adjustRightInd w:val="0"/>
        <w:snapToGrid w:val="0"/>
        <w:spacing w:line="360" w:lineRule="auto"/>
        <w:ind w:firstLine="480" w:firstLineChars="200"/>
        <w:jc w:val="left"/>
        <w:rPr>
          <w:rFonts w:hint="eastAsia" w:ascii="宋体" w:hAnsi="宋体" w:cs="宋体"/>
          <w:color w:val="auto"/>
          <w:sz w:val="24"/>
          <w:szCs w:val="24"/>
          <w:highlight w:val="none"/>
          <w:u w:val="single"/>
        </w:rPr>
      </w:pPr>
      <w:bookmarkStart w:id="429" w:name="_Toc152045558"/>
      <w:bookmarkStart w:id="430" w:name="_Toc436834752"/>
      <w:bookmarkStart w:id="431" w:name="_Toc300834979"/>
      <w:bookmarkStart w:id="432" w:name="_Toc247527583"/>
      <w:bookmarkStart w:id="433" w:name="_Toc399165401"/>
      <w:bookmarkStart w:id="434" w:name="_Toc247513982"/>
      <w:bookmarkStart w:id="435" w:name="_Toc152042334"/>
      <w:bookmarkStart w:id="436" w:name="_Toc436834159"/>
      <w:bookmarkStart w:id="437" w:name="_Toc144974526"/>
      <w:r>
        <w:rPr>
          <w:rFonts w:hint="eastAsia" w:ascii="宋体" w:hAnsi="宋体" w:cs="宋体"/>
          <w:color w:val="auto"/>
          <w:sz w:val="24"/>
          <w:szCs w:val="24"/>
          <w:highlight w:val="none"/>
        </w:rPr>
        <w:t>4.2.1 投标人应在投标人须知前附表2.2.2项规定的投标截止时间前递交投标文件。</w:t>
      </w:r>
      <w:r>
        <w:rPr>
          <w:rFonts w:hint="eastAsia" w:ascii="宋体" w:hAnsi="宋体" w:cs="宋体"/>
          <w:color w:val="auto"/>
          <w:sz w:val="24"/>
          <w:szCs w:val="24"/>
          <w:highlight w:val="none"/>
          <w:u w:val="single"/>
        </w:rPr>
        <w:t>投标人应在上传电子投标文件前将投标人的相关信息在广州公共资源交易中心信息系统中录入完毕。到投标截止时间止，招标人收到的投标文件少于三家的，招标人将依法重新组织招标。</w:t>
      </w:r>
    </w:p>
    <w:p>
      <w:pPr>
        <w:shd w:val="clear"/>
        <w:adjustRightInd w:val="0"/>
        <w:snapToGrid w:val="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4.2.2 </w:t>
      </w:r>
      <w:r>
        <w:rPr>
          <w:rFonts w:hint="eastAsia" w:ascii="宋体" w:hAnsi="宋体" w:cs="宋体"/>
          <w:color w:val="auto"/>
          <w:sz w:val="24"/>
          <w:szCs w:val="24"/>
          <w:highlight w:val="none"/>
          <w:u w:val="single"/>
        </w:rPr>
        <w:t>投标人通过广州公共资源交易中心的电子招标投标交易平台递交电子投标文件。</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4.2.3 除投标人须知前附表另有规定外，投标人所递交的投标文件不予退还。</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4.2.4 </w:t>
      </w:r>
      <w:r>
        <w:rPr>
          <w:rFonts w:hint="eastAsia" w:ascii="宋体" w:hAnsi="宋体" w:cs="宋体"/>
          <w:color w:val="auto"/>
          <w:sz w:val="24"/>
          <w:szCs w:val="24"/>
          <w:highlight w:val="none"/>
          <w:u w:val="single"/>
        </w:rPr>
        <w:t>投标人完成电子投标文件上传后，电子招标投标交易平台即时向投标人发出递交回执通知。递交时间以递交回执通知载明的传输完成时间为准。</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4.2.5</w:t>
      </w:r>
      <w:r>
        <w:rPr>
          <w:rFonts w:hint="eastAsia" w:ascii="宋体" w:hAnsi="宋体" w:cs="宋体"/>
          <w:color w:val="auto"/>
          <w:sz w:val="24"/>
          <w:szCs w:val="24"/>
          <w:highlight w:val="none"/>
          <w:u w:val="single"/>
        </w:rPr>
        <w:t>逾期送达的投标文件，电子招标投标交易平台将予以拒收</w:t>
      </w:r>
      <w:r>
        <w:rPr>
          <w:rFonts w:hint="eastAsia" w:ascii="宋体" w:hAnsi="宋体" w:cs="宋体"/>
          <w:color w:val="auto"/>
          <w:sz w:val="24"/>
          <w:szCs w:val="24"/>
          <w:highlight w:val="none"/>
        </w:rPr>
        <w:t>。</w:t>
      </w:r>
    </w:p>
    <w:p>
      <w:pPr>
        <w:pStyle w:val="5"/>
        <w:shd w:val="clear"/>
        <w:adjustRightInd w:val="0"/>
        <w:snapToGrid w:val="0"/>
        <w:spacing w:before="0" w:after="0" w:line="360" w:lineRule="auto"/>
        <w:ind w:firstLine="118"/>
        <w:jc w:val="left"/>
        <w:rPr>
          <w:rFonts w:hint="eastAsia" w:ascii="宋体" w:eastAsia="宋体" w:cs="宋体"/>
          <w:color w:val="auto"/>
          <w:sz w:val="24"/>
          <w:szCs w:val="24"/>
          <w:highlight w:val="none"/>
        </w:rPr>
      </w:pPr>
      <w:bookmarkStart w:id="438" w:name="_Toc21535123"/>
      <w:bookmarkStart w:id="439" w:name="_Toc65361669"/>
      <w:bookmarkStart w:id="440" w:name="_Toc515980158"/>
      <w:bookmarkStart w:id="441" w:name="_Toc516265945"/>
      <w:bookmarkStart w:id="442" w:name="_Toc60859861"/>
      <w:r>
        <w:rPr>
          <w:rFonts w:hint="eastAsia" w:ascii="宋体" w:eastAsia="宋体" w:cs="宋体"/>
          <w:color w:val="auto"/>
          <w:sz w:val="24"/>
          <w:szCs w:val="24"/>
          <w:highlight w:val="none"/>
        </w:rPr>
        <w:t>4.3 投标文件的修改与撤回</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4.3.1 在本章第2.2.2项规定的投标截止时间前，投标人可以修改或撤回已递交的投标文件，但应以书面形式通知招标人。</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4.3.2 </w:t>
      </w:r>
      <w:r>
        <w:rPr>
          <w:rFonts w:hint="eastAsia" w:ascii="宋体" w:hAnsi="宋体" w:cs="宋体"/>
          <w:color w:val="auto"/>
          <w:sz w:val="24"/>
          <w:szCs w:val="24"/>
          <w:highlight w:val="none"/>
          <w:u w:val="single"/>
        </w:rPr>
        <w:t>投标人修改或撤回已递交电子投标文件的通知，应按交易中心数字交易平台系统的要求加盖电子印章。电子招标投标交易平台收到通知后，即时向投标人发出确认回执通知。</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4.3.3 投标人撤回投标文件的，招标人自收到投标人书面撤回通知之日起5日内退还已收取的投标保证金。</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4.3.4 修改的内容为投标文件的组成部分。修改的投标文件应按照本章第3条、第4条规定进行编制。</w:t>
      </w:r>
    </w:p>
    <w:p>
      <w:pPr>
        <w:pStyle w:val="4"/>
        <w:shd w:val="clear"/>
        <w:adjustRightInd w:val="0"/>
        <w:snapToGrid w:val="0"/>
        <w:spacing w:before="0" w:after="0" w:line="360" w:lineRule="auto"/>
        <w:jc w:val="left"/>
        <w:rPr>
          <w:rFonts w:hint="eastAsia" w:ascii="宋体" w:hAnsi="宋体" w:eastAsia="宋体" w:cs="宋体"/>
          <w:color w:val="auto"/>
          <w:sz w:val="24"/>
          <w:szCs w:val="24"/>
          <w:highlight w:val="none"/>
        </w:rPr>
      </w:pPr>
      <w:bookmarkStart w:id="443" w:name="_Toc516265946"/>
      <w:bookmarkStart w:id="444" w:name="_Toc152045559"/>
      <w:bookmarkStart w:id="445" w:name="_Toc60859862"/>
      <w:bookmarkStart w:id="446" w:name="_Toc21535124"/>
      <w:bookmarkStart w:id="447" w:name="_Toc152042335"/>
      <w:bookmarkStart w:id="448" w:name="_Toc144974527"/>
      <w:bookmarkStart w:id="449" w:name="_Toc436834753"/>
      <w:bookmarkStart w:id="450" w:name="_Toc300834980"/>
      <w:bookmarkStart w:id="451" w:name="_Toc247513983"/>
      <w:bookmarkStart w:id="452" w:name="_Toc515980159"/>
      <w:bookmarkStart w:id="453" w:name="_Toc436834160"/>
      <w:bookmarkStart w:id="454" w:name="_Toc65361670"/>
      <w:bookmarkStart w:id="455" w:name="_Toc247527584"/>
      <w:bookmarkStart w:id="456" w:name="_Toc399165402"/>
      <w:r>
        <w:rPr>
          <w:rFonts w:hint="eastAsia" w:ascii="宋体" w:hAnsi="宋体" w:eastAsia="宋体" w:cs="宋体"/>
          <w:color w:val="auto"/>
          <w:sz w:val="24"/>
          <w:szCs w:val="24"/>
          <w:highlight w:val="none"/>
        </w:rPr>
        <w:t>5. 开标</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pPr>
        <w:pStyle w:val="5"/>
        <w:shd w:val="clear"/>
        <w:adjustRightInd w:val="0"/>
        <w:snapToGrid w:val="0"/>
        <w:spacing w:before="0" w:after="0" w:line="360" w:lineRule="auto"/>
        <w:ind w:firstLine="118"/>
        <w:jc w:val="left"/>
        <w:rPr>
          <w:rFonts w:hint="eastAsia" w:ascii="宋体" w:eastAsia="宋体" w:cs="宋体"/>
          <w:color w:val="auto"/>
          <w:sz w:val="24"/>
          <w:szCs w:val="24"/>
          <w:highlight w:val="none"/>
        </w:rPr>
      </w:pPr>
      <w:bookmarkStart w:id="457" w:name="_Toc21535125"/>
      <w:bookmarkStart w:id="458" w:name="_Toc247513984"/>
      <w:bookmarkStart w:id="459" w:name="_Toc247527585"/>
      <w:bookmarkStart w:id="460" w:name="_Toc516265947"/>
      <w:bookmarkStart w:id="461" w:name="_Toc60859863"/>
      <w:bookmarkStart w:id="462" w:name="_Toc436834161"/>
      <w:bookmarkStart w:id="463" w:name="_Toc436834754"/>
      <w:bookmarkStart w:id="464" w:name="_Toc144974528"/>
      <w:bookmarkStart w:id="465" w:name="_Toc399165403"/>
      <w:bookmarkStart w:id="466" w:name="_Toc65361671"/>
      <w:bookmarkStart w:id="467" w:name="_Toc152045560"/>
      <w:bookmarkStart w:id="468" w:name="_Toc300834981"/>
      <w:bookmarkStart w:id="469" w:name="_Toc152042336"/>
      <w:bookmarkStart w:id="470" w:name="_Toc515980160"/>
      <w:r>
        <w:rPr>
          <w:rFonts w:hint="eastAsia" w:ascii="宋体" w:eastAsia="宋体" w:cs="宋体"/>
          <w:color w:val="auto"/>
          <w:sz w:val="24"/>
          <w:szCs w:val="24"/>
          <w:highlight w:val="none"/>
        </w:rPr>
        <w:t>5.1 开标时间和地点</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pPr>
        <w:shd w:val="clear"/>
        <w:adjustRightInd w:val="0"/>
        <w:snapToGrid w:val="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招标人在本章第2.2.2项规定的投标截止时间（开标时间）和投标人须知前附表规定的地点公开开标，并邀请所有投标人的法定代表人或其委托代理人准时参加。</w:t>
      </w:r>
      <w:r>
        <w:rPr>
          <w:rFonts w:hint="eastAsia" w:ascii="宋体" w:hAnsi="宋体" w:cs="宋体"/>
          <w:color w:val="auto"/>
          <w:sz w:val="24"/>
          <w:szCs w:val="24"/>
          <w:highlight w:val="none"/>
          <w:u w:val="single"/>
        </w:rPr>
        <w:t>如投标人不参与开标，视同认可整个开标过程和结果。</w:t>
      </w:r>
    </w:p>
    <w:p>
      <w:pPr>
        <w:pStyle w:val="5"/>
        <w:shd w:val="clear"/>
        <w:adjustRightInd w:val="0"/>
        <w:snapToGrid w:val="0"/>
        <w:spacing w:before="0" w:after="0" w:line="360" w:lineRule="auto"/>
        <w:ind w:firstLine="118"/>
        <w:jc w:val="left"/>
        <w:rPr>
          <w:rFonts w:hint="eastAsia" w:ascii="宋体" w:eastAsia="宋体" w:cs="宋体"/>
          <w:color w:val="auto"/>
          <w:sz w:val="24"/>
          <w:szCs w:val="24"/>
          <w:highlight w:val="none"/>
        </w:rPr>
      </w:pPr>
      <w:bookmarkStart w:id="471" w:name="_Toc65361672"/>
      <w:bookmarkStart w:id="472" w:name="_Toc399165404"/>
      <w:bookmarkStart w:id="473" w:name="_Toc247527586"/>
      <w:bookmarkStart w:id="474" w:name="_Toc247513985"/>
      <w:bookmarkStart w:id="475" w:name="_Toc516265948"/>
      <w:bookmarkStart w:id="476" w:name="_Toc144974529"/>
      <w:bookmarkStart w:id="477" w:name="_Toc152042337"/>
      <w:bookmarkStart w:id="478" w:name="_Toc300834982"/>
      <w:bookmarkStart w:id="479" w:name="_Toc436834755"/>
      <w:bookmarkStart w:id="480" w:name="_Toc515980161"/>
      <w:bookmarkStart w:id="481" w:name="_Toc21535126"/>
      <w:bookmarkStart w:id="482" w:name="_Toc60859864"/>
      <w:bookmarkStart w:id="483" w:name="_Toc436834162"/>
      <w:bookmarkStart w:id="484" w:name="_Toc152045561"/>
      <w:r>
        <w:rPr>
          <w:rFonts w:hint="eastAsia" w:ascii="宋体" w:eastAsia="宋体" w:cs="宋体"/>
          <w:color w:val="auto"/>
          <w:sz w:val="24"/>
          <w:szCs w:val="24"/>
          <w:highlight w:val="none"/>
        </w:rPr>
        <w:t>5.2 开标程序</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pPr>
        <w:shd w:val="clear"/>
        <w:adjustRightInd w:val="0"/>
        <w:snapToGrid w:val="0"/>
        <w:spacing w:line="360" w:lineRule="auto"/>
        <w:ind w:firstLine="480" w:firstLineChars="200"/>
        <w:jc w:val="left"/>
        <w:rPr>
          <w:rFonts w:hint="eastAsia" w:ascii="宋体" w:hAnsi="宋体" w:cs="宋体"/>
          <w:color w:val="auto"/>
          <w:sz w:val="24"/>
          <w:szCs w:val="24"/>
          <w:highlight w:val="none"/>
          <w:u w:val="single"/>
        </w:rPr>
      </w:pPr>
      <w:bookmarkStart w:id="485" w:name="_Toc399165405"/>
      <w:bookmarkStart w:id="486" w:name="_Toc300834983"/>
      <w:r>
        <w:rPr>
          <w:rFonts w:hint="eastAsia" w:ascii="宋体" w:hAnsi="宋体" w:cs="宋体"/>
          <w:color w:val="auto"/>
          <w:sz w:val="24"/>
          <w:szCs w:val="24"/>
          <w:highlight w:val="none"/>
          <w:u w:val="single"/>
        </w:rPr>
        <w:t>见投标须知前附表。</w:t>
      </w:r>
    </w:p>
    <w:p>
      <w:pPr>
        <w:pStyle w:val="5"/>
        <w:shd w:val="clear"/>
        <w:adjustRightInd w:val="0"/>
        <w:snapToGrid w:val="0"/>
        <w:spacing w:before="0" w:after="0" w:line="360" w:lineRule="auto"/>
        <w:ind w:firstLine="118"/>
        <w:jc w:val="left"/>
        <w:rPr>
          <w:rFonts w:hint="eastAsia" w:ascii="宋体" w:eastAsia="宋体" w:cs="宋体"/>
          <w:color w:val="auto"/>
          <w:sz w:val="24"/>
          <w:szCs w:val="24"/>
          <w:highlight w:val="none"/>
        </w:rPr>
      </w:pPr>
      <w:bookmarkStart w:id="487" w:name="_Toc436834756"/>
      <w:bookmarkStart w:id="488" w:name="_Toc21535127"/>
      <w:bookmarkStart w:id="489" w:name="_Toc65361673"/>
      <w:bookmarkStart w:id="490" w:name="_Toc436834163"/>
      <w:bookmarkStart w:id="491" w:name="_Toc515980162"/>
      <w:bookmarkStart w:id="492" w:name="_Toc516265949"/>
      <w:bookmarkStart w:id="493" w:name="_Toc60859865"/>
      <w:r>
        <w:rPr>
          <w:rFonts w:hint="eastAsia" w:ascii="宋体" w:eastAsia="宋体" w:cs="宋体"/>
          <w:color w:val="auto"/>
          <w:sz w:val="24"/>
          <w:szCs w:val="24"/>
          <w:highlight w:val="none"/>
        </w:rPr>
        <w:t>5.3 开标异议</w:t>
      </w:r>
      <w:bookmarkEnd w:id="485"/>
      <w:bookmarkEnd w:id="486"/>
      <w:bookmarkEnd w:id="487"/>
      <w:bookmarkEnd w:id="488"/>
      <w:bookmarkEnd w:id="489"/>
      <w:bookmarkEnd w:id="490"/>
      <w:bookmarkEnd w:id="491"/>
      <w:bookmarkEnd w:id="492"/>
      <w:bookmarkEnd w:id="493"/>
    </w:p>
    <w:p>
      <w:pPr>
        <w:shd w:val="clear"/>
        <w:adjustRightInd w:val="0"/>
        <w:snapToGrid w:val="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投标人对开标有异议的，应当在开标现场或交易平台规定的时间内提出，招标人当场作出答复，并制作记录。</w:t>
      </w:r>
    </w:p>
    <w:p>
      <w:pPr>
        <w:pStyle w:val="4"/>
        <w:shd w:val="clear"/>
        <w:adjustRightInd w:val="0"/>
        <w:snapToGrid w:val="0"/>
        <w:spacing w:before="0" w:after="0" w:line="360" w:lineRule="auto"/>
        <w:jc w:val="left"/>
        <w:rPr>
          <w:rFonts w:hint="eastAsia" w:ascii="宋体" w:hAnsi="宋体" w:eastAsia="宋体" w:cs="宋体"/>
          <w:color w:val="auto"/>
          <w:sz w:val="24"/>
          <w:szCs w:val="24"/>
          <w:highlight w:val="none"/>
        </w:rPr>
      </w:pPr>
      <w:bookmarkStart w:id="494" w:name="_Toc247513986"/>
      <w:bookmarkStart w:id="495" w:name="_Toc144974530"/>
      <w:bookmarkStart w:id="496" w:name="_Toc65361674"/>
      <w:bookmarkStart w:id="497" w:name="_Toc515980163"/>
      <w:bookmarkStart w:id="498" w:name="_Toc21535128"/>
      <w:bookmarkStart w:id="499" w:name="_Toc436834164"/>
      <w:bookmarkStart w:id="500" w:name="_Toc436834757"/>
      <w:bookmarkStart w:id="501" w:name="_Toc152045562"/>
      <w:bookmarkStart w:id="502" w:name="_Toc300834984"/>
      <w:bookmarkStart w:id="503" w:name="_Toc152042338"/>
      <w:bookmarkStart w:id="504" w:name="_Toc60859866"/>
      <w:bookmarkStart w:id="505" w:name="_Toc399165406"/>
      <w:bookmarkStart w:id="506" w:name="_Toc516265950"/>
      <w:bookmarkStart w:id="507" w:name="_Toc247527587"/>
      <w:r>
        <w:rPr>
          <w:rFonts w:hint="eastAsia" w:ascii="宋体" w:hAnsi="宋体" w:eastAsia="宋体" w:cs="宋体"/>
          <w:color w:val="auto"/>
          <w:sz w:val="24"/>
          <w:szCs w:val="24"/>
          <w:highlight w:val="none"/>
        </w:rPr>
        <w:t>6. 评标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pPr>
        <w:pStyle w:val="5"/>
        <w:shd w:val="clear"/>
        <w:adjustRightInd w:val="0"/>
        <w:snapToGrid w:val="0"/>
        <w:spacing w:before="0" w:after="0" w:line="360" w:lineRule="auto"/>
        <w:ind w:firstLine="118"/>
        <w:jc w:val="left"/>
        <w:rPr>
          <w:rFonts w:hint="eastAsia" w:ascii="宋体" w:eastAsia="宋体" w:cs="宋体"/>
          <w:color w:val="auto"/>
          <w:sz w:val="24"/>
          <w:szCs w:val="24"/>
          <w:highlight w:val="none"/>
        </w:rPr>
      </w:pPr>
      <w:bookmarkStart w:id="508" w:name="_Toc436834165"/>
      <w:bookmarkStart w:id="509" w:name="_Toc21535129"/>
      <w:bookmarkStart w:id="510" w:name="_Toc247513987"/>
      <w:bookmarkStart w:id="511" w:name="_Toc152045563"/>
      <w:bookmarkStart w:id="512" w:name="_Toc516265951"/>
      <w:bookmarkStart w:id="513" w:name="_Toc60859867"/>
      <w:bookmarkStart w:id="514" w:name="_Toc399165407"/>
      <w:bookmarkStart w:id="515" w:name="_Toc515980164"/>
      <w:bookmarkStart w:id="516" w:name="_Toc247527588"/>
      <w:bookmarkStart w:id="517" w:name="_Toc144974531"/>
      <w:bookmarkStart w:id="518" w:name="_Toc436834758"/>
      <w:bookmarkStart w:id="519" w:name="_Toc152042339"/>
      <w:bookmarkStart w:id="520" w:name="_Toc65361675"/>
      <w:bookmarkStart w:id="521" w:name="_Toc300834985"/>
      <w:r>
        <w:rPr>
          <w:rFonts w:hint="eastAsia" w:ascii="宋体" w:eastAsia="宋体" w:cs="宋体"/>
          <w:color w:val="auto"/>
          <w:sz w:val="24"/>
          <w:szCs w:val="24"/>
          <w:highlight w:val="none"/>
        </w:rPr>
        <w:t>6.1 评标委员会</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bookmarkStart w:id="522" w:name="_Toc399165408"/>
      <w:bookmarkStart w:id="523" w:name="_Toc247527589"/>
      <w:bookmarkStart w:id="524" w:name="_Toc247513988"/>
      <w:bookmarkStart w:id="525" w:name="_Toc152042340"/>
      <w:bookmarkStart w:id="526" w:name="_Toc300834986"/>
      <w:bookmarkStart w:id="527" w:name="_Toc144974532"/>
      <w:bookmarkStart w:id="528" w:name="_Toc152045564"/>
      <w:r>
        <w:rPr>
          <w:rFonts w:hint="eastAsia" w:ascii="宋体" w:hAnsi="宋体" w:cs="宋体"/>
          <w:color w:val="auto"/>
          <w:sz w:val="24"/>
          <w:szCs w:val="24"/>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6.1.2 评标委员会成员有下列情形之一的，应当回避：</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（1）投标人或投标人主要负责人的近亲属；</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（2）项目主管部门或者行政监督部门的人员；</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（3）与投标人有经济利益关系，可能影响对投标公正评审的；</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（4）曾因在招标、评标以及其他与招标投标有关活动中从事违法行为而受过行政处罚或刑事处罚的；</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（5）与投标人有其他利害关系。</w:t>
      </w:r>
    </w:p>
    <w:p>
      <w:pPr>
        <w:shd w:val="clear"/>
        <w:adjustRightInd w:val="0"/>
        <w:snapToGrid w:val="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5"/>
        <w:shd w:val="clear"/>
        <w:adjustRightInd w:val="0"/>
        <w:snapToGrid w:val="0"/>
        <w:spacing w:before="0" w:after="0" w:line="360" w:lineRule="auto"/>
        <w:ind w:firstLine="118"/>
        <w:jc w:val="left"/>
        <w:rPr>
          <w:rFonts w:hint="eastAsia" w:ascii="宋体" w:eastAsia="宋体" w:cs="宋体"/>
          <w:color w:val="auto"/>
          <w:sz w:val="24"/>
          <w:szCs w:val="24"/>
          <w:highlight w:val="none"/>
        </w:rPr>
      </w:pPr>
      <w:bookmarkStart w:id="529" w:name="_Toc436834759"/>
      <w:bookmarkStart w:id="530" w:name="_Toc516265952"/>
      <w:bookmarkStart w:id="531" w:name="_Toc436834166"/>
      <w:bookmarkStart w:id="532" w:name="_Toc60859868"/>
      <w:bookmarkStart w:id="533" w:name="_Toc65361676"/>
      <w:bookmarkStart w:id="534" w:name="_Toc21535130"/>
      <w:bookmarkStart w:id="535" w:name="_Toc515980165"/>
      <w:r>
        <w:rPr>
          <w:rFonts w:hint="eastAsia" w:ascii="宋体" w:eastAsia="宋体" w:cs="宋体"/>
          <w:color w:val="auto"/>
          <w:sz w:val="24"/>
          <w:szCs w:val="24"/>
          <w:highlight w:val="none"/>
        </w:rPr>
        <w:t>6.2 评标原则</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r>
        <w:rPr>
          <w:rFonts w:hint="eastAsia" w:ascii="宋体" w:eastAsia="宋体" w:cs="宋体"/>
          <w:color w:val="auto"/>
          <w:sz w:val="24"/>
          <w:szCs w:val="24"/>
          <w:highlight w:val="none"/>
        </w:rPr>
        <w:tab/>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评标活动遵循公平、公正、科学和择优的原则。</w:t>
      </w:r>
    </w:p>
    <w:p>
      <w:pPr>
        <w:pStyle w:val="5"/>
        <w:shd w:val="clear"/>
        <w:adjustRightInd w:val="0"/>
        <w:snapToGrid w:val="0"/>
        <w:spacing w:before="0" w:after="0" w:line="360" w:lineRule="auto"/>
        <w:ind w:firstLine="118"/>
        <w:jc w:val="left"/>
        <w:rPr>
          <w:rFonts w:hint="eastAsia" w:ascii="宋体" w:eastAsia="宋体" w:cs="宋体"/>
          <w:color w:val="auto"/>
          <w:sz w:val="24"/>
          <w:szCs w:val="24"/>
          <w:highlight w:val="none"/>
        </w:rPr>
      </w:pPr>
      <w:bookmarkStart w:id="536" w:name="_Toc300834987"/>
      <w:bookmarkStart w:id="537" w:name="_Toc60859869"/>
      <w:bookmarkStart w:id="538" w:name="_Toc144974533"/>
      <w:bookmarkStart w:id="539" w:name="_Toc152045565"/>
      <w:bookmarkStart w:id="540" w:name="_Toc247527590"/>
      <w:bookmarkStart w:id="541" w:name="_Toc515980166"/>
      <w:bookmarkStart w:id="542" w:name="_Toc21535131"/>
      <w:bookmarkStart w:id="543" w:name="_Toc516265953"/>
      <w:bookmarkStart w:id="544" w:name="_Toc152042341"/>
      <w:bookmarkStart w:id="545" w:name="_Toc247513989"/>
      <w:bookmarkStart w:id="546" w:name="_Toc65361677"/>
      <w:bookmarkStart w:id="547" w:name="_Toc399165409"/>
      <w:bookmarkStart w:id="548" w:name="_Toc436834167"/>
      <w:bookmarkStart w:id="549" w:name="_Toc436834760"/>
      <w:r>
        <w:rPr>
          <w:rFonts w:hint="eastAsia" w:ascii="宋体" w:eastAsia="宋体" w:cs="宋体"/>
          <w:color w:val="auto"/>
          <w:sz w:val="24"/>
          <w:szCs w:val="24"/>
          <w:highlight w:val="none"/>
        </w:rPr>
        <w:t>6.3 评标</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评标委员会按照第三章“评标办法”规定的方法、评审因素、标准和程序对投标文件进行评审。第三章“评标办法”没有规定的方法、评审因素和标准，不作为评标依据。</w:t>
      </w:r>
    </w:p>
    <w:p>
      <w:pPr>
        <w:pStyle w:val="4"/>
        <w:shd w:val="clear"/>
        <w:adjustRightInd w:val="0"/>
        <w:snapToGrid w:val="0"/>
        <w:spacing w:before="0" w:after="0" w:line="360" w:lineRule="auto"/>
        <w:jc w:val="left"/>
        <w:rPr>
          <w:rFonts w:hint="eastAsia" w:ascii="宋体" w:hAnsi="宋体" w:eastAsia="宋体" w:cs="宋体"/>
          <w:color w:val="auto"/>
          <w:sz w:val="24"/>
          <w:szCs w:val="24"/>
          <w:highlight w:val="none"/>
        </w:rPr>
      </w:pPr>
      <w:bookmarkStart w:id="550" w:name="_Toc21535132"/>
      <w:bookmarkStart w:id="551" w:name="_Toc436834168"/>
      <w:bookmarkStart w:id="552" w:name="_Toc152045566"/>
      <w:bookmarkStart w:id="553" w:name="_Toc152042342"/>
      <w:bookmarkStart w:id="554" w:name="_Toc515980167"/>
      <w:bookmarkStart w:id="555" w:name="_Toc65361678"/>
      <w:bookmarkStart w:id="556" w:name="_Toc247513990"/>
      <w:bookmarkStart w:id="557" w:name="_Toc399165410"/>
      <w:bookmarkStart w:id="558" w:name="_Toc247527591"/>
      <w:bookmarkStart w:id="559" w:name="_Toc60859870"/>
      <w:bookmarkStart w:id="560" w:name="_Toc144974534"/>
      <w:bookmarkStart w:id="561" w:name="_Toc300834988"/>
      <w:bookmarkStart w:id="562" w:name="_Toc516265954"/>
      <w:bookmarkStart w:id="563" w:name="_Toc436834761"/>
      <w:r>
        <w:rPr>
          <w:rFonts w:hint="eastAsia" w:ascii="宋体" w:hAnsi="宋体" w:eastAsia="宋体" w:cs="宋体"/>
          <w:color w:val="auto"/>
          <w:sz w:val="24"/>
          <w:szCs w:val="24"/>
          <w:highlight w:val="none"/>
        </w:rPr>
        <w:t>7. 合同授予</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pStyle w:val="5"/>
        <w:shd w:val="clear"/>
        <w:adjustRightInd w:val="0"/>
        <w:snapToGrid w:val="0"/>
        <w:spacing w:before="0" w:after="0" w:line="360" w:lineRule="auto"/>
        <w:ind w:firstLine="118"/>
        <w:jc w:val="left"/>
        <w:rPr>
          <w:rFonts w:hint="eastAsia" w:ascii="宋体" w:eastAsia="宋体" w:cs="宋体"/>
          <w:color w:val="auto"/>
          <w:sz w:val="24"/>
          <w:szCs w:val="24"/>
          <w:highlight w:val="none"/>
        </w:rPr>
      </w:pPr>
      <w:bookmarkStart w:id="564" w:name="_Toc60859871"/>
      <w:bookmarkStart w:id="565" w:name="_Toc300834989"/>
      <w:bookmarkStart w:id="566" w:name="_Toc21535133"/>
      <w:bookmarkStart w:id="567" w:name="_Toc247513991"/>
      <w:bookmarkStart w:id="568" w:name="_Toc436834762"/>
      <w:bookmarkStart w:id="569" w:name="_Toc152045567"/>
      <w:bookmarkStart w:id="570" w:name="_Toc516265955"/>
      <w:bookmarkStart w:id="571" w:name="_Toc515980168"/>
      <w:bookmarkStart w:id="572" w:name="_Toc144974535"/>
      <w:bookmarkStart w:id="573" w:name="_Toc152042343"/>
      <w:bookmarkStart w:id="574" w:name="_Toc399165411"/>
      <w:bookmarkStart w:id="575" w:name="_Toc247527592"/>
      <w:bookmarkStart w:id="576" w:name="_Toc436834169"/>
      <w:bookmarkStart w:id="577" w:name="_Toc65361679"/>
      <w:r>
        <w:rPr>
          <w:rFonts w:hint="eastAsia" w:ascii="宋体" w:eastAsia="宋体" w:cs="宋体"/>
          <w:color w:val="auto"/>
          <w:sz w:val="24"/>
          <w:szCs w:val="24"/>
          <w:highlight w:val="none"/>
        </w:rPr>
        <w:t>7.1 定标方式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pPr>
        <w:shd w:val="clear"/>
        <w:adjustRightInd w:val="0"/>
        <w:snapToGrid w:val="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7.1.1 除投标人须知前附表规定评标委员会直接确定中标人外，招标人依据评标委员会推荐的中标候选人确定中标人，评标委员会推荐中标候选人的人数见投标人须知前附表。</w:t>
      </w:r>
    </w:p>
    <w:p>
      <w:pPr>
        <w:shd w:val="clear"/>
        <w:adjustRightInd w:val="0"/>
        <w:snapToGrid w:val="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7.1.2 依法必须进行公开招标的项目，招标人应当确定排名第一的中标候选人为中标人。</w:t>
      </w:r>
    </w:p>
    <w:p>
      <w:pPr>
        <w:shd w:val="clear"/>
        <w:adjustRightInd w:val="0"/>
        <w:snapToGrid w:val="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7.1.3排名第一的中标候选人放弃中标、或被取消中标资格，或因不可抗力提出不能履行合同，或者招标文件规定应当提交履约担保而在规定的期限内未能提交的，招标人可以按照中标候选人顺序依次上升替补定标，以此类推。</w:t>
      </w:r>
    </w:p>
    <w:p>
      <w:pPr>
        <w:pStyle w:val="5"/>
        <w:shd w:val="clear"/>
        <w:adjustRightInd w:val="0"/>
        <w:snapToGrid w:val="0"/>
        <w:spacing w:before="0" w:after="0" w:line="360" w:lineRule="auto"/>
        <w:ind w:firstLine="118"/>
        <w:jc w:val="left"/>
        <w:rPr>
          <w:rFonts w:hint="eastAsia" w:ascii="宋体" w:eastAsia="宋体" w:cs="宋体"/>
          <w:color w:val="auto"/>
          <w:sz w:val="24"/>
          <w:szCs w:val="24"/>
          <w:highlight w:val="none"/>
        </w:rPr>
      </w:pPr>
      <w:bookmarkStart w:id="578" w:name="_Toc516265956"/>
      <w:bookmarkStart w:id="579" w:name="_Toc21535134"/>
      <w:bookmarkStart w:id="580" w:name="_Toc65361680"/>
      <w:bookmarkStart w:id="581" w:name="_Toc515980169"/>
      <w:bookmarkStart w:id="582" w:name="_Toc436834170"/>
      <w:bookmarkStart w:id="583" w:name="_Toc399165412"/>
      <w:bookmarkStart w:id="584" w:name="_Toc60859872"/>
      <w:bookmarkStart w:id="585" w:name="_Toc436834763"/>
      <w:bookmarkStart w:id="586" w:name="_Toc300834990"/>
      <w:r>
        <w:rPr>
          <w:rFonts w:hint="eastAsia" w:ascii="宋体" w:eastAsia="宋体" w:cs="宋体"/>
          <w:color w:val="auto"/>
          <w:sz w:val="24"/>
          <w:szCs w:val="24"/>
          <w:highlight w:val="none"/>
        </w:rPr>
        <w:t>7.2 中标候选人公示</w:t>
      </w:r>
      <w:bookmarkEnd w:id="578"/>
      <w:bookmarkEnd w:id="579"/>
      <w:bookmarkEnd w:id="580"/>
      <w:bookmarkEnd w:id="581"/>
      <w:bookmarkEnd w:id="582"/>
      <w:bookmarkEnd w:id="583"/>
      <w:bookmarkEnd w:id="584"/>
      <w:bookmarkEnd w:id="585"/>
      <w:bookmarkEnd w:id="586"/>
    </w:p>
    <w:p>
      <w:pPr>
        <w:shd w:val="clear"/>
        <w:adjustRightInd w:val="0"/>
        <w:snapToGrid w:val="0"/>
        <w:spacing w:line="360" w:lineRule="auto"/>
        <w:ind w:firstLine="480" w:firstLineChars="200"/>
        <w:jc w:val="left"/>
        <w:rPr>
          <w:rFonts w:hint="eastAsia" w:ascii="宋体" w:hAnsi="宋体" w:cs="宋体"/>
          <w:color w:val="auto"/>
          <w:sz w:val="24"/>
          <w:szCs w:val="24"/>
          <w:highlight w:val="none"/>
          <w:u w:val="single"/>
        </w:rPr>
      </w:pPr>
      <w:bookmarkStart w:id="587" w:name="_Toc247513992"/>
      <w:bookmarkStart w:id="588" w:name="_Toc436834764"/>
      <w:bookmarkStart w:id="589" w:name="_Toc152042344"/>
      <w:bookmarkStart w:id="590" w:name="_Toc144974536"/>
      <w:bookmarkStart w:id="591" w:name="_Toc436834171"/>
      <w:bookmarkStart w:id="592" w:name="_Toc399165413"/>
      <w:bookmarkStart w:id="593" w:name="_Toc300834991"/>
      <w:bookmarkStart w:id="594" w:name="_Toc247527593"/>
      <w:bookmarkStart w:id="595" w:name="_Toc152045568"/>
      <w:r>
        <w:rPr>
          <w:rFonts w:hint="eastAsia" w:ascii="宋体" w:hAnsi="宋体" w:cs="宋体"/>
          <w:color w:val="auto"/>
          <w:sz w:val="24"/>
          <w:szCs w:val="24"/>
          <w:highlight w:val="none"/>
        </w:rPr>
        <w:t>7.2.1</w:t>
      </w:r>
      <w:r>
        <w:rPr>
          <w:rFonts w:hint="eastAsia" w:ascii="宋体" w:hAnsi="宋体" w:cs="宋体"/>
          <w:color w:val="auto"/>
          <w:sz w:val="24"/>
          <w:szCs w:val="24"/>
          <w:highlight w:val="none"/>
          <w:u w:val="single"/>
        </w:rPr>
        <w:t>招标人在投标人须知前附表规定的媒介公示中标候选人。公示时间为三天，公示期间的最后1天应当为工作日，否则将公示期的最后1天顺延至下一个工作日。</w:t>
      </w:r>
    </w:p>
    <w:p>
      <w:pPr>
        <w:shd w:val="clear"/>
        <w:adjustRightInd w:val="0"/>
        <w:snapToGrid w:val="0"/>
        <w:spacing w:line="360" w:lineRule="auto"/>
        <w:ind w:firstLine="420" w:firstLineChars="200"/>
        <w:jc w:val="left"/>
        <w:rPr>
          <w:rFonts w:hint="eastAsia" w:ascii="宋体" w:hAnsi="宋体" w:cs="宋体"/>
          <w:color w:val="auto"/>
          <w:sz w:val="24"/>
          <w:szCs w:val="24"/>
          <w:highlight w:val="none"/>
          <w:u w:val="single"/>
        </w:rPr>
      </w:pPr>
      <w:r>
        <w:rPr>
          <w:rFonts w:hint="eastAsia"/>
          <w:color w:val="auto"/>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hd w:val="clear"/>
        <w:adjustRightInd w:val="0"/>
        <w:snapToGrid w:val="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7.2.2在产生中标候选人后，招标人将中标候选人的投标文件商务部分的电子版（包括人员、业绩、奖项</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财务指标</w:t>
      </w:r>
      <w:r>
        <w:rPr>
          <w:rFonts w:hint="eastAsia" w:ascii="宋体" w:hAnsi="宋体" w:cs="宋体"/>
          <w:color w:val="auto"/>
          <w:sz w:val="24"/>
          <w:szCs w:val="24"/>
          <w:highlight w:val="none"/>
          <w:u w:val="single"/>
        </w:rPr>
        <w:t>等资料）在广州公共资源交易中心、广东省招标投标监管网公开。</w:t>
      </w:r>
    </w:p>
    <w:p>
      <w:pPr>
        <w:pStyle w:val="5"/>
        <w:shd w:val="clear"/>
        <w:adjustRightInd w:val="0"/>
        <w:snapToGrid w:val="0"/>
        <w:spacing w:before="0" w:after="0" w:line="360" w:lineRule="auto"/>
        <w:ind w:firstLine="118"/>
        <w:jc w:val="left"/>
        <w:rPr>
          <w:rFonts w:hint="eastAsia" w:ascii="宋体" w:eastAsia="宋体" w:cs="宋体"/>
          <w:color w:val="auto"/>
          <w:sz w:val="24"/>
          <w:szCs w:val="24"/>
          <w:highlight w:val="none"/>
        </w:rPr>
      </w:pPr>
      <w:bookmarkStart w:id="596" w:name="_Toc65361681"/>
      <w:bookmarkStart w:id="597" w:name="_Toc516265957"/>
      <w:bookmarkStart w:id="598" w:name="_Toc515980170"/>
      <w:bookmarkStart w:id="599" w:name="_Toc60859873"/>
      <w:bookmarkStart w:id="600" w:name="_Toc21535135"/>
      <w:r>
        <w:rPr>
          <w:rFonts w:hint="eastAsia" w:ascii="宋体" w:eastAsia="宋体" w:cs="宋体"/>
          <w:color w:val="auto"/>
          <w:sz w:val="24"/>
          <w:szCs w:val="24"/>
          <w:highlight w:val="none"/>
        </w:rPr>
        <w:t>7.3 中标通知</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7.3.1 在本章第3.3款规定的投标有效期内，招标人以书面形式向中标人发出中标通知书，同时将中标结果通知未中标的投标人。中标通知书按本章附表格式填写。</w:t>
      </w:r>
    </w:p>
    <w:p>
      <w:pPr>
        <w:shd w:val="clear"/>
        <w:adjustRightInd w:val="0"/>
        <w:snapToGrid w:val="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7.3.2 招标人应当自确定中标人后，向招投标监管机构提交招标投标情况的书面报告；经招投标监管机构备案后，方可发出中标通知书。中标通知书由招标人颁发，并经广州公共资源交易中心确认。</w:t>
      </w:r>
    </w:p>
    <w:p>
      <w:pPr>
        <w:pStyle w:val="5"/>
        <w:shd w:val="clear"/>
        <w:adjustRightInd w:val="0"/>
        <w:snapToGrid w:val="0"/>
        <w:spacing w:before="0" w:after="0" w:line="360" w:lineRule="auto"/>
        <w:ind w:firstLine="118"/>
        <w:jc w:val="left"/>
        <w:rPr>
          <w:rFonts w:hint="eastAsia" w:ascii="宋体" w:eastAsia="宋体" w:cs="宋体"/>
          <w:color w:val="auto"/>
          <w:sz w:val="24"/>
          <w:szCs w:val="24"/>
          <w:highlight w:val="none"/>
        </w:rPr>
      </w:pPr>
      <w:bookmarkStart w:id="601" w:name="_Toc152042345"/>
      <w:bookmarkStart w:id="602" w:name="_Toc436834765"/>
      <w:bookmarkStart w:id="603" w:name="_Toc436834172"/>
      <w:bookmarkStart w:id="604" w:name="_Toc144974537"/>
      <w:bookmarkStart w:id="605" w:name="_Toc399165414"/>
      <w:bookmarkStart w:id="606" w:name="_Toc300834992"/>
      <w:bookmarkStart w:id="607" w:name="_Toc247527594"/>
      <w:bookmarkStart w:id="608" w:name="_Toc65361682"/>
      <w:bookmarkStart w:id="609" w:name="_Toc515980171"/>
      <w:bookmarkStart w:id="610" w:name="_Toc60859874"/>
      <w:bookmarkStart w:id="611" w:name="_Toc21535136"/>
      <w:bookmarkStart w:id="612" w:name="_Toc516265958"/>
      <w:bookmarkStart w:id="613" w:name="_Toc152045569"/>
      <w:bookmarkStart w:id="614" w:name="_Toc247513993"/>
      <w:r>
        <w:rPr>
          <w:rFonts w:hint="eastAsia" w:ascii="宋体" w:eastAsia="宋体" w:cs="宋体"/>
          <w:color w:val="auto"/>
          <w:sz w:val="24"/>
          <w:szCs w:val="24"/>
          <w:highlight w:val="none"/>
        </w:rPr>
        <w:t>7.4 履约担保</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7.4.1 在签订合同前，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10%。联合体中标的，其履约担保由联合体各方或者联合体中牵头人的名义提交。</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7.4.2 中标人不能按本章第7.4.1项要求提交履约担保的，视为放弃中标，</w:t>
      </w:r>
      <w:r>
        <w:rPr>
          <w:rFonts w:hint="eastAsia" w:ascii="宋体" w:hAnsi="宋体" w:cs="宋体"/>
          <w:strike/>
          <w:color w:val="auto"/>
          <w:sz w:val="24"/>
          <w:szCs w:val="24"/>
          <w:highlight w:val="none"/>
        </w:rPr>
        <w:t>其投标保证金不予退还</w:t>
      </w:r>
      <w:r>
        <w:rPr>
          <w:rFonts w:hint="eastAsia" w:ascii="宋体" w:hAnsi="宋体" w:cs="宋体"/>
          <w:color w:val="auto"/>
          <w:sz w:val="24"/>
          <w:szCs w:val="24"/>
          <w:highlight w:val="none"/>
        </w:rPr>
        <w:t>，给招标人造成的损失</w:t>
      </w:r>
      <w:r>
        <w:rPr>
          <w:rFonts w:hint="eastAsia" w:ascii="宋体" w:hAnsi="宋体" w:cs="宋体"/>
          <w:strike/>
          <w:color w:val="auto"/>
          <w:sz w:val="24"/>
          <w:szCs w:val="24"/>
          <w:highlight w:val="none"/>
        </w:rPr>
        <w:t>超过投标保证金数额的</w:t>
      </w:r>
      <w:r>
        <w:rPr>
          <w:rFonts w:hint="eastAsia" w:ascii="宋体" w:hAnsi="宋体" w:cs="宋体"/>
          <w:color w:val="auto"/>
          <w:sz w:val="24"/>
          <w:szCs w:val="24"/>
          <w:highlight w:val="none"/>
        </w:rPr>
        <w:t>，中标人还应当</w:t>
      </w:r>
      <w:r>
        <w:rPr>
          <w:rFonts w:hint="eastAsia" w:ascii="宋体" w:hAnsi="宋体" w:cs="宋体"/>
          <w:strike/>
          <w:color w:val="auto"/>
          <w:sz w:val="24"/>
          <w:szCs w:val="24"/>
          <w:highlight w:val="none"/>
        </w:rPr>
        <w:t>对超过部分</w:t>
      </w:r>
      <w:r>
        <w:rPr>
          <w:rFonts w:hint="eastAsia" w:ascii="宋体" w:hAnsi="宋体" w:cs="宋体"/>
          <w:color w:val="auto"/>
          <w:sz w:val="24"/>
          <w:szCs w:val="24"/>
          <w:highlight w:val="none"/>
        </w:rPr>
        <w:t>予以赔偿。</w:t>
      </w:r>
    </w:p>
    <w:p>
      <w:pPr>
        <w:pStyle w:val="5"/>
        <w:shd w:val="clear"/>
        <w:adjustRightInd w:val="0"/>
        <w:snapToGrid w:val="0"/>
        <w:spacing w:before="0" w:after="0" w:line="360" w:lineRule="auto"/>
        <w:ind w:firstLine="118"/>
        <w:jc w:val="left"/>
        <w:rPr>
          <w:rFonts w:hint="eastAsia" w:ascii="宋体" w:eastAsia="宋体" w:cs="宋体"/>
          <w:color w:val="auto"/>
          <w:sz w:val="24"/>
          <w:szCs w:val="24"/>
          <w:highlight w:val="none"/>
        </w:rPr>
      </w:pPr>
      <w:bookmarkStart w:id="615" w:name="_Toc144974538"/>
      <w:bookmarkStart w:id="616" w:name="_Toc247513994"/>
      <w:bookmarkStart w:id="617" w:name="_Toc300834993"/>
      <w:bookmarkStart w:id="618" w:name="_Toc60859875"/>
      <w:bookmarkStart w:id="619" w:name="_Toc152045570"/>
      <w:bookmarkStart w:id="620" w:name="_Toc436834766"/>
      <w:bookmarkStart w:id="621" w:name="_Toc152042346"/>
      <w:bookmarkStart w:id="622" w:name="_Toc247527595"/>
      <w:bookmarkStart w:id="623" w:name="_Toc65361683"/>
      <w:bookmarkStart w:id="624" w:name="_Toc516265959"/>
      <w:bookmarkStart w:id="625" w:name="_Toc436834173"/>
      <w:bookmarkStart w:id="626" w:name="_Toc515980172"/>
      <w:bookmarkStart w:id="627" w:name="_Toc21535137"/>
      <w:bookmarkStart w:id="628" w:name="_Toc399165415"/>
      <w:r>
        <w:rPr>
          <w:rFonts w:hint="eastAsia" w:ascii="宋体" w:eastAsia="宋体" w:cs="宋体"/>
          <w:color w:val="auto"/>
          <w:sz w:val="24"/>
          <w:szCs w:val="24"/>
          <w:highlight w:val="none"/>
        </w:rPr>
        <w:t>7.5 签订合同</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7.5.1 招标人和中标人应当自中标通知书发出之日起30天内，根据招标文件和中标人的投标文件订立书面合同。中标人无正当理由拒签合同的，招标人取消其中标资格</w:t>
      </w:r>
      <w:r>
        <w:rPr>
          <w:rFonts w:hint="eastAsia" w:ascii="宋体" w:hAnsi="宋体" w:cs="宋体"/>
          <w:strike/>
          <w:color w:val="auto"/>
          <w:sz w:val="24"/>
          <w:szCs w:val="24"/>
          <w:highlight w:val="none"/>
        </w:rPr>
        <w:t>，其投标保证金不予退还</w:t>
      </w:r>
      <w:r>
        <w:rPr>
          <w:rFonts w:hint="eastAsia" w:ascii="宋体" w:hAnsi="宋体" w:cs="宋体"/>
          <w:color w:val="auto"/>
          <w:sz w:val="24"/>
          <w:szCs w:val="24"/>
          <w:highlight w:val="none"/>
        </w:rPr>
        <w:t>；给招标人造成的损失</w:t>
      </w:r>
      <w:r>
        <w:rPr>
          <w:rFonts w:hint="eastAsia" w:ascii="宋体" w:hAnsi="宋体" w:cs="宋体"/>
          <w:strike/>
          <w:color w:val="auto"/>
          <w:sz w:val="24"/>
          <w:szCs w:val="24"/>
          <w:highlight w:val="none"/>
        </w:rPr>
        <w:t>超过投标保证金数额的</w:t>
      </w:r>
      <w:r>
        <w:rPr>
          <w:rFonts w:hint="eastAsia" w:ascii="宋体" w:hAnsi="宋体" w:cs="宋体"/>
          <w:color w:val="auto"/>
          <w:sz w:val="24"/>
          <w:szCs w:val="24"/>
          <w:highlight w:val="none"/>
        </w:rPr>
        <w:t>，中标人还应当</w:t>
      </w:r>
      <w:r>
        <w:rPr>
          <w:rFonts w:hint="eastAsia" w:ascii="宋体" w:hAnsi="宋体" w:cs="宋体"/>
          <w:strike/>
          <w:color w:val="auto"/>
          <w:sz w:val="24"/>
          <w:szCs w:val="24"/>
          <w:highlight w:val="none"/>
        </w:rPr>
        <w:t>对超过部分</w:t>
      </w:r>
      <w:r>
        <w:rPr>
          <w:rFonts w:hint="eastAsia" w:ascii="宋体" w:hAnsi="宋体" w:cs="宋体"/>
          <w:color w:val="auto"/>
          <w:sz w:val="24"/>
          <w:szCs w:val="24"/>
          <w:highlight w:val="none"/>
        </w:rPr>
        <w:t xml:space="preserve">予以赔偿。 </w:t>
      </w:r>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7.5.2 发出中标通知书后，招标人无正当理由拒签合同的，</w:t>
      </w:r>
      <w:r>
        <w:rPr>
          <w:rFonts w:hint="eastAsia" w:ascii="宋体" w:hAnsi="宋体" w:cs="宋体"/>
          <w:strike/>
          <w:color w:val="auto"/>
          <w:sz w:val="24"/>
          <w:szCs w:val="24"/>
          <w:highlight w:val="none"/>
        </w:rPr>
        <w:t>招标人向中标人退还投标保证金；</w:t>
      </w:r>
      <w:r>
        <w:rPr>
          <w:rFonts w:hint="eastAsia" w:ascii="宋体" w:hAnsi="宋体" w:cs="宋体"/>
          <w:color w:val="auto"/>
          <w:sz w:val="24"/>
          <w:szCs w:val="24"/>
          <w:highlight w:val="none"/>
        </w:rPr>
        <w:t>给中标人造成损失的，还应当赔偿损失。</w:t>
      </w:r>
    </w:p>
    <w:p>
      <w:pPr>
        <w:pStyle w:val="4"/>
        <w:shd w:val="clear"/>
        <w:adjustRightInd w:val="0"/>
        <w:snapToGrid w:val="0"/>
        <w:spacing w:before="0" w:after="0" w:line="360" w:lineRule="auto"/>
        <w:jc w:val="left"/>
        <w:rPr>
          <w:rFonts w:hint="eastAsia" w:ascii="宋体" w:hAnsi="宋体" w:eastAsia="宋体" w:cs="宋体"/>
          <w:color w:val="auto"/>
          <w:sz w:val="24"/>
          <w:szCs w:val="24"/>
          <w:highlight w:val="none"/>
        </w:rPr>
      </w:pPr>
      <w:bookmarkStart w:id="629" w:name="_Toc144974539"/>
      <w:bookmarkStart w:id="630" w:name="_Toc247527596"/>
      <w:bookmarkStart w:id="631" w:name="_Toc152042347"/>
      <w:bookmarkStart w:id="632" w:name="_Toc152045571"/>
      <w:bookmarkStart w:id="633" w:name="_Toc247513995"/>
      <w:bookmarkStart w:id="634" w:name="_Toc300834994"/>
      <w:bookmarkStart w:id="635" w:name="_Toc60859876"/>
      <w:bookmarkStart w:id="636" w:name="_Toc65361684"/>
      <w:bookmarkStart w:id="637" w:name="_Toc21535138"/>
      <w:bookmarkStart w:id="638" w:name="_Toc516265960"/>
      <w:bookmarkStart w:id="639" w:name="_Toc436834767"/>
      <w:bookmarkStart w:id="640" w:name="_Toc515980173"/>
      <w:bookmarkStart w:id="641" w:name="_Toc436834174"/>
      <w:bookmarkStart w:id="642" w:name="_Toc399165416"/>
      <w:r>
        <w:rPr>
          <w:rFonts w:hint="eastAsia" w:ascii="宋体" w:hAnsi="宋体" w:eastAsia="宋体" w:cs="宋体"/>
          <w:color w:val="auto"/>
          <w:sz w:val="24"/>
          <w:szCs w:val="24"/>
          <w:highlight w:val="none"/>
        </w:rPr>
        <w:t>8.</w:t>
      </w:r>
      <w:bookmarkEnd w:id="629"/>
      <w:bookmarkEnd w:id="630"/>
      <w:bookmarkEnd w:id="631"/>
      <w:bookmarkEnd w:id="632"/>
      <w:bookmarkEnd w:id="633"/>
      <w:bookmarkStart w:id="643" w:name="_Toc247513998"/>
      <w:bookmarkStart w:id="644" w:name="_Toc152042350"/>
      <w:bookmarkStart w:id="645" w:name="_Toc144974542"/>
      <w:bookmarkStart w:id="646" w:name="_Toc152045574"/>
      <w:bookmarkStart w:id="647" w:name="_Toc247527599"/>
      <w:r>
        <w:rPr>
          <w:rFonts w:hint="eastAsia" w:ascii="宋体" w:hAnsi="宋体" w:eastAsia="宋体" w:cs="宋体"/>
          <w:color w:val="auto"/>
          <w:sz w:val="24"/>
          <w:szCs w:val="24"/>
          <w:highlight w:val="none"/>
        </w:rPr>
        <w:t>纪律和监督</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pPr>
        <w:pStyle w:val="5"/>
        <w:shd w:val="clear"/>
        <w:adjustRightInd w:val="0"/>
        <w:snapToGrid w:val="0"/>
        <w:spacing w:before="0" w:after="0" w:line="360" w:lineRule="auto"/>
        <w:ind w:firstLine="118"/>
        <w:jc w:val="left"/>
        <w:rPr>
          <w:rFonts w:hint="eastAsia" w:ascii="宋体" w:eastAsia="宋体" w:cs="宋体"/>
          <w:color w:val="auto"/>
          <w:sz w:val="24"/>
          <w:szCs w:val="24"/>
          <w:highlight w:val="none"/>
        </w:rPr>
      </w:pPr>
      <w:bookmarkStart w:id="648" w:name="_Toc399165417"/>
      <w:bookmarkStart w:id="649" w:name="_Toc516265961"/>
      <w:bookmarkStart w:id="650" w:name="_Toc247527600"/>
      <w:bookmarkStart w:id="651" w:name="_Toc152045575"/>
      <w:bookmarkStart w:id="652" w:name="_Toc65361685"/>
      <w:bookmarkStart w:id="653" w:name="_Toc60859877"/>
      <w:bookmarkStart w:id="654" w:name="_Toc436834768"/>
      <w:bookmarkStart w:id="655" w:name="_Toc436834175"/>
      <w:bookmarkStart w:id="656" w:name="_Toc152042351"/>
      <w:bookmarkStart w:id="657" w:name="_Toc515980174"/>
      <w:bookmarkStart w:id="658" w:name="_Toc247513999"/>
      <w:bookmarkStart w:id="659" w:name="_Toc300834995"/>
      <w:bookmarkStart w:id="660" w:name="_Toc21535139"/>
      <w:bookmarkStart w:id="661" w:name="_Toc144974543"/>
      <w:r>
        <w:rPr>
          <w:rFonts w:hint="eastAsia" w:ascii="宋体" w:eastAsia="宋体" w:cs="宋体"/>
          <w:color w:val="auto"/>
          <w:sz w:val="24"/>
          <w:szCs w:val="24"/>
          <w:highlight w:val="none"/>
        </w:rPr>
        <w:t>8.1 对招标人的纪律要求</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招标人不得泄漏招标投标活动中应当保密的情况和资料，不得与投标人串通损害国家利益、社会公共利益或者他人合法权益。</w:t>
      </w:r>
    </w:p>
    <w:p>
      <w:pPr>
        <w:pStyle w:val="5"/>
        <w:shd w:val="clear"/>
        <w:adjustRightInd w:val="0"/>
        <w:snapToGrid w:val="0"/>
        <w:spacing w:before="0" w:after="0" w:line="360" w:lineRule="auto"/>
        <w:ind w:firstLine="118"/>
        <w:jc w:val="left"/>
        <w:rPr>
          <w:rFonts w:hint="eastAsia" w:ascii="宋体" w:eastAsia="宋体" w:cs="宋体"/>
          <w:color w:val="auto"/>
          <w:sz w:val="24"/>
          <w:szCs w:val="24"/>
          <w:highlight w:val="none"/>
        </w:rPr>
      </w:pPr>
      <w:bookmarkStart w:id="662" w:name="_Toc60859878"/>
      <w:bookmarkStart w:id="663" w:name="_Toc247527601"/>
      <w:bookmarkStart w:id="664" w:name="_Toc399165418"/>
      <w:bookmarkStart w:id="665" w:name="_Toc436834176"/>
      <w:bookmarkStart w:id="666" w:name="_Toc21535140"/>
      <w:bookmarkStart w:id="667" w:name="_Toc152042352"/>
      <w:bookmarkStart w:id="668" w:name="_Toc516265962"/>
      <w:bookmarkStart w:id="669" w:name="_Toc247514000"/>
      <w:bookmarkStart w:id="670" w:name="_Toc515980175"/>
      <w:bookmarkStart w:id="671" w:name="_Toc152045576"/>
      <w:bookmarkStart w:id="672" w:name="_Toc65361686"/>
      <w:bookmarkStart w:id="673" w:name="_Toc300834996"/>
      <w:bookmarkStart w:id="674" w:name="_Toc144974544"/>
      <w:bookmarkStart w:id="675" w:name="_Toc436834769"/>
      <w:r>
        <w:rPr>
          <w:rFonts w:hint="eastAsia" w:ascii="宋体" w:eastAsia="宋体" w:cs="宋体"/>
          <w:color w:val="auto"/>
          <w:sz w:val="24"/>
          <w:szCs w:val="24"/>
          <w:highlight w:val="none"/>
        </w:rPr>
        <w:t>8.2 对投标人的纪律要求</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8.2.1 投标人不得相互串通投标或者与招标人串通投标，不得向招标人或者评标委员会成员行贿谋取中标，不得以他人名义投标或者以其他方式弄虚作假骗取中标；投标人不得以任何方式干扰、影响评标工作。</w:t>
      </w:r>
    </w:p>
    <w:p>
      <w:pPr>
        <w:shd w:val="clear"/>
        <w:adjustRightInd w:val="0"/>
        <w:snapToGrid w:val="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8.2.2投标人如在本项目中存在串通投标、弄虚作假骗取中标、行贿情形的，中标无效，行政监督部门将对其违法行为进行政处罚。该投标人将被招标人列入黑名单并限制其参与招标人后续项目的投标。</w:t>
      </w:r>
    </w:p>
    <w:p>
      <w:pPr>
        <w:pStyle w:val="5"/>
        <w:shd w:val="clear"/>
        <w:adjustRightInd w:val="0"/>
        <w:snapToGrid w:val="0"/>
        <w:spacing w:before="0" w:after="0" w:line="360" w:lineRule="auto"/>
        <w:ind w:firstLine="118"/>
        <w:jc w:val="left"/>
        <w:rPr>
          <w:rFonts w:hint="eastAsia" w:ascii="宋体" w:eastAsia="宋体" w:cs="宋体"/>
          <w:color w:val="auto"/>
          <w:sz w:val="24"/>
          <w:szCs w:val="24"/>
          <w:highlight w:val="none"/>
        </w:rPr>
      </w:pPr>
      <w:bookmarkStart w:id="676" w:name="_Toc144974545"/>
      <w:bookmarkStart w:id="677" w:name="_Toc399165419"/>
      <w:bookmarkStart w:id="678" w:name="_Toc515980176"/>
      <w:bookmarkStart w:id="679" w:name="_Toc60859879"/>
      <w:bookmarkStart w:id="680" w:name="_Toc300834997"/>
      <w:bookmarkStart w:id="681" w:name="_Toc247527602"/>
      <w:bookmarkStart w:id="682" w:name="_Toc436834770"/>
      <w:bookmarkStart w:id="683" w:name="_Toc516265963"/>
      <w:bookmarkStart w:id="684" w:name="_Toc152042353"/>
      <w:bookmarkStart w:id="685" w:name="_Toc65361687"/>
      <w:bookmarkStart w:id="686" w:name="_Toc436834177"/>
      <w:bookmarkStart w:id="687" w:name="_Toc152045577"/>
      <w:bookmarkStart w:id="688" w:name="_Toc21535141"/>
      <w:bookmarkStart w:id="689" w:name="_Toc247514001"/>
      <w:r>
        <w:rPr>
          <w:rFonts w:hint="eastAsia" w:ascii="宋体" w:eastAsia="宋体" w:cs="宋体"/>
          <w:color w:val="auto"/>
          <w:sz w:val="24"/>
          <w:szCs w:val="24"/>
          <w:highlight w:val="none"/>
        </w:rPr>
        <w:t>8.3 对评标委员会成员的纪律要求</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5"/>
        <w:shd w:val="clear"/>
        <w:adjustRightInd w:val="0"/>
        <w:snapToGrid w:val="0"/>
        <w:spacing w:before="0" w:after="0" w:line="360" w:lineRule="auto"/>
        <w:ind w:firstLine="118"/>
        <w:jc w:val="left"/>
        <w:rPr>
          <w:rFonts w:hint="eastAsia" w:ascii="宋体" w:eastAsia="宋体" w:cs="宋体"/>
          <w:color w:val="auto"/>
          <w:sz w:val="24"/>
          <w:szCs w:val="24"/>
          <w:highlight w:val="none"/>
        </w:rPr>
      </w:pPr>
      <w:bookmarkStart w:id="690" w:name="_Toc516265964"/>
      <w:bookmarkStart w:id="691" w:name="_Toc436834178"/>
      <w:bookmarkStart w:id="692" w:name="_Toc436834771"/>
      <w:bookmarkStart w:id="693" w:name="_Toc152045578"/>
      <w:bookmarkStart w:id="694" w:name="_Toc300834998"/>
      <w:bookmarkStart w:id="695" w:name="_Toc247514002"/>
      <w:bookmarkStart w:id="696" w:name="_Toc65361688"/>
      <w:bookmarkStart w:id="697" w:name="_Toc21535142"/>
      <w:bookmarkStart w:id="698" w:name="_Toc247527603"/>
      <w:bookmarkStart w:id="699" w:name="_Toc152042354"/>
      <w:bookmarkStart w:id="700" w:name="_Toc60859880"/>
      <w:bookmarkStart w:id="701" w:name="_Toc399165420"/>
      <w:bookmarkStart w:id="702" w:name="_Toc515980177"/>
      <w:bookmarkStart w:id="703" w:name="_Toc144974546"/>
      <w:r>
        <w:rPr>
          <w:rFonts w:hint="eastAsia" w:ascii="宋体" w:eastAsia="宋体" w:cs="宋体"/>
          <w:color w:val="auto"/>
          <w:sz w:val="24"/>
          <w:szCs w:val="24"/>
          <w:highlight w:val="none"/>
        </w:rPr>
        <w:t>8.4 对与评标活动有关的工作人员的纪律要求</w:t>
      </w:r>
      <w:bookmarkEnd w:id="690"/>
      <w:bookmarkEnd w:id="691"/>
      <w:bookmarkEnd w:id="692"/>
      <w:bookmarkEnd w:id="693"/>
      <w:bookmarkEnd w:id="694"/>
      <w:bookmarkEnd w:id="695"/>
      <w:bookmarkEnd w:id="696"/>
      <w:bookmarkEnd w:id="697"/>
      <w:bookmarkEnd w:id="698"/>
      <w:bookmarkEnd w:id="699"/>
      <w:bookmarkEnd w:id="700"/>
      <w:bookmarkEnd w:id="701"/>
      <w:bookmarkEnd w:id="702"/>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bookmarkStart w:id="704" w:name="_Toc152042355"/>
      <w:r>
        <w:rPr>
          <w:rFonts w:hint="eastAsia" w:ascii="宋体" w:hAnsi="宋体" w:cs="宋体"/>
          <w:color w:val="auto"/>
          <w:sz w:val="24"/>
          <w:szCs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704"/>
    </w:p>
    <w:p>
      <w:pPr>
        <w:pStyle w:val="5"/>
        <w:shd w:val="clear"/>
        <w:adjustRightInd w:val="0"/>
        <w:snapToGrid w:val="0"/>
        <w:spacing w:before="0" w:after="0" w:line="360" w:lineRule="auto"/>
        <w:ind w:firstLine="118"/>
        <w:jc w:val="left"/>
        <w:rPr>
          <w:rFonts w:hint="eastAsia" w:ascii="宋体" w:eastAsia="宋体" w:cs="宋体"/>
          <w:color w:val="auto"/>
          <w:sz w:val="24"/>
          <w:szCs w:val="24"/>
          <w:highlight w:val="none"/>
        </w:rPr>
      </w:pPr>
      <w:bookmarkStart w:id="705" w:name="_Toc300834999"/>
      <w:bookmarkStart w:id="706" w:name="_Toc21535143"/>
      <w:bookmarkStart w:id="707" w:name="_Toc516265965"/>
      <w:bookmarkStart w:id="708" w:name="_Toc152042356"/>
      <w:bookmarkStart w:id="709" w:name="_Toc247514003"/>
      <w:bookmarkStart w:id="710" w:name="_Toc247527604"/>
      <w:bookmarkStart w:id="711" w:name="_Toc152045579"/>
      <w:bookmarkStart w:id="712" w:name="_Toc65361689"/>
      <w:bookmarkStart w:id="713" w:name="_Toc515980178"/>
      <w:bookmarkStart w:id="714" w:name="_Toc399165421"/>
      <w:bookmarkStart w:id="715" w:name="_Toc60859881"/>
      <w:bookmarkStart w:id="716" w:name="_Toc436834772"/>
      <w:bookmarkStart w:id="717" w:name="_Toc436834179"/>
      <w:r>
        <w:rPr>
          <w:rFonts w:hint="eastAsia" w:ascii="宋体" w:eastAsia="宋体" w:cs="宋体"/>
          <w:color w:val="auto"/>
          <w:sz w:val="24"/>
          <w:szCs w:val="24"/>
          <w:highlight w:val="none"/>
        </w:rPr>
        <w:t>8.5 投诉</w:t>
      </w:r>
      <w:bookmarkEnd w:id="703"/>
      <w:bookmarkEnd w:id="705"/>
      <w:bookmarkEnd w:id="706"/>
      <w:bookmarkEnd w:id="707"/>
      <w:bookmarkEnd w:id="708"/>
      <w:bookmarkEnd w:id="709"/>
      <w:bookmarkEnd w:id="710"/>
      <w:bookmarkEnd w:id="711"/>
      <w:bookmarkEnd w:id="712"/>
      <w:bookmarkEnd w:id="713"/>
      <w:bookmarkEnd w:id="714"/>
      <w:bookmarkEnd w:id="715"/>
      <w:bookmarkEnd w:id="716"/>
      <w:bookmarkEnd w:id="717"/>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投标人和其他利害关系人认为本次招标活动违反法律、法规和规章规定的，有权向有关行政监督部门投诉。</w:t>
      </w:r>
    </w:p>
    <w:p>
      <w:pPr>
        <w:pStyle w:val="4"/>
        <w:shd w:val="clear"/>
        <w:adjustRightInd w:val="0"/>
        <w:snapToGrid w:val="0"/>
        <w:spacing w:before="0" w:after="0" w:line="360" w:lineRule="auto"/>
        <w:jc w:val="left"/>
        <w:rPr>
          <w:rFonts w:hint="eastAsia" w:ascii="宋体" w:hAnsi="宋体" w:eastAsia="宋体" w:cs="宋体"/>
          <w:color w:val="auto"/>
          <w:sz w:val="24"/>
          <w:szCs w:val="24"/>
          <w:highlight w:val="none"/>
        </w:rPr>
      </w:pPr>
      <w:bookmarkStart w:id="718" w:name="_Toc436834180"/>
      <w:bookmarkStart w:id="719" w:name="_Toc399165422"/>
      <w:bookmarkStart w:id="720" w:name="_Toc152045580"/>
      <w:bookmarkStart w:id="721" w:name="_Toc247514004"/>
      <w:bookmarkStart w:id="722" w:name="_Toc152042357"/>
      <w:bookmarkStart w:id="723" w:name="_Toc300835000"/>
      <w:bookmarkStart w:id="724" w:name="_Toc21535144"/>
      <w:bookmarkStart w:id="725" w:name="_Toc515980179"/>
      <w:bookmarkStart w:id="726" w:name="_Toc247527605"/>
      <w:bookmarkStart w:id="727" w:name="_Toc60859882"/>
      <w:bookmarkStart w:id="728" w:name="_Toc436834773"/>
      <w:bookmarkStart w:id="729" w:name="_Toc144974547"/>
      <w:bookmarkStart w:id="730" w:name="_Toc516265966"/>
      <w:bookmarkStart w:id="731" w:name="_Toc65361690"/>
      <w:r>
        <w:rPr>
          <w:rFonts w:hint="eastAsia" w:ascii="宋体" w:hAnsi="宋体" w:eastAsia="宋体" w:cs="宋体"/>
          <w:color w:val="auto"/>
          <w:sz w:val="24"/>
          <w:szCs w:val="24"/>
          <w:highlight w:val="none"/>
        </w:rPr>
        <w:t>9. 需要补充的其他内容</w:t>
      </w:r>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p>
      <w:pPr>
        <w:shd w:val="clea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需要补充的其他内容：见投标人须知前附表。</w:t>
      </w:r>
    </w:p>
    <w:p>
      <w:pPr>
        <w:pStyle w:val="4"/>
        <w:shd w:val="clear"/>
        <w:adjustRightInd w:val="0"/>
        <w:snapToGrid w:val="0"/>
        <w:spacing w:before="0" w:after="0" w:line="360" w:lineRule="auto"/>
        <w:jc w:val="left"/>
        <w:rPr>
          <w:rFonts w:hint="eastAsia" w:ascii="宋体" w:hAnsi="宋体" w:eastAsia="宋体" w:cs="宋体"/>
          <w:color w:val="auto"/>
          <w:sz w:val="24"/>
          <w:szCs w:val="24"/>
          <w:highlight w:val="none"/>
        </w:rPr>
      </w:pPr>
      <w:bookmarkStart w:id="732" w:name="_Toc516265967"/>
      <w:bookmarkStart w:id="733" w:name="_Toc515980180"/>
      <w:bookmarkStart w:id="734" w:name="_Toc399165423"/>
      <w:bookmarkStart w:id="735" w:name="_Toc60859883"/>
      <w:bookmarkStart w:id="736" w:name="_Toc436834181"/>
      <w:bookmarkStart w:id="737" w:name="_Toc21535145"/>
      <w:bookmarkStart w:id="738" w:name="_Toc300835001"/>
      <w:bookmarkStart w:id="739" w:name="_Toc436834774"/>
      <w:bookmarkStart w:id="740" w:name="_Toc65361691"/>
      <w:r>
        <w:rPr>
          <w:rFonts w:hint="eastAsia" w:ascii="宋体" w:hAnsi="宋体" w:eastAsia="宋体" w:cs="宋体"/>
          <w:color w:val="auto"/>
          <w:sz w:val="24"/>
          <w:szCs w:val="24"/>
          <w:highlight w:val="none"/>
        </w:rPr>
        <w:t>10. 电子招标投标</w:t>
      </w:r>
      <w:bookmarkEnd w:id="732"/>
      <w:bookmarkEnd w:id="733"/>
      <w:bookmarkEnd w:id="734"/>
      <w:bookmarkEnd w:id="735"/>
      <w:bookmarkEnd w:id="736"/>
      <w:bookmarkEnd w:id="737"/>
      <w:bookmarkEnd w:id="738"/>
      <w:bookmarkEnd w:id="739"/>
      <w:bookmarkEnd w:id="740"/>
    </w:p>
    <w:p>
      <w:pPr>
        <w:pStyle w:val="3"/>
        <w:shd w:val="clear"/>
        <w:adjustRightInd w:val="0"/>
        <w:snapToGrid w:val="0"/>
        <w:spacing w:before="0" w:after="0" w:line="360" w:lineRule="auto"/>
        <w:jc w:val="left"/>
        <w:rPr>
          <w:rFonts w:hint="eastAsia" w:ascii="宋体" w:hAnsi="宋体" w:cs="宋体"/>
          <w:color w:val="auto"/>
          <w:highlight w:val="none"/>
        </w:rPr>
      </w:pPr>
      <w:r>
        <w:rPr>
          <w:rFonts w:hint="eastAsia" w:ascii="宋体" w:hAnsi="宋体" w:cs="宋体"/>
          <w:color w:val="auto"/>
          <w:sz w:val="24"/>
          <w:szCs w:val="24"/>
          <w:highlight w:val="none"/>
        </w:rPr>
        <w:t>采用电子招标投标，对投标文件的编制、密封和标记、递交、开标、评标等具体要求，见投标人须知前附表。</w:t>
      </w:r>
      <w:bookmarkStart w:id="741" w:name="_Toc9379"/>
      <w:bookmarkStart w:id="742" w:name="_Toc65361692"/>
      <w:bookmarkStart w:id="743" w:name="_Toc60859884"/>
      <w:bookmarkStart w:id="744" w:name="_Toc516265968"/>
      <w:bookmarkStart w:id="745" w:name="_Toc515980181"/>
      <w:bookmarkStart w:id="746" w:name="_Toc439019910"/>
      <w:bookmarkStart w:id="747" w:name="_Toc21535146"/>
      <w:bookmarkStart w:id="748" w:name="_Toc439019615"/>
      <w:bookmarkStart w:id="749" w:name="_Toc439006897"/>
      <w:bookmarkStart w:id="750" w:name="_Toc439019791"/>
      <w:r>
        <w:rPr>
          <w:rFonts w:hint="eastAsia" w:ascii="宋体" w:hAnsi="宋体" w:cs="宋体"/>
          <w:color w:val="auto"/>
          <w:sz w:val="24"/>
          <w:szCs w:val="24"/>
          <w:highlight w:val="none"/>
        </w:rPr>
        <w:br w:type="page"/>
      </w:r>
      <w:bookmarkEnd w:id="741"/>
      <w:r>
        <w:rPr>
          <w:rFonts w:hint="eastAsia" w:ascii="宋体" w:hAnsi="宋体" w:cs="宋体"/>
          <w:color w:val="auto"/>
          <w:highlight w:val="none"/>
        </w:rPr>
        <w:t>第三章  评标办法（综合评估法）</w:t>
      </w:r>
    </w:p>
    <w:p>
      <w:pPr>
        <w:pStyle w:val="4"/>
        <w:shd w:val="clear"/>
        <w:spacing w:before="0" w:after="0" w:line="24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评标办法前附表</w:t>
      </w:r>
    </w:p>
    <w:tbl>
      <w:tblPr>
        <w:tblStyle w:val="15"/>
        <w:tblW w:w="971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4"/>
        <w:gridCol w:w="102"/>
        <w:gridCol w:w="636"/>
        <w:gridCol w:w="1905"/>
        <w:gridCol w:w="636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452" w:type="dxa"/>
            <w:gridSpan w:val="3"/>
            <w:tcBorders>
              <w:top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评审因素</w:t>
            </w:r>
          </w:p>
        </w:tc>
        <w:tc>
          <w:tcPr>
            <w:tcW w:w="6362"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816" w:type="dxa"/>
            <w:gridSpan w:val="2"/>
            <w:vMerge w:val="restart"/>
            <w:tcBorders>
              <w:top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2.1.1</w:t>
            </w:r>
          </w:p>
        </w:tc>
        <w:tc>
          <w:tcPr>
            <w:tcW w:w="636" w:type="dxa"/>
            <w:vMerge w:val="restart"/>
            <w:tcBorders>
              <w:top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形式评审标准</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6362"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与营业执照、资质证书一致。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816" w:type="dxa"/>
            <w:gridSpan w:val="2"/>
            <w:vMerge w:val="continue"/>
            <w:tcBorders>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636" w:type="dxa"/>
            <w:vMerge w:val="continue"/>
            <w:tcBorders>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法定代表人证明及授权</w:t>
            </w:r>
          </w:p>
        </w:tc>
        <w:tc>
          <w:tcPr>
            <w:tcW w:w="6362"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投标文件中有有效的法定代表人证明书，或由委托代理人签字或盖章的投标文件中有法定代表人证明书和授权委托证明书。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816" w:type="dxa"/>
            <w:gridSpan w:val="2"/>
            <w:vMerge w:val="continue"/>
            <w:tcBorders>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636" w:type="dxa"/>
            <w:vMerge w:val="continue"/>
            <w:tcBorders>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投标承诺函</w:t>
            </w:r>
          </w:p>
        </w:tc>
        <w:tc>
          <w:tcPr>
            <w:tcW w:w="6362"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《投标承诺函》与招标文件规定一致，且按规定加盖投标人电子印章。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816" w:type="dxa"/>
            <w:gridSpan w:val="2"/>
            <w:vMerge w:val="continue"/>
            <w:tcBorders>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636" w:type="dxa"/>
            <w:vMerge w:val="continue"/>
            <w:tcBorders>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投标文件格式</w:t>
            </w:r>
          </w:p>
        </w:tc>
        <w:tc>
          <w:tcPr>
            <w:tcW w:w="6362"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符合第七章“投标文件格式”的要求</w:t>
            </w:r>
            <w:r>
              <w:rPr>
                <w:rStyle w:val="19"/>
                <w:rFonts w:hint="eastAsia"/>
                <w:color w:val="auto"/>
                <w:highlight w:val="none"/>
              </w:rPr>
              <w:t>（《投标书》、《投标承诺函》、《投标文件编制人员名单》）</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816" w:type="dxa"/>
            <w:gridSpan w:val="2"/>
            <w:vMerge w:val="continue"/>
            <w:tcBorders>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636" w:type="dxa"/>
            <w:vMerge w:val="continue"/>
            <w:tcBorders>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报价唯一</w:t>
            </w:r>
          </w:p>
        </w:tc>
        <w:tc>
          <w:tcPr>
            <w:tcW w:w="6362"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只能有一个有效报价。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4" w:hRule="atLeast"/>
          <w:jc w:val="center"/>
        </w:trPr>
        <w:tc>
          <w:tcPr>
            <w:tcW w:w="816" w:type="dxa"/>
            <w:gridSpan w:val="2"/>
            <w:vMerge w:val="continue"/>
            <w:tcBorders>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636" w:type="dxa"/>
            <w:vMerge w:val="continue"/>
            <w:tcBorders>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机器特征码</w:t>
            </w:r>
          </w:p>
        </w:tc>
        <w:tc>
          <w:tcPr>
            <w:tcW w:w="6362"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投标人与本项目其他投标人的加密打包投标文件电脑机器特征码不一致(以广州公共资源交易中心交易平台评标系统的检索信息为准)。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816" w:type="dxa"/>
            <w:gridSpan w:val="2"/>
            <w:vMerge w:val="continue"/>
            <w:tcBorders>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636" w:type="dxa"/>
            <w:vMerge w:val="continue"/>
            <w:tcBorders>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备选投标方案</w:t>
            </w:r>
          </w:p>
        </w:tc>
        <w:tc>
          <w:tcPr>
            <w:tcW w:w="6362"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未提交备选投标方案。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816" w:type="dxa"/>
            <w:gridSpan w:val="2"/>
            <w:vMerge w:val="restart"/>
            <w:tcBorders>
              <w:top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2.1.2</w:t>
            </w:r>
          </w:p>
        </w:tc>
        <w:tc>
          <w:tcPr>
            <w:tcW w:w="636" w:type="dxa"/>
            <w:vMerge w:val="restart"/>
            <w:tcBorders>
              <w:top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资格评审标准</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营业执照</w:t>
            </w:r>
          </w:p>
        </w:tc>
        <w:tc>
          <w:tcPr>
            <w:tcW w:w="6362"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816" w:type="dxa"/>
            <w:gridSpan w:val="2"/>
            <w:vMerge w:val="continue"/>
            <w:tcBorders>
              <w:top w:val="nil"/>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636" w:type="dxa"/>
            <w:vMerge w:val="continue"/>
            <w:tcBorders>
              <w:top w:val="nil"/>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资质等级</w:t>
            </w:r>
          </w:p>
        </w:tc>
        <w:tc>
          <w:tcPr>
            <w:tcW w:w="6362"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816" w:type="dxa"/>
            <w:gridSpan w:val="2"/>
            <w:vMerge w:val="continue"/>
            <w:tcBorders>
              <w:top w:val="nil"/>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636" w:type="dxa"/>
            <w:vMerge w:val="continue"/>
            <w:tcBorders>
              <w:top w:val="nil"/>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项目负责人（兼施工负责人）</w:t>
            </w:r>
          </w:p>
        </w:tc>
        <w:tc>
          <w:tcPr>
            <w:tcW w:w="6362"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816" w:type="dxa"/>
            <w:gridSpan w:val="2"/>
            <w:vMerge w:val="continue"/>
            <w:tcBorders>
              <w:top w:val="nil"/>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636" w:type="dxa"/>
            <w:vMerge w:val="continue"/>
            <w:tcBorders>
              <w:top w:val="nil"/>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1905" w:type="dxa"/>
            <w:tcBorders>
              <w:top w:val="single" w:color="auto" w:sz="4" w:space="0"/>
              <w:left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设计负责人</w:t>
            </w:r>
          </w:p>
        </w:tc>
        <w:tc>
          <w:tcPr>
            <w:tcW w:w="6362"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816" w:type="dxa"/>
            <w:gridSpan w:val="2"/>
            <w:vMerge w:val="continue"/>
            <w:tcBorders>
              <w:top w:val="nil"/>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636" w:type="dxa"/>
            <w:vMerge w:val="continue"/>
            <w:tcBorders>
              <w:top w:val="nil"/>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专职安全员</w:t>
            </w:r>
          </w:p>
        </w:tc>
        <w:tc>
          <w:tcPr>
            <w:tcW w:w="6362"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816" w:type="dxa"/>
            <w:gridSpan w:val="2"/>
            <w:vMerge w:val="continue"/>
            <w:tcBorders>
              <w:top w:val="nil"/>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636" w:type="dxa"/>
            <w:vMerge w:val="continue"/>
            <w:tcBorders>
              <w:top w:val="nil"/>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其他要求</w:t>
            </w:r>
          </w:p>
        </w:tc>
        <w:tc>
          <w:tcPr>
            <w:tcW w:w="6362"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27" w:hRule="atLeast"/>
          <w:jc w:val="center"/>
        </w:trPr>
        <w:tc>
          <w:tcPr>
            <w:tcW w:w="816" w:type="dxa"/>
            <w:gridSpan w:val="2"/>
            <w:vMerge w:val="continue"/>
            <w:tcBorders>
              <w:top w:val="nil"/>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636" w:type="dxa"/>
            <w:vMerge w:val="continue"/>
            <w:tcBorders>
              <w:top w:val="nil"/>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未被列入拖欠农民工工资失信联合惩戒对象名单</w:t>
            </w:r>
          </w:p>
        </w:tc>
        <w:tc>
          <w:tcPr>
            <w:tcW w:w="6362"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投标人无需提供资料，按交易系统比对的结果进行评审。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816" w:type="dxa"/>
            <w:gridSpan w:val="2"/>
            <w:vMerge w:val="continue"/>
            <w:tcBorders>
              <w:top w:val="nil"/>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636" w:type="dxa"/>
            <w:vMerge w:val="continue"/>
            <w:tcBorders>
              <w:top w:val="nil"/>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联合体投标人</w:t>
            </w:r>
          </w:p>
        </w:tc>
        <w:tc>
          <w:tcPr>
            <w:tcW w:w="6362"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符合第二章“投标人须知”第1.4.2项规定。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816" w:type="dxa"/>
            <w:gridSpan w:val="2"/>
            <w:vMerge w:val="restart"/>
            <w:tcBorders>
              <w:top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2.1.3</w:t>
            </w:r>
          </w:p>
        </w:tc>
        <w:tc>
          <w:tcPr>
            <w:tcW w:w="636" w:type="dxa"/>
            <w:vMerge w:val="restart"/>
            <w:tcBorders>
              <w:top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响应性评审标准</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6362"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符合第二章“投标人须知”第3.2.4项规定且不低于企业成本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816" w:type="dxa"/>
            <w:gridSpan w:val="2"/>
            <w:vMerge w:val="continue"/>
            <w:tcBorders>
              <w:top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636" w:type="dxa"/>
            <w:vMerge w:val="continue"/>
            <w:tcBorders>
              <w:top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投标内容</w:t>
            </w:r>
          </w:p>
        </w:tc>
        <w:tc>
          <w:tcPr>
            <w:tcW w:w="6362"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符合第二章“投标人须知”第1.3.1项规定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816" w:type="dxa"/>
            <w:gridSpan w:val="2"/>
            <w:vMerge w:val="continue"/>
            <w:tcBorders>
              <w:top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636" w:type="dxa"/>
            <w:vMerge w:val="continue"/>
            <w:tcBorders>
              <w:top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6362"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816" w:type="dxa"/>
            <w:gridSpan w:val="2"/>
            <w:vMerge w:val="continue"/>
            <w:tcBorders>
              <w:top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636" w:type="dxa"/>
            <w:vMerge w:val="continue"/>
            <w:tcBorders>
              <w:top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6362"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符合第二章“投标人须知”第1.3.3项规定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816" w:type="dxa"/>
            <w:gridSpan w:val="2"/>
            <w:vMerge w:val="continue"/>
            <w:tcBorders>
              <w:top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636" w:type="dxa"/>
            <w:vMerge w:val="continue"/>
            <w:tcBorders>
              <w:top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6362"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符合第二章“投标人须知”第3.3.1项规定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816" w:type="dxa"/>
            <w:gridSpan w:val="2"/>
            <w:vMerge w:val="continue"/>
            <w:tcBorders>
              <w:top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636" w:type="dxa"/>
            <w:vMerge w:val="continue"/>
            <w:tcBorders>
              <w:top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合法合规性</w:t>
            </w:r>
          </w:p>
        </w:tc>
        <w:tc>
          <w:tcPr>
            <w:tcW w:w="6362"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投标人之间不存在《广东省实施&lt;中华人民共和国招标投标法&gt;》第十六条所禁止的情形的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452" w:type="dxa"/>
            <w:gridSpan w:val="3"/>
            <w:tcBorders>
              <w:top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条款内容</w:t>
            </w:r>
          </w:p>
        </w:tc>
        <w:tc>
          <w:tcPr>
            <w:tcW w:w="6362"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452" w:type="dxa"/>
            <w:gridSpan w:val="3"/>
            <w:tcBorders>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2.2.1</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分值构成</w:t>
            </w:r>
          </w:p>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(总分100分)</w:t>
            </w:r>
          </w:p>
        </w:tc>
        <w:tc>
          <w:tcPr>
            <w:tcW w:w="6362"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投标人得分（满分100分）＝</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工程总承包实施方案投标文件得分×权重50%＋投标报价得分×权重50%</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95%＋施工诚信综合评价得分×权重5%</w:t>
            </w:r>
            <w:r>
              <w:rPr>
                <w:rFonts w:hint="eastAsia" w:ascii="宋体" w:hAnsi="宋体" w:cs="宋体"/>
                <w:color w:val="auto"/>
                <w:szCs w:val="21"/>
                <w:highlight w:val="none"/>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52" w:type="dxa"/>
            <w:gridSpan w:val="3"/>
            <w:tcBorders>
              <w:top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2.2.2</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评标基准价计算方法</w:t>
            </w:r>
          </w:p>
        </w:tc>
        <w:tc>
          <w:tcPr>
            <w:tcW w:w="6362"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通过初步评审并经算术校核的投标人的建安工程费报价位于[建安工程费最高投标限价×90%，建安工程费最高投标限价]区间的投标人大于5家时，在经算术校核的位于区间的投标人的建安工程费投标报价中，去掉一个最高价和一个最低价后，取剩余报价的算术平均值为评标基准价；</w:t>
            </w:r>
          </w:p>
          <w:p>
            <w:pPr>
              <w:shd w:val="clear"/>
              <w:adjustRightInd w:val="0"/>
              <w:snapToGrid w:val="0"/>
              <w:spacing w:line="360" w:lineRule="auto"/>
              <w:jc w:val="left"/>
              <w:rPr>
                <w:color w:val="auto"/>
                <w:highlight w:val="none"/>
              </w:rPr>
            </w:pPr>
            <w:r>
              <w:rPr>
                <w:rFonts w:hint="eastAsia" w:ascii="宋体" w:hAnsi="宋体" w:cs="宋体"/>
                <w:color w:val="auto"/>
                <w:szCs w:val="21"/>
                <w:highlight w:val="none"/>
              </w:rPr>
              <w:t>2.通过初步评审并经算术校核的投标人的建安工程费报价位于[建安工程费最高投标限价×90%，建安工程费最高投标限价]区间的投标人少于或等于5家时，直接取区间中的建安工程费投标报价的算术平均值为评标基准价。</w:t>
            </w:r>
          </w:p>
          <w:p>
            <w:pPr>
              <w:shd w:val="clear"/>
              <w:adjustRightInd w:val="0"/>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3.若没有投标人通过初步评审并经算术校核的建安工程费报价位于[建安工程费最高投标限价×90%，建安工程费最高投标限价]区间，则取建安工程费最高投标限价的90%为本项目的评标基准价。</w:t>
            </w:r>
          </w:p>
          <w:p>
            <w:pPr>
              <w:pStyle w:val="2"/>
              <w:shd w:val="clear"/>
              <w:adjustRightInd w:val="0"/>
              <w:snapToGrid w:val="0"/>
              <w:spacing w:line="360" w:lineRule="auto"/>
              <w:jc w:val="left"/>
              <w:rPr>
                <w:rFonts w:hint="eastAsia" w:hAnsi="宋体" w:cs="宋体"/>
                <w:color w:val="auto"/>
                <w:sz w:val="21"/>
                <w:szCs w:val="21"/>
                <w:highlight w:val="none"/>
              </w:rPr>
            </w:pPr>
            <w:r>
              <w:rPr>
                <w:rFonts w:hint="eastAsia" w:hAnsi="宋体" w:cs="宋体"/>
                <w:color w:val="auto"/>
                <w:sz w:val="21"/>
                <w:szCs w:val="21"/>
                <w:highlight w:val="none"/>
              </w:rPr>
              <w:t>注：所有计算过程保留到小数点后两位，第三位四舍五入。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452" w:type="dxa"/>
            <w:gridSpan w:val="3"/>
            <w:tcBorders>
              <w:top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2.2.3</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投标报价的偏差率计算公式</w:t>
            </w:r>
          </w:p>
        </w:tc>
        <w:tc>
          <w:tcPr>
            <w:tcW w:w="6362"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偏差率=（建安工程费投标报价－评标基准价）/评标基准价×100%</w:t>
            </w:r>
          </w:p>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（偏差率四舍五入保留2位小数，报价偏差率不足1%的，按直线内插法计算。）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452" w:type="dxa"/>
            <w:gridSpan w:val="3"/>
            <w:tcBorders>
              <w:top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b/>
                <w:color w:val="auto"/>
                <w:szCs w:val="21"/>
                <w:highlight w:val="none"/>
              </w:rPr>
              <w:t>条款号</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评分因素</w:t>
            </w:r>
          </w:p>
        </w:tc>
        <w:tc>
          <w:tcPr>
            <w:tcW w:w="6362"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b/>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14" w:type="dxa"/>
            <w:vMerge w:val="restart"/>
            <w:tcBorders>
              <w:top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2.2.4（1）</w:t>
            </w:r>
          </w:p>
          <w:p>
            <w:pPr>
              <w:pStyle w:val="2"/>
              <w:shd w:val="clear"/>
              <w:adjustRightInd w:val="0"/>
              <w:snapToGrid w:val="0"/>
              <w:spacing w:line="360" w:lineRule="auto"/>
              <w:jc w:val="left"/>
              <w:rPr>
                <w:rFonts w:hint="eastAsia" w:hAnsi="宋体" w:cs="宋体"/>
                <w:color w:val="auto"/>
                <w:sz w:val="21"/>
                <w:szCs w:val="21"/>
                <w:highlight w:val="none"/>
              </w:rPr>
            </w:pPr>
            <w:r>
              <w:rPr>
                <w:rFonts w:hint="eastAsia" w:hAnsi="宋体" w:cs="宋体"/>
                <w:color w:val="auto"/>
                <w:sz w:val="21"/>
                <w:szCs w:val="21"/>
                <w:highlight w:val="none"/>
                <w:lang w:val="zh-CN"/>
              </w:rPr>
              <w:t>工程总承包实施方案评分标准</w:t>
            </w:r>
          </w:p>
        </w:tc>
        <w:tc>
          <w:tcPr>
            <w:tcW w:w="73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企业</w:t>
            </w:r>
          </w:p>
          <w:p>
            <w:pPr>
              <w:shd w:val="clear"/>
              <w:adjustRightInd w:val="0"/>
              <w:snapToGrid w:val="0"/>
              <w:spacing w:line="360" w:lineRule="auto"/>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资信</w:t>
            </w:r>
          </w:p>
          <w:p>
            <w:pPr>
              <w:shd w:val="clear"/>
              <w:adjustRightInd w:val="0"/>
              <w:snapToGrid w:val="0"/>
              <w:spacing w:line="360" w:lineRule="auto"/>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val="zh-CN"/>
              </w:rPr>
              <w:t>分）</w:t>
            </w:r>
          </w:p>
        </w:tc>
        <w:tc>
          <w:tcPr>
            <w:tcW w:w="1905" w:type="dxa"/>
            <w:vMerge w:val="restart"/>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类似项目业绩（6分）</w:t>
            </w:r>
          </w:p>
        </w:tc>
        <w:tc>
          <w:tcPr>
            <w:tcW w:w="6362"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b/>
                <w:bCs/>
                <w:color w:val="auto"/>
                <w:szCs w:val="21"/>
                <w:highlight w:val="none"/>
              </w:rPr>
              <w:t>投标人（若为联合体，指承担施工任务的成员）</w:t>
            </w:r>
            <w:r>
              <w:rPr>
                <w:rFonts w:hint="eastAsia" w:ascii="宋体" w:hAnsi="宋体" w:cs="宋体"/>
                <w:color w:val="auto"/>
                <w:szCs w:val="21"/>
                <w:highlight w:val="none"/>
              </w:rPr>
              <w:t>2018年1月1日至投标截止时间完成过类似工程施工业绩，每项得1.5分，本小项最高得3分。</w:t>
            </w:r>
          </w:p>
          <w:p>
            <w:pPr>
              <w:shd w:val="clear"/>
              <w:adjustRightInd w:val="0"/>
              <w:snapToGrid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备注：</w:t>
            </w:r>
          </w:p>
          <w:p>
            <w:pPr>
              <w:shd w:val="clear"/>
              <w:adjustRightInd w:val="0"/>
              <w:snapToGrid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①类似工程施工业绩是指单项合同额（建筑安装工程费）大于或等于3000万元的市政公用工程施工业绩（不含轨道交通业绩，工程内容需包含给水或排水或截污管网工程）。</w:t>
            </w:r>
          </w:p>
          <w:p>
            <w:pPr>
              <w:shd w:val="clear"/>
              <w:adjustRightInd w:val="0"/>
              <w:snapToGrid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②投标人须同时提供中标通知书（或项目审批部门出具的免招标的相关证明）、合同文件（关键页）、验收证明材料（竣工验收报告或完工验收证书或完工验收鉴定书或竣工移交证书等）的扫描件，完成时间以验收证明材料上面载明的时间为准。如上述资料无法证明评分标准中要求的信息的，还需要提供建设单位提供的证明资料。</w:t>
            </w:r>
          </w:p>
          <w:p>
            <w:pPr>
              <w:shd w:val="clear"/>
              <w:adjustRightInd w:val="0"/>
              <w:snapToGrid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③合同额以中标通知书上载明的金额为准，中标通知书上没有金额或免招标的，以合同（不含补充合同）上载明的金额为准。如以上资料未载明金额的，则以建设单位提供的证明资料中载明的金额为准。</w:t>
            </w:r>
          </w:p>
          <w:p>
            <w:pPr>
              <w:shd w:val="clear"/>
              <w:adjustRightInd w:val="0"/>
              <w:snapToGrid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④含给水或排水或截污管网工程的业绩内容以提供的合同中工程概况或工程内容或承包范围上载明的内容为准，如以上资料未体现给水或排水或截污管网工程内容的，则以建设单位提供的证明资料中载明的信息为准。</w:t>
            </w:r>
          </w:p>
          <w:p>
            <w:pPr>
              <w:shd w:val="clear"/>
              <w:rPr>
                <w:rFonts w:hint="eastAsia" w:ascii="宋体" w:hAnsi="宋体" w:cs="宋体"/>
                <w:b/>
                <w:bCs/>
                <w:color w:val="auto"/>
                <w:szCs w:val="21"/>
                <w:highlight w:val="none"/>
              </w:rPr>
            </w:pPr>
            <w:r>
              <w:rPr>
                <w:rFonts w:hint="eastAsia" w:hAnsi="宋体" w:cs="宋体"/>
                <w:b/>
                <w:bCs/>
                <w:color w:val="auto"/>
                <w:sz w:val="21"/>
                <w:szCs w:val="21"/>
                <w:highlight w:val="none"/>
              </w:rPr>
              <w:t>⑤工程总承包业绩使用规则：若所提供的业绩为联合体完成的业绩，工程总承包单位主办方同时具有施工资质和设计资质的，工程总承包业绩既可当作设计业绩也可当作施工业绩使用，非主办方的工程总承包的业绩按联合体协议中分工所承担的工作进行认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14" w:type="dxa"/>
            <w:vMerge w:val="continue"/>
            <w:tcBorders>
              <w:right w:val="single" w:color="auto" w:sz="4" w:space="0"/>
            </w:tcBorders>
            <w:noWrap w:val="0"/>
            <w:vAlign w:val="center"/>
          </w:tcPr>
          <w:p>
            <w:pPr>
              <w:pStyle w:val="2"/>
              <w:shd w:val="clear"/>
              <w:adjustRightInd w:val="0"/>
              <w:snapToGrid w:val="0"/>
              <w:spacing w:line="360" w:lineRule="auto"/>
              <w:jc w:val="left"/>
              <w:rPr>
                <w:rFonts w:hint="eastAsia" w:hAnsi="宋体" w:cs="宋体"/>
                <w:color w:val="auto"/>
                <w:sz w:val="21"/>
                <w:szCs w:val="21"/>
                <w:highlight w:val="none"/>
                <w:lang w:val="zh-CN"/>
              </w:rPr>
            </w:pPr>
          </w:p>
        </w:tc>
        <w:tc>
          <w:tcPr>
            <w:tcW w:w="738" w:type="dxa"/>
            <w:gridSpan w:val="2"/>
            <w:vMerge w:val="continue"/>
            <w:tcBorders>
              <w:top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lang w:val="zh-CN"/>
              </w:rPr>
            </w:pPr>
          </w:p>
        </w:tc>
        <w:tc>
          <w:tcPr>
            <w:tcW w:w="1905" w:type="dxa"/>
            <w:vMerge w:val="continue"/>
            <w:tcBorders>
              <w:top w:val="single" w:color="auto" w:sz="4" w:space="0"/>
              <w:left w:val="single" w:color="auto" w:sz="4" w:space="0"/>
              <w:right w:val="single" w:color="auto" w:sz="4" w:space="0"/>
            </w:tcBorders>
            <w:noWrap w:val="0"/>
            <w:vAlign w:val="center"/>
          </w:tcPr>
          <w:p>
            <w:pPr>
              <w:shd w:val="clear"/>
              <w:adjustRightInd w:val="0"/>
              <w:snapToGrid w:val="0"/>
              <w:spacing w:line="360" w:lineRule="auto"/>
              <w:ind w:firstLine="210" w:firstLineChars="100"/>
              <w:jc w:val="left"/>
              <w:rPr>
                <w:rFonts w:hint="eastAsia" w:ascii="宋体" w:hAnsi="宋体" w:cs="宋体"/>
                <w:color w:val="auto"/>
                <w:szCs w:val="21"/>
                <w:highlight w:val="none"/>
                <w:lang w:val="zh-CN"/>
              </w:rPr>
            </w:pPr>
          </w:p>
        </w:tc>
        <w:tc>
          <w:tcPr>
            <w:tcW w:w="6362" w:type="dxa"/>
            <w:tcBorders>
              <w:top w:val="single" w:color="auto" w:sz="4" w:space="0"/>
              <w:left w:val="single" w:color="auto" w:sz="4" w:space="0"/>
              <w:bottom w:val="single" w:color="auto" w:sz="4" w:space="0"/>
              <w:right w:val="single" w:color="auto" w:sz="4" w:space="0"/>
            </w:tcBorders>
            <w:noWrap w:val="0"/>
            <w:vAlign w:val="center"/>
          </w:tcPr>
          <w:p>
            <w:pPr>
              <w:widowControl/>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b/>
                <w:bCs/>
                <w:color w:val="auto"/>
                <w:szCs w:val="21"/>
                <w:highlight w:val="none"/>
              </w:rPr>
              <w:t>投标人（若为联合体，指承担设计任务的成员）</w:t>
            </w:r>
            <w:r>
              <w:rPr>
                <w:rFonts w:hint="eastAsia" w:ascii="宋体" w:hAnsi="宋体" w:cs="宋体"/>
                <w:color w:val="auto"/>
                <w:szCs w:val="21"/>
                <w:highlight w:val="none"/>
                <w:lang w:bidi="ar"/>
              </w:rPr>
              <w:t>在2018年1月1日至投标截止时间承接过</w:t>
            </w:r>
            <w:r>
              <w:rPr>
                <w:rFonts w:hint="eastAsia" w:ascii="宋体" w:hAnsi="宋体" w:cs="宋体"/>
                <w:color w:val="auto"/>
                <w:szCs w:val="21"/>
                <w:highlight w:val="none"/>
              </w:rPr>
              <w:t>类似工程</w:t>
            </w:r>
            <w:r>
              <w:rPr>
                <w:rFonts w:hint="eastAsia" w:ascii="宋体" w:hAnsi="宋体" w:cs="宋体"/>
                <w:color w:val="auto"/>
                <w:szCs w:val="21"/>
                <w:highlight w:val="none"/>
                <w:lang w:bidi="ar"/>
              </w:rPr>
              <w:t>设计业绩的</w:t>
            </w:r>
            <w:r>
              <w:rPr>
                <w:rFonts w:hint="eastAsia" w:ascii="宋体" w:hAnsi="宋体" w:cs="宋体"/>
                <w:color w:val="auto"/>
                <w:szCs w:val="21"/>
                <w:highlight w:val="none"/>
              </w:rPr>
              <w:t>，每项得0.</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5分，本小项最高得3分。</w:t>
            </w:r>
          </w:p>
          <w:p>
            <w:pPr>
              <w:shd w:val="clear"/>
              <w:adjustRightInd w:val="0"/>
              <w:snapToGrid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备注：</w:t>
            </w:r>
          </w:p>
          <w:p>
            <w:pPr>
              <w:shd w:val="clear"/>
              <w:adjustRightInd w:val="0"/>
              <w:snapToGrid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①类似工程设计业绩是指</w:t>
            </w:r>
            <w:r>
              <w:rPr>
                <w:rFonts w:hint="eastAsia" w:ascii="宋体" w:hAnsi="宋体" w:cs="宋体"/>
                <w:b/>
                <w:bCs/>
                <w:color w:val="auto"/>
                <w:szCs w:val="21"/>
                <w:highlight w:val="none"/>
                <w:lang w:val="en-US" w:eastAsia="zh-CN"/>
              </w:rPr>
              <w:t>设计费合同额的金额</w:t>
            </w:r>
            <w:r>
              <w:rPr>
                <w:rFonts w:hint="eastAsia" w:ascii="宋体" w:hAnsi="宋体" w:cs="宋体"/>
                <w:b/>
                <w:bCs/>
                <w:color w:val="auto"/>
                <w:szCs w:val="21"/>
                <w:highlight w:val="none"/>
              </w:rPr>
              <w:t>大于或等于</w:t>
            </w:r>
            <w:r>
              <w:rPr>
                <w:rFonts w:hint="eastAsia" w:ascii="宋体" w:hAnsi="宋体" w:cs="宋体"/>
                <w:b/>
                <w:bCs/>
                <w:color w:val="auto"/>
                <w:szCs w:val="21"/>
                <w:highlight w:val="none"/>
                <w:lang w:val="en-US" w:eastAsia="zh-CN"/>
              </w:rPr>
              <w:t>70</w:t>
            </w:r>
            <w:r>
              <w:rPr>
                <w:rFonts w:hint="eastAsia" w:ascii="宋体" w:hAnsi="宋体" w:cs="宋体"/>
                <w:b/>
                <w:bCs/>
                <w:color w:val="auto"/>
                <w:szCs w:val="21"/>
                <w:highlight w:val="none"/>
              </w:rPr>
              <w:t>万元的市政给排水工程设计项目业绩。</w:t>
            </w:r>
          </w:p>
          <w:p>
            <w:pPr>
              <w:shd w:val="clear"/>
              <w:adjustRightInd w:val="0"/>
              <w:snapToGrid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②投标人须同时提供完成过类似工程设计业绩的中标通知书（或项目审批部门出具的免招标的相关证明）、合同文件（关键页）的扫描件，时间以合同文件上面载明的信息为准。如上述资料无法证明评分标准中要求的信息的，还需要提供建设单位提供的证明资料。</w:t>
            </w:r>
          </w:p>
          <w:p>
            <w:pPr>
              <w:shd w:val="clear"/>
              <w:adjustRightInd w:val="0"/>
              <w:snapToGrid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③合同额以中标通知书上载明的金额为准，中标通知书上没有金额或免招标的，以合同（不含补充合同）上载明的金额为准。如以上资料未载明金额的，则以建设单位提供的证明资料中载明的金额为准。</w:t>
            </w:r>
          </w:p>
          <w:p>
            <w:pPr>
              <w:shd w:val="clear"/>
              <w:rPr>
                <w:rFonts w:hint="eastAsia" w:ascii="宋体" w:hAnsi="宋体" w:cs="宋体"/>
                <w:color w:val="auto"/>
                <w:szCs w:val="21"/>
                <w:highlight w:val="none"/>
              </w:rPr>
            </w:pPr>
            <w:r>
              <w:rPr>
                <w:rFonts w:hint="eastAsia" w:ascii="宋体" w:hAnsi="宋体" w:cs="宋体"/>
                <w:b/>
                <w:bCs/>
                <w:color w:val="auto"/>
                <w:szCs w:val="21"/>
                <w:highlight w:val="none"/>
              </w:rPr>
              <w:t>④工程总承包业绩使用规则：若所提供</w:t>
            </w:r>
            <w:r>
              <w:rPr>
                <w:rFonts w:hint="eastAsia" w:ascii="宋体" w:hAnsi="宋体" w:cs="宋体"/>
                <w:b/>
                <w:bCs/>
                <w:color w:val="auto"/>
                <w:szCs w:val="21"/>
                <w:highlight w:val="none"/>
                <w:lang w:eastAsia="zh-CN"/>
              </w:rPr>
              <w:t>的</w:t>
            </w:r>
            <w:r>
              <w:rPr>
                <w:rFonts w:hint="eastAsia" w:ascii="宋体" w:hAnsi="宋体" w:cs="宋体"/>
                <w:b/>
                <w:bCs/>
                <w:color w:val="auto"/>
                <w:szCs w:val="21"/>
                <w:highlight w:val="none"/>
              </w:rPr>
              <w:t>业绩为联合体完成的业绩，工程总承包单位主办方同时具有施工资质和设计资质的，工程总承包业绩既可当作设计业绩也可当作施工业绩使用，非主办方的工程总承包的业绩按联合体协议中分工所承担的工作进行认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14" w:type="dxa"/>
            <w:vMerge w:val="continue"/>
            <w:tcBorders>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738" w:type="dxa"/>
            <w:gridSpan w:val="2"/>
            <w:vMerge w:val="continue"/>
            <w:tcBorders>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1905" w:type="dxa"/>
            <w:vMerge w:val="restart"/>
            <w:tcBorders>
              <w:top w:val="single" w:color="auto" w:sz="4" w:space="0"/>
              <w:left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企业获奖（7分）</w:t>
            </w:r>
          </w:p>
        </w:tc>
        <w:tc>
          <w:tcPr>
            <w:tcW w:w="6362" w:type="dxa"/>
            <w:tcBorders>
              <w:top w:val="single" w:color="auto" w:sz="4" w:space="0"/>
              <w:left w:val="single" w:color="auto" w:sz="4" w:space="0"/>
              <w:bottom w:val="single" w:color="auto" w:sz="4" w:space="0"/>
              <w:right w:val="single" w:color="auto" w:sz="4" w:space="0"/>
            </w:tcBorders>
            <w:noWrap w:val="0"/>
            <w:vAlign w:val="center"/>
          </w:tcPr>
          <w:p>
            <w:pPr>
              <w:widowControl/>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b/>
                <w:bCs/>
                <w:color w:val="auto"/>
                <w:szCs w:val="21"/>
                <w:highlight w:val="none"/>
              </w:rPr>
              <w:t>投标人（若为联合体，指承担施工任务的成员）</w:t>
            </w:r>
            <w:r>
              <w:rPr>
                <w:rFonts w:hint="eastAsia" w:ascii="宋体" w:hAnsi="宋体" w:cs="宋体"/>
                <w:color w:val="auto"/>
                <w:szCs w:val="21"/>
                <w:highlight w:val="none"/>
              </w:rPr>
              <w:t>自2018年1月1日起至投标截止时间止，承接过的</w:t>
            </w:r>
            <w:r>
              <w:rPr>
                <w:rFonts w:hint="eastAsia" w:ascii="宋体" w:hAnsi="宋体" w:cs="宋体"/>
                <w:color w:val="auto"/>
                <w:szCs w:val="21"/>
                <w:highlight w:val="none"/>
                <w:lang w:val="en-US" w:eastAsia="zh-CN"/>
              </w:rPr>
              <w:t>施工</w:t>
            </w:r>
            <w:r>
              <w:rPr>
                <w:rFonts w:hint="eastAsia" w:ascii="宋体" w:hAnsi="宋体" w:cs="宋体"/>
                <w:color w:val="auto"/>
                <w:szCs w:val="21"/>
                <w:highlight w:val="none"/>
              </w:rPr>
              <w:t>项目获得过工程质量奖：</w:t>
            </w:r>
          </w:p>
          <w:p>
            <w:pPr>
              <w:widowControl/>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（1）国家级奖项，每项得1分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最高得5分</w:t>
            </w:r>
            <w:r>
              <w:rPr>
                <w:rFonts w:hint="eastAsia" w:ascii="宋体" w:hAnsi="宋体" w:cs="宋体"/>
                <w:color w:val="auto"/>
                <w:szCs w:val="21"/>
                <w:highlight w:val="none"/>
              </w:rPr>
              <w:t>；</w:t>
            </w:r>
          </w:p>
          <w:p>
            <w:pPr>
              <w:widowControl/>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（2）省级奖项，每项得0.</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最高得1</w:t>
            </w:r>
            <w:r>
              <w:rPr>
                <w:rFonts w:hint="eastAsia" w:ascii="宋体" w:hAnsi="宋体" w:cs="宋体"/>
                <w:color w:val="auto"/>
                <w:szCs w:val="21"/>
                <w:highlight w:val="none"/>
              </w:rPr>
              <w:t>分；</w:t>
            </w:r>
          </w:p>
          <w:p>
            <w:pPr>
              <w:widowControl/>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（3）市级（含副省级）奖项，每项得0.</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最高得0.5分</w:t>
            </w:r>
            <w:r>
              <w:rPr>
                <w:rFonts w:hint="eastAsia" w:ascii="宋体" w:hAnsi="宋体" w:cs="宋体"/>
                <w:color w:val="auto"/>
                <w:szCs w:val="21"/>
                <w:highlight w:val="none"/>
              </w:rPr>
              <w:t>。</w:t>
            </w:r>
          </w:p>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本小项最高得5分。</w:t>
            </w:r>
          </w:p>
          <w:p>
            <w:pPr>
              <w:shd w:val="clear"/>
              <w:adjustRightInd w:val="0"/>
              <w:snapToGrid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备注：</w:t>
            </w:r>
          </w:p>
          <w:p>
            <w:pPr>
              <w:shd w:val="clear"/>
              <w:adjustRightInd w:val="0"/>
              <w:snapToGrid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①国家级奖项是指鲁班奖、国家优质工程金质奖、国家优质工程奖、中国土木工程詹天佑奖；省、市级奖项指省、市级建设行政主管部门或行业协会颁发（行业协会须在民政部门备案）的工程质量奖项。</w:t>
            </w:r>
          </w:p>
          <w:p>
            <w:pPr>
              <w:shd w:val="clear"/>
              <w:adjustRightInd w:val="0"/>
              <w:snapToGrid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②同一项目获得多个级别奖项的，按所满足的最高等级计分一次。</w:t>
            </w:r>
          </w:p>
          <w:p>
            <w:pPr>
              <w:shd w:val="clear"/>
              <w:adjustRightInd w:val="0"/>
              <w:snapToGrid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③投标人须提供相关获奖证书扫描件，获奖时间以证书中载明的发证时间为准。</w:t>
            </w:r>
          </w:p>
          <w:p>
            <w:pPr>
              <w:shd w:val="clear"/>
              <w:adjustRightInd w:val="0"/>
              <w:snapToGrid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④未按要求提供证明资料的，或者所提供</w:t>
            </w:r>
            <w:r>
              <w:rPr>
                <w:rFonts w:hint="eastAsia" w:ascii="宋体" w:hAnsi="宋体" w:cs="宋体"/>
                <w:b/>
                <w:bCs/>
                <w:color w:val="auto"/>
                <w:szCs w:val="21"/>
                <w:highlight w:val="none"/>
                <w:lang w:eastAsia="zh-CN"/>
              </w:rPr>
              <w:t>的</w:t>
            </w:r>
            <w:r>
              <w:rPr>
                <w:rFonts w:hint="eastAsia" w:ascii="宋体" w:hAnsi="宋体" w:cs="宋体"/>
                <w:b/>
                <w:bCs/>
                <w:color w:val="auto"/>
                <w:szCs w:val="21"/>
                <w:highlight w:val="none"/>
              </w:rPr>
              <w:t>资料无法体现评分标准所要求信息的，该项业绩不予认可。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14" w:type="dxa"/>
            <w:vMerge w:val="continue"/>
            <w:tcBorders>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738" w:type="dxa"/>
            <w:gridSpan w:val="2"/>
            <w:vMerge w:val="continue"/>
            <w:tcBorders>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1905" w:type="dxa"/>
            <w:vMerge w:val="continue"/>
            <w:tcBorders>
              <w:left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6362"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b/>
                <w:bCs/>
                <w:color w:val="auto"/>
                <w:szCs w:val="21"/>
                <w:highlight w:val="none"/>
              </w:rPr>
              <w:t>投标人（若为联合体，指承担设计任务的成员）</w:t>
            </w:r>
            <w:r>
              <w:rPr>
                <w:rFonts w:hint="eastAsia" w:ascii="宋体" w:hAnsi="宋体" w:cs="宋体"/>
                <w:color w:val="auto"/>
                <w:szCs w:val="21"/>
                <w:highlight w:val="none"/>
              </w:rPr>
              <w:t>自2018年1月1日起至投标截止时间止，承接过的市政给排水工程设计项目的获奖情况：</w:t>
            </w:r>
          </w:p>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（1）获得国家级奖项的，每项得1分；</w:t>
            </w:r>
          </w:p>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（2）获得省级奖项的，每项得0.5分；</w:t>
            </w:r>
          </w:p>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（3）获得市级（含副省级）奖项的，每项得0.25分。</w:t>
            </w:r>
          </w:p>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本小项最高得2分。</w:t>
            </w:r>
          </w:p>
          <w:p>
            <w:pPr>
              <w:shd w:val="clear"/>
              <w:adjustRightInd w:val="0"/>
              <w:snapToGrid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备注：</w:t>
            </w:r>
          </w:p>
          <w:p>
            <w:pPr>
              <w:shd w:val="clear"/>
              <w:adjustRightInd w:val="0"/>
              <w:snapToGrid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①</w:t>
            </w:r>
            <w:r>
              <w:rPr>
                <w:rFonts w:hint="eastAsia" w:ascii="宋体" w:hAnsi="宋体" w:cs="宋体"/>
                <w:b/>
                <w:bCs/>
                <w:color w:val="auto"/>
                <w:szCs w:val="21"/>
                <w:highlight w:val="none"/>
                <w:lang w:val="en-US" w:eastAsia="zh-CN"/>
              </w:rPr>
              <w:t>国家级</w:t>
            </w:r>
            <w:r>
              <w:rPr>
                <w:rFonts w:hint="eastAsia" w:ascii="宋体" w:hAnsi="宋体" w:cs="宋体"/>
                <w:b/>
                <w:bCs/>
                <w:color w:val="auto"/>
                <w:szCs w:val="21"/>
                <w:highlight w:val="none"/>
              </w:rPr>
              <w:t>奖项是由住建部颁发的全国优秀工程勘察设计奖、中国勘察设计协会颁发的全国优秀工程勘察设计行业奖</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省级奖项是</w:t>
            </w:r>
            <w:r>
              <w:rPr>
                <w:rFonts w:hint="eastAsia" w:ascii="宋体" w:hAnsi="宋体" w:cs="宋体"/>
                <w:b/>
                <w:bCs/>
                <w:color w:val="auto"/>
                <w:szCs w:val="21"/>
                <w:highlight w:val="none"/>
              </w:rPr>
              <w:t>省级建设行政主管部门或省级工程勘察设计行业协会颁发的省级优秀勘察或设计奖</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市级（含副省级）是</w:t>
            </w:r>
            <w:r>
              <w:rPr>
                <w:rFonts w:hint="eastAsia" w:ascii="宋体" w:hAnsi="宋体" w:cs="宋体"/>
                <w:b/>
                <w:bCs/>
                <w:color w:val="auto"/>
                <w:szCs w:val="21"/>
                <w:highlight w:val="none"/>
                <w:lang w:eastAsia="zh-CN"/>
              </w:rPr>
              <w:t>市级（含副省级）</w:t>
            </w:r>
            <w:r>
              <w:rPr>
                <w:rFonts w:hint="eastAsia" w:ascii="宋体" w:hAnsi="宋体" w:cs="宋体"/>
                <w:b/>
                <w:bCs/>
                <w:color w:val="auto"/>
                <w:szCs w:val="21"/>
                <w:highlight w:val="none"/>
              </w:rPr>
              <w:t>建设行政主管部门或市级工程勘察设计行业协会颁发的市级（含副省级）优秀勘察或设计奖。</w:t>
            </w:r>
          </w:p>
          <w:p>
            <w:pPr>
              <w:shd w:val="clear"/>
              <w:adjustRightInd w:val="0"/>
              <w:snapToGrid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②同一项目获得多个级别奖项的，按所满足的最高等级计分一次。</w:t>
            </w:r>
          </w:p>
          <w:p>
            <w:pPr>
              <w:shd w:val="clear"/>
              <w:adjustRightInd w:val="0"/>
              <w:snapToGrid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③投标人须提供相关获奖证书扫描件，获奖时间以证书中载明</w:t>
            </w:r>
            <w:r>
              <w:rPr>
                <w:rFonts w:hint="eastAsia" w:ascii="宋体" w:hAnsi="宋体" w:cs="宋体"/>
                <w:b/>
                <w:bCs/>
                <w:color w:val="auto"/>
                <w:szCs w:val="21"/>
                <w:highlight w:val="none"/>
                <w:lang w:eastAsia="zh-CN"/>
              </w:rPr>
              <w:t>的</w:t>
            </w:r>
            <w:r>
              <w:rPr>
                <w:rFonts w:hint="eastAsia" w:ascii="宋体" w:hAnsi="宋体" w:cs="宋体"/>
                <w:b/>
                <w:bCs/>
                <w:color w:val="auto"/>
                <w:szCs w:val="21"/>
                <w:highlight w:val="none"/>
              </w:rPr>
              <w:t>发证时间为准。</w:t>
            </w:r>
          </w:p>
          <w:p>
            <w:pPr>
              <w:shd w:val="clear"/>
              <w:adjustRightInd w:val="0"/>
              <w:snapToGrid w:val="0"/>
              <w:spacing w:line="360" w:lineRule="auto"/>
              <w:ind w:firstLine="211" w:firstLineChars="100"/>
              <w:jc w:val="left"/>
              <w:rPr>
                <w:rFonts w:hint="eastAsia" w:ascii="宋体" w:hAnsi="宋体" w:cs="宋体"/>
                <w:b/>
                <w:bCs/>
                <w:color w:val="auto"/>
                <w:szCs w:val="21"/>
                <w:highlight w:val="none"/>
              </w:rPr>
            </w:pPr>
            <w:r>
              <w:rPr>
                <w:rFonts w:hint="eastAsia" w:ascii="宋体" w:hAnsi="宋体" w:cs="宋体"/>
                <w:b/>
                <w:bCs/>
                <w:color w:val="auto"/>
                <w:szCs w:val="21"/>
                <w:highlight w:val="none"/>
              </w:rPr>
              <w:t>④未按要求提供证明资料的，或者所提供</w:t>
            </w:r>
            <w:r>
              <w:rPr>
                <w:rFonts w:hint="eastAsia" w:ascii="宋体" w:hAnsi="宋体" w:cs="宋体"/>
                <w:b/>
                <w:bCs/>
                <w:color w:val="auto"/>
                <w:szCs w:val="21"/>
                <w:highlight w:val="none"/>
                <w:lang w:eastAsia="zh-CN"/>
              </w:rPr>
              <w:t>的</w:t>
            </w:r>
            <w:r>
              <w:rPr>
                <w:rFonts w:hint="eastAsia" w:ascii="宋体" w:hAnsi="宋体" w:cs="宋体"/>
                <w:b/>
                <w:bCs/>
                <w:color w:val="auto"/>
                <w:szCs w:val="21"/>
                <w:highlight w:val="none"/>
              </w:rPr>
              <w:t>资料无法体现评分标准所要求</w:t>
            </w:r>
            <w:r>
              <w:rPr>
                <w:rFonts w:hint="eastAsia" w:ascii="宋体" w:hAnsi="宋体" w:cs="宋体"/>
                <w:b/>
                <w:bCs/>
                <w:color w:val="auto"/>
                <w:szCs w:val="21"/>
                <w:highlight w:val="none"/>
                <w:lang w:eastAsia="zh-CN"/>
              </w:rPr>
              <w:t>的</w:t>
            </w:r>
            <w:r>
              <w:rPr>
                <w:rFonts w:hint="eastAsia" w:ascii="宋体" w:hAnsi="宋体" w:cs="宋体"/>
                <w:b/>
                <w:bCs/>
                <w:color w:val="auto"/>
                <w:szCs w:val="21"/>
                <w:highlight w:val="none"/>
              </w:rPr>
              <w:t>信息的，该项业绩不予认可。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14" w:type="dxa"/>
            <w:vMerge w:val="continue"/>
            <w:tcBorders>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738" w:type="dxa"/>
            <w:gridSpan w:val="2"/>
            <w:vMerge w:val="continue"/>
            <w:tcBorders>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1905" w:type="dxa"/>
            <w:vMerge w:val="restart"/>
            <w:tcBorders>
              <w:top w:val="single" w:color="auto" w:sz="4" w:space="0"/>
              <w:left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科技创新成果指标</w:t>
            </w:r>
          </w:p>
          <w:p>
            <w:pPr>
              <w:pStyle w:val="2"/>
              <w:shd w:val="clear"/>
              <w:adjustRightInd w:val="0"/>
              <w:snapToGrid w:val="0"/>
              <w:spacing w:line="360" w:lineRule="auto"/>
              <w:jc w:val="left"/>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9</w:t>
            </w:r>
            <w:r>
              <w:rPr>
                <w:rFonts w:hint="eastAsia" w:hAnsi="宋体" w:cs="宋体"/>
                <w:color w:val="auto"/>
                <w:sz w:val="21"/>
                <w:szCs w:val="21"/>
                <w:highlight w:val="none"/>
              </w:rPr>
              <w:t>分）</w:t>
            </w:r>
          </w:p>
        </w:tc>
        <w:tc>
          <w:tcPr>
            <w:tcW w:w="6362"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b/>
                <w:bCs/>
                <w:color w:val="auto"/>
                <w:szCs w:val="21"/>
                <w:highlight w:val="none"/>
              </w:rPr>
              <w:t>（1）投标人（若为联合体，指承担施工任务的成员）</w:t>
            </w:r>
            <w:r>
              <w:rPr>
                <w:rFonts w:hint="eastAsia" w:ascii="宋体" w:hAnsi="宋体" w:cs="宋体"/>
                <w:color w:val="auto"/>
                <w:szCs w:val="21"/>
                <w:highlight w:val="none"/>
              </w:rPr>
              <w:t>自2018年1月1日起至投标截止时间止，获得过国家科学技术奖</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等奖</w:t>
            </w:r>
            <w:r>
              <w:rPr>
                <w:rFonts w:hint="eastAsia" w:ascii="宋体" w:hAnsi="宋体" w:cs="宋体"/>
                <w:color w:val="auto"/>
                <w:szCs w:val="21"/>
                <w:highlight w:val="none"/>
                <w:lang w:val="en-US" w:eastAsia="zh-CN"/>
              </w:rPr>
              <w:t>或以上的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最高</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分；获得过省级科学技术奖一等奖或以上得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最高</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r>
              <w:rPr>
                <w:rFonts w:hint="eastAsia" w:ascii="宋体" w:hAnsi="宋体" w:cs="宋体"/>
                <w:color w:val="auto"/>
                <w:szCs w:val="21"/>
                <w:highlight w:val="none"/>
                <w:lang w:eastAsia="zh-CN"/>
              </w:rPr>
              <w:t>；获得过</w:t>
            </w:r>
            <w:r>
              <w:rPr>
                <w:rFonts w:hint="eastAsia" w:ascii="宋体" w:hAnsi="宋体" w:cs="宋体"/>
                <w:color w:val="auto"/>
                <w:szCs w:val="21"/>
                <w:highlight w:val="none"/>
                <w:lang w:val="en-US" w:eastAsia="zh-CN"/>
              </w:rPr>
              <w:t>市</w:t>
            </w:r>
            <w:r>
              <w:rPr>
                <w:rFonts w:hint="eastAsia" w:ascii="宋体" w:hAnsi="宋体" w:cs="宋体"/>
                <w:color w:val="auto"/>
                <w:szCs w:val="21"/>
                <w:highlight w:val="none"/>
                <w:lang w:eastAsia="zh-CN"/>
              </w:rPr>
              <w:t>级（</w:t>
            </w:r>
            <w:r>
              <w:rPr>
                <w:rFonts w:hint="eastAsia" w:ascii="宋体" w:hAnsi="宋体" w:cs="宋体"/>
                <w:color w:val="auto"/>
                <w:szCs w:val="21"/>
                <w:highlight w:val="none"/>
                <w:lang w:val="en-US" w:eastAsia="zh-CN"/>
              </w:rPr>
              <w:t>含副省级</w:t>
            </w:r>
            <w:r>
              <w:rPr>
                <w:rFonts w:hint="eastAsia" w:ascii="宋体" w:hAnsi="宋体" w:cs="宋体"/>
                <w:color w:val="auto"/>
                <w:szCs w:val="21"/>
                <w:highlight w:val="none"/>
                <w:lang w:eastAsia="zh-CN"/>
              </w:rPr>
              <w:t>）科学技术奖一等奖或以上得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分</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最高</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分；其他不得分。</w:t>
            </w:r>
          </w:p>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本小项最多得</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p>
            <w:pPr>
              <w:shd w:val="clear"/>
              <w:adjustRightInd w:val="0"/>
              <w:snapToGrid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备注：</w:t>
            </w:r>
          </w:p>
          <w:p>
            <w:pPr>
              <w:shd w:val="clear"/>
              <w:rPr>
                <w:color w:val="auto"/>
                <w:highlight w:val="none"/>
              </w:rPr>
            </w:pPr>
            <w:r>
              <w:rPr>
                <w:rFonts w:hint="eastAsia" w:ascii="宋体" w:hAnsi="宋体" w:cs="宋体"/>
                <w:b/>
                <w:bCs/>
                <w:color w:val="auto"/>
                <w:szCs w:val="21"/>
                <w:highlight w:val="none"/>
              </w:rPr>
              <w:t>①科学技术奖包括科学技术奖、自然科学奖、技术发明奖、科学技术进步奖</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国家级奖项是指国务院颁发的科学技术奖；省、市级奖项指省、市级建设行政主管部门或协会颁发（协会须在民政部门备案）的科学技术奖。须提供获奖证书扫描件，以获奖证书落款时间为准。</w:t>
            </w:r>
          </w:p>
          <w:p>
            <w:pPr>
              <w:shd w:val="clear"/>
              <w:adjustRightInd w:val="0"/>
              <w:snapToGrid w:val="0"/>
              <w:spacing w:line="360" w:lineRule="auto"/>
              <w:jc w:val="left"/>
              <w:rPr>
                <w:rFonts w:hint="eastAsia" w:ascii="宋体" w:hAnsi="宋体" w:cs="宋体"/>
                <w:b/>
                <w:bCs/>
                <w:color w:val="auto"/>
                <w:szCs w:val="21"/>
                <w:highlight w:val="none"/>
              </w:rPr>
            </w:pPr>
          </w:p>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b/>
                <w:bCs/>
                <w:color w:val="auto"/>
                <w:szCs w:val="21"/>
                <w:highlight w:val="none"/>
              </w:rPr>
              <w:t>（2）投标人（若为联合体，指承担设计任务的成员）</w:t>
            </w:r>
            <w:r>
              <w:rPr>
                <w:rFonts w:hint="eastAsia" w:ascii="宋体" w:hAnsi="宋体" w:cs="宋体"/>
                <w:color w:val="auto"/>
                <w:szCs w:val="21"/>
                <w:highlight w:val="none"/>
              </w:rPr>
              <w:t>自2018年1月1日起至投标截止时间止</w:t>
            </w:r>
            <w:r>
              <w:rPr>
                <w:rFonts w:hint="eastAsia" w:ascii="宋体" w:hAnsi="宋体" w:cs="宋体"/>
                <w:color w:val="auto"/>
                <w:szCs w:val="21"/>
                <w:highlight w:val="none"/>
                <w:lang w:eastAsia="zh-CN"/>
              </w:rPr>
              <w:t>，</w:t>
            </w:r>
            <w:r>
              <w:rPr>
                <w:rFonts w:hint="eastAsia" w:ascii="宋体" w:hAnsi="宋体" w:cs="宋体"/>
                <w:color w:val="auto"/>
                <w:szCs w:val="21"/>
                <w:highlight w:val="none"/>
              </w:rPr>
              <w:t>获得过省级（或以上级别）工程勘察设计行业协会颁发的市政类科学技术奖，每项得1分；市级工程勘察设计行业协会颁发的市政类科学技术奖，每项得0.5分；其他情况不得分。本小项最高得2分。</w:t>
            </w:r>
          </w:p>
          <w:p>
            <w:pPr>
              <w:shd w:val="clear"/>
              <w:adjustRightInd w:val="0"/>
              <w:snapToGrid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备注：</w:t>
            </w:r>
          </w:p>
          <w:p>
            <w:pPr>
              <w:shd w:val="clear"/>
              <w:adjustRightInd w:val="0"/>
              <w:snapToGrid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①投标人须提供获奖证书复印件作为证明材料，以获奖证书落款时间为准。</w:t>
            </w:r>
          </w:p>
          <w:p>
            <w:pPr>
              <w:shd w:val="clear"/>
              <w:adjustRightInd w:val="0"/>
              <w:snapToGrid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②</w:t>
            </w:r>
            <w:r>
              <w:rPr>
                <w:rFonts w:hint="eastAsia" w:ascii="宋体" w:hAnsi="宋体" w:cs="宋体"/>
                <w:b/>
                <w:bCs/>
                <w:color w:val="auto"/>
                <w:szCs w:val="21"/>
                <w:highlight w:val="none"/>
                <w:lang w:val="en-US" w:eastAsia="zh-CN"/>
              </w:rPr>
              <w:t>科学技术奖指的是由国务院颁发的国家科学技术奖、住建部的华夏建设科学技术奖励委员会颁发的华夏建设科学技术奖、省级人民政府或省级工程勘察设计行业协会颁发的省级科学技术奖、市级人民政府或市级工程勘察设计行业协会颁发的市级科学技术奖</w:t>
            </w:r>
            <w:r>
              <w:rPr>
                <w:rFonts w:hint="eastAsia" w:ascii="宋体" w:hAnsi="宋体" w:cs="宋体"/>
                <w:b/>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14" w:type="dxa"/>
            <w:vMerge w:val="continue"/>
            <w:tcBorders>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738" w:type="dxa"/>
            <w:gridSpan w:val="2"/>
            <w:vMerge w:val="continue"/>
            <w:tcBorders>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1905" w:type="dxa"/>
            <w:tcBorders>
              <w:top w:val="single" w:color="auto" w:sz="4" w:space="0"/>
              <w:left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财务指标（1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c>
          <w:tcPr>
            <w:tcW w:w="6362"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1、截止至投标文件递交截止之日，</w:t>
            </w:r>
            <w:r>
              <w:rPr>
                <w:rFonts w:hint="eastAsia" w:ascii="宋体" w:hAnsi="宋体" w:cs="宋体"/>
                <w:b/>
                <w:bCs/>
                <w:color w:val="auto"/>
                <w:szCs w:val="21"/>
                <w:highlight w:val="none"/>
              </w:rPr>
              <w:t>投标人（若为联合体，指承担施工任务的成员）</w:t>
            </w:r>
            <w:r>
              <w:rPr>
                <w:rFonts w:hint="eastAsia" w:ascii="宋体" w:hAnsi="宋体" w:cs="宋体"/>
                <w:color w:val="auto"/>
                <w:szCs w:val="21"/>
                <w:highlight w:val="none"/>
              </w:rPr>
              <w:t>被评为纳税信用A级纳税人的连续年限：</w:t>
            </w:r>
          </w:p>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（1）连续8年或以上获得“纳税信用A级纳税人”的，得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（2）连续7年获得“纳税信用A级纳税人”的，得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（3）连续5年至6年获得“纳税信用A级纳税人”的，得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pPr>
              <w:pStyle w:val="2"/>
              <w:shd w:val="clear"/>
              <w:adjustRightInd w:val="0"/>
              <w:snapToGrid w:val="0"/>
              <w:spacing w:line="360" w:lineRule="auto"/>
              <w:jc w:val="left"/>
              <w:rPr>
                <w:rFonts w:hint="eastAsia" w:hAnsi="宋体" w:cs="宋体"/>
                <w:color w:val="auto"/>
                <w:sz w:val="21"/>
                <w:szCs w:val="21"/>
                <w:highlight w:val="none"/>
              </w:rPr>
            </w:pPr>
            <w:r>
              <w:rPr>
                <w:rFonts w:hint="eastAsia" w:hAnsi="宋体" w:cs="宋体"/>
                <w:color w:val="auto"/>
                <w:sz w:val="21"/>
                <w:szCs w:val="21"/>
                <w:highlight w:val="none"/>
              </w:rPr>
              <w:t>（4）其他情况不得分。</w:t>
            </w:r>
          </w:p>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本小项最高得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p>
            <w:pPr>
              <w:shd w:val="clear"/>
              <w:rPr>
                <w:color w:val="auto"/>
                <w:highlight w:val="none"/>
              </w:rPr>
            </w:pPr>
            <w:r>
              <w:rPr>
                <w:rFonts w:hint="eastAsia" w:ascii="宋体" w:hAnsi="宋体" w:cs="宋体"/>
                <w:b/>
                <w:bCs/>
                <w:color w:val="auto"/>
                <w:szCs w:val="21"/>
                <w:highlight w:val="none"/>
              </w:rPr>
              <w:t>备注：</w:t>
            </w:r>
          </w:p>
          <w:p>
            <w:pPr>
              <w:shd w:val="clear"/>
              <w:rPr>
                <w:color w:val="auto"/>
                <w:highlight w:val="none"/>
              </w:rPr>
            </w:pPr>
            <w:r>
              <w:rPr>
                <w:rFonts w:hint="eastAsia" w:ascii="宋体" w:hAnsi="宋体" w:cs="宋体"/>
                <w:b/>
                <w:bCs/>
                <w:color w:val="auto"/>
                <w:szCs w:val="21"/>
                <w:highlight w:val="none"/>
              </w:rPr>
              <w:t>以国家税务总局（www.chinatax.gov.cn）平台上各省级税务局查询结果为准，投标人须提供相关截图证明材料。</w:t>
            </w:r>
          </w:p>
          <w:p>
            <w:pPr>
              <w:shd w:val="clear"/>
              <w:adjustRightInd w:val="0"/>
              <w:snapToGrid w:val="0"/>
              <w:spacing w:line="360" w:lineRule="auto"/>
              <w:jc w:val="left"/>
              <w:rPr>
                <w:rFonts w:hint="eastAsia" w:ascii="宋体" w:hAnsi="宋体" w:eastAsia="宋体" w:cs="宋体"/>
                <w:b/>
                <w:bCs/>
                <w:color w:val="auto"/>
                <w:szCs w:val="21"/>
                <w:highlight w:val="none"/>
                <w:lang w:eastAsia="zh-CN"/>
              </w:rPr>
            </w:pPr>
          </w:p>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bCs/>
                <w:color w:val="auto"/>
                <w:szCs w:val="21"/>
                <w:highlight w:val="none"/>
              </w:rPr>
              <w:t>投标人（若为联合体，指承担施工任务的成员）</w:t>
            </w:r>
            <w:r>
              <w:rPr>
                <w:rFonts w:hint="eastAsia" w:ascii="宋体" w:hAnsi="宋体" w:cs="宋体"/>
                <w:color w:val="auto"/>
                <w:szCs w:val="21"/>
                <w:highlight w:val="none"/>
              </w:rPr>
              <w:t>近三年（2020年～2022年）资产负债率的平均值：</w:t>
            </w:r>
          </w:p>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（1）资产负债率的平均值低于65%(不含65%）的，得8分；</w:t>
            </w:r>
          </w:p>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（2）资产负债率的平均值在65%(含65%）～70%（不含70%）之间的，得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（3）资产负债率的平均值在70%（含70%）～75%（不含75%）之间的，得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（4）资产负债率的平均值在75%或以上的，得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本小项最高得8分。</w:t>
            </w:r>
          </w:p>
          <w:p>
            <w:pPr>
              <w:shd w:val="clear"/>
              <w:rPr>
                <w:color w:val="auto"/>
                <w:highlight w:val="none"/>
              </w:rPr>
            </w:pPr>
            <w:r>
              <w:rPr>
                <w:rFonts w:hint="eastAsia" w:ascii="宋体" w:hAnsi="宋体" w:cs="宋体"/>
                <w:b/>
                <w:bCs/>
                <w:color w:val="auto"/>
                <w:szCs w:val="21"/>
                <w:highlight w:val="none"/>
              </w:rPr>
              <w:t>备注：</w:t>
            </w:r>
          </w:p>
          <w:p>
            <w:pPr>
              <w:shd w:val="clear"/>
              <w:rPr>
                <w:rFonts w:hint="eastAsia" w:ascii="宋体" w:hAnsi="宋体" w:cs="宋体"/>
                <w:color w:val="auto"/>
                <w:szCs w:val="21"/>
                <w:highlight w:val="none"/>
              </w:rPr>
            </w:pPr>
            <w:r>
              <w:rPr>
                <w:rFonts w:hint="eastAsia" w:ascii="宋体" w:hAnsi="宋体" w:cs="宋体"/>
                <w:b/>
                <w:bCs/>
                <w:color w:val="auto"/>
                <w:szCs w:val="21"/>
                <w:highlight w:val="none"/>
              </w:rPr>
              <w:t>投标人须提供 2020、2021、2022年度经会计师事务所或审计机构出具的财务报表</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至少须</w:t>
            </w:r>
            <w:r>
              <w:rPr>
                <w:rFonts w:hint="eastAsia" w:ascii="宋体" w:hAnsi="宋体" w:cs="宋体"/>
                <w:b/>
                <w:bCs/>
                <w:color w:val="auto"/>
                <w:szCs w:val="21"/>
                <w:highlight w:val="none"/>
                <w:lang w:eastAsia="zh-CN"/>
              </w:rPr>
              <w:t>包括资产负债表、现金流量表、利润表</w:t>
            </w:r>
            <w:r>
              <w:rPr>
                <w:rFonts w:hint="eastAsia" w:ascii="宋体" w:hAnsi="宋体" w:cs="宋体"/>
                <w:b/>
                <w:bCs/>
                <w:color w:val="auto"/>
                <w:szCs w:val="21"/>
                <w:highlight w:val="none"/>
                <w:lang w:val="en-US" w:eastAsia="zh-CN"/>
              </w:rPr>
              <w:t>的</w:t>
            </w:r>
            <w:r>
              <w:rPr>
                <w:rFonts w:hint="eastAsia" w:ascii="宋体" w:hAnsi="宋体" w:cs="宋体"/>
                <w:b/>
                <w:bCs/>
                <w:color w:val="auto"/>
                <w:szCs w:val="21"/>
                <w:highlight w:val="none"/>
                <w:lang w:eastAsia="zh-CN"/>
              </w:rPr>
              <w:t>复印件）</w:t>
            </w:r>
            <w:r>
              <w:rPr>
                <w:rFonts w:hint="eastAsia" w:ascii="宋体" w:hAnsi="宋体" w:cs="宋体"/>
                <w:b/>
                <w:bCs/>
                <w:color w:val="auto"/>
                <w:szCs w:val="21"/>
                <w:highlight w:val="none"/>
              </w:rPr>
              <w:t>。资产负债率=（期末）负债总额/（期末）资产总额*100%，平均资产负债率=2020、2021、2022年度资产负债率总和/计算年数。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14" w:type="dxa"/>
            <w:vMerge w:val="continue"/>
            <w:tcBorders>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738" w:type="dxa"/>
            <w:gridSpan w:val="2"/>
            <w:vMerge w:val="continue"/>
            <w:tcBorders>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1905" w:type="dxa"/>
            <w:vMerge w:val="restart"/>
            <w:tcBorders>
              <w:top w:val="single" w:color="auto" w:sz="4" w:space="0"/>
              <w:left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第三方信用评价（企业管理体系认证）等（1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c>
          <w:tcPr>
            <w:tcW w:w="6362" w:type="dxa"/>
            <w:tcBorders>
              <w:top w:val="single" w:color="auto" w:sz="4" w:space="0"/>
              <w:left w:val="single" w:color="auto" w:sz="4" w:space="0"/>
              <w:bottom w:val="single" w:color="auto" w:sz="4" w:space="0"/>
              <w:right w:val="single" w:color="auto" w:sz="4" w:space="0"/>
            </w:tcBorders>
            <w:noWrap w:val="0"/>
            <w:vAlign w:val="center"/>
          </w:tcPr>
          <w:p>
            <w:pPr>
              <w:pStyle w:val="2"/>
              <w:numPr>
                <w:ilvl w:val="0"/>
                <w:numId w:val="0"/>
              </w:numPr>
              <w:shd w:val="clear"/>
              <w:adjustRightInd w:val="0"/>
              <w:snapToGrid w:val="0"/>
              <w:spacing w:line="360" w:lineRule="auto"/>
              <w:ind w:firstLine="200" w:firstLineChars="100"/>
              <w:jc w:val="left"/>
              <w:rPr>
                <w:rFonts w:hint="eastAsia" w:ascii="宋体" w:hAnsi="宋体" w:cs="宋体"/>
                <w:color w:val="auto"/>
                <w:szCs w:val="21"/>
                <w:highlight w:val="none"/>
              </w:rPr>
            </w:pPr>
            <w:r>
              <w:rPr>
                <w:rFonts w:hint="eastAsia" w:ascii="宋体" w:hAnsi="宋体" w:cs="宋体"/>
                <w:color w:val="auto"/>
                <w:szCs w:val="21"/>
                <w:highlight w:val="none"/>
              </w:rPr>
              <w:t>1、至投标文件递交截止日止，</w:t>
            </w:r>
            <w:r>
              <w:rPr>
                <w:rFonts w:hint="eastAsia" w:ascii="宋体" w:hAnsi="宋体" w:cs="宋体"/>
                <w:b/>
                <w:bCs/>
                <w:color w:val="auto"/>
                <w:szCs w:val="21"/>
                <w:highlight w:val="none"/>
              </w:rPr>
              <w:t>投标人（若为联合体，指承担施工任务的成员）</w:t>
            </w:r>
            <w:r>
              <w:rPr>
                <w:rFonts w:hint="eastAsia" w:ascii="宋体" w:hAnsi="宋体" w:cs="宋体"/>
                <w:color w:val="auto"/>
                <w:szCs w:val="21"/>
                <w:highlight w:val="none"/>
              </w:rPr>
              <w:t>获得“企业信用等级”为AAA级的：</w:t>
            </w:r>
          </w:p>
          <w:p>
            <w:pPr>
              <w:pStyle w:val="2"/>
              <w:numPr>
                <w:ilvl w:val="0"/>
                <w:numId w:val="0"/>
              </w:numPr>
              <w:shd w:val="clear"/>
              <w:adjustRightInd w:val="0"/>
              <w:snapToGrid w:val="0"/>
              <w:spacing w:line="360" w:lineRule="auto"/>
              <w:ind w:firstLine="200" w:firstLineChars="100"/>
              <w:jc w:val="left"/>
              <w:rPr>
                <w:rFonts w:hint="eastAsia" w:ascii="宋体" w:hAnsi="宋体" w:cs="宋体"/>
                <w:color w:val="auto"/>
                <w:szCs w:val="21"/>
                <w:highlight w:val="none"/>
              </w:rPr>
            </w:pPr>
            <w:r>
              <w:rPr>
                <w:rFonts w:hint="eastAsia" w:ascii="宋体" w:hAnsi="宋体" w:cs="宋体"/>
                <w:color w:val="auto"/>
                <w:szCs w:val="21"/>
                <w:highlight w:val="none"/>
              </w:rPr>
              <w:t>（1）连续8年以上的，得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p>
            <w:pPr>
              <w:pStyle w:val="2"/>
              <w:numPr>
                <w:ilvl w:val="0"/>
                <w:numId w:val="0"/>
              </w:numPr>
              <w:shd w:val="clear"/>
              <w:adjustRightInd w:val="0"/>
              <w:snapToGrid w:val="0"/>
              <w:spacing w:line="360" w:lineRule="auto"/>
              <w:ind w:firstLine="200" w:firstLineChars="100"/>
              <w:jc w:val="left"/>
              <w:rPr>
                <w:rFonts w:hint="eastAsia" w:ascii="宋体" w:hAnsi="宋体" w:cs="宋体"/>
                <w:color w:val="auto"/>
                <w:szCs w:val="21"/>
                <w:highlight w:val="none"/>
              </w:rPr>
            </w:pPr>
            <w:r>
              <w:rPr>
                <w:rFonts w:hint="eastAsia" w:ascii="宋体" w:hAnsi="宋体" w:cs="宋体"/>
                <w:color w:val="auto"/>
                <w:szCs w:val="21"/>
                <w:highlight w:val="none"/>
              </w:rPr>
              <w:t>（2）连续7年-8年的，得</w:t>
            </w:r>
            <w:r>
              <w:rPr>
                <w:rFonts w:hint="eastAsia" w:hAnsi="宋体" w:cs="宋体"/>
                <w:color w:val="auto"/>
                <w:szCs w:val="21"/>
                <w:highlight w:val="none"/>
                <w:lang w:val="en-US" w:eastAsia="zh-CN"/>
              </w:rPr>
              <w:t>4</w:t>
            </w:r>
            <w:r>
              <w:rPr>
                <w:rFonts w:hint="eastAsia" w:ascii="宋体" w:hAnsi="宋体" w:cs="宋体"/>
                <w:color w:val="auto"/>
                <w:szCs w:val="21"/>
                <w:highlight w:val="none"/>
              </w:rPr>
              <w:t>分。</w:t>
            </w:r>
          </w:p>
          <w:p>
            <w:pPr>
              <w:pStyle w:val="2"/>
              <w:numPr>
                <w:ilvl w:val="0"/>
                <w:numId w:val="0"/>
              </w:numPr>
              <w:shd w:val="clear"/>
              <w:adjustRightInd w:val="0"/>
              <w:snapToGrid w:val="0"/>
              <w:spacing w:line="360" w:lineRule="auto"/>
              <w:ind w:firstLine="200" w:firstLineChars="100"/>
              <w:jc w:val="left"/>
              <w:rPr>
                <w:rFonts w:hint="eastAsia" w:ascii="宋体" w:hAnsi="宋体" w:cs="宋体"/>
                <w:color w:val="auto"/>
                <w:szCs w:val="21"/>
                <w:highlight w:val="none"/>
              </w:rPr>
            </w:pPr>
            <w:r>
              <w:rPr>
                <w:rFonts w:hint="eastAsia" w:ascii="宋体" w:hAnsi="宋体" w:cs="宋体"/>
                <w:color w:val="auto"/>
                <w:szCs w:val="21"/>
                <w:highlight w:val="none"/>
              </w:rPr>
              <w:t>（3）连续5年-6年的，得</w:t>
            </w:r>
            <w:r>
              <w:rPr>
                <w:rFonts w:hint="eastAsia" w:hAnsi="宋体" w:cs="宋体"/>
                <w:color w:val="auto"/>
                <w:szCs w:val="21"/>
                <w:highlight w:val="none"/>
                <w:lang w:val="en-US" w:eastAsia="zh-CN"/>
              </w:rPr>
              <w:t>2</w:t>
            </w:r>
            <w:r>
              <w:rPr>
                <w:rFonts w:hint="eastAsia" w:ascii="宋体" w:hAnsi="宋体" w:cs="宋体"/>
                <w:color w:val="auto"/>
                <w:szCs w:val="21"/>
                <w:highlight w:val="none"/>
              </w:rPr>
              <w:t>分。</w:t>
            </w:r>
          </w:p>
          <w:p>
            <w:pPr>
              <w:pStyle w:val="2"/>
              <w:numPr>
                <w:ilvl w:val="0"/>
                <w:numId w:val="0"/>
              </w:numPr>
              <w:shd w:val="clear"/>
              <w:adjustRightInd w:val="0"/>
              <w:snapToGrid w:val="0"/>
              <w:spacing w:line="360" w:lineRule="auto"/>
              <w:ind w:firstLine="200" w:firstLineChars="100"/>
              <w:jc w:val="left"/>
              <w:rPr>
                <w:rFonts w:hint="eastAsia" w:ascii="宋体" w:hAnsi="宋体" w:cs="宋体"/>
                <w:color w:val="auto"/>
                <w:szCs w:val="21"/>
                <w:highlight w:val="none"/>
              </w:rPr>
            </w:pPr>
            <w:r>
              <w:rPr>
                <w:rFonts w:hint="eastAsia" w:ascii="宋体" w:hAnsi="宋体" w:cs="宋体"/>
                <w:color w:val="auto"/>
                <w:szCs w:val="21"/>
                <w:highlight w:val="none"/>
              </w:rPr>
              <w:t>其他或不提供不得分，本小项最高得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p>
            <w:pPr>
              <w:shd w:val="clear"/>
              <w:rPr>
                <w:color w:val="auto"/>
                <w:highlight w:val="none"/>
              </w:rPr>
            </w:pPr>
            <w:r>
              <w:rPr>
                <w:rFonts w:hint="eastAsia" w:ascii="宋体" w:hAnsi="宋体" w:cs="宋体"/>
                <w:b/>
                <w:bCs/>
                <w:color w:val="auto"/>
                <w:szCs w:val="21"/>
                <w:highlight w:val="none"/>
              </w:rPr>
              <w:t>备注：</w:t>
            </w:r>
          </w:p>
          <w:p>
            <w:pPr>
              <w:shd w:val="clear"/>
              <w:rPr>
                <w:color w:val="auto"/>
                <w:highlight w:val="none"/>
              </w:rPr>
            </w:pPr>
            <w:r>
              <w:rPr>
                <w:rFonts w:hint="eastAsia" w:ascii="宋体" w:hAnsi="宋体" w:cs="宋体"/>
                <w:b/>
                <w:bCs/>
                <w:color w:val="auto"/>
                <w:szCs w:val="21"/>
                <w:highlight w:val="none"/>
                <w:lang w:val="en-US" w:eastAsia="zh-CN"/>
              </w:rPr>
              <w:t>需要提供每年</w:t>
            </w:r>
            <w:r>
              <w:rPr>
                <w:rFonts w:hint="eastAsia" w:ascii="宋体" w:hAnsi="宋体" w:cs="宋体"/>
                <w:b/>
                <w:bCs/>
                <w:color w:val="auto"/>
                <w:szCs w:val="21"/>
                <w:highlight w:val="none"/>
                <w:lang w:val="en-US" w:eastAsia="zh-CN"/>
              </w:rPr>
              <w:fldChar w:fldCharType="begin"/>
            </w:r>
            <w:r>
              <w:rPr>
                <w:rFonts w:hint="eastAsia" w:ascii="宋体" w:hAnsi="宋体" w:cs="宋体"/>
                <w:b/>
                <w:bCs/>
                <w:color w:val="auto"/>
                <w:szCs w:val="21"/>
                <w:highlight w:val="none"/>
                <w:lang w:val="en-US" w:eastAsia="zh-CN"/>
              </w:rPr>
              <w:instrText xml:space="preserve"> HYPERLINK "https://www.cacem.com.cn/uploadfile/2022/tzgg/13161.pdf" </w:instrText>
            </w:r>
            <w:r>
              <w:rPr>
                <w:rFonts w:hint="eastAsia" w:ascii="宋体" w:hAnsi="宋体" w:cs="宋体"/>
                <w:b/>
                <w:bCs/>
                <w:color w:val="auto"/>
                <w:szCs w:val="21"/>
                <w:highlight w:val="none"/>
                <w:lang w:val="en-US" w:eastAsia="zh-CN"/>
              </w:rPr>
              <w:fldChar w:fldCharType="separate"/>
            </w:r>
            <w:r>
              <w:rPr>
                <w:rFonts w:hint="eastAsia" w:ascii="宋体" w:hAnsi="宋体" w:cs="宋体"/>
                <w:b/>
                <w:bCs/>
                <w:color w:val="auto"/>
                <w:szCs w:val="21"/>
                <w:highlight w:val="none"/>
                <w:lang w:val="en-US" w:eastAsia="zh-CN"/>
              </w:rPr>
              <w:t>年度工程建设企业社会信用评价AAA级信用企业名单</w:t>
            </w:r>
            <w:r>
              <w:rPr>
                <w:rFonts w:hint="eastAsia" w:ascii="宋体" w:hAnsi="宋体" w:cs="宋体"/>
                <w:b/>
                <w:bCs/>
                <w:color w:val="auto"/>
                <w:szCs w:val="21"/>
                <w:highlight w:val="none"/>
                <w:lang w:val="en-US" w:eastAsia="zh-CN"/>
              </w:rPr>
              <w:fldChar w:fldCharType="end"/>
            </w:r>
            <w:r>
              <w:rPr>
                <w:rFonts w:hint="eastAsia" w:ascii="宋体" w:hAnsi="宋体" w:cs="宋体"/>
                <w:b/>
                <w:bCs/>
                <w:color w:val="auto"/>
                <w:szCs w:val="21"/>
                <w:highlight w:val="none"/>
                <w:lang w:val="en-US" w:eastAsia="zh-CN"/>
              </w:rPr>
              <w:t>或</w:t>
            </w:r>
            <w:r>
              <w:rPr>
                <w:rFonts w:hint="eastAsia" w:ascii="宋体" w:hAnsi="宋体" w:cs="宋体"/>
                <w:b/>
                <w:bCs/>
                <w:color w:val="auto"/>
                <w:szCs w:val="21"/>
                <w:highlight w:val="none"/>
                <w:lang w:val="en-US" w:eastAsia="zh-CN"/>
              </w:rPr>
              <w:fldChar w:fldCharType="begin"/>
            </w:r>
            <w:r>
              <w:rPr>
                <w:rFonts w:hint="eastAsia" w:ascii="宋体" w:hAnsi="宋体" w:cs="宋体"/>
                <w:b/>
                <w:bCs/>
                <w:color w:val="auto"/>
                <w:szCs w:val="21"/>
                <w:highlight w:val="none"/>
                <w:lang w:val="en-US" w:eastAsia="zh-CN"/>
              </w:rPr>
              <w:instrText xml:space="preserve"> HYPERLINK "https://www.cacem.com.cn/uploadfile/2022/tzgg/13162.pdf" </w:instrText>
            </w:r>
            <w:r>
              <w:rPr>
                <w:rFonts w:hint="eastAsia" w:ascii="宋体" w:hAnsi="宋体" w:cs="宋体"/>
                <w:b/>
                <w:bCs/>
                <w:color w:val="auto"/>
                <w:szCs w:val="21"/>
                <w:highlight w:val="none"/>
                <w:lang w:val="en-US" w:eastAsia="zh-CN"/>
              </w:rPr>
              <w:fldChar w:fldCharType="separate"/>
            </w:r>
            <w:r>
              <w:rPr>
                <w:rFonts w:hint="eastAsia" w:ascii="宋体" w:hAnsi="宋体" w:cs="宋体"/>
                <w:b/>
                <w:bCs/>
                <w:color w:val="auto"/>
                <w:szCs w:val="21"/>
                <w:highlight w:val="none"/>
                <w:lang w:val="en-US" w:eastAsia="zh-CN"/>
              </w:rPr>
              <w:t>年度审核合格企业名单</w:t>
            </w:r>
            <w:r>
              <w:rPr>
                <w:rFonts w:hint="eastAsia" w:ascii="宋体" w:hAnsi="宋体" w:cs="宋体"/>
                <w:b/>
                <w:bCs/>
                <w:color w:val="auto"/>
                <w:szCs w:val="21"/>
                <w:highlight w:val="none"/>
                <w:lang w:val="en-US" w:eastAsia="zh-CN"/>
              </w:rPr>
              <w:fldChar w:fldCharType="end"/>
            </w:r>
            <w:r>
              <w:rPr>
                <w:rFonts w:hint="eastAsia" w:ascii="宋体" w:hAnsi="宋体" w:cs="宋体"/>
                <w:b/>
                <w:bCs/>
                <w:color w:val="auto"/>
                <w:szCs w:val="21"/>
                <w:highlight w:val="none"/>
                <w:lang w:val="en-US" w:eastAsia="zh-CN"/>
              </w:rPr>
              <w:t>或</w:t>
            </w:r>
            <w:r>
              <w:rPr>
                <w:rFonts w:hint="eastAsia" w:ascii="宋体" w:hAnsi="宋体" w:cs="宋体"/>
                <w:b/>
                <w:bCs/>
                <w:color w:val="auto"/>
                <w:szCs w:val="21"/>
                <w:highlight w:val="none"/>
                <w:lang w:val="en-US" w:eastAsia="zh-CN"/>
              </w:rPr>
              <w:fldChar w:fldCharType="begin"/>
            </w:r>
            <w:r>
              <w:rPr>
                <w:rFonts w:hint="eastAsia" w:ascii="宋体" w:hAnsi="宋体" w:cs="宋体"/>
                <w:b/>
                <w:bCs/>
                <w:color w:val="auto"/>
                <w:szCs w:val="21"/>
                <w:highlight w:val="none"/>
                <w:lang w:val="en-US" w:eastAsia="zh-CN"/>
              </w:rPr>
              <w:instrText xml:space="preserve"> HYPERLINK "https://www.cacem.com.cn/uploadfile/2022/tzgg/13162.pdf" </w:instrText>
            </w:r>
            <w:r>
              <w:rPr>
                <w:rFonts w:hint="eastAsia" w:ascii="宋体" w:hAnsi="宋体" w:cs="宋体"/>
                <w:b/>
                <w:bCs/>
                <w:color w:val="auto"/>
                <w:szCs w:val="21"/>
                <w:highlight w:val="none"/>
                <w:lang w:val="en-US" w:eastAsia="zh-CN"/>
              </w:rPr>
              <w:fldChar w:fldCharType="separate"/>
            </w:r>
            <w:r>
              <w:rPr>
                <w:rFonts w:hint="eastAsia" w:ascii="宋体" w:hAnsi="宋体" w:cs="宋体"/>
                <w:b/>
                <w:bCs/>
                <w:color w:val="auto"/>
                <w:szCs w:val="21"/>
                <w:highlight w:val="none"/>
                <w:lang w:val="en-US" w:eastAsia="zh-CN"/>
              </w:rPr>
              <w:t>年度复评合格企业名单</w:t>
            </w:r>
            <w:r>
              <w:rPr>
                <w:rFonts w:hint="eastAsia" w:ascii="宋体" w:hAnsi="宋体" w:cs="宋体"/>
                <w:b/>
                <w:bCs/>
                <w:color w:val="auto"/>
                <w:szCs w:val="21"/>
                <w:highlight w:val="none"/>
                <w:lang w:val="en-US" w:eastAsia="zh-CN"/>
              </w:rPr>
              <w:fldChar w:fldCharType="end"/>
            </w:r>
            <w:r>
              <w:rPr>
                <w:rFonts w:hint="eastAsia" w:ascii="宋体" w:hAnsi="宋体" w:cs="宋体"/>
                <w:b/>
                <w:bCs/>
                <w:color w:val="auto"/>
                <w:szCs w:val="21"/>
                <w:highlight w:val="none"/>
              </w:rPr>
              <w:t>复印件</w:t>
            </w:r>
            <w:r>
              <w:rPr>
                <w:rFonts w:hint="eastAsia" w:ascii="宋体" w:hAnsi="宋体" w:cs="宋体"/>
                <w:b/>
                <w:bCs/>
                <w:color w:val="auto"/>
                <w:szCs w:val="21"/>
                <w:highlight w:val="none"/>
                <w:lang w:val="en-US" w:eastAsia="zh-CN"/>
              </w:rPr>
              <w:t>关键页</w:t>
            </w:r>
            <w:r>
              <w:rPr>
                <w:rFonts w:hint="eastAsia" w:hAnsi="宋体" w:cs="宋体"/>
                <w:b/>
                <w:bCs/>
                <w:color w:val="auto"/>
                <w:szCs w:val="21"/>
                <w:highlight w:val="none"/>
                <w:lang w:eastAsia="zh-CN"/>
              </w:rPr>
              <w:t>（</w:t>
            </w:r>
            <w:r>
              <w:rPr>
                <w:rFonts w:hint="eastAsia" w:hAnsi="宋体" w:cs="宋体"/>
                <w:b/>
                <w:bCs/>
                <w:color w:val="auto"/>
                <w:szCs w:val="21"/>
                <w:highlight w:val="none"/>
                <w:lang w:val="en-US" w:eastAsia="zh-CN"/>
              </w:rPr>
              <w:t>含投标人名称</w:t>
            </w:r>
            <w:r>
              <w:rPr>
                <w:rFonts w:hint="eastAsia" w:hAnsi="宋体" w:cs="宋体"/>
                <w:b/>
                <w:bCs/>
                <w:color w:val="auto"/>
                <w:szCs w:val="21"/>
                <w:highlight w:val="none"/>
                <w:lang w:eastAsia="zh-CN"/>
              </w:rPr>
              <w:t>）</w:t>
            </w:r>
            <w:r>
              <w:rPr>
                <w:rFonts w:hint="eastAsia" w:hAnsi="宋体" w:cs="宋体"/>
                <w:b/>
                <w:bCs/>
                <w:color w:val="auto"/>
                <w:szCs w:val="21"/>
                <w:highlight w:val="none"/>
                <w:lang w:val="en-US" w:eastAsia="zh-CN"/>
              </w:rPr>
              <w:t>和评价结果通知的网址</w:t>
            </w:r>
            <w:r>
              <w:rPr>
                <w:rFonts w:hint="eastAsia" w:ascii="宋体" w:hAnsi="宋体" w:cs="宋体"/>
                <w:b/>
                <w:bCs/>
                <w:color w:val="auto"/>
                <w:szCs w:val="21"/>
                <w:highlight w:val="none"/>
              </w:rPr>
              <w:t>，</w:t>
            </w:r>
            <w:r>
              <w:rPr>
                <w:rFonts w:hint="eastAsia" w:hAnsi="宋体" w:cs="宋体"/>
                <w:b/>
                <w:bCs/>
                <w:color w:val="auto"/>
                <w:szCs w:val="21"/>
                <w:highlight w:val="none"/>
                <w:lang w:val="en-US" w:eastAsia="zh-CN"/>
              </w:rPr>
              <w:t>评选</w:t>
            </w:r>
            <w:r>
              <w:rPr>
                <w:rFonts w:hint="eastAsia" w:ascii="宋体" w:hAnsi="宋体" w:cs="宋体"/>
                <w:b/>
                <w:bCs/>
                <w:color w:val="auto"/>
                <w:szCs w:val="21"/>
                <w:highlight w:val="none"/>
              </w:rPr>
              <w:t>颁发单位须为“中国施工企业管理协会”。</w:t>
            </w:r>
          </w:p>
          <w:p>
            <w:pPr>
              <w:pStyle w:val="2"/>
              <w:numPr>
                <w:ilvl w:val="0"/>
                <w:numId w:val="0"/>
              </w:numPr>
              <w:shd w:val="clear"/>
              <w:adjustRightInd w:val="0"/>
              <w:snapToGrid w:val="0"/>
              <w:spacing w:line="360" w:lineRule="auto"/>
              <w:ind w:firstLine="201" w:firstLineChars="100"/>
              <w:jc w:val="left"/>
              <w:rPr>
                <w:rFonts w:hint="eastAsia" w:ascii="宋体" w:hAnsi="宋体" w:cs="宋体"/>
                <w:b/>
                <w:bCs/>
                <w:color w:val="auto"/>
                <w:szCs w:val="21"/>
                <w:highlight w:val="none"/>
              </w:rPr>
            </w:pPr>
          </w:p>
          <w:p>
            <w:pPr>
              <w:pStyle w:val="2"/>
              <w:numPr>
                <w:ilvl w:val="0"/>
                <w:numId w:val="0"/>
              </w:numPr>
              <w:shd w:val="clear"/>
              <w:adjustRightInd w:val="0"/>
              <w:snapToGrid w:val="0"/>
              <w:spacing w:line="360" w:lineRule="auto"/>
              <w:ind w:firstLine="210" w:firstLineChars="100"/>
              <w:jc w:val="left"/>
              <w:rPr>
                <w:rFonts w:hint="eastAsia"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2、</w:t>
            </w:r>
            <w:r>
              <w:rPr>
                <w:rFonts w:hint="eastAsia" w:hAnsi="宋体" w:cs="宋体"/>
                <w:b/>
                <w:bCs/>
                <w:color w:val="auto"/>
                <w:kern w:val="2"/>
                <w:sz w:val="21"/>
                <w:szCs w:val="21"/>
                <w:highlight w:val="none"/>
              </w:rPr>
              <w:t>投标人</w:t>
            </w:r>
            <w:r>
              <w:rPr>
                <w:rFonts w:hint="eastAsia" w:hAnsi="宋体" w:cs="宋体"/>
                <w:b/>
                <w:bCs/>
                <w:color w:val="auto"/>
                <w:sz w:val="21"/>
                <w:szCs w:val="21"/>
                <w:highlight w:val="none"/>
              </w:rPr>
              <w:t>（若为联合体，指承担施工任务的成员）</w:t>
            </w:r>
            <w:r>
              <w:rPr>
                <w:rFonts w:hint="eastAsia" w:hAnsi="宋体" w:eastAsia="宋体" w:cs="宋体"/>
                <w:b w:val="0"/>
                <w:bCs w:val="0"/>
                <w:color w:val="auto"/>
                <w:sz w:val="21"/>
                <w:szCs w:val="21"/>
                <w:highlight w:val="none"/>
                <w:lang w:val="en-US" w:eastAsia="zh-CN"/>
              </w:rPr>
              <w:t>具有有效期内的质量管理体系认证、环境管理体系认证、职业健康安全管理体系认证、信息安全管理体系认证情况：</w:t>
            </w:r>
          </w:p>
          <w:p>
            <w:pPr>
              <w:pStyle w:val="2"/>
              <w:numPr>
                <w:ilvl w:val="0"/>
                <w:numId w:val="0"/>
              </w:numPr>
              <w:shd w:val="clear"/>
              <w:adjustRightInd w:val="0"/>
              <w:snapToGrid w:val="0"/>
              <w:spacing w:line="360" w:lineRule="auto"/>
              <w:ind w:firstLine="210" w:firstLineChars="100"/>
              <w:jc w:val="left"/>
              <w:rPr>
                <w:rFonts w:hint="eastAsia" w:hAnsi="宋体" w:eastAsia="宋体" w:cs="宋体"/>
                <w:b w:val="0"/>
                <w:bCs w:val="0"/>
                <w:color w:val="auto"/>
                <w:sz w:val="21"/>
                <w:szCs w:val="21"/>
                <w:highlight w:val="none"/>
                <w:lang w:val="en-US" w:eastAsia="zh-CN"/>
              </w:rPr>
            </w:pPr>
            <w:r>
              <w:rPr>
                <w:rFonts w:hint="eastAsia" w:hAnsi="宋体" w:eastAsia="宋体" w:cs="宋体"/>
                <w:b w:val="0"/>
                <w:bCs w:val="0"/>
                <w:color w:val="auto"/>
                <w:sz w:val="21"/>
                <w:szCs w:val="21"/>
                <w:highlight w:val="none"/>
                <w:lang w:val="en-US" w:eastAsia="zh-CN"/>
              </w:rPr>
              <w:t>（1）同时具有上述认证证书的，得7分；</w:t>
            </w:r>
          </w:p>
          <w:p>
            <w:pPr>
              <w:pStyle w:val="2"/>
              <w:numPr>
                <w:ilvl w:val="0"/>
                <w:numId w:val="0"/>
              </w:numPr>
              <w:shd w:val="clear"/>
              <w:adjustRightInd w:val="0"/>
              <w:snapToGrid w:val="0"/>
              <w:spacing w:line="360" w:lineRule="auto"/>
              <w:ind w:firstLine="210" w:firstLineChars="100"/>
              <w:jc w:val="left"/>
              <w:rPr>
                <w:rFonts w:hint="eastAsia" w:hAnsi="宋体" w:eastAsia="宋体" w:cs="宋体"/>
                <w:b w:val="0"/>
                <w:bCs w:val="0"/>
                <w:color w:val="auto"/>
                <w:sz w:val="21"/>
                <w:szCs w:val="21"/>
                <w:highlight w:val="none"/>
                <w:lang w:val="en-US" w:eastAsia="zh-CN"/>
              </w:rPr>
            </w:pPr>
            <w:r>
              <w:rPr>
                <w:rFonts w:hint="eastAsia" w:hAnsi="宋体" w:eastAsia="宋体" w:cs="宋体"/>
                <w:b w:val="0"/>
                <w:bCs w:val="0"/>
                <w:color w:val="auto"/>
                <w:sz w:val="21"/>
                <w:szCs w:val="21"/>
                <w:highlight w:val="none"/>
                <w:lang w:val="en-US" w:eastAsia="zh-CN"/>
              </w:rPr>
              <w:t>（2）上述认证证书缺少1项的，得2分；</w:t>
            </w:r>
          </w:p>
          <w:p>
            <w:pPr>
              <w:pStyle w:val="2"/>
              <w:numPr>
                <w:ilvl w:val="0"/>
                <w:numId w:val="0"/>
              </w:numPr>
              <w:shd w:val="clear"/>
              <w:adjustRightInd w:val="0"/>
              <w:snapToGrid w:val="0"/>
              <w:spacing w:line="360" w:lineRule="auto"/>
              <w:ind w:firstLine="210" w:firstLineChars="100"/>
              <w:jc w:val="left"/>
              <w:rPr>
                <w:rFonts w:hint="eastAsia" w:hAnsi="宋体" w:eastAsia="宋体" w:cs="宋体"/>
                <w:b w:val="0"/>
                <w:bCs w:val="0"/>
                <w:color w:val="auto"/>
                <w:sz w:val="21"/>
                <w:szCs w:val="21"/>
                <w:highlight w:val="none"/>
                <w:lang w:val="en-US" w:eastAsia="zh-CN"/>
              </w:rPr>
            </w:pPr>
            <w:r>
              <w:rPr>
                <w:rFonts w:hint="eastAsia" w:hAnsi="宋体" w:eastAsia="宋体" w:cs="宋体"/>
                <w:b w:val="0"/>
                <w:bCs w:val="0"/>
                <w:color w:val="auto"/>
                <w:sz w:val="21"/>
                <w:szCs w:val="21"/>
                <w:highlight w:val="none"/>
                <w:lang w:val="en-US" w:eastAsia="zh-CN"/>
              </w:rPr>
              <w:t>（3）上述认证证书缺少2项的，得1分；</w:t>
            </w:r>
          </w:p>
          <w:p>
            <w:pPr>
              <w:pStyle w:val="2"/>
              <w:numPr>
                <w:ilvl w:val="0"/>
                <w:numId w:val="0"/>
              </w:numPr>
              <w:shd w:val="clear"/>
              <w:adjustRightInd w:val="0"/>
              <w:snapToGrid w:val="0"/>
              <w:spacing w:line="360" w:lineRule="auto"/>
              <w:ind w:firstLine="210" w:firstLineChars="100"/>
              <w:jc w:val="left"/>
              <w:rPr>
                <w:rFonts w:hint="eastAsia" w:hAnsi="宋体" w:eastAsia="宋体" w:cs="宋体"/>
                <w:b w:val="0"/>
                <w:bCs w:val="0"/>
                <w:color w:val="auto"/>
                <w:sz w:val="21"/>
                <w:szCs w:val="21"/>
                <w:highlight w:val="none"/>
                <w:lang w:val="en-US" w:eastAsia="zh-CN"/>
              </w:rPr>
            </w:pPr>
            <w:r>
              <w:rPr>
                <w:rFonts w:hint="eastAsia" w:hAnsi="宋体" w:eastAsia="宋体" w:cs="宋体"/>
                <w:b w:val="0"/>
                <w:bCs w:val="0"/>
                <w:color w:val="auto"/>
                <w:sz w:val="21"/>
                <w:szCs w:val="21"/>
                <w:highlight w:val="none"/>
                <w:lang w:val="en-US" w:eastAsia="zh-CN"/>
              </w:rPr>
              <w:t>（4）上述认证证书缺少3项的，得0.5分；</w:t>
            </w:r>
          </w:p>
          <w:p>
            <w:pPr>
              <w:pStyle w:val="2"/>
              <w:numPr>
                <w:ilvl w:val="0"/>
                <w:numId w:val="0"/>
              </w:numPr>
              <w:shd w:val="clear"/>
              <w:adjustRightInd w:val="0"/>
              <w:snapToGrid w:val="0"/>
              <w:spacing w:line="360" w:lineRule="auto"/>
              <w:ind w:firstLine="210" w:firstLineChars="100"/>
              <w:jc w:val="left"/>
              <w:rPr>
                <w:rFonts w:hint="eastAsia" w:hAnsi="宋体" w:eastAsia="宋体" w:cs="宋体"/>
                <w:b w:val="0"/>
                <w:bCs w:val="0"/>
                <w:color w:val="auto"/>
                <w:sz w:val="21"/>
                <w:szCs w:val="21"/>
                <w:highlight w:val="none"/>
                <w:lang w:val="en-US" w:eastAsia="zh-CN"/>
              </w:rPr>
            </w:pPr>
            <w:r>
              <w:rPr>
                <w:rFonts w:hint="eastAsia" w:hAnsi="宋体" w:eastAsia="宋体" w:cs="宋体"/>
                <w:b w:val="0"/>
                <w:bCs w:val="0"/>
                <w:color w:val="auto"/>
                <w:sz w:val="21"/>
                <w:szCs w:val="21"/>
                <w:highlight w:val="none"/>
                <w:lang w:val="en-US" w:eastAsia="zh-CN"/>
              </w:rPr>
              <w:t>不符合上述条件的不得分，本小项评分最高得7分。</w:t>
            </w:r>
          </w:p>
          <w:p>
            <w:pPr>
              <w:shd w:val="clear"/>
              <w:rPr>
                <w:rFonts w:hint="eastAsia" w:hAnsi="宋体" w:cs="宋体"/>
                <w:color w:val="auto"/>
                <w:kern w:val="2"/>
                <w:sz w:val="21"/>
                <w:szCs w:val="21"/>
                <w:highlight w:val="none"/>
              </w:rPr>
            </w:pPr>
            <w:r>
              <w:rPr>
                <w:rFonts w:hint="eastAsia" w:ascii="宋体" w:hAnsi="宋体" w:cs="宋体"/>
                <w:b/>
                <w:bCs/>
                <w:color w:val="auto"/>
                <w:kern w:val="2"/>
                <w:sz w:val="21"/>
                <w:szCs w:val="21"/>
                <w:highlight w:val="none"/>
                <w:lang w:val="en-US" w:eastAsia="zh-CN"/>
              </w:rPr>
              <w:t>备注：需同时提供证书扫描件及全国认证认可信息公共服务平台官方网站（http://cx.cnca.cn/CertECloud/result/skipResultList）公示网页截图并加盖投标人企业电子印章，不满足上述情况的不得分。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14" w:type="dxa"/>
            <w:vMerge w:val="continue"/>
            <w:tcBorders>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738" w:type="dxa"/>
            <w:gridSpan w:val="2"/>
            <w:vMerge w:val="continue"/>
            <w:tcBorders>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1905" w:type="dxa"/>
            <w:vMerge w:val="continue"/>
            <w:tcBorders>
              <w:left w:val="single" w:color="auto" w:sz="4" w:space="0"/>
              <w:right w:val="single" w:color="auto" w:sz="4" w:space="0"/>
            </w:tcBorders>
            <w:noWrap w:val="0"/>
            <w:vAlign w:val="center"/>
          </w:tcPr>
          <w:p>
            <w:pPr>
              <w:pStyle w:val="2"/>
              <w:shd w:val="clear"/>
              <w:adjustRightInd w:val="0"/>
              <w:snapToGrid w:val="0"/>
              <w:spacing w:line="360" w:lineRule="auto"/>
              <w:jc w:val="left"/>
              <w:rPr>
                <w:rFonts w:hint="eastAsia" w:hAnsi="宋体" w:cs="宋体"/>
                <w:color w:val="auto"/>
                <w:sz w:val="21"/>
                <w:szCs w:val="21"/>
                <w:highlight w:val="none"/>
              </w:rPr>
            </w:pPr>
          </w:p>
        </w:tc>
        <w:tc>
          <w:tcPr>
            <w:tcW w:w="6362"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ind w:firstLine="422" w:firstLineChars="200"/>
              <w:jc w:val="left"/>
              <w:rPr>
                <w:color w:val="auto"/>
                <w:highlight w:val="none"/>
              </w:rPr>
            </w:pPr>
            <w:r>
              <w:rPr>
                <w:rFonts w:hint="eastAsia" w:ascii="宋体" w:hAnsi="宋体" w:cs="宋体"/>
                <w:b/>
                <w:bCs/>
                <w:color w:val="auto"/>
                <w:szCs w:val="21"/>
                <w:highlight w:val="none"/>
              </w:rPr>
              <w:t>投标人（若为联合体，指承担设计任务的成员）</w:t>
            </w:r>
            <w:r>
              <w:rPr>
                <w:rFonts w:hint="eastAsia" w:ascii="宋体" w:hAnsi="宋体" w:cs="宋体"/>
                <w:color w:val="auto"/>
                <w:szCs w:val="21"/>
                <w:highlight w:val="none"/>
              </w:rPr>
              <w:t>获得过国家级勘察设计协会颁发的优秀企业类称号的得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分；省级工程勘察设计行业协会颁发的优秀企业类称号的得</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分；市级工程勘察设计行业协会颁发的优秀企业类称号的得0.</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5分，否则得0分。本小项只按最高奖项计一次分，本小项最高得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pPr>
              <w:shd w:val="clear"/>
              <w:rPr>
                <w:color w:val="auto"/>
                <w:highlight w:val="none"/>
              </w:rPr>
            </w:pPr>
            <w:r>
              <w:rPr>
                <w:rFonts w:hint="eastAsia" w:ascii="宋体" w:hAnsi="宋体" w:cs="宋体"/>
                <w:b/>
                <w:bCs/>
                <w:color w:val="auto"/>
                <w:szCs w:val="21"/>
                <w:highlight w:val="none"/>
              </w:rPr>
              <w:t>备注：</w:t>
            </w:r>
          </w:p>
          <w:p>
            <w:pPr>
              <w:shd w:val="clear"/>
              <w:rPr>
                <w:rFonts w:hint="eastAsia" w:ascii="宋体" w:hAnsi="宋体" w:cs="宋体"/>
                <w:color w:val="auto"/>
                <w:szCs w:val="21"/>
                <w:highlight w:val="none"/>
              </w:rPr>
            </w:pPr>
            <w:r>
              <w:rPr>
                <w:rFonts w:hint="eastAsia" w:ascii="宋体" w:hAnsi="宋体" w:cs="宋体"/>
                <w:b/>
                <w:bCs/>
                <w:color w:val="auto"/>
                <w:szCs w:val="21"/>
                <w:highlight w:val="none"/>
              </w:rPr>
              <w:t>投标人须提供相关证书的复印件。如提供的是相关行业协会颁发的证书的，则须同时提供发证单位在全国社会组织信用信息公示平台（试运行）登记备案的网页查询截图，否则不得分。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14" w:type="dxa"/>
            <w:vMerge w:val="continue"/>
            <w:tcBorders>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738" w:type="dxa"/>
            <w:gridSpan w:val="2"/>
            <w:vMerge w:val="restart"/>
            <w:tcBorders>
              <w:top w:val="single" w:color="auto" w:sz="4" w:space="0"/>
              <w:right w:val="single" w:color="auto" w:sz="4" w:space="0"/>
            </w:tcBorders>
            <w:noWrap w:val="0"/>
            <w:vAlign w:val="center"/>
          </w:tcPr>
          <w:p>
            <w:pPr>
              <w:pStyle w:val="2"/>
              <w:shd w:val="clear"/>
              <w:adjustRightInd w:val="0"/>
              <w:snapToGrid w:val="0"/>
              <w:spacing w:line="360" w:lineRule="auto"/>
              <w:jc w:val="left"/>
              <w:rPr>
                <w:rFonts w:hint="eastAsia" w:hAnsi="宋体" w:cs="宋体"/>
                <w:color w:val="auto"/>
                <w:kern w:val="2"/>
                <w:sz w:val="21"/>
                <w:szCs w:val="21"/>
                <w:highlight w:val="none"/>
              </w:rPr>
            </w:pPr>
            <w:r>
              <w:rPr>
                <w:rFonts w:hint="eastAsia" w:hAnsi="宋体" w:cs="宋体"/>
                <w:color w:val="auto"/>
                <w:kern w:val="2"/>
                <w:sz w:val="21"/>
                <w:szCs w:val="21"/>
                <w:highlight w:val="none"/>
              </w:rPr>
              <w:t>工程实施方案</w:t>
            </w:r>
          </w:p>
          <w:p>
            <w:pPr>
              <w:pStyle w:val="2"/>
              <w:shd w:val="clear"/>
              <w:adjustRightInd w:val="0"/>
              <w:snapToGrid w:val="0"/>
              <w:spacing w:line="360" w:lineRule="auto"/>
              <w:jc w:val="left"/>
              <w:rPr>
                <w:rFonts w:hint="eastAsia" w:hAnsi="宋体" w:cs="宋体"/>
                <w:color w:val="auto"/>
                <w:kern w:val="2"/>
                <w:sz w:val="21"/>
                <w:szCs w:val="21"/>
                <w:highlight w:val="none"/>
              </w:rPr>
            </w:pPr>
            <w:r>
              <w:rPr>
                <w:rFonts w:hint="eastAsia" w:hAnsi="宋体" w:cs="宋体"/>
                <w:color w:val="auto"/>
                <w:kern w:val="2"/>
                <w:sz w:val="21"/>
                <w:szCs w:val="21"/>
                <w:highlight w:val="none"/>
              </w:rPr>
              <w:t>（</w:t>
            </w:r>
            <w:r>
              <w:rPr>
                <w:rFonts w:hint="eastAsia" w:hAnsi="宋体" w:cs="宋体"/>
                <w:color w:val="auto"/>
                <w:kern w:val="2"/>
                <w:sz w:val="21"/>
                <w:szCs w:val="21"/>
                <w:highlight w:val="none"/>
                <w:lang w:val="en-US" w:eastAsia="zh-CN"/>
              </w:rPr>
              <w:t>46</w:t>
            </w:r>
            <w:r>
              <w:rPr>
                <w:rFonts w:hint="eastAsia" w:hAnsi="宋体" w:cs="宋体"/>
                <w:color w:val="auto"/>
                <w:kern w:val="2"/>
                <w:sz w:val="21"/>
                <w:szCs w:val="21"/>
                <w:highlight w:val="none"/>
              </w:rPr>
              <w:t>分）</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设计和施工的融合措施（3分）</w:t>
            </w:r>
          </w:p>
        </w:tc>
        <w:tc>
          <w:tcPr>
            <w:tcW w:w="6362"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针对本项目特点，制定了设计和施工的融合措施的，得3分；无措施的，不得分。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14" w:type="dxa"/>
            <w:vMerge w:val="continue"/>
            <w:tcBorders>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738" w:type="dxa"/>
            <w:gridSpan w:val="2"/>
            <w:vMerge w:val="continue"/>
            <w:tcBorders>
              <w:right w:val="single" w:color="auto" w:sz="4" w:space="0"/>
            </w:tcBorders>
            <w:noWrap w:val="0"/>
            <w:vAlign w:val="center"/>
          </w:tcPr>
          <w:p>
            <w:pPr>
              <w:pStyle w:val="2"/>
              <w:shd w:val="clear"/>
              <w:adjustRightInd w:val="0"/>
              <w:snapToGrid w:val="0"/>
              <w:spacing w:line="360" w:lineRule="auto"/>
              <w:jc w:val="left"/>
              <w:rPr>
                <w:rFonts w:hint="eastAsia" w:hAnsi="宋体" w:cs="宋体"/>
                <w:color w:val="auto"/>
                <w:kern w:val="2"/>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绿色节能控制措施（</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tc>
        <w:tc>
          <w:tcPr>
            <w:tcW w:w="6362"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有绿色节能控制措施，投标人承诺按：若承接本项目，将按工地绿色施工（即“节材、节水、节能、节地和工地环保”，概括为“四节一环保”）工作，加强建设工程精细化、标准化管理，积极推进工地绿色施工工作，承诺优先使用绿色达标企业的混凝土及措施的，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分；无相关承诺或者承诺不完整的，不得分。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14" w:type="dxa"/>
            <w:vMerge w:val="continue"/>
            <w:tcBorders>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738" w:type="dxa"/>
            <w:gridSpan w:val="2"/>
            <w:vMerge w:val="continue"/>
            <w:tcBorders>
              <w:right w:val="single" w:color="auto" w:sz="4" w:space="0"/>
            </w:tcBorders>
            <w:noWrap w:val="0"/>
            <w:vAlign w:val="center"/>
          </w:tcPr>
          <w:p>
            <w:pPr>
              <w:pStyle w:val="2"/>
              <w:shd w:val="clear"/>
              <w:adjustRightInd w:val="0"/>
              <w:snapToGrid w:val="0"/>
              <w:spacing w:line="360" w:lineRule="auto"/>
              <w:jc w:val="left"/>
              <w:rPr>
                <w:rFonts w:hint="eastAsia" w:hAnsi="宋体" w:cs="宋体"/>
                <w:color w:val="auto"/>
                <w:kern w:val="2"/>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安全控制措施（</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tc>
        <w:tc>
          <w:tcPr>
            <w:tcW w:w="6362"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（1）安全管理目标；</w:t>
            </w:r>
          </w:p>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（2）安全管理体系及组织机构；</w:t>
            </w:r>
          </w:p>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（3）安全保证措施；</w:t>
            </w:r>
          </w:p>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（4）应急预案；</w:t>
            </w:r>
          </w:p>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每具有一小项得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分，本项满分</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14" w:type="dxa"/>
            <w:vMerge w:val="continue"/>
            <w:tcBorders>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738" w:type="dxa"/>
            <w:gridSpan w:val="2"/>
            <w:vMerge w:val="continue"/>
            <w:tcBorders>
              <w:right w:val="single" w:color="auto" w:sz="4" w:space="0"/>
            </w:tcBorders>
            <w:noWrap w:val="0"/>
            <w:vAlign w:val="center"/>
          </w:tcPr>
          <w:p>
            <w:pPr>
              <w:pStyle w:val="2"/>
              <w:shd w:val="clear"/>
              <w:adjustRightInd w:val="0"/>
              <w:snapToGrid w:val="0"/>
              <w:spacing w:line="360" w:lineRule="auto"/>
              <w:jc w:val="left"/>
              <w:rPr>
                <w:rFonts w:hint="eastAsia" w:hAnsi="宋体" w:cs="宋体"/>
                <w:color w:val="auto"/>
                <w:kern w:val="2"/>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质量控制措施（</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c>
          <w:tcPr>
            <w:tcW w:w="6362"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（1）质量方针目标及标准；</w:t>
            </w:r>
          </w:p>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（2）质量管理体系及组织机构；</w:t>
            </w:r>
          </w:p>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（3）质量保证措施；</w:t>
            </w:r>
          </w:p>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每具有一小项得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分，本项满分</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14" w:type="dxa"/>
            <w:vMerge w:val="continue"/>
            <w:tcBorders>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738" w:type="dxa"/>
            <w:gridSpan w:val="2"/>
            <w:vMerge w:val="continue"/>
            <w:tcBorders>
              <w:right w:val="single" w:color="auto" w:sz="4" w:space="0"/>
            </w:tcBorders>
            <w:noWrap w:val="0"/>
            <w:vAlign w:val="center"/>
          </w:tcPr>
          <w:p>
            <w:pPr>
              <w:pStyle w:val="2"/>
              <w:shd w:val="clear"/>
              <w:adjustRightInd w:val="0"/>
              <w:snapToGrid w:val="0"/>
              <w:spacing w:line="360" w:lineRule="auto"/>
              <w:jc w:val="left"/>
              <w:rPr>
                <w:rFonts w:hint="eastAsia" w:hAnsi="宋体" w:cs="宋体"/>
                <w:color w:val="auto"/>
                <w:kern w:val="2"/>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进度控制措施（</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c>
          <w:tcPr>
            <w:tcW w:w="6362"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（1）进度目标；</w:t>
            </w:r>
          </w:p>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（2）总进度计划及分阶段进度计划：</w:t>
            </w:r>
          </w:p>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（3）工期保证措施；</w:t>
            </w:r>
          </w:p>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每具有一小项得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分，本项满分</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14" w:type="dxa"/>
            <w:vMerge w:val="continue"/>
            <w:tcBorders>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738" w:type="dxa"/>
            <w:gridSpan w:val="2"/>
            <w:vMerge w:val="continue"/>
            <w:tcBorders>
              <w:right w:val="single" w:color="auto" w:sz="4" w:space="0"/>
            </w:tcBorders>
            <w:noWrap w:val="0"/>
            <w:vAlign w:val="top"/>
          </w:tcPr>
          <w:p>
            <w:pPr>
              <w:shd w:val="clear"/>
              <w:adjustRightInd w:val="0"/>
              <w:snapToGrid w:val="0"/>
              <w:spacing w:line="360" w:lineRule="auto"/>
              <w:jc w:val="left"/>
              <w:rPr>
                <w:rFonts w:hint="eastAsia" w:ascii="宋体" w:hAnsi="宋体" w:cs="宋体"/>
                <w:color w:val="auto"/>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hd w:val="clear"/>
              <w:autoSpaceDE w:val="0"/>
              <w:autoSpaceDN w:val="0"/>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项目总包管理措施项目协调管理与服务（</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tc>
        <w:tc>
          <w:tcPr>
            <w:tcW w:w="6362" w:type="dxa"/>
            <w:tcBorders>
              <w:top w:val="single" w:color="auto" w:sz="4" w:space="0"/>
              <w:left w:val="single" w:color="auto" w:sz="4" w:space="0"/>
              <w:bottom w:val="single" w:color="auto" w:sz="4" w:space="0"/>
              <w:right w:val="single" w:color="auto" w:sz="4" w:space="0"/>
            </w:tcBorders>
            <w:noWrap w:val="0"/>
            <w:vAlign w:val="center"/>
          </w:tcPr>
          <w:p>
            <w:pPr>
              <w:pStyle w:val="2"/>
              <w:shd w:val="clear"/>
              <w:adjustRightInd w:val="0"/>
              <w:snapToGrid w:val="0"/>
              <w:spacing w:line="360" w:lineRule="auto"/>
              <w:jc w:val="left"/>
              <w:rPr>
                <w:rFonts w:hint="eastAsia" w:hAnsi="宋体" w:cs="宋体"/>
                <w:color w:val="auto"/>
                <w:sz w:val="21"/>
                <w:szCs w:val="21"/>
                <w:highlight w:val="none"/>
              </w:rPr>
            </w:pPr>
            <w:r>
              <w:rPr>
                <w:rFonts w:hint="eastAsia" w:hAnsi="宋体" w:cs="宋体"/>
                <w:color w:val="auto"/>
                <w:sz w:val="21"/>
                <w:szCs w:val="21"/>
                <w:highlight w:val="none"/>
              </w:rPr>
              <w:t>（1）建立沟通协调机制；</w:t>
            </w:r>
          </w:p>
          <w:p>
            <w:pPr>
              <w:pStyle w:val="2"/>
              <w:shd w:val="clear"/>
              <w:adjustRightInd w:val="0"/>
              <w:snapToGrid w:val="0"/>
              <w:spacing w:line="360" w:lineRule="auto"/>
              <w:jc w:val="left"/>
              <w:rPr>
                <w:rFonts w:hint="eastAsia" w:hAnsi="宋体" w:cs="宋体"/>
                <w:color w:val="auto"/>
                <w:sz w:val="21"/>
                <w:szCs w:val="21"/>
                <w:highlight w:val="none"/>
              </w:rPr>
            </w:pPr>
            <w:r>
              <w:rPr>
                <w:rFonts w:hint="eastAsia" w:hAnsi="宋体" w:cs="宋体"/>
                <w:color w:val="auto"/>
                <w:sz w:val="21"/>
                <w:szCs w:val="21"/>
                <w:highlight w:val="none"/>
              </w:rPr>
              <w:t>（2）确定沟通方式及内容；</w:t>
            </w:r>
          </w:p>
          <w:p>
            <w:pPr>
              <w:pStyle w:val="2"/>
              <w:shd w:val="clear"/>
              <w:adjustRightInd w:val="0"/>
              <w:snapToGrid w:val="0"/>
              <w:spacing w:line="360" w:lineRule="auto"/>
              <w:jc w:val="left"/>
              <w:rPr>
                <w:rFonts w:hint="eastAsia" w:hAnsi="宋体" w:cs="宋体"/>
                <w:color w:val="auto"/>
                <w:sz w:val="21"/>
                <w:szCs w:val="21"/>
                <w:highlight w:val="none"/>
              </w:rPr>
            </w:pPr>
            <w:r>
              <w:rPr>
                <w:rFonts w:hint="eastAsia" w:hAnsi="宋体" w:cs="宋体"/>
                <w:color w:val="auto"/>
                <w:sz w:val="21"/>
                <w:szCs w:val="21"/>
                <w:highlight w:val="none"/>
              </w:rPr>
              <w:t>每具有一小项得</w:t>
            </w:r>
            <w:r>
              <w:rPr>
                <w:rFonts w:hint="eastAsia" w:hAnsi="宋体" w:cs="宋体"/>
                <w:color w:val="auto"/>
                <w:sz w:val="21"/>
                <w:szCs w:val="21"/>
                <w:highlight w:val="none"/>
                <w:lang w:val="en-US" w:eastAsia="zh-CN"/>
              </w:rPr>
              <w:t>2</w:t>
            </w:r>
            <w:r>
              <w:rPr>
                <w:rFonts w:hint="eastAsia" w:hAnsi="宋体" w:cs="宋体"/>
                <w:color w:val="auto"/>
                <w:sz w:val="21"/>
                <w:szCs w:val="21"/>
                <w:highlight w:val="none"/>
              </w:rPr>
              <w:t>分，本项满分</w:t>
            </w:r>
            <w:r>
              <w:rPr>
                <w:rFonts w:hint="eastAsia" w:hAnsi="宋体" w:cs="宋体"/>
                <w:color w:val="auto"/>
                <w:sz w:val="21"/>
                <w:szCs w:val="21"/>
                <w:highlight w:val="none"/>
                <w:lang w:val="en-US" w:eastAsia="zh-CN"/>
              </w:rPr>
              <w:t>4</w:t>
            </w:r>
            <w:r>
              <w:rPr>
                <w:rFonts w:hint="eastAsia" w:hAnsi="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14" w:type="dxa"/>
            <w:vMerge w:val="continue"/>
            <w:tcBorders>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p>
        </w:tc>
        <w:tc>
          <w:tcPr>
            <w:tcW w:w="738" w:type="dxa"/>
            <w:gridSpan w:val="2"/>
            <w:vMerge w:val="continue"/>
            <w:tcBorders>
              <w:right w:val="single" w:color="auto" w:sz="4" w:space="0"/>
            </w:tcBorders>
            <w:noWrap w:val="0"/>
            <w:vAlign w:val="top"/>
          </w:tcPr>
          <w:p>
            <w:pPr>
              <w:shd w:val="clear"/>
              <w:adjustRightInd w:val="0"/>
              <w:snapToGrid w:val="0"/>
              <w:spacing w:line="360" w:lineRule="auto"/>
              <w:jc w:val="left"/>
              <w:rPr>
                <w:rFonts w:hint="eastAsia" w:ascii="宋体" w:hAnsi="宋体" w:cs="宋体"/>
                <w:color w:val="auto"/>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项目管理机构资格能力（1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tc>
        <w:tc>
          <w:tcPr>
            <w:tcW w:w="6362"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ind w:left="210" w:leftChars="100"/>
              <w:jc w:val="left"/>
              <w:rPr>
                <w:rFonts w:hint="eastAsia" w:ascii="宋体" w:hAnsi="宋体" w:cs="宋体"/>
                <w:b/>
                <w:bCs/>
                <w:color w:val="auto"/>
                <w:highlight w:val="none"/>
              </w:rPr>
            </w:pPr>
            <w:r>
              <w:rPr>
                <w:rFonts w:hint="eastAsia" w:ascii="宋体" w:hAnsi="宋体" w:cs="宋体"/>
                <w:b/>
                <w:bCs/>
                <w:color w:val="auto"/>
                <w:highlight w:val="none"/>
              </w:rPr>
              <w:t>1、拟派项目</w:t>
            </w:r>
            <w:r>
              <w:rPr>
                <w:rFonts w:hint="eastAsia" w:ascii="宋体" w:hAnsi="宋体" w:cs="宋体"/>
                <w:b/>
                <w:bCs/>
                <w:color w:val="auto"/>
                <w:highlight w:val="none"/>
                <w:lang w:val="en-US" w:eastAsia="zh-CN"/>
              </w:rPr>
              <w:t>技术</w:t>
            </w:r>
            <w:r>
              <w:rPr>
                <w:rFonts w:hint="eastAsia" w:ascii="宋体" w:hAnsi="宋体" w:cs="宋体"/>
                <w:b/>
                <w:bCs/>
                <w:color w:val="auto"/>
                <w:highlight w:val="none"/>
              </w:rPr>
              <w:t>负责人（</w:t>
            </w:r>
            <w:r>
              <w:rPr>
                <w:rFonts w:hint="eastAsia" w:ascii="宋体" w:hAnsi="宋体" w:cs="宋体"/>
                <w:b/>
                <w:bCs/>
                <w:color w:val="auto"/>
                <w:highlight w:val="none"/>
                <w:lang w:val="en-US" w:eastAsia="zh-CN"/>
              </w:rPr>
              <w:t>2</w:t>
            </w:r>
            <w:r>
              <w:rPr>
                <w:rFonts w:hint="eastAsia" w:ascii="宋体" w:hAnsi="宋体" w:cs="宋体"/>
                <w:b/>
                <w:bCs/>
                <w:color w:val="auto"/>
                <w:highlight w:val="none"/>
              </w:rPr>
              <w:t>分）</w:t>
            </w:r>
          </w:p>
          <w:p>
            <w:pPr>
              <w:shd w:val="clear"/>
              <w:adjustRightInd w:val="0"/>
              <w:snapToGrid w:val="0"/>
              <w:spacing w:line="360" w:lineRule="auto"/>
              <w:ind w:left="210" w:leftChars="100"/>
              <w:jc w:val="left"/>
              <w:rPr>
                <w:rFonts w:hint="eastAsia" w:ascii="宋体" w:hAnsi="宋体" w:cs="宋体"/>
                <w:color w:val="auto"/>
                <w:highlight w:val="none"/>
              </w:rPr>
            </w:pPr>
            <w:r>
              <w:rPr>
                <w:rFonts w:hint="eastAsia" w:ascii="宋体" w:hAnsi="宋体" w:cs="宋体"/>
                <w:color w:val="auto"/>
                <w:highlight w:val="none"/>
              </w:rPr>
              <w:t>拟派的项目技术负责人具有高级或以上技术职称的，得</w:t>
            </w:r>
            <w:r>
              <w:rPr>
                <w:rFonts w:hint="eastAsia" w:ascii="宋体" w:hAnsi="宋体" w:cs="宋体"/>
                <w:color w:val="auto"/>
                <w:highlight w:val="none"/>
                <w:lang w:val="en-US" w:eastAsia="zh-CN"/>
              </w:rPr>
              <w:t>2</w:t>
            </w:r>
            <w:r>
              <w:rPr>
                <w:rFonts w:hint="eastAsia" w:ascii="宋体" w:hAnsi="宋体" w:cs="宋体"/>
                <w:color w:val="auto"/>
                <w:highlight w:val="none"/>
              </w:rPr>
              <w:t>分，其他不得分。</w:t>
            </w:r>
          </w:p>
          <w:p>
            <w:pPr>
              <w:shd w:val="clear"/>
              <w:adjustRightInd w:val="0"/>
              <w:snapToGrid w:val="0"/>
              <w:spacing w:line="360" w:lineRule="auto"/>
              <w:ind w:firstLine="211" w:firstLineChars="100"/>
              <w:jc w:val="left"/>
              <w:rPr>
                <w:rFonts w:hint="eastAsia" w:ascii="宋体" w:hAnsi="宋体" w:cs="宋体"/>
                <w:color w:val="auto"/>
                <w:highlight w:val="none"/>
              </w:rPr>
            </w:pPr>
            <w:r>
              <w:rPr>
                <w:rFonts w:hint="eastAsia" w:ascii="宋体" w:hAnsi="宋体" w:cs="宋体"/>
                <w:b/>
                <w:bCs/>
                <w:color w:val="auto"/>
                <w:highlight w:val="none"/>
              </w:rPr>
              <w:t>2、设计负责人（</w:t>
            </w:r>
            <w:r>
              <w:rPr>
                <w:rFonts w:hint="eastAsia" w:ascii="宋体" w:hAnsi="宋体" w:cs="宋体"/>
                <w:b/>
                <w:bCs/>
                <w:color w:val="auto"/>
                <w:highlight w:val="none"/>
                <w:lang w:val="en-US" w:eastAsia="zh-CN"/>
              </w:rPr>
              <w:t>3</w:t>
            </w:r>
            <w:r>
              <w:rPr>
                <w:rFonts w:hint="eastAsia" w:ascii="宋体" w:hAnsi="宋体" w:cs="宋体"/>
                <w:b/>
                <w:bCs/>
                <w:color w:val="auto"/>
                <w:highlight w:val="none"/>
              </w:rPr>
              <w:t>分）</w:t>
            </w:r>
          </w:p>
          <w:p>
            <w:pPr>
              <w:shd w:val="clear"/>
              <w:adjustRightInd w:val="0"/>
              <w:snapToGrid w:val="0"/>
              <w:spacing w:line="360" w:lineRule="auto"/>
              <w:jc w:val="left"/>
              <w:rPr>
                <w:rFonts w:hint="eastAsia" w:ascii="宋体" w:hAnsi="宋体" w:cs="宋体"/>
                <w:color w:val="auto"/>
                <w:highlight w:val="none"/>
              </w:rPr>
            </w:pPr>
            <w:r>
              <w:rPr>
                <w:rFonts w:hint="eastAsia" w:ascii="宋体" w:hAnsi="宋体" w:cs="宋体"/>
                <w:color w:val="auto"/>
                <w:highlight w:val="none"/>
              </w:rPr>
              <w:t>（1）设计经历在10年或以上，且具备给排水相关专业高级或以上技术职称及注册公用设备工程师（给水排水）得</w:t>
            </w:r>
            <w:r>
              <w:rPr>
                <w:rFonts w:hint="eastAsia" w:ascii="宋体" w:hAnsi="宋体" w:cs="宋体"/>
                <w:color w:val="auto"/>
                <w:highlight w:val="none"/>
                <w:lang w:val="en-US" w:eastAsia="zh-CN"/>
              </w:rPr>
              <w:t>1</w:t>
            </w:r>
            <w:r>
              <w:rPr>
                <w:rFonts w:hint="eastAsia" w:ascii="宋体" w:hAnsi="宋体" w:cs="宋体"/>
                <w:color w:val="auto"/>
                <w:highlight w:val="none"/>
              </w:rPr>
              <w:t>分。本小项最多得</w:t>
            </w:r>
            <w:r>
              <w:rPr>
                <w:rFonts w:hint="eastAsia" w:ascii="宋体" w:hAnsi="宋体" w:cs="宋体"/>
                <w:color w:val="auto"/>
                <w:highlight w:val="none"/>
                <w:lang w:val="en-US" w:eastAsia="zh-CN"/>
              </w:rPr>
              <w:t>1</w:t>
            </w:r>
            <w:r>
              <w:rPr>
                <w:rFonts w:hint="eastAsia" w:ascii="宋体" w:hAnsi="宋体" w:cs="宋体"/>
                <w:color w:val="auto"/>
                <w:highlight w:val="none"/>
              </w:rPr>
              <w:t>分。</w:t>
            </w:r>
          </w:p>
          <w:p>
            <w:pPr>
              <w:shd w:val="clear"/>
              <w:adjustRightInd w:val="0"/>
              <w:snapToGrid w:val="0"/>
              <w:spacing w:line="360" w:lineRule="auto"/>
              <w:jc w:val="left"/>
              <w:rPr>
                <w:rFonts w:hint="eastAsia" w:ascii="宋体" w:hAnsi="宋体" w:cs="宋体"/>
                <w:color w:val="auto"/>
                <w:highlight w:val="none"/>
              </w:rPr>
            </w:pPr>
            <w:r>
              <w:rPr>
                <w:rFonts w:hint="eastAsia" w:ascii="宋体" w:hAnsi="宋体" w:cs="宋体"/>
                <w:color w:val="auto"/>
                <w:highlight w:val="none"/>
              </w:rPr>
              <w:t>（2）2018年1月1日至今设计的市政给排水项目获国家级奖项，每项得1分；获省级奖项的，每项得0.5分；获市级（含副省级）奖项，每项得0.25分。本小项最多得2分。</w:t>
            </w:r>
          </w:p>
          <w:p>
            <w:pPr>
              <w:shd w:val="clear"/>
              <w:adjustRightInd w:val="0"/>
              <w:snapToGrid w:val="0"/>
              <w:spacing w:line="360" w:lineRule="auto"/>
              <w:ind w:left="210" w:leftChars="100"/>
              <w:jc w:val="left"/>
              <w:rPr>
                <w:rFonts w:hint="eastAsia" w:ascii="宋体" w:hAnsi="宋体" w:cs="宋体"/>
                <w:b/>
                <w:bCs/>
                <w:color w:val="auto"/>
                <w:highlight w:val="none"/>
              </w:rPr>
            </w:pPr>
            <w:r>
              <w:rPr>
                <w:rFonts w:hint="eastAsia" w:ascii="宋体" w:hAnsi="宋体" w:cs="宋体"/>
                <w:b/>
                <w:bCs/>
                <w:color w:val="auto"/>
                <w:highlight w:val="none"/>
              </w:rPr>
              <w:t>3、各专业设计负责人（6分）</w:t>
            </w:r>
          </w:p>
          <w:p>
            <w:pPr>
              <w:shd w:val="clear"/>
              <w:adjustRightInd w:val="0"/>
              <w:snapToGrid w:val="0"/>
              <w:spacing w:line="360" w:lineRule="auto"/>
              <w:ind w:firstLine="422" w:firstLineChars="200"/>
              <w:jc w:val="left"/>
              <w:rPr>
                <w:rFonts w:hint="eastAsia" w:ascii="宋体" w:hAnsi="宋体" w:cs="宋体"/>
                <w:b/>
                <w:bCs/>
                <w:color w:val="auto"/>
                <w:highlight w:val="none"/>
              </w:rPr>
            </w:pPr>
            <w:r>
              <w:rPr>
                <w:rFonts w:hint="eastAsia" w:ascii="宋体" w:hAnsi="宋体" w:cs="宋体"/>
                <w:b/>
                <w:bCs/>
                <w:color w:val="auto"/>
                <w:highlight w:val="none"/>
              </w:rPr>
              <w:t>（1）排水专业设计负责人（1分）</w:t>
            </w:r>
          </w:p>
          <w:p>
            <w:pPr>
              <w:shd w:val="clear"/>
              <w:adjustRightInd w:val="0"/>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同时具备给排水工程相关专业高级（或以上）技术职称及注册公用设备工程师（给水排水）执业资格的，得1分；具备其中之一的，得0.5分。本小项最多得1分。</w:t>
            </w:r>
          </w:p>
          <w:p>
            <w:pPr>
              <w:shd w:val="clear"/>
              <w:adjustRightInd w:val="0"/>
              <w:snapToGrid w:val="0"/>
              <w:spacing w:line="360" w:lineRule="auto"/>
              <w:ind w:firstLine="422" w:firstLineChars="200"/>
              <w:jc w:val="left"/>
              <w:rPr>
                <w:rFonts w:hint="eastAsia" w:ascii="宋体" w:hAnsi="宋体" w:cs="宋体"/>
                <w:b/>
                <w:bCs/>
                <w:color w:val="auto"/>
                <w:highlight w:val="none"/>
              </w:rPr>
            </w:pPr>
            <w:r>
              <w:rPr>
                <w:rFonts w:hint="eastAsia" w:ascii="宋体" w:hAnsi="宋体" w:cs="宋体"/>
                <w:b/>
                <w:bCs/>
                <w:color w:val="auto"/>
                <w:highlight w:val="none"/>
              </w:rPr>
              <w:t>（2）结构专业设计负责人（1分）</w:t>
            </w:r>
          </w:p>
          <w:p>
            <w:pPr>
              <w:shd w:val="clear"/>
              <w:adjustRightInd w:val="0"/>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同时具备结构相关专业高级（或以上）技术职称及一级注册结构工程师执业资格的，得1分；具备其中之一的，得0.5分。本小项最多得1分。</w:t>
            </w:r>
          </w:p>
          <w:p>
            <w:pPr>
              <w:shd w:val="clear"/>
              <w:adjustRightInd w:val="0"/>
              <w:snapToGrid w:val="0"/>
              <w:spacing w:line="360" w:lineRule="auto"/>
              <w:ind w:firstLine="422" w:firstLineChars="200"/>
              <w:jc w:val="left"/>
              <w:rPr>
                <w:rFonts w:hint="eastAsia" w:ascii="宋体" w:hAnsi="宋体" w:cs="宋体"/>
                <w:b/>
                <w:bCs/>
                <w:color w:val="auto"/>
                <w:highlight w:val="none"/>
              </w:rPr>
            </w:pPr>
            <w:r>
              <w:rPr>
                <w:rFonts w:hint="eastAsia" w:ascii="宋体" w:hAnsi="宋体" w:cs="宋体"/>
                <w:b/>
                <w:bCs/>
                <w:color w:val="auto"/>
                <w:highlight w:val="none"/>
              </w:rPr>
              <w:t>（3）造价专业设计负责人（1分）</w:t>
            </w:r>
          </w:p>
          <w:p>
            <w:pPr>
              <w:shd w:val="clear"/>
              <w:adjustRightInd w:val="0"/>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同时具备造价相关专业高级（或以上）技术职称及一级注册造价工程师执业资格的，得1分；具备其中之一的，得0.5分。本小项最多得1分。</w:t>
            </w:r>
          </w:p>
          <w:p>
            <w:pPr>
              <w:shd w:val="clear"/>
              <w:adjustRightInd w:val="0"/>
              <w:snapToGrid w:val="0"/>
              <w:spacing w:line="360" w:lineRule="auto"/>
              <w:ind w:firstLine="422" w:firstLineChars="200"/>
              <w:jc w:val="left"/>
              <w:rPr>
                <w:rFonts w:hint="eastAsia" w:ascii="宋体" w:hAnsi="宋体" w:cs="宋体"/>
                <w:b/>
                <w:bCs/>
                <w:color w:val="auto"/>
                <w:highlight w:val="none"/>
              </w:rPr>
            </w:pPr>
            <w:r>
              <w:rPr>
                <w:rFonts w:hint="eastAsia" w:ascii="宋体" w:hAnsi="宋体" w:cs="宋体"/>
                <w:b/>
                <w:bCs/>
                <w:color w:val="auto"/>
                <w:highlight w:val="none"/>
              </w:rPr>
              <w:t>（4）各专业负责人项目获奖（3分）</w:t>
            </w:r>
          </w:p>
          <w:p>
            <w:pPr>
              <w:shd w:val="clear"/>
              <w:adjustRightInd w:val="0"/>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上述各专业设计负责人在2018年1月1日至今，参与设计的市政给排水项目获国家级奖项的，每项得1分；获得省级奖项的，每项得0.5分；获得市级（含副省级）奖项的，每项得0.25分。本小项最多得3分。</w:t>
            </w:r>
          </w:p>
          <w:p>
            <w:pPr>
              <w:shd w:val="clear"/>
              <w:adjustRightInd w:val="0"/>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备注：</w:t>
            </w:r>
          </w:p>
          <w:p>
            <w:pPr>
              <w:shd w:val="clear"/>
              <w:adjustRightInd w:val="0"/>
              <w:snapToGrid w:val="0"/>
              <w:spacing w:line="360" w:lineRule="auto"/>
              <w:ind w:firstLine="422" w:firstLineChars="200"/>
              <w:jc w:val="left"/>
              <w:rPr>
                <w:rFonts w:hint="eastAsia" w:ascii="宋体" w:hAnsi="宋体" w:cs="宋体"/>
                <w:b/>
                <w:bCs/>
                <w:color w:val="auto"/>
                <w:szCs w:val="21"/>
                <w:highlight w:val="none"/>
              </w:rPr>
            </w:pPr>
            <w:r>
              <w:rPr>
                <w:rFonts w:ascii="宋体" w:hAnsi="宋体" w:cs="宋体"/>
                <w:b/>
                <w:bCs/>
                <w:color w:val="auto"/>
                <w:szCs w:val="21"/>
                <w:highlight w:val="none"/>
              </w:rPr>
              <w:t>（1）</w:t>
            </w:r>
            <w:r>
              <w:rPr>
                <w:rFonts w:hint="eastAsia" w:ascii="宋体" w:hAnsi="宋体" w:cs="宋体"/>
                <w:b/>
                <w:bCs/>
                <w:color w:val="auto"/>
                <w:szCs w:val="21"/>
                <w:highlight w:val="none"/>
              </w:rPr>
              <w:t>上述</w:t>
            </w:r>
            <w:r>
              <w:rPr>
                <w:rFonts w:ascii="宋体" w:hAnsi="宋体" w:cs="宋体"/>
                <w:b/>
                <w:bCs/>
                <w:color w:val="auto"/>
                <w:szCs w:val="21"/>
                <w:highlight w:val="none"/>
              </w:rPr>
              <w:t>人员必须为投标单位</w:t>
            </w:r>
            <w:r>
              <w:rPr>
                <w:rFonts w:hint="eastAsia" w:ascii="宋体" w:hAnsi="宋体" w:cs="宋体"/>
                <w:b/>
                <w:bCs/>
                <w:color w:val="auto"/>
                <w:szCs w:val="21"/>
                <w:highlight w:val="none"/>
              </w:rPr>
              <w:t>自有</w:t>
            </w:r>
            <w:r>
              <w:rPr>
                <w:rFonts w:ascii="宋体" w:hAnsi="宋体" w:cs="宋体"/>
                <w:b/>
                <w:bCs/>
                <w:color w:val="auto"/>
                <w:szCs w:val="21"/>
                <w:highlight w:val="none"/>
              </w:rPr>
              <w:t>人员，</w:t>
            </w:r>
            <w:r>
              <w:rPr>
                <w:rFonts w:hint="eastAsia" w:ascii="宋体" w:hAnsi="宋体" w:cs="宋体"/>
                <w:b/>
                <w:bCs/>
                <w:color w:val="auto"/>
                <w:szCs w:val="21"/>
                <w:highlight w:val="none"/>
              </w:rPr>
              <w:t>需</w:t>
            </w:r>
            <w:r>
              <w:rPr>
                <w:rFonts w:ascii="宋体" w:hAnsi="宋体" w:cs="宋体"/>
                <w:b/>
                <w:bCs/>
                <w:color w:val="auto"/>
                <w:szCs w:val="21"/>
                <w:highlight w:val="none"/>
              </w:rPr>
              <w:t>提供投标截止时间</w:t>
            </w:r>
            <w:r>
              <w:rPr>
                <w:rFonts w:hint="eastAsia" w:ascii="宋体" w:hAnsi="宋体" w:cs="宋体"/>
                <w:b/>
                <w:bCs/>
                <w:color w:val="auto"/>
                <w:szCs w:val="21"/>
                <w:highlight w:val="none"/>
              </w:rPr>
              <w:t>前</w:t>
            </w:r>
            <w:r>
              <w:rPr>
                <w:rFonts w:ascii="宋体" w:hAnsi="宋体" w:cs="宋体"/>
                <w:b/>
                <w:bCs/>
                <w:color w:val="auto"/>
                <w:szCs w:val="21"/>
                <w:highlight w:val="none"/>
              </w:rPr>
              <w:t>最近1个月（2023年</w:t>
            </w:r>
            <w:r>
              <w:rPr>
                <w:rFonts w:hint="eastAsia" w:ascii="宋体" w:hAnsi="宋体" w:cs="宋体"/>
                <w:b/>
                <w:bCs/>
                <w:color w:val="auto"/>
                <w:szCs w:val="21"/>
                <w:highlight w:val="none"/>
              </w:rPr>
              <w:t>9</w:t>
            </w:r>
            <w:r>
              <w:rPr>
                <w:rFonts w:ascii="宋体" w:hAnsi="宋体" w:cs="宋体"/>
                <w:b/>
                <w:bCs/>
                <w:color w:val="auto"/>
                <w:szCs w:val="21"/>
                <w:highlight w:val="none"/>
              </w:rPr>
              <w:t>月份）在</w:t>
            </w:r>
            <w:r>
              <w:rPr>
                <w:rFonts w:hint="eastAsia" w:ascii="宋体" w:hAnsi="宋体" w:cs="宋体"/>
                <w:b/>
                <w:bCs/>
                <w:color w:val="auto"/>
                <w:szCs w:val="21"/>
                <w:highlight w:val="none"/>
              </w:rPr>
              <w:t>投标人</w:t>
            </w:r>
            <w:r>
              <w:rPr>
                <w:rFonts w:ascii="宋体" w:hAnsi="宋体" w:cs="宋体"/>
                <w:b/>
                <w:bCs/>
                <w:color w:val="auto"/>
                <w:szCs w:val="21"/>
                <w:highlight w:val="none"/>
              </w:rPr>
              <w:t>本单位</w:t>
            </w:r>
            <w:r>
              <w:rPr>
                <w:rFonts w:hint="eastAsia" w:ascii="宋体" w:hAnsi="宋体" w:cs="宋体"/>
                <w:b/>
                <w:bCs/>
                <w:color w:val="auto"/>
                <w:szCs w:val="21"/>
                <w:highlight w:val="none"/>
              </w:rPr>
              <w:t>缴纳社保的</w:t>
            </w:r>
            <w:r>
              <w:rPr>
                <w:rFonts w:ascii="宋体" w:hAnsi="宋体" w:cs="宋体"/>
                <w:b/>
                <w:bCs/>
                <w:color w:val="auto"/>
                <w:szCs w:val="21"/>
                <w:highlight w:val="none"/>
              </w:rPr>
              <w:t>证明文件</w:t>
            </w:r>
            <w:r>
              <w:rPr>
                <w:rFonts w:hint="eastAsia" w:ascii="宋体" w:hAnsi="宋体" w:cs="宋体"/>
                <w:b/>
                <w:bCs/>
                <w:color w:val="auto"/>
                <w:szCs w:val="21"/>
                <w:highlight w:val="none"/>
              </w:rPr>
              <w:t>；设计</w:t>
            </w:r>
            <w:r>
              <w:rPr>
                <w:rFonts w:ascii="宋体" w:hAnsi="宋体" w:cs="宋体"/>
                <w:b/>
                <w:bCs/>
                <w:color w:val="auto"/>
                <w:szCs w:val="21"/>
                <w:highlight w:val="none"/>
              </w:rPr>
              <w:t>经历按学历毕业证</w:t>
            </w:r>
            <w:r>
              <w:rPr>
                <w:rFonts w:hint="eastAsia" w:ascii="宋体" w:hAnsi="宋体" w:cs="宋体"/>
                <w:b/>
                <w:bCs/>
                <w:color w:val="auto"/>
                <w:szCs w:val="21"/>
                <w:highlight w:val="none"/>
              </w:rPr>
              <w:t>颁发的</w:t>
            </w:r>
            <w:r>
              <w:rPr>
                <w:rFonts w:ascii="宋体" w:hAnsi="宋体" w:cs="宋体"/>
                <w:b/>
                <w:bCs/>
                <w:color w:val="auto"/>
                <w:szCs w:val="21"/>
                <w:highlight w:val="none"/>
              </w:rPr>
              <w:t>日期起算。需提供获奖证书</w:t>
            </w:r>
            <w:r>
              <w:rPr>
                <w:rFonts w:hint="eastAsia" w:ascii="宋体" w:hAnsi="宋体" w:cs="宋体"/>
                <w:b/>
                <w:bCs/>
                <w:color w:val="auto"/>
                <w:szCs w:val="21"/>
                <w:highlight w:val="none"/>
              </w:rPr>
              <w:t>扫描</w:t>
            </w:r>
            <w:r>
              <w:rPr>
                <w:rFonts w:ascii="宋体" w:hAnsi="宋体" w:cs="宋体"/>
                <w:b/>
                <w:bCs/>
                <w:color w:val="auto"/>
                <w:szCs w:val="21"/>
                <w:highlight w:val="none"/>
              </w:rPr>
              <w:t>件作为证明材料，否则不得分。</w:t>
            </w:r>
            <w:r>
              <w:rPr>
                <w:rFonts w:hint="eastAsia" w:ascii="宋体" w:hAnsi="宋体" w:cs="宋体"/>
                <w:b/>
                <w:bCs/>
                <w:color w:val="auto"/>
                <w:szCs w:val="21"/>
                <w:highlight w:val="none"/>
              </w:rPr>
              <w:t>按照《造价工程师职业资格制度规定》的规定，根据原人事部、原建设部发布的《造价工程师执业资格制度暂行规定》（人发〔1996〕77号）取得的造价工程师执业资格，并经注册且在有效期内的，等同于一级注册造价工程师。上述注册类人员包括在广东省住房和城乡建设主管部门备案且备案的业务范围符合上述注册人员要求的香港专业人士。不提供或者提供资料不齐全的，不得分。</w:t>
            </w:r>
          </w:p>
          <w:p>
            <w:pPr>
              <w:shd w:val="clear"/>
              <w:adjustRightInd w:val="0"/>
              <w:snapToGrid w:val="0"/>
              <w:spacing w:line="360" w:lineRule="auto"/>
              <w:ind w:firstLine="422" w:firstLineChars="200"/>
              <w:jc w:val="left"/>
              <w:rPr>
                <w:rFonts w:hint="eastAsia" w:ascii="宋体" w:hAnsi="宋体" w:cs="宋体"/>
                <w:b/>
                <w:bCs/>
                <w:color w:val="auto"/>
                <w:szCs w:val="21"/>
                <w:highlight w:val="none"/>
                <w:lang w:eastAsia="zh-CN"/>
              </w:rPr>
            </w:pPr>
            <w:r>
              <w:rPr>
                <w:rFonts w:hint="eastAsia" w:ascii="宋体" w:hAnsi="宋体" w:cs="宋体"/>
                <w:b/>
                <w:bCs/>
                <w:color w:val="auto"/>
                <w:szCs w:val="21"/>
                <w:highlight w:val="none"/>
              </w:rPr>
              <w:t>（2）上述人员须人员须根据评审标准的要求提供相关证书的扫描件（包括但不限于毕业证书、职称证书、执业职格证书、获奖证书以及其他投标人认为需要提供的资料）</w:t>
            </w:r>
            <w:r>
              <w:rPr>
                <w:rFonts w:hint="eastAsia" w:ascii="宋体" w:hAnsi="宋体" w:cs="宋体"/>
                <w:b/>
                <w:bCs/>
                <w:color w:val="auto"/>
                <w:szCs w:val="21"/>
                <w:highlight w:val="none"/>
                <w:lang w:eastAsia="zh-CN"/>
              </w:rPr>
              <w:t>。</w:t>
            </w:r>
          </w:p>
          <w:p>
            <w:pPr>
              <w:shd w:val="clear"/>
              <w:adjustRightInd w:val="0"/>
              <w:snapToGrid w:val="0"/>
              <w:spacing w:line="360" w:lineRule="auto"/>
              <w:ind w:firstLine="420" w:firstLineChars="200"/>
              <w:jc w:val="left"/>
              <w:rPr>
                <w:rFonts w:hint="eastAsia" w:ascii="宋体" w:hAnsi="宋体" w:cs="宋体"/>
                <w:color w:val="auto"/>
                <w:highlight w:val="none"/>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3）国家级奖项是由住建部颁发的全国优秀工程勘察设计奖、中国勘察设计协会颁发的全国优秀工程勘察设计行业奖；省级奖项是省级建设行政主管部门或省级工程勘察设计行业协会颁发的省级优秀勘察或设计奖；市级（含副省级）是市级（含副省级）建设行政主管部门或市级工程勘察设计行业协会颁发的市级（含副省级）优秀勘察或设计奖</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同一项目获得多个级别奖项的，按所满足的最高等级计分一次</w:t>
            </w:r>
            <w:r>
              <w:rPr>
                <w:rFonts w:hint="eastAsia" w:ascii="宋体" w:hAnsi="宋体" w:cs="宋体"/>
                <w:b/>
                <w:bCs/>
                <w:color w:val="auto"/>
                <w:szCs w:val="21"/>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cantSplit/>
          <w:trHeight w:val="454"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2.2.4（2）</w:t>
            </w:r>
          </w:p>
        </w:tc>
        <w:tc>
          <w:tcPr>
            <w:tcW w:w="738" w:type="dxa"/>
            <w:gridSpan w:val="2"/>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投标报价评分标准</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报价得分（100分）</w:t>
            </w:r>
          </w:p>
        </w:tc>
        <w:tc>
          <w:tcPr>
            <w:tcW w:w="6362"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当经算术校核的建安工程费报价等于评标基准价时得100分，报价每高于评标基准价1%，扣0.</w:t>
            </w:r>
            <w:r>
              <w:rPr>
                <w:rFonts w:hint="eastAsia" w:ascii="宋体" w:hAnsi="宋体" w:cs="宋体"/>
                <w:color w:val="auto"/>
                <w:szCs w:val="21"/>
                <w:highlight w:val="none"/>
                <w:lang w:eastAsia="zh-CN"/>
              </w:rPr>
              <w:t>5</w:t>
            </w:r>
            <w:r>
              <w:rPr>
                <w:rFonts w:hint="eastAsia" w:ascii="宋体" w:hAnsi="宋体" w:cs="宋体"/>
                <w:color w:val="auto"/>
                <w:szCs w:val="21"/>
                <w:highlight w:val="none"/>
              </w:rPr>
              <w:t>分，每低于评标基准价1%，扣0.</w:t>
            </w:r>
            <w:r>
              <w:rPr>
                <w:rFonts w:hint="eastAsia" w:ascii="宋体" w:hAnsi="宋体" w:cs="宋体"/>
                <w:color w:val="auto"/>
                <w:szCs w:val="21"/>
                <w:highlight w:val="none"/>
                <w:lang w:eastAsia="zh-CN"/>
              </w:rPr>
              <w:t>4</w:t>
            </w:r>
            <w:r>
              <w:rPr>
                <w:rFonts w:hint="eastAsia" w:ascii="宋体" w:hAnsi="宋体" w:cs="宋体"/>
                <w:color w:val="auto"/>
                <w:szCs w:val="21"/>
                <w:highlight w:val="none"/>
              </w:rPr>
              <w:t>分，扣至0分为止，得出投标报价得分，精确到小数点后两位。</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cantSplit/>
          <w:trHeight w:val="454"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beforeLines="0" w:line="360" w:lineRule="auto"/>
              <w:jc w:val="center"/>
              <w:rPr>
                <w:rFonts w:hint="eastAsia" w:ascii="宋体" w:hAnsi="宋体" w:cs="宋体"/>
                <w:color w:val="auto"/>
                <w:szCs w:val="21"/>
                <w:highlight w:val="none"/>
              </w:rPr>
            </w:pPr>
            <w:r>
              <w:rPr>
                <w:rFonts w:hint="eastAsia" w:ascii="宋体" w:hAnsi="宋体" w:eastAsia="宋体" w:cs="宋体"/>
                <w:color w:val="auto"/>
                <w:sz w:val="21"/>
                <w:szCs w:val="21"/>
                <w:highlight w:val="none"/>
              </w:rPr>
              <w:t>2.2.4（3）</w:t>
            </w:r>
          </w:p>
        </w:tc>
        <w:tc>
          <w:tcPr>
            <w:tcW w:w="738" w:type="dxa"/>
            <w:gridSpan w:val="2"/>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beforeLines="0" w:line="360" w:lineRule="auto"/>
              <w:jc w:val="center"/>
              <w:rPr>
                <w:rFonts w:hint="eastAsia" w:ascii="宋体" w:hAnsi="宋体" w:cs="宋体"/>
                <w:color w:val="auto"/>
                <w:szCs w:val="21"/>
                <w:highlight w:val="none"/>
              </w:rPr>
            </w:pPr>
            <w:r>
              <w:rPr>
                <w:rFonts w:hint="eastAsia" w:ascii="宋体" w:hAnsi="宋体" w:eastAsia="宋体" w:cs="宋体"/>
                <w:color w:val="auto"/>
                <w:szCs w:val="21"/>
                <w:highlight w:val="none"/>
              </w:rPr>
              <w:t>施工诚信综合评价评分标准</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beforeLines="0" w:line="360" w:lineRule="auto"/>
              <w:jc w:val="center"/>
              <w:rPr>
                <w:rFonts w:hint="eastAsia" w:ascii="宋体" w:hAnsi="宋体" w:cs="宋体"/>
                <w:color w:val="auto"/>
                <w:szCs w:val="21"/>
                <w:highlight w:val="none"/>
              </w:rPr>
            </w:pPr>
            <w:r>
              <w:rPr>
                <w:rFonts w:hint="eastAsia" w:ascii="宋体" w:hAnsi="宋体" w:eastAsia="宋体" w:cs="宋体"/>
                <w:color w:val="auto"/>
                <w:szCs w:val="21"/>
                <w:highlight w:val="none"/>
              </w:rPr>
              <w:t>施工诚信综合评价得分（100分）</w:t>
            </w:r>
          </w:p>
        </w:tc>
        <w:tc>
          <w:tcPr>
            <w:tcW w:w="6362"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beforeLines="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诚信评价分取自本项目招标公告发布第1天所在季度的上一季度广州市水务工程建设管理数字化监管平台（http://112.94.68.142:8012/#/website/integrity?type=1）中的“企业诚信排名&gt;&gt;施工-给排水”中“诚信综合评价”分，未入库企业或在广州市水务工程建设管理数字化监管平台中尚无诚信排名“施工－给排水”得分的投标人，按《广州市水务局关于调整水务工程诚信评价部分评分项的通知》，其诚信评价分按80分计算。</w:t>
            </w:r>
          </w:p>
          <w:p>
            <w:pPr>
              <w:shd w:val="clear"/>
              <w:adjustRightInd w:val="0"/>
              <w:snapToGrid w:val="0"/>
              <w:spacing w:beforeLines="0" w:line="360" w:lineRule="auto"/>
              <w:jc w:val="left"/>
              <w:rPr>
                <w:rFonts w:hint="eastAsia" w:ascii="宋体" w:hAnsi="宋体" w:cs="宋体"/>
                <w:color w:val="auto"/>
                <w:szCs w:val="21"/>
                <w:highlight w:val="none"/>
              </w:rPr>
            </w:pPr>
            <w:r>
              <w:rPr>
                <w:rFonts w:hint="eastAsia" w:ascii="宋体" w:hAnsi="宋体" w:eastAsia="宋体" w:cs="宋体"/>
                <w:color w:val="auto"/>
                <w:szCs w:val="21"/>
                <w:highlight w:val="none"/>
              </w:rPr>
              <w:t>注：如联合体投标的，施工诚信综合评价得分以投标人主办方为准。</w:t>
            </w:r>
          </w:p>
        </w:tc>
      </w:tr>
    </w:tbl>
    <w:p>
      <w:pPr>
        <w:pStyle w:val="4"/>
        <w:shd w:val="clear"/>
        <w:adjustRightInd w:val="0"/>
        <w:snapToGrid w:val="0"/>
        <w:spacing w:before="0" w:after="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pPr>
        <w:pStyle w:val="4"/>
        <w:shd w:val="clear"/>
        <w:adjustRightInd w:val="0"/>
        <w:snapToGrid w:val="0"/>
        <w:spacing w:before="0" w:after="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（1）如获得的奖项由相关协会（学会）颁发的，还须提供该协会（学会）在“中国社会组织政务服务平台”（网址：https://chinanpo.mca.gov.cn/）有登记的网页查询截图，证明其有登记备案，否则不得分。</w:t>
      </w:r>
    </w:p>
    <w:p>
      <w:pPr>
        <w:pStyle w:val="4"/>
        <w:shd w:val="clear"/>
        <w:adjustRightInd w:val="0"/>
        <w:snapToGrid w:val="0"/>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lang w:val="en-US" w:eastAsia="zh-CN"/>
        </w:rPr>
        <w:t>（2）未按要求提供证明资料的，或者所提供的资料无法体现评分标准所要求的信息的，不得分。</w:t>
      </w:r>
      <w:r>
        <w:rPr>
          <w:rFonts w:hint="eastAsia" w:ascii="宋体" w:hAnsi="宋体" w:eastAsia="宋体" w:cs="宋体"/>
          <w:color w:val="auto"/>
          <w:sz w:val="21"/>
          <w:szCs w:val="21"/>
          <w:highlight w:val="none"/>
        </w:rPr>
        <w:br w:type="page"/>
      </w:r>
      <w:r>
        <w:rPr>
          <w:rFonts w:hint="eastAsia" w:ascii="宋体" w:hAnsi="宋体" w:eastAsia="宋体" w:cs="宋体"/>
          <w:color w:val="auto"/>
          <w:sz w:val="24"/>
          <w:szCs w:val="24"/>
          <w:highlight w:val="none"/>
        </w:rPr>
        <w:t>1. 评标方法</w:t>
      </w:r>
    </w:p>
    <w:p>
      <w:pPr>
        <w:shd w:val="clea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w:t>
      </w:r>
    </w:p>
    <w:p>
      <w:pPr>
        <w:pStyle w:val="4"/>
        <w:shd w:val="clear"/>
        <w:adjustRightInd w:val="0"/>
        <w:snapToGrid w:val="0"/>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评审标准</w:t>
      </w:r>
    </w:p>
    <w:p>
      <w:pPr>
        <w:pStyle w:val="5"/>
        <w:shd w:val="clear"/>
        <w:adjustRightInd w:val="0"/>
        <w:snapToGrid w:val="0"/>
        <w:spacing w:before="0" w:after="0" w:line="360" w:lineRule="auto"/>
        <w:ind w:firstLine="118"/>
        <w:rPr>
          <w:rFonts w:hint="eastAsia" w:ascii="宋体" w:eastAsia="宋体" w:cs="宋体"/>
          <w:color w:val="auto"/>
          <w:sz w:val="24"/>
          <w:szCs w:val="24"/>
          <w:highlight w:val="none"/>
        </w:rPr>
      </w:pPr>
      <w:r>
        <w:rPr>
          <w:rFonts w:hint="eastAsia" w:ascii="宋体" w:eastAsia="宋体" w:cs="宋体"/>
          <w:color w:val="auto"/>
          <w:sz w:val="24"/>
          <w:szCs w:val="24"/>
          <w:highlight w:val="none"/>
        </w:rPr>
        <w:t>2.1初步评审标准</w:t>
      </w:r>
    </w:p>
    <w:p>
      <w:pPr>
        <w:shd w:val="clea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2.1.1 形式评审标准：见评标办法前附表。</w:t>
      </w:r>
    </w:p>
    <w:p>
      <w:pPr>
        <w:shd w:val="clea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2.1.2 资格评审标准：见评标办法前附表。</w:t>
      </w:r>
    </w:p>
    <w:p>
      <w:pPr>
        <w:shd w:val="clea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2.1.3 响应性评审标准：见评标办法前附表。</w:t>
      </w:r>
    </w:p>
    <w:p>
      <w:pPr>
        <w:pStyle w:val="5"/>
        <w:shd w:val="clear"/>
        <w:adjustRightInd w:val="0"/>
        <w:snapToGrid w:val="0"/>
        <w:spacing w:before="0" w:after="0" w:line="360" w:lineRule="auto"/>
        <w:ind w:firstLine="118"/>
        <w:rPr>
          <w:rFonts w:hint="eastAsia" w:ascii="宋体" w:eastAsia="宋体" w:cs="宋体"/>
          <w:color w:val="auto"/>
          <w:sz w:val="24"/>
          <w:szCs w:val="24"/>
          <w:highlight w:val="none"/>
        </w:rPr>
      </w:pPr>
      <w:r>
        <w:rPr>
          <w:rFonts w:hint="eastAsia" w:ascii="宋体" w:eastAsia="宋体" w:cs="宋体"/>
          <w:color w:val="auto"/>
          <w:sz w:val="24"/>
          <w:szCs w:val="24"/>
          <w:highlight w:val="none"/>
        </w:rPr>
        <w:t>2.2 分值构成与评分标准</w:t>
      </w:r>
    </w:p>
    <w:p>
      <w:pPr>
        <w:shd w:val="clear"/>
        <w:adjustRightInd w:val="0"/>
        <w:snapToGrid w:val="0"/>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2.2.1 分值构成</w:t>
      </w:r>
    </w:p>
    <w:p>
      <w:pPr>
        <w:shd w:val="clear"/>
        <w:adjustRightInd w:val="0"/>
        <w:snapToGrid w:val="0"/>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（1）工程总承包实施方案：见评标办法前附表；</w:t>
      </w:r>
    </w:p>
    <w:p>
      <w:pPr>
        <w:shd w:val="clear"/>
        <w:adjustRightInd w:val="0"/>
        <w:snapToGrid w:val="0"/>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（2）投标报价：见评标办法前附表；</w:t>
      </w:r>
    </w:p>
    <w:p>
      <w:pPr>
        <w:shd w:val="clear"/>
        <w:adjustRightInd w:val="0"/>
        <w:snapToGrid w:val="0"/>
        <w:spacing w:line="360" w:lineRule="auto"/>
        <w:ind w:firstLine="480" w:firstLineChars="200"/>
        <w:rPr>
          <w:rFonts w:hint="eastAsia" w:ascii="宋体" w:hAnsi="宋体" w:cs="宋体"/>
          <w:strike w:val="0"/>
          <w:color w:val="auto"/>
          <w:sz w:val="24"/>
          <w:szCs w:val="24"/>
          <w:highlight w:val="none"/>
        </w:rPr>
      </w:pPr>
      <w:r>
        <w:rPr>
          <w:rFonts w:hint="eastAsia" w:ascii="宋体" w:hAnsi="宋体" w:cs="宋体"/>
          <w:strike w:val="0"/>
          <w:color w:val="auto"/>
          <w:sz w:val="24"/>
          <w:szCs w:val="24"/>
          <w:highlight w:val="none"/>
        </w:rPr>
        <w:t>（3）施工诚信综合评价：见评标办法前附表。</w:t>
      </w:r>
    </w:p>
    <w:p>
      <w:pPr>
        <w:shd w:val="clea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2.2.2 评标基准价计算</w:t>
      </w:r>
    </w:p>
    <w:p>
      <w:pPr>
        <w:shd w:val="clea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评标基准价计算方法：见评标办法前附表。</w:t>
      </w:r>
    </w:p>
    <w:p>
      <w:pPr>
        <w:shd w:val="clea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2.2.3 投标报价的偏差率计算</w:t>
      </w:r>
    </w:p>
    <w:p>
      <w:pPr>
        <w:shd w:val="clea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投标报价的偏差率计算公式：见评标办法前附表。</w:t>
      </w:r>
    </w:p>
    <w:p>
      <w:pPr>
        <w:shd w:val="clear"/>
        <w:adjustRightInd w:val="0"/>
        <w:snapToGrid w:val="0"/>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2.2.4 评分标准</w:t>
      </w:r>
    </w:p>
    <w:p>
      <w:pPr>
        <w:shd w:val="clear"/>
        <w:adjustRightInd w:val="0"/>
        <w:snapToGrid w:val="0"/>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（1）工程总承包实施方案评分标准：见评标办法前附表；</w:t>
      </w:r>
    </w:p>
    <w:p>
      <w:pPr>
        <w:shd w:val="clear"/>
        <w:adjustRightInd w:val="0"/>
        <w:snapToGrid w:val="0"/>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（2）投标报价评分标准：见评标办法前附表。</w:t>
      </w:r>
    </w:p>
    <w:p>
      <w:pPr>
        <w:shd w:val="clear"/>
        <w:adjustRightInd w:val="0"/>
        <w:snapToGrid w:val="0"/>
        <w:spacing w:line="360" w:lineRule="auto"/>
        <w:ind w:firstLine="480" w:firstLineChars="200"/>
        <w:rPr>
          <w:rFonts w:hint="eastAsia" w:ascii="宋体" w:hAnsi="宋体" w:cs="宋体"/>
          <w:strike w:val="0"/>
          <w:color w:val="auto"/>
          <w:sz w:val="24"/>
          <w:szCs w:val="24"/>
          <w:highlight w:val="none"/>
        </w:rPr>
      </w:pPr>
      <w:r>
        <w:rPr>
          <w:rFonts w:hint="eastAsia" w:ascii="宋体" w:hAnsi="宋体" w:cs="宋体"/>
          <w:strike w:val="0"/>
          <w:color w:val="auto"/>
          <w:sz w:val="24"/>
          <w:szCs w:val="24"/>
          <w:highlight w:val="none"/>
        </w:rPr>
        <w:t>（3）施工诚信综合评价评分标准：见评标办法前附表。</w:t>
      </w:r>
    </w:p>
    <w:p>
      <w:pPr>
        <w:pStyle w:val="4"/>
        <w:shd w:val="clear"/>
        <w:adjustRightInd w:val="0"/>
        <w:snapToGrid w:val="0"/>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评标程序</w:t>
      </w:r>
    </w:p>
    <w:p>
      <w:pPr>
        <w:shd w:val="clear"/>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本项目采取电子评标。评标由招标人依法组建的评标委员会负责。</w:t>
      </w:r>
    </w:p>
    <w:p>
      <w:pPr>
        <w:pStyle w:val="5"/>
        <w:shd w:val="clear"/>
        <w:adjustRightInd w:val="0"/>
        <w:snapToGrid w:val="0"/>
        <w:spacing w:before="0" w:after="0" w:line="360" w:lineRule="auto"/>
        <w:ind w:firstLine="118"/>
        <w:rPr>
          <w:rFonts w:hint="eastAsia" w:ascii="宋体" w:eastAsia="宋体" w:cs="宋体"/>
          <w:b/>
          <w:bCs w:val="0"/>
          <w:color w:val="auto"/>
          <w:sz w:val="24"/>
          <w:szCs w:val="24"/>
          <w:highlight w:val="none"/>
        </w:rPr>
      </w:pPr>
      <w:r>
        <w:rPr>
          <w:rFonts w:hint="eastAsia" w:ascii="宋体" w:eastAsia="宋体" w:cs="宋体"/>
          <w:b/>
          <w:bCs w:val="0"/>
          <w:color w:val="auto"/>
          <w:sz w:val="24"/>
          <w:szCs w:val="24"/>
          <w:highlight w:val="none"/>
        </w:rPr>
        <w:t>3.1初步评审</w:t>
      </w:r>
    </w:p>
    <w:p>
      <w:pPr>
        <w:shd w:val="clea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3.1.1 形式审查中全部符合形式评审标准（详见前附表）中规定情形的，为形式审查合格。否则为形式审查不合格，经评标委员会评委共同认定后，其投标文件将被拒绝。如评标委员会成员的评审意见不一致时，以评标委员会过半数成员的意见作为评标委员会对该情形的认定结论。评委发现投标文件中含义不明确、对同类问题表述不一致、有明显文字和计算错误的，应当要求投标人作必要的澄清、说明后再判定投标人是否通过有效性审查，不得直接否决投标。</w:t>
      </w:r>
    </w:p>
    <w:p>
      <w:pPr>
        <w:shd w:val="clea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3.1.2汇总形式审查情况，只有通过形式审查的投标人方可进入下一阶段的评审。形式审查合格的投标人少于3名的，则本项目招标失败。</w:t>
      </w:r>
    </w:p>
    <w:p>
      <w:pPr>
        <w:shd w:val="clea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3.1.3评标委员会评委对所有通过形式审查的投标人进行资格审查。资格审查文件中全部符合资格评审标准（详见前附表）中规定情形的，为资格审查合格。否则为资格审查不合格，经评标委员会评委共同认定后，其投标将被拒绝。如评标委员会成员的评审意见不一致时，以评标委员会过半数成员的意见作为评标委员会对该情形的认定结论。只有通过资格审查的投标人方可进入下一阶段的评审。评委发现资格审查文件中含义不明确、对同类问题表述不一致、有明显文字和计算错误的，应当要求投标人作必要的澄清、说明后再判定投标人是否通过资格审查，不得直接认定其不通过资格审查。</w:t>
      </w:r>
    </w:p>
    <w:p>
      <w:pPr>
        <w:shd w:val="clea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3.1.4汇总资格审查情况，编写资格审查报告。资格审查合格的投标人少于3名的，则本项目招标失败。</w:t>
      </w:r>
    </w:p>
    <w:p>
      <w:pPr>
        <w:shd w:val="clea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3.1.5资格审查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pPr>
        <w:shd w:val="clear"/>
        <w:adjustRightInd w:val="0"/>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特别声明：资审合格后，投标人的资格发生变化而不满足投标人合格条件，在发出中标通知书前，资格问题仍未解决的，招标人将取消其中标资格。</w:t>
      </w:r>
    </w:p>
    <w:p>
      <w:pPr>
        <w:shd w:val="clea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3.1.6通过资格审查的投标文件中全部符合响应性评审标准（详见前附表）中情形的，为有效标书。否则为无效标书，经评标委员会评委共同认定后，其投标文件将被拒绝。如评标委员会成员的评审意见不一致时，以评标委员会过半数成员的意见作为评标委员会对该情形的认定结论。评委发现投标文件中含义不明确、对同类问题表述不一致、有明显文字和计算错误的，应当要求投标人作必要的澄清、说明后再判定投标人是否通过有效性审查，不得直接否决投标。响应性审查合格的投标人少于3名的，则本项目招标失败。</w:t>
      </w:r>
    </w:p>
    <w:p>
      <w:pPr>
        <w:pStyle w:val="5"/>
        <w:shd w:val="clear"/>
        <w:adjustRightInd w:val="0"/>
        <w:snapToGrid w:val="0"/>
        <w:spacing w:before="0" w:after="0" w:line="360" w:lineRule="auto"/>
        <w:ind w:firstLine="118"/>
        <w:rPr>
          <w:rFonts w:hint="eastAsia" w:ascii="宋体" w:eastAsia="宋体" w:cs="宋体"/>
          <w:b/>
          <w:bCs w:val="0"/>
          <w:color w:val="auto"/>
          <w:sz w:val="24"/>
          <w:szCs w:val="24"/>
          <w:highlight w:val="none"/>
        </w:rPr>
      </w:pPr>
      <w:r>
        <w:rPr>
          <w:rFonts w:hint="eastAsia" w:ascii="宋体" w:eastAsia="宋体" w:cs="宋体"/>
          <w:b/>
          <w:bCs w:val="0"/>
          <w:color w:val="auto"/>
          <w:sz w:val="24"/>
          <w:szCs w:val="24"/>
          <w:highlight w:val="none"/>
        </w:rPr>
        <w:t>3.2工程总承包实施方案评审</w:t>
      </w:r>
    </w:p>
    <w:p>
      <w:pPr>
        <w:shd w:val="clea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3.2.1工程总承包实施方案详细审查：评委按照工程总承包实施方案评分标准（详见前附表），对通过响应性审查的投标文件进行详细审查评分。</w:t>
      </w:r>
    </w:p>
    <w:p>
      <w:pPr>
        <w:shd w:val="clea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3.2.2各评委的评分汇总后的算术平均值为投标人的工程总承包实施方案得分，分数出现小数点，保留小数点后二位，第三位小数四舍五入。</w:t>
      </w:r>
    </w:p>
    <w:p>
      <w:pPr>
        <w:pStyle w:val="5"/>
        <w:shd w:val="clear"/>
        <w:adjustRightInd w:val="0"/>
        <w:snapToGrid w:val="0"/>
        <w:spacing w:before="0" w:after="0" w:line="360" w:lineRule="auto"/>
        <w:ind w:firstLine="118"/>
        <w:rPr>
          <w:rFonts w:hint="eastAsia" w:ascii="宋体" w:eastAsia="宋体" w:cs="宋体"/>
          <w:b/>
          <w:bCs w:val="0"/>
          <w:color w:val="auto"/>
          <w:sz w:val="24"/>
          <w:szCs w:val="24"/>
          <w:highlight w:val="none"/>
        </w:rPr>
      </w:pPr>
      <w:r>
        <w:rPr>
          <w:rFonts w:hint="eastAsia" w:ascii="宋体" w:eastAsia="宋体" w:cs="宋体"/>
          <w:b/>
          <w:bCs w:val="0"/>
          <w:color w:val="auto"/>
          <w:sz w:val="24"/>
          <w:szCs w:val="24"/>
          <w:highlight w:val="none"/>
        </w:rPr>
        <w:t>3.3投标报价评审</w:t>
      </w:r>
    </w:p>
    <w:p>
      <w:pPr>
        <w:shd w:val="clea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3.3.1投标报价的算术校核。评标委员会对通过形式评审、资格评审和响应性审查的投标文件的投标报进行算术校核，具体标准如下：</w:t>
      </w:r>
    </w:p>
    <w:p>
      <w:pPr>
        <w:shd w:val="clear"/>
        <w:adjustRightInd w:val="0"/>
        <w:snapToGrid w:val="0"/>
        <w:spacing w:line="360" w:lineRule="auto"/>
        <w:ind w:firstLine="480" w:firstLineChars="200"/>
        <w:rPr>
          <w:rFonts w:hint="eastAsia" w:ascii="宋体" w:hAnsi="宋体" w:cs="宋体"/>
          <w:color w:val="auto"/>
          <w:sz w:val="24"/>
          <w:szCs w:val="24"/>
          <w:highlight w:val="none"/>
        </w:rPr>
      </w:pPr>
      <w:bookmarkStart w:id="751" w:name="_Toc152042383"/>
      <w:r>
        <w:rPr>
          <w:rFonts w:hint="eastAsia" w:ascii="宋体" w:hAnsi="宋体" w:cs="宋体"/>
          <w:color w:val="auto"/>
          <w:sz w:val="24"/>
          <w:szCs w:val="24"/>
          <w:highlight w:val="none"/>
        </w:rPr>
        <w:t>（1）投标文件中的大写金额与小写金额不一致的，以大写金额为准；</w:t>
      </w:r>
      <w:bookmarkEnd w:id="751"/>
    </w:p>
    <w:p>
      <w:pPr>
        <w:shd w:val="clear"/>
        <w:adjustRightInd w:val="0"/>
        <w:snapToGrid w:val="0"/>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如果（1-下浮率）与最高投标限价乘积不等于投标报价时，以下浮率为准修正投标报价（下浮率有明显的数量级错误的除外，此时应修正下浮率），若修正后的投标报价超过最高投标限价的，作否决投标处理；</w:t>
      </w:r>
    </w:p>
    <w:p>
      <w:pPr>
        <w:shd w:val="clear"/>
        <w:adjustRightInd w:val="0"/>
        <w:snapToGrid w:val="0"/>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（3）如果分项报价累加不等总价的，以分项报价累加为准，修正总价；</w:t>
      </w:r>
    </w:p>
    <w:p>
      <w:pPr>
        <w:shd w:val="clear"/>
        <w:adjustRightInd w:val="0"/>
        <w:snapToGrid w:val="0"/>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（4）投标文件存在其他计算性错误的，按就低不就高计算并修正；</w:t>
      </w:r>
    </w:p>
    <w:p>
      <w:pPr>
        <w:shd w:val="clear"/>
        <w:adjustRightInd w:val="0"/>
        <w:snapToGrid w:val="0"/>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（5）按上述修正错误的原则及方法调整或修正投标文件的投标报价，调整后的投标报价对投标人起约束作用。如果投标人不接受修正后的报价，则取消其投标资格或中标资格。</w:t>
      </w:r>
    </w:p>
    <w:p>
      <w:pPr>
        <w:shd w:val="clea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3.3.2投标报价评分</w:t>
      </w:r>
    </w:p>
    <w:p>
      <w:pPr>
        <w:shd w:val="clea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评标委员会评委按照投标报价评分标准（详见前附表）计算投标报价得分。</w:t>
      </w:r>
    </w:p>
    <w:p>
      <w:pPr>
        <w:pStyle w:val="5"/>
        <w:shd w:val="clear"/>
        <w:adjustRightInd w:val="0"/>
        <w:snapToGrid w:val="0"/>
        <w:spacing w:before="0" w:after="0" w:line="360" w:lineRule="auto"/>
        <w:ind w:firstLine="118"/>
        <w:rPr>
          <w:rFonts w:hint="eastAsia" w:ascii="宋体" w:eastAsia="宋体" w:cs="宋体"/>
          <w:b/>
          <w:bCs w:val="0"/>
          <w:color w:val="auto"/>
          <w:sz w:val="24"/>
          <w:szCs w:val="24"/>
          <w:highlight w:val="none"/>
        </w:rPr>
      </w:pPr>
      <w:r>
        <w:rPr>
          <w:rFonts w:hint="eastAsia" w:ascii="宋体" w:eastAsia="宋体" w:cs="宋体"/>
          <w:b/>
          <w:bCs w:val="0"/>
          <w:color w:val="auto"/>
          <w:sz w:val="24"/>
          <w:szCs w:val="24"/>
          <w:highlight w:val="none"/>
        </w:rPr>
        <w:t>3.4评审汇总</w:t>
      </w:r>
    </w:p>
    <w:p>
      <w:pPr>
        <w:shd w:val="clea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3.4.1投标人总得分满分为100分，各部分分值分配详见评标办法前附表。</w:t>
      </w:r>
    </w:p>
    <w:p>
      <w:pPr>
        <w:shd w:val="clea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3.4.2汇总各有效投标文件的总分，并按照总分从高到低排列先后次序，只有通过形式审查、资格审查和响应性审查的投标文件方可计算总分。总得分相同的投标文件，以工程总承包实施方案得分较高的排前；总分与工程总承包实施方案得分均相同的投标文件，以投标总报价较低的排前；如仍存在相同情况，则对具有相同情况的投标人，按中标候选人数量规定，则由评标委员会采用记名投票以得票多优先，确定中标候选人的排序。评标委员会应按排序先后，向招标人推荐前3名投标人依次为第一中标候选人至第三中标候选人，并编写评标报告。</w:t>
      </w:r>
    </w:p>
    <w:p>
      <w:pPr>
        <w:shd w:val="clea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3.4.3有效投标单位不足三家，应当依法重新组织招标。</w:t>
      </w:r>
    </w:p>
    <w:p>
      <w:pPr>
        <w:pStyle w:val="5"/>
        <w:shd w:val="clear"/>
        <w:adjustRightInd w:val="0"/>
        <w:snapToGrid w:val="0"/>
        <w:spacing w:before="0" w:after="0" w:line="360" w:lineRule="auto"/>
        <w:ind w:firstLine="118"/>
        <w:rPr>
          <w:rFonts w:hint="eastAsia" w:ascii="宋体" w:eastAsia="宋体" w:cs="宋体"/>
          <w:b/>
          <w:bCs w:val="0"/>
          <w:color w:val="auto"/>
          <w:sz w:val="24"/>
          <w:szCs w:val="24"/>
          <w:highlight w:val="none"/>
        </w:rPr>
      </w:pPr>
      <w:r>
        <w:rPr>
          <w:rFonts w:hint="eastAsia" w:ascii="宋体" w:eastAsia="宋体" w:cs="宋体"/>
          <w:b/>
          <w:bCs w:val="0"/>
          <w:color w:val="auto"/>
          <w:sz w:val="24"/>
          <w:szCs w:val="24"/>
          <w:highlight w:val="none"/>
        </w:rPr>
        <w:t>3.5投标文件的澄清和补正</w:t>
      </w:r>
    </w:p>
    <w:p>
      <w:pPr>
        <w:shd w:val="clea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3.5.1为有助于投标文件的审查、评价和比较，评标期间，经评标委员会中两人以上（含两人）的成员以书面形式提出动议，评标委员会应当书面发出澄清通知，要求投标人对投标文件含义不明确的内容作出澄清。</w:t>
      </w:r>
    </w:p>
    <w:p>
      <w:pPr>
        <w:shd w:val="clea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pPr>
        <w:shd w:val="clea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3.5.3 评标委员会成员均应当阅读投标人的澄清，但应独立参考澄清对投标文件进行评审。</w:t>
      </w:r>
    </w:p>
    <w:p>
      <w:pPr>
        <w:shd w:val="clea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3.5.4如果投标文件实质上不响应招标文件的各项要求，评标委员会相应评审将按照响应性审查标准予以拒绝，不接受投标人通过修改或撤销其不符合要求的差异或保留，使之成为具有响应性的投标。</w:t>
      </w:r>
    </w:p>
    <w:p>
      <w:pPr>
        <w:pStyle w:val="5"/>
        <w:shd w:val="clear"/>
        <w:adjustRightInd w:val="0"/>
        <w:snapToGrid w:val="0"/>
        <w:spacing w:before="0" w:after="0" w:line="360" w:lineRule="auto"/>
        <w:ind w:firstLine="118"/>
        <w:rPr>
          <w:rFonts w:hint="eastAsia" w:ascii="宋体" w:eastAsia="宋体" w:cs="宋体"/>
          <w:b/>
          <w:bCs w:val="0"/>
          <w:color w:val="auto"/>
          <w:sz w:val="24"/>
          <w:szCs w:val="24"/>
          <w:highlight w:val="none"/>
        </w:rPr>
      </w:pPr>
      <w:r>
        <w:rPr>
          <w:rFonts w:hint="eastAsia" w:ascii="宋体" w:eastAsia="宋体" w:cs="宋体"/>
          <w:b/>
          <w:bCs w:val="0"/>
          <w:color w:val="auto"/>
          <w:sz w:val="24"/>
          <w:szCs w:val="24"/>
          <w:highlight w:val="none"/>
        </w:rPr>
        <w:t>3.6评标结果</w:t>
      </w:r>
    </w:p>
    <w:p>
      <w:pPr>
        <w:shd w:val="clea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3.6.1 除第二章“投标人须知”前附表授权直接确定中标人外，评标委员会按照得分由高到低的顺序推荐中标候选人。</w:t>
      </w:r>
    </w:p>
    <w:p>
      <w:pPr>
        <w:shd w:val="clea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3.6.2 评标委员会完成评标后，应当向招标人提交书面评标报告。</w:t>
      </w:r>
    </w:p>
    <w:p>
      <w:pPr>
        <w:shd w:val="clea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3.6.3投标人如在本项目中存在串通投标、弄虚作假、行贿情形且在评标过程中未被发现的，其投标不改变本项目评标结果排序。招标人按照《中华人民共和国招标投标法实施条例》第五十五条的规定确定中标人或重新招标。</w:t>
      </w:r>
    </w:p>
    <w:bookmarkEnd w:id="742"/>
    <w:bookmarkEnd w:id="743"/>
    <w:bookmarkEnd w:id="744"/>
    <w:bookmarkEnd w:id="745"/>
    <w:bookmarkEnd w:id="746"/>
    <w:bookmarkEnd w:id="747"/>
    <w:bookmarkEnd w:id="748"/>
    <w:bookmarkEnd w:id="749"/>
    <w:bookmarkEnd w:id="750"/>
    <w:p>
      <w:pPr>
        <w:pStyle w:val="4"/>
        <w:shd w:val="clear"/>
        <w:adjustRightInd w:val="0"/>
        <w:snapToGrid w:val="0"/>
        <w:spacing w:line="360" w:lineRule="auto"/>
        <w:rPr>
          <w:rFonts w:hint="eastAsia" w:ascii="宋体" w:hAnsi="宋体" w:eastAsia="宋体" w:cs="宋体"/>
          <w:color w:val="auto"/>
          <w:sz w:val="24"/>
          <w:szCs w:val="24"/>
          <w:highlight w:val="none"/>
        </w:rPr>
        <w:sectPr>
          <w:footerReference r:id="rId8" w:type="default"/>
          <w:pgSz w:w="11906" w:h="16838"/>
          <w:pgMar w:top="1440" w:right="1797" w:bottom="1440" w:left="1797" w:header="851" w:footer="992" w:gutter="0"/>
          <w:pgNumType w:fmt="decimal"/>
          <w:cols w:space="720" w:num="1"/>
          <w:docGrid w:linePitch="312" w:charSpace="0"/>
        </w:sectPr>
      </w:pPr>
    </w:p>
    <w:p>
      <w:pPr>
        <w:pStyle w:val="3"/>
        <w:shd w:val="clear"/>
        <w:jc w:val="center"/>
        <w:rPr>
          <w:rFonts w:hint="eastAsia" w:ascii="宋体" w:hAnsi="宋体" w:cs="宋体"/>
          <w:color w:val="auto"/>
          <w:highlight w:val="none"/>
        </w:rPr>
      </w:pPr>
      <w:bookmarkStart w:id="752" w:name="_Toc152045609"/>
      <w:bookmarkStart w:id="753" w:name="_Toc247527634"/>
      <w:bookmarkStart w:id="754" w:name="_Toc152042387"/>
      <w:bookmarkStart w:id="755" w:name="_Toc247514033"/>
      <w:bookmarkStart w:id="756" w:name="_Toc144974577"/>
      <w:bookmarkStart w:id="757" w:name="_Toc65361712"/>
      <w:bookmarkStart w:id="758" w:name="_Toc516265985"/>
      <w:bookmarkStart w:id="759" w:name="_Toc515980198"/>
    </w:p>
    <w:p>
      <w:pPr>
        <w:pStyle w:val="3"/>
        <w:shd w:val="clear"/>
        <w:jc w:val="center"/>
        <w:rPr>
          <w:rFonts w:hint="eastAsia" w:ascii="宋体" w:hAnsi="宋体" w:cs="宋体"/>
          <w:color w:val="auto"/>
          <w:highlight w:val="none"/>
        </w:rPr>
      </w:pPr>
    </w:p>
    <w:p>
      <w:pPr>
        <w:pStyle w:val="3"/>
        <w:shd w:val="clear"/>
        <w:jc w:val="center"/>
        <w:rPr>
          <w:rFonts w:hint="eastAsia" w:ascii="宋体" w:hAnsi="宋体" w:cs="宋体"/>
          <w:color w:val="auto"/>
          <w:highlight w:val="none"/>
        </w:rPr>
      </w:pPr>
    </w:p>
    <w:p>
      <w:pPr>
        <w:pStyle w:val="3"/>
        <w:shd w:val="clear"/>
        <w:jc w:val="center"/>
        <w:rPr>
          <w:rFonts w:hint="eastAsia" w:ascii="宋体" w:hAnsi="宋体" w:cs="宋体"/>
          <w:color w:val="auto"/>
          <w:highlight w:val="none"/>
        </w:rPr>
      </w:pPr>
      <w:r>
        <w:rPr>
          <w:rFonts w:hint="eastAsia" w:ascii="宋体" w:hAnsi="宋体" w:cs="宋体"/>
          <w:color w:val="auto"/>
          <w:highlight w:val="none"/>
        </w:rPr>
        <w:t>第四章 合同条款</w:t>
      </w:r>
      <w:bookmarkEnd w:id="752"/>
      <w:bookmarkEnd w:id="753"/>
      <w:bookmarkEnd w:id="754"/>
      <w:bookmarkEnd w:id="755"/>
      <w:bookmarkEnd w:id="756"/>
      <w:bookmarkStart w:id="760" w:name="_Toc247514034"/>
      <w:bookmarkStart w:id="761" w:name="_Toc152045610"/>
      <w:bookmarkStart w:id="762" w:name="_Toc144974578"/>
      <w:bookmarkStart w:id="763" w:name="_Toc184635097"/>
      <w:bookmarkStart w:id="764" w:name="_Toc247527635"/>
      <w:bookmarkStart w:id="765" w:name="_Toc152042388"/>
      <w:r>
        <w:rPr>
          <w:rFonts w:hint="eastAsia" w:ascii="宋体" w:hAnsi="宋体" w:cs="宋体"/>
          <w:color w:val="auto"/>
          <w:highlight w:val="none"/>
        </w:rPr>
        <w:t>及格式</w:t>
      </w:r>
      <w:bookmarkEnd w:id="757"/>
      <w:r>
        <w:rPr>
          <w:rFonts w:hint="eastAsia" w:ascii="宋体" w:hAnsi="宋体" w:cs="宋体"/>
          <w:color w:val="auto"/>
          <w:highlight w:val="none"/>
        </w:rPr>
        <w:t>（另册）</w:t>
      </w:r>
    </w:p>
    <w:bookmarkEnd w:id="758"/>
    <w:bookmarkEnd w:id="759"/>
    <w:p>
      <w:pPr>
        <w:pStyle w:val="20"/>
        <w:shd w:val="clear"/>
        <w:spacing w:before="0" w:after="0" w:line="360" w:lineRule="auto"/>
        <w:ind w:left="0" w:right="0"/>
        <w:jc w:val="both"/>
        <w:rPr>
          <w:rFonts w:hint="eastAsia" w:ascii="宋体" w:hAnsi="宋体" w:cs="宋体"/>
          <w:b/>
          <w:color w:val="auto"/>
          <w:sz w:val="48"/>
          <w:szCs w:val="44"/>
          <w:highlight w:val="none"/>
        </w:rPr>
      </w:pPr>
      <w:bookmarkStart w:id="766" w:name="_Toc360623050"/>
      <w:bookmarkEnd w:id="766"/>
      <w:bookmarkStart w:id="767" w:name="_Toc316739202"/>
      <w:bookmarkEnd w:id="767"/>
      <w:bookmarkStart w:id="768" w:name="_Toc152045769"/>
      <w:bookmarkEnd w:id="768"/>
      <w:bookmarkStart w:id="769" w:name="_Toc152042389"/>
      <w:bookmarkEnd w:id="769"/>
      <w:bookmarkStart w:id="770" w:name="_Toc223227721"/>
      <w:bookmarkEnd w:id="770"/>
      <w:bookmarkStart w:id="771" w:name="_Toc223227728"/>
      <w:bookmarkEnd w:id="771"/>
      <w:bookmarkStart w:id="772" w:name="_Toc179632629"/>
      <w:bookmarkEnd w:id="772"/>
      <w:bookmarkStart w:id="773" w:name="_Toc152045611"/>
      <w:bookmarkEnd w:id="773"/>
      <w:bookmarkStart w:id="774" w:name="_Toc316739197"/>
      <w:bookmarkEnd w:id="774"/>
      <w:bookmarkStart w:id="775" w:name="_Toc426741334"/>
      <w:bookmarkEnd w:id="775"/>
      <w:bookmarkStart w:id="776" w:name="_Toc447930924"/>
      <w:bookmarkEnd w:id="776"/>
      <w:bookmarkStart w:id="777" w:name="_Toc247514200"/>
      <w:bookmarkEnd w:id="777"/>
      <w:bookmarkStart w:id="778" w:name="_Toc447930944"/>
      <w:bookmarkEnd w:id="778"/>
      <w:bookmarkStart w:id="779" w:name="_Toc247527801"/>
      <w:bookmarkEnd w:id="779"/>
      <w:bookmarkStart w:id="780" w:name="_Toc152042551"/>
      <w:bookmarkEnd w:id="780"/>
      <w:bookmarkStart w:id="781" w:name="_Toc447930981"/>
      <w:bookmarkEnd w:id="781"/>
      <w:bookmarkStart w:id="782" w:name="_Toc447930947"/>
      <w:bookmarkEnd w:id="782"/>
      <w:bookmarkStart w:id="783" w:name="_Toc316739199"/>
      <w:bookmarkEnd w:id="783"/>
      <w:bookmarkStart w:id="784" w:name="_Toc316739200"/>
      <w:bookmarkEnd w:id="784"/>
      <w:bookmarkStart w:id="785" w:name="_Toc447930923"/>
      <w:bookmarkEnd w:id="785"/>
      <w:bookmarkStart w:id="786" w:name="_Toc223227706"/>
      <w:bookmarkEnd w:id="786"/>
      <w:bookmarkStart w:id="787" w:name="_Toc447930977"/>
      <w:bookmarkEnd w:id="787"/>
      <w:bookmarkStart w:id="788" w:name="_Toc223227718"/>
      <w:bookmarkEnd w:id="788"/>
      <w:bookmarkStart w:id="789" w:name="_Toc222814416"/>
      <w:bookmarkEnd w:id="789"/>
      <w:bookmarkStart w:id="790" w:name="_Toc360623646"/>
      <w:bookmarkEnd w:id="790"/>
      <w:bookmarkStart w:id="791" w:name="_Toc447930943"/>
      <w:bookmarkEnd w:id="791"/>
      <w:bookmarkStart w:id="792" w:name="_Toc222814417"/>
      <w:bookmarkEnd w:id="792"/>
      <w:bookmarkStart w:id="793" w:name="_Toc222814418"/>
      <w:bookmarkEnd w:id="793"/>
      <w:bookmarkStart w:id="794" w:name="_Toc223227719"/>
      <w:bookmarkEnd w:id="794"/>
      <w:bookmarkStart w:id="795" w:name="_Toc223227720"/>
      <w:bookmarkEnd w:id="795"/>
      <w:bookmarkStart w:id="796" w:name="_Toc247514201"/>
      <w:bookmarkEnd w:id="796"/>
      <w:bookmarkStart w:id="797" w:name="_Toc378514062"/>
      <w:bookmarkEnd w:id="797"/>
      <w:bookmarkStart w:id="798" w:name="_Toc222798327"/>
      <w:bookmarkEnd w:id="798"/>
      <w:bookmarkStart w:id="799" w:name="_Toc360623059"/>
      <w:bookmarkEnd w:id="799"/>
      <w:bookmarkStart w:id="800" w:name="_Toc222798328"/>
      <w:bookmarkEnd w:id="800"/>
      <w:bookmarkStart w:id="801" w:name="_Toc144974833"/>
      <w:bookmarkEnd w:id="801"/>
      <w:bookmarkStart w:id="802" w:name="_Toc152042553"/>
      <w:bookmarkEnd w:id="802"/>
      <w:bookmarkStart w:id="803" w:name="_Toc222798329"/>
      <w:bookmarkEnd w:id="803"/>
      <w:bookmarkStart w:id="804" w:name="_Toc247527802"/>
      <w:bookmarkEnd w:id="804"/>
      <w:bookmarkStart w:id="805" w:name="_Toc222798326"/>
      <w:bookmarkEnd w:id="805"/>
      <w:bookmarkStart w:id="806" w:name="_Toc378514063"/>
      <w:bookmarkEnd w:id="806"/>
      <w:bookmarkStart w:id="807" w:name="_Toc360623637"/>
      <w:bookmarkEnd w:id="807"/>
      <w:bookmarkStart w:id="808" w:name="_Toc447805978"/>
      <w:bookmarkEnd w:id="808"/>
      <w:bookmarkStart w:id="809" w:name="_Toc447930926"/>
      <w:bookmarkEnd w:id="809"/>
      <w:bookmarkStart w:id="810" w:name="_Toc447930909"/>
      <w:bookmarkEnd w:id="810"/>
      <w:bookmarkStart w:id="811" w:name="_Toc360623647"/>
      <w:bookmarkEnd w:id="811"/>
      <w:bookmarkStart w:id="812" w:name="_Toc447930925"/>
      <w:bookmarkEnd w:id="812"/>
      <w:bookmarkStart w:id="813" w:name="_Toc152045771"/>
      <w:bookmarkEnd w:id="813"/>
      <w:bookmarkStart w:id="814" w:name="_Toc360623060"/>
      <w:bookmarkEnd w:id="814"/>
      <w:bookmarkStart w:id="815" w:name="_Toc316739201"/>
      <w:bookmarkEnd w:id="815"/>
      <w:bookmarkStart w:id="816" w:name="_Toc222814415"/>
      <w:bookmarkEnd w:id="816"/>
      <w:r>
        <w:rPr>
          <w:rFonts w:hint="eastAsia" w:ascii="宋体" w:hAnsi="宋体" w:cs="宋体"/>
          <w:color w:val="auto"/>
          <w:szCs w:val="24"/>
          <w:highlight w:val="none"/>
        </w:rPr>
        <w:br w:type="page"/>
      </w:r>
    </w:p>
    <w:p>
      <w:pPr>
        <w:pStyle w:val="20"/>
        <w:shd w:val="clear"/>
        <w:spacing w:before="0" w:after="0" w:line="360" w:lineRule="auto"/>
        <w:ind w:left="0" w:right="0"/>
        <w:jc w:val="center"/>
        <w:rPr>
          <w:rFonts w:hint="eastAsia" w:ascii="宋体" w:hAnsi="宋体" w:cs="宋体"/>
          <w:b/>
          <w:color w:val="auto"/>
          <w:sz w:val="48"/>
          <w:szCs w:val="44"/>
          <w:highlight w:val="none"/>
        </w:rPr>
      </w:pPr>
    </w:p>
    <w:p>
      <w:pPr>
        <w:pStyle w:val="3"/>
        <w:shd w:val="clear"/>
        <w:jc w:val="center"/>
        <w:rPr>
          <w:rFonts w:hint="eastAsia" w:ascii="宋体" w:hAnsi="宋体" w:cs="宋体"/>
          <w:color w:val="auto"/>
          <w:highlight w:val="none"/>
        </w:rPr>
      </w:pPr>
      <w:bookmarkStart w:id="817" w:name="_Toc65361956"/>
      <w:r>
        <w:rPr>
          <w:rFonts w:hint="eastAsia" w:ascii="宋体" w:hAnsi="宋体" w:cs="宋体"/>
          <w:color w:val="auto"/>
          <w:highlight w:val="none"/>
        </w:rPr>
        <w:t>第二卷</w:t>
      </w:r>
      <w:bookmarkEnd w:id="817"/>
    </w:p>
    <w:p>
      <w:pPr>
        <w:shd w:val="clear"/>
        <w:spacing w:line="400" w:lineRule="exact"/>
        <w:rPr>
          <w:rFonts w:hint="eastAsia" w:ascii="宋体" w:hAnsi="宋体" w:cs="宋体"/>
          <w:color w:val="auto"/>
          <w:szCs w:val="24"/>
          <w:highlight w:val="none"/>
        </w:rPr>
      </w:pPr>
    </w:p>
    <w:p>
      <w:pPr>
        <w:pStyle w:val="3"/>
        <w:shd w:val="clear"/>
        <w:adjustRightInd w:val="0"/>
        <w:snapToGrid w:val="0"/>
        <w:spacing w:before="0" w:after="0" w:line="360" w:lineRule="auto"/>
        <w:jc w:val="center"/>
        <w:rPr>
          <w:rFonts w:hint="eastAsia" w:ascii="宋体" w:hAnsi="宋体" w:cs="宋体"/>
          <w:color w:val="auto"/>
          <w:highlight w:val="none"/>
        </w:rPr>
      </w:pPr>
      <w:r>
        <w:rPr>
          <w:rFonts w:hint="eastAsia" w:ascii="宋体" w:hAnsi="宋体" w:cs="宋体"/>
          <w:color w:val="auto"/>
          <w:highlight w:val="none"/>
        </w:rPr>
        <w:br w:type="page"/>
      </w:r>
      <w:bookmarkEnd w:id="760"/>
      <w:bookmarkEnd w:id="761"/>
      <w:bookmarkEnd w:id="762"/>
      <w:bookmarkEnd w:id="763"/>
      <w:bookmarkEnd w:id="764"/>
      <w:bookmarkEnd w:id="765"/>
      <w:bookmarkStart w:id="818" w:name="_Toc65361957"/>
    </w:p>
    <w:p>
      <w:pPr>
        <w:pStyle w:val="3"/>
        <w:shd w:val="clear"/>
        <w:adjustRightInd w:val="0"/>
        <w:snapToGrid w:val="0"/>
        <w:spacing w:before="0" w:after="0" w:line="360" w:lineRule="auto"/>
        <w:jc w:val="center"/>
        <w:rPr>
          <w:rFonts w:hint="eastAsia" w:ascii="宋体" w:hAnsi="宋体" w:cs="宋体"/>
          <w:color w:val="auto"/>
          <w:highlight w:val="none"/>
        </w:rPr>
      </w:pPr>
      <w:r>
        <w:rPr>
          <w:rFonts w:hint="eastAsia" w:ascii="宋体" w:hAnsi="宋体" w:cs="宋体"/>
          <w:color w:val="auto"/>
          <w:highlight w:val="none"/>
        </w:rPr>
        <w:t>第五章  发包人要求</w:t>
      </w:r>
      <w:bookmarkEnd w:id="818"/>
      <w:r>
        <w:rPr>
          <w:rFonts w:hint="eastAsia" w:ascii="宋体" w:hAnsi="宋体" w:cs="宋体"/>
          <w:color w:val="auto"/>
          <w:highlight w:val="none"/>
        </w:rPr>
        <w:t>（另册）</w:t>
      </w:r>
    </w:p>
    <w:p>
      <w:pPr>
        <w:shd w:val="clear"/>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（详见可研）</w:t>
      </w:r>
    </w:p>
    <w:p>
      <w:pPr>
        <w:shd w:val="clear"/>
        <w:spacing w:line="360" w:lineRule="auto"/>
        <w:jc w:val="center"/>
        <w:rPr>
          <w:rFonts w:hint="eastAsia" w:ascii="宋体" w:hAnsi="宋体" w:cs="宋体"/>
          <w:color w:val="auto"/>
          <w:szCs w:val="21"/>
          <w:highlight w:val="none"/>
        </w:rPr>
      </w:pPr>
      <w:r>
        <w:rPr>
          <w:rFonts w:hint="eastAsia" w:ascii="宋体" w:hAnsi="宋体" w:cs="宋体"/>
          <w:color w:val="auto"/>
          <w:spacing w:val="10"/>
          <w:sz w:val="28"/>
          <w:highlight w:val="none"/>
        </w:rPr>
        <w:br w:type="page"/>
      </w:r>
    </w:p>
    <w:p>
      <w:pPr>
        <w:shd w:val="clear"/>
        <w:spacing w:line="400" w:lineRule="exact"/>
        <w:rPr>
          <w:rFonts w:hint="eastAsia" w:ascii="宋体" w:hAnsi="宋体" w:cs="宋体"/>
          <w:color w:val="auto"/>
          <w:szCs w:val="21"/>
          <w:highlight w:val="none"/>
        </w:rPr>
      </w:pPr>
    </w:p>
    <w:p>
      <w:pPr>
        <w:shd w:val="clear"/>
        <w:spacing w:line="360" w:lineRule="auto"/>
        <w:ind w:firstLine="420"/>
        <w:rPr>
          <w:rFonts w:hint="eastAsia" w:ascii="宋体" w:hAnsi="宋体" w:cs="宋体"/>
          <w:color w:val="auto"/>
          <w:szCs w:val="21"/>
          <w:highlight w:val="none"/>
        </w:rPr>
      </w:pPr>
    </w:p>
    <w:p>
      <w:pPr>
        <w:pStyle w:val="3"/>
        <w:shd w:val="clear"/>
        <w:adjustRightInd w:val="0"/>
        <w:snapToGrid w:val="0"/>
        <w:spacing w:before="0" w:after="0" w:line="360" w:lineRule="auto"/>
        <w:jc w:val="center"/>
        <w:rPr>
          <w:rFonts w:hint="eastAsia" w:ascii="宋体" w:hAnsi="宋体" w:cs="宋体"/>
          <w:color w:val="auto"/>
          <w:highlight w:val="none"/>
        </w:rPr>
      </w:pPr>
      <w:bookmarkStart w:id="819" w:name="_Toc24793"/>
      <w:bookmarkStart w:id="820" w:name="_Toc23943"/>
      <w:bookmarkStart w:id="821" w:name="_Toc65361959"/>
      <w:r>
        <w:rPr>
          <w:rFonts w:hint="eastAsia" w:ascii="宋体" w:hAnsi="宋体" w:cs="宋体"/>
          <w:color w:val="auto"/>
          <w:highlight w:val="none"/>
        </w:rPr>
        <w:t>第六章 发包人提供的资料</w:t>
      </w:r>
      <w:bookmarkEnd w:id="819"/>
      <w:bookmarkEnd w:id="820"/>
      <w:bookmarkEnd w:id="821"/>
    </w:p>
    <w:p>
      <w:pPr>
        <w:shd w:val="clear"/>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(另册)</w:t>
      </w:r>
    </w:p>
    <w:p>
      <w:pPr>
        <w:shd w:val="clear"/>
        <w:ind w:left="432"/>
        <w:rPr>
          <w:rFonts w:hint="eastAsia" w:ascii="宋体" w:hAnsi="宋体" w:cs="宋体"/>
          <w:b/>
          <w:color w:val="auto"/>
          <w:sz w:val="30"/>
          <w:szCs w:val="30"/>
          <w:highlight w:val="none"/>
        </w:rPr>
      </w:pPr>
    </w:p>
    <w:p>
      <w:pPr>
        <w:shd w:val="clear"/>
        <w:spacing w:line="360" w:lineRule="auto"/>
        <w:rPr>
          <w:rFonts w:hint="eastAsia" w:ascii="宋体" w:hAnsi="宋体" w:cs="宋体"/>
          <w:color w:val="auto"/>
          <w:spacing w:val="10"/>
          <w:sz w:val="28"/>
          <w:szCs w:val="32"/>
          <w:highlight w:val="none"/>
        </w:rPr>
      </w:pPr>
      <w:r>
        <w:rPr>
          <w:rFonts w:hint="eastAsia" w:ascii="宋体" w:hAnsi="宋体" w:cs="宋体"/>
          <w:color w:val="auto"/>
          <w:spacing w:val="10"/>
          <w:sz w:val="28"/>
          <w:szCs w:val="32"/>
          <w:highlight w:val="none"/>
        </w:rPr>
        <w:br w:type="page"/>
      </w:r>
    </w:p>
    <w:p>
      <w:pPr>
        <w:shd w:val="clear"/>
        <w:spacing w:line="400" w:lineRule="exact"/>
        <w:rPr>
          <w:rFonts w:hint="eastAsia" w:ascii="宋体" w:hAnsi="宋体" w:cs="宋体"/>
          <w:color w:val="auto"/>
          <w:szCs w:val="24"/>
          <w:highlight w:val="none"/>
        </w:rPr>
      </w:pPr>
    </w:p>
    <w:p>
      <w:pPr>
        <w:shd w:val="clear"/>
        <w:spacing w:line="400" w:lineRule="exact"/>
        <w:rPr>
          <w:rFonts w:hint="eastAsia" w:ascii="宋体" w:hAnsi="宋体" w:cs="宋体"/>
          <w:color w:val="auto"/>
          <w:szCs w:val="24"/>
          <w:highlight w:val="none"/>
        </w:rPr>
      </w:pPr>
    </w:p>
    <w:p>
      <w:pPr>
        <w:shd w:val="clear"/>
        <w:spacing w:line="400" w:lineRule="exact"/>
        <w:rPr>
          <w:rFonts w:hint="eastAsia" w:ascii="宋体" w:hAnsi="宋体" w:cs="宋体"/>
          <w:color w:val="auto"/>
          <w:szCs w:val="24"/>
          <w:highlight w:val="none"/>
        </w:rPr>
      </w:pPr>
    </w:p>
    <w:p>
      <w:pPr>
        <w:shd w:val="clear"/>
        <w:spacing w:line="400" w:lineRule="exact"/>
        <w:rPr>
          <w:rFonts w:hint="eastAsia" w:ascii="宋体" w:hAnsi="宋体" w:cs="宋体"/>
          <w:color w:val="auto"/>
          <w:szCs w:val="24"/>
          <w:highlight w:val="none"/>
        </w:rPr>
      </w:pPr>
    </w:p>
    <w:p>
      <w:pPr>
        <w:shd w:val="clear"/>
        <w:spacing w:line="400" w:lineRule="exact"/>
        <w:rPr>
          <w:rFonts w:hint="eastAsia" w:ascii="宋体" w:hAnsi="宋体" w:cs="宋体"/>
          <w:color w:val="auto"/>
          <w:szCs w:val="24"/>
          <w:highlight w:val="none"/>
        </w:rPr>
      </w:pPr>
    </w:p>
    <w:p>
      <w:pPr>
        <w:keepNext/>
        <w:keepLines/>
        <w:shd w:val="clear"/>
        <w:spacing w:before="340" w:after="330" w:line="576" w:lineRule="auto"/>
        <w:jc w:val="center"/>
        <w:outlineLvl w:val="0"/>
        <w:rPr>
          <w:rFonts w:hint="eastAsia" w:ascii="宋体" w:hAnsi="宋体" w:cs="宋体"/>
          <w:b/>
          <w:bCs/>
          <w:color w:val="auto"/>
          <w:kern w:val="44"/>
          <w:sz w:val="44"/>
          <w:szCs w:val="44"/>
          <w:highlight w:val="none"/>
        </w:rPr>
      </w:pPr>
      <w:bookmarkStart w:id="822" w:name="_Toc247514244"/>
      <w:bookmarkStart w:id="823" w:name="_Toc24165"/>
      <w:bookmarkStart w:id="824" w:name="_Toc15557"/>
      <w:bookmarkStart w:id="825" w:name="_Toc65361960"/>
      <w:bookmarkStart w:id="826" w:name="_Toc247527825"/>
      <w:r>
        <w:rPr>
          <w:rFonts w:hint="eastAsia" w:ascii="宋体" w:hAnsi="宋体" w:cs="宋体"/>
          <w:b/>
          <w:bCs/>
          <w:color w:val="auto"/>
          <w:kern w:val="44"/>
          <w:sz w:val="44"/>
          <w:szCs w:val="44"/>
          <w:highlight w:val="none"/>
        </w:rPr>
        <w:t>第三卷</w:t>
      </w:r>
      <w:bookmarkEnd w:id="822"/>
      <w:bookmarkEnd w:id="823"/>
      <w:bookmarkEnd w:id="824"/>
      <w:bookmarkEnd w:id="825"/>
      <w:bookmarkEnd w:id="826"/>
    </w:p>
    <w:p>
      <w:pPr>
        <w:shd w:val="clear"/>
        <w:spacing w:line="400" w:lineRule="exact"/>
        <w:rPr>
          <w:rFonts w:hint="eastAsia" w:ascii="宋体" w:hAnsi="宋体" w:cs="宋体"/>
          <w:color w:val="auto"/>
          <w:highlight w:val="none"/>
        </w:rPr>
      </w:pPr>
    </w:p>
    <w:p>
      <w:pPr>
        <w:pStyle w:val="3"/>
        <w:shd w:val="clear"/>
        <w:jc w:val="center"/>
        <w:rPr>
          <w:rFonts w:hint="eastAsia" w:ascii="宋体" w:hAnsi="宋体" w:cs="宋体"/>
          <w:color w:val="auto"/>
          <w:highlight w:val="none"/>
        </w:rPr>
      </w:pPr>
      <w:bookmarkStart w:id="827" w:name="_Toc247514245"/>
      <w:bookmarkStart w:id="828" w:name="_Toc152045786"/>
      <w:bookmarkStart w:id="829" w:name="_Toc516266007"/>
      <w:bookmarkStart w:id="830" w:name="_Toc515980209"/>
      <w:bookmarkStart w:id="831" w:name="_Toc152042575"/>
      <w:bookmarkStart w:id="832" w:name="_Toc247527826"/>
      <w:bookmarkStart w:id="833" w:name="_Toc144974855"/>
      <w:r>
        <w:rPr>
          <w:rFonts w:hint="eastAsia" w:ascii="宋体" w:hAnsi="宋体" w:cs="宋体"/>
          <w:color w:val="auto"/>
          <w:highlight w:val="none"/>
        </w:rPr>
        <w:br w:type="page"/>
      </w:r>
      <w:bookmarkStart w:id="834" w:name="_Toc65361961"/>
      <w:r>
        <w:rPr>
          <w:rFonts w:hint="eastAsia" w:ascii="宋体" w:hAnsi="宋体" w:cs="宋体"/>
          <w:color w:val="auto"/>
          <w:highlight w:val="none"/>
        </w:rPr>
        <w:t>第七章 投标文件格式</w:t>
      </w:r>
      <w:bookmarkEnd w:id="827"/>
      <w:bookmarkEnd w:id="828"/>
      <w:bookmarkEnd w:id="829"/>
      <w:bookmarkEnd w:id="830"/>
      <w:bookmarkEnd w:id="831"/>
      <w:bookmarkEnd w:id="832"/>
      <w:bookmarkEnd w:id="833"/>
      <w:bookmarkEnd w:id="834"/>
    </w:p>
    <w:p>
      <w:pPr>
        <w:widowControl/>
        <w:shd w:val="clear"/>
        <w:jc w:val="left"/>
        <w:rPr>
          <w:rFonts w:hint="eastAsia" w:ascii="宋体" w:hAnsi="宋体" w:cs="宋体"/>
          <w:color w:val="auto"/>
          <w:highlight w:val="none"/>
        </w:rPr>
        <w:sectPr>
          <w:pgSz w:w="11906" w:h="16838"/>
          <w:pgMar w:top="1440" w:right="1797" w:bottom="1440" w:left="1797" w:header="851" w:footer="992" w:gutter="0"/>
          <w:pgNumType w:fmt="decimal"/>
          <w:cols w:space="720" w:num="1"/>
          <w:docGrid w:linePitch="312" w:charSpace="0"/>
        </w:sectPr>
      </w:pPr>
    </w:p>
    <w:p>
      <w:pPr>
        <w:shd w:val="clear"/>
        <w:spacing w:line="360" w:lineRule="auto"/>
        <w:rPr>
          <w:rFonts w:hint="eastAsia" w:ascii="宋体" w:hAnsi="宋体" w:cs="宋体"/>
          <w:b/>
          <w:color w:val="auto"/>
          <w:sz w:val="48"/>
          <w:szCs w:val="48"/>
          <w:highlight w:val="none"/>
        </w:rPr>
      </w:pPr>
      <w:bookmarkStart w:id="835" w:name="_Toc2675475"/>
      <w:r>
        <w:rPr>
          <w:rFonts w:hint="eastAsia" w:ascii="宋体" w:hAnsi="宋体" w:cs="宋体"/>
          <w:b/>
          <w:color w:val="auto"/>
          <w:sz w:val="24"/>
          <w:szCs w:val="20"/>
          <w:highlight w:val="none"/>
        </w:rPr>
        <w:t>格式1：</w:t>
      </w:r>
    </w:p>
    <w:p>
      <w:pPr>
        <w:shd w:val="clear"/>
        <w:autoSpaceDE w:val="0"/>
        <w:autoSpaceDN w:val="0"/>
        <w:adjustRightInd w:val="0"/>
        <w:spacing w:line="360" w:lineRule="auto"/>
        <w:jc w:val="center"/>
        <w:rPr>
          <w:rFonts w:hint="eastAsia" w:ascii="宋体" w:hAnsi="宋体" w:cs="宋体"/>
          <w:b/>
          <w:bCs/>
          <w:color w:val="auto"/>
          <w:sz w:val="36"/>
          <w:szCs w:val="36"/>
          <w:highlight w:val="none"/>
          <w:lang w:val="zh-CN"/>
        </w:rPr>
      </w:pPr>
      <w:bookmarkStart w:id="836" w:name="_Toc235616116"/>
      <w:bookmarkStart w:id="837" w:name="_Toc235615834"/>
      <w:bookmarkStart w:id="838" w:name="_Toc236215897"/>
      <w:r>
        <w:rPr>
          <w:rFonts w:hint="eastAsia" w:ascii="宋体" w:hAnsi="宋体" w:cs="宋体"/>
          <w:b/>
          <w:bCs/>
          <w:color w:val="auto"/>
          <w:sz w:val="36"/>
          <w:szCs w:val="36"/>
          <w:highlight w:val="none"/>
          <w:lang w:val="zh-CN"/>
        </w:rPr>
        <w:t>投标书</w:t>
      </w:r>
    </w:p>
    <w:tbl>
      <w:tblPr>
        <w:tblStyle w:val="15"/>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3574"/>
        <w:gridCol w:w="846"/>
        <w:gridCol w:w="1310"/>
        <w:gridCol w:w="1052"/>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pPr>
              <w:shd w:val="clear"/>
              <w:autoSpaceDE w:val="0"/>
              <w:autoSpaceDN w:val="0"/>
              <w:adjustRightInd w:val="0"/>
              <w:snapToGrid w:val="0"/>
              <w:spacing w:line="50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一</w:t>
            </w:r>
          </w:p>
        </w:tc>
        <w:tc>
          <w:tcPr>
            <w:tcW w:w="3574" w:type="dxa"/>
            <w:tcBorders>
              <w:top w:val="single" w:color="auto" w:sz="4" w:space="0"/>
              <w:left w:val="single" w:color="auto" w:sz="4" w:space="0"/>
              <w:bottom w:val="single" w:color="auto" w:sz="4" w:space="0"/>
              <w:right w:val="single" w:color="auto" w:sz="4" w:space="0"/>
            </w:tcBorders>
            <w:noWrap w:val="0"/>
            <w:vAlign w:val="center"/>
          </w:tcPr>
          <w:p>
            <w:pPr>
              <w:shd w:val="clear"/>
              <w:autoSpaceDE w:val="0"/>
              <w:autoSpaceDN w:val="0"/>
              <w:adjustRightInd w:val="0"/>
              <w:snapToGrid w:val="0"/>
              <w:spacing w:line="500" w:lineRule="exact"/>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工程名称</w:t>
            </w:r>
          </w:p>
        </w:tc>
        <w:tc>
          <w:tcPr>
            <w:tcW w:w="4318" w:type="dxa"/>
            <w:gridSpan w:val="4"/>
            <w:tcBorders>
              <w:top w:val="single" w:color="auto" w:sz="4" w:space="0"/>
              <w:left w:val="single" w:color="auto" w:sz="4" w:space="0"/>
              <w:bottom w:val="single" w:color="auto" w:sz="4" w:space="0"/>
              <w:right w:val="single" w:color="auto" w:sz="4" w:space="0"/>
            </w:tcBorders>
            <w:noWrap w:val="0"/>
            <w:vAlign w:val="center"/>
          </w:tcPr>
          <w:p>
            <w:pPr>
              <w:shd w:val="clear"/>
              <w:autoSpaceDE w:val="0"/>
              <w:autoSpaceDN w:val="0"/>
              <w:adjustRightInd w:val="0"/>
              <w:snapToGrid w:val="0"/>
              <w:spacing w:line="500" w:lineRule="exact"/>
              <w:jc w:val="left"/>
              <w:rPr>
                <w:rFonts w:hint="eastAsia"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50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二</w:t>
            </w:r>
          </w:p>
        </w:tc>
        <w:tc>
          <w:tcPr>
            <w:tcW w:w="3574" w:type="dxa"/>
            <w:tcBorders>
              <w:top w:val="single" w:color="auto" w:sz="4" w:space="0"/>
              <w:left w:val="single" w:color="auto" w:sz="4" w:space="0"/>
              <w:bottom w:val="single" w:color="auto" w:sz="4" w:space="0"/>
              <w:right w:val="single" w:color="auto" w:sz="4" w:space="0"/>
            </w:tcBorders>
            <w:noWrap w:val="0"/>
            <w:vAlign w:val="center"/>
          </w:tcPr>
          <w:p>
            <w:pPr>
              <w:shd w:val="clear"/>
              <w:adjustRightInd w:val="0"/>
              <w:snapToGrid w:val="0"/>
              <w:spacing w:line="500" w:lineRule="exact"/>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投标总工期</w:t>
            </w:r>
          </w:p>
        </w:tc>
        <w:tc>
          <w:tcPr>
            <w:tcW w:w="4318" w:type="dxa"/>
            <w:gridSpan w:val="4"/>
            <w:tcBorders>
              <w:top w:val="single" w:color="auto" w:sz="4" w:space="0"/>
              <w:left w:val="single" w:color="auto" w:sz="4" w:space="0"/>
              <w:bottom w:val="single" w:color="auto" w:sz="4" w:space="0"/>
              <w:right w:val="single" w:color="auto" w:sz="4" w:space="0"/>
            </w:tcBorders>
            <w:noWrap w:val="0"/>
            <w:vAlign w:val="center"/>
          </w:tcPr>
          <w:p>
            <w:pPr>
              <w:shd w:val="clear"/>
              <w:autoSpaceDE w:val="0"/>
              <w:autoSpaceDN w:val="0"/>
              <w:adjustRightInd w:val="0"/>
              <w:snapToGrid w:val="0"/>
              <w:spacing w:line="500" w:lineRule="exact"/>
              <w:jc w:val="left"/>
              <w:rPr>
                <w:rFonts w:hint="eastAsia" w:ascii="宋体" w:hAnsi="宋体" w:cs="宋体"/>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636" w:type="dxa"/>
            <w:tcBorders>
              <w:left w:val="single" w:color="auto" w:sz="4" w:space="0"/>
              <w:bottom w:val="single" w:color="auto" w:sz="4" w:space="0"/>
              <w:right w:val="single" w:color="auto" w:sz="4" w:space="0"/>
            </w:tcBorders>
            <w:noWrap w:val="0"/>
            <w:vAlign w:val="center"/>
          </w:tcPr>
          <w:p>
            <w:pPr>
              <w:shd w:val="clear"/>
              <w:adjustRightInd w:val="0"/>
              <w:snapToGrid w:val="0"/>
              <w:spacing w:line="50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三</w:t>
            </w:r>
          </w:p>
        </w:tc>
        <w:tc>
          <w:tcPr>
            <w:tcW w:w="3574" w:type="dxa"/>
            <w:tcBorders>
              <w:left w:val="single" w:color="auto" w:sz="4" w:space="0"/>
              <w:bottom w:val="single" w:color="auto" w:sz="4" w:space="0"/>
              <w:right w:val="single" w:color="auto" w:sz="4" w:space="0"/>
            </w:tcBorders>
            <w:noWrap w:val="0"/>
            <w:vAlign w:val="center"/>
          </w:tcPr>
          <w:p>
            <w:pPr>
              <w:shd w:val="clear"/>
              <w:adjustRightInd w:val="0"/>
              <w:snapToGrid w:val="0"/>
              <w:spacing w:line="500" w:lineRule="exact"/>
              <w:jc w:val="center"/>
              <w:rPr>
                <w:rFonts w:hint="eastAsia" w:ascii="宋体" w:hAnsi="宋体" w:cs="宋体"/>
                <w:b/>
                <w:color w:val="auto"/>
                <w:sz w:val="24"/>
                <w:szCs w:val="24"/>
                <w:highlight w:val="none"/>
                <w:lang w:val="zh-CN"/>
              </w:rPr>
            </w:pPr>
            <w:r>
              <w:rPr>
                <w:rFonts w:hint="eastAsia" w:ascii="宋体" w:hAnsi="宋体" w:cs="宋体"/>
                <w:b/>
                <w:bCs/>
                <w:color w:val="auto"/>
                <w:sz w:val="24"/>
                <w:szCs w:val="24"/>
                <w:highlight w:val="none"/>
                <w:lang w:val="zh-CN"/>
              </w:rPr>
              <w:t>质量标准</w:t>
            </w:r>
          </w:p>
        </w:tc>
        <w:tc>
          <w:tcPr>
            <w:tcW w:w="4318" w:type="dxa"/>
            <w:gridSpan w:val="4"/>
            <w:tcBorders>
              <w:top w:val="single" w:color="auto" w:sz="4" w:space="0"/>
              <w:left w:val="single" w:color="auto" w:sz="4" w:space="0"/>
              <w:bottom w:val="single" w:color="auto" w:sz="4" w:space="0"/>
              <w:right w:val="single" w:color="auto" w:sz="4" w:space="0"/>
            </w:tcBorders>
            <w:noWrap w:val="0"/>
            <w:vAlign w:val="center"/>
          </w:tcPr>
          <w:p>
            <w:pPr>
              <w:shd w:val="clear"/>
              <w:autoSpaceDE w:val="0"/>
              <w:autoSpaceDN w:val="0"/>
              <w:adjustRightInd w:val="0"/>
              <w:snapToGrid w:val="0"/>
              <w:spacing w:line="500" w:lineRule="exact"/>
              <w:jc w:val="left"/>
              <w:rPr>
                <w:rFonts w:hint="eastAsia"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pPr>
              <w:shd w:val="clear"/>
              <w:autoSpaceDE w:val="0"/>
              <w:autoSpaceDN w:val="0"/>
              <w:adjustRightInd w:val="0"/>
              <w:snapToGrid w:val="0"/>
              <w:spacing w:line="50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四</w:t>
            </w:r>
          </w:p>
        </w:tc>
        <w:tc>
          <w:tcPr>
            <w:tcW w:w="3574" w:type="dxa"/>
            <w:tcBorders>
              <w:top w:val="single" w:color="auto" w:sz="4" w:space="0"/>
              <w:left w:val="single" w:color="auto" w:sz="4" w:space="0"/>
              <w:bottom w:val="single" w:color="auto" w:sz="4" w:space="0"/>
              <w:right w:val="single" w:color="auto" w:sz="4" w:space="0"/>
            </w:tcBorders>
            <w:noWrap w:val="0"/>
            <w:vAlign w:val="center"/>
          </w:tcPr>
          <w:p>
            <w:pPr>
              <w:shd w:val="clear"/>
              <w:autoSpaceDE w:val="0"/>
              <w:autoSpaceDN w:val="0"/>
              <w:adjustRightInd w:val="0"/>
              <w:snapToGrid w:val="0"/>
              <w:spacing w:line="500" w:lineRule="exact"/>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保修期限</w:t>
            </w:r>
          </w:p>
        </w:tc>
        <w:tc>
          <w:tcPr>
            <w:tcW w:w="4318" w:type="dxa"/>
            <w:gridSpan w:val="4"/>
            <w:tcBorders>
              <w:top w:val="single" w:color="auto" w:sz="4" w:space="0"/>
              <w:left w:val="single" w:color="auto" w:sz="4" w:space="0"/>
              <w:bottom w:val="single" w:color="auto" w:sz="4" w:space="0"/>
              <w:right w:val="single" w:color="auto" w:sz="4" w:space="0"/>
            </w:tcBorders>
            <w:noWrap w:val="0"/>
            <w:vAlign w:val="center"/>
          </w:tcPr>
          <w:p>
            <w:pPr>
              <w:shd w:val="clear"/>
              <w:autoSpaceDE w:val="0"/>
              <w:autoSpaceDN w:val="0"/>
              <w:adjustRightInd w:val="0"/>
              <w:snapToGrid w:val="0"/>
              <w:spacing w:line="500" w:lineRule="exact"/>
              <w:jc w:val="left"/>
              <w:rPr>
                <w:rFonts w:hint="eastAsia"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636" w:type="dxa"/>
            <w:tcBorders>
              <w:left w:val="single" w:color="auto" w:sz="4" w:space="0"/>
              <w:right w:val="single" w:color="auto" w:sz="4" w:space="0"/>
            </w:tcBorders>
            <w:noWrap w:val="0"/>
            <w:vAlign w:val="center"/>
          </w:tcPr>
          <w:p>
            <w:pPr>
              <w:shd w:val="clear"/>
              <w:adjustRightInd w:val="0"/>
              <w:snapToGrid w:val="0"/>
              <w:spacing w:line="50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五</w:t>
            </w:r>
          </w:p>
        </w:tc>
        <w:tc>
          <w:tcPr>
            <w:tcW w:w="3574" w:type="dxa"/>
            <w:tcBorders>
              <w:left w:val="single" w:color="auto" w:sz="4" w:space="0"/>
              <w:right w:val="single" w:color="auto" w:sz="4" w:space="0"/>
            </w:tcBorders>
            <w:noWrap w:val="0"/>
            <w:vAlign w:val="center"/>
          </w:tcPr>
          <w:p>
            <w:pPr>
              <w:shd w:val="clear"/>
              <w:adjustRightInd w:val="0"/>
              <w:snapToGrid w:val="0"/>
              <w:spacing w:line="500" w:lineRule="exact"/>
              <w:jc w:val="center"/>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投标总报价</w:t>
            </w:r>
          </w:p>
        </w:tc>
        <w:tc>
          <w:tcPr>
            <w:tcW w:w="4318" w:type="dxa"/>
            <w:gridSpan w:val="4"/>
            <w:tcBorders>
              <w:top w:val="single" w:color="auto" w:sz="4" w:space="0"/>
              <w:left w:val="single" w:color="auto" w:sz="4" w:space="0"/>
              <w:bottom w:val="single" w:color="auto" w:sz="4" w:space="0"/>
              <w:right w:val="single" w:color="auto" w:sz="4" w:space="0"/>
            </w:tcBorders>
            <w:noWrap w:val="0"/>
            <w:vAlign w:val="center"/>
          </w:tcPr>
          <w:p>
            <w:pPr>
              <w:shd w:val="clear"/>
              <w:autoSpaceDE w:val="0"/>
              <w:autoSpaceDN w:val="0"/>
              <w:adjustRightInd w:val="0"/>
              <w:snapToGrid w:val="0"/>
              <w:spacing w:line="500" w:lineRule="exact"/>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zh-CN"/>
              </w:rPr>
              <w:t>大写：</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 xml:space="preserve"> </w:t>
            </w:r>
          </w:p>
          <w:p>
            <w:pPr>
              <w:shd w:val="clear"/>
              <w:autoSpaceDE w:val="0"/>
              <w:autoSpaceDN w:val="0"/>
              <w:adjustRightInd w:val="0"/>
              <w:snapToGrid w:val="0"/>
              <w:spacing w:line="500" w:lineRule="exact"/>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zh-CN"/>
              </w:rPr>
              <w:t>小写：</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636" w:type="dxa"/>
            <w:tcBorders>
              <w:left w:val="single" w:color="auto" w:sz="4" w:space="0"/>
              <w:right w:val="single" w:color="auto" w:sz="4" w:space="0"/>
            </w:tcBorders>
            <w:noWrap w:val="0"/>
            <w:vAlign w:val="center"/>
          </w:tcPr>
          <w:p>
            <w:pPr>
              <w:shd w:val="clear"/>
              <w:adjustRightInd w:val="0"/>
              <w:snapToGrid w:val="0"/>
              <w:spacing w:line="50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w:t>
            </w:r>
          </w:p>
        </w:tc>
        <w:tc>
          <w:tcPr>
            <w:tcW w:w="3574" w:type="dxa"/>
            <w:tcBorders>
              <w:left w:val="single" w:color="auto" w:sz="4" w:space="0"/>
              <w:right w:val="single" w:color="auto" w:sz="4" w:space="0"/>
            </w:tcBorders>
            <w:noWrap w:val="0"/>
            <w:vAlign w:val="center"/>
          </w:tcPr>
          <w:p>
            <w:pPr>
              <w:shd w:val="clear"/>
              <w:adjustRightInd w:val="0"/>
              <w:snapToGrid w:val="0"/>
              <w:spacing w:line="500" w:lineRule="exact"/>
              <w:jc w:val="center"/>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bCs/>
                <w:color w:val="auto"/>
                <w:sz w:val="24"/>
                <w:szCs w:val="24"/>
                <w:highlight w:val="none"/>
              </w:rPr>
              <w:t>工程设计费投标</w:t>
            </w:r>
            <w:r>
              <w:rPr>
                <w:rFonts w:hint="eastAsia" w:ascii="宋体" w:hAnsi="宋体" w:cs="宋体"/>
                <w:b/>
                <w:bCs/>
                <w:color w:val="auto"/>
                <w:sz w:val="24"/>
                <w:szCs w:val="24"/>
                <w:highlight w:val="none"/>
                <w:lang w:val="zh-CN"/>
              </w:rPr>
              <w:t>报价</w:t>
            </w:r>
          </w:p>
        </w:tc>
        <w:tc>
          <w:tcPr>
            <w:tcW w:w="4318" w:type="dxa"/>
            <w:gridSpan w:val="4"/>
            <w:tcBorders>
              <w:top w:val="single" w:color="auto" w:sz="4" w:space="0"/>
              <w:left w:val="single" w:color="auto" w:sz="4" w:space="0"/>
              <w:bottom w:val="single" w:color="auto" w:sz="4" w:space="0"/>
              <w:right w:val="single" w:color="auto" w:sz="4" w:space="0"/>
            </w:tcBorders>
            <w:noWrap w:val="0"/>
            <w:vAlign w:val="center"/>
          </w:tcPr>
          <w:p>
            <w:pPr>
              <w:shd w:val="clear"/>
              <w:autoSpaceDE w:val="0"/>
              <w:autoSpaceDN w:val="0"/>
              <w:adjustRightInd w:val="0"/>
              <w:snapToGrid w:val="0"/>
              <w:spacing w:line="500" w:lineRule="exact"/>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大写：</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 xml:space="preserve"> </w:t>
            </w:r>
          </w:p>
          <w:p>
            <w:pPr>
              <w:shd w:val="clear"/>
              <w:autoSpaceDE w:val="0"/>
              <w:autoSpaceDN w:val="0"/>
              <w:adjustRightInd w:val="0"/>
              <w:snapToGrid w:val="0"/>
              <w:spacing w:line="500" w:lineRule="exact"/>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小写：</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636" w:type="dxa"/>
            <w:tcBorders>
              <w:left w:val="single" w:color="auto" w:sz="4" w:space="0"/>
              <w:right w:val="single" w:color="auto" w:sz="4" w:space="0"/>
            </w:tcBorders>
            <w:noWrap w:val="0"/>
            <w:vAlign w:val="center"/>
          </w:tcPr>
          <w:p>
            <w:pPr>
              <w:shd w:val="clear"/>
              <w:adjustRightInd w:val="0"/>
              <w:snapToGrid w:val="0"/>
              <w:spacing w:line="50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w:t>
            </w:r>
          </w:p>
        </w:tc>
        <w:tc>
          <w:tcPr>
            <w:tcW w:w="3574" w:type="dxa"/>
            <w:tcBorders>
              <w:left w:val="single" w:color="auto" w:sz="4" w:space="0"/>
              <w:right w:val="single" w:color="auto" w:sz="4" w:space="0"/>
            </w:tcBorders>
            <w:noWrap w:val="0"/>
            <w:vAlign w:val="center"/>
          </w:tcPr>
          <w:p>
            <w:pPr>
              <w:shd w:val="clear"/>
              <w:adjustRightInd w:val="0"/>
              <w:snapToGrid w:val="0"/>
              <w:spacing w:line="500" w:lineRule="exact"/>
              <w:jc w:val="center"/>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其中：建安工程费</w:t>
            </w:r>
            <w:r>
              <w:rPr>
                <w:rFonts w:hint="eastAsia" w:ascii="宋体" w:hAnsi="宋体" w:cs="宋体"/>
                <w:b/>
                <w:bCs/>
                <w:color w:val="auto"/>
                <w:sz w:val="24"/>
                <w:szCs w:val="24"/>
                <w:highlight w:val="none"/>
              </w:rPr>
              <w:t>投标</w:t>
            </w:r>
            <w:r>
              <w:rPr>
                <w:rFonts w:hint="eastAsia" w:ascii="宋体" w:hAnsi="宋体" w:cs="宋体"/>
                <w:b/>
                <w:bCs/>
                <w:color w:val="auto"/>
                <w:sz w:val="24"/>
                <w:szCs w:val="24"/>
                <w:highlight w:val="none"/>
                <w:lang w:val="zh-CN"/>
              </w:rPr>
              <w:t>报价</w:t>
            </w:r>
          </w:p>
        </w:tc>
        <w:tc>
          <w:tcPr>
            <w:tcW w:w="4318" w:type="dxa"/>
            <w:gridSpan w:val="4"/>
            <w:tcBorders>
              <w:top w:val="single" w:color="auto" w:sz="4" w:space="0"/>
              <w:left w:val="single" w:color="auto" w:sz="4" w:space="0"/>
              <w:bottom w:val="single" w:color="auto" w:sz="4" w:space="0"/>
              <w:right w:val="single" w:color="auto" w:sz="4" w:space="0"/>
            </w:tcBorders>
            <w:noWrap w:val="0"/>
            <w:vAlign w:val="center"/>
          </w:tcPr>
          <w:p>
            <w:pPr>
              <w:shd w:val="clear"/>
              <w:autoSpaceDE w:val="0"/>
              <w:autoSpaceDN w:val="0"/>
              <w:adjustRightInd w:val="0"/>
              <w:snapToGrid w:val="0"/>
              <w:spacing w:line="500" w:lineRule="exact"/>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大写：</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 xml:space="preserve"> </w:t>
            </w:r>
          </w:p>
          <w:p>
            <w:pPr>
              <w:shd w:val="clear"/>
              <w:autoSpaceDE w:val="0"/>
              <w:autoSpaceDN w:val="0"/>
              <w:adjustRightInd w:val="0"/>
              <w:snapToGrid w:val="0"/>
              <w:spacing w:line="500" w:lineRule="exact"/>
              <w:jc w:val="left"/>
              <w:rPr>
                <w:rFonts w:hint="eastAsia" w:ascii="宋体" w:hAnsi="宋体" w:cs="宋体"/>
                <w:b/>
                <w:color w:val="auto"/>
                <w:sz w:val="24"/>
                <w:szCs w:val="24"/>
                <w:highlight w:val="none"/>
                <w:u w:val="single"/>
              </w:rPr>
            </w:pPr>
            <w:r>
              <w:rPr>
                <w:rFonts w:hint="eastAsia" w:ascii="宋体" w:hAnsi="宋体" w:cs="宋体"/>
                <w:b/>
                <w:bCs/>
                <w:color w:val="auto"/>
                <w:sz w:val="24"/>
                <w:szCs w:val="24"/>
                <w:highlight w:val="none"/>
                <w:lang w:val="zh-CN"/>
              </w:rPr>
              <w:t>小写：</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636" w:type="dxa"/>
            <w:tcBorders>
              <w:left w:val="single" w:color="auto" w:sz="4" w:space="0"/>
              <w:right w:val="single" w:color="auto" w:sz="4" w:space="0"/>
            </w:tcBorders>
            <w:noWrap w:val="0"/>
            <w:vAlign w:val="center"/>
          </w:tcPr>
          <w:p>
            <w:pPr>
              <w:shd w:val="clear"/>
              <w:adjustRightInd w:val="0"/>
              <w:snapToGrid w:val="0"/>
              <w:spacing w:line="50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六</w:t>
            </w:r>
          </w:p>
        </w:tc>
        <w:tc>
          <w:tcPr>
            <w:tcW w:w="3574" w:type="dxa"/>
            <w:tcBorders>
              <w:left w:val="single" w:color="auto" w:sz="4" w:space="0"/>
              <w:right w:val="single" w:color="auto" w:sz="4" w:space="0"/>
            </w:tcBorders>
            <w:noWrap w:val="0"/>
            <w:vAlign w:val="center"/>
          </w:tcPr>
          <w:p>
            <w:pPr>
              <w:shd w:val="clear"/>
              <w:adjustRightInd w:val="0"/>
              <w:snapToGrid w:val="0"/>
              <w:spacing w:line="500" w:lineRule="exact"/>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委派的项目负责人</w:t>
            </w:r>
          </w:p>
          <w:p>
            <w:pPr>
              <w:shd w:val="clear"/>
              <w:adjustRightInd w:val="0"/>
              <w:snapToGrid w:val="0"/>
              <w:spacing w:line="500" w:lineRule="exact"/>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（兼任施工负责人）</w:t>
            </w:r>
          </w:p>
        </w:tc>
        <w:tc>
          <w:tcPr>
            <w:tcW w:w="846" w:type="dxa"/>
            <w:tcBorders>
              <w:top w:val="single" w:color="auto" w:sz="4" w:space="0"/>
              <w:left w:val="single" w:color="auto" w:sz="4" w:space="0"/>
              <w:bottom w:val="single" w:color="auto" w:sz="4" w:space="0"/>
              <w:right w:val="single" w:color="auto" w:sz="4" w:space="0"/>
            </w:tcBorders>
            <w:noWrap w:val="0"/>
            <w:vAlign w:val="center"/>
          </w:tcPr>
          <w:p>
            <w:pPr>
              <w:shd w:val="clear"/>
              <w:autoSpaceDE w:val="0"/>
              <w:autoSpaceDN w:val="0"/>
              <w:adjustRightInd w:val="0"/>
              <w:snapToGrid w:val="0"/>
              <w:spacing w:line="500" w:lineRule="exact"/>
              <w:jc w:val="center"/>
              <w:rPr>
                <w:rFonts w:hint="eastAsia" w:ascii="宋体" w:hAnsi="宋体" w:cs="宋体"/>
                <w:b/>
                <w:color w:val="auto"/>
                <w:sz w:val="24"/>
                <w:szCs w:val="24"/>
                <w:highlight w:val="none"/>
                <w:u w:val="single"/>
              </w:rPr>
            </w:pPr>
            <w:r>
              <w:rPr>
                <w:rFonts w:hint="eastAsia" w:ascii="宋体" w:hAnsi="宋体" w:cs="宋体"/>
                <w:b/>
                <w:color w:val="auto"/>
                <w:sz w:val="24"/>
                <w:szCs w:val="24"/>
                <w:highlight w:val="none"/>
                <w:lang w:val="zh-CN"/>
              </w:rPr>
              <w:t>姓名</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shd w:val="clear"/>
              <w:autoSpaceDE w:val="0"/>
              <w:autoSpaceDN w:val="0"/>
              <w:adjustRightInd w:val="0"/>
              <w:snapToGrid w:val="0"/>
              <w:spacing w:line="500" w:lineRule="exact"/>
              <w:jc w:val="left"/>
              <w:rPr>
                <w:rFonts w:hint="eastAsia" w:ascii="宋体" w:hAnsi="宋体" w:cs="宋体"/>
                <w:b/>
                <w:color w:val="auto"/>
                <w:sz w:val="24"/>
                <w:szCs w:val="24"/>
                <w:highlight w:val="none"/>
                <w:u w:val="single"/>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pPr>
              <w:shd w:val="clear"/>
              <w:autoSpaceDE w:val="0"/>
              <w:autoSpaceDN w:val="0"/>
              <w:adjustRightInd w:val="0"/>
              <w:snapToGrid w:val="0"/>
              <w:spacing w:line="500" w:lineRule="exact"/>
              <w:jc w:val="center"/>
              <w:rPr>
                <w:rFonts w:hint="eastAsia" w:ascii="宋体" w:hAnsi="宋体" w:cs="宋体"/>
                <w:b/>
                <w:color w:val="auto"/>
                <w:sz w:val="24"/>
                <w:szCs w:val="24"/>
                <w:highlight w:val="none"/>
                <w:u w:val="single"/>
              </w:rPr>
            </w:pPr>
            <w:r>
              <w:rPr>
                <w:rFonts w:hint="eastAsia" w:ascii="宋体" w:hAnsi="宋体" w:cs="宋体"/>
                <w:b/>
                <w:color w:val="auto"/>
                <w:sz w:val="24"/>
                <w:szCs w:val="24"/>
                <w:highlight w:val="none"/>
                <w:u w:val="single"/>
              </w:rPr>
              <w:t>证书号</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hd w:val="clear"/>
              <w:autoSpaceDE w:val="0"/>
              <w:autoSpaceDN w:val="0"/>
              <w:adjustRightInd w:val="0"/>
              <w:snapToGrid w:val="0"/>
              <w:spacing w:line="500" w:lineRule="exact"/>
              <w:jc w:val="left"/>
              <w:rPr>
                <w:rFonts w:hint="eastAsia" w:ascii="宋体" w:hAnsi="宋体" w:cs="宋体"/>
                <w:b/>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636" w:type="dxa"/>
            <w:tcBorders>
              <w:left w:val="single" w:color="auto" w:sz="4" w:space="0"/>
              <w:right w:val="single" w:color="auto" w:sz="4" w:space="0"/>
            </w:tcBorders>
            <w:noWrap w:val="0"/>
            <w:vAlign w:val="center"/>
          </w:tcPr>
          <w:p>
            <w:pPr>
              <w:shd w:val="clear"/>
              <w:adjustRightInd w:val="0"/>
              <w:snapToGrid w:val="0"/>
              <w:spacing w:line="50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七</w:t>
            </w:r>
          </w:p>
        </w:tc>
        <w:tc>
          <w:tcPr>
            <w:tcW w:w="3574" w:type="dxa"/>
            <w:tcBorders>
              <w:left w:val="single" w:color="auto" w:sz="4" w:space="0"/>
              <w:right w:val="single" w:color="auto" w:sz="4" w:space="0"/>
            </w:tcBorders>
            <w:noWrap w:val="0"/>
            <w:vAlign w:val="center"/>
          </w:tcPr>
          <w:p>
            <w:pPr>
              <w:shd w:val="clear"/>
              <w:adjustRightInd w:val="0"/>
              <w:snapToGrid w:val="0"/>
              <w:spacing w:line="500" w:lineRule="exact"/>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委派的设计负责人</w:t>
            </w:r>
          </w:p>
        </w:tc>
        <w:tc>
          <w:tcPr>
            <w:tcW w:w="846" w:type="dxa"/>
            <w:tcBorders>
              <w:top w:val="single" w:color="auto" w:sz="4" w:space="0"/>
              <w:left w:val="single" w:color="auto" w:sz="4" w:space="0"/>
              <w:bottom w:val="single" w:color="auto" w:sz="4" w:space="0"/>
              <w:right w:val="single" w:color="auto" w:sz="4" w:space="0"/>
            </w:tcBorders>
            <w:noWrap w:val="0"/>
            <w:vAlign w:val="center"/>
          </w:tcPr>
          <w:p>
            <w:pPr>
              <w:shd w:val="clear"/>
              <w:autoSpaceDE w:val="0"/>
              <w:autoSpaceDN w:val="0"/>
              <w:adjustRightInd w:val="0"/>
              <w:snapToGrid w:val="0"/>
              <w:spacing w:line="500" w:lineRule="exact"/>
              <w:jc w:val="center"/>
              <w:rPr>
                <w:rFonts w:hint="eastAsia" w:ascii="宋体" w:hAnsi="宋体" w:cs="宋体"/>
                <w:b/>
                <w:color w:val="auto"/>
                <w:sz w:val="24"/>
                <w:szCs w:val="24"/>
                <w:highlight w:val="none"/>
                <w:u w:val="single"/>
              </w:rPr>
            </w:pPr>
            <w:r>
              <w:rPr>
                <w:rFonts w:hint="eastAsia" w:ascii="宋体" w:hAnsi="宋体" w:cs="宋体"/>
                <w:b/>
                <w:color w:val="auto"/>
                <w:sz w:val="24"/>
                <w:szCs w:val="24"/>
                <w:highlight w:val="none"/>
                <w:lang w:val="zh-CN"/>
              </w:rPr>
              <w:t>姓名</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shd w:val="clear"/>
              <w:autoSpaceDE w:val="0"/>
              <w:autoSpaceDN w:val="0"/>
              <w:adjustRightInd w:val="0"/>
              <w:snapToGrid w:val="0"/>
              <w:spacing w:line="500" w:lineRule="exact"/>
              <w:jc w:val="left"/>
              <w:rPr>
                <w:rFonts w:hint="eastAsia" w:ascii="宋体" w:hAnsi="宋体" w:cs="宋体"/>
                <w:b/>
                <w:color w:val="auto"/>
                <w:sz w:val="24"/>
                <w:szCs w:val="24"/>
                <w:highlight w:val="none"/>
                <w:u w:val="single"/>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pPr>
              <w:shd w:val="clear"/>
              <w:autoSpaceDE w:val="0"/>
              <w:autoSpaceDN w:val="0"/>
              <w:adjustRightInd w:val="0"/>
              <w:snapToGrid w:val="0"/>
              <w:spacing w:line="500" w:lineRule="exact"/>
              <w:jc w:val="center"/>
              <w:rPr>
                <w:rFonts w:hint="eastAsia" w:ascii="宋体" w:hAnsi="宋体" w:cs="宋体"/>
                <w:b/>
                <w:color w:val="auto"/>
                <w:sz w:val="24"/>
                <w:szCs w:val="24"/>
                <w:highlight w:val="none"/>
                <w:u w:val="single"/>
              </w:rPr>
            </w:pPr>
            <w:r>
              <w:rPr>
                <w:rFonts w:hint="eastAsia" w:ascii="宋体" w:hAnsi="宋体" w:cs="宋体"/>
                <w:b/>
                <w:color w:val="auto"/>
                <w:sz w:val="24"/>
                <w:szCs w:val="24"/>
                <w:highlight w:val="none"/>
                <w:u w:val="single"/>
              </w:rPr>
              <w:t>证书号</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hd w:val="clear"/>
              <w:autoSpaceDE w:val="0"/>
              <w:autoSpaceDN w:val="0"/>
              <w:adjustRightInd w:val="0"/>
              <w:snapToGrid w:val="0"/>
              <w:spacing w:line="500" w:lineRule="exact"/>
              <w:jc w:val="left"/>
              <w:rPr>
                <w:rFonts w:hint="eastAsia" w:ascii="宋体" w:hAnsi="宋体" w:cs="宋体"/>
                <w:b/>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636" w:type="dxa"/>
            <w:vMerge w:val="restart"/>
            <w:tcBorders>
              <w:left w:val="single" w:color="auto" w:sz="4" w:space="0"/>
              <w:right w:val="single" w:color="auto" w:sz="4" w:space="0"/>
            </w:tcBorders>
            <w:noWrap w:val="0"/>
            <w:vAlign w:val="center"/>
          </w:tcPr>
          <w:p>
            <w:pPr>
              <w:shd w:val="clear"/>
              <w:adjustRightInd w:val="0"/>
              <w:snapToGrid w:val="0"/>
              <w:spacing w:line="50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八</w:t>
            </w:r>
          </w:p>
        </w:tc>
        <w:tc>
          <w:tcPr>
            <w:tcW w:w="3574" w:type="dxa"/>
            <w:tcBorders>
              <w:left w:val="single" w:color="auto" w:sz="4" w:space="0"/>
              <w:right w:val="single" w:color="auto" w:sz="4" w:space="0"/>
            </w:tcBorders>
            <w:noWrap w:val="0"/>
            <w:vAlign w:val="center"/>
          </w:tcPr>
          <w:p>
            <w:pPr>
              <w:shd w:val="clear"/>
              <w:adjustRightInd w:val="0"/>
              <w:snapToGrid w:val="0"/>
              <w:spacing w:line="50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委派的专职安全员</w:t>
            </w:r>
          </w:p>
        </w:tc>
        <w:tc>
          <w:tcPr>
            <w:tcW w:w="846" w:type="dxa"/>
            <w:tcBorders>
              <w:top w:val="single" w:color="auto" w:sz="4" w:space="0"/>
              <w:left w:val="single" w:color="auto" w:sz="4" w:space="0"/>
              <w:bottom w:val="single" w:color="auto" w:sz="4" w:space="0"/>
              <w:right w:val="single" w:color="auto" w:sz="4" w:space="0"/>
            </w:tcBorders>
            <w:noWrap w:val="0"/>
            <w:vAlign w:val="center"/>
          </w:tcPr>
          <w:p>
            <w:pPr>
              <w:shd w:val="clear"/>
              <w:autoSpaceDE w:val="0"/>
              <w:autoSpaceDN w:val="0"/>
              <w:adjustRightInd w:val="0"/>
              <w:snapToGrid w:val="0"/>
              <w:spacing w:line="500" w:lineRule="exact"/>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姓名</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shd w:val="clear"/>
              <w:autoSpaceDE w:val="0"/>
              <w:autoSpaceDN w:val="0"/>
              <w:adjustRightInd w:val="0"/>
              <w:snapToGrid w:val="0"/>
              <w:spacing w:line="500" w:lineRule="exact"/>
              <w:jc w:val="left"/>
              <w:rPr>
                <w:rFonts w:hint="eastAsia" w:ascii="宋体" w:hAnsi="宋体" w:cs="宋体"/>
                <w:b/>
                <w:color w:val="auto"/>
                <w:sz w:val="24"/>
                <w:szCs w:val="24"/>
                <w:highlight w:val="none"/>
                <w:u w:val="single"/>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pPr>
              <w:shd w:val="clear"/>
              <w:autoSpaceDE w:val="0"/>
              <w:autoSpaceDN w:val="0"/>
              <w:adjustRightInd w:val="0"/>
              <w:snapToGrid w:val="0"/>
              <w:spacing w:line="500" w:lineRule="exact"/>
              <w:jc w:val="center"/>
              <w:rPr>
                <w:rFonts w:hint="eastAsia" w:ascii="宋体" w:hAnsi="宋体" w:cs="宋体"/>
                <w:b/>
                <w:color w:val="auto"/>
                <w:sz w:val="24"/>
                <w:szCs w:val="24"/>
                <w:highlight w:val="none"/>
                <w:u w:val="single"/>
              </w:rPr>
            </w:pPr>
            <w:r>
              <w:rPr>
                <w:rFonts w:hint="eastAsia" w:ascii="宋体" w:hAnsi="宋体" w:cs="宋体"/>
                <w:b/>
                <w:color w:val="auto"/>
                <w:sz w:val="24"/>
                <w:szCs w:val="24"/>
                <w:highlight w:val="none"/>
                <w:u w:val="single"/>
              </w:rPr>
              <w:t>证书号</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hd w:val="clear"/>
              <w:autoSpaceDE w:val="0"/>
              <w:autoSpaceDN w:val="0"/>
              <w:adjustRightInd w:val="0"/>
              <w:snapToGrid w:val="0"/>
              <w:spacing w:line="500" w:lineRule="exact"/>
              <w:jc w:val="left"/>
              <w:rPr>
                <w:rFonts w:hint="eastAsia" w:ascii="宋体" w:hAnsi="宋体" w:cs="宋体"/>
                <w:b/>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636" w:type="dxa"/>
            <w:tcBorders>
              <w:left w:val="single" w:color="auto" w:sz="4" w:space="0"/>
              <w:bottom w:val="single" w:color="auto" w:sz="4" w:space="0"/>
              <w:right w:val="single" w:color="auto" w:sz="4" w:space="0"/>
            </w:tcBorders>
            <w:noWrap w:val="0"/>
            <w:vAlign w:val="center"/>
          </w:tcPr>
          <w:p>
            <w:pPr>
              <w:shd w:val="clear"/>
              <w:adjustRightInd w:val="0"/>
              <w:snapToGrid w:val="0"/>
              <w:spacing w:line="50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九</w:t>
            </w:r>
          </w:p>
        </w:tc>
        <w:tc>
          <w:tcPr>
            <w:tcW w:w="3574" w:type="dxa"/>
            <w:tcBorders>
              <w:left w:val="single" w:color="auto" w:sz="4" w:space="0"/>
              <w:bottom w:val="single" w:color="auto" w:sz="4" w:space="0"/>
              <w:right w:val="single" w:color="auto" w:sz="4" w:space="0"/>
            </w:tcBorders>
            <w:noWrap w:val="0"/>
            <w:vAlign w:val="center"/>
          </w:tcPr>
          <w:p>
            <w:pPr>
              <w:shd w:val="clear"/>
              <w:adjustRightInd w:val="0"/>
              <w:snapToGrid w:val="0"/>
              <w:spacing w:line="50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法定代表人或其委托代理人</w:t>
            </w:r>
          </w:p>
          <w:p>
            <w:pPr>
              <w:shd w:val="clear"/>
              <w:adjustRightInd w:val="0"/>
              <w:snapToGrid w:val="0"/>
              <w:spacing w:line="500" w:lineRule="exact"/>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rPr>
              <w:t>（签字或盖章）</w:t>
            </w:r>
          </w:p>
        </w:tc>
        <w:tc>
          <w:tcPr>
            <w:tcW w:w="4318" w:type="dxa"/>
            <w:gridSpan w:val="4"/>
            <w:tcBorders>
              <w:top w:val="single" w:color="auto" w:sz="4" w:space="0"/>
              <w:left w:val="single" w:color="auto" w:sz="4" w:space="0"/>
              <w:bottom w:val="single" w:color="auto" w:sz="4" w:space="0"/>
              <w:right w:val="single" w:color="auto" w:sz="4" w:space="0"/>
            </w:tcBorders>
            <w:noWrap w:val="0"/>
            <w:vAlign w:val="center"/>
          </w:tcPr>
          <w:p>
            <w:pPr>
              <w:shd w:val="clear"/>
              <w:autoSpaceDE w:val="0"/>
              <w:autoSpaceDN w:val="0"/>
              <w:adjustRightInd w:val="0"/>
              <w:snapToGrid w:val="0"/>
              <w:spacing w:line="500" w:lineRule="exact"/>
              <w:jc w:val="left"/>
              <w:rPr>
                <w:rFonts w:hint="eastAsia" w:ascii="宋体" w:hAnsi="宋体" w:cs="宋体"/>
                <w:b/>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636" w:type="dxa"/>
            <w:tcBorders>
              <w:left w:val="single" w:color="auto" w:sz="4" w:space="0"/>
              <w:bottom w:val="single" w:color="auto" w:sz="4" w:space="0"/>
              <w:right w:val="single" w:color="auto" w:sz="4" w:space="0"/>
            </w:tcBorders>
            <w:noWrap w:val="0"/>
            <w:vAlign w:val="center"/>
          </w:tcPr>
          <w:p>
            <w:pPr>
              <w:shd w:val="clear"/>
              <w:adjustRightInd w:val="0"/>
              <w:snapToGrid w:val="0"/>
              <w:spacing w:line="500" w:lineRule="exact"/>
              <w:jc w:val="center"/>
              <w:rPr>
                <w:rFonts w:hint="eastAsia" w:ascii="宋体" w:hAnsi="宋体" w:cs="宋体"/>
                <w:b/>
                <w:color w:val="auto"/>
                <w:sz w:val="24"/>
                <w:szCs w:val="24"/>
                <w:highlight w:val="none"/>
                <w:lang w:val="zh-CN"/>
              </w:rPr>
            </w:pPr>
          </w:p>
        </w:tc>
        <w:tc>
          <w:tcPr>
            <w:tcW w:w="3574" w:type="dxa"/>
            <w:tcBorders>
              <w:left w:val="single" w:color="auto" w:sz="4" w:space="0"/>
              <w:bottom w:val="single" w:color="auto" w:sz="4" w:space="0"/>
              <w:right w:val="single" w:color="auto" w:sz="4" w:space="0"/>
            </w:tcBorders>
            <w:noWrap w:val="0"/>
            <w:vAlign w:val="center"/>
          </w:tcPr>
          <w:p>
            <w:pPr>
              <w:shd w:val="clear"/>
              <w:adjustRightInd w:val="0"/>
              <w:snapToGrid w:val="0"/>
              <w:spacing w:line="500" w:lineRule="exact"/>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投标单位（盖章）</w:t>
            </w:r>
          </w:p>
        </w:tc>
        <w:tc>
          <w:tcPr>
            <w:tcW w:w="4318" w:type="dxa"/>
            <w:gridSpan w:val="4"/>
            <w:tcBorders>
              <w:top w:val="single" w:color="auto" w:sz="4" w:space="0"/>
              <w:left w:val="single" w:color="auto" w:sz="4" w:space="0"/>
              <w:bottom w:val="single" w:color="auto" w:sz="4" w:space="0"/>
              <w:right w:val="single" w:color="auto" w:sz="4" w:space="0"/>
            </w:tcBorders>
            <w:noWrap w:val="0"/>
            <w:vAlign w:val="center"/>
          </w:tcPr>
          <w:p>
            <w:pPr>
              <w:shd w:val="clear"/>
              <w:autoSpaceDE w:val="0"/>
              <w:autoSpaceDN w:val="0"/>
              <w:adjustRightInd w:val="0"/>
              <w:snapToGrid w:val="0"/>
              <w:spacing w:line="500" w:lineRule="exact"/>
              <w:jc w:val="left"/>
              <w:rPr>
                <w:rFonts w:hint="eastAsia" w:ascii="宋体" w:hAnsi="宋体" w:cs="宋体"/>
                <w:b/>
                <w:color w:val="auto"/>
                <w:sz w:val="24"/>
                <w:szCs w:val="24"/>
                <w:highlight w:val="none"/>
                <w:lang w:val="zh-CN"/>
              </w:rPr>
            </w:pPr>
          </w:p>
        </w:tc>
      </w:tr>
    </w:tbl>
    <w:p>
      <w:pPr>
        <w:shd w:val="clea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注：（1）投标报价为人民币报价，保留小数点后两位数。大写金额和小写金额不一致的，以大写金额为准。</w:t>
      </w:r>
    </w:p>
    <w:p>
      <w:pPr>
        <w:shd w:val="clea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（2）联合体投标的，“投标单位”一栏需书写所有联合体成员的单位全称，并由联合体主办方按要求签字或盖章，联合体其他成员可不签字或盖章。</w:t>
      </w:r>
    </w:p>
    <w:p>
      <w:pPr>
        <w:shd w:val="clear"/>
        <w:rPr>
          <w:rFonts w:hint="eastAsia" w:ascii="宋体" w:hAnsi="宋体" w:cs="宋体"/>
          <w:b/>
          <w:color w:val="auto"/>
          <w:sz w:val="24"/>
          <w:szCs w:val="20"/>
          <w:highlight w:val="none"/>
        </w:rPr>
      </w:pPr>
      <w:r>
        <w:rPr>
          <w:rFonts w:hint="eastAsia" w:ascii="宋体" w:hAnsi="宋体" w:cs="宋体"/>
          <w:color w:val="auto"/>
          <w:szCs w:val="21"/>
          <w:highlight w:val="none"/>
        </w:rPr>
        <w:t>（3）工期、质量标准、保修期限可以填写“按招标文件要求”或按招标文件内容填写。</w:t>
      </w:r>
    </w:p>
    <w:p>
      <w:pPr>
        <w:shd w:val="clear"/>
        <w:rPr>
          <w:rFonts w:hint="eastAsia" w:ascii="宋体" w:hAnsi="宋体" w:cs="宋体"/>
          <w:b/>
          <w:color w:val="auto"/>
          <w:sz w:val="24"/>
          <w:szCs w:val="20"/>
          <w:highlight w:val="none"/>
        </w:rPr>
      </w:pPr>
      <w:r>
        <w:rPr>
          <w:rFonts w:hint="eastAsia" w:ascii="宋体" w:hAnsi="宋体" w:cs="宋体"/>
          <w:b/>
          <w:color w:val="auto"/>
          <w:sz w:val="24"/>
          <w:szCs w:val="20"/>
          <w:highlight w:val="none"/>
        </w:rPr>
        <w:br w:type="page"/>
      </w:r>
      <w:r>
        <w:rPr>
          <w:rFonts w:hint="eastAsia" w:ascii="宋体" w:hAnsi="宋体" w:cs="宋体"/>
          <w:b/>
          <w:color w:val="auto"/>
          <w:sz w:val="24"/>
          <w:szCs w:val="20"/>
          <w:highlight w:val="none"/>
        </w:rPr>
        <w:t>格式2：</w:t>
      </w:r>
    </w:p>
    <w:p>
      <w:pPr>
        <w:shd w:val="clear"/>
        <w:autoSpaceDE w:val="0"/>
        <w:autoSpaceDN w:val="0"/>
        <w:adjustRightInd w:val="0"/>
        <w:spacing w:line="360" w:lineRule="auto"/>
        <w:jc w:val="center"/>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法定代表人证明书、法定代表人授权委托书</w:t>
      </w:r>
    </w:p>
    <w:p>
      <w:pPr>
        <w:shd w:val="clear"/>
        <w:spacing w:line="360" w:lineRule="auto"/>
        <w:jc w:val="center"/>
        <w:rPr>
          <w:rFonts w:hint="eastAsia" w:ascii="宋体" w:hAnsi="宋体" w:cs="宋体"/>
          <w:b/>
          <w:color w:val="auto"/>
          <w:sz w:val="28"/>
          <w:highlight w:val="none"/>
        </w:rPr>
      </w:pPr>
      <w:r>
        <w:rPr>
          <w:rFonts w:hint="eastAsia" w:ascii="宋体" w:hAnsi="宋体" w:cs="宋体"/>
          <w:b/>
          <w:color w:val="auto"/>
          <w:sz w:val="28"/>
          <w:highlight w:val="none"/>
        </w:rPr>
        <w:t>法定代表人证明书</w:t>
      </w:r>
    </w:p>
    <w:tbl>
      <w:tblPr>
        <w:tblStyle w:val="15"/>
        <w:tblW w:w="852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64" w:hRule="atLeast"/>
          <w:jc w:val="center"/>
        </w:trPr>
        <w:tc>
          <w:tcPr>
            <w:tcW w:w="8528" w:type="dxa"/>
            <w:noWrap w:val="0"/>
            <w:vAlign w:val="top"/>
          </w:tcPr>
          <w:p>
            <w:pPr>
              <w:shd w:val="clear"/>
              <w:spacing w:line="360" w:lineRule="auto"/>
              <w:rPr>
                <w:rFonts w:hint="eastAsia" w:ascii="宋体" w:hAnsi="宋体" w:cs="宋体"/>
                <w:color w:val="auto"/>
                <w:sz w:val="24"/>
                <w:highlight w:val="none"/>
                <w:u w:val="single"/>
              </w:rPr>
            </w:pPr>
          </w:p>
          <w:p>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w:t>
            </w:r>
            <w:r>
              <w:rPr>
                <w:rFonts w:hint="eastAsia" w:ascii="宋体" w:hAnsi="宋体" w:cs="宋体"/>
                <w:color w:val="auto"/>
                <w:sz w:val="24"/>
                <w:highlight w:val="none"/>
              </w:rPr>
              <w:t>现任我单位</w:t>
            </w:r>
            <w:r>
              <w:rPr>
                <w:rFonts w:hint="eastAsia" w:ascii="宋体" w:hAnsi="宋体" w:cs="宋体"/>
                <w:color w:val="auto"/>
                <w:sz w:val="24"/>
                <w:highlight w:val="none"/>
                <w:u w:val="single"/>
              </w:rPr>
              <w:t>　　　　　</w:t>
            </w:r>
            <w:r>
              <w:rPr>
                <w:rFonts w:hint="eastAsia" w:ascii="宋体" w:hAnsi="宋体" w:cs="宋体"/>
                <w:color w:val="auto"/>
                <w:sz w:val="24"/>
                <w:highlight w:val="none"/>
              </w:rPr>
              <w:t>职务，为法定代表人，特此证明。</w:t>
            </w:r>
          </w:p>
          <w:p>
            <w:pPr>
              <w:shd w:val="clea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有效期限：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hd w:val="clea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附：法定代表人性别：</w:t>
            </w:r>
            <w:r>
              <w:rPr>
                <w:rFonts w:hint="eastAsia" w:ascii="宋体" w:hAnsi="宋体" w:cs="宋体"/>
                <w:color w:val="auto"/>
                <w:sz w:val="24"/>
                <w:highlight w:val="none"/>
                <w:u w:val="single"/>
              </w:rPr>
              <w:t>　　</w:t>
            </w:r>
            <w:r>
              <w:rPr>
                <w:rFonts w:hint="eastAsia" w:ascii="宋体" w:hAnsi="宋体" w:cs="宋体"/>
                <w:color w:val="auto"/>
                <w:sz w:val="24"/>
                <w:highlight w:val="none"/>
              </w:rPr>
              <w:t>年龄：</w:t>
            </w:r>
            <w:r>
              <w:rPr>
                <w:rFonts w:hint="eastAsia" w:ascii="宋体" w:hAnsi="宋体" w:cs="宋体"/>
                <w:color w:val="auto"/>
                <w:sz w:val="24"/>
                <w:highlight w:val="none"/>
                <w:u w:val="single"/>
              </w:rPr>
              <w:t>　　</w:t>
            </w: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hd w:val="clea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注册号码：</w:t>
            </w:r>
            <w:r>
              <w:rPr>
                <w:rFonts w:hint="eastAsia" w:ascii="宋体" w:hAnsi="宋体" w:cs="宋体"/>
                <w:color w:val="auto"/>
                <w:sz w:val="24"/>
                <w:highlight w:val="none"/>
                <w:u w:val="single"/>
              </w:rPr>
              <w:t>　　　　　　　　　　</w:t>
            </w:r>
            <w:r>
              <w:rPr>
                <w:rFonts w:hint="eastAsia" w:ascii="宋体" w:hAnsi="宋体" w:cs="宋体"/>
                <w:color w:val="auto"/>
                <w:sz w:val="24"/>
                <w:highlight w:val="none"/>
              </w:rPr>
              <w:t>企业类型：</w:t>
            </w:r>
            <w:r>
              <w:rPr>
                <w:rFonts w:hint="eastAsia" w:ascii="宋体" w:hAnsi="宋体" w:cs="宋体"/>
                <w:color w:val="auto"/>
                <w:sz w:val="24"/>
                <w:highlight w:val="none"/>
                <w:u w:val="single"/>
              </w:rPr>
              <w:t xml:space="preserve">                  </w:t>
            </w:r>
          </w:p>
          <w:p>
            <w:pPr>
              <w:shd w:val="clea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经营范围：</w:t>
            </w:r>
            <w:r>
              <w:rPr>
                <w:rFonts w:hint="eastAsia" w:ascii="宋体" w:hAnsi="宋体" w:cs="宋体"/>
                <w:color w:val="auto"/>
                <w:sz w:val="24"/>
                <w:highlight w:val="none"/>
                <w:u w:val="single"/>
              </w:rPr>
              <w:t>　　　　　　　　　　　　　　　　</w:t>
            </w:r>
          </w:p>
          <w:p>
            <w:pPr>
              <w:shd w:val="clea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单位：</w:t>
            </w:r>
            <w:r>
              <w:rPr>
                <w:rFonts w:hint="eastAsia" w:ascii="宋体" w:hAnsi="宋体" w:cs="宋体"/>
                <w:color w:val="auto"/>
                <w:sz w:val="24"/>
                <w:highlight w:val="none"/>
                <w:u w:val="single"/>
              </w:rPr>
              <w:t>　　　　　　（盖章）</w:t>
            </w:r>
          </w:p>
          <w:p>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bl>
    <w:p>
      <w:pPr>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注：1、法定代表人证明书也可以采用工商行政管理局统一印制的格式。</w:t>
      </w:r>
    </w:p>
    <w:p>
      <w:pPr>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2、联合体投标的，本证明书由主办方出具，仅填写主办方单位名称并由主办方盖章即可。</w:t>
      </w:r>
    </w:p>
    <w:p>
      <w:pPr>
        <w:shd w:val="clear"/>
        <w:spacing w:line="360" w:lineRule="auto"/>
        <w:jc w:val="center"/>
        <w:rPr>
          <w:rFonts w:hint="eastAsia" w:ascii="宋体" w:hAnsi="宋体" w:cs="宋体"/>
          <w:b/>
          <w:color w:val="auto"/>
          <w:sz w:val="24"/>
          <w:highlight w:val="none"/>
        </w:rPr>
      </w:pPr>
    </w:p>
    <w:p>
      <w:pPr>
        <w:shd w:val="clea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法定代表人授权委托书</w:t>
      </w:r>
    </w:p>
    <w:tbl>
      <w:tblPr>
        <w:tblStyle w:val="15"/>
        <w:tblW w:w="852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28" w:type="dxa"/>
            <w:noWrap w:val="0"/>
            <w:vAlign w:val="top"/>
          </w:tcPr>
          <w:p>
            <w:pPr>
              <w:shd w:val="clea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为我方委托代理人，其权限是：</w:t>
            </w:r>
            <w:r>
              <w:rPr>
                <w:rFonts w:hint="eastAsia" w:ascii="宋体" w:hAnsi="宋体" w:cs="宋体"/>
                <w:color w:val="auto"/>
                <w:sz w:val="24"/>
                <w:highlight w:val="none"/>
                <w:u w:val="single"/>
              </w:rPr>
              <w:t xml:space="preserve">                         </w:t>
            </w:r>
          </w:p>
          <w:p>
            <w:pPr>
              <w:shd w:val="clea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u w:val="single"/>
              </w:rPr>
              <w:t xml:space="preserve">                                                    </w:t>
            </w:r>
          </w:p>
          <w:p>
            <w:pPr>
              <w:shd w:val="clea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有效期限：</w:t>
            </w:r>
            <w:r>
              <w:rPr>
                <w:rFonts w:hint="eastAsia" w:ascii="宋体" w:hAnsi="宋体" w:cs="宋体"/>
                <w:color w:val="auto"/>
                <w:sz w:val="24"/>
                <w:highlight w:val="none"/>
                <w:u w:val="single"/>
              </w:rPr>
              <w:t xml:space="preserve">             </w:t>
            </w:r>
          </w:p>
          <w:p>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附：代理人性别：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pPr>
              <w:shd w:val="clea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注册号码：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企业类型：</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hd w:val="clea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经营范围：</w:t>
            </w:r>
            <w:r>
              <w:rPr>
                <w:rFonts w:hint="eastAsia" w:ascii="宋体" w:hAnsi="宋体" w:cs="宋体"/>
                <w:color w:val="auto"/>
                <w:sz w:val="24"/>
                <w:highlight w:val="none"/>
                <w:u w:val="single"/>
              </w:rPr>
              <w:t xml:space="preserve">                      </w:t>
            </w:r>
          </w:p>
          <w:p>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（签名或盖章）</w:t>
            </w:r>
          </w:p>
          <w:p>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授权单位：</w:t>
            </w:r>
            <w:r>
              <w:rPr>
                <w:rFonts w:hint="eastAsia" w:ascii="宋体" w:hAnsi="宋体" w:cs="宋体"/>
                <w:color w:val="auto"/>
                <w:sz w:val="24"/>
                <w:highlight w:val="none"/>
                <w:u w:val="single"/>
              </w:rPr>
              <w:t>（盖章）</w:t>
            </w:r>
          </w:p>
          <w:p>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年  月   日</w:t>
            </w:r>
          </w:p>
        </w:tc>
      </w:tr>
    </w:tbl>
    <w:p>
      <w:pPr>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注：1、法定代表人授权委托书也可以采用工商行政管理局统一印制的格式。</w:t>
      </w:r>
    </w:p>
    <w:p>
      <w:pPr>
        <w:shd w:val="clear"/>
        <w:spacing w:line="360" w:lineRule="auto"/>
        <w:rPr>
          <w:rFonts w:hint="eastAsia" w:ascii="宋体" w:hAnsi="宋体" w:cs="宋体"/>
          <w:color w:val="auto"/>
          <w:szCs w:val="21"/>
          <w:highlight w:val="none"/>
        </w:rPr>
        <w:sectPr>
          <w:footerReference r:id="rId9" w:type="default"/>
          <w:pgSz w:w="11906" w:h="16838"/>
          <w:pgMar w:top="1440" w:right="1797" w:bottom="1440" w:left="1797" w:header="851" w:footer="992" w:gutter="0"/>
          <w:pgNumType w:fmt="decimal"/>
          <w:cols w:space="720" w:num="1"/>
          <w:docGrid w:linePitch="312" w:charSpace="0"/>
        </w:sectPr>
      </w:pPr>
      <w:r>
        <w:rPr>
          <w:rFonts w:hint="eastAsia" w:ascii="宋体" w:hAnsi="宋体" w:cs="宋体"/>
          <w:color w:val="auto"/>
          <w:szCs w:val="21"/>
          <w:highlight w:val="none"/>
        </w:rPr>
        <w:t>2、联合体投标的，本授权书由主办方出具，仅填写主办方单位名称并由主办方签字或盖章即可。</w:t>
      </w:r>
    </w:p>
    <w:p>
      <w:pPr>
        <w:shd w:val="clear"/>
        <w:spacing w:before="120" w:after="120" w:line="360" w:lineRule="auto"/>
        <w:jc w:val="left"/>
        <w:rPr>
          <w:rFonts w:hint="eastAsia" w:ascii="宋体" w:hAnsi="宋体" w:cs="宋体"/>
          <w:b/>
          <w:color w:val="auto"/>
          <w:sz w:val="24"/>
          <w:szCs w:val="20"/>
          <w:highlight w:val="none"/>
        </w:rPr>
      </w:pPr>
      <w:r>
        <w:rPr>
          <w:rFonts w:hint="eastAsia" w:ascii="宋体" w:hAnsi="宋体" w:cs="宋体"/>
          <w:b/>
          <w:color w:val="auto"/>
          <w:sz w:val="24"/>
          <w:szCs w:val="20"/>
          <w:highlight w:val="none"/>
        </w:rPr>
        <w:t>格式3</w:t>
      </w:r>
    </w:p>
    <w:p>
      <w:pPr>
        <w:shd w:val="clear"/>
        <w:spacing w:line="360" w:lineRule="auto"/>
        <w:jc w:val="center"/>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投标人基本情况表</w:t>
      </w:r>
    </w:p>
    <w:tbl>
      <w:tblPr>
        <w:tblStyle w:val="15"/>
        <w:tblW w:w="8332" w:type="dxa"/>
        <w:jc w:val="center"/>
        <w:tblInd w:w="-10" w:type="dxa"/>
        <w:tblLayout w:type="fixed"/>
        <w:tblCellMar>
          <w:top w:w="0" w:type="dxa"/>
          <w:left w:w="0" w:type="dxa"/>
          <w:bottom w:w="0" w:type="dxa"/>
          <w:right w:w="0" w:type="dxa"/>
        </w:tblCellMar>
      </w:tblPr>
      <w:tblGrid>
        <w:gridCol w:w="1703"/>
        <w:gridCol w:w="997"/>
        <w:gridCol w:w="1096"/>
        <w:gridCol w:w="760"/>
        <w:gridCol w:w="383"/>
        <w:gridCol w:w="192"/>
        <w:gridCol w:w="1143"/>
        <w:gridCol w:w="185"/>
        <w:gridCol w:w="760"/>
        <w:gridCol w:w="1113"/>
      </w:tblGrid>
      <w:tr>
        <w:tblPrEx>
          <w:tblLayout w:type="fixed"/>
          <w:tblCellMar>
            <w:top w:w="0" w:type="dxa"/>
            <w:left w:w="0" w:type="dxa"/>
            <w:bottom w:w="0" w:type="dxa"/>
            <w:right w:w="0" w:type="dxa"/>
          </w:tblCellMar>
        </w:tblPrEx>
        <w:trPr>
          <w:trHeight w:val="500" w:hRule="exact"/>
          <w:jc w:val="center"/>
        </w:trPr>
        <w:tc>
          <w:tcPr>
            <w:tcW w:w="1703" w:type="dxa"/>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投标人名称</w:t>
            </w:r>
          </w:p>
        </w:tc>
        <w:tc>
          <w:tcPr>
            <w:tcW w:w="6629" w:type="dxa"/>
            <w:gridSpan w:val="9"/>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p>
        </w:tc>
      </w:tr>
      <w:tr>
        <w:tblPrEx>
          <w:tblLayout w:type="fixed"/>
          <w:tblCellMar>
            <w:top w:w="0" w:type="dxa"/>
            <w:left w:w="0" w:type="dxa"/>
            <w:bottom w:w="0" w:type="dxa"/>
            <w:right w:w="0" w:type="dxa"/>
          </w:tblCellMar>
        </w:tblPrEx>
        <w:trPr>
          <w:trHeight w:val="520" w:hRule="exact"/>
          <w:jc w:val="center"/>
        </w:trPr>
        <w:tc>
          <w:tcPr>
            <w:tcW w:w="1703" w:type="dxa"/>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注册地址</w:t>
            </w:r>
          </w:p>
        </w:tc>
        <w:tc>
          <w:tcPr>
            <w:tcW w:w="3428" w:type="dxa"/>
            <w:gridSpan w:val="5"/>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p>
        </w:tc>
        <w:tc>
          <w:tcPr>
            <w:tcW w:w="1143" w:type="dxa"/>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邮政编码</w:t>
            </w:r>
          </w:p>
        </w:tc>
        <w:tc>
          <w:tcPr>
            <w:tcW w:w="2058" w:type="dxa"/>
            <w:gridSpan w:val="3"/>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p>
        </w:tc>
      </w:tr>
      <w:tr>
        <w:tblPrEx>
          <w:tblLayout w:type="fixed"/>
          <w:tblCellMar>
            <w:top w:w="0" w:type="dxa"/>
            <w:left w:w="0" w:type="dxa"/>
            <w:bottom w:w="0" w:type="dxa"/>
            <w:right w:w="0" w:type="dxa"/>
          </w:tblCellMar>
        </w:tblPrEx>
        <w:trPr>
          <w:cantSplit/>
          <w:trHeight w:val="540" w:hRule="exact"/>
          <w:jc w:val="center"/>
        </w:trPr>
        <w:tc>
          <w:tcPr>
            <w:tcW w:w="1703" w:type="dxa"/>
            <w:vMerge w:val="restart"/>
            <w:tcBorders>
              <w:top w:val="single" w:color="auto" w:sz="8" w:space="0"/>
              <w:left w:val="single" w:color="auto" w:sz="8" w:space="0"/>
              <w:bottom w:val="nil"/>
              <w:right w:val="single" w:color="auto" w:sz="8" w:space="0"/>
            </w:tcBorders>
            <w:noWrap w:val="0"/>
            <w:vAlign w:val="center"/>
          </w:tcPr>
          <w:p>
            <w:pPr>
              <w:shd w:val="clear"/>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联系方式</w:t>
            </w:r>
          </w:p>
        </w:tc>
        <w:tc>
          <w:tcPr>
            <w:tcW w:w="997" w:type="dxa"/>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联系人</w:t>
            </w:r>
          </w:p>
        </w:tc>
        <w:tc>
          <w:tcPr>
            <w:tcW w:w="2431" w:type="dxa"/>
            <w:gridSpan w:val="4"/>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p>
        </w:tc>
        <w:tc>
          <w:tcPr>
            <w:tcW w:w="1143" w:type="dxa"/>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电话</w:t>
            </w:r>
          </w:p>
        </w:tc>
        <w:tc>
          <w:tcPr>
            <w:tcW w:w="2058" w:type="dxa"/>
            <w:gridSpan w:val="3"/>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p>
        </w:tc>
      </w:tr>
      <w:tr>
        <w:tblPrEx>
          <w:tblLayout w:type="fixed"/>
          <w:tblCellMar>
            <w:top w:w="0" w:type="dxa"/>
            <w:left w:w="0" w:type="dxa"/>
            <w:bottom w:w="0" w:type="dxa"/>
            <w:right w:w="0" w:type="dxa"/>
          </w:tblCellMar>
        </w:tblPrEx>
        <w:trPr>
          <w:cantSplit/>
          <w:trHeight w:val="520" w:hRule="exact"/>
          <w:jc w:val="center"/>
        </w:trPr>
        <w:tc>
          <w:tcPr>
            <w:tcW w:w="1703" w:type="dxa"/>
            <w:vMerge w:val="continue"/>
            <w:tcBorders>
              <w:top w:val="nil"/>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kern w:val="0"/>
                <w:szCs w:val="21"/>
                <w:highlight w:val="none"/>
              </w:rPr>
            </w:pPr>
          </w:p>
        </w:tc>
        <w:tc>
          <w:tcPr>
            <w:tcW w:w="997" w:type="dxa"/>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传真</w:t>
            </w:r>
          </w:p>
        </w:tc>
        <w:tc>
          <w:tcPr>
            <w:tcW w:w="2431" w:type="dxa"/>
            <w:gridSpan w:val="4"/>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p>
        </w:tc>
        <w:tc>
          <w:tcPr>
            <w:tcW w:w="1143" w:type="dxa"/>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电子邮件</w:t>
            </w:r>
          </w:p>
        </w:tc>
        <w:tc>
          <w:tcPr>
            <w:tcW w:w="2058" w:type="dxa"/>
            <w:gridSpan w:val="3"/>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p>
        </w:tc>
      </w:tr>
      <w:tr>
        <w:tblPrEx>
          <w:tblLayout w:type="fixed"/>
          <w:tblCellMar>
            <w:top w:w="0" w:type="dxa"/>
            <w:left w:w="0" w:type="dxa"/>
            <w:bottom w:w="0" w:type="dxa"/>
            <w:right w:w="0" w:type="dxa"/>
          </w:tblCellMar>
        </w:tblPrEx>
        <w:trPr>
          <w:trHeight w:val="520" w:hRule="exact"/>
          <w:jc w:val="center"/>
        </w:trPr>
        <w:tc>
          <w:tcPr>
            <w:tcW w:w="1703" w:type="dxa"/>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法定代表人</w:t>
            </w:r>
          </w:p>
        </w:tc>
        <w:tc>
          <w:tcPr>
            <w:tcW w:w="997" w:type="dxa"/>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姓名</w:t>
            </w:r>
          </w:p>
        </w:tc>
        <w:tc>
          <w:tcPr>
            <w:tcW w:w="1096" w:type="dxa"/>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p>
        </w:tc>
        <w:tc>
          <w:tcPr>
            <w:tcW w:w="1143" w:type="dxa"/>
            <w:gridSpan w:val="2"/>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技术职称</w:t>
            </w:r>
          </w:p>
        </w:tc>
        <w:tc>
          <w:tcPr>
            <w:tcW w:w="1520" w:type="dxa"/>
            <w:gridSpan w:val="3"/>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p>
        </w:tc>
        <w:tc>
          <w:tcPr>
            <w:tcW w:w="760" w:type="dxa"/>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电话</w:t>
            </w:r>
          </w:p>
        </w:tc>
        <w:tc>
          <w:tcPr>
            <w:tcW w:w="1113" w:type="dxa"/>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p>
        </w:tc>
      </w:tr>
      <w:tr>
        <w:tblPrEx>
          <w:tblLayout w:type="fixed"/>
          <w:tblCellMar>
            <w:top w:w="0" w:type="dxa"/>
            <w:left w:w="0" w:type="dxa"/>
            <w:bottom w:w="0" w:type="dxa"/>
            <w:right w:w="0" w:type="dxa"/>
          </w:tblCellMar>
        </w:tblPrEx>
        <w:trPr>
          <w:trHeight w:val="520" w:hRule="exact"/>
          <w:jc w:val="center"/>
        </w:trPr>
        <w:tc>
          <w:tcPr>
            <w:tcW w:w="1703" w:type="dxa"/>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技术负责人</w:t>
            </w:r>
          </w:p>
        </w:tc>
        <w:tc>
          <w:tcPr>
            <w:tcW w:w="997" w:type="dxa"/>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姓名</w:t>
            </w:r>
          </w:p>
        </w:tc>
        <w:tc>
          <w:tcPr>
            <w:tcW w:w="1096" w:type="dxa"/>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p>
        </w:tc>
        <w:tc>
          <w:tcPr>
            <w:tcW w:w="1143" w:type="dxa"/>
            <w:gridSpan w:val="2"/>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技术职称</w:t>
            </w:r>
          </w:p>
        </w:tc>
        <w:tc>
          <w:tcPr>
            <w:tcW w:w="1520" w:type="dxa"/>
            <w:gridSpan w:val="3"/>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p>
        </w:tc>
        <w:tc>
          <w:tcPr>
            <w:tcW w:w="760" w:type="dxa"/>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电话</w:t>
            </w:r>
          </w:p>
        </w:tc>
        <w:tc>
          <w:tcPr>
            <w:tcW w:w="1113" w:type="dxa"/>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p>
        </w:tc>
      </w:tr>
      <w:tr>
        <w:tblPrEx>
          <w:tblLayout w:type="fixed"/>
          <w:tblCellMar>
            <w:top w:w="0" w:type="dxa"/>
            <w:left w:w="0" w:type="dxa"/>
            <w:bottom w:w="0" w:type="dxa"/>
            <w:right w:w="0" w:type="dxa"/>
          </w:tblCellMar>
        </w:tblPrEx>
        <w:trPr>
          <w:trHeight w:val="540" w:hRule="exact"/>
          <w:jc w:val="center"/>
        </w:trPr>
        <w:tc>
          <w:tcPr>
            <w:tcW w:w="1703" w:type="dxa"/>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成立时间</w:t>
            </w:r>
          </w:p>
        </w:tc>
        <w:tc>
          <w:tcPr>
            <w:tcW w:w="2093" w:type="dxa"/>
            <w:gridSpan w:val="2"/>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p>
        </w:tc>
        <w:tc>
          <w:tcPr>
            <w:tcW w:w="4536" w:type="dxa"/>
            <w:gridSpan w:val="7"/>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员工总人数：</w:t>
            </w:r>
          </w:p>
        </w:tc>
      </w:tr>
      <w:tr>
        <w:tblPrEx>
          <w:tblLayout w:type="fixed"/>
          <w:tblCellMar>
            <w:top w:w="0" w:type="dxa"/>
            <w:left w:w="0" w:type="dxa"/>
            <w:bottom w:w="0" w:type="dxa"/>
            <w:right w:w="0" w:type="dxa"/>
          </w:tblCellMar>
        </w:tblPrEx>
        <w:trPr>
          <w:trHeight w:val="500" w:hRule="exact"/>
          <w:jc w:val="center"/>
        </w:trPr>
        <w:tc>
          <w:tcPr>
            <w:tcW w:w="1703" w:type="dxa"/>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企业资质等级</w:t>
            </w:r>
          </w:p>
        </w:tc>
        <w:tc>
          <w:tcPr>
            <w:tcW w:w="2093" w:type="dxa"/>
            <w:gridSpan w:val="2"/>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p>
        </w:tc>
        <w:tc>
          <w:tcPr>
            <w:tcW w:w="760" w:type="dxa"/>
            <w:vMerge w:val="restart"/>
            <w:tcBorders>
              <w:top w:val="single" w:color="auto" w:sz="8" w:space="0"/>
              <w:left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其中</w:t>
            </w:r>
          </w:p>
        </w:tc>
        <w:tc>
          <w:tcPr>
            <w:tcW w:w="1903" w:type="dxa"/>
            <w:gridSpan w:val="4"/>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项目负责人</w:t>
            </w:r>
          </w:p>
        </w:tc>
        <w:tc>
          <w:tcPr>
            <w:tcW w:w="1873" w:type="dxa"/>
            <w:gridSpan w:val="2"/>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p>
        </w:tc>
      </w:tr>
      <w:tr>
        <w:tblPrEx>
          <w:tblLayout w:type="fixed"/>
          <w:tblCellMar>
            <w:top w:w="0" w:type="dxa"/>
            <w:left w:w="0" w:type="dxa"/>
            <w:bottom w:w="0" w:type="dxa"/>
            <w:right w:w="0" w:type="dxa"/>
          </w:tblCellMar>
        </w:tblPrEx>
        <w:trPr>
          <w:cantSplit/>
          <w:trHeight w:val="540" w:hRule="exact"/>
          <w:jc w:val="center"/>
        </w:trPr>
        <w:tc>
          <w:tcPr>
            <w:tcW w:w="1703" w:type="dxa"/>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营业执照号</w:t>
            </w:r>
          </w:p>
        </w:tc>
        <w:tc>
          <w:tcPr>
            <w:tcW w:w="2093" w:type="dxa"/>
            <w:gridSpan w:val="2"/>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p>
        </w:tc>
        <w:tc>
          <w:tcPr>
            <w:tcW w:w="760" w:type="dxa"/>
            <w:vMerge w:val="continue"/>
            <w:tcBorders>
              <w:left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p>
        </w:tc>
        <w:tc>
          <w:tcPr>
            <w:tcW w:w="1903" w:type="dxa"/>
            <w:gridSpan w:val="4"/>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高级职称人员</w:t>
            </w:r>
          </w:p>
        </w:tc>
        <w:tc>
          <w:tcPr>
            <w:tcW w:w="1873" w:type="dxa"/>
            <w:gridSpan w:val="2"/>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p>
        </w:tc>
      </w:tr>
      <w:tr>
        <w:tblPrEx>
          <w:tblLayout w:type="fixed"/>
          <w:tblCellMar>
            <w:top w:w="0" w:type="dxa"/>
            <w:left w:w="0" w:type="dxa"/>
            <w:bottom w:w="0" w:type="dxa"/>
            <w:right w:w="0" w:type="dxa"/>
          </w:tblCellMar>
        </w:tblPrEx>
        <w:trPr>
          <w:trHeight w:val="520" w:hRule="exact"/>
          <w:jc w:val="center"/>
        </w:trPr>
        <w:tc>
          <w:tcPr>
            <w:tcW w:w="1703" w:type="dxa"/>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注册资金</w:t>
            </w:r>
          </w:p>
        </w:tc>
        <w:tc>
          <w:tcPr>
            <w:tcW w:w="2093" w:type="dxa"/>
            <w:gridSpan w:val="2"/>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p>
        </w:tc>
        <w:tc>
          <w:tcPr>
            <w:tcW w:w="760" w:type="dxa"/>
            <w:vMerge w:val="continue"/>
            <w:tcBorders>
              <w:left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p>
        </w:tc>
        <w:tc>
          <w:tcPr>
            <w:tcW w:w="1903" w:type="dxa"/>
            <w:gridSpan w:val="4"/>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中级职称人员</w:t>
            </w:r>
          </w:p>
        </w:tc>
        <w:tc>
          <w:tcPr>
            <w:tcW w:w="1873" w:type="dxa"/>
            <w:gridSpan w:val="2"/>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p>
        </w:tc>
      </w:tr>
      <w:tr>
        <w:tblPrEx>
          <w:tblLayout w:type="fixed"/>
          <w:tblCellMar>
            <w:top w:w="0" w:type="dxa"/>
            <w:left w:w="0" w:type="dxa"/>
            <w:bottom w:w="0" w:type="dxa"/>
            <w:right w:w="0" w:type="dxa"/>
          </w:tblCellMar>
        </w:tblPrEx>
        <w:trPr>
          <w:cantSplit/>
          <w:trHeight w:val="782" w:hRule="exact"/>
          <w:jc w:val="center"/>
        </w:trPr>
        <w:tc>
          <w:tcPr>
            <w:tcW w:w="1703" w:type="dxa"/>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基本账户开户银行</w:t>
            </w:r>
          </w:p>
        </w:tc>
        <w:tc>
          <w:tcPr>
            <w:tcW w:w="2093" w:type="dxa"/>
            <w:gridSpan w:val="2"/>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p>
        </w:tc>
        <w:tc>
          <w:tcPr>
            <w:tcW w:w="760" w:type="dxa"/>
            <w:vMerge w:val="continue"/>
            <w:tcBorders>
              <w:left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p>
        </w:tc>
        <w:tc>
          <w:tcPr>
            <w:tcW w:w="1903" w:type="dxa"/>
            <w:gridSpan w:val="4"/>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初级职称人员</w:t>
            </w:r>
          </w:p>
        </w:tc>
        <w:tc>
          <w:tcPr>
            <w:tcW w:w="1873" w:type="dxa"/>
            <w:gridSpan w:val="2"/>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p>
        </w:tc>
      </w:tr>
      <w:tr>
        <w:tblPrEx>
          <w:tblLayout w:type="fixed"/>
          <w:tblCellMar>
            <w:top w:w="0" w:type="dxa"/>
            <w:left w:w="0" w:type="dxa"/>
            <w:bottom w:w="0" w:type="dxa"/>
            <w:right w:w="0" w:type="dxa"/>
          </w:tblCellMar>
        </w:tblPrEx>
        <w:trPr>
          <w:cantSplit/>
          <w:trHeight w:val="710" w:hRule="exact"/>
          <w:jc w:val="center"/>
        </w:trPr>
        <w:tc>
          <w:tcPr>
            <w:tcW w:w="1703" w:type="dxa"/>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基本账户账号</w:t>
            </w:r>
          </w:p>
        </w:tc>
        <w:tc>
          <w:tcPr>
            <w:tcW w:w="2093" w:type="dxa"/>
            <w:gridSpan w:val="2"/>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p>
        </w:tc>
        <w:tc>
          <w:tcPr>
            <w:tcW w:w="760" w:type="dxa"/>
            <w:vMerge w:val="continue"/>
            <w:tcBorders>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p>
        </w:tc>
        <w:tc>
          <w:tcPr>
            <w:tcW w:w="1903" w:type="dxa"/>
            <w:gridSpan w:val="4"/>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技工</w:t>
            </w:r>
          </w:p>
        </w:tc>
        <w:tc>
          <w:tcPr>
            <w:tcW w:w="1873" w:type="dxa"/>
            <w:gridSpan w:val="2"/>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p>
        </w:tc>
      </w:tr>
      <w:tr>
        <w:tblPrEx>
          <w:tblLayout w:type="fixed"/>
          <w:tblCellMar>
            <w:top w:w="0" w:type="dxa"/>
            <w:left w:w="0" w:type="dxa"/>
            <w:bottom w:w="0" w:type="dxa"/>
            <w:right w:w="0" w:type="dxa"/>
          </w:tblCellMar>
        </w:tblPrEx>
        <w:trPr>
          <w:trHeight w:val="1676" w:hRule="exact"/>
          <w:jc w:val="center"/>
        </w:trPr>
        <w:tc>
          <w:tcPr>
            <w:tcW w:w="1703" w:type="dxa"/>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经营范围</w:t>
            </w:r>
          </w:p>
        </w:tc>
        <w:tc>
          <w:tcPr>
            <w:tcW w:w="6629" w:type="dxa"/>
            <w:gridSpan w:val="9"/>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p>
        </w:tc>
      </w:tr>
      <w:tr>
        <w:tblPrEx>
          <w:tblLayout w:type="fixed"/>
          <w:tblCellMar>
            <w:top w:w="0" w:type="dxa"/>
            <w:left w:w="0" w:type="dxa"/>
            <w:bottom w:w="0" w:type="dxa"/>
            <w:right w:w="0" w:type="dxa"/>
          </w:tblCellMar>
        </w:tblPrEx>
        <w:trPr>
          <w:trHeight w:val="1421" w:hRule="exact"/>
          <w:jc w:val="center"/>
        </w:trPr>
        <w:tc>
          <w:tcPr>
            <w:tcW w:w="1703" w:type="dxa"/>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企业简介</w:t>
            </w:r>
          </w:p>
        </w:tc>
        <w:tc>
          <w:tcPr>
            <w:tcW w:w="6629" w:type="dxa"/>
            <w:gridSpan w:val="9"/>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（本项内容可另附页）</w:t>
            </w:r>
          </w:p>
        </w:tc>
      </w:tr>
      <w:tr>
        <w:tblPrEx>
          <w:tblLayout w:type="fixed"/>
          <w:tblCellMar>
            <w:top w:w="0" w:type="dxa"/>
            <w:left w:w="0" w:type="dxa"/>
            <w:bottom w:w="0" w:type="dxa"/>
            <w:right w:w="0" w:type="dxa"/>
          </w:tblCellMar>
        </w:tblPrEx>
        <w:trPr>
          <w:trHeight w:val="1084" w:hRule="exact"/>
          <w:jc w:val="center"/>
        </w:trPr>
        <w:tc>
          <w:tcPr>
            <w:tcW w:w="1703" w:type="dxa"/>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备注</w:t>
            </w:r>
          </w:p>
        </w:tc>
        <w:tc>
          <w:tcPr>
            <w:tcW w:w="6629" w:type="dxa"/>
            <w:gridSpan w:val="9"/>
            <w:tcBorders>
              <w:top w:val="single" w:color="auto" w:sz="8" w:space="0"/>
              <w:left w:val="single" w:color="auto" w:sz="8" w:space="0"/>
              <w:bottom w:val="single" w:color="auto" w:sz="8" w:space="0"/>
              <w:right w:val="single" w:color="auto" w:sz="8" w:space="0"/>
            </w:tcBorders>
            <w:noWrap w:val="0"/>
            <w:vAlign w:val="center"/>
          </w:tcPr>
          <w:p>
            <w:pPr>
              <w:shd w:val="clear"/>
              <w:adjustRightInd w:val="0"/>
              <w:snapToGrid w:val="0"/>
              <w:jc w:val="center"/>
              <w:rPr>
                <w:rFonts w:hint="eastAsia" w:ascii="宋体" w:hAnsi="宋体" w:cs="宋体"/>
                <w:color w:val="auto"/>
                <w:szCs w:val="21"/>
                <w:highlight w:val="none"/>
              </w:rPr>
            </w:pPr>
          </w:p>
        </w:tc>
      </w:tr>
    </w:tbl>
    <w:p>
      <w:pPr>
        <w:shd w:val="clear"/>
        <w:spacing w:line="360" w:lineRule="auto"/>
        <w:ind w:left="248" w:leftChars="18" w:right="-334" w:rightChars="-159" w:hanging="210" w:hangingChars="100"/>
        <w:rPr>
          <w:rFonts w:hint="eastAsia" w:ascii="宋体" w:hAnsi="宋体" w:cs="宋体"/>
          <w:color w:val="auto"/>
          <w:szCs w:val="21"/>
          <w:highlight w:val="none"/>
        </w:rPr>
      </w:pPr>
      <w:r>
        <w:rPr>
          <w:rFonts w:hint="eastAsia" w:ascii="宋体" w:hAnsi="宋体" w:cs="宋体"/>
          <w:color w:val="auto"/>
          <w:szCs w:val="21"/>
          <w:highlight w:val="none"/>
        </w:rPr>
        <w:t>注：1、在本表后应附企业法人营业执照副本、资质证书副本、施工企业的安全生产许可证原件扫描件。</w:t>
      </w:r>
    </w:p>
    <w:p>
      <w:pPr>
        <w:shd w:val="clear"/>
        <w:spacing w:line="360" w:lineRule="auto"/>
        <w:ind w:left="248" w:leftChars="18" w:right="-334" w:rightChars="-159" w:hanging="210" w:hangingChars="100"/>
        <w:rPr>
          <w:rFonts w:hint="eastAsia" w:ascii="宋体" w:hAnsi="宋体" w:cs="宋体"/>
          <w:color w:val="auto"/>
          <w:szCs w:val="21"/>
          <w:highlight w:val="none"/>
        </w:rPr>
      </w:pPr>
      <w:r>
        <w:rPr>
          <w:rFonts w:hint="eastAsia" w:ascii="宋体" w:hAnsi="宋体" w:cs="宋体"/>
          <w:color w:val="auto"/>
          <w:szCs w:val="21"/>
          <w:highlight w:val="none"/>
        </w:rPr>
        <w:t>2、联合体投标的，应分别提交本表并附相应的证明资料扫描件。</w:t>
      </w:r>
    </w:p>
    <w:p>
      <w:pPr>
        <w:shd w:val="clear"/>
        <w:spacing w:before="120" w:after="120" w:line="360" w:lineRule="auto"/>
        <w:jc w:val="left"/>
        <w:rPr>
          <w:rFonts w:hint="eastAsia" w:ascii="宋体" w:hAnsi="宋体" w:cs="宋体"/>
          <w:b/>
          <w:color w:val="auto"/>
          <w:sz w:val="24"/>
          <w:szCs w:val="20"/>
          <w:highlight w:val="none"/>
        </w:rPr>
      </w:pPr>
    </w:p>
    <w:p>
      <w:pPr>
        <w:shd w:val="clear"/>
        <w:spacing w:before="120" w:after="120" w:line="360" w:lineRule="auto"/>
        <w:jc w:val="left"/>
        <w:rPr>
          <w:rFonts w:hint="eastAsia" w:ascii="宋体" w:hAnsi="宋体" w:cs="宋体"/>
          <w:b/>
          <w:color w:val="auto"/>
          <w:sz w:val="24"/>
          <w:szCs w:val="20"/>
          <w:highlight w:val="none"/>
        </w:rPr>
      </w:pPr>
      <w:r>
        <w:rPr>
          <w:rFonts w:hint="eastAsia" w:ascii="宋体" w:hAnsi="宋体" w:cs="宋体"/>
          <w:b/>
          <w:color w:val="auto"/>
          <w:sz w:val="24"/>
          <w:szCs w:val="20"/>
          <w:highlight w:val="none"/>
        </w:rPr>
        <w:t>格式4</w:t>
      </w:r>
    </w:p>
    <w:bookmarkEnd w:id="836"/>
    <w:bookmarkEnd w:id="837"/>
    <w:bookmarkEnd w:id="838"/>
    <w:p>
      <w:pPr>
        <w:pStyle w:val="8"/>
        <w:shd w:val="clear"/>
        <w:spacing w:line="360" w:lineRule="auto"/>
        <w:jc w:val="center"/>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项目</w:t>
      </w:r>
      <w:r>
        <w:rPr>
          <w:rFonts w:hint="eastAsia" w:ascii="宋体" w:hAnsi="宋体" w:cs="宋体"/>
          <w:b/>
          <w:bCs/>
          <w:color w:val="auto"/>
          <w:sz w:val="36"/>
          <w:szCs w:val="36"/>
          <w:highlight w:val="none"/>
        </w:rPr>
        <w:t>负责人（兼施工负责人）</w:t>
      </w:r>
      <w:r>
        <w:rPr>
          <w:rFonts w:hint="eastAsia" w:ascii="宋体" w:hAnsi="宋体" w:cs="宋体"/>
          <w:b/>
          <w:bCs/>
          <w:color w:val="auto"/>
          <w:sz w:val="36"/>
          <w:szCs w:val="36"/>
          <w:highlight w:val="none"/>
          <w:lang w:val="zh-CN"/>
        </w:rPr>
        <w:t>简历表</w:t>
      </w:r>
    </w:p>
    <w:p>
      <w:pPr>
        <w:shd w:val="clear"/>
        <w:spacing w:line="420" w:lineRule="exact"/>
        <w:rPr>
          <w:rFonts w:hint="eastAsia" w:ascii="宋体" w:hAnsi="宋体" w:cs="宋体"/>
          <w:color w:val="auto"/>
          <w:szCs w:val="21"/>
          <w:highlight w:val="none"/>
        </w:rPr>
      </w:pPr>
    </w:p>
    <w:tbl>
      <w:tblPr>
        <w:tblStyle w:val="1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037"/>
        <w:gridCol w:w="1138"/>
        <w:gridCol w:w="1279"/>
        <w:gridCol w:w="1847"/>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95" w:type="dxa"/>
            <w:noWrap w:val="0"/>
            <w:vAlign w:val="center"/>
          </w:tcPr>
          <w:p>
            <w:pPr>
              <w:shd w:val="clea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姓  名</w:t>
            </w:r>
          </w:p>
        </w:tc>
        <w:tc>
          <w:tcPr>
            <w:tcW w:w="1037" w:type="dxa"/>
            <w:noWrap w:val="0"/>
            <w:vAlign w:val="center"/>
          </w:tcPr>
          <w:p>
            <w:pPr>
              <w:shd w:val="clear"/>
              <w:jc w:val="center"/>
              <w:rPr>
                <w:rFonts w:hint="eastAsia" w:ascii="宋体" w:hAnsi="宋体" w:cs="宋体"/>
                <w:color w:val="auto"/>
                <w:sz w:val="24"/>
                <w:szCs w:val="24"/>
                <w:highlight w:val="none"/>
              </w:rPr>
            </w:pPr>
          </w:p>
        </w:tc>
        <w:tc>
          <w:tcPr>
            <w:tcW w:w="1138" w:type="dxa"/>
            <w:noWrap w:val="0"/>
            <w:vAlign w:val="center"/>
          </w:tcPr>
          <w:p>
            <w:pPr>
              <w:shd w:val="clea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年  龄</w:t>
            </w:r>
          </w:p>
        </w:tc>
        <w:tc>
          <w:tcPr>
            <w:tcW w:w="1279" w:type="dxa"/>
            <w:noWrap w:val="0"/>
            <w:vAlign w:val="center"/>
          </w:tcPr>
          <w:p>
            <w:pPr>
              <w:shd w:val="clear"/>
              <w:jc w:val="center"/>
              <w:rPr>
                <w:rFonts w:hint="eastAsia" w:ascii="宋体" w:hAnsi="宋体" w:cs="宋体"/>
                <w:color w:val="auto"/>
                <w:sz w:val="24"/>
                <w:szCs w:val="24"/>
                <w:highlight w:val="none"/>
              </w:rPr>
            </w:pPr>
          </w:p>
        </w:tc>
        <w:tc>
          <w:tcPr>
            <w:tcW w:w="1847" w:type="dxa"/>
            <w:noWrap w:val="0"/>
            <w:vAlign w:val="center"/>
          </w:tcPr>
          <w:p>
            <w:pPr>
              <w:shd w:val="clea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学历</w:t>
            </w:r>
          </w:p>
        </w:tc>
        <w:tc>
          <w:tcPr>
            <w:tcW w:w="2132" w:type="dxa"/>
            <w:noWrap w:val="0"/>
            <w:vAlign w:val="center"/>
          </w:tcPr>
          <w:p>
            <w:pPr>
              <w:shd w:val="clear"/>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95" w:type="dxa"/>
            <w:noWrap w:val="0"/>
            <w:vAlign w:val="center"/>
          </w:tcPr>
          <w:p>
            <w:pPr>
              <w:shd w:val="clea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职  称</w:t>
            </w:r>
          </w:p>
        </w:tc>
        <w:tc>
          <w:tcPr>
            <w:tcW w:w="1037" w:type="dxa"/>
            <w:noWrap w:val="0"/>
            <w:vAlign w:val="center"/>
          </w:tcPr>
          <w:p>
            <w:pPr>
              <w:shd w:val="clear"/>
              <w:jc w:val="center"/>
              <w:rPr>
                <w:rFonts w:hint="eastAsia" w:ascii="宋体" w:hAnsi="宋体" w:cs="宋体"/>
                <w:color w:val="auto"/>
                <w:sz w:val="24"/>
                <w:szCs w:val="24"/>
                <w:highlight w:val="none"/>
              </w:rPr>
            </w:pPr>
          </w:p>
        </w:tc>
        <w:tc>
          <w:tcPr>
            <w:tcW w:w="1138" w:type="dxa"/>
            <w:noWrap w:val="0"/>
            <w:vAlign w:val="center"/>
          </w:tcPr>
          <w:p>
            <w:pPr>
              <w:shd w:val="clea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职  务</w:t>
            </w:r>
          </w:p>
        </w:tc>
        <w:tc>
          <w:tcPr>
            <w:tcW w:w="1279" w:type="dxa"/>
            <w:noWrap w:val="0"/>
            <w:vAlign w:val="center"/>
          </w:tcPr>
          <w:p>
            <w:pPr>
              <w:shd w:val="clear"/>
              <w:jc w:val="center"/>
              <w:rPr>
                <w:rFonts w:hint="eastAsia" w:ascii="宋体" w:hAnsi="宋体" w:cs="宋体"/>
                <w:color w:val="auto"/>
                <w:sz w:val="24"/>
                <w:szCs w:val="24"/>
                <w:highlight w:val="none"/>
              </w:rPr>
            </w:pPr>
          </w:p>
        </w:tc>
        <w:tc>
          <w:tcPr>
            <w:tcW w:w="1847" w:type="dxa"/>
            <w:noWrap w:val="0"/>
            <w:vAlign w:val="center"/>
          </w:tcPr>
          <w:p>
            <w:pPr>
              <w:shd w:val="clea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拟在本工程任职</w:t>
            </w:r>
          </w:p>
        </w:tc>
        <w:tc>
          <w:tcPr>
            <w:tcW w:w="2132" w:type="dxa"/>
            <w:noWrap w:val="0"/>
            <w:vAlign w:val="center"/>
          </w:tcPr>
          <w:p>
            <w:pPr>
              <w:shd w:val="clear"/>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zh-CN"/>
              </w:rPr>
              <w:t>项目</w:t>
            </w:r>
            <w:r>
              <w:rPr>
                <w:rFonts w:hint="eastAsia" w:ascii="宋体" w:hAnsi="宋体" w:cs="宋体"/>
                <w:color w:val="auto"/>
                <w:sz w:val="24"/>
                <w:szCs w:val="24"/>
                <w:highlight w:val="none"/>
              </w:rPr>
              <w:t>负责人（兼施工负责人）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270" w:type="dxa"/>
            <w:gridSpan w:val="3"/>
            <w:noWrap w:val="0"/>
            <w:vAlign w:val="center"/>
          </w:tcPr>
          <w:p>
            <w:pPr>
              <w:shd w:val="clea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注册建造师执业资格等级</w:t>
            </w:r>
          </w:p>
        </w:tc>
        <w:tc>
          <w:tcPr>
            <w:tcW w:w="1279" w:type="dxa"/>
            <w:noWrap w:val="0"/>
            <w:vAlign w:val="center"/>
          </w:tcPr>
          <w:p>
            <w:pPr>
              <w:shd w:val="clea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级</w:t>
            </w:r>
          </w:p>
        </w:tc>
        <w:tc>
          <w:tcPr>
            <w:tcW w:w="1847" w:type="dxa"/>
            <w:noWrap w:val="0"/>
            <w:vAlign w:val="center"/>
          </w:tcPr>
          <w:p>
            <w:pPr>
              <w:shd w:val="clea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建造师专业</w:t>
            </w:r>
          </w:p>
        </w:tc>
        <w:tc>
          <w:tcPr>
            <w:tcW w:w="2132" w:type="dxa"/>
            <w:noWrap w:val="0"/>
            <w:vAlign w:val="center"/>
          </w:tcPr>
          <w:p>
            <w:pPr>
              <w:shd w:val="clear"/>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270" w:type="dxa"/>
            <w:gridSpan w:val="3"/>
            <w:noWrap w:val="0"/>
            <w:vAlign w:val="center"/>
          </w:tcPr>
          <w:p>
            <w:pPr>
              <w:shd w:val="clea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安全生产考核合格证书</w:t>
            </w:r>
          </w:p>
        </w:tc>
        <w:tc>
          <w:tcPr>
            <w:tcW w:w="5258" w:type="dxa"/>
            <w:gridSpan w:val="3"/>
            <w:noWrap w:val="0"/>
            <w:vAlign w:val="center"/>
          </w:tcPr>
          <w:p>
            <w:pPr>
              <w:shd w:val="clear"/>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95" w:type="dxa"/>
            <w:noWrap w:val="0"/>
            <w:vAlign w:val="center"/>
          </w:tcPr>
          <w:p>
            <w:pPr>
              <w:shd w:val="clea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7433" w:type="dxa"/>
            <w:gridSpan w:val="5"/>
            <w:noWrap w:val="0"/>
            <w:vAlign w:val="center"/>
          </w:tcPr>
          <w:p>
            <w:pPr>
              <w:shd w:val="clear"/>
              <w:ind w:firstLine="960" w:firstLineChars="400"/>
              <w:rPr>
                <w:rFonts w:hint="eastAsia" w:ascii="宋体" w:hAnsi="宋体" w:cs="宋体"/>
                <w:color w:val="auto"/>
                <w:sz w:val="24"/>
                <w:szCs w:val="24"/>
                <w:highlight w:val="none"/>
              </w:rPr>
            </w:pPr>
            <w:r>
              <w:rPr>
                <w:rFonts w:hint="eastAsia" w:ascii="宋体" w:hAnsi="宋体" w:cs="宋体"/>
                <w:color w:val="auto"/>
                <w:sz w:val="24"/>
                <w:szCs w:val="24"/>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8" w:type="dxa"/>
            <w:gridSpan w:val="6"/>
            <w:noWrap w:val="0"/>
            <w:vAlign w:val="center"/>
          </w:tcPr>
          <w:p>
            <w:pPr>
              <w:shd w:val="clea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95" w:type="dxa"/>
            <w:noWrap w:val="0"/>
            <w:vAlign w:val="center"/>
          </w:tcPr>
          <w:p>
            <w:pPr>
              <w:shd w:val="clea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时  间</w:t>
            </w:r>
          </w:p>
        </w:tc>
        <w:tc>
          <w:tcPr>
            <w:tcW w:w="3454" w:type="dxa"/>
            <w:gridSpan w:val="3"/>
            <w:noWrap w:val="0"/>
            <w:vAlign w:val="center"/>
          </w:tcPr>
          <w:p>
            <w:pPr>
              <w:shd w:val="clea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参加过的类似项目名称</w:t>
            </w:r>
          </w:p>
        </w:tc>
        <w:tc>
          <w:tcPr>
            <w:tcW w:w="1847" w:type="dxa"/>
            <w:noWrap w:val="0"/>
            <w:vAlign w:val="center"/>
          </w:tcPr>
          <w:p>
            <w:pPr>
              <w:shd w:val="clea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工程概况说明</w:t>
            </w:r>
          </w:p>
        </w:tc>
        <w:tc>
          <w:tcPr>
            <w:tcW w:w="2132" w:type="dxa"/>
            <w:noWrap w:val="0"/>
            <w:vAlign w:val="center"/>
          </w:tcPr>
          <w:p>
            <w:pPr>
              <w:shd w:val="clea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95" w:type="dxa"/>
            <w:noWrap w:val="0"/>
            <w:vAlign w:val="center"/>
          </w:tcPr>
          <w:p>
            <w:pPr>
              <w:shd w:val="clear"/>
              <w:jc w:val="center"/>
              <w:rPr>
                <w:rFonts w:hint="eastAsia" w:ascii="宋体" w:hAnsi="宋体" w:cs="宋体"/>
                <w:color w:val="auto"/>
                <w:sz w:val="24"/>
                <w:szCs w:val="24"/>
                <w:highlight w:val="none"/>
              </w:rPr>
            </w:pPr>
          </w:p>
        </w:tc>
        <w:tc>
          <w:tcPr>
            <w:tcW w:w="3454" w:type="dxa"/>
            <w:gridSpan w:val="3"/>
            <w:noWrap w:val="0"/>
            <w:vAlign w:val="center"/>
          </w:tcPr>
          <w:p>
            <w:pPr>
              <w:shd w:val="clear"/>
              <w:jc w:val="center"/>
              <w:rPr>
                <w:rFonts w:hint="eastAsia" w:ascii="宋体" w:hAnsi="宋体" w:cs="宋体"/>
                <w:color w:val="auto"/>
                <w:sz w:val="24"/>
                <w:szCs w:val="24"/>
                <w:highlight w:val="none"/>
              </w:rPr>
            </w:pPr>
          </w:p>
        </w:tc>
        <w:tc>
          <w:tcPr>
            <w:tcW w:w="1847" w:type="dxa"/>
            <w:noWrap w:val="0"/>
            <w:vAlign w:val="center"/>
          </w:tcPr>
          <w:p>
            <w:pPr>
              <w:shd w:val="clear"/>
              <w:jc w:val="center"/>
              <w:rPr>
                <w:rFonts w:hint="eastAsia" w:ascii="宋体" w:hAnsi="宋体" w:cs="宋体"/>
                <w:color w:val="auto"/>
                <w:sz w:val="24"/>
                <w:szCs w:val="24"/>
                <w:highlight w:val="none"/>
              </w:rPr>
            </w:pPr>
          </w:p>
        </w:tc>
        <w:tc>
          <w:tcPr>
            <w:tcW w:w="2132" w:type="dxa"/>
            <w:noWrap w:val="0"/>
            <w:vAlign w:val="center"/>
          </w:tcPr>
          <w:p>
            <w:pPr>
              <w:shd w:val="clear"/>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95" w:type="dxa"/>
            <w:noWrap w:val="0"/>
            <w:vAlign w:val="center"/>
          </w:tcPr>
          <w:p>
            <w:pPr>
              <w:shd w:val="clear"/>
              <w:jc w:val="center"/>
              <w:rPr>
                <w:rFonts w:hint="eastAsia" w:ascii="宋体" w:hAnsi="宋体" w:cs="宋体"/>
                <w:color w:val="auto"/>
                <w:sz w:val="24"/>
                <w:szCs w:val="24"/>
                <w:highlight w:val="none"/>
              </w:rPr>
            </w:pPr>
          </w:p>
        </w:tc>
        <w:tc>
          <w:tcPr>
            <w:tcW w:w="3454" w:type="dxa"/>
            <w:gridSpan w:val="3"/>
            <w:noWrap w:val="0"/>
            <w:vAlign w:val="center"/>
          </w:tcPr>
          <w:p>
            <w:pPr>
              <w:shd w:val="clear"/>
              <w:jc w:val="center"/>
              <w:rPr>
                <w:rFonts w:hint="eastAsia" w:ascii="宋体" w:hAnsi="宋体" w:cs="宋体"/>
                <w:color w:val="auto"/>
                <w:sz w:val="24"/>
                <w:szCs w:val="24"/>
                <w:highlight w:val="none"/>
              </w:rPr>
            </w:pPr>
          </w:p>
        </w:tc>
        <w:tc>
          <w:tcPr>
            <w:tcW w:w="1847" w:type="dxa"/>
            <w:noWrap w:val="0"/>
            <w:vAlign w:val="center"/>
          </w:tcPr>
          <w:p>
            <w:pPr>
              <w:shd w:val="clear"/>
              <w:jc w:val="center"/>
              <w:rPr>
                <w:rFonts w:hint="eastAsia" w:ascii="宋体" w:hAnsi="宋体" w:cs="宋体"/>
                <w:color w:val="auto"/>
                <w:sz w:val="24"/>
                <w:szCs w:val="24"/>
                <w:highlight w:val="none"/>
              </w:rPr>
            </w:pPr>
          </w:p>
        </w:tc>
        <w:tc>
          <w:tcPr>
            <w:tcW w:w="2132" w:type="dxa"/>
            <w:noWrap w:val="0"/>
            <w:vAlign w:val="center"/>
          </w:tcPr>
          <w:p>
            <w:pPr>
              <w:shd w:val="clear"/>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95" w:type="dxa"/>
            <w:noWrap w:val="0"/>
            <w:vAlign w:val="center"/>
          </w:tcPr>
          <w:p>
            <w:pPr>
              <w:shd w:val="clear"/>
              <w:jc w:val="center"/>
              <w:rPr>
                <w:rFonts w:hint="eastAsia" w:ascii="宋体" w:hAnsi="宋体" w:cs="宋体"/>
                <w:color w:val="auto"/>
                <w:sz w:val="24"/>
                <w:szCs w:val="24"/>
                <w:highlight w:val="none"/>
              </w:rPr>
            </w:pPr>
          </w:p>
        </w:tc>
        <w:tc>
          <w:tcPr>
            <w:tcW w:w="3454" w:type="dxa"/>
            <w:gridSpan w:val="3"/>
            <w:noWrap w:val="0"/>
            <w:vAlign w:val="center"/>
          </w:tcPr>
          <w:p>
            <w:pPr>
              <w:shd w:val="clear"/>
              <w:jc w:val="center"/>
              <w:rPr>
                <w:rFonts w:hint="eastAsia" w:ascii="宋体" w:hAnsi="宋体" w:cs="宋体"/>
                <w:color w:val="auto"/>
                <w:sz w:val="24"/>
                <w:szCs w:val="24"/>
                <w:highlight w:val="none"/>
              </w:rPr>
            </w:pPr>
          </w:p>
        </w:tc>
        <w:tc>
          <w:tcPr>
            <w:tcW w:w="1847" w:type="dxa"/>
            <w:noWrap w:val="0"/>
            <w:vAlign w:val="center"/>
          </w:tcPr>
          <w:p>
            <w:pPr>
              <w:shd w:val="clear"/>
              <w:jc w:val="center"/>
              <w:rPr>
                <w:rFonts w:hint="eastAsia" w:ascii="宋体" w:hAnsi="宋体" w:cs="宋体"/>
                <w:color w:val="auto"/>
                <w:sz w:val="24"/>
                <w:szCs w:val="24"/>
                <w:highlight w:val="none"/>
              </w:rPr>
            </w:pPr>
          </w:p>
        </w:tc>
        <w:tc>
          <w:tcPr>
            <w:tcW w:w="2132" w:type="dxa"/>
            <w:noWrap w:val="0"/>
            <w:vAlign w:val="center"/>
          </w:tcPr>
          <w:p>
            <w:pPr>
              <w:shd w:val="clear"/>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95" w:type="dxa"/>
            <w:noWrap w:val="0"/>
            <w:vAlign w:val="center"/>
          </w:tcPr>
          <w:p>
            <w:pPr>
              <w:shd w:val="clear"/>
              <w:jc w:val="center"/>
              <w:rPr>
                <w:rFonts w:hint="eastAsia" w:ascii="宋体" w:hAnsi="宋体" w:cs="宋体"/>
                <w:color w:val="auto"/>
                <w:sz w:val="24"/>
                <w:szCs w:val="24"/>
                <w:highlight w:val="none"/>
              </w:rPr>
            </w:pPr>
          </w:p>
        </w:tc>
        <w:tc>
          <w:tcPr>
            <w:tcW w:w="3454" w:type="dxa"/>
            <w:gridSpan w:val="3"/>
            <w:noWrap w:val="0"/>
            <w:vAlign w:val="center"/>
          </w:tcPr>
          <w:p>
            <w:pPr>
              <w:shd w:val="clear"/>
              <w:jc w:val="center"/>
              <w:rPr>
                <w:rFonts w:hint="eastAsia" w:ascii="宋体" w:hAnsi="宋体" w:cs="宋体"/>
                <w:color w:val="auto"/>
                <w:sz w:val="24"/>
                <w:szCs w:val="24"/>
                <w:highlight w:val="none"/>
              </w:rPr>
            </w:pPr>
          </w:p>
        </w:tc>
        <w:tc>
          <w:tcPr>
            <w:tcW w:w="1847" w:type="dxa"/>
            <w:noWrap w:val="0"/>
            <w:vAlign w:val="center"/>
          </w:tcPr>
          <w:p>
            <w:pPr>
              <w:shd w:val="clear"/>
              <w:jc w:val="center"/>
              <w:rPr>
                <w:rFonts w:hint="eastAsia" w:ascii="宋体" w:hAnsi="宋体" w:cs="宋体"/>
                <w:color w:val="auto"/>
                <w:sz w:val="24"/>
                <w:szCs w:val="24"/>
                <w:highlight w:val="none"/>
              </w:rPr>
            </w:pPr>
          </w:p>
        </w:tc>
        <w:tc>
          <w:tcPr>
            <w:tcW w:w="2132" w:type="dxa"/>
            <w:noWrap w:val="0"/>
            <w:vAlign w:val="center"/>
          </w:tcPr>
          <w:p>
            <w:pPr>
              <w:shd w:val="clear"/>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95" w:type="dxa"/>
            <w:noWrap w:val="0"/>
            <w:vAlign w:val="center"/>
          </w:tcPr>
          <w:p>
            <w:pPr>
              <w:shd w:val="clear"/>
              <w:jc w:val="center"/>
              <w:rPr>
                <w:rFonts w:hint="eastAsia" w:ascii="宋体" w:hAnsi="宋体" w:cs="宋体"/>
                <w:color w:val="auto"/>
                <w:sz w:val="24"/>
                <w:szCs w:val="24"/>
                <w:highlight w:val="none"/>
              </w:rPr>
            </w:pPr>
          </w:p>
        </w:tc>
        <w:tc>
          <w:tcPr>
            <w:tcW w:w="3454" w:type="dxa"/>
            <w:gridSpan w:val="3"/>
            <w:noWrap w:val="0"/>
            <w:vAlign w:val="center"/>
          </w:tcPr>
          <w:p>
            <w:pPr>
              <w:shd w:val="clear"/>
              <w:jc w:val="center"/>
              <w:rPr>
                <w:rFonts w:hint="eastAsia" w:ascii="宋体" w:hAnsi="宋体" w:cs="宋体"/>
                <w:color w:val="auto"/>
                <w:sz w:val="24"/>
                <w:szCs w:val="24"/>
                <w:highlight w:val="none"/>
              </w:rPr>
            </w:pPr>
          </w:p>
        </w:tc>
        <w:tc>
          <w:tcPr>
            <w:tcW w:w="1847" w:type="dxa"/>
            <w:noWrap w:val="0"/>
            <w:vAlign w:val="center"/>
          </w:tcPr>
          <w:p>
            <w:pPr>
              <w:shd w:val="clear"/>
              <w:jc w:val="center"/>
              <w:rPr>
                <w:rFonts w:hint="eastAsia" w:ascii="宋体" w:hAnsi="宋体" w:cs="宋体"/>
                <w:color w:val="auto"/>
                <w:sz w:val="24"/>
                <w:szCs w:val="24"/>
                <w:highlight w:val="none"/>
              </w:rPr>
            </w:pPr>
          </w:p>
        </w:tc>
        <w:tc>
          <w:tcPr>
            <w:tcW w:w="2132" w:type="dxa"/>
            <w:noWrap w:val="0"/>
            <w:vAlign w:val="center"/>
          </w:tcPr>
          <w:p>
            <w:pPr>
              <w:shd w:val="clear"/>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95" w:type="dxa"/>
            <w:noWrap w:val="0"/>
            <w:vAlign w:val="center"/>
          </w:tcPr>
          <w:p>
            <w:pPr>
              <w:shd w:val="clear"/>
              <w:jc w:val="center"/>
              <w:rPr>
                <w:rFonts w:hint="eastAsia" w:ascii="宋体" w:hAnsi="宋体" w:cs="宋体"/>
                <w:color w:val="auto"/>
                <w:sz w:val="24"/>
                <w:szCs w:val="24"/>
                <w:highlight w:val="none"/>
              </w:rPr>
            </w:pPr>
          </w:p>
        </w:tc>
        <w:tc>
          <w:tcPr>
            <w:tcW w:w="3454" w:type="dxa"/>
            <w:gridSpan w:val="3"/>
            <w:noWrap w:val="0"/>
            <w:vAlign w:val="center"/>
          </w:tcPr>
          <w:p>
            <w:pPr>
              <w:shd w:val="clear"/>
              <w:jc w:val="center"/>
              <w:rPr>
                <w:rFonts w:hint="eastAsia" w:ascii="宋体" w:hAnsi="宋体" w:cs="宋体"/>
                <w:color w:val="auto"/>
                <w:sz w:val="24"/>
                <w:szCs w:val="24"/>
                <w:highlight w:val="none"/>
              </w:rPr>
            </w:pPr>
          </w:p>
        </w:tc>
        <w:tc>
          <w:tcPr>
            <w:tcW w:w="1847" w:type="dxa"/>
            <w:noWrap w:val="0"/>
            <w:vAlign w:val="center"/>
          </w:tcPr>
          <w:p>
            <w:pPr>
              <w:shd w:val="clear"/>
              <w:jc w:val="center"/>
              <w:rPr>
                <w:rFonts w:hint="eastAsia" w:ascii="宋体" w:hAnsi="宋体" w:cs="宋体"/>
                <w:color w:val="auto"/>
                <w:sz w:val="24"/>
                <w:szCs w:val="24"/>
                <w:highlight w:val="none"/>
              </w:rPr>
            </w:pPr>
          </w:p>
        </w:tc>
        <w:tc>
          <w:tcPr>
            <w:tcW w:w="2132" w:type="dxa"/>
            <w:noWrap w:val="0"/>
            <w:vAlign w:val="center"/>
          </w:tcPr>
          <w:p>
            <w:pPr>
              <w:shd w:val="clear"/>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95" w:type="dxa"/>
            <w:noWrap w:val="0"/>
            <w:vAlign w:val="center"/>
          </w:tcPr>
          <w:p>
            <w:pPr>
              <w:shd w:val="clear"/>
              <w:jc w:val="center"/>
              <w:rPr>
                <w:rFonts w:hint="eastAsia" w:ascii="宋体" w:hAnsi="宋体" w:cs="宋体"/>
                <w:color w:val="auto"/>
                <w:sz w:val="24"/>
                <w:szCs w:val="24"/>
                <w:highlight w:val="none"/>
              </w:rPr>
            </w:pPr>
          </w:p>
        </w:tc>
        <w:tc>
          <w:tcPr>
            <w:tcW w:w="3454" w:type="dxa"/>
            <w:gridSpan w:val="3"/>
            <w:noWrap w:val="0"/>
            <w:vAlign w:val="center"/>
          </w:tcPr>
          <w:p>
            <w:pPr>
              <w:shd w:val="clear"/>
              <w:jc w:val="center"/>
              <w:rPr>
                <w:rFonts w:hint="eastAsia" w:ascii="宋体" w:hAnsi="宋体" w:cs="宋体"/>
                <w:color w:val="auto"/>
                <w:sz w:val="24"/>
                <w:szCs w:val="24"/>
                <w:highlight w:val="none"/>
              </w:rPr>
            </w:pPr>
          </w:p>
        </w:tc>
        <w:tc>
          <w:tcPr>
            <w:tcW w:w="1847" w:type="dxa"/>
            <w:noWrap w:val="0"/>
            <w:vAlign w:val="center"/>
          </w:tcPr>
          <w:p>
            <w:pPr>
              <w:shd w:val="clear"/>
              <w:jc w:val="center"/>
              <w:rPr>
                <w:rFonts w:hint="eastAsia" w:ascii="宋体" w:hAnsi="宋体" w:cs="宋体"/>
                <w:color w:val="auto"/>
                <w:sz w:val="24"/>
                <w:szCs w:val="24"/>
                <w:highlight w:val="none"/>
              </w:rPr>
            </w:pPr>
          </w:p>
        </w:tc>
        <w:tc>
          <w:tcPr>
            <w:tcW w:w="2132" w:type="dxa"/>
            <w:noWrap w:val="0"/>
            <w:vAlign w:val="center"/>
          </w:tcPr>
          <w:p>
            <w:pPr>
              <w:shd w:val="clear"/>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95" w:type="dxa"/>
            <w:noWrap w:val="0"/>
            <w:vAlign w:val="center"/>
          </w:tcPr>
          <w:p>
            <w:pPr>
              <w:shd w:val="clear"/>
              <w:jc w:val="center"/>
              <w:rPr>
                <w:rFonts w:hint="eastAsia" w:ascii="宋体" w:hAnsi="宋体" w:cs="宋体"/>
                <w:color w:val="auto"/>
                <w:sz w:val="24"/>
                <w:szCs w:val="24"/>
                <w:highlight w:val="none"/>
              </w:rPr>
            </w:pPr>
          </w:p>
        </w:tc>
        <w:tc>
          <w:tcPr>
            <w:tcW w:w="3454" w:type="dxa"/>
            <w:gridSpan w:val="3"/>
            <w:noWrap w:val="0"/>
            <w:vAlign w:val="center"/>
          </w:tcPr>
          <w:p>
            <w:pPr>
              <w:shd w:val="clear"/>
              <w:jc w:val="center"/>
              <w:rPr>
                <w:rFonts w:hint="eastAsia" w:ascii="宋体" w:hAnsi="宋体" w:cs="宋体"/>
                <w:color w:val="auto"/>
                <w:sz w:val="24"/>
                <w:szCs w:val="24"/>
                <w:highlight w:val="none"/>
              </w:rPr>
            </w:pPr>
          </w:p>
        </w:tc>
        <w:tc>
          <w:tcPr>
            <w:tcW w:w="1847" w:type="dxa"/>
            <w:noWrap w:val="0"/>
            <w:vAlign w:val="center"/>
          </w:tcPr>
          <w:p>
            <w:pPr>
              <w:shd w:val="clear"/>
              <w:jc w:val="center"/>
              <w:rPr>
                <w:rFonts w:hint="eastAsia" w:ascii="宋体" w:hAnsi="宋体" w:cs="宋体"/>
                <w:color w:val="auto"/>
                <w:sz w:val="24"/>
                <w:szCs w:val="24"/>
                <w:highlight w:val="none"/>
              </w:rPr>
            </w:pPr>
          </w:p>
        </w:tc>
        <w:tc>
          <w:tcPr>
            <w:tcW w:w="2132" w:type="dxa"/>
            <w:noWrap w:val="0"/>
            <w:vAlign w:val="center"/>
          </w:tcPr>
          <w:p>
            <w:pPr>
              <w:shd w:val="clear"/>
              <w:jc w:val="center"/>
              <w:rPr>
                <w:rFonts w:hint="eastAsia" w:ascii="宋体" w:hAnsi="宋体" w:cs="宋体"/>
                <w:color w:val="auto"/>
                <w:sz w:val="24"/>
                <w:szCs w:val="24"/>
                <w:highlight w:val="none"/>
              </w:rPr>
            </w:pPr>
          </w:p>
        </w:tc>
      </w:tr>
    </w:tbl>
    <w:p>
      <w:pPr>
        <w:pStyle w:val="2"/>
        <w:shd w:val="clear"/>
        <w:rPr>
          <w:rFonts w:hint="eastAsia" w:hAnsi="宋体" w:cs="宋体"/>
          <w:color w:val="auto"/>
          <w:szCs w:val="21"/>
          <w:highlight w:val="none"/>
        </w:rPr>
      </w:pPr>
    </w:p>
    <w:p>
      <w:pPr>
        <w:pStyle w:val="8"/>
        <w:shd w:val="clear"/>
        <w:rPr>
          <w:rFonts w:hint="eastAsia" w:ascii="宋体" w:hAnsi="宋体" w:cs="宋体"/>
          <w:color w:val="auto"/>
          <w:highlight w:val="none"/>
        </w:rPr>
      </w:pPr>
      <w:r>
        <w:rPr>
          <w:rFonts w:hint="eastAsia" w:ascii="宋体" w:hAnsi="宋体" w:cs="宋体"/>
          <w:color w:val="auto"/>
          <w:szCs w:val="21"/>
          <w:highlight w:val="none"/>
        </w:rPr>
        <w:br w:type="page"/>
      </w:r>
      <w:r>
        <w:rPr>
          <w:rFonts w:hint="eastAsia" w:ascii="宋体" w:hAnsi="宋体" w:cs="宋体"/>
          <w:b/>
          <w:color w:val="auto"/>
          <w:sz w:val="24"/>
          <w:szCs w:val="20"/>
          <w:highlight w:val="none"/>
        </w:rPr>
        <w:t>格式5：</w:t>
      </w:r>
    </w:p>
    <w:p>
      <w:pPr>
        <w:shd w:val="clear"/>
        <w:spacing w:line="360" w:lineRule="auto"/>
        <w:jc w:val="center"/>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投标承诺函</w:t>
      </w:r>
    </w:p>
    <w:p>
      <w:pPr>
        <w:shd w:val="clea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（招标人名称）：</w:t>
      </w:r>
    </w:p>
    <w:p>
      <w:pPr>
        <w:shd w:val="clear"/>
        <w:snapToGrid w:val="0"/>
        <w:spacing w:line="360" w:lineRule="auto"/>
        <w:ind w:firstLine="417" w:firstLineChars="174"/>
        <w:rPr>
          <w:rFonts w:hint="eastAsia" w:ascii="宋体" w:hAnsi="宋体" w:cs="宋体"/>
          <w:color w:val="auto"/>
          <w:sz w:val="24"/>
          <w:szCs w:val="24"/>
          <w:highlight w:val="none"/>
        </w:rPr>
      </w:pPr>
      <w:r>
        <w:rPr>
          <w:rFonts w:hint="eastAsia" w:ascii="宋体" w:hAnsi="宋体" w:cs="宋体"/>
          <w:color w:val="auto"/>
          <w:sz w:val="24"/>
          <w:szCs w:val="24"/>
          <w:highlight w:val="none"/>
        </w:rPr>
        <w:t>1．我方已仔细研究</w:t>
      </w:r>
      <w:r>
        <w:rPr>
          <w:rFonts w:hint="eastAsia" w:ascii="宋体" w:hAnsi="宋体" w:cs="宋体"/>
          <w:color w:val="auto"/>
          <w:sz w:val="24"/>
          <w:szCs w:val="24"/>
          <w:highlight w:val="none"/>
          <w:u w:val="single"/>
        </w:rPr>
        <w:t>了               （项目名称）</w:t>
      </w:r>
      <w:r>
        <w:rPr>
          <w:rFonts w:hint="eastAsia" w:ascii="宋体" w:hAnsi="宋体" w:cs="宋体"/>
          <w:color w:val="auto"/>
          <w:sz w:val="24"/>
          <w:szCs w:val="24"/>
          <w:highlight w:val="none"/>
        </w:rPr>
        <w:t>招标文件的全部内容，愿意以《投标书》中承诺的投标报价和工期，按合同约定进行设计、实施和竣工承包工程，修补工程中的任何缺陷，实现工程目的。我方充分了解了现场条件对可能存在的所有风险都已充分考虑，我方放弃在此方面提出含糊意见或误解的一切权力，承认招标文件的所有条款，按招标文件规定条款完成本次招标项目的内容。</w:t>
      </w:r>
    </w:p>
    <w:p>
      <w:pPr>
        <w:shd w:val="clear"/>
        <w:snapToGrid w:val="0"/>
        <w:spacing w:line="360" w:lineRule="auto"/>
        <w:ind w:firstLine="417" w:firstLineChars="174"/>
        <w:rPr>
          <w:rFonts w:hint="eastAsia" w:ascii="宋体" w:hAnsi="宋体" w:cs="宋体"/>
          <w:color w:val="auto"/>
          <w:sz w:val="24"/>
          <w:szCs w:val="24"/>
          <w:highlight w:val="none"/>
        </w:rPr>
      </w:pPr>
      <w:r>
        <w:rPr>
          <w:rFonts w:hint="eastAsia" w:ascii="宋体" w:hAnsi="宋体" w:cs="宋体"/>
          <w:color w:val="auto"/>
          <w:sz w:val="24"/>
          <w:szCs w:val="24"/>
          <w:highlight w:val="none"/>
        </w:rPr>
        <w:t>2. 我方已充分阅读了本项目招标文件并充分了解有关报价方式及变更、结算方式，我方完全响应招标文件的规定。</w:t>
      </w:r>
    </w:p>
    <w:p>
      <w:pPr>
        <w:pStyle w:val="2"/>
        <w:shd w:val="clear"/>
        <w:spacing w:line="360" w:lineRule="auto"/>
        <w:ind w:firstLine="417" w:firstLineChars="174"/>
        <w:rPr>
          <w:rFonts w:hint="eastAsia" w:hAnsi="宋体" w:cs="宋体"/>
          <w:color w:val="auto"/>
          <w:kern w:val="2"/>
          <w:sz w:val="24"/>
          <w:szCs w:val="24"/>
          <w:highlight w:val="none"/>
        </w:rPr>
      </w:pPr>
      <w:r>
        <w:rPr>
          <w:rFonts w:hint="eastAsia" w:hAnsi="宋体" w:cs="宋体"/>
          <w:color w:val="auto"/>
          <w:kern w:val="2"/>
          <w:sz w:val="24"/>
          <w:szCs w:val="24"/>
          <w:highlight w:val="none"/>
        </w:rPr>
        <w:t>3．我方承诺本项目工程质量达到竣工验收合格，符合设计图纸要求和现行《工程施工质量验收规范》合格标准。</w:t>
      </w:r>
    </w:p>
    <w:p>
      <w:pPr>
        <w:shd w:val="clear"/>
        <w:snapToGrid w:val="0"/>
        <w:spacing w:line="360" w:lineRule="auto"/>
        <w:ind w:firstLine="417" w:firstLineChars="174"/>
        <w:rPr>
          <w:rFonts w:hint="eastAsia" w:ascii="宋体" w:hAnsi="宋体" w:cs="宋体"/>
          <w:color w:val="auto"/>
          <w:sz w:val="24"/>
          <w:szCs w:val="24"/>
          <w:highlight w:val="none"/>
        </w:rPr>
      </w:pPr>
      <w:r>
        <w:rPr>
          <w:rFonts w:hint="eastAsia" w:ascii="宋体" w:hAnsi="宋体" w:cs="宋体"/>
          <w:color w:val="auto"/>
          <w:sz w:val="24"/>
          <w:szCs w:val="24"/>
          <w:highlight w:val="none"/>
        </w:rPr>
        <w:t>4．我方承诺投标文件中的一切资料、数据是真实的，并承担由此引起的一切责任。</w:t>
      </w:r>
    </w:p>
    <w:p>
      <w:pPr>
        <w:shd w:val="clear"/>
        <w:snapToGrid w:val="0"/>
        <w:spacing w:line="360" w:lineRule="auto"/>
        <w:ind w:firstLine="417" w:firstLineChars="174"/>
        <w:rPr>
          <w:rFonts w:hint="eastAsia" w:ascii="宋体" w:hAnsi="宋体" w:cs="宋体"/>
          <w:color w:val="auto"/>
          <w:sz w:val="24"/>
          <w:szCs w:val="24"/>
          <w:highlight w:val="none"/>
        </w:rPr>
      </w:pPr>
      <w:r>
        <w:rPr>
          <w:rFonts w:hint="eastAsia" w:ascii="宋体" w:hAnsi="宋体" w:cs="宋体"/>
          <w:color w:val="auto"/>
          <w:sz w:val="24"/>
          <w:szCs w:val="24"/>
          <w:highlight w:val="none"/>
        </w:rPr>
        <w:t>5．我方承诺在招标文件规定的投标有效期内不修改、撤销投标文件。</w:t>
      </w:r>
    </w:p>
    <w:p>
      <w:pPr>
        <w:shd w:val="clear"/>
        <w:snapToGrid w:val="0"/>
        <w:spacing w:line="360" w:lineRule="auto"/>
        <w:ind w:firstLine="417" w:firstLineChars="174"/>
        <w:rPr>
          <w:rFonts w:hint="eastAsia" w:ascii="宋体" w:hAnsi="宋体" w:cs="宋体"/>
          <w:color w:val="auto"/>
          <w:sz w:val="24"/>
          <w:szCs w:val="24"/>
          <w:highlight w:val="none"/>
        </w:rPr>
      </w:pPr>
      <w:r>
        <w:rPr>
          <w:rFonts w:hint="eastAsia" w:ascii="宋体" w:hAnsi="宋体" w:cs="宋体"/>
          <w:color w:val="auto"/>
          <w:sz w:val="24"/>
          <w:szCs w:val="24"/>
          <w:highlight w:val="none"/>
        </w:rPr>
        <w:t>6．我方如果中标，我方保证：</w:t>
      </w:r>
    </w:p>
    <w:p>
      <w:pPr>
        <w:shd w:val="clear"/>
        <w:snapToGrid w:val="0"/>
        <w:spacing w:line="360" w:lineRule="auto"/>
        <w:ind w:firstLine="417" w:firstLineChars="174"/>
        <w:rPr>
          <w:rFonts w:hint="eastAsia" w:ascii="宋体" w:hAnsi="宋体" w:cs="宋体"/>
          <w:color w:val="auto"/>
          <w:sz w:val="24"/>
          <w:szCs w:val="24"/>
          <w:highlight w:val="none"/>
        </w:rPr>
      </w:pPr>
      <w:r>
        <w:rPr>
          <w:rFonts w:hint="eastAsia" w:ascii="宋体" w:hAnsi="宋体" w:cs="宋体"/>
          <w:color w:val="auto"/>
          <w:sz w:val="24"/>
          <w:szCs w:val="24"/>
          <w:highlight w:val="none"/>
        </w:rPr>
        <w:t>（1）保证履行招标文件以及招标文件修改书(如有)中的全部责任和义务，在中标通知书规定的时间内签订合同，并严格按国家有关法规履行我方的全部责任，按质、按量、按期完成合同约定的全部任务。</w:t>
      </w:r>
    </w:p>
    <w:p>
      <w:pPr>
        <w:shd w:val="clear"/>
        <w:snapToGrid w:val="0"/>
        <w:spacing w:line="360" w:lineRule="auto"/>
        <w:ind w:firstLine="417" w:firstLineChars="174"/>
        <w:rPr>
          <w:rFonts w:hint="eastAsia" w:ascii="宋体" w:hAnsi="宋体" w:cs="宋体"/>
          <w:color w:val="auto"/>
          <w:sz w:val="24"/>
          <w:szCs w:val="24"/>
          <w:highlight w:val="none"/>
        </w:rPr>
      </w:pPr>
      <w:r>
        <w:rPr>
          <w:rFonts w:hint="eastAsia" w:ascii="宋体" w:hAnsi="宋体" w:cs="宋体"/>
          <w:color w:val="auto"/>
          <w:sz w:val="24"/>
          <w:szCs w:val="24"/>
          <w:highlight w:val="none"/>
        </w:rPr>
        <w:t>（2）保证将我方的资质承包范围不能涵盖或不具备相应能力(该能力须保证进度和质量且须获得发包人认可)的部分专业工程（如果有），委托获得发包人批准的具备相应专业资质和能力的单位实施，确保项目质量及进度。</w:t>
      </w:r>
    </w:p>
    <w:p>
      <w:pPr>
        <w:shd w:val="clear"/>
        <w:snapToGrid w:val="0"/>
        <w:spacing w:line="360" w:lineRule="auto"/>
        <w:ind w:firstLine="417" w:firstLineChars="174"/>
        <w:rPr>
          <w:rFonts w:hint="eastAsia" w:ascii="宋体" w:hAnsi="宋体" w:cs="宋体"/>
          <w:color w:val="auto"/>
          <w:sz w:val="24"/>
          <w:szCs w:val="24"/>
          <w:highlight w:val="none"/>
        </w:rPr>
      </w:pPr>
      <w:r>
        <w:rPr>
          <w:rFonts w:hint="eastAsia" w:ascii="宋体" w:hAnsi="宋体" w:cs="宋体"/>
          <w:color w:val="auto"/>
          <w:sz w:val="24"/>
          <w:szCs w:val="24"/>
          <w:highlight w:val="none"/>
        </w:rPr>
        <w:t>（3）保证所完成的设计将完全符合国家相关规范要求，符合或优于招标文件、技术条件、合同条款的要求。若我方完成的设计文件未能达到发包人（或相关政府部门）的要求，我方将无条件根据要求进行修改设计文件，直至得到发包人（及相关政府部门）的认可为止。</w:t>
      </w:r>
    </w:p>
    <w:p>
      <w:pPr>
        <w:shd w:val="clear"/>
        <w:snapToGrid w:val="0"/>
        <w:spacing w:line="360" w:lineRule="auto"/>
        <w:ind w:firstLine="417" w:firstLineChars="174"/>
        <w:rPr>
          <w:rFonts w:hint="eastAsia" w:ascii="宋体" w:hAnsi="宋体" w:cs="宋体"/>
          <w:color w:val="auto"/>
          <w:sz w:val="24"/>
          <w:szCs w:val="24"/>
          <w:highlight w:val="none"/>
        </w:rPr>
      </w:pPr>
      <w:r>
        <w:rPr>
          <w:rFonts w:hint="eastAsia" w:ascii="宋体" w:hAnsi="宋体" w:cs="宋体"/>
          <w:color w:val="auto"/>
          <w:sz w:val="24"/>
          <w:szCs w:val="24"/>
          <w:highlight w:val="none"/>
        </w:rPr>
        <w:t>（4）保证尽一切力量确保投标承诺的竣工日期，若我方未能按投标承诺的工期完成本项目，除承担合同约定的违约责任外，发包人有权解除合同，我方承担由于违约解除合同退场造成的对发包人的一切损失。</w:t>
      </w:r>
    </w:p>
    <w:p>
      <w:pPr>
        <w:shd w:val="clear"/>
        <w:snapToGrid w:val="0"/>
        <w:spacing w:line="360" w:lineRule="auto"/>
        <w:ind w:firstLine="417" w:firstLineChars="174"/>
        <w:rPr>
          <w:rFonts w:hint="eastAsia" w:ascii="宋体" w:hAnsi="宋体" w:cs="宋体"/>
          <w:color w:val="auto"/>
          <w:sz w:val="24"/>
          <w:szCs w:val="24"/>
          <w:highlight w:val="none"/>
        </w:rPr>
      </w:pPr>
      <w:r>
        <w:rPr>
          <w:rFonts w:hint="eastAsia" w:ascii="宋体" w:hAnsi="宋体" w:cs="宋体"/>
          <w:color w:val="auto"/>
          <w:sz w:val="24"/>
          <w:szCs w:val="24"/>
          <w:highlight w:val="none"/>
        </w:rPr>
        <w:t>（5）保证所投入本项目的主要材料、设备质量符合或优于招标文件要求，所投入本项目的辅助设备、材料与主主要材料、设备质量一致并有良好的配套性。</w:t>
      </w:r>
    </w:p>
    <w:p>
      <w:pPr>
        <w:shd w:val="clear"/>
        <w:snapToGrid w:val="0"/>
        <w:spacing w:line="360" w:lineRule="auto"/>
        <w:ind w:firstLine="417" w:firstLineChars="174"/>
        <w:rPr>
          <w:rFonts w:hint="eastAsia" w:ascii="宋体" w:hAnsi="宋体" w:cs="宋体"/>
          <w:color w:val="auto"/>
          <w:sz w:val="24"/>
          <w:szCs w:val="24"/>
          <w:highlight w:val="none"/>
        </w:rPr>
      </w:pPr>
      <w:r>
        <w:rPr>
          <w:rFonts w:hint="eastAsia" w:ascii="宋体" w:hAnsi="宋体" w:cs="宋体"/>
          <w:color w:val="auto"/>
          <w:sz w:val="24"/>
          <w:szCs w:val="24"/>
          <w:highlight w:val="none"/>
        </w:rPr>
        <w:t>（6）保证按照招标文件的要求确保安全生产及文明施工，如有违反，我方愿意按合同约定承担违约责任，并为此负相关的法律责任。</w:t>
      </w:r>
    </w:p>
    <w:p>
      <w:pPr>
        <w:shd w:val="clear"/>
        <w:snapToGrid w:val="0"/>
        <w:spacing w:line="360" w:lineRule="auto"/>
        <w:ind w:firstLine="417" w:firstLineChars="174"/>
        <w:rPr>
          <w:rFonts w:hint="eastAsia" w:ascii="宋体" w:hAnsi="宋体" w:cs="宋体"/>
          <w:color w:val="auto"/>
          <w:sz w:val="24"/>
          <w:szCs w:val="24"/>
          <w:highlight w:val="none"/>
        </w:rPr>
      </w:pPr>
      <w:r>
        <w:rPr>
          <w:rFonts w:hint="eastAsia" w:ascii="宋体" w:hAnsi="宋体" w:cs="宋体"/>
          <w:color w:val="auto"/>
          <w:sz w:val="24"/>
          <w:szCs w:val="24"/>
          <w:highlight w:val="none"/>
        </w:rPr>
        <w:t>（7）保证按国家的有关规定制订保证民工工资支付的方案及保证措施，否则，我方愿按合同条款规定承担违约责任并赔偿发包人的全部损失。</w:t>
      </w:r>
    </w:p>
    <w:p>
      <w:pPr>
        <w:shd w:val="clear"/>
        <w:snapToGrid w:val="0"/>
        <w:spacing w:line="360" w:lineRule="auto"/>
        <w:ind w:firstLine="417" w:firstLineChars="174"/>
        <w:rPr>
          <w:rFonts w:hint="eastAsia" w:ascii="宋体" w:hAnsi="宋体" w:cs="宋体"/>
          <w:color w:val="auto"/>
          <w:sz w:val="24"/>
          <w:szCs w:val="24"/>
          <w:highlight w:val="none"/>
        </w:rPr>
      </w:pPr>
      <w:r>
        <w:rPr>
          <w:rFonts w:hint="eastAsia" w:ascii="宋体" w:hAnsi="宋体" w:cs="宋体"/>
          <w:color w:val="auto"/>
          <w:sz w:val="24"/>
          <w:szCs w:val="24"/>
          <w:highlight w:val="none"/>
        </w:rPr>
        <w:t>（8）保证按施工期间做好安全文明和交通保证措施，施工区全封闭围挡，根据工程进度计划分段施工分期围挡。最大限度满足交通和市民出行方便，施工行为做到便民，不扰民。</w:t>
      </w:r>
    </w:p>
    <w:p>
      <w:pPr>
        <w:shd w:val="clear"/>
        <w:snapToGrid w:val="0"/>
        <w:spacing w:line="360" w:lineRule="auto"/>
        <w:ind w:firstLine="417" w:firstLineChars="174"/>
        <w:rPr>
          <w:rFonts w:hint="eastAsia" w:ascii="宋体" w:hAnsi="宋体" w:cs="宋体"/>
          <w:color w:val="auto"/>
          <w:sz w:val="24"/>
          <w:szCs w:val="24"/>
          <w:highlight w:val="none"/>
        </w:rPr>
      </w:pPr>
      <w:r>
        <w:rPr>
          <w:rFonts w:hint="eastAsia" w:ascii="宋体" w:hAnsi="宋体" w:cs="宋体"/>
          <w:color w:val="auto"/>
          <w:sz w:val="24"/>
          <w:szCs w:val="24"/>
          <w:highlight w:val="none"/>
        </w:rPr>
        <w:t>（9）保证按发包方工期要求编制施工进度计划，计划内用全面详实，根据项目特点合理组织分段施工，分段逐步移交。</w:t>
      </w:r>
    </w:p>
    <w:p>
      <w:pPr>
        <w:shd w:val="clear"/>
        <w:snapToGrid w:val="0"/>
        <w:spacing w:line="360" w:lineRule="auto"/>
        <w:ind w:firstLine="480" w:firstLineChars="200"/>
        <w:rPr>
          <w:rFonts w:hint="eastAsia" w:ascii="宋体" w:hAnsi="宋体" w:cs="宋体"/>
          <w:color w:val="auto"/>
          <w:sz w:val="24"/>
          <w:szCs w:val="24"/>
          <w:highlight w:val="none"/>
        </w:rPr>
      </w:pPr>
    </w:p>
    <w:p>
      <w:pPr>
        <w:pStyle w:val="2"/>
        <w:shd w:val="clear"/>
        <w:rPr>
          <w:color w:val="auto"/>
          <w:highlight w:val="none"/>
        </w:rPr>
      </w:pPr>
    </w:p>
    <w:p>
      <w:pPr>
        <w:shd w:val="clea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（盖章）</w:t>
      </w:r>
    </w:p>
    <w:p>
      <w:pPr>
        <w:shd w:val="clea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bookmarkEnd w:id="835"/>
    <w:p>
      <w:pPr>
        <w:shd w:val="clear"/>
        <w:spacing w:before="240" w:line="360" w:lineRule="exact"/>
        <w:rPr>
          <w:rFonts w:hint="eastAsia" w:ascii="宋体" w:hAnsi="宋体" w:cs="宋体"/>
          <w:b/>
          <w:color w:val="auto"/>
          <w:sz w:val="24"/>
          <w:szCs w:val="20"/>
          <w:highlight w:val="none"/>
        </w:rPr>
      </w:pPr>
    </w:p>
    <w:p>
      <w:pPr>
        <w:pStyle w:val="8"/>
        <w:shd w:val="clear"/>
        <w:rPr>
          <w:rFonts w:hint="eastAsia" w:ascii="宋体" w:hAnsi="宋体" w:cs="宋体"/>
          <w:b/>
          <w:color w:val="auto"/>
          <w:sz w:val="24"/>
          <w:szCs w:val="20"/>
          <w:highlight w:val="none"/>
        </w:rPr>
      </w:pPr>
    </w:p>
    <w:p>
      <w:pPr>
        <w:shd w:val="clear"/>
        <w:rPr>
          <w:rFonts w:hint="eastAsia" w:ascii="宋体" w:hAnsi="宋体" w:cs="宋体"/>
          <w:b/>
          <w:color w:val="auto"/>
          <w:sz w:val="24"/>
          <w:szCs w:val="20"/>
          <w:highlight w:val="none"/>
        </w:rPr>
      </w:pPr>
    </w:p>
    <w:p>
      <w:pPr>
        <w:pStyle w:val="8"/>
        <w:shd w:val="clear"/>
        <w:rPr>
          <w:rFonts w:hint="eastAsia" w:ascii="宋体" w:hAnsi="宋体" w:cs="宋体"/>
          <w:b/>
          <w:color w:val="auto"/>
          <w:sz w:val="24"/>
          <w:szCs w:val="20"/>
          <w:highlight w:val="none"/>
        </w:rPr>
      </w:pPr>
    </w:p>
    <w:p>
      <w:pPr>
        <w:shd w:val="clear"/>
        <w:rPr>
          <w:rFonts w:hint="eastAsia" w:ascii="宋体" w:hAnsi="宋体" w:cs="宋体"/>
          <w:b/>
          <w:color w:val="auto"/>
          <w:sz w:val="24"/>
          <w:szCs w:val="20"/>
          <w:highlight w:val="none"/>
        </w:rPr>
      </w:pPr>
    </w:p>
    <w:p>
      <w:pPr>
        <w:pStyle w:val="8"/>
        <w:shd w:val="clear"/>
        <w:rPr>
          <w:rFonts w:hint="eastAsia" w:ascii="宋体" w:hAnsi="宋体" w:cs="宋体"/>
          <w:b/>
          <w:color w:val="auto"/>
          <w:sz w:val="24"/>
          <w:szCs w:val="20"/>
          <w:highlight w:val="none"/>
        </w:rPr>
      </w:pPr>
    </w:p>
    <w:p>
      <w:pPr>
        <w:shd w:val="clear"/>
        <w:rPr>
          <w:rFonts w:hint="eastAsia" w:ascii="宋体" w:hAnsi="宋体" w:cs="宋体"/>
          <w:b/>
          <w:color w:val="auto"/>
          <w:sz w:val="24"/>
          <w:szCs w:val="20"/>
          <w:highlight w:val="none"/>
        </w:rPr>
      </w:pPr>
    </w:p>
    <w:p>
      <w:pPr>
        <w:pStyle w:val="8"/>
        <w:shd w:val="clear"/>
        <w:rPr>
          <w:rFonts w:hint="eastAsia" w:ascii="宋体" w:hAnsi="宋体" w:cs="宋体"/>
          <w:b/>
          <w:color w:val="auto"/>
          <w:sz w:val="24"/>
          <w:szCs w:val="20"/>
          <w:highlight w:val="none"/>
        </w:rPr>
      </w:pPr>
    </w:p>
    <w:p>
      <w:pPr>
        <w:shd w:val="clear"/>
        <w:rPr>
          <w:rFonts w:hint="eastAsia" w:ascii="宋体" w:hAnsi="宋体" w:cs="宋体"/>
          <w:b/>
          <w:color w:val="auto"/>
          <w:sz w:val="24"/>
          <w:szCs w:val="20"/>
          <w:highlight w:val="none"/>
        </w:rPr>
      </w:pPr>
    </w:p>
    <w:p>
      <w:pPr>
        <w:pStyle w:val="8"/>
        <w:shd w:val="clear"/>
        <w:rPr>
          <w:rFonts w:hint="eastAsia" w:ascii="宋体" w:hAnsi="宋体" w:cs="宋体"/>
          <w:b/>
          <w:color w:val="auto"/>
          <w:sz w:val="24"/>
          <w:szCs w:val="20"/>
          <w:highlight w:val="none"/>
        </w:rPr>
      </w:pPr>
    </w:p>
    <w:p>
      <w:pPr>
        <w:shd w:val="clear"/>
        <w:rPr>
          <w:rFonts w:hint="eastAsia" w:ascii="宋体" w:hAnsi="宋体" w:cs="宋体"/>
          <w:b/>
          <w:color w:val="auto"/>
          <w:sz w:val="24"/>
          <w:szCs w:val="20"/>
          <w:highlight w:val="none"/>
        </w:rPr>
      </w:pPr>
    </w:p>
    <w:p>
      <w:pPr>
        <w:pStyle w:val="8"/>
        <w:shd w:val="clear"/>
        <w:rPr>
          <w:rFonts w:hint="eastAsia" w:ascii="宋体" w:hAnsi="宋体" w:cs="宋体"/>
          <w:b/>
          <w:color w:val="auto"/>
          <w:sz w:val="24"/>
          <w:szCs w:val="20"/>
          <w:highlight w:val="none"/>
        </w:rPr>
      </w:pPr>
    </w:p>
    <w:p>
      <w:pPr>
        <w:shd w:val="clear"/>
        <w:rPr>
          <w:rFonts w:hint="eastAsia" w:ascii="宋体" w:hAnsi="宋体" w:cs="宋体"/>
          <w:b/>
          <w:color w:val="auto"/>
          <w:sz w:val="24"/>
          <w:szCs w:val="20"/>
          <w:highlight w:val="none"/>
        </w:rPr>
      </w:pPr>
    </w:p>
    <w:p>
      <w:pPr>
        <w:pStyle w:val="8"/>
        <w:shd w:val="clear"/>
        <w:rPr>
          <w:rFonts w:hint="eastAsia" w:ascii="宋体" w:hAnsi="宋体" w:cs="宋体"/>
          <w:b/>
          <w:color w:val="auto"/>
          <w:sz w:val="24"/>
          <w:szCs w:val="20"/>
          <w:highlight w:val="none"/>
        </w:rPr>
      </w:pPr>
    </w:p>
    <w:p>
      <w:pPr>
        <w:shd w:val="clear"/>
        <w:rPr>
          <w:rFonts w:hint="eastAsia" w:ascii="宋体" w:hAnsi="宋体" w:cs="宋体"/>
          <w:color w:val="auto"/>
          <w:highlight w:val="none"/>
        </w:rPr>
      </w:pPr>
    </w:p>
    <w:p>
      <w:pPr>
        <w:shd w:val="clear"/>
        <w:spacing w:before="284" w:after="100" w:afterAutospacing="1" w:line="400" w:lineRule="exact"/>
        <w:ind w:left="-840" w:leftChars="-400" w:right="55" w:rightChars="26" w:firstLine="843" w:firstLineChars="350"/>
        <w:jc w:val="left"/>
        <w:outlineLvl w:val="0"/>
        <w:rPr>
          <w:rFonts w:hint="eastAsia" w:ascii="宋体" w:hAnsi="宋体" w:cs="宋体"/>
          <w:b/>
          <w:color w:val="auto"/>
          <w:sz w:val="24"/>
          <w:szCs w:val="20"/>
          <w:highlight w:val="none"/>
        </w:rPr>
        <w:sectPr>
          <w:footerReference r:id="rId10" w:type="default"/>
          <w:pgSz w:w="11906" w:h="16838"/>
          <w:pgMar w:top="1440" w:right="1797" w:bottom="1440" w:left="1797" w:header="851" w:footer="992" w:gutter="0"/>
          <w:pgNumType w:fmt="decimal"/>
          <w:cols w:space="720" w:num="1"/>
          <w:docGrid w:linePitch="312" w:charSpace="0"/>
        </w:sectPr>
      </w:pPr>
    </w:p>
    <w:p>
      <w:pPr>
        <w:shd w:val="clear"/>
        <w:spacing w:before="284" w:after="100" w:afterAutospacing="1" w:line="400" w:lineRule="exact"/>
        <w:ind w:left="-840" w:leftChars="-400" w:right="55" w:rightChars="26" w:firstLine="843" w:firstLineChars="350"/>
        <w:jc w:val="left"/>
        <w:outlineLvl w:val="0"/>
        <w:rPr>
          <w:rFonts w:hint="eastAsia" w:ascii="宋体" w:hAnsi="宋体" w:cs="宋体"/>
          <w:b/>
          <w:bCs/>
          <w:color w:val="auto"/>
          <w:sz w:val="30"/>
          <w:szCs w:val="30"/>
          <w:highlight w:val="none"/>
          <w:lang w:val="zh-CN"/>
        </w:rPr>
      </w:pPr>
      <w:r>
        <w:rPr>
          <w:rFonts w:hint="eastAsia" w:ascii="宋体" w:hAnsi="宋体" w:cs="宋体"/>
          <w:b/>
          <w:color w:val="auto"/>
          <w:sz w:val="24"/>
          <w:szCs w:val="20"/>
          <w:highlight w:val="none"/>
        </w:rPr>
        <w:t>格式6：</w:t>
      </w:r>
    </w:p>
    <w:p>
      <w:pPr>
        <w:shd w:val="clear"/>
        <w:autoSpaceDE w:val="0"/>
        <w:autoSpaceDN w:val="0"/>
        <w:adjustRightInd w:val="0"/>
        <w:spacing w:line="360" w:lineRule="auto"/>
        <w:jc w:val="center"/>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投标文件编制人员名单</w:t>
      </w:r>
    </w:p>
    <w:tbl>
      <w:tblPr>
        <w:tblStyle w:val="15"/>
        <w:tblW w:w="8522" w:type="dxa"/>
        <w:tblInd w:w="0" w:type="dxa"/>
        <w:tblLayout w:type="fixed"/>
        <w:tblCellMar>
          <w:top w:w="0" w:type="dxa"/>
          <w:left w:w="108" w:type="dxa"/>
          <w:bottom w:w="0" w:type="dxa"/>
          <w:right w:w="108" w:type="dxa"/>
        </w:tblCellMar>
      </w:tblPr>
      <w:tblGrid>
        <w:gridCol w:w="1183"/>
        <w:gridCol w:w="1375"/>
        <w:gridCol w:w="2354"/>
        <w:gridCol w:w="2255"/>
        <w:gridCol w:w="1355"/>
      </w:tblGrid>
      <w:tr>
        <w:tblPrEx>
          <w:tblLayout w:type="fixed"/>
          <w:tblCellMar>
            <w:top w:w="0" w:type="dxa"/>
            <w:left w:w="108" w:type="dxa"/>
            <w:bottom w:w="0" w:type="dxa"/>
            <w:right w:w="108" w:type="dxa"/>
          </w:tblCellMar>
        </w:tblPrEx>
        <w:trPr>
          <w:trHeight w:val="318" w:hRule="atLeast"/>
        </w:trPr>
        <w:tc>
          <w:tcPr>
            <w:tcW w:w="8522" w:type="dxa"/>
            <w:gridSpan w:val="5"/>
            <w:tcBorders>
              <w:top w:val="single" w:color="auto" w:sz="4" w:space="0"/>
              <w:left w:val="single" w:color="auto" w:sz="4" w:space="0"/>
              <w:bottom w:val="single" w:color="auto" w:sz="4" w:space="0"/>
              <w:right w:val="single" w:color="auto" w:sz="4" w:space="0"/>
            </w:tcBorders>
            <w:noWrap w:val="0"/>
            <w:vAlign w:val="center"/>
          </w:tcPr>
          <w:p>
            <w:pPr>
              <w:shd w:val="clear"/>
              <w:tabs>
                <w:tab w:val="left" w:pos="72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投标单位名称：</w:t>
            </w:r>
          </w:p>
        </w:tc>
      </w:tr>
      <w:tr>
        <w:tblPrEx>
          <w:tblLayout w:type="fixed"/>
          <w:tblCellMar>
            <w:top w:w="0" w:type="dxa"/>
            <w:left w:w="108" w:type="dxa"/>
            <w:bottom w:w="0" w:type="dxa"/>
            <w:right w:w="108" w:type="dxa"/>
          </w:tblCellMar>
        </w:tblPrEx>
        <w:trPr>
          <w:trHeight w:val="21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pPr>
              <w:shd w:val="clear"/>
              <w:tabs>
                <w:tab w:val="left" w:pos="720"/>
              </w:tabs>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姓名</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shd w:val="clear"/>
              <w:tabs>
                <w:tab w:val="left" w:pos="720"/>
              </w:tabs>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职务</w:t>
            </w:r>
          </w:p>
        </w:tc>
        <w:tc>
          <w:tcPr>
            <w:tcW w:w="2354" w:type="dxa"/>
            <w:tcBorders>
              <w:top w:val="single" w:color="auto" w:sz="4" w:space="0"/>
              <w:left w:val="single" w:color="auto" w:sz="4" w:space="0"/>
              <w:bottom w:val="single" w:color="auto" w:sz="4" w:space="0"/>
              <w:right w:val="single" w:color="auto" w:sz="4" w:space="0"/>
            </w:tcBorders>
            <w:noWrap w:val="0"/>
            <w:vAlign w:val="center"/>
          </w:tcPr>
          <w:p>
            <w:pPr>
              <w:shd w:val="clear"/>
              <w:tabs>
                <w:tab w:val="left" w:pos="720"/>
              </w:tabs>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所承担工作</w:t>
            </w:r>
          </w:p>
        </w:tc>
        <w:tc>
          <w:tcPr>
            <w:tcW w:w="2255" w:type="dxa"/>
            <w:tcBorders>
              <w:top w:val="single" w:color="auto" w:sz="4" w:space="0"/>
              <w:left w:val="single" w:color="auto" w:sz="4" w:space="0"/>
              <w:bottom w:val="single" w:color="auto" w:sz="4" w:space="0"/>
              <w:right w:val="single" w:color="auto" w:sz="4" w:space="0"/>
            </w:tcBorders>
            <w:noWrap w:val="0"/>
            <w:vAlign w:val="center"/>
          </w:tcPr>
          <w:p>
            <w:pPr>
              <w:shd w:val="clear"/>
              <w:tabs>
                <w:tab w:val="left" w:pos="720"/>
              </w:tabs>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身份证号码</w:t>
            </w:r>
          </w:p>
        </w:tc>
        <w:tc>
          <w:tcPr>
            <w:tcW w:w="1355" w:type="dxa"/>
            <w:tcBorders>
              <w:top w:val="single" w:color="auto" w:sz="4" w:space="0"/>
              <w:left w:val="single" w:color="auto" w:sz="4" w:space="0"/>
              <w:bottom w:val="single" w:color="auto" w:sz="4" w:space="0"/>
              <w:right w:val="single" w:color="auto" w:sz="4" w:space="0"/>
            </w:tcBorders>
            <w:noWrap w:val="0"/>
            <w:vAlign w:val="center"/>
          </w:tcPr>
          <w:p>
            <w:pPr>
              <w:shd w:val="clear"/>
              <w:tabs>
                <w:tab w:val="left" w:pos="720"/>
              </w:tabs>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本人签名栏</w:t>
            </w:r>
          </w:p>
        </w:tc>
      </w:tr>
      <w:tr>
        <w:tblPrEx>
          <w:tblLayout w:type="fixed"/>
          <w:tblCellMar>
            <w:top w:w="0" w:type="dxa"/>
            <w:left w:w="108" w:type="dxa"/>
            <w:bottom w:w="0" w:type="dxa"/>
            <w:right w:w="108" w:type="dxa"/>
          </w:tblCellMar>
        </w:tblPrEx>
        <w:trPr>
          <w:trHeight w:val="58"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pPr>
              <w:shd w:val="clear"/>
              <w:tabs>
                <w:tab w:val="left" w:pos="720"/>
              </w:tabs>
              <w:snapToGrid w:val="0"/>
              <w:spacing w:line="360" w:lineRule="auto"/>
              <w:jc w:val="center"/>
              <w:rPr>
                <w:rFonts w:hint="eastAsia" w:ascii="宋体" w:hAnsi="宋体" w:cs="宋体"/>
                <w:color w:val="auto"/>
                <w:sz w:val="24"/>
                <w:szCs w:val="24"/>
                <w:highlight w:val="none"/>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pPr>
              <w:shd w:val="clear"/>
              <w:tabs>
                <w:tab w:val="left" w:pos="720"/>
              </w:tabs>
              <w:snapToGrid w:val="0"/>
              <w:spacing w:line="360" w:lineRule="auto"/>
              <w:jc w:val="center"/>
              <w:rPr>
                <w:rFonts w:hint="eastAsia" w:ascii="宋体" w:hAnsi="宋体" w:cs="宋体"/>
                <w:color w:val="auto"/>
                <w:sz w:val="24"/>
                <w:szCs w:val="24"/>
                <w:highlight w:val="none"/>
              </w:rPr>
            </w:pPr>
          </w:p>
        </w:tc>
        <w:tc>
          <w:tcPr>
            <w:tcW w:w="2354" w:type="dxa"/>
            <w:tcBorders>
              <w:top w:val="single" w:color="auto" w:sz="4" w:space="0"/>
              <w:left w:val="single" w:color="auto" w:sz="4" w:space="0"/>
              <w:bottom w:val="single" w:color="auto" w:sz="4" w:space="0"/>
              <w:right w:val="single" w:color="auto" w:sz="4" w:space="0"/>
            </w:tcBorders>
            <w:noWrap w:val="0"/>
            <w:vAlign w:val="center"/>
          </w:tcPr>
          <w:p>
            <w:pPr>
              <w:shd w:val="clear"/>
              <w:tabs>
                <w:tab w:val="left" w:pos="720"/>
              </w:tabs>
              <w:snapToGrid w:val="0"/>
              <w:spacing w:line="360" w:lineRule="auto"/>
              <w:jc w:val="center"/>
              <w:rPr>
                <w:rFonts w:hint="eastAsia" w:ascii="宋体" w:hAnsi="宋体" w:cs="宋体"/>
                <w:color w:val="auto"/>
                <w:sz w:val="24"/>
                <w:szCs w:val="24"/>
                <w:highlight w:val="none"/>
              </w:rPr>
            </w:pPr>
          </w:p>
        </w:tc>
        <w:tc>
          <w:tcPr>
            <w:tcW w:w="2255" w:type="dxa"/>
            <w:tcBorders>
              <w:top w:val="single" w:color="auto" w:sz="4" w:space="0"/>
              <w:left w:val="single" w:color="auto" w:sz="4" w:space="0"/>
              <w:bottom w:val="single" w:color="auto" w:sz="4" w:space="0"/>
              <w:right w:val="single" w:color="auto" w:sz="4" w:space="0"/>
            </w:tcBorders>
            <w:noWrap w:val="0"/>
            <w:vAlign w:val="center"/>
          </w:tcPr>
          <w:p>
            <w:pPr>
              <w:shd w:val="clear"/>
              <w:tabs>
                <w:tab w:val="left" w:pos="720"/>
              </w:tabs>
              <w:snapToGrid w:val="0"/>
              <w:spacing w:line="360" w:lineRule="auto"/>
              <w:jc w:val="center"/>
              <w:rPr>
                <w:rFonts w:hint="eastAsia" w:ascii="宋体" w:hAnsi="宋体" w:cs="宋体"/>
                <w:color w:val="auto"/>
                <w:sz w:val="24"/>
                <w:szCs w:val="24"/>
                <w:highlight w:val="none"/>
              </w:rPr>
            </w:pPr>
          </w:p>
        </w:tc>
        <w:tc>
          <w:tcPr>
            <w:tcW w:w="1355" w:type="dxa"/>
            <w:tcBorders>
              <w:top w:val="single" w:color="auto" w:sz="4" w:space="0"/>
              <w:left w:val="single" w:color="auto" w:sz="4" w:space="0"/>
              <w:bottom w:val="single" w:color="auto" w:sz="4" w:space="0"/>
              <w:right w:val="single" w:color="auto" w:sz="4" w:space="0"/>
            </w:tcBorders>
            <w:noWrap w:val="0"/>
            <w:vAlign w:val="center"/>
          </w:tcPr>
          <w:p>
            <w:pPr>
              <w:shd w:val="clear"/>
              <w:tabs>
                <w:tab w:val="left" w:pos="720"/>
              </w:tabs>
              <w:snapToGrid w:val="0"/>
              <w:spacing w:line="360" w:lineRule="auto"/>
              <w:jc w:val="center"/>
              <w:rPr>
                <w:rFonts w:hint="eastAsia" w:ascii="宋体" w:hAnsi="宋体" w:cs="宋体"/>
                <w:color w:val="auto"/>
                <w:sz w:val="24"/>
                <w:szCs w:val="24"/>
                <w:highlight w:val="none"/>
              </w:rPr>
            </w:pPr>
          </w:p>
        </w:tc>
      </w:tr>
      <w:tr>
        <w:tblPrEx>
          <w:tblLayout w:type="fixed"/>
          <w:tblCellMar>
            <w:top w:w="0" w:type="dxa"/>
            <w:left w:w="108" w:type="dxa"/>
            <w:bottom w:w="0" w:type="dxa"/>
            <w:right w:w="108" w:type="dxa"/>
          </w:tblCellMar>
        </w:tblPrEx>
        <w:trPr>
          <w:trHeight w:val="16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pPr>
              <w:shd w:val="clear"/>
              <w:tabs>
                <w:tab w:val="left" w:pos="720"/>
              </w:tabs>
              <w:snapToGrid w:val="0"/>
              <w:spacing w:line="360" w:lineRule="auto"/>
              <w:jc w:val="center"/>
              <w:rPr>
                <w:rFonts w:hint="eastAsia" w:ascii="宋体" w:hAnsi="宋体" w:cs="宋体"/>
                <w:color w:val="auto"/>
                <w:sz w:val="24"/>
                <w:szCs w:val="24"/>
                <w:highlight w:val="none"/>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pPr>
              <w:shd w:val="clear"/>
              <w:tabs>
                <w:tab w:val="left" w:pos="720"/>
              </w:tabs>
              <w:snapToGrid w:val="0"/>
              <w:spacing w:line="360" w:lineRule="auto"/>
              <w:jc w:val="center"/>
              <w:rPr>
                <w:rFonts w:hint="eastAsia" w:ascii="宋体" w:hAnsi="宋体" w:cs="宋体"/>
                <w:color w:val="auto"/>
                <w:sz w:val="24"/>
                <w:szCs w:val="24"/>
                <w:highlight w:val="none"/>
              </w:rPr>
            </w:pPr>
          </w:p>
        </w:tc>
        <w:tc>
          <w:tcPr>
            <w:tcW w:w="2354" w:type="dxa"/>
            <w:tcBorders>
              <w:top w:val="single" w:color="auto" w:sz="4" w:space="0"/>
              <w:left w:val="single" w:color="auto" w:sz="4" w:space="0"/>
              <w:bottom w:val="single" w:color="auto" w:sz="4" w:space="0"/>
              <w:right w:val="single" w:color="auto" w:sz="4" w:space="0"/>
            </w:tcBorders>
            <w:noWrap w:val="0"/>
            <w:vAlign w:val="center"/>
          </w:tcPr>
          <w:p>
            <w:pPr>
              <w:shd w:val="clear"/>
              <w:tabs>
                <w:tab w:val="left" w:pos="720"/>
              </w:tabs>
              <w:snapToGrid w:val="0"/>
              <w:spacing w:line="360" w:lineRule="auto"/>
              <w:jc w:val="center"/>
              <w:rPr>
                <w:rFonts w:hint="eastAsia" w:ascii="宋体" w:hAnsi="宋体" w:cs="宋体"/>
                <w:color w:val="auto"/>
                <w:sz w:val="24"/>
                <w:szCs w:val="24"/>
                <w:highlight w:val="none"/>
              </w:rPr>
            </w:pPr>
          </w:p>
        </w:tc>
        <w:tc>
          <w:tcPr>
            <w:tcW w:w="2255" w:type="dxa"/>
            <w:tcBorders>
              <w:top w:val="single" w:color="auto" w:sz="4" w:space="0"/>
              <w:left w:val="single" w:color="auto" w:sz="4" w:space="0"/>
              <w:bottom w:val="single" w:color="auto" w:sz="4" w:space="0"/>
              <w:right w:val="single" w:color="auto" w:sz="4" w:space="0"/>
            </w:tcBorders>
            <w:noWrap w:val="0"/>
            <w:vAlign w:val="center"/>
          </w:tcPr>
          <w:p>
            <w:pPr>
              <w:shd w:val="clear"/>
              <w:tabs>
                <w:tab w:val="left" w:pos="720"/>
              </w:tabs>
              <w:snapToGrid w:val="0"/>
              <w:spacing w:line="360" w:lineRule="auto"/>
              <w:jc w:val="center"/>
              <w:rPr>
                <w:rFonts w:hint="eastAsia" w:ascii="宋体" w:hAnsi="宋体" w:cs="宋体"/>
                <w:color w:val="auto"/>
                <w:sz w:val="24"/>
                <w:szCs w:val="24"/>
                <w:highlight w:val="none"/>
              </w:rPr>
            </w:pPr>
          </w:p>
        </w:tc>
        <w:tc>
          <w:tcPr>
            <w:tcW w:w="1355" w:type="dxa"/>
            <w:tcBorders>
              <w:top w:val="single" w:color="auto" w:sz="4" w:space="0"/>
              <w:left w:val="single" w:color="auto" w:sz="4" w:space="0"/>
              <w:bottom w:val="single" w:color="auto" w:sz="4" w:space="0"/>
              <w:right w:val="single" w:color="auto" w:sz="4" w:space="0"/>
            </w:tcBorders>
            <w:noWrap w:val="0"/>
            <w:vAlign w:val="center"/>
          </w:tcPr>
          <w:p>
            <w:pPr>
              <w:shd w:val="clear"/>
              <w:tabs>
                <w:tab w:val="left" w:pos="720"/>
              </w:tabs>
              <w:snapToGrid w:val="0"/>
              <w:spacing w:line="360" w:lineRule="auto"/>
              <w:jc w:val="center"/>
              <w:rPr>
                <w:rFonts w:hint="eastAsia" w:ascii="宋体" w:hAnsi="宋体" w:cs="宋体"/>
                <w:color w:val="auto"/>
                <w:sz w:val="24"/>
                <w:szCs w:val="24"/>
                <w:highlight w:val="none"/>
              </w:rPr>
            </w:pPr>
          </w:p>
        </w:tc>
      </w:tr>
      <w:tr>
        <w:tblPrEx>
          <w:tblLayout w:type="fixed"/>
          <w:tblCellMar>
            <w:top w:w="0" w:type="dxa"/>
            <w:left w:w="108" w:type="dxa"/>
            <w:bottom w:w="0" w:type="dxa"/>
            <w:right w:w="108" w:type="dxa"/>
          </w:tblCellMar>
        </w:tblPrEx>
        <w:trPr>
          <w:trHeight w:val="123"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pPr>
              <w:shd w:val="clear"/>
              <w:tabs>
                <w:tab w:val="left" w:pos="720"/>
              </w:tabs>
              <w:snapToGrid w:val="0"/>
              <w:spacing w:line="360" w:lineRule="auto"/>
              <w:jc w:val="center"/>
              <w:rPr>
                <w:rFonts w:hint="eastAsia" w:ascii="宋体" w:hAnsi="宋体" w:cs="宋体"/>
                <w:color w:val="auto"/>
                <w:sz w:val="24"/>
                <w:szCs w:val="24"/>
                <w:highlight w:val="none"/>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pPr>
              <w:shd w:val="clear"/>
              <w:tabs>
                <w:tab w:val="left" w:pos="720"/>
              </w:tabs>
              <w:snapToGrid w:val="0"/>
              <w:spacing w:line="360" w:lineRule="auto"/>
              <w:jc w:val="center"/>
              <w:rPr>
                <w:rFonts w:hint="eastAsia" w:ascii="宋体" w:hAnsi="宋体" w:cs="宋体"/>
                <w:color w:val="auto"/>
                <w:sz w:val="24"/>
                <w:szCs w:val="24"/>
                <w:highlight w:val="none"/>
              </w:rPr>
            </w:pPr>
          </w:p>
        </w:tc>
        <w:tc>
          <w:tcPr>
            <w:tcW w:w="2354" w:type="dxa"/>
            <w:tcBorders>
              <w:top w:val="single" w:color="auto" w:sz="4" w:space="0"/>
              <w:left w:val="single" w:color="auto" w:sz="4" w:space="0"/>
              <w:bottom w:val="single" w:color="auto" w:sz="4" w:space="0"/>
              <w:right w:val="single" w:color="auto" w:sz="4" w:space="0"/>
            </w:tcBorders>
            <w:noWrap w:val="0"/>
            <w:vAlign w:val="center"/>
          </w:tcPr>
          <w:p>
            <w:pPr>
              <w:shd w:val="clear"/>
              <w:tabs>
                <w:tab w:val="left" w:pos="720"/>
              </w:tabs>
              <w:snapToGrid w:val="0"/>
              <w:spacing w:line="360" w:lineRule="auto"/>
              <w:jc w:val="center"/>
              <w:rPr>
                <w:rFonts w:hint="eastAsia" w:ascii="宋体" w:hAnsi="宋体" w:cs="宋体"/>
                <w:color w:val="auto"/>
                <w:sz w:val="24"/>
                <w:szCs w:val="24"/>
                <w:highlight w:val="none"/>
              </w:rPr>
            </w:pPr>
          </w:p>
        </w:tc>
        <w:tc>
          <w:tcPr>
            <w:tcW w:w="2255" w:type="dxa"/>
            <w:tcBorders>
              <w:top w:val="single" w:color="auto" w:sz="4" w:space="0"/>
              <w:left w:val="single" w:color="auto" w:sz="4" w:space="0"/>
              <w:bottom w:val="single" w:color="auto" w:sz="4" w:space="0"/>
              <w:right w:val="single" w:color="auto" w:sz="4" w:space="0"/>
            </w:tcBorders>
            <w:noWrap w:val="0"/>
            <w:vAlign w:val="center"/>
          </w:tcPr>
          <w:p>
            <w:pPr>
              <w:shd w:val="clear"/>
              <w:tabs>
                <w:tab w:val="left" w:pos="720"/>
              </w:tabs>
              <w:snapToGrid w:val="0"/>
              <w:spacing w:line="360" w:lineRule="auto"/>
              <w:jc w:val="center"/>
              <w:rPr>
                <w:rFonts w:hint="eastAsia" w:ascii="宋体" w:hAnsi="宋体" w:cs="宋体"/>
                <w:color w:val="auto"/>
                <w:sz w:val="24"/>
                <w:szCs w:val="24"/>
                <w:highlight w:val="none"/>
              </w:rPr>
            </w:pPr>
          </w:p>
        </w:tc>
        <w:tc>
          <w:tcPr>
            <w:tcW w:w="1355" w:type="dxa"/>
            <w:tcBorders>
              <w:top w:val="single" w:color="auto" w:sz="4" w:space="0"/>
              <w:left w:val="single" w:color="auto" w:sz="4" w:space="0"/>
              <w:bottom w:val="single" w:color="auto" w:sz="4" w:space="0"/>
              <w:right w:val="single" w:color="auto" w:sz="4" w:space="0"/>
            </w:tcBorders>
            <w:noWrap w:val="0"/>
            <w:vAlign w:val="center"/>
          </w:tcPr>
          <w:p>
            <w:pPr>
              <w:shd w:val="clear"/>
              <w:tabs>
                <w:tab w:val="left" w:pos="720"/>
              </w:tabs>
              <w:snapToGrid w:val="0"/>
              <w:spacing w:line="360" w:lineRule="auto"/>
              <w:jc w:val="center"/>
              <w:rPr>
                <w:rFonts w:hint="eastAsia" w:ascii="宋体" w:hAnsi="宋体" w:cs="宋体"/>
                <w:color w:val="auto"/>
                <w:sz w:val="24"/>
                <w:szCs w:val="24"/>
                <w:highlight w:val="none"/>
              </w:rPr>
            </w:pPr>
          </w:p>
        </w:tc>
      </w:tr>
      <w:tr>
        <w:tblPrEx>
          <w:tblLayout w:type="fixed"/>
          <w:tblCellMar>
            <w:top w:w="0" w:type="dxa"/>
            <w:left w:w="108" w:type="dxa"/>
            <w:bottom w:w="0" w:type="dxa"/>
            <w:right w:w="108" w:type="dxa"/>
          </w:tblCellMar>
        </w:tblPrEx>
        <w:trPr>
          <w:trHeight w:val="214"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pPr>
              <w:shd w:val="clear"/>
              <w:tabs>
                <w:tab w:val="left" w:pos="720"/>
              </w:tabs>
              <w:snapToGrid w:val="0"/>
              <w:spacing w:line="360" w:lineRule="auto"/>
              <w:jc w:val="center"/>
              <w:rPr>
                <w:rFonts w:hint="eastAsia" w:ascii="宋体" w:hAnsi="宋体" w:cs="宋体"/>
                <w:color w:val="auto"/>
                <w:sz w:val="24"/>
                <w:szCs w:val="24"/>
                <w:highlight w:val="none"/>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pPr>
              <w:shd w:val="clear"/>
              <w:tabs>
                <w:tab w:val="left" w:pos="720"/>
              </w:tabs>
              <w:snapToGrid w:val="0"/>
              <w:spacing w:line="360" w:lineRule="auto"/>
              <w:jc w:val="center"/>
              <w:rPr>
                <w:rFonts w:hint="eastAsia" w:ascii="宋体" w:hAnsi="宋体" w:cs="宋体"/>
                <w:color w:val="auto"/>
                <w:sz w:val="24"/>
                <w:szCs w:val="24"/>
                <w:highlight w:val="none"/>
              </w:rPr>
            </w:pPr>
          </w:p>
        </w:tc>
        <w:tc>
          <w:tcPr>
            <w:tcW w:w="2354" w:type="dxa"/>
            <w:tcBorders>
              <w:top w:val="single" w:color="auto" w:sz="4" w:space="0"/>
              <w:left w:val="single" w:color="auto" w:sz="4" w:space="0"/>
              <w:bottom w:val="single" w:color="auto" w:sz="4" w:space="0"/>
              <w:right w:val="single" w:color="auto" w:sz="4" w:space="0"/>
            </w:tcBorders>
            <w:noWrap w:val="0"/>
            <w:vAlign w:val="center"/>
          </w:tcPr>
          <w:p>
            <w:pPr>
              <w:shd w:val="clear"/>
              <w:tabs>
                <w:tab w:val="left" w:pos="720"/>
              </w:tabs>
              <w:snapToGrid w:val="0"/>
              <w:spacing w:line="360" w:lineRule="auto"/>
              <w:jc w:val="center"/>
              <w:rPr>
                <w:rFonts w:hint="eastAsia" w:ascii="宋体" w:hAnsi="宋体" w:cs="宋体"/>
                <w:color w:val="auto"/>
                <w:sz w:val="24"/>
                <w:szCs w:val="24"/>
                <w:highlight w:val="none"/>
              </w:rPr>
            </w:pPr>
          </w:p>
        </w:tc>
        <w:tc>
          <w:tcPr>
            <w:tcW w:w="2255" w:type="dxa"/>
            <w:tcBorders>
              <w:top w:val="single" w:color="auto" w:sz="4" w:space="0"/>
              <w:left w:val="single" w:color="auto" w:sz="4" w:space="0"/>
              <w:bottom w:val="single" w:color="auto" w:sz="4" w:space="0"/>
              <w:right w:val="single" w:color="auto" w:sz="4" w:space="0"/>
            </w:tcBorders>
            <w:noWrap w:val="0"/>
            <w:vAlign w:val="center"/>
          </w:tcPr>
          <w:p>
            <w:pPr>
              <w:shd w:val="clear"/>
              <w:tabs>
                <w:tab w:val="left" w:pos="720"/>
              </w:tabs>
              <w:snapToGrid w:val="0"/>
              <w:spacing w:line="360" w:lineRule="auto"/>
              <w:jc w:val="center"/>
              <w:rPr>
                <w:rFonts w:hint="eastAsia" w:ascii="宋体" w:hAnsi="宋体" w:cs="宋体"/>
                <w:color w:val="auto"/>
                <w:sz w:val="24"/>
                <w:szCs w:val="24"/>
                <w:highlight w:val="none"/>
              </w:rPr>
            </w:pPr>
          </w:p>
        </w:tc>
        <w:tc>
          <w:tcPr>
            <w:tcW w:w="1355" w:type="dxa"/>
            <w:tcBorders>
              <w:top w:val="single" w:color="auto" w:sz="4" w:space="0"/>
              <w:left w:val="single" w:color="auto" w:sz="4" w:space="0"/>
              <w:bottom w:val="single" w:color="auto" w:sz="4" w:space="0"/>
              <w:right w:val="single" w:color="auto" w:sz="4" w:space="0"/>
            </w:tcBorders>
            <w:noWrap w:val="0"/>
            <w:vAlign w:val="center"/>
          </w:tcPr>
          <w:p>
            <w:pPr>
              <w:shd w:val="clear"/>
              <w:tabs>
                <w:tab w:val="left" w:pos="720"/>
              </w:tabs>
              <w:snapToGrid w:val="0"/>
              <w:spacing w:line="360" w:lineRule="auto"/>
              <w:jc w:val="center"/>
              <w:rPr>
                <w:rFonts w:hint="eastAsia" w:ascii="宋体" w:hAnsi="宋体" w:cs="宋体"/>
                <w:color w:val="auto"/>
                <w:sz w:val="24"/>
                <w:szCs w:val="24"/>
                <w:highlight w:val="none"/>
              </w:rPr>
            </w:pPr>
          </w:p>
        </w:tc>
      </w:tr>
      <w:tr>
        <w:tblPrEx>
          <w:tblLayout w:type="fixed"/>
          <w:tblCellMar>
            <w:top w:w="0" w:type="dxa"/>
            <w:left w:w="108" w:type="dxa"/>
            <w:bottom w:w="0" w:type="dxa"/>
            <w:right w:w="108" w:type="dxa"/>
          </w:tblCellMar>
        </w:tblPrEx>
        <w:trPr>
          <w:trHeight w:val="175"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pPr>
              <w:shd w:val="clear"/>
              <w:tabs>
                <w:tab w:val="left" w:pos="720"/>
              </w:tabs>
              <w:snapToGrid w:val="0"/>
              <w:spacing w:line="360" w:lineRule="auto"/>
              <w:jc w:val="center"/>
              <w:rPr>
                <w:rFonts w:hint="eastAsia" w:ascii="宋体" w:hAnsi="宋体" w:cs="宋体"/>
                <w:color w:val="auto"/>
                <w:sz w:val="24"/>
                <w:szCs w:val="24"/>
                <w:highlight w:val="none"/>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pPr>
              <w:shd w:val="clear"/>
              <w:tabs>
                <w:tab w:val="left" w:pos="720"/>
              </w:tabs>
              <w:snapToGrid w:val="0"/>
              <w:spacing w:line="360" w:lineRule="auto"/>
              <w:jc w:val="center"/>
              <w:rPr>
                <w:rFonts w:hint="eastAsia" w:ascii="宋体" w:hAnsi="宋体" w:cs="宋体"/>
                <w:color w:val="auto"/>
                <w:sz w:val="24"/>
                <w:szCs w:val="24"/>
                <w:highlight w:val="none"/>
              </w:rPr>
            </w:pPr>
          </w:p>
        </w:tc>
        <w:tc>
          <w:tcPr>
            <w:tcW w:w="2354" w:type="dxa"/>
            <w:tcBorders>
              <w:top w:val="single" w:color="auto" w:sz="4" w:space="0"/>
              <w:left w:val="single" w:color="auto" w:sz="4" w:space="0"/>
              <w:bottom w:val="single" w:color="auto" w:sz="4" w:space="0"/>
              <w:right w:val="single" w:color="auto" w:sz="4" w:space="0"/>
            </w:tcBorders>
            <w:noWrap w:val="0"/>
            <w:vAlign w:val="center"/>
          </w:tcPr>
          <w:p>
            <w:pPr>
              <w:shd w:val="clear"/>
              <w:tabs>
                <w:tab w:val="left" w:pos="720"/>
              </w:tabs>
              <w:snapToGrid w:val="0"/>
              <w:spacing w:line="360" w:lineRule="auto"/>
              <w:jc w:val="center"/>
              <w:rPr>
                <w:rFonts w:hint="eastAsia" w:ascii="宋体" w:hAnsi="宋体" w:cs="宋体"/>
                <w:color w:val="auto"/>
                <w:sz w:val="24"/>
                <w:szCs w:val="24"/>
                <w:highlight w:val="none"/>
              </w:rPr>
            </w:pPr>
          </w:p>
        </w:tc>
        <w:tc>
          <w:tcPr>
            <w:tcW w:w="2255" w:type="dxa"/>
            <w:tcBorders>
              <w:top w:val="single" w:color="auto" w:sz="4" w:space="0"/>
              <w:left w:val="single" w:color="auto" w:sz="4" w:space="0"/>
              <w:bottom w:val="single" w:color="auto" w:sz="4" w:space="0"/>
              <w:right w:val="single" w:color="auto" w:sz="4" w:space="0"/>
            </w:tcBorders>
            <w:noWrap w:val="0"/>
            <w:vAlign w:val="center"/>
          </w:tcPr>
          <w:p>
            <w:pPr>
              <w:shd w:val="clear"/>
              <w:tabs>
                <w:tab w:val="left" w:pos="720"/>
              </w:tabs>
              <w:snapToGrid w:val="0"/>
              <w:spacing w:line="360" w:lineRule="auto"/>
              <w:jc w:val="center"/>
              <w:rPr>
                <w:rFonts w:hint="eastAsia" w:ascii="宋体" w:hAnsi="宋体" w:cs="宋体"/>
                <w:color w:val="auto"/>
                <w:sz w:val="24"/>
                <w:szCs w:val="24"/>
                <w:highlight w:val="none"/>
              </w:rPr>
            </w:pPr>
          </w:p>
        </w:tc>
        <w:tc>
          <w:tcPr>
            <w:tcW w:w="1355" w:type="dxa"/>
            <w:tcBorders>
              <w:top w:val="single" w:color="auto" w:sz="4" w:space="0"/>
              <w:left w:val="single" w:color="auto" w:sz="4" w:space="0"/>
              <w:bottom w:val="single" w:color="auto" w:sz="4" w:space="0"/>
              <w:right w:val="single" w:color="auto" w:sz="4" w:space="0"/>
            </w:tcBorders>
            <w:noWrap w:val="0"/>
            <w:vAlign w:val="center"/>
          </w:tcPr>
          <w:p>
            <w:pPr>
              <w:shd w:val="clear"/>
              <w:tabs>
                <w:tab w:val="left" w:pos="720"/>
              </w:tabs>
              <w:snapToGrid w:val="0"/>
              <w:spacing w:line="360" w:lineRule="auto"/>
              <w:jc w:val="center"/>
              <w:rPr>
                <w:rFonts w:hint="eastAsia" w:ascii="宋体" w:hAnsi="宋体" w:cs="宋体"/>
                <w:color w:val="auto"/>
                <w:sz w:val="24"/>
                <w:szCs w:val="24"/>
                <w:highlight w:val="none"/>
              </w:rPr>
            </w:pPr>
          </w:p>
        </w:tc>
      </w:tr>
    </w:tbl>
    <w:p>
      <w:pPr>
        <w:shd w:val="clear"/>
        <w:tabs>
          <w:tab w:val="left" w:pos="72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编制负责人：                          解释负责人：</w:t>
      </w:r>
    </w:p>
    <w:p>
      <w:pPr>
        <w:shd w:val="clear"/>
        <w:spacing w:line="360" w:lineRule="auto"/>
        <w:rPr>
          <w:rFonts w:hint="eastAsia" w:ascii="宋体" w:hAnsi="宋体" w:cs="宋体"/>
          <w:color w:val="auto"/>
          <w:sz w:val="24"/>
          <w:szCs w:val="24"/>
          <w:highlight w:val="none"/>
        </w:rPr>
      </w:pPr>
    </w:p>
    <w:p>
      <w:pPr>
        <w:widowControl/>
        <w:shd w:val="clear"/>
        <w:spacing w:line="360" w:lineRule="auto"/>
        <w:jc w:val="left"/>
        <w:rPr>
          <w:rFonts w:hint="eastAsia" w:ascii="宋体" w:hAnsi="宋体" w:cs="宋体"/>
          <w:bCs/>
          <w:iCs/>
          <w:color w:val="auto"/>
          <w:szCs w:val="21"/>
          <w:highlight w:val="none"/>
        </w:rPr>
      </w:pPr>
      <w:r>
        <w:rPr>
          <w:rFonts w:hint="eastAsia" w:ascii="宋体" w:hAnsi="宋体" w:cs="宋体"/>
          <w:color w:val="auto"/>
          <w:szCs w:val="21"/>
          <w:highlight w:val="none"/>
        </w:rPr>
        <w:t>注：</w:t>
      </w:r>
      <w:r>
        <w:rPr>
          <w:rFonts w:hint="eastAsia" w:ascii="宋体" w:hAnsi="宋体" w:cs="宋体"/>
          <w:bCs/>
          <w:iCs/>
          <w:color w:val="auto"/>
          <w:szCs w:val="21"/>
          <w:highlight w:val="none"/>
        </w:rPr>
        <w:t>参与编制标书所有人员名单应包括如编制工程总承包实施方案、投标报价、负责清样校对、负责加密打包、负责上传、负责密封、负责打印及复印等所有人员在内的人员名单。</w:t>
      </w:r>
    </w:p>
    <w:p>
      <w:pPr>
        <w:pStyle w:val="14"/>
        <w:shd w:val="clear"/>
        <w:ind w:firstLine="480"/>
        <w:rPr>
          <w:rFonts w:hint="eastAsia" w:ascii="宋体" w:hAnsi="宋体" w:cs="宋体"/>
          <w:bCs/>
          <w:iCs/>
          <w:color w:val="auto"/>
          <w:sz w:val="24"/>
          <w:highlight w:val="none"/>
        </w:rPr>
      </w:pPr>
    </w:p>
    <w:p>
      <w:pPr>
        <w:pStyle w:val="14"/>
        <w:shd w:val="clear"/>
        <w:ind w:firstLine="480"/>
        <w:rPr>
          <w:rFonts w:hint="eastAsia" w:ascii="宋体" w:hAnsi="宋体" w:cs="宋体"/>
          <w:bCs/>
          <w:iCs/>
          <w:color w:val="auto"/>
          <w:sz w:val="24"/>
          <w:highlight w:val="none"/>
        </w:rPr>
      </w:pPr>
    </w:p>
    <w:p>
      <w:pPr>
        <w:pStyle w:val="21"/>
        <w:shd w:val="clear"/>
        <w:spacing w:beforeLines="0" w:afterLines="0"/>
        <w:rPr>
          <w:rFonts w:hint="eastAsia" w:ascii="宋体" w:eastAsia="宋体" w:cs="宋体"/>
          <w:color w:val="auto"/>
          <w:highlight w:val="none"/>
        </w:rPr>
      </w:pPr>
    </w:p>
    <w:p>
      <w:pPr>
        <w:pStyle w:val="21"/>
        <w:shd w:val="clear"/>
        <w:spacing w:beforeLines="0" w:afterLines="0"/>
        <w:rPr>
          <w:rFonts w:hint="eastAsia" w:ascii="宋体" w:eastAsia="宋体" w:cs="宋体"/>
          <w:color w:val="auto"/>
          <w:highlight w:val="none"/>
        </w:rPr>
      </w:pPr>
    </w:p>
    <w:p>
      <w:pPr>
        <w:pStyle w:val="21"/>
        <w:shd w:val="clear"/>
        <w:spacing w:beforeLines="0" w:afterLines="0"/>
        <w:rPr>
          <w:rFonts w:hint="eastAsia" w:ascii="宋体" w:eastAsia="宋体" w:cs="宋体"/>
          <w:color w:val="auto"/>
          <w:highlight w:val="none"/>
        </w:rPr>
      </w:pPr>
    </w:p>
    <w:p>
      <w:pPr>
        <w:pStyle w:val="21"/>
        <w:shd w:val="clear"/>
        <w:spacing w:beforeLines="0" w:afterLines="0"/>
        <w:rPr>
          <w:rFonts w:hint="eastAsia" w:ascii="宋体" w:eastAsia="宋体" w:cs="宋体"/>
          <w:color w:val="auto"/>
          <w:highlight w:val="none"/>
        </w:rPr>
      </w:pPr>
    </w:p>
    <w:p>
      <w:pPr>
        <w:pStyle w:val="21"/>
        <w:shd w:val="clear"/>
        <w:spacing w:beforeLines="0" w:afterLines="0"/>
        <w:rPr>
          <w:rFonts w:hint="eastAsia" w:ascii="宋体" w:eastAsia="宋体" w:cs="宋体"/>
          <w:color w:val="auto"/>
          <w:highlight w:val="none"/>
        </w:rPr>
      </w:pPr>
    </w:p>
    <w:p>
      <w:pPr>
        <w:pStyle w:val="21"/>
        <w:shd w:val="clear"/>
        <w:spacing w:beforeLines="0" w:afterLines="0"/>
        <w:rPr>
          <w:rFonts w:hint="eastAsia" w:ascii="宋体" w:eastAsia="宋体" w:cs="宋体"/>
          <w:color w:val="auto"/>
          <w:highlight w:val="none"/>
        </w:rPr>
      </w:pPr>
    </w:p>
    <w:p>
      <w:pPr>
        <w:pStyle w:val="21"/>
        <w:shd w:val="clear"/>
        <w:spacing w:beforeLines="0" w:afterLines="0"/>
        <w:rPr>
          <w:rFonts w:hint="eastAsia" w:ascii="宋体" w:eastAsia="宋体" w:cs="宋体"/>
          <w:color w:val="auto"/>
          <w:highlight w:val="none"/>
        </w:rPr>
      </w:pPr>
    </w:p>
    <w:p>
      <w:pPr>
        <w:pStyle w:val="14"/>
        <w:shd w:val="clear"/>
        <w:ind w:left="0" w:leftChars="0" w:firstLine="0" w:firstLineChars="0"/>
        <w:rPr>
          <w:rFonts w:hint="eastAsia" w:ascii="宋体" w:hAnsi="宋体" w:cs="宋体"/>
          <w:bCs/>
          <w:iCs/>
          <w:color w:val="auto"/>
          <w:sz w:val="24"/>
          <w:highlight w:val="none"/>
        </w:rPr>
        <w:sectPr>
          <w:pgSz w:w="11906" w:h="16838"/>
          <w:pgMar w:top="1440" w:right="1797" w:bottom="1440" w:left="1797" w:header="851" w:footer="992" w:gutter="0"/>
          <w:pgNumType w:fmt="decimal"/>
          <w:cols w:space="720" w:num="1"/>
          <w:docGrid w:linePitch="312" w:charSpace="0"/>
        </w:sectPr>
      </w:pPr>
    </w:p>
    <w:p>
      <w:pPr>
        <w:pStyle w:val="2"/>
        <w:shd w:val="clear"/>
        <w:spacing w:line="360" w:lineRule="auto"/>
        <w:rPr>
          <w:rFonts w:hint="eastAsia" w:hAnsi="宋体" w:cs="宋体"/>
          <w:b/>
          <w:color w:val="auto"/>
          <w:kern w:val="1"/>
          <w:sz w:val="24"/>
          <w:highlight w:val="none"/>
        </w:rPr>
      </w:pPr>
      <w:r>
        <w:rPr>
          <w:rFonts w:hint="eastAsia" w:hAnsi="宋体" w:cs="宋体"/>
          <w:b/>
          <w:color w:val="auto"/>
          <w:kern w:val="1"/>
          <w:sz w:val="24"/>
          <w:highlight w:val="none"/>
        </w:rPr>
        <w:t>格式7 工程总承包实施方案</w:t>
      </w:r>
    </w:p>
    <w:p>
      <w:pPr>
        <w:shd w:val="clear"/>
        <w:spacing w:line="360" w:lineRule="auto"/>
        <w:jc w:val="center"/>
        <w:rPr>
          <w:rFonts w:hint="eastAsia" w:ascii="宋体" w:hAnsi="宋体" w:cs="宋体"/>
          <w:b/>
          <w:color w:val="auto"/>
          <w:spacing w:val="4"/>
          <w:sz w:val="32"/>
          <w:szCs w:val="32"/>
          <w:highlight w:val="none"/>
        </w:rPr>
      </w:pPr>
      <w:r>
        <w:rPr>
          <w:rFonts w:hint="eastAsia" w:ascii="宋体" w:hAnsi="宋体" w:cs="宋体"/>
          <w:b/>
          <w:color w:val="auto"/>
          <w:spacing w:val="4"/>
          <w:sz w:val="32"/>
          <w:szCs w:val="32"/>
          <w:highlight w:val="none"/>
        </w:rPr>
        <w:t>工程总承包实施方案</w:t>
      </w:r>
    </w:p>
    <w:p>
      <w:pPr>
        <w:shd w:val="clea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注：按照评审内容提交，格式自拟。</w:t>
      </w:r>
    </w:p>
    <w:p>
      <w:pPr>
        <w:pStyle w:val="2"/>
        <w:shd w:val="clear"/>
        <w:rPr>
          <w:rFonts w:hint="eastAsia" w:hAnsi="宋体" w:cs="宋体"/>
          <w:color w:val="auto"/>
          <w:highlight w:val="none"/>
        </w:rPr>
      </w:pPr>
    </w:p>
    <w:p>
      <w:pPr>
        <w:pStyle w:val="2"/>
        <w:shd w:val="clear"/>
        <w:spacing w:line="360" w:lineRule="auto"/>
        <w:jc w:val="left"/>
        <w:rPr>
          <w:rFonts w:hint="eastAsia" w:hAnsi="宋体" w:cs="宋体"/>
          <w:b/>
          <w:color w:val="auto"/>
          <w:kern w:val="1"/>
          <w:sz w:val="24"/>
          <w:highlight w:val="none"/>
        </w:rPr>
      </w:pPr>
    </w:p>
    <w:p>
      <w:pPr>
        <w:pStyle w:val="2"/>
        <w:shd w:val="clear"/>
        <w:spacing w:line="360" w:lineRule="auto"/>
        <w:jc w:val="left"/>
        <w:rPr>
          <w:rFonts w:hint="eastAsia" w:hAnsi="宋体" w:cs="宋体"/>
          <w:b/>
          <w:color w:val="auto"/>
          <w:kern w:val="1"/>
          <w:sz w:val="24"/>
          <w:highlight w:val="none"/>
        </w:rPr>
      </w:pPr>
    </w:p>
    <w:p>
      <w:pPr>
        <w:pStyle w:val="2"/>
        <w:shd w:val="clear"/>
        <w:spacing w:line="360" w:lineRule="auto"/>
        <w:jc w:val="left"/>
        <w:rPr>
          <w:rFonts w:hint="eastAsia" w:hAnsi="宋体" w:cs="宋体"/>
          <w:b/>
          <w:color w:val="auto"/>
          <w:kern w:val="1"/>
          <w:sz w:val="24"/>
          <w:highlight w:val="none"/>
        </w:rPr>
      </w:pPr>
    </w:p>
    <w:p>
      <w:pPr>
        <w:pStyle w:val="2"/>
        <w:shd w:val="clear"/>
        <w:spacing w:line="360" w:lineRule="auto"/>
        <w:jc w:val="left"/>
        <w:rPr>
          <w:rFonts w:hint="eastAsia" w:hAnsi="宋体" w:cs="宋体"/>
          <w:b/>
          <w:color w:val="auto"/>
          <w:kern w:val="1"/>
          <w:sz w:val="24"/>
          <w:highlight w:val="none"/>
        </w:rPr>
      </w:pPr>
    </w:p>
    <w:p>
      <w:pPr>
        <w:pStyle w:val="2"/>
        <w:shd w:val="clear"/>
        <w:spacing w:line="360" w:lineRule="auto"/>
        <w:jc w:val="left"/>
        <w:rPr>
          <w:rFonts w:hint="eastAsia" w:hAnsi="宋体" w:cs="宋体"/>
          <w:b/>
          <w:color w:val="auto"/>
          <w:kern w:val="1"/>
          <w:sz w:val="24"/>
          <w:highlight w:val="none"/>
        </w:rPr>
      </w:pPr>
    </w:p>
    <w:p>
      <w:pPr>
        <w:pStyle w:val="2"/>
        <w:shd w:val="clear"/>
        <w:spacing w:line="360" w:lineRule="auto"/>
        <w:jc w:val="left"/>
        <w:rPr>
          <w:rFonts w:hint="eastAsia" w:hAnsi="宋体" w:cs="宋体"/>
          <w:color w:val="auto"/>
          <w:sz w:val="24"/>
          <w:szCs w:val="24"/>
          <w:highlight w:val="none"/>
        </w:rPr>
      </w:pPr>
      <w:r>
        <w:rPr>
          <w:rFonts w:hint="eastAsia" w:hAnsi="宋体" w:cs="宋体"/>
          <w:b/>
          <w:color w:val="auto"/>
          <w:kern w:val="1"/>
          <w:sz w:val="24"/>
          <w:highlight w:val="none"/>
        </w:rPr>
        <w:br w:type="page"/>
      </w:r>
      <w:r>
        <w:rPr>
          <w:rFonts w:hint="eastAsia" w:hAnsi="宋体" w:cs="宋体"/>
          <w:b/>
          <w:color w:val="auto"/>
          <w:kern w:val="1"/>
          <w:sz w:val="24"/>
          <w:highlight w:val="none"/>
        </w:rPr>
        <w:t>格式8 投标人认为应该提供的其他资料</w:t>
      </w:r>
    </w:p>
    <w:p>
      <w:pPr>
        <w:pStyle w:val="2"/>
        <w:shd w:val="clear"/>
        <w:spacing w:line="360" w:lineRule="auto"/>
        <w:jc w:val="center"/>
        <w:rPr>
          <w:rFonts w:hint="eastAsia" w:hAnsi="宋体" w:cs="宋体"/>
          <w:b/>
          <w:bCs/>
          <w:color w:val="auto"/>
          <w:sz w:val="28"/>
          <w:szCs w:val="28"/>
          <w:highlight w:val="none"/>
        </w:rPr>
      </w:pPr>
    </w:p>
    <w:p>
      <w:pPr>
        <w:pStyle w:val="2"/>
        <w:shd w:val="clear"/>
        <w:spacing w:line="360" w:lineRule="auto"/>
        <w:jc w:val="center"/>
        <w:rPr>
          <w:rFonts w:hint="eastAsia" w:hAnsi="宋体" w:cs="宋体"/>
          <w:b/>
          <w:bCs/>
          <w:color w:val="auto"/>
          <w:sz w:val="28"/>
          <w:szCs w:val="28"/>
          <w:highlight w:val="none"/>
        </w:rPr>
      </w:pPr>
      <w:r>
        <w:rPr>
          <w:rFonts w:hint="eastAsia" w:hAnsi="宋体" w:cs="宋体"/>
          <w:b/>
          <w:bCs/>
          <w:color w:val="auto"/>
          <w:sz w:val="28"/>
          <w:szCs w:val="28"/>
          <w:highlight w:val="none"/>
        </w:rPr>
        <w:t>投标人认为应该提供的其他资料</w:t>
      </w:r>
    </w:p>
    <w:p>
      <w:pPr>
        <w:widowControl/>
        <w:shd w:val="clear"/>
        <w:jc w:val="left"/>
        <w:rPr>
          <w:rFonts w:hint="eastAsia" w:ascii="宋体" w:hAnsi="宋体" w:cs="宋体"/>
          <w:b/>
          <w:bCs/>
          <w:color w:val="auto"/>
          <w:sz w:val="28"/>
          <w:szCs w:val="28"/>
          <w:highlight w:val="none"/>
          <w:lang w:val="zh-CN"/>
        </w:rPr>
      </w:pPr>
    </w:p>
    <w:p>
      <w:pPr>
        <w:widowControl/>
        <w:shd w:val="clear"/>
        <w:jc w:val="left"/>
        <w:rPr>
          <w:rFonts w:hint="eastAsia" w:ascii="宋体" w:hAnsi="宋体" w:cs="宋体"/>
          <w:b/>
          <w:bCs/>
          <w:color w:val="auto"/>
          <w:sz w:val="28"/>
          <w:szCs w:val="28"/>
          <w:highlight w:val="none"/>
          <w:lang w:val="zh-CN"/>
        </w:rPr>
      </w:pPr>
    </w:p>
    <w:p>
      <w:pPr>
        <w:pStyle w:val="14"/>
        <w:shd w:val="clear"/>
        <w:ind w:left="0" w:leftChars="0" w:firstLine="0" w:firstLineChars="0"/>
        <w:rPr>
          <w:rFonts w:hint="eastAsia" w:ascii="宋体" w:hAnsi="宋体" w:cs="宋体"/>
          <w:bCs/>
          <w:iCs/>
          <w:color w:val="auto"/>
          <w:sz w:val="24"/>
          <w:highlight w:val="none"/>
        </w:rPr>
      </w:pPr>
    </w:p>
    <w:p>
      <w:pPr>
        <w:numPr>
          <w:ilvl w:val="0"/>
          <w:numId w:val="1"/>
        </w:numPr>
        <w:shd w:val="clear"/>
        <w:spacing w:before="120" w:beforeLines="50" w:after="120" w:afterLines="50" w:line="360" w:lineRule="auto"/>
        <w:jc w:val="center"/>
        <w:rPr>
          <w:rFonts w:hint="eastAsia" w:ascii="宋体" w:hAnsi="宋体" w:cs="宋体"/>
          <w:b/>
          <w:bCs/>
          <w:color w:val="auto"/>
          <w:kern w:val="44"/>
          <w:sz w:val="44"/>
          <w:szCs w:val="44"/>
          <w:highlight w:val="none"/>
        </w:rPr>
      </w:pPr>
      <w:r>
        <w:rPr>
          <w:rFonts w:hint="eastAsia" w:ascii="宋体" w:hAnsi="宋体" w:cs="宋体"/>
          <w:color w:val="auto"/>
          <w:highlight w:val="none"/>
        </w:rPr>
        <w:br w:type="page"/>
      </w:r>
      <w:r>
        <w:rPr>
          <w:rFonts w:hint="eastAsia" w:ascii="宋体" w:hAnsi="宋体" w:cs="宋体"/>
          <w:b/>
          <w:bCs/>
          <w:color w:val="auto"/>
          <w:kern w:val="44"/>
          <w:sz w:val="44"/>
          <w:szCs w:val="44"/>
          <w:highlight w:val="none"/>
        </w:rPr>
        <w:t>否决性条款汇总</w:t>
      </w:r>
    </w:p>
    <w:p>
      <w:pPr>
        <w:pStyle w:val="2"/>
        <w:shd w:val="clea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招标人应当在招标文件中将否决性条款单列，招标文件的其他条款与该单列的否决性条款不一致的，以单列的否决性条款为准。如招标文件澄清或修改的内容中增加否决性条款的，招标人应当重新单列完整的否决性条款，并依法发给潜在投标人或投标人。</w:t>
      </w:r>
    </w:p>
    <w:p>
      <w:pPr>
        <w:pStyle w:val="2"/>
        <w:shd w:val="clear"/>
        <w:spacing w:before="60" w:after="60" w:line="360" w:lineRule="auto"/>
        <w:ind w:firstLine="480" w:firstLineChars="200"/>
        <w:rPr>
          <w:rFonts w:hint="eastAsia" w:hAnsi="宋体" w:cs="宋体"/>
          <w:color w:val="auto"/>
          <w:sz w:val="24"/>
          <w:szCs w:val="28"/>
          <w:highlight w:val="none"/>
        </w:rPr>
      </w:pPr>
      <w:r>
        <w:rPr>
          <w:rFonts w:hint="eastAsia" w:hAnsi="宋体" w:cs="宋体"/>
          <w:color w:val="auto"/>
          <w:sz w:val="24"/>
          <w:szCs w:val="24"/>
          <w:highlight w:val="none"/>
        </w:rPr>
        <w:t>否决性条款指招标文件中规定的拒绝受理或者作无效标以及不合格标处理等否定投标文件效力的条款。</w:t>
      </w:r>
    </w:p>
    <w:p>
      <w:pPr>
        <w:shd w:val="clea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一、若出现以下情况，招标人将拒绝接收其投标文件：</w:t>
      </w:r>
    </w:p>
    <w:p>
      <w:pPr>
        <w:shd w:val="clea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（1）未按要求加密的电子投标文件，电子招标投标交易平台将予以拒收。</w:t>
      </w:r>
    </w:p>
    <w:p>
      <w:pPr>
        <w:shd w:val="clea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（2）逾期送达的电子投标文件，电子招标投标交易平台将予以拒收。</w:t>
      </w:r>
    </w:p>
    <w:p>
      <w:pPr>
        <w:shd w:val="clear"/>
        <w:spacing w:line="360" w:lineRule="auto"/>
        <w:ind w:firstLine="480" w:firstLineChars="200"/>
        <w:rPr>
          <w:rFonts w:ascii="宋体" w:hAnsi="宋体" w:cs="宋体"/>
          <w:color w:val="auto"/>
          <w:position w:val="-6"/>
          <w:sz w:val="24"/>
          <w:szCs w:val="24"/>
          <w:highlight w:val="none"/>
        </w:rPr>
      </w:pPr>
      <w:r>
        <w:rPr>
          <w:rFonts w:hint="eastAsia" w:ascii="宋体" w:hAnsi="宋体" w:cs="宋体"/>
          <w:color w:val="auto"/>
          <w:sz w:val="24"/>
          <w:szCs w:val="24"/>
          <w:highlight w:val="none"/>
        </w:rPr>
        <w:t>（3）在投标截止时间后</w:t>
      </w:r>
      <w:r>
        <w:rPr>
          <w:rFonts w:ascii="宋体" w:hAnsi="宋体" w:cs="宋体"/>
          <w:color w:val="auto"/>
          <w:sz w:val="24"/>
          <w:szCs w:val="24"/>
          <w:highlight w:val="none"/>
        </w:rPr>
        <w:t>半小时</w:t>
      </w:r>
      <w:r>
        <w:rPr>
          <w:rFonts w:hint="eastAsia" w:ascii="宋体" w:hAnsi="宋体" w:cs="宋体"/>
          <w:color w:val="auto"/>
          <w:sz w:val="24"/>
          <w:szCs w:val="24"/>
          <w:highlight w:val="none"/>
        </w:rPr>
        <w:t>内为投标人投标文件解密时间，投标人通过电子招标投标交易平台对已递交的电子投标文件进行解密。超过时间未解密的投标文件不参与开标、评标。</w:t>
      </w:r>
    </w:p>
    <w:p>
      <w:pPr>
        <w:shd w:val="clear"/>
        <w:spacing w:line="360" w:lineRule="auto"/>
        <w:ind w:firstLine="480" w:firstLineChars="200"/>
        <w:rPr>
          <w:rFonts w:hint="eastAsia" w:ascii="宋体" w:hAnsi="宋体" w:cs="宋体"/>
          <w:color w:val="auto"/>
          <w:sz w:val="24"/>
          <w:szCs w:val="24"/>
          <w:highlight w:val="none"/>
        </w:rPr>
      </w:pPr>
    </w:p>
    <w:p>
      <w:pPr>
        <w:shd w:val="clea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二、作无效投标的情形：</w:t>
      </w:r>
    </w:p>
    <w:p>
      <w:pPr>
        <w:shd w:val="clea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(1)不符合招标文件“第三章 评标办法（综合评估法）评标办法前附表中2.1.1形式评审标准”的要求；</w:t>
      </w:r>
    </w:p>
    <w:p>
      <w:pPr>
        <w:shd w:val="clea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(2)不符合招标文件“第三章 评标办法（综合评估法）评标办法前附表中2.1.2资格评审标准”的要求；</w:t>
      </w:r>
    </w:p>
    <w:p>
      <w:pPr>
        <w:shd w:val="clea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(3)不符合招标文件“第三章 评标办法（综合评估法）评标办法前附表中 2.1.3响应性评审标准”的要求；</w:t>
      </w:r>
    </w:p>
    <w:p>
      <w:pPr>
        <w:pStyle w:val="2"/>
        <w:shd w:val="clear"/>
        <w:spacing w:line="360" w:lineRule="auto"/>
        <w:ind w:firstLine="480" w:firstLineChars="200"/>
        <w:rPr>
          <w:rFonts w:hint="eastAsia" w:hAnsi="宋体" w:cs="宋体"/>
          <w:color w:val="auto"/>
          <w:sz w:val="24"/>
          <w:szCs w:val="24"/>
          <w:highlight w:val="none"/>
        </w:rPr>
      </w:pPr>
    </w:p>
    <w:p>
      <w:pPr>
        <w:pStyle w:val="2"/>
        <w:numPr>
          <w:ilvl w:val="0"/>
          <w:numId w:val="2"/>
        </w:numPr>
        <w:shd w:val="clea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投标人有以下情形之一的，评标委员会应当否决其投标：</w:t>
      </w:r>
    </w:p>
    <w:p>
      <w:pPr>
        <w:pStyle w:val="2"/>
        <w:shd w:val="clea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（1）投标文件没有对招标文件的实质性要求和条件作出响应，或者对招标文件的偏差超出招标文件规定的偏差范围或最高项数；</w:t>
      </w:r>
    </w:p>
    <w:p>
      <w:pPr>
        <w:pStyle w:val="2"/>
        <w:shd w:val="clea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（2）有串通投标、弄虚作假、行贿等违法行为；</w:t>
      </w:r>
    </w:p>
    <w:p>
      <w:pPr>
        <w:pStyle w:val="2"/>
        <w:shd w:val="clea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（3）两个(含两个)以上的投标人加密打包投标文件电脑机器特征码一致的；</w:t>
      </w:r>
    </w:p>
    <w:p>
      <w:pPr>
        <w:pStyle w:val="2"/>
        <w:shd w:val="clea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（4）投标报价有算术错误及其他错误的，评标委员会按以下原则要求投标人对投标报价进行修正，并要求投标人书面澄清确认。投标人拒不澄清确认的，评标委员会应当否决其投标:</w:t>
      </w:r>
    </w:p>
    <w:p>
      <w:pPr>
        <w:pStyle w:val="2"/>
        <w:shd w:val="clea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1)如果数字表示的金额和用文字表示的金额不一致时，应以文字表示的金额为准；</w:t>
      </w:r>
    </w:p>
    <w:p>
      <w:pPr>
        <w:pStyle w:val="2"/>
        <w:shd w:val="clea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2)如果(1-下浮率)与最高投标限价乘积不等于投标报价时，以下浮率为准修正投标报价(下浮率有明显的数量级错误的除外，此时应修正下浮率)，若修正后的投标报价超过最高投标限价的，作否决投标处理；</w:t>
      </w:r>
    </w:p>
    <w:p>
      <w:pPr>
        <w:pStyle w:val="2"/>
        <w:shd w:val="clea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3)如果分项报价累加不等总价的，以分项报价累加为准，修正总价；</w:t>
      </w:r>
    </w:p>
    <w:p>
      <w:pPr>
        <w:pStyle w:val="2"/>
        <w:shd w:val="clea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4)投标文件存在其他计算性错误的，按就低不就高计算并修正。</w:t>
      </w:r>
    </w:p>
    <w:p>
      <w:pPr>
        <w:shd w:val="clear"/>
        <w:rPr>
          <w:color w:val="auto"/>
          <w:highlight w:val="none"/>
        </w:rPr>
      </w:pPr>
    </w:p>
    <w:p>
      <w:pPr>
        <w:shd w:val="clear"/>
        <w:rPr>
          <w:color w:val="auto"/>
          <w:highlight w:val="none"/>
        </w:rPr>
      </w:pPr>
    </w:p>
    <w:p>
      <w:pPr>
        <w:shd w:val="clear"/>
        <w:rPr>
          <w:color w:val="auto"/>
          <w:highlight w:val="none"/>
        </w:rPr>
      </w:pPr>
    </w:p>
    <w:sectPr>
      <w:pgSz w:w="11906" w:h="16838"/>
      <w:pgMar w:top="1440" w:right="1797" w:bottom="1440" w:left="1797" w:header="851" w:footer="992"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center"/>
                          </w:pPr>
                          <w:r>
                            <w:fldChar w:fldCharType="begin"/>
                          </w:r>
                          <w:r>
                            <w:instrText xml:space="preserve">PAGE   \* MERGEFORMAT</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1"/>
                      <w:jc w:val="center"/>
                    </w:pPr>
                    <w:r>
                      <w:fldChar w:fldCharType="begin"/>
                    </w:r>
                    <w:r>
                      <w:instrText xml:space="preserve">PAGE   \* MERGEFORMAT</w:instrText>
                    </w:r>
                    <w:r>
                      <w:fldChar w:fldCharType="separate"/>
                    </w:r>
                    <w:r>
                      <w:t>3</w:t>
                    </w:r>
                    <w:r>
                      <w:fldChar w:fldCharType="end"/>
                    </w:r>
                  </w:p>
                </w:txbxContent>
              </v:textbox>
            </v:shape>
          </w:pict>
        </mc:Fallback>
      </mc:AlternateContent>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center"/>
                          </w:pPr>
                          <w:r>
                            <w:fldChar w:fldCharType="begin"/>
                          </w:r>
                          <w:r>
                            <w:instrText xml:space="preserve">PAGE   \* MERGEFORMAT</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1"/>
                      <w:jc w:val="center"/>
                    </w:pPr>
                    <w:r>
                      <w:fldChar w:fldCharType="begin"/>
                    </w:r>
                    <w:r>
                      <w:instrText xml:space="preserve">PAGE   \* MERGEFORMAT</w:instrText>
                    </w:r>
                    <w:r>
                      <w:fldChar w:fldCharType="separate"/>
                    </w:r>
                    <w:r>
                      <w:t>46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center"/>
                          </w:pPr>
                          <w:r>
                            <w:fldChar w:fldCharType="begin"/>
                          </w:r>
                          <w:r>
                            <w:rPr>
                              <w:rStyle w:val="17"/>
                            </w:rPr>
                            <w:instrText xml:space="preserve"> PAGE </w:instrText>
                          </w:r>
                          <w:r>
                            <w:fldChar w:fldCharType="separate"/>
                          </w:r>
                          <w:r>
                            <w:rPr>
                              <w:rStyle w:val="17"/>
                            </w:rP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1"/>
                      <w:jc w:val="center"/>
                    </w:pPr>
                    <w:r>
                      <w:fldChar w:fldCharType="begin"/>
                    </w:r>
                    <w:r>
                      <w:rPr>
                        <w:rStyle w:val="17"/>
                      </w:rPr>
                      <w:instrText xml:space="preserve"> PAGE </w:instrText>
                    </w:r>
                    <w:r>
                      <w:fldChar w:fldCharType="separate"/>
                    </w:r>
                    <w:r>
                      <w:rPr>
                        <w:rStyle w:val="17"/>
                      </w:rPr>
                      <w:t>48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center"/>
                          </w:pPr>
                          <w:r>
                            <w:fldChar w:fldCharType="begin"/>
                          </w:r>
                          <w:r>
                            <w:rPr>
                              <w:rStyle w:val="17"/>
                            </w:rPr>
                            <w:instrText xml:space="preserve"> PAGE </w:instrText>
                          </w:r>
                          <w:r>
                            <w:fldChar w:fldCharType="separate"/>
                          </w:r>
                          <w:r>
                            <w:rPr>
                              <w:rStyle w:val="17"/>
                            </w:rP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11"/>
                      <w:jc w:val="center"/>
                    </w:pPr>
                    <w:r>
                      <w:fldChar w:fldCharType="begin"/>
                    </w:r>
                    <w:r>
                      <w:rPr>
                        <w:rStyle w:val="17"/>
                      </w:rPr>
                      <w:instrText xml:space="preserve"> PAGE </w:instrText>
                    </w:r>
                    <w:r>
                      <w:fldChar w:fldCharType="separate"/>
                    </w:r>
                    <w:r>
                      <w:rPr>
                        <w:rStyle w:val="17"/>
                      </w:rPr>
                      <w:t>57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7A128D"/>
    <w:multiLevelType w:val="singleLevel"/>
    <w:tmpl w:val="DC7A128D"/>
    <w:lvl w:ilvl="0" w:tentative="0">
      <w:start w:val="8"/>
      <w:numFmt w:val="chineseCounting"/>
      <w:suff w:val="space"/>
      <w:lvlText w:val="第%1章"/>
      <w:lvlJc w:val="left"/>
      <w:rPr>
        <w:rFonts w:hint="eastAsia"/>
      </w:rPr>
    </w:lvl>
  </w:abstractNum>
  <w:abstractNum w:abstractNumId="1">
    <w:nsid w:val="3A007196"/>
    <w:multiLevelType w:val="singleLevel"/>
    <w:tmpl w:val="3A007196"/>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011837"/>
    <w:rsid w:val="39011837"/>
    <w:rsid w:val="3FEE0F12"/>
    <w:rsid w:val="4E790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bCs/>
      <w:kern w:val="0"/>
      <w:sz w:val="32"/>
      <w:szCs w:val="32"/>
    </w:rPr>
  </w:style>
  <w:style w:type="paragraph" w:styleId="5">
    <w:name w:val="heading 3"/>
    <w:basedOn w:val="1"/>
    <w:next w:val="1"/>
    <w:qFormat/>
    <w:uiPriority w:val="0"/>
    <w:pPr>
      <w:keepNext/>
      <w:keepLines/>
      <w:spacing w:before="260" w:after="260" w:line="412" w:lineRule="auto"/>
      <w:ind w:firstLine="137" w:firstLineChars="49"/>
      <w:outlineLvl w:val="2"/>
    </w:pPr>
    <w:rPr>
      <w:rFonts w:ascii="黑体" w:hAnsi="宋体" w:eastAsia="黑体"/>
      <w:bCs/>
      <w:kern w:val="0"/>
      <w:sz w:val="28"/>
      <w:szCs w:val="28"/>
    </w:rPr>
  </w:style>
  <w:style w:type="character" w:default="1" w:styleId="16">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next w:val="1"/>
    <w:unhideWhenUsed/>
    <w:qFormat/>
    <w:uiPriority w:val="0"/>
    <w:rPr>
      <w:rFonts w:ascii="宋体" w:hAnsi="Courier New"/>
      <w:kern w:val="0"/>
      <w:sz w:val="20"/>
      <w:szCs w:val="20"/>
    </w:rPr>
  </w:style>
  <w:style w:type="paragraph" w:styleId="6">
    <w:name w:val="annotation text"/>
    <w:basedOn w:val="1"/>
    <w:next w:val="1"/>
    <w:unhideWhenUsed/>
    <w:qFormat/>
    <w:uiPriority w:val="99"/>
    <w:pPr>
      <w:jc w:val="left"/>
    </w:pPr>
  </w:style>
  <w:style w:type="paragraph" w:styleId="7">
    <w:name w:val="Body Text 3"/>
    <w:basedOn w:val="1"/>
    <w:qFormat/>
    <w:uiPriority w:val="0"/>
    <w:pPr>
      <w:spacing w:after="120"/>
    </w:pPr>
    <w:rPr>
      <w:kern w:val="0"/>
      <w:sz w:val="16"/>
      <w:szCs w:val="16"/>
    </w:rPr>
  </w:style>
  <w:style w:type="paragraph" w:styleId="8">
    <w:name w:val="Body Text"/>
    <w:basedOn w:val="1"/>
    <w:next w:val="1"/>
    <w:unhideWhenUsed/>
    <w:qFormat/>
    <w:uiPriority w:val="99"/>
    <w:pPr>
      <w:spacing w:after="120"/>
    </w:pPr>
  </w:style>
  <w:style w:type="paragraph" w:styleId="9">
    <w:name w:val="Body Text Indent"/>
    <w:basedOn w:val="1"/>
    <w:next w:val="10"/>
    <w:qFormat/>
    <w:uiPriority w:val="0"/>
    <w:pPr>
      <w:ind w:firstLine="560" w:firstLineChars="200"/>
    </w:pPr>
    <w:rPr>
      <w:rFonts w:ascii="Calibri" w:hAnsi="Calibri"/>
      <w:kern w:val="0"/>
      <w:sz w:val="28"/>
      <w:szCs w:val="24"/>
    </w:rPr>
  </w:style>
  <w:style w:type="paragraph" w:styleId="10">
    <w:name w:val="envelope return"/>
    <w:basedOn w:val="1"/>
    <w:qFormat/>
    <w:uiPriority w:val="0"/>
    <w:pPr>
      <w:snapToGrid w:val="0"/>
    </w:pPr>
    <w:rPr>
      <w:rFonts w:ascii="Arial" w:hAnsi="Arial" w:cs="Arial"/>
      <w:szCs w:val="24"/>
    </w:rPr>
  </w:style>
  <w:style w:type="paragraph" w:styleId="11">
    <w:name w:val="footer"/>
    <w:basedOn w:val="1"/>
    <w:qFormat/>
    <w:uiPriority w:val="99"/>
    <w:pPr>
      <w:tabs>
        <w:tab w:val="center" w:pos="4153"/>
        <w:tab w:val="right" w:pos="8306"/>
      </w:tabs>
      <w:snapToGrid w:val="0"/>
      <w:jc w:val="left"/>
    </w:pPr>
    <w:rPr>
      <w:kern w:val="0"/>
      <w:sz w:val="18"/>
      <w:szCs w:val="20"/>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20"/>
    </w:rPr>
  </w:style>
  <w:style w:type="paragraph" w:styleId="13">
    <w:name w:val="toc 1"/>
    <w:basedOn w:val="1"/>
    <w:next w:val="1"/>
    <w:unhideWhenUsed/>
    <w:qFormat/>
    <w:uiPriority w:val="39"/>
    <w:pPr>
      <w:spacing w:before="120" w:after="120"/>
      <w:jc w:val="left"/>
    </w:pPr>
    <w:rPr>
      <w:b/>
      <w:bCs/>
      <w:caps/>
      <w:sz w:val="20"/>
      <w:szCs w:val="20"/>
    </w:rPr>
  </w:style>
  <w:style w:type="paragraph" w:styleId="14">
    <w:name w:val="Body Text First Indent 2"/>
    <w:basedOn w:val="9"/>
    <w:qFormat/>
    <w:uiPriority w:val="0"/>
    <w:pPr>
      <w:spacing w:after="120"/>
      <w:ind w:left="420" w:leftChars="200" w:firstLine="420"/>
    </w:pPr>
    <w:rPr>
      <w:rFonts w:ascii="Times New Roman" w:hAnsi="Times New Roman"/>
      <w:sz w:val="20"/>
    </w:rPr>
  </w:style>
  <w:style w:type="character" w:styleId="17">
    <w:name w:val="page number"/>
    <w:unhideWhenUsed/>
    <w:qFormat/>
    <w:uiPriority w:val="0"/>
  </w:style>
  <w:style w:type="character" w:styleId="18">
    <w:name w:val="Hyperlink"/>
    <w:unhideWhenUsed/>
    <w:qFormat/>
    <w:uiPriority w:val="99"/>
    <w:rPr>
      <w:color w:val="6D6D6D"/>
      <w:u w:val="none"/>
    </w:rPr>
  </w:style>
  <w:style w:type="character" w:styleId="19">
    <w:name w:val="annotation reference"/>
    <w:unhideWhenUsed/>
    <w:qFormat/>
    <w:uiPriority w:val="0"/>
    <w:rPr>
      <w:sz w:val="21"/>
      <w:szCs w:val="21"/>
    </w:rPr>
  </w:style>
  <w:style w:type="paragraph" w:customStyle="1" w:styleId="2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1">
    <w:name w:val="章节三"/>
    <w:basedOn w:val="22"/>
    <w:next w:val="22"/>
    <w:qFormat/>
    <w:uiPriority w:val="0"/>
    <w:pPr>
      <w:spacing w:beforeLines="50" w:afterLines="50" w:line="240" w:lineRule="auto"/>
      <w:ind w:firstLine="0" w:firstLineChars="0"/>
      <w:jc w:val="left"/>
      <w:outlineLvl w:val="2"/>
    </w:pPr>
    <w:rPr>
      <w:rFonts w:ascii="黑体" w:hAnsi="宋体" w:eastAsia="黑体"/>
      <w:b/>
    </w:rPr>
  </w:style>
  <w:style w:type="paragraph" w:customStyle="1" w:styleId="22">
    <w:name w:val="文一"/>
    <w:basedOn w:val="1"/>
    <w:qFormat/>
    <w:uiPriority w:val="0"/>
    <w:pPr>
      <w:topLinePunct/>
      <w:adjustRightInd w:val="0"/>
      <w:snapToGrid w:val="0"/>
      <w:spacing w:line="360" w:lineRule="auto"/>
      <w:ind w:firstLine="200" w:firstLineChars="200"/>
    </w:pPr>
    <w:rPr>
      <w:spacing w:val="4"/>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2023-11-02T04:50:00Z</dcterms:created>
  <dc:creator>NTKO</dc:creator>
  <cp:lastModifiedBy>NTKO</cp:lastModifiedBy>
  <dcterms:modified xsi:type="dcterms:W3CDTF">2023-11-02T08:25:25Z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