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1"/>
        <w:jc w:val="center"/>
        <w:rPr>
          <w:rStyle w:val="28"/>
          <w:rFonts w:hint="eastAsia" w:ascii="宋体" w:hAnsi="宋体" w:eastAsia="宋体" w:cs="宋体"/>
          <w:b/>
          <w:color w:val="auto"/>
          <w:kern w:val="0"/>
          <w:sz w:val="48"/>
          <w:szCs w:val="48"/>
          <w:highlight w:val="none"/>
        </w:rPr>
      </w:pPr>
    </w:p>
    <w:p>
      <w:pPr>
        <w:spacing w:line="360" w:lineRule="auto"/>
        <w:ind w:left="171"/>
        <w:jc w:val="center"/>
        <w:rPr>
          <w:rStyle w:val="28"/>
          <w:rFonts w:hint="eastAsia" w:ascii="宋体" w:hAnsi="宋体" w:cs="宋体"/>
          <w:b/>
          <w:color w:val="auto"/>
          <w:kern w:val="0"/>
          <w:sz w:val="44"/>
          <w:szCs w:val="44"/>
          <w:highlight w:val="none"/>
        </w:rPr>
      </w:pPr>
      <w:r>
        <w:rPr>
          <w:rStyle w:val="28"/>
          <w:rFonts w:hint="eastAsia" w:ascii="宋体" w:hAnsi="宋体" w:cs="宋体"/>
          <w:b/>
          <w:color w:val="auto"/>
          <w:kern w:val="0"/>
          <w:sz w:val="44"/>
          <w:szCs w:val="44"/>
          <w:highlight w:val="none"/>
        </w:rPr>
        <w:t>市桥水道-沙湾水道流域（市桥河以北）村居雨污分流改造工程——榄山村、沙头村和市桥水道-沙湾水道流域（市桥河以北）村居雨污分流改造工程——榄山村、沙头村（清淤修复部分）</w:t>
      </w:r>
    </w:p>
    <w:p>
      <w:pPr>
        <w:spacing w:line="360" w:lineRule="auto"/>
        <w:ind w:left="171"/>
        <w:jc w:val="center"/>
        <w:rPr>
          <w:rFonts w:hint="eastAsia" w:ascii="宋体" w:hAnsi="宋体" w:eastAsia="宋体" w:cs="宋体"/>
          <w:b/>
          <w:bCs/>
          <w:color w:val="auto"/>
          <w:spacing w:val="26"/>
          <w:sz w:val="44"/>
          <w:szCs w:val="44"/>
          <w:highlight w:val="none"/>
        </w:rPr>
      </w:pPr>
      <w:r>
        <w:rPr>
          <w:rStyle w:val="28"/>
          <w:rFonts w:hint="eastAsia" w:ascii="宋体" w:hAnsi="宋体" w:cs="宋体"/>
          <w:b/>
          <w:color w:val="auto"/>
          <w:kern w:val="0"/>
          <w:sz w:val="44"/>
          <w:szCs w:val="44"/>
          <w:highlight w:val="none"/>
          <w:lang w:val="en-US"/>
        </w:rPr>
        <w:t>施工监理</w:t>
      </w:r>
    </w:p>
    <w:p>
      <w:pPr>
        <w:spacing w:line="360" w:lineRule="auto"/>
        <w:jc w:val="center"/>
        <w:rPr>
          <w:rFonts w:hint="eastAsia" w:ascii="宋体" w:hAnsi="宋体" w:eastAsia="宋体" w:cs="宋体"/>
          <w:b/>
          <w:bCs/>
          <w:color w:val="auto"/>
          <w:spacing w:val="26"/>
          <w:sz w:val="100"/>
          <w:szCs w:val="100"/>
          <w:highlight w:val="none"/>
        </w:rPr>
      </w:pPr>
    </w:p>
    <w:p>
      <w:pPr>
        <w:spacing w:line="360" w:lineRule="auto"/>
        <w:jc w:val="center"/>
        <w:rPr>
          <w:rFonts w:hint="eastAsia" w:ascii="宋体" w:hAnsi="宋体" w:eastAsia="宋体" w:cs="宋体"/>
          <w:b/>
          <w:bCs/>
          <w:color w:val="auto"/>
          <w:spacing w:val="26"/>
          <w:sz w:val="100"/>
          <w:szCs w:val="100"/>
          <w:highlight w:val="none"/>
        </w:rPr>
      </w:pPr>
      <w:r>
        <w:rPr>
          <w:rFonts w:hint="eastAsia" w:ascii="宋体" w:hAnsi="宋体" w:eastAsia="宋体" w:cs="宋体"/>
          <w:b/>
          <w:bCs/>
          <w:color w:val="auto"/>
          <w:spacing w:val="26"/>
          <w:sz w:val="100"/>
          <w:szCs w:val="100"/>
          <w:highlight w:val="none"/>
        </w:rPr>
        <w:t>招标公告</w:t>
      </w:r>
    </w:p>
    <w:p>
      <w:pPr>
        <w:pStyle w:val="2"/>
        <w:rPr>
          <w:rFonts w:hint="eastAsia" w:ascii="宋体" w:hAnsi="宋体" w:eastAsia="宋体" w:cs="宋体"/>
          <w:b/>
          <w:bCs/>
          <w:color w:val="auto"/>
          <w:spacing w:val="26"/>
          <w:sz w:val="100"/>
          <w:szCs w:val="100"/>
          <w:highlight w:val="none"/>
        </w:rPr>
      </w:pPr>
    </w:p>
    <w:p>
      <w:pPr>
        <w:rPr>
          <w:rFonts w:hint="eastAsia" w:ascii="宋体" w:hAnsi="宋体" w:eastAsia="宋体" w:cs="宋体"/>
          <w:b/>
          <w:bCs/>
          <w:color w:val="auto"/>
          <w:spacing w:val="26"/>
          <w:sz w:val="100"/>
          <w:szCs w:val="100"/>
          <w:highlight w:val="none"/>
        </w:rPr>
      </w:pPr>
    </w:p>
    <w:p>
      <w:pPr>
        <w:spacing w:line="360" w:lineRule="auto"/>
        <w:ind w:left="3349" w:leftChars="608" w:hanging="2072" w:hangingChars="645"/>
        <w:jc w:val="left"/>
        <w:rPr>
          <w:rFonts w:hint="eastAsia" w:ascii="宋体" w:hAnsi="宋体" w:eastAsia="宋体" w:cs="宋体"/>
          <w:b/>
          <w:color w:val="auto"/>
          <w:sz w:val="32"/>
          <w:szCs w:val="32"/>
          <w:highlight w:val="none"/>
        </w:rPr>
      </w:pPr>
    </w:p>
    <w:p>
      <w:pPr>
        <w:spacing w:line="360" w:lineRule="auto"/>
        <w:ind w:left="3349" w:leftChars="608" w:hanging="2072" w:hangingChars="645"/>
        <w:jc w:val="left"/>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 xml:space="preserve">招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标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single"/>
        </w:rPr>
        <w:t>广州市番禺区水务工程建管中心</w:t>
      </w:r>
    </w:p>
    <w:p>
      <w:pPr>
        <w:spacing w:line="360" w:lineRule="auto"/>
        <w:ind w:left="3333" w:leftChars="1520" w:hanging="141" w:hangingChars="44"/>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（广州市番禺区水旱灾害防御中心）</w:t>
      </w:r>
    </w:p>
    <w:p>
      <w:pPr>
        <w:spacing w:line="360" w:lineRule="auto"/>
        <w:ind w:firstLine="1214" w:firstLineChars="378"/>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b/>
          <w:bCs/>
          <w:color w:val="auto"/>
          <w:sz w:val="32"/>
          <w:szCs w:val="32"/>
          <w:highlight w:val="none"/>
          <w:u w:val="single"/>
          <w:lang w:eastAsia="zh-CN"/>
        </w:rPr>
        <w:t>广州中建城招标有限公司</w:t>
      </w:r>
    </w:p>
    <w:p>
      <w:pPr>
        <w:spacing w:line="360" w:lineRule="auto"/>
        <w:ind w:firstLine="1214" w:firstLineChars="378"/>
        <w:jc w:val="left"/>
        <w:rPr>
          <w:rFonts w:hint="eastAsia" w:ascii="宋体" w:hAnsi="宋体" w:eastAsia="宋体" w:cs="宋体"/>
          <w:b/>
          <w:color w:val="auto"/>
          <w:sz w:val="30"/>
          <w:szCs w:val="30"/>
          <w:highlight w:val="none"/>
        </w:rPr>
        <w:sectPr>
          <w:headerReference r:id="rId5" w:type="first"/>
          <w:headerReference r:id="rId3" w:type="default"/>
          <w:headerReference r:id="rId4" w:type="even"/>
          <w:footerReference r:id="rId6" w:type="even"/>
          <w:endnotePr>
            <w:numFmt w:val="decimal"/>
          </w:endnotePr>
          <w:pgSz w:w="11850" w:h="16783"/>
          <w:pgMar w:top="1417" w:right="1417" w:bottom="1417" w:left="1417" w:header="851" w:footer="907" w:gutter="0"/>
          <w:cols w:space="720" w:num="1"/>
          <w:titlePg/>
          <w:docGrid w:type="lines" w:linePitch="312" w:charSpace="0"/>
        </w:sectPr>
      </w:pPr>
      <w:r>
        <w:rPr>
          <w:rFonts w:hint="eastAsia" w:ascii="宋体" w:hAnsi="宋体" w:eastAsia="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eastAsia="宋体" w:cs="宋体"/>
          <w:b/>
          <w:color w:val="auto"/>
          <w:sz w:val="32"/>
          <w:szCs w:val="32"/>
          <w:highlight w:val="none"/>
          <w:u w:val="single"/>
        </w:rPr>
        <w:t>2023</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u w:val="single"/>
          <w:lang w:val="en-US" w:eastAsia="zh-CN"/>
        </w:rPr>
        <w:t>11</w:t>
      </w:r>
      <w:r>
        <w:rPr>
          <w:rFonts w:hint="eastAsia" w:ascii="宋体" w:hAnsi="宋体" w:eastAsia="宋体" w:cs="宋体"/>
          <w:b/>
          <w:color w:val="auto"/>
          <w:sz w:val="32"/>
          <w:szCs w:val="32"/>
          <w:highlight w:val="none"/>
        </w:rPr>
        <w:t>月</w:t>
      </w:r>
    </w:p>
    <w:p>
      <w:pPr>
        <w:spacing w:line="240" w:lineRule="auto"/>
        <w:ind w:left="171"/>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2"/>
          <w:kern w:val="28"/>
          <w:sz w:val="36"/>
          <w:szCs w:val="36"/>
          <w:highlight w:val="none"/>
        </w:rPr>
        <w:t>市桥水道-沙湾水道流域（市桥河以北）村居雨污分流改造工程——榄山村、沙头村和市桥水道-沙湾水道流域（市桥河以北）村居雨污分流改造工程——榄山村、沙头村（清淤修复部分）</w:t>
      </w:r>
      <w:r>
        <w:rPr>
          <w:rFonts w:hint="eastAsia" w:ascii="宋体" w:hAnsi="宋体" w:cs="宋体"/>
          <w:b/>
          <w:bCs/>
          <w:color w:val="auto"/>
          <w:spacing w:val="2"/>
          <w:kern w:val="28"/>
          <w:sz w:val="36"/>
          <w:szCs w:val="36"/>
          <w:highlight w:val="none"/>
          <w:lang w:val="en-US" w:eastAsia="zh-CN"/>
        </w:rPr>
        <w:t>施工监理</w:t>
      </w:r>
      <w:r>
        <w:rPr>
          <w:rFonts w:hint="eastAsia" w:ascii="宋体" w:hAnsi="宋体" w:eastAsia="宋体" w:cs="宋体"/>
          <w:b/>
          <w:bCs/>
          <w:color w:val="auto"/>
          <w:spacing w:val="2"/>
          <w:kern w:val="28"/>
          <w:sz w:val="36"/>
          <w:szCs w:val="36"/>
          <w:highlight w:val="none"/>
        </w:rPr>
        <w:t>招标公告</w:t>
      </w:r>
    </w:p>
    <w:p>
      <w:pPr>
        <w:pStyle w:val="4"/>
        <w:tabs>
          <w:tab w:val="left" w:pos="501"/>
        </w:tabs>
        <w:spacing w:line="360" w:lineRule="auto"/>
        <w:rPr>
          <w:rFonts w:hint="eastAsia" w:ascii="宋体" w:hAnsi="宋体" w:eastAsia="宋体" w:cs="宋体"/>
          <w:color w:val="auto"/>
          <w:spacing w:val="2"/>
          <w:sz w:val="28"/>
          <w:szCs w:val="28"/>
          <w:highlight w:val="none"/>
        </w:rPr>
      </w:pPr>
      <w:bookmarkStart w:id="0" w:name="_bookmark2"/>
      <w:bookmarkEnd w:id="0"/>
      <w:bookmarkStart w:id="1" w:name="_Toc24511"/>
      <w:bookmarkStart w:id="2" w:name="_Toc16540"/>
      <w:bookmarkStart w:id="3" w:name="_Toc13732"/>
      <w:bookmarkStart w:id="4" w:name="_Toc12619"/>
      <w:bookmarkStart w:id="5" w:name="_Toc28431"/>
      <w:bookmarkStart w:id="6" w:name="_Toc8208"/>
      <w:bookmarkStart w:id="7" w:name="_Toc31812"/>
      <w:bookmarkStart w:id="8" w:name="_Toc1501"/>
      <w:bookmarkStart w:id="9" w:name="_Toc11673"/>
      <w:bookmarkStart w:id="10" w:name="_Toc16904"/>
      <w:bookmarkStart w:id="11" w:name="_Toc14621"/>
      <w:bookmarkStart w:id="12" w:name="_Toc12146"/>
      <w:r>
        <w:rPr>
          <w:rFonts w:hint="eastAsia" w:ascii="宋体" w:hAnsi="宋体" w:eastAsia="宋体" w:cs="宋体"/>
          <w:color w:val="auto"/>
          <w:spacing w:val="2"/>
          <w:sz w:val="28"/>
          <w:szCs w:val="28"/>
          <w:highlight w:val="none"/>
        </w:rPr>
        <w:t>1. 招标条件</w:t>
      </w:r>
      <w:bookmarkEnd w:id="1"/>
      <w:bookmarkEnd w:id="2"/>
      <w:bookmarkEnd w:id="3"/>
      <w:bookmarkEnd w:id="4"/>
      <w:bookmarkEnd w:id="5"/>
      <w:bookmarkEnd w:id="6"/>
      <w:bookmarkEnd w:id="7"/>
      <w:bookmarkEnd w:id="8"/>
      <w:bookmarkEnd w:id="9"/>
      <w:bookmarkEnd w:id="10"/>
      <w:bookmarkEnd w:id="11"/>
      <w:bookmarkEnd w:id="12"/>
    </w:p>
    <w:p>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rPr>
        <w:t>市桥水道-沙湾水道流域（市桥河以北）村居雨污分流改造工程——榄山村、沙头村</w:t>
      </w:r>
      <w:r>
        <w:rPr>
          <w:rFonts w:hint="eastAsia" w:ascii="宋体" w:hAnsi="宋体" w:eastAsia="宋体" w:cs="宋体"/>
          <w:color w:val="auto"/>
          <w:sz w:val="24"/>
          <w:highlight w:val="none"/>
        </w:rPr>
        <w:t>已由</w:t>
      </w:r>
      <w:r>
        <w:rPr>
          <w:rFonts w:hint="eastAsia" w:ascii="宋体" w:hAnsi="宋体" w:cs="宋体"/>
          <w:color w:val="auto"/>
          <w:sz w:val="24"/>
          <w:highlight w:val="none"/>
          <w:u w:val="single"/>
        </w:rPr>
        <w:t>穗番发改投批[2023]</w:t>
      </w:r>
      <w:r>
        <w:rPr>
          <w:rFonts w:hint="eastAsia" w:ascii="宋体" w:hAnsi="宋体" w:cs="宋体"/>
          <w:color w:val="auto"/>
          <w:sz w:val="24"/>
          <w:highlight w:val="none"/>
          <w:u w:val="single"/>
          <w:lang w:val="en-US" w:eastAsia="zh-CN"/>
        </w:rPr>
        <w:t>81</w:t>
      </w:r>
      <w:r>
        <w:rPr>
          <w:rFonts w:hint="eastAsia" w:ascii="宋体" w:hAnsi="宋体" w:cs="宋体"/>
          <w:color w:val="auto"/>
          <w:sz w:val="24"/>
          <w:highlight w:val="none"/>
          <w:u w:val="single"/>
        </w:rPr>
        <w:t>号</w:t>
      </w:r>
      <w:r>
        <w:rPr>
          <w:rFonts w:hint="eastAsia" w:ascii="宋体" w:hAnsi="宋体" w:cs="宋体"/>
          <w:color w:val="auto"/>
          <w:sz w:val="24"/>
          <w:highlight w:val="none"/>
          <w:u w:val="none"/>
        </w:rPr>
        <w:t>批准建设</w:t>
      </w:r>
      <w:r>
        <w:rPr>
          <w:rFonts w:hint="eastAsia" w:ascii="宋体" w:hAnsi="宋体" w:eastAsia="宋体" w:cs="宋体"/>
          <w:color w:val="auto"/>
          <w:sz w:val="24"/>
          <w:highlight w:val="none"/>
        </w:rPr>
        <w:t>，项目建设单位为</w:t>
      </w:r>
      <w:r>
        <w:rPr>
          <w:rFonts w:hint="eastAsia" w:ascii="宋体" w:hAnsi="宋体" w:eastAsia="宋体" w:cs="宋体"/>
          <w:color w:val="auto"/>
          <w:sz w:val="24"/>
          <w:highlight w:val="none"/>
          <w:u w:val="single"/>
        </w:rPr>
        <w:t>广州市番禺区水务工程建管中心（广州市番禺区水旱灾害防御中心）</w:t>
      </w:r>
      <w:r>
        <w:rPr>
          <w:rFonts w:hint="eastAsia" w:ascii="宋体" w:hAnsi="宋体" w:eastAsia="宋体" w:cs="宋体"/>
          <w:color w:val="auto"/>
          <w:sz w:val="24"/>
          <w:highlight w:val="none"/>
          <w:lang w:val="zh-CN"/>
        </w:rPr>
        <w:t>，</w:t>
      </w:r>
      <w:r>
        <w:rPr>
          <w:color w:val="auto"/>
          <w:sz w:val="24"/>
          <w:highlight w:val="none"/>
        </w:rPr>
        <w:t>建设资金来自</w:t>
      </w:r>
      <w:r>
        <w:rPr>
          <w:rFonts w:hint="eastAsia" w:ascii="宋体" w:hAnsi="宋体" w:eastAsia="宋体" w:cs="Times New Roman"/>
          <w:color w:val="auto"/>
          <w:sz w:val="24"/>
          <w:szCs w:val="24"/>
          <w:highlight w:val="none"/>
          <w:u w:val="single"/>
        </w:rPr>
        <w:t>财政资金</w:t>
      </w:r>
      <w:r>
        <w:rPr>
          <w:rFonts w:hint="eastAsia" w:ascii="宋体" w:hAnsi="宋体" w:eastAsia="宋体" w:cs="Times New Roman"/>
          <w:color w:val="auto"/>
          <w:sz w:val="24"/>
          <w:szCs w:val="24"/>
          <w:highlight w:val="none"/>
          <w:u w:val="none"/>
        </w:rPr>
        <w:t>，项目出资比例为</w:t>
      </w:r>
      <w:r>
        <w:rPr>
          <w:rFonts w:hint="eastAsia" w:ascii="宋体" w:hAnsi="宋体" w:eastAsia="宋体" w:cs="Times New Roman"/>
          <w:color w:val="auto"/>
          <w:sz w:val="24"/>
          <w:szCs w:val="24"/>
          <w:highlight w:val="none"/>
          <w:u w:val="single"/>
        </w:rPr>
        <w:t>100%</w:t>
      </w:r>
      <w:r>
        <w:rPr>
          <w:color w:val="auto"/>
          <w:sz w:val="24"/>
          <w:highlight w:val="none"/>
        </w:rPr>
        <w:t>，</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rPr>
        <w:t>广州市番禺区水务工程建管中心（广州市番禺区水旱灾害防御中心）</w:t>
      </w:r>
      <w:r>
        <w:rPr>
          <w:rFonts w:hint="eastAsia" w:ascii="宋体" w:hAnsi="宋体" w:eastAsia="宋体" w:cs="宋体"/>
          <w:color w:val="auto"/>
          <w:sz w:val="24"/>
          <w:highlight w:val="none"/>
        </w:rPr>
        <w:t>。项目已具备招标条件，现对该项目</w:t>
      </w:r>
      <w:r>
        <w:rPr>
          <w:rFonts w:hint="eastAsia" w:ascii="宋体" w:hAnsi="宋体" w:cs="宋体"/>
          <w:color w:val="auto"/>
          <w:sz w:val="24"/>
          <w:highlight w:val="none"/>
          <w:u w:val="single"/>
          <w:lang w:val="en-US" w:eastAsia="zh-CN"/>
        </w:rPr>
        <w:t>监理</w:t>
      </w:r>
      <w:r>
        <w:rPr>
          <w:rFonts w:hint="eastAsia" w:ascii="宋体" w:hAnsi="宋体" w:eastAsia="宋体" w:cs="宋体"/>
          <w:color w:val="auto"/>
          <w:sz w:val="24"/>
          <w:highlight w:val="none"/>
        </w:rPr>
        <w:t>服务进行公开招标。</w:t>
      </w:r>
    </w:p>
    <w:p>
      <w:pPr>
        <w:pStyle w:val="4"/>
        <w:tabs>
          <w:tab w:val="left" w:pos="501"/>
        </w:tabs>
        <w:spacing w:line="360" w:lineRule="auto"/>
        <w:rPr>
          <w:rFonts w:hint="eastAsia" w:ascii="宋体" w:hAnsi="宋体" w:eastAsia="宋体" w:cs="宋体"/>
          <w:color w:val="auto"/>
          <w:spacing w:val="2"/>
          <w:sz w:val="28"/>
          <w:szCs w:val="28"/>
          <w:highlight w:val="none"/>
        </w:rPr>
      </w:pPr>
      <w:bookmarkStart w:id="13" w:name="_bookmark3"/>
      <w:bookmarkEnd w:id="13"/>
      <w:bookmarkStart w:id="14" w:name="_Toc3689"/>
      <w:bookmarkStart w:id="15" w:name="_Toc26347"/>
      <w:bookmarkStart w:id="16" w:name="_Toc310"/>
      <w:bookmarkStart w:id="17" w:name="_Toc28318"/>
      <w:bookmarkStart w:id="18" w:name="_Toc10557"/>
      <w:bookmarkStart w:id="19" w:name="_Toc16057"/>
      <w:bookmarkStart w:id="20" w:name="_Toc6043"/>
      <w:bookmarkStart w:id="21" w:name="_Toc4768"/>
      <w:bookmarkStart w:id="22" w:name="_Toc3704"/>
      <w:bookmarkStart w:id="23" w:name="_Toc23939"/>
      <w:bookmarkStart w:id="24" w:name="_Toc22087"/>
      <w:bookmarkStart w:id="25" w:name="_Toc16450"/>
      <w:r>
        <w:rPr>
          <w:rFonts w:hint="eastAsia" w:ascii="宋体" w:hAnsi="宋体" w:eastAsia="宋体" w:cs="宋体"/>
          <w:color w:val="auto"/>
          <w:spacing w:val="2"/>
          <w:sz w:val="28"/>
          <w:szCs w:val="28"/>
          <w:highlight w:val="none"/>
        </w:rPr>
        <w:t>2. 项目概况与招标范围</w:t>
      </w:r>
      <w:bookmarkEnd w:id="14"/>
      <w:bookmarkEnd w:id="15"/>
      <w:bookmarkEnd w:id="16"/>
      <w:bookmarkEnd w:id="17"/>
      <w:bookmarkEnd w:id="18"/>
      <w:bookmarkEnd w:id="19"/>
      <w:bookmarkEnd w:id="20"/>
      <w:bookmarkEnd w:id="21"/>
      <w:bookmarkEnd w:id="22"/>
      <w:bookmarkEnd w:id="23"/>
      <w:bookmarkEnd w:id="24"/>
      <w:bookmarkEnd w:id="25"/>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招标项目概况</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2.1.1 项目名称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市桥水道-沙湾水道流域（市桥河以北）村居雨污分流改造工程——榄山村、沙头村和市桥水道-沙湾水道流域（市桥河以北）村居雨污分流改造工程——榄山村、沙头村（清淤修复部分）</w:t>
      </w:r>
      <w:r>
        <w:rPr>
          <w:rFonts w:hint="eastAsia" w:ascii="宋体" w:hAnsi="宋体" w:cs="宋体"/>
          <w:color w:val="auto"/>
          <w:sz w:val="24"/>
          <w:highlight w:val="none"/>
          <w:u w:val="single"/>
          <w:lang w:val="en-US" w:eastAsia="zh-CN"/>
        </w:rPr>
        <w:t>施工</w:t>
      </w:r>
      <w:r>
        <w:rPr>
          <w:rFonts w:hint="eastAsia" w:ascii="宋体" w:hAnsi="宋体" w:cs="宋体"/>
          <w:color w:val="auto"/>
          <w:sz w:val="24"/>
          <w:highlight w:val="none"/>
          <w:u w:val="single"/>
          <w:lang w:eastAsia="zh-CN"/>
        </w:rPr>
        <w:t>监理</w:t>
      </w:r>
    </w:p>
    <w:p>
      <w:pPr>
        <w:spacing w:line="360" w:lineRule="auto"/>
        <w:ind w:firstLine="480" w:firstLineChars="200"/>
        <w:rPr>
          <w:rStyle w:val="28"/>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2.1.2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工程建设地点：</w:t>
      </w:r>
      <w:r>
        <w:rPr>
          <w:rFonts w:hint="eastAsia" w:ascii="宋体" w:hAnsi="宋体" w:cs="宋体"/>
          <w:color w:val="auto"/>
          <w:sz w:val="24"/>
          <w:highlight w:val="none"/>
          <w:u w:val="single"/>
        </w:rPr>
        <w:t>广州市番禺区石</w:t>
      </w:r>
      <w:r>
        <w:rPr>
          <w:rFonts w:hint="eastAsia" w:ascii="宋体" w:hAnsi="宋体" w:cs="宋体"/>
          <w:color w:val="auto"/>
          <w:sz w:val="24"/>
          <w:highlight w:val="none"/>
          <w:u w:val="single"/>
          <w:lang w:val="en-US" w:eastAsia="zh-CN"/>
        </w:rPr>
        <w:t>沙头</w:t>
      </w:r>
      <w:r>
        <w:rPr>
          <w:rFonts w:hint="eastAsia" w:ascii="宋体" w:hAnsi="宋体" w:cs="宋体"/>
          <w:color w:val="auto"/>
          <w:sz w:val="24"/>
          <w:highlight w:val="none"/>
          <w:u w:val="single"/>
        </w:rPr>
        <w:t>街</w:t>
      </w:r>
      <w:r>
        <w:rPr>
          <w:rFonts w:hint="eastAsia" w:ascii="宋体" w:hAnsi="宋体" w:eastAsia="宋体" w:cs="宋体"/>
          <w:color w:val="auto"/>
          <w:sz w:val="24"/>
          <w:highlight w:val="none"/>
          <w:u w:val="single"/>
        </w:rPr>
        <w:t>榄山村</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沙头村</w:t>
      </w:r>
      <w:r>
        <w:rPr>
          <w:rFonts w:hint="eastAsia" w:ascii="宋体" w:hAnsi="宋体" w:cs="宋体"/>
          <w:color w:val="auto"/>
          <w:sz w:val="24"/>
          <w:highlight w:val="none"/>
          <w:u w:val="single"/>
        </w:rPr>
        <w:t>。</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2.1.3 </w:t>
      </w:r>
      <w:r>
        <w:rPr>
          <w:rFonts w:hint="eastAsia" w:ascii="宋体" w:hAnsi="宋体" w:eastAsia="宋体" w:cs="宋体"/>
          <w:color w:val="auto"/>
          <w:sz w:val="24"/>
          <w:highlight w:val="none"/>
        </w:rPr>
        <w:t>工程建设规模：</w:t>
      </w:r>
    </w:p>
    <w:p>
      <w:pPr>
        <w:widowControl/>
        <w:spacing w:line="360" w:lineRule="auto"/>
        <w:ind w:firstLine="480" w:firstLineChars="200"/>
        <w:jc w:val="left"/>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rPr>
        <w:t>本项目位于番禺区</w:t>
      </w:r>
      <w:r>
        <w:rPr>
          <w:rFonts w:hint="eastAsia" w:ascii="宋体" w:hAnsi="宋体" w:cs="宋体"/>
          <w:color w:val="auto"/>
          <w:sz w:val="24"/>
          <w:highlight w:val="none"/>
          <w:u w:val="single"/>
          <w:lang w:val="en-US" w:eastAsia="zh-CN"/>
        </w:rPr>
        <w:t>沙头</w:t>
      </w:r>
      <w:r>
        <w:rPr>
          <w:rFonts w:hint="eastAsia" w:ascii="宋体" w:hAnsi="宋体" w:cs="宋体"/>
          <w:color w:val="auto"/>
          <w:sz w:val="24"/>
          <w:highlight w:val="none"/>
          <w:u w:val="single"/>
        </w:rPr>
        <w:t>街</w:t>
      </w:r>
      <w:r>
        <w:rPr>
          <w:rFonts w:hint="eastAsia" w:ascii="宋体" w:hAnsi="宋体" w:eastAsia="宋体" w:cs="宋体"/>
          <w:color w:val="auto"/>
          <w:sz w:val="24"/>
          <w:highlight w:val="none"/>
          <w:u w:val="single"/>
        </w:rPr>
        <w:t>榄山村</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沙头村</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村域总面积约</w:t>
      </w:r>
      <w:r>
        <w:rPr>
          <w:rFonts w:hint="eastAsia" w:ascii="宋体" w:hAnsi="宋体" w:cs="宋体"/>
          <w:color w:val="auto"/>
          <w:sz w:val="24"/>
          <w:highlight w:val="none"/>
          <w:u w:val="single"/>
          <w:lang w:val="en-US" w:eastAsia="zh-CN"/>
        </w:rPr>
        <w:t>2.85</w:t>
      </w:r>
      <w:r>
        <w:rPr>
          <w:rFonts w:hint="eastAsia" w:ascii="宋体" w:hAnsi="宋体" w:cs="宋体"/>
          <w:color w:val="auto"/>
          <w:sz w:val="24"/>
          <w:highlight w:val="none"/>
          <w:u w:val="single"/>
        </w:rPr>
        <w:t>平方公里，村居面积约 0.</w:t>
      </w:r>
      <w:r>
        <w:rPr>
          <w:rFonts w:hint="eastAsia" w:ascii="宋体" w:hAnsi="宋体" w:cs="宋体"/>
          <w:color w:val="auto"/>
          <w:sz w:val="24"/>
          <w:highlight w:val="none"/>
          <w:u w:val="single"/>
          <w:lang w:val="en-US" w:eastAsia="zh-CN"/>
        </w:rPr>
        <w:t>89</w:t>
      </w:r>
      <w:r>
        <w:rPr>
          <w:rFonts w:hint="eastAsia" w:ascii="宋体" w:hAnsi="宋体" w:cs="宋体"/>
          <w:color w:val="auto"/>
          <w:sz w:val="24"/>
          <w:highlight w:val="none"/>
          <w:u w:val="single"/>
        </w:rPr>
        <w:t xml:space="preserve"> 平方公里</w:t>
      </w:r>
      <w:r>
        <w:rPr>
          <w:rFonts w:hint="eastAsia" w:ascii="宋体" w:hAnsi="宋体" w:cs="宋体"/>
          <w:color w:val="auto"/>
          <w:sz w:val="24"/>
          <w:highlight w:val="none"/>
          <w:u w:val="single"/>
          <w:lang w:eastAsia="zh-CN"/>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市桥水道-沙湾水道流域（市桥河以北）村居雨污分流改造工程——榄山村、沙头村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以下简称“工程部分”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工程</w:t>
      </w:r>
      <w:r>
        <w:rPr>
          <w:rFonts w:ascii="Times New Roman" w:hAnsi="Times New Roman"/>
          <w:color w:val="auto"/>
          <w:sz w:val="24"/>
          <w:highlight w:val="none"/>
          <w:u w:val="single"/>
        </w:rPr>
        <w:t>概算总投资约9783.058773万元</w:t>
      </w:r>
      <w:r>
        <w:rPr>
          <w:rFonts w:ascii="Times New Roman" w:hAnsi="Times New Roman"/>
          <w:color w:val="auto"/>
          <w:sz w:val="24"/>
          <w:highlight w:val="none"/>
          <w:u w:val="single"/>
        </w:rPr>
        <w:t>。</w:t>
      </w:r>
      <w:r>
        <w:rPr>
          <w:rFonts w:hint="eastAsia" w:ascii="宋体" w:hAnsi="宋体" w:cs="宋体"/>
          <w:color w:val="auto"/>
          <w:sz w:val="24"/>
          <w:highlight w:val="none"/>
          <w:u w:val="single"/>
        </w:rPr>
        <w:t>主要通过对建筑立管改造、</w:t>
      </w:r>
      <w:r>
        <w:rPr>
          <w:rFonts w:hint="eastAsia" w:ascii="宋体" w:hAnsi="宋体" w:cs="宋体"/>
          <w:color w:val="auto"/>
          <w:sz w:val="24"/>
          <w:highlight w:val="none"/>
          <w:u w:val="single"/>
        </w:rPr>
        <w:t>完善村内管网系统建设等方式，强化污水源头收集，实现接管到户，从未端完善生活污水收集管网建设，达到污水入管进厂，雨水优先散排入浅渠或海绵设施，就近进入河涌水系。主要</w:t>
      </w:r>
      <w:r>
        <w:rPr>
          <w:rFonts w:hint="eastAsia" w:ascii="宋体" w:hAnsi="宋体" w:cs="宋体"/>
          <w:color w:val="auto"/>
          <w:sz w:val="24"/>
          <w:highlight w:val="none"/>
          <w:u w:val="single"/>
          <w:lang w:val="en-US" w:eastAsia="zh-CN"/>
        </w:rPr>
        <w:t>建设内容</w:t>
      </w:r>
      <w:r>
        <w:rPr>
          <w:rFonts w:hint="eastAsia" w:ascii="宋体" w:hAnsi="宋体" w:cs="宋体"/>
          <w:color w:val="auto"/>
          <w:sz w:val="24"/>
          <w:highlight w:val="none"/>
          <w:u w:val="single"/>
        </w:rPr>
        <w:t>包括：新建d200-d</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 污水</w:t>
      </w:r>
      <w:r>
        <w:rPr>
          <w:rFonts w:hint="eastAsia" w:ascii="宋体" w:hAnsi="宋体" w:cs="宋体"/>
          <w:color w:val="auto"/>
          <w:sz w:val="24"/>
          <w:highlight w:val="none"/>
          <w:u w:val="single"/>
          <w:lang w:val="en-US" w:eastAsia="zh-CN"/>
        </w:rPr>
        <w:t>主</w:t>
      </w:r>
      <w:r>
        <w:rPr>
          <w:rFonts w:hint="eastAsia" w:ascii="宋体" w:hAnsi="宋体" w:cs="宋体"/>
          <w:color w:val="auto"/>
          <w:sz w:val="24"/>
          <w:highlight w:val="none"/>
          <w:u w:val="single"/>
        </w:rPr>
        <w:t xml:space="preserve">管 </w:t>
      </w:r>
      <w:r>
        <w:rPr>
          <w:rFonts w:hint="eastAsia" w:ascii="宋体" w:hAnsi="宋体" w:cs="宋体"/>
          <w:color w:val="auto"/>
          <w:sz w:val="24"/>
          <w:highlight w:val="none"/>
          <w:u w:val="single"/>
          <w:lang w:val="en-US" w:eastAsia="zh-CN"/>
        </w:rPr>
        <w:t>28.8065</w:t>
      </w:r>
      <w:r>
        <w:rPr>
          <w:rFonts w:hint="eastAsia" w:ascii="宋体" w:hAnsi="宋体" w:cs="宋体"/>
          <w:color w:val="auto"/>
          <w:sz w:val="24"/>
          <w:highlight w:val="none"/>
          <w:u w:val="single"/>
        </w:rPr>
        <w:t xml:space="preserve"> 千米，</w:t>
      </w:r>
      <w:r>
        <w:rPr>
          <w:rFonts w:hint="eastAsia" w:ascii="宋体" w:hAnsi="宋体" w:cs="宋体"/>
          <w:color w:val="auto"/>
          <w:sz w:val="24"/>
          <w:highlight w:val="none"/>
          <w:u w:val="single"/>
          <w:lang w:val="en-US" w:eastAsia="zh-CN"/>
        </w:rPr>
        <w:t>雨水系统改造新建</w:t>
      </w:r>
      <w:r>
        <w:rPr>
          <w:rFonts w:hint="eastAsia" w:ascii="宋体" w:hAnsi="宋体" w:cs="宋体"/>
          <w:color w:val="auto"/>
          <w:sz w:val="24"/>
          <w:highlight w:val="none"/>
          <w:u w:val="single"/>
        </w:rPr>
        <w:t>d</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00-d1000 雨水管 </w:t>
      </w:r>
      <w:r>
        <w:rPr>
          <w:rFonts w:hint="eastAsia" w:ascii="宋体" w:hAnsi="宋体" w:cs="宋体"/>
          <w:color w:val="auto"/>
          <w:sz w:val="24"/>
          <w:highlight w:val="none"/>
          <w:u w:val="single"/>
          <w:lang w:val="en-US" w:eastAsia="zh-CN"/>
        </w:rPr>
        <w:t>8.2214</w:t>
      </w:r>
      <w:r>
        <w:rPr>
          <w:rFonts w:hint="eastAsia" w:ascii="宋体" w:hAnsi="宋体" w:cs="宋体"/>
          <w:color w:val="auto"/>
          <w:sz w:val="24"/>
          <w:highlight w:val="none"/>
          <w:u w:val="single"/>
        </w:rPr>
        <w:t xml:space="preserve"> 千米，新建 b</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h=300</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300</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300</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00 雨水沟</w:t>
      </w:r>
      <w:r>
        <w:rPr>
          <w:rFonts w:hint="eastAsia" w:ascii="宋体" w:hAnsi="宋体" w:cs="宋体"/>
          <w:color w:val="auto"/>
          <w:sz w:val="24"/>
          <w:highlight w:val="none"/>
          <w:u w:val="single"/>
          <w:lang w:val="en-US" w:eastAsia="zh-CN"/>
        </w:rPr>
        <w:t>7.380</w:t>
      </w:r>
      <w:r>
        <w:rPr>
          <w:rFonts w:hint="eastAsia" w:ascii="宋体" w:hAnsi="宋体" w:cs="宋体"/>
          <w:color w:val="auto"/>
          <w:sz w:val="24"/>
          <w:highlight w:val="none"/>
          <w:u w:val="single"/>
        </w:rPr>
        <w:t xml:space="preserve"> 千米，</w:t>
      </w:r>
      <w:r>
        <w:rPr>
          <w:rFonts w:hint="eastAsia" w:ascii="宋体" w:hAnsi="宋体" w:cs="宋体"/>
          <w:color w:val="auto"/>
          <w:sz w:val="24"/>
          <w:highlight w:val="none"/>
          <w:u w:val="single"/>
          <w:lang w:val="en-US" w:eastAsia="zh-CN"/>
        </w:rPr>
        <w:t>b×h=500×500截水沟660 米，修复b×h=1500×1000雨水渠157米，</w:t>
      </w:r>
      <w:r>
        <w:rPr>
          <w:rFonts w:hint="eastAsia" w:ascii="宋体" w:hAnsi="宋体" w:cs="宋体"/>
          <w:color w:val="auto"/>
          <w:sz w:val="24"/>
          <w:highlight w:val="none"/>
          <w:u w:val="single"/>
        </w:rPr>
        <w:t xml:space="preserve">dn110 雨水立管 </w:t>
      </w:r>
      <w:r>
        <w:rPr>
          <w:rFonts w:hint="eastAsia" w:ascii="宋体" w:hAnsi="宋体" w:cs="宋体"/>
          <w:color w:val="auto"/>
          <w:sz w:val="24"/>
          <w:highlight w:val="none"/>
          <w:u w:val="single"/>
          <w:lang w:val="en-US" w:eastAsia="zh-CN"/>
        </w:rPr>
        <w:t>39.666</w:t>
      </w:r>
      <w:r>
        <w:rPr>
          <w:rFonts w:hint="eastAsia" w:ascii="宋体" w:hAnsi="宋体" w:cs="宋体"/>
          <w:color w:val="auto"/>
          <w:sz w:val="24"/>
          <w:highlight w:val="none"/>
          <w:u w:val="single"/>
        </w:rPr>
        <w:t xml:space="preserve"> 千米。</w:t>
      </w:r>
    </w:p>
    <w:p>
      <w:pPr>
        <w:pStyle w:val="2"/>
        <w:spacing w:line="360" w:lineRule="auto"/>
        <w:ind w:firstLine="480" w:firstLineChars="200"/>
        <w:rPr>
          <w:rFonts w:hint="default" w:hAnsi="宋体" w:cs="宋体"/>
          <w:color w:val="auto"/>
          <w:sz w:val="24"/>
          <w:szCs w:val="24"/>
          <w:highlight w:val="none"/>
          <w:u w:val="single"/>
          <w:lang w:val="en-US" w:eastAsia="zh-CN"/>
        </w:rPr>
      </w:pPr>
      <w:r>
        <w:rPr>
          <w:rFonts w:hint="eastAsia" w:hAnsi="宋体" w:cs="宋体"/>
          <w:color w:val="auto"/>
          <w:sz w:val="24"/>
          <w:szCs w:val="24"/>
          <w:highlight w:val="none"/>
          <w:u w:val="single"/>
          <w:lang w:val="en-US" w:eastAsia="zh-CN"/>
        </w:rPr>
        <w:t>（2）</w:t>
      </w:r>
      <w:r>
        <w:rPr>
          <w:rFonts w:hint="eastAsia" w:ascii="宋体" w:hAnsi="宋体" w:eastAsia="宋体" w:cs="宋体"/>
          <w:color w:val="auto"/>
          <w:sz w:val="24"/>
          <w:highlight w:val="none"/>
          <w:u w:val="single"/>
        </w:rPr>
        <w:t>市桥水道-沙湾水道流域（市桥河以北）村居雨污分流改造工程——榄山村、沙头村（清淤修复部分）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以下简称“</w:t>
      </w:r>
      <w:r>
        <w:rPr>
          <w:rFonts w:hint="eastAsia" w:ascii="宋体" w:hAnsi="宋体" w:eastAsia="宋体" w:cs="宋体"/>
          <w:color w:val="auto"/>
          <w:sz w:val="24"/>
          <w:highlight w:val="none"/>
          <w:u w:val="single"/>
        </w:rPr>
        <w:t>清淤修复部分</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hAnsi="宋体" w:cs="宋体"/>
          <w:color w:val="auto"/>
          <w:sz w:val="24"/>
          <w:szCs w:val="24"/>
          <w:highlight w:val="none"/>
          <w:u w:val="single"/>
          <w:lang w:val="en-US" w:eastAsia="zh-CN"/>
        </w:rPr>
        <w:t>：工程概算总投资为 273.443922 万元。对榄山村、沙头村现状排水管网进行清淤修复。其中：</w:t>
      </w:r>
    </w:p>
    <w:p>
      <w:pPr>
        <w:pStyle w:val="2"/>
        <w:spacing w:line="360" w:lineRule="auto"/>
        <w:ind w:firstLine="480" w:firstLineChars="200"/>
        <w:rPr>
          <w:rFonts w:hint="eastAsia" w:hAnsi="宋体" w:cs="宋体"/>
          <w:color w:val="auto"/>
          <w:sz w:val="24"/>
          <w:szCs w:val="24"/>
          <w:highlight w:val="none"/>
          <w:u w:val="single"/>
          <w:lang w:val="en-US" w:eastAsia="zh-CN"/>
        </w:rPr>
      </w:pPr>
      <w:r>
        <w:rPr>
          <w:rFonts w:hint="eastAsia" w:hAnsi="宋体" w:cs="宋体"/>
          <w:color w:val="auto"/>
          <w:sz w:val="24"/>
          <w:szCs w:val="24"/>
          <w:highlight w:val="none"/>
          <w:u w:val="single"/>
          <w:lang w:val="en-US" w:eastAsia="zh-CN"/>
        </w:rPr>
        <w:t>对榄山村现状排水管网进行清淤修复的主要建设内容：对现状 DN300～DN1000 管进行结构性缺陷修复 16.4 米，增设检查井38 座,其中：开挖修复 16.4 米;非开挖修复 52 环，非开挖修复主要采用点状原位固化法。对现状 DN300～DN1000 管道清障 1.36立方米、DN300～DN1000 管道清淤 469 米。</w:t>
      </w:r>
    </w:p>
    <w:p>
      <w:pPr>
        <w:pStyle w:val="2"/>
        <w:spacing w:line="360" w:lineRule="auto"/>
        <w:ind w:firstLine="480" w:firstLineChars="200"/>
        <w:rPr>
          <w:rFonts w:hint="eastAsia" w:hAnsi="宋体" w:cs="宋体"/>
          <w:color w:val="auto"/>
          <w:sz w:val="24"/>
          <w:szCs w:val="24"/>
          <w:highlight w:val="none"/>
          <w:u w:val="single"/>
          <w:lang w:val="en-US" w:eastAsia="zh-CN"/>
        </w:rPr>
      </w:pPr>
      <w:r>
        <w:rPr>
          <w:rFonts w:hint="eastAsia" w:hAnsi="宋体" w:cs="宋体"/>
          <w:color w:val="auto"/>
          <w:sz w:val="24"/>
          <w:szCs w:val="24"/>
          <w:highlight w:val="none"/>
          <w:u w:val="single"/>
          <w:lang w:val="en-US" w:eastAsia="zh-CN"/>
        </w:rPr>
        <w:t>对沙头村现状排水管网进行清淤修复的主要建设内容：对现状 DN300～DN1000 管进行结构性缺陷修复 361 米，增设检查井26 座，其中：开挖修复 361 米；非开挖修复 20 环，非开挖修复主要采用点状原位固化法。对现状 DN300～DN1000 管道清障 8.53立方米、DN300 ～ DN1000 管道清淤 6695 米 。对现状B×H=400×400～B×H=600×600 沟渠清淤 0.5 立方米。</w:t>
      </w:r>
    </w:p>
    <w:p>
      <w:pPr>
        <w:pStyle w:val="2"/>
        <w:spacing w:line="360" w:lineRule="auto"/>
        <w:ind w:firstLine="480" w:firstLineChars="200"/>
        <w:rPr>
          <w:rFonts w:hint="eastAsia"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注：</w:t>
      </w:r>
      <w:r>
        <w:rPr>
          <w:rFonts w:hint="eastAsia" w:ascii="宋体" w:hAnsi="宋体" w:eastAsia="宋体" w:cs="宋体"/>
          <w:color w:val="auto"/>
          <w:sz w:val="24"/>
          <w:szCs w:val="24"/>
          <w:highlight w:val="none"/>
          <w:u w:val="single"/>
        </w:rPr>
        <w:t>具体工作内容详见施工设计图纸和工程量清单，如果工程量清单与图纸内容不一致的，以图纸内容为准</w:t>
      </w:r>
      <w:r>
        <w:rPr>
          <w:rFonts w:hint="eastAsia" w:ascii="宋体" w:hAnsi="宋体" w:eastAsia="宋体" w:cs="宋体"/>
          <w:color w:val="auto"/>
          <w:sz w:val="24"/>
          <w:szCs w:val="24"/>
          <w:highlight w:val="none"/>
          <w:u w:val="single"/>
          <w:lang w:val="en-US" w:eastAsia="zh-CN"/>
        </w:rPr>
        <w:t>。</w:t>
      </w:r>
    </w:p>
    <w:p>
      <w:pPr>
        <w:pStyle w:val="2"/>
        <w:spacing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u w:val="single"/>
        </w:rPr>
        <w:t>2.1.</w:t>
      </w:r>
      <w:r>
        <w:rPr>
          <w:rFonts w:hint="eastAsia" w:hAnsi="宋体" w:cs="宋体"/>
          <w:color w:val="auto"/>
          <w:sz w:val="24"/>
          <w:szCs w:val="24"/>
          <w:highlight w:val="none"/>
          <w:u w:val="single"/>
          <w:lang w:val="en-US" w:eastAsia="zh-CN"/>
        </w:rPr>
        <w:t xml:space="preserve">4 </w:t>
      </w:r>
      <w:r>
        <w:rPr>
          <w:rFonts w:hint="eastAsia" w:hAnsi="宋体" w:cs="宋体"/>
          <w:color w:val="auto"/>
          <w:sz w:val="24"/>
          <w:szCs w:val="24"/>
          <w:highlight w:val="none"/>
          <w:u w:val="single"/>
        </w:rPr>
        <w:t>工程</w:t>
      </w:r>
      <w:r>
        <w:rPr>
          <w:rFonts w:hint="eastAsia" w:hAnsi="宋体" w:cs="宋体"/>
          <w:color w:val="auto"/>
          <w:sz w:val="24"/>
          <w:szCs w:val="24"/>
          <w:highlight w:val="none"/>
          <w:u w:val="single"/>
          <w:lang w:eastAsia="zh-CN"/>
        </w:rPr>
        <w:t>概</w:t>
      </w:r>
      <w:r>
        <w:rPr>
          <w:rFonts w:hint="eastAsia" w:hAnsi="宋体" w:cs="宋体"/>
          <w:color w:val="auto"/>
          <w:sz w:val="24"/>
          <w:szCs w:val="24"/>
          <w:highlight w:val="none"/>
          <w:u w:val="single"/>
        </w:rPr>
        <w:t>算：</w:t>
      </w:r>
      <w:r>
        <w:rPr>
          <w:rFonts w:hint="eastAsia" w:ascii="宋体" w:hAnsi="宋体" w:eastAsia="宋体" w:cs="宋体"/>
          <w:bCs w:val="0"/>
          <w:color w:val="auto"/>
          <w:sz w:val="24"/>
          <w:szCs w:val="24"/>
          <w:highlight w:val="none"/>
          <w:u w:val="single"/>
          <w:lang w:val="en-US" w:eastAsia="zh-CN"/>
        </w:rPr>
        <w:t>本项目</w:t>
      </w:r>
      <w:r>
        <w:rPr>
          <w:rFonts w:hint="eastAsia" w:hAnsi="宋体" w:cs="宋体"/>
          <w:color w:val="auto"/>
          <w:sz w:val="24"/>
          <w:szCs w:val="24"/>
          <w:highlight w:val="none"/>
          <w:u w:val="single"/>
          <w:lang w:val="en-US" w:eastAsia="zh-CN"/>
        </w:rPr>
        <w:t>概算</w:t>
      </w:r>
      <w:r>
        <w:rPr>
          <w:rFonts w:hint="eastAsia" w:hAnsi="宋体" w:cs="宋体"/>
          <w:color w:val="auto"/>
          <w:sz w:val="24"/>
          <w:szCs w:val="24"/>
          <w:highlight w:val="none"/>
          <w:u w:val="single"/>
        </w:rPr>
        <w:t>总投资约</w:t>
      </w:r>
      <w:r>
        <w:rPr>
          <w:rFonts w:hint="eastAsia" w:hAnsi="宋体" w:cs="宋体"/>
          <w:color w:val="auto"/>
          <w:sz w:val="24"/>
          <w:highlight w:val="none"/>
          <w:u w:val="single"/>
          <w:lang w:val="en-US" w:eastAsia="zh-CN"/>
        </w:rPr>
        <w:t>10056.502695</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val="en-US" w:eastAsia="zh-CN"/>
        </w:rPr>
        <w:t>。</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标段划分：</w:t>
      </w:r>
      <w:r>
        <w:rPr>
          <w:rFonts w:hint="eastAsia" w:ascii="宋体" w:hAnsi="宋体" w:eastAsia="宋体" w:cs="宋体"/>
          <w:color w:val="auto"/>
          <w:sz w:val="24"/>
          <w:highlight w:val="none"/>
          <w:u w:val="single"/>
        </w:rPr>
        <w:t>本招标项目分为1个标段。</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2.2.2</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监理范围：</w:t>
      </w:r>
      <w:r>
        <w:rPr>
          <w:rFonts w:hint="eastAsia" w:ascii="宋体" w:hAnsi="宋体" w:eastAsia="宋体" w:cs="宋体"/>
          <w:color w:val="auto"/>
          <w:sz w:val="24"/>
          <w:highlight w:val="none"/>
          <w:u w:val="single"/>
          <w:lang w:val="en-US" w:eastAsia="zh-CN"/>
        </w:rPr>
        <w:t>包括但不限于</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施工准备阶段、施工阶段、竣工结算期、质量保修期全过程，对包括工程质量、进度、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pPr>
        <w:spacing w:line="360" w:lineRule="auto"/>
        <w:ind w:left="0" w:leftChars="0" w:firstLine="480" w:firstLineChars="200"/>
        <w:rPr>
          <w:rFonts w:hint="eastAsia" w:ascii="宋体" w:hAnsi="宋体" w:eastAsia="宋体" w:cs="宋体"/>
          <w:color w:val="auto"/>
          <w:kern w:val="2"/>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eastAsia="宋体" w:cs="宋体"/>
          <w:color w:val="auto"/>
          <w:kern w:val="2"/>
          <w:sz w:val="24"/>
          <w:highlight w:val="none"/>
          <w:u w:val="single"/>
        </w:rPr>
        <w:t>工程施工图预算（或承包商投标报价书）和竣工结算审核，及协调等相关工作。</w:t>
      </w:r>
    </w:p>
    <w:p>
      <w:pPr>
        <w:spacing w:line="360" w:lineRule="auto"/>
        <w:ind w:left="0" w:leftChars="0"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对完成本工程所必需的附属临时工程项目施工进行监理。</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2.2.3监理服务期：</w:t>
      </w:r>
      <w:r>
        <w:rPr>
          <w:rFonts w:hint="eastAsia" w:ascii="宋体" w:hAnsi="宋体" w:eastAsia="宋体" w:cs="宋体"/>
          <w:color w:val="auto"/>
          <w:sz w:val="24"/>
          <w:szCs w:val="24"/>
          <w:highlight w:val="none"/>
          <w:u w:val="single"/>
        </w:rPr>
        <w:t>工程施工准备阶段的监理工期、施工阶段的监理工期、工程保修阶段和竣工结算期的监理工期之和：</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（1）施工准备阶段监理工期：从中标通知书发放之日起至业主下达开工令或开工报告审批之日为止；</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（2）施工阶段监理工期：从业主下达开工令或开工报告审批之日起至施工项目全部完工并办理竣工验收、竣工结算、备案管理为止；</w:t>
      </w:r>
    </w:p>
    <w:p>
      <w:pPr>
        <w:spacing w:line="360" w:lineRule="auto"/>
        <w:ind w:left="481" w:leftChars="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（3）保修阶段监理工期：从工程竣工验收合格、备案管理完成之日起二年；</w:t>
      </w:r>
    </w:p>
    <w:p>
      <w:pPr>
        <w:spacing w:line="360" w:lineRule="auto"/>
        <w:ind w:left="481" w:leftChars="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（4）竣工结算期：从竣工验收完成开始至竣工结算完成为止。</w:t>
      </w:r>
    </w:p>
    <w:p>
      <w:pPr>
        <w:tabs>
          <w:tab w:val="left" w:pos="7513"/>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2.2.4</w:t>
      </w:r>
      <w:r>
        <w:rPr>
          <w:rFonts w:hint="eastAsia" w:ascii="宋体" w:hAnsi="宋体" w:eastAsia="宋体" w:cs="宋体"/>
          <w:color w:val="auto"/>
          <w:sz w:val="24"/>
          <w:szCs w:val="24"/>
          <w:highlight w:val="none"/>
        </w:rPr>
        <w:t>监理服务</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rPr>
        <w:t>最高投标限价</w:t>
      </w:r>
      <w:r>
        <w:rPr>
          <w:rFonts w:hint="eastAsia" w:ascii="宋体" w:hAnsi="宋体"/>
          <w:color w:val="auto"/>
          <w:sz w:val="24"/>
          <w:szCs w:val="24"/>
          <w:highlight w:val="none"/>
        </w:rPr>
        <w:t>：</w:t>
      </w:r>
      <w:r>
        <w:rPr>
          <w:rFonts w:hint="eastAsia" w:ascii="宋体" w:hAnsi="宋体" w:cs="宋体"/>
          <w:color w:val="auto"/>
          <w:sz w:val="24"/>
          <w:szCs w:val="24"/>
          <w:highlight w:val="none"/>
        </w:rPr>
        <w:t>￥</w:t>
      </w:r>
      <w:r>
        <w:rPr>
          <w:rFonts w:hint="eastAsia" w:ascii="宋体" w:hAnsi="宋体"/>
          <w:color w:val="auto"/>
          <w:sz w:val="24"/>
          <w:szCs w:val="24"/>
          <w:highlight w:val="none"/>
          <w:u w:val="single"/>
          <w:lang w:val="en-US" w:eastAsia="zh-CN"/>
        </w:rPr>
        <w:t>1461480.35</w:t>
      </w:r>
      <w:r>
        <w:rPr>
          <w:rFonts w:hint="eastAsia" w:ascii="宋体" w:hAnsi="宋体"/>
          <w:color w:val="auto"/>
          <w:sz w:val="24"/>
          <w:szCs w:val="24"/>
          <w:highlight w:val="none"/>
        </w:rPr>
        <w:t>元</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w:t>
      </w:r>
    </w:p>
    <w:p>
      <w:pPr>
        <w:numPr>
          <w:ilvl w:val="0"/>
          <w:numId w:val="0"/>
        </w:numPr>
        <w:tabs>
          <w:tab w:val="left" w:pos="7513"/>
        </w:tabs>
        <w:spacing w:line="360" w:lineRule="auto"/>
        <w:ind w:firstLine="480" w:firstLineChars="200"/>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工程部分监理费</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1396801.27</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w:t>
      </w:r>
    </w:p>
    <w:p>
      <w:pPr>
        <w:numPr>
          <w:ilvl w:val="0"/>
          <w:numId w:val="0"/>
        </w:numPr>
        <w:tabs>
          <w:tab w:val="left" w:pos="7513"/>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清淤修复部分监理费</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64679.08</w:t>
      </w:r>
      <w:r>
        <w:rPr>
          <w:rFonts w:hint="eastAsia" w:ascii="宋体" w:hAnsi="宋体" w:eastAsia="宋体" w:cs="宋体"/>
          <w:color w:val="auto"/>
          <w:sz w:val="24"/>
          <w:szCs w:val="24"/>
          <w:highlight w:val="none"/>
          <w:lang w:val="en-US" w:eastAsia="zh-CN"/>
        </w:rPr>
        <w:t>元。</w:t>
      </w:r>
    </w:p>
    <w:p>
      <w:pPr>
        <w:spacing w:line="360" w:lineRule="auto"/>
        <w:ind w:firstLine="424" w:firstLineChars="177"/>
        <w:jc w:val="left"/>
        <w:rPr>
          <w:rFonts w:hint="eastAsia" w:ascii="宋体" w:hAnsi="宋体" w:eastAsia="宋体" w:cs="宋体"/>
          <w:color w:val="auto"/>
          <w:sz w:val="24"/>
          <w:highlight w:val="none"/>
          <w:lang w:bidi="ar"/>
        </w:rPr>
      </w:pPr>
      <w:r>
        <w:rPr>
          <w:rFonts w:hint="eastAsia" w:ascii="宋体" w:hAnsi="宋体" w:eastAsia="宋体" w:cs="宋体"/>
          <w:b w:val="0"/>
          <w:color w:val="auto"/>
          <w:kern w:val="2"/>
          <w:sz w:val="24"/>
          <w:szCs w:val="24"/>
          <w:highlight w:val="none"/>
          <w:u w:val="none"/>
          <w:lang w:eastAsia="zh-CN"/>
        </w:rPr>
        <w:t>注：</w:t>
      </w:r>
      <w:r>
        <w:rPr>
          <w:rFonts w:hint="eastAsia" w:ascii="宋体" w:hAnsi="宋体" w:eastAsia="宋体" w:cs="宋体"/>
          <w:b w:val="0"/>
          <w:color w:val="auto"/>
          <w:kern w:val="2"/>
          <w:sz w:val="24"/>
          <w:szCs w:val="24"/>
          <w:highlight w:val="none"/>
          <w:u w:val="none"/>
        </w:rPr>
        <w:t>投标报价不得超过相对应的最高投标限价</w:t>
      </w:r>
      <w:r>
        <w:rPr>
          <w:rFonts w:hint="eastAsia" w:ascii="宋体" w:hAnsi="宋体" w:eastAsia="宋体" w:cs="宋体"/>
          <w:b w:val="0"/>
          <w:strike w:val="0"/>
          <w:color w:val="auto"/>
          <w:kern w:val="2"/>
          <w:sz w:val="24"/>
          <w:szCs w:val="24"/>
          <w:highlight w:val="none"/>
          <w:u w:val="none"/>
        </w:rPr>
        <w:t>，投标人在各项对应限价的基础上自行报价。</w:t>
      </w:r>
      <w:r>
        <w:rPr>
          <w:rFonts w:hint="eastAsia" w:ascii="宋体" w:hAnsi="宋体"/>
          <w:color w:val="auto"/>
          <w:sz w:val="24"/>
          <w:szCs w:val="24"/>
          <w:highlight w:val="none"/>
        </w:rPr>
        <w:t xml:space="preserve"> </w:t>
      </w:r>
    </w:p>
    <w:p>
      <w:pPr>
        <w:pStyle w:val="4"/>
        <w:tabs>
          <w:tab w:val="left" w:pos="501"/>
        </w:tabs>
        <w:spacing w:line="360" w:lineRule="auto"/>
        <w:rPr>
          <w:rFonts w:hint="eastAsia" w:ascii="宋体" w:hAnsi="宋体" w:eastAsia="宋体" w:cs="宋体"/>
          <w:color w:val="auto"/>
          <w:spacing w:val="2"/>
          <w:sz w:val="28"/>
          <w:szCs w:val="28"/>
          <w:highlight w:val="none"/>
          <w:lang w:val="en-US" w:eastAsia="zh-CN"/>
        </w:rPr>
      </w:pPr>
      <w:bookmarkStart w:id="26" w:name="_bookmark4"/>
      <w:bookmarkEnd w:id="26"/>
      <w:bookmarkStart w:id="27" w:name="_Toc12611"/>
      <w:bookmarkStart w:id="28" w:name="_Toc26871"/>
      <w:bookmarkStart w:id="29" w:name="_Toc28417"/>
      <w:bookmarkStart w:id="30" w:name="_Toc4636"/>
      <w:bookmarkStart w:id="31" w:name="_Toc14815"/>
      <w:bookmarkStart w:id="32" w:name="_Toc22899"/>
      <w:bookmarkStart w:id="33" w:name="_Toc3639"/>
      <w:bookmarkStart w:id="34" w:name="_Toc25458"/>
      <w:bookmarkStart w:id="35" w:name="_Toc30798"/>
      <w:bookmarkStart w:id="36" w:name="_Toc9293"/>
      <w:bookmarkStart w:id="37" w:name="_Toc30554"/>
      <w:bookmarkStart w:id="38" w:name="_Toc22659"/>
      <w:r>
        <w:rPr>
          <w:rFonts w:hint="eastAsia" w:ascii="宋体" w:hAnsi="宋体" w:eastAsia="宋体" w:cs="宋体"/>
          <w:color w:val="auto"/>
          <w:spacing w:val="2"/>
          <w:sz w:val="28"/>
          <w:szCs w:val="28"/>
          <w:highlight w:val="none"/>
        </w:rPr>
        <w:t>3. 投标人资格要求</w:t>
      </w:r>
      <w:bookmarkEnd w:id="27"/>
      <w:bookmarkEnd w:id="28"/>
      <w:bookmarkEnd w:id="29"/>
      <w:bookmarkEnd w:id="30"/>
      <w:bookmarkEnd w:id="31"/>
      <w:bookmarkEnd w:id="32"/>
      <w:bookmarkEnd w:id="33"/>
      <w:bookmarkEnd w:id="34"/>
      <w:bookmarkEnd w:id="35"/>
      <w:bookmarkEnd w:id="36"/>
      <w:bookmarkEnd w:id="37"/>
      <w:bookmarkEnd w:id="38"/>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本次招标要求投标人须具备相应资质。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投标人须具备</w:t>
      </w:r>
      <w:r>
        <w:rPr>
          <w:rFonts w:hint="eastAsia" w:ascii="宋体" w:hAnsi="宋体" w:eastAsia="宋体" w:cs="宋体"/>
          <w:color w:val="auto"/>
          <w:kern w:val="0"/>
          <w:sz w:val="24"/>
          <w:highlight w:val="none"/>
          <w:u w:val="single"/>
        </w:rPr>
        <w:t>工程监理综合资质</w:t>
      </w:r>
      <w:r>
        <w:rPr>
          <w:rFonts w:hint="eastAsia" w:ascii="宋体" w:hAnsi="宋体" w:eastAsia="宋体" w:cs="宋体"/>
          <w:color w:val="auto"/>
          <w:kern w:val="0"/>
          <w:sz w:val="24"/>
          <w:highlight w:val="none"/>
          <w:u w:val="single"/>
        </w:rPr>
        <w:t>或</w:t>
      </w:r>
      <w:r>
        <w:rPr>
          <w:rFonts w:hint="eastAsia" w:ascii="宋体" w:hAnsi="宋体" w:eastAsia="宋体" w:cs="宋体"/>
          <w:color w:val="auto"/>
          <w:kern w:val="0"/>
          <w:sz w:val="24"/>
          <w:highlight w:val="none"/>
          <w:u w:val="single"/>
        </w:rPr>
        <w:t>市政公用工程监理</w:t>
      </w:r>
      <w:r>
        <w:rPr>
          <w:rFonts w:hint="eastAsia" w:ascii="宋体" w:hAnsi="宋体" w:eastAsia="宋体" w:cs="宋体"/>
          <w:color w:val="auto"/>
          <w:kern w:val="0"/>
          <w:sz w:val="24"/>
          <w:highlight w:val="none"/>
          <w:u w:val="single"/>
          <w:lang w:eastAsia="zh-CN"/>
        </w:rPr>
        <w:t>丙</w:t>
      </w:r>
      <w:r>
        <w:rPr>
          <w:rFonts w:hint="eastAsia" w:ascii="宋体" w:hAnsi="宋体" w:eastAsia="宋体" w:cs="宋体"/>
          <w:color w:val="auto"/>
          <w:kern w:val="0"/>
          <w:sz w:val="24"/>
          <w:highlight w:val="none"/>
          <w:u w:val="single"/>
          <w:lang w:val="en-US" w:eastAsia="zh-CN"/>
        </w:rPr>
        <w:t>级</w:t>
      </w:r>
      <w:r>
        <w:rPr>
          <w:rFonts w:hint="eastAsia" w:ascii="宋体" w:hAnsi="宋体" w:eastAsia="宋体" w:cs="宋体"/>
          <w:color w:val="auto"/>
          <w:kern w:val="0"/>
          <w:sz w:val="24"/>
          <w:highlight w:val="none"/>
          <w:u w:val="single"/>
        </w:rPr>
        <w:t>或以上</w:t>
      </w:r>
      <w:r>
        <w:rPr>
          <w:rFonts w:hint="eastAsia" w:ascii="宋体" w:hAnsi="宋体" w:eastAsia="宋体" w:cs="宋体"/>
          <w:color w:val="auto"/>
          <w:kern w:val="0"/>
          <w:sz w:val="24"/>
          <w:highlight w:val="none"/>
          <w:u w:val="single"/>
        </w:rPr>
        <w:t>专业</w:t>
      </w:r>
      <w:r>
        <w:rPr>
          <w:rFonts w:hint="eastAsia" w:ascii="宋体" w:hAnsi="宋体" w:eastAsia="宋体" w:cs="宋体"/>
          <w:color w:val="auto"/>
          <w:sz w:val="24"/>
          <w:szCs w:val="24"/>
          <w:highlight w:val="none"/>
          <w:u w:val="single"/>
        </w:rPr>
        <w:t>资质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香港企业参加投标的，须在广东省住房和城乡建设主管部门备案且备案的业务范围应符合本招标项目对工程监理资质的要求</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w:t>
      </w:r>
      <w:r>
        <w:rPr>
          <w:rFonts w:hint="eastAsia" w:ascii="宋体" w:hAnsi="宋体" w:eastAsia="宋体" w:cs="宋体"/>
          <w:color w:val="auto"/>
          <w:sz w:val="24"/>
          <w:szCs w:val="24"/>
          <w:highlight w:val="none"/>
          <w:u w:val="single"/>
          <w:lang w:eastAsia="zh-CN"/>
        </w:rPr>
        <w:t>（1）根据住房和城乡建设部或广东省各级住房城乡建设主管部门核发的工程监理企业资质，资质证书有效期按</w:t>
      </w:r>
      <w:r>
        <w:rPr>
          <w:rFonts w:hint="eastAsia" w:ascii="宋体" w:hAnsi="宋体"/>
          <w:color w:val="auto"/>
          <w:sz w:val="24"/>
          <w:szCs w:val="24"/>
          <w:highlight w:val="none"/>
          <w:u w:val="single"/>
        </w:rPr>
        <w:t>《住房和城乡建设部办公厅关于建设工程企业资质有关事宜的通知》（建办市函〔2022〕361号）和《广东省住房和城乡建设厅关于建设工程企业资质有关事宜的通知》（粤建许函〔2022〕846号）</w:t>
      </w:r>
      <w:r>
        <w:rPr>
          <w:rFonts w:hint="eastAsia" w:ascii="宋体" w:hAnsi="宋体" w:eastAsia="宋体" w:cs="宋体"/>
          <w:color w:val="auto"/>
          <w:sz w:val="24"/>
          <w:szCs w:val="24"/>
          <w:highlight w:val="none"/>
          <w:u w:val="single"/>
          <w:lang w:eastAsia="zh-CN"/>
        </w:rPr>
        <w:t>和《住房和城乡建设部办公厅关于做好建筑业“证照分离”改革衔接有关工作的通知》（建办市〔2021〕30号）执行。有关资质证书有效期和使用的要求，按《住房和城乡建设部办公厅关于建设工程企业资质延续有关事项的通知》执行。</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（2）香港企业备案的业务范围依据《广东省住房和城乡建设厅关于印发香港工程建设咨询企业和专业人士在粤港澳大湾区内地城市开业执业试点管理暂行办法的通知》（粤建规范〔2020〕1号确定。</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总监理工程师：拟派总监理工程师须具有建设部2006年4月1日后颁发的中华人民共和国注册</w:t>
      </w:r>
      <w:r>
        <w:rPr>
          <w:rFonts w:hint="eastAsia" w:ascii="宋体" w:hAnsi="宋体" w:eastAsia="宋体" w:cs="宋体"/>
          <w:color w:val="auto"/>
          <w:sz w:val="24"/>
          <w:szCs w:val="24"/>
          <w:highlight w:val="none"/>
        </w:rPr>
        <w:t>监理工程师注册执业证书，且其注册证书专业为</w:t>
      </w:r>
      <w:r>
        <w:rPr>
          <w:rFonts w:hint="eastAsia" w:ascii="宋体" w:hAnsi="宋体" w:eastAsia="宋体" w:cs="宋体"/>
          <w:color w:val="auto"/>
          <w:sz w:val="24"/>
          <w:szCs w:val="24"/>
          <w:highlight w:val="none"/>
          <w:u w:val="single"/>
        </w:rPr>
        <w:t>市政公用工程</w:t>
      </w:r>
      <w:r>
        <w:rPr>
          <w:rFonts w:hint="eastAsia" w:ascii="宋体" w:hAnsi="宋体" w:eastAsia="宋体" w:cs="宋体"/>
          <w:color w:val="auto"/>
          <w:sz w:val="24"/>
          <w:szCs w:val="24"/>
          <w:highlight w:val="none"/>
        </w:rPr>
        <w:t>，注册执业单位为本公司，且须是</w:t>
      </w:r>
      <w:r>
        <w:rPr>
          <w:rFonts w:hint="eastAsia" w:ascii="宋体" w:hAnsi="宋体" w:eastAsia="宋体" w:cs="宋体"/>
          <w:color w:val="auto"/>
          <w:sz w:val="24"/>
          <w:highlight w:val="none"/>
        </w:rPr>
        <w:t>本企业在广州公共资源交易中心企业信息登记中的在册人员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或在广东省住房和城乡建设主管部门备案且备案的业务范围符合本招标项目对总监理工程师要求的香港专业人士。</w:t>
      </w:r>
    </w:p>
    <w:p>
      <w:pPr>
        <w:spacing w:line="360" w:lineRule="auto"/>
        <w:ind w:firstLine="480" w:firstLineChars="200"/>
        <w:rPr>
          <w:rFonts w:hint="eastAsia" w:eastAsia="宋体"/>
          <w:color w:val="auto"/>
          <w:highlight w:val="none"/>
          <w:lang w:eastAsia="zh-CN"/>
        </w:rPr>
      </w:pPr>
      <w:r>
        <w:rPr>
          <w:rFonts w:hint="eastAsia" w:ascii="宋体" w:hAnsi="宋体" w:eastAsia="宋体" w:cs="宋体"/>
          <w:i w:val="0"/>
          <w:iCs w:val="0"/>
          <w:caps w:val="0"/>
          <w:color w:val="auto"/>
          <w:spacing w:val="0"/>
          <w:sz w:val="24"/>
          <w:szCs w:val="24"/>
          <w:highlight w:val="none"/>
          <w:u w:val="single"/>
          <w:shd w:val="clear" w:color="auto" w:fill="auto"/>
        </w:rPr>
        <w:t>注：香</w:t>
      </w:r>
      <w:r>
        <w:rPr>
          <w:rFonts w:hint="eastAsia" w:ascii="宋体" w:hAnsi="宋体" w:eastAsia="宋体" w:cs="Times New Roman"/>
          <w:i w:val="0"/>
          <w:iCs w:val="0"/>
          <w:caps w:val="0"/>
          <w:color w:val="auto"/>
          <w:spacing w:val="0"/>
          <w:sz w:val="24"/>
          <w:szCs w:val="24"/>
          <w:highlight w:val="none"/>
          <w:u w:val="single"/>
          <w:shd w:val="clear" w:color="auto" w:fill="auto"/>
        </w:rPr>
        <w:t>港专业人士的备案业务范围依据《广东省住房和城乡建设厅关于印发香港工程建设咨询企业和专业</w:t>
      </w:r>
      <w:bookmarkStart w:id="99" w:name="_GoBack"/>
      <w:bookmarkEnd w:id="99"/>
      <w:r>
        <w:rPr>
          <w:rFonts w:hint="eastAsia" w:ascii="宋体" w:hAnsi="宋体" w:eastAsia="宋体" w:cs="Times New Roman"/>
          <w:i w:val="0"/>
          <w:iCs w:val="0"/>
          <w:caps w:val="0"/>
          <w:color w:val="auto"/>
          <w:spacing w:val="0"/>
          <w:sz w:val="24"/>
          <w:szCs w:val="24"/>
          <w:highlight w:val="none"/>
          <w:u w:val="single"/>
          <w:shd w:val="clear" w:color="auto" w:fill="auto"/>
        </w:rPr>
        <w:t>人士在粤港澳大湾区内地城市开业执业试点管理暂行办法的通知》（粤建规范〔2020〕1号）确定。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rPr>
        <w:t>本次招标</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投标人参加投标的意思表达清楚，投标人代表被授权有效。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投标人均具有独立法人资格，持有有效的工商行政管理部门核发的法人营业执照，按国家法律经营。香港企业具有在香港公司注册证书及商业登记证。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资格审查前</w:t>
      </w:r>
      <w:r>
        <w:rPr>
          <w:rFonts w:hint="eastAsia" w:ascii="宋体" w:hAnsi="宋体" w:eastAsia="宋体" w:cs="宋体"/>
          <w:color w:val="auto"/>
          <w:sz w:val="24"/>
          <w:szCs w:val="24"/>
          <w:highlight w:val="none"/>
        </w:rPr>
        <w:t>，投标人须在</w:t>
      </w:r>
      <w:r>
        <w:rPr>
          <w:rFonts w:hint="eastAsia" w:ascii="宋体" w:hAnsi="宋体" w:eastAsia="宋体" w:cs="宋体"/>
          <w:color w:val="auto"/>
          <w:sz w:val="24"/>
          <w:highlight w:val="none"/>
        </w:rPr>
        <w:t>广州公共资源交易中心办理企业信息登记</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投标人已出具按照</w:t>
      </w:r>
      <w:r>
        <w:rPr>
          <w:rFonts w:hint="eastAsia" w:ascii="宋体" w:hAnsi="宋体" w:eastAsia="宋体" w:cs="宋体"/>
          <w:color w:val="auto"/>
          <w:sz w:val="24"/>
          <w:szCs w:val="24"/>
          <w:highlight w:val="none"/>
          <w:u w:val="single"/>
        </w:rPr>
        <w:t>招标公告中附件一</w:t>
      </w:r>
      <w:r>
        <w:rPr>
          <w:rFonts w:hint="eastAsia" w:ascii="宋体" w:hAnsi="宋体" w:eastAsia="宋体" w:cs="宋体"/>
          <w:color w:val="auto"/>
          <w:sz w:val="24"/>
          <w:szCs w:val="24"/>
          <w:highlight w:val="none"/>
        </w:rPr>
        <w:t xml:space="preserve">的内容签署盖章的投标申请人声明。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未在以往工程中因不诚信行为或不充分履约行为被本项目招标人书面拒绝投标的。</w:t>
      </w:r>
    </w:p>
    <w:p>
      <w:pPr>
        <w:pStyle w:val="16"/>
        <w:widowControl/>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3.9 </w:t>
      </w:r>
      <w:r>
        <w:rPr>
          <w:rFonts w:hint="eastAsia" w:ascii="宋体" w:hAnsi="宋体" w:eastAsia="宋体" w:cs="宋体"/>
          <w:color w:val="auto"/>
          <w:kern w:val="2"/>
          <w:sz w:val="24"/>
          <w:szCs w:val="24"/>
          <w:highlight w:val="none"/>
          <w:lang w:val="en-US" w:eastAsia="zh-CN"/>
        </w:rPr>
        <w:t>投标人未被纳入拖欠农民工工资失信联合惩戒对象名单。本项评审投标人无需提供资料，资格评审时按广州公共资源交易中心交易系统比对的结果进行评审。</w:t>
      </w:r>
    </w:p>
    <w:p>
      <w:pPr>
        <w:wordWrap w:val="0"/>
        <w:adjustRightInd w:val="0"/>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未在招标公告第3条单列的资审合格条件，不作为资审不合格的依据。</w:t>
      </w:r>
    </w:p>
    <w:p>
      <w:pPr>
        <w:pStyle w:val="4"/>
        <w:tabs>
          <w:tab w:val="left" w:pos="501"/>
        </w:tabs>
        <w:spacing w:line="360" w:lineRule="auto"/>
        <w:rPr>
          <w:rFonts w:hint="eastAsia" w:ascii="宋体" w:hAnsi="宋体" w:eastAsia="宋体" w:cs="宋体"/>
          <w:color w:val="auto"/>
          <w:spacing w:val="2"/>
          <w:sz w:val="28"/>
          <w:szCs w:val="28"/>
          <w:highlight w:val="none"/>
        </w:rPr>
      </w:pPr>
      <w:bookmarkStart w:id="39" w:name="_bookmark5"/>
      <w:bookmarkEnd w:id="39"/>
      <w:bookmarkStart w:id="40" w:name="_Toc15826"/>
      <w:bookmarkStart w:id="41" w:name="_Toc18659"/>
      <w:bookmarkStart w:id="42" w:name="_Toc28239"/>
      <w:bookmarkStart w:id="43" w:name="_Toc18"/>
      <w:bookmarkStart w:id="44" w:name="_Toc1083"/>
      <w:bookmarkStart w:id="45" w:name="_Toc19651"/>
      <w:bookmarkStart w:id="46" w:name="_Toc9503"/>
      <w:bookmarkStart w:id="47" w:name="_Toc3336"/>
      <w:bookmarkStart w:id="48" w:name="_Toc19067"/>
      <w:bookmarkStart w:id="49" w:name="_Toc22254"/>
      <w:bookmarkStart w:id="50" w:name="_Toc3925"/>
      <w:bookmarkStart w:id="51" w:name="_Toc12685"/>
      <w:r>
        <w:rPr>
          <w:rFonts w:hint="eastAsia" w:ascii="宋体" w:hAnsi="宋体" w:eastAsia="宋体" w:cs="宋体"/>
          <w:color w:val="auto"/>
          <w:spacing w:val="2"/>
          <w:sz w:val="28"/>
          <w:szCs w:val="28"/>
          <w:highlight w:val="none"/>
        </w:rPr>
        <w:t>4. 招标文件的获取</w:t>
      </w:r>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广州公共资源交易中心网站（http//www.gzggzy.cn）</w:t>
      </w:r>
      <w:r>
        <w:rPr>
          <w:rFonts w:hint="eastAsia" w:ascii="宋体" w:hAnsi="宋体" w:eastAsia="宋体" w:cs="宋体"/>
          <w:color w:val="auto"/>
          <w:sz w:val="24"/>
          <w:szCs w:val="24"/>
          <w:highlight w:val="none"/>
        </w:rPr>
        <w:t>下载招标文件。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发布招标公告日期（含本日）：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u w:val="none"/>
        </w:rPr>
        <w:t>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（北京时间，下同）。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注：发布招标公告的时间为招标公告发出之日起至递交投标文件截止时间止。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开标时间：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w:t>
      </w:r>
    </w:p>
    <w:p>
      <w:pP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本项目采用资格后审方式。</w:t>
      </w:r>
    </w:p>
    <w:p>
      <w:pP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注：（1）电子招投标操作流程详见广州公共资源交易中心网站发布的最新版操作指引。</w:t>
      </w:r>
    </w:p>
    <w:p>
      <w:pP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（2）本公告发布之日起开始登记，并从登记之日起开始计算备标时间。</w:t>
      </w:r>
    </w:p>
    <w:p>
      <w:pPr>
        <w:pStyle w:val="26"/>
        <w:ind w:firstLine="480"/>
        <w:rPr>
          <w:rFonts w:hint="eastAsia" w:ascii="宋体" w:hAnsi="宋体" w:eastAsia="宋体" w:cs="宋体"/>
          <w:color w:val="auto"/>
          <w:szCs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网上</w:t>
      </w:r>
      <w:r>
        <w:rPr>
          <w:rFonts w:hint="eastAsia" w:ascii="宋体" w:hAnsi="宋体" w:eastAsia="宋体" w:cs="宋体"/>
          <w:color w:val="auto"/>
          <w:kern w:val="0"/>
          <w:sz w:val="24"/>
          <w:szCs w:val="24"/>
          <w:highlight w:val="none"/>
        </w:rPr>
        <w:t>投标登记时间：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kern w:val="0"/>
          <w:sz w:val="24"/>
          <w:szCs w:val="24"/>
          <w:highlight w:val="none"/>
          <w:u w:val="none"/>
        </w:rPr>
        <w:t>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w:t>
      </w:r>
    </w:p>
    <w:p>
      <w:pPr>
        <w:pStyle w:val="4"/>
        <w:tabs>
          <w:tab w:val="left" w:pos="501"/>
        </w:tabs>
        <w:spacing w:line="360" w:lineRule="auto"/>
        <w:rPr>
          <w:rFonts w:hint="eastAsia" w:ascii="宋体" w:hAnsi="宋体" w:eastAsia="宋体" w:cs="宋体"/>
          <w:color w:val="auto"/>
          <w:spacing w:val="2"/>
          <w:sz w:val="28"/>
          <w:szCs w:val="28"/>
          <w:highlight w:val="none"/>
        </w:rPr>
      </w:pPr>
      <w:bookmarkStart w:id="52" w:name="_bookmark6"/>
      <w:bookmarkEnd w:id="52"/>
      <w:bookmarkStart w:id="53" w:name="_Toc27187"/>
      <w:bookmarkStart w:id="54" w:name="_Toc701"/>
      <w:bookmarkStart w:id="55" w:name="_Toc9915"/>
      <w:bookmarkStart w:id="56" w:name="_Toc371"/>
      <w:bookmarkStart w:id="57" w:name="_Toc27890"/>
      <w:bookmarkStart w:id="58" w:name="_Toc3763"/>
      <w:bookmarkStart w:id="59" w:name="_Toc17796"/>
      <w:bookmarkStart w:id="60" w:name="_Toc17686"/>
      <w:bookmarkStart w:id="61" w:name="_Toc7283"/>
      <w:bookmarkStart w:id="62" w:name="_Toc14715"/>
      <w:bookmarkStart w:id="63" w:name="_Toc25852"/>
      <w:bookmarkStart w:id="64" w:name="_Toc21266"/>
      <w:r>
        <w:rPr>
          <w:rFonts w:hint="eastAsia" w:ascii="宋体" w:hAnsi="宋体" w:eastAsia="宋体" w:cs="宋体"/>
          <w:color w:val="auto"/>
          <w:spacing w:val="2"/>
          <w:sz w:val="28"/>
          <w:szCs w:val="28"/>
          <w:highlight w:val="none"/>
        </w:rPr>
        <w:t>5. 投标文件的递交</w:t>
      </w:r>
      <w:bookmarkEnd w:id="53"/>
      <w:bookmarkEnd w:id="54"/>
      <w:bookmarkEnd w:id="55"/>
      <w:bookmarkEnd w:id="56"/>
      <w:bookmarkEnd w:id="57"/>
      <w:bookmarkEnd w:id="58"/>
      <w:bookmarkEnd w:id="59"/>
      <w:bookmarkEnd w:id="60"/>
      <w:bookmarkEnd w:id="61"/>
      <w:bookmarkEnd w:id="62"/>
      <w:bookmarkEnd w:id="63"/>
      <w:bookmarkEnd w:id="64"/>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5.1投标文件递交的截止时间（投标截止时间，下同）为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，投标人应在截止时间前通过</w:t>
      </w:r>
      <w:r>
        <w:rPr>
          <w:rFonts w:hint="eastAsia" w:ascii="宋体" w:hAnsi="宋体" w:eastAsia="宋体" w:cs="宋体"/>
          <w:color w:val="auto"/>
          <w:sz w:val="24"/>
          <w:highlight w:val="none"/>
          <w:u w:val="single"/>
        </w:rPr>
        <w:t>广州公共资源交易中心数字交易平台（网址：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"http://www.gzggzy.cn）递交电子投标文件。投标文件备用光盘递交时间为</w:instrText>
      </w:r>
      <w:r>
        <w:rPr>
          <w:rFonts w:hint="eastAsia" w:ascii="宋体" w:hAnsi="宋体" w:eastAsia="宋体" w:cs="宋体"/>
          <w:color w:val="auto"/>
          <w:sz w:val="24"/>
          <w:highlight w:val="none"/>
          <w:u w:val="single"/>
        </w:rPr>
        <w:instrText xml:space="preserve">2022</w:instrText>
      </w:r>
      <w:r>
        <w:rPr>
          <w:rFonts w:hint="eastAsia" w:ascii="宋体" w:hAnsi="宋体" w:eastAsia="宋体" w:cs="宋体"/>
          <w:color w:val="auto"/>
          <w:sz w:val="24"/>
          <w:highlight w:val="none"/>
        </w:rPr>
        <w:instrText xml:space="preserve">年</w:instrText>
      </w:r>
      <w:r>
        <w:rPr>
          <w:rFonts w:hint="eastAsia" w:ascii="宋体" w:hAnsi="宋体" w:eastAsia="宋体" w:cs="宋体"/>
          <w:color w:val="auto"/>
          <w:sz w:val="24"/>
          <w:highlight w:val="none"/>
          <w:u w:val="single"/>
        </w:rPr>
        <w:instrText xml:space="preserve"> 11 </w:instrText>
      </w:r>
      <w:r>
        <w:rPr>
          <w:rFonts w:hint="eastAsia" w:ascii="宋体" w:hAnsi="宋体" w:eastAsia="宋体" w:cs="宋体"/>
          <w:color w:val="auto"/>
          <w:sz w:val="24"/>
          <w:highlight w:val="none"/>
        </w:rPr>
        <w:instrText xml:space="preserve">月</w:instrText>
      </w:r>
      <w:r>
        <w:rPr>
          <w:rFonts w:hint="eastAsia" w:ascii="宋体" w:hAnsi="宋体" w:eastAsia="宋体" w:cs="宋体"/>
          <w:color w:val="auto"/>
          <w:sz w:val="24"/>
          <w:highlight w:val="none"/>
          <w:u w:val="single"/>
        </w:rPr>
        <w:instrText xml:space="preserve">  15</w:instrText>
      </w:r>
      <w:r>
        <w:rPr>
          <w:rFonts w:hint="eastAsia" w:ascii="宋体" w:hAnsi="宋体" w:eastAsia="宋体" w:cs="宋体"/>
          <w:color w:val="auto"/>
          <w:sz w:val="24"/>
          <w:highlight w:val="none"/>
        </w:rPr>
        <w:instrText xml:space="preserve">日</w:instrText>
      </w:r>
      <w:r>
        <w:rPr>
          <w:rFonts w:hint="eastAsia" w:ascii="宋体" w:hAnsi="宋体" w:eastAsia="宋体" w:cs="宋体"/>
          <w:color w:val="auto"/>
          <w:sz w:val="24"/>
          <w:highlight w:val="none"/>
          <w:u w:val="single"/>
        </w:rPr>
        <w:instrText xml:space="preserve"> 09 </w:instrText>
      </w:r>
      <w:r>
        <w:rPr>
          <w:rFonts w:hint="eastAsia" w:ascii="宋体" w:hAnsi="宋体" w:eastAsia="宋体" w:cs="宋体"/>
          <w:color w:val="auto"/>
          <w:sz w:val="24"/>
          <w:highlight w:val="none"/>
        </w:rPr>
        <w:instrText xml:space="preserve">时</w:instrText>
      </w:r>
      <w:r>
        <w:rPr>
          <w:rFonts w:hint="eastAsia" w:ascii="宋体" w:hAnsi="宋体" w:eastAsia="宋体" w:cs="宋体"/>
          <w:color w:val="auto"/>
          <w:sz w:val="24"/>
          <w:highlight w:val="none"/>
          <w:u w:val="single"/>
        </w:rPr>
        <w:instrText xml:space="preserve"> 45</w:instrText>
      </w:r>
      <w:r>
        <w:rPr>
          <w:rFonts w:hint="eastAsia" w:ascii="宋体" w:hAnsi="宋体" w:eastAsia="宋体" w:cs="宋体"/>
          <w:color w:val="auto"/>
          <w:sz w:val="24"/>
          <w:highlight w:val="none"/>
        </w:rPr>
        <w:instrText xml:space="preserve">分" </w:instrText>
      </w:r>
      <w:r>
        <w:rPr>
          <w:rFonts w:hint="eastAsia" w:ascii="宋体" w:hAnsi="宋体" w:eastAsia="宋体" w:cs="宋体"/>
          <w:color w:val="auto"/>
          <w:sz w:val="24"/>
          <w:highlight w:val="none"/>
        </w:rPr>
        <w:fldChar w:fldCharType="separate"/>
      </w:r>
      <w:r>
        <w:rPr>
          <w:rStyle w:val="22"/>
          <w:rFonts w:hint="eastAsia" w:ascii="宋体" w:hAnsi="宋体" w:eastAsia="宋体" w:cs="宋体"/>
          <w:color w:val="auto"/>
          <w:sz w:val="24"/>
          <w:highlight w:val="none"/>
        </w:rPr>
        <w:t>http://www.gzggzy.cn）递交电子投标文件。</w:t>
      </w:r>
      <w:r>
        <w:rPr>
          <w:rStyle w:val="22"/>
          <w:rFonts w:hint="eastAsia" w:ascii="宋体" w:hAnsi="宋体" w:eastAsia="宋体" w:cs="宋体"/>
          <w:color w:val="auto"/>
          <w:sz w:val="24"/>
          <w:highlight w:val="none"/>
          <w:u w:val="none"/>
        </w:rPr>
        <w:t>投标文件备用光盘递交时间为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，地点为：</w:t>
      </w:r>
      <w:r>
        <w:rPr>
          <w:rFonts w:hint="eastAsia" w:ascii="宋体" w:hAnsi="宋体" w:eastAsia="宋体" w:cs="宋体"/>
          <w:color w:val="auto"/>
          <w:sz w:val="24"/>
          <w:highlight w:val="none"/>
          <w:u w:val="single"/>
        </w:rPr>
        <w:t>广州公共资源交易中心</w:t>
      </w:r>
      <w:r>
        <w:rPr>
          <w:rFonts w:hint="eastAsia" w:ascii="宋体" w:hAnsi="宋体" w:cs="宋体"/>
          <w:color w:val="auto"/>
          <w:sz w:val="24"/>
          <w:highlight w:val="none"/>
          <w:u w:val="single"/>
          <w:lang w:val="en-US" w:eastAsia="zh-CN"/>
        </w:rPr>
        <w:t xml:space="preserve">第  </w:t>
      </w:r>
      <w:r>
        <w:rPr>
          <w:rFonts w:hint="eastAsia" w:ascii="宋体" w:hAnsi="宋体" w:eastAsia="宋体" w:cs="宋体"/>
          <w:color w:val="auto"/>
          <w:sz w:val="24"/>
          <w:highlight w:val="none"/>
          <w:u w:val="single"/>
        </w:rPr>
        <w:t>开标室</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天润路333号）</w:t>
      </w:r>
      <w:r>
        <w:rPr>
          <w:rFonts w:hint="eastAsia" w:ascii="宋体" w:hAnsi="宋体" w:eastAsia="宋体" w:cs="宋体"/>
          <w:color w:val="auto"/>
          <w:sz w:val="24"/>
          <w:highlight w:val="none"/>
        </w:rPr>
        <w:t>。</w:t>
      </w:r>
    </w:p>
    <w:p>
      <w:pPr>
        <w:pStyle w:val="18"/>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5.2逾期送达的投标文件，电子招标投标交易平台将予以拒收。</w:t>
      </w:r>
    </w:p>
    <w:p>
      <w:pPr>
        <w:pStyle w:val="4"/>
        <w:tabs>
          <w:tab w:val="left" w:pos="501"/>
        </w:tabs>
        <w:spacing w:line="360" w:lineRule="auto"/>
        <w:rPr>
          <w:rFonts w:hint="eastAsia" w:ascii="宋体" w:hAnsi="宋体" w:eastAsia="宋体" w:cs="宋体"/>
          <w:color w:val="auto"/>
          <w:spacing w:val="2"/>
          <w:sz w:val="28"/>
          <w:szCs w:val="28"/>
          <w:highlight w:val="none"/>
        </w:rPr>
      </w:pPr>
      <w:bookmarkStart w:id="65" w:name="_bookmark7"/>
      <w:bookmarkEnd w:id="65"/>
      <w:bookmarkStart w:id="66" w:name="_Toc696"/>
      <w:bookmarkStart w:id="67" w:name="_Toc3966"/>
      <w:bookmarkStart w:id="68" w:name="_Toc16846"/>
      <w:bookmarkStart w:id="69" w:name="_Toc15698"/>
      <w:bookmarkStart w:id="70" w:name="_Toc12584"/>
      <w:bookmarkStart w:id="71" w:name="_Toc24381"/>
      <w:bookmarkStart w:id="72" w:name="_Toc6998"/>
      <w:bookmarkStart w:id="73" w:name="_Toc21257"/>
      <w:bookmarkStart w:id="74" w:name="_Toc17326"/>
      <w:bookmarkStart w:id="75" w:name="_Toc28421"/>
      <w:bookmarkStart w:id="76" w:name="_Toc22349"/>
      <w:bookmarkStart w:id="77" w:name="_Toc6185"/>
      <w:r>
        <w:rPr>
          <w:rFonts w:hint="eastAsia" w:ascii="宋体" w:hAnsi="宋体" w:eastAsia="宋体" w:cs="宋体"/>
          <w:color w:val="auto"/>
          <w:spacing w:val="2"/>
          <w:sz w:val="28"/>
          <w:szCs w:val="28"/>
          <w:highlight w:val="none"/>
        </w:rPr>
        <w:t>6. 发布公告的媒介</w:t>
      </w:r>
      <w:bookmarkEnd w:id="66"/>
      <w:bookmarkEnd w:id="67"/>
      <w:bookmarkEnd w:id="68"/>
      <w:bookmarkEnd w:id="69"/>
      <w:bookmarkEnd w:id="70"/>
      <w:bookmarkEnd w:id="71"/>
      <w:bookmarkEnd w:id="72"/>
      <w:bookmarkEnd w:id="73"/>
      <w:bookmarkEnd w:id="74"/>
      <w:bookmarkEnd w:id="75"/>
      <w:bookmarkEnd w:id="76"/>
      <w:bookmarkEnd w:id="77"/>
    </w:p>
    <w:p>
      <w:pPr>
        <w:pStyle w:val="2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本次招标公告同时在广州公共资源交易中心网（网址：</w:t>
      </w:r>
      <w:r>
        <w:rPr>
          <w:rFonts w:hint="eastAsia" w:ascii="宋体" w:hAnsi="宋体" w:eastAsia="宋体" w:cs="宋体"/>
          <w:color w:val="auto"/>
          <w:szCs w:val="24"/>
          <w:highlight w:val="none"/>
          <w:u w:val="single"/>
        </w:rPr>
        <w:t>http://www.gzggzy.cn</w:t>
      </w:r>
      <w:r>
        <w:rPr>
          <w:rFonts w:hint="eastAsia" w:ascii="宋体" w:hAnsi="宋体" w:eastAsia="宋体" w:cs="宋体"/>
          <w:color w:val="auto"/>
          <w:szCs w:val="24"/>
          <w:highlight w:val="none"/>
        </w:rPr>
        <w:t>）、广东省招标投标监管网（网址：</w:t>
      </w:r>
      <w:r>
        <w:rPr>
          <w:rFonts w:hint="eastAsia" w:ascii="宋体" w:hAnsi="宋体" w:cs="宋体"/>
          <w:color w:val="auto"/>
          <w:szCs w:val="24"/>
          <w:highlight w:val="none"/>
          <w:u w:val="single"/>
        </w:rPr>
        <w:t>https://zbtb.gd.gov.cn/</w:t>
      </w:r>
      <w:r>
        <w:rPr>
          <w:rFonts w:hint="eastAsia" w:ascii="宋体" w:hAnsi="宋体" w:eastAsia="宋体" w:cs="宋体"/>
          <w:color w:val="auto"/>
          <w:szCs w:val="24"/>
          <w:highlight w:val="none"/>
        </w:rPr>
        <w:t>）和中国招标投标公共服务平台（网址：</w:t>
      </w:r>
      <w:r>
        <w:rPr>
          <w:rFonts w:hint="eastAsia" w:ascii="宋体" w:hAnsi="宋体" w:eastAsia="宋体" w:cs="宋体"/>
          <w:color w:val="auto"/>
          <w:szCs w:val="24"/>
          <w:highlight w:val="none"/>
          <w:u w:val="single"/>
        </w:rPr>
        <w:t>http://www.cebpubservice.com/</w:t>
      </w:r>
      <w:r>
        <w:rPr>
          <w:rFonts w:hint="eastAsia" w:ascii="宋体" w:hAnsi="宋体" w:eastAsia="宋体" w:cs="宋体"/>
          <w:color w:val="auto"/>
          <w:szCs w:val="24"/>
          <w:highlight w:val="none"/>
        </w:rPr>
        <w:t>）发布，本公告的修改、补充，在广州公共资源交易中心网站上发布。本公告在各媒体发布的文本如有不同之处，以在广州公共资源交易中心网发布的文本为准。</w:t>
      </w:r>
    </w:p>
    <w:p>
      <w:pPr>
        <w:pStyle w:val="4"/>
        <w:tabs>
          <w:tab w:val="left" w:pos="501"/>
        </w:tabs>
        <w:spacing w:line="360" w:lineRule="auto"/>
        <w:rPr>
          <w:rFonts w:hint="eastAsia" w:ascii="宋体" w:hAnsi="宋体" w:eastAsia="宋体" w:cs="宋体"/>
          <w:color w:val="auto"/>
          <w:spacing w:val="2"/>
          <w:sz w:val="28"/>
          <w:szCs w:val="28"/>
          <w:highlight w:val="none"/>
        </w:rPr>
      </w:pPr>
      <w:bookmarkStart w:id="78" w:name="_bookmark8"/>
      <w:bookmarkEnd w:id="78"/>
      <w:bookmarkStart w:id="79" w:name="_Toc26620"/>
      <w:bookmarkStart w:id="80" w:name="_Toc495"/>
      <w:bookmarkStart w:id="81" w:name="_Toc30446"/>
      <w:bookmarkStart w:id="82" w:name="_Toc15612"/>
      <w:bookmarkStart w:id="83" w:name="_Toc17523"/>
      <w:bookmarkStart w:id="84" w:name="_Toc27563"/>
      <w:bookmarkStart w:id="85" w:name="_Toc9349"/>
      <w:bookmarkStart w:id="86" w:name="_Toc6576"/>
      <w:bookmarkStart w:id="87" w:name="_Toc16029"/>
      <w:bookmarkStart w:id="88" w:name="_Toc118"/>
      <w:bookmarkStart w:id="89" w:name="_Toc22803"/>
      <w:bookmarkStart w:id="90" w:name="_Toc14987"/>
      <w:r>
        <w:rPr>
          <w:rFonts w:hint="eastAsia" w:ascii="宋体" w:hAnsi="宋体" w:eastAsia="宋体" w:cs="宋体"/>
          <w:color w:val="auto"/>
          <w:spacing w:val="2"/>
          <w:sz w:val="28"/>
          <w:szCs w:val="28"/>
          <w:highlight w:val="none"/>
          <w:lang w:val="en-US" w:eastAsia="zh-CN"/>
        </w:rPr>
        <w:t>7.</w:t>
      </w:r>
      <w:r>
        <w:rPr>
          <w:rFonts w:hint="eastAsia" w:ascii="宋体" w:hAnsi="宋体" w:eastAsia="宋体" w:cs="宋体"/>
          <w:color w:val="auto"/>
          <w:spacing w:val="2"/>
          <w:sz w:val="28"/>
          <w:szCs w:val="28"/>
          <w:highlight w:val="none"/>
        </w:rPr>
        <w:t xml:space="preserve"> 联系方式</w:t>
      </w:r>
      <w:bookmarkEnd w:id="79"/>
      <w:bookmarkEnd w:id="80"/>
      <w:bookmarkEnd w:id="81"/>
      <w:bookmarkEnd w:id="82"/>
      <w:bookmarkEnd w:id="83"/>
      <w:bookmarkEnd w:id="84"/>
      <w:bookmarkEnd w:id="85"/>
      <w:bookmarkEnd w:id="86"/>
      <w:bookmarkEnd w:id="87"/>
      <w:bookmarkEnd w:id="88"/>
      <w:bookmarkEnd w:id="89"/>
      <w:bookmarkEnd w:id="90"/>
    </w:p>
    <w:p>
      <w:pPr>
        <w:spacing w:line="360" w:lineRule="auto"/>
        <w:ind w:left="7198" w:right="480" w:hanging="7197" w:hangingChars="2999"/>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u w:val="single"/>
          <w:lang w:val="zh-CN"/>
        </w:rPr>
        <w:t>广州市番禺区水务工程建管中心（广州市番禺区水旱灾害防御中心）</w:t>
      </w:r>
    </w:p>
    <w:p>
      <w:pPr>
        <w:topLinePunct/>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val="zh-CN"/>
        </w:rPr>
        <w:t>广州市番禺区市桥街环城东路</w:t>
      </w:r>
      <w:r>
        <w:rPr>
          <w:rFonts w:hint="eastAsia" w:ascii="宋体" w:hAnsi="宋体" w:eastAsia="宋体" w:cs="宋体"/>
          <w:color w:val="auto"/>
          <w:sz w:val="24"/>
          <w:highlight w:val="none"/>
          <w:u w:val="single"/>
        </w:rPr>
        <w:t>20号首二层</w:t>
      </w:r>
    </w:p>
    <w:p>
      <w:pPr>
        <w:topLinePunct/>
        <w:spacing w:line="360" w:lineRule="auto"/>
        <w:ind w:left="7198" w:right="480" w:hanging="7197" w:hangingChars="2999"/>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lang w:val="zh-CN"/>
        </w:rPr>
        <w:t>何工</w:t>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34818331</w:t>
      </w:r>
    </w:p>
    <w:p>
      <w:pPr>
        <w:topLinePunct/>
        <w:spacing w:line="360" w:lineRule="auto"/>
        <w:ind w:right="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511400</w:t>
      </w:r>
    </w:p>
    <w:p>
      <w:pPr>
        <w:pStyle w:val="26"/>
        <w:ind w:firstLine="480"/>
        <w:rPr>
          <w:rFonts w:hint="eastAsia" w:ascii="宋体" w:hAnsi="宋体" w:eastAsia="宋体" w:cs="宋体"/>
          <w:color w:val="auto"/>
          <w:highlight w:val="none"/>
        </w:rPr>
      </w:pPr>
    </w:p>
    <w:p>
      <w:pPr>
        <w:spacing w:line="360" w:lineRule="auto"/>
        <w:ind w:right="36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广州中建城招标有限公司</w:t>
      </w:r>
    </w:p>
    <w:p>
      <w:pPr>
        <w:topLinePunct/>
        <w:spacing w:line="360" w:lineRule="auto"/>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广州市番禺</w:t>
      </w:r>
      <w:r>
        <w:rPr>
          <w:rFonts w:hint="eastAsia" w:ascii="宋体" w:hAnsi="宋体" w:eastAsia="宋体" w:cs="宋体"/>
          <w:color w:val="auto"/>
          <w:sz w:val="24"/>
          <w:szCs w:val="24"/>
          <w:highlight w:val="none"/>
          <w:u w:val="single"/>
          <w:lang w:val="en-US" w:eastAsia="zh-CN"/>
        </w:rPr>
        <w:t>区钟村街骏新路182号长江数码花园综合楼二楼202房</w:t>
      </w:r>
    </w:p>
    <w:p>
      <w:pPr>
        <w:topLinePunct/>
        <w:spacing w:line="360" w:lineRule="auto"/>
        <w:ind w:left="7486" w:hanging="7485" w:hangingChars="311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 系 人：</w:t>
      </w:r>
      <w:r>
        <w:rPr>
          <w:rFonts w:hint="eastAsia" w:ascii="宋体" w:hAnsi="宋体" w:cs="宋体"/>
          <w:color w:val="auto"/>
          <w:sz w:val="24"/>
          <w:highlight w:val="none"/>
          <w:u w:val="single"/>
          <w:lang w:val="en-US" w:eastAsia="zh-CN"/>
        </w:rPr>
        <w:t>简</w:t>
      </w:r>
      <w:r>
        <w:rPr>
          <w:rFonts w:hint="eastAsia" w:ascii="宋体" w:hAnsi="宋体" w:cs="宋体"/>
          <w:color w:val="auto"/>
          <w:sz w:val="24"/>
          <w:highlight w:val="none"/>
          <w:u w:val="single"/>
        </w:rPr>
        <w:t>工</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廖工</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s="宋体"/>
          <w:color w:val="auto"/>
          <w:sz w:val="24"/>
          <w:szCs w:val="21"/>
          <w:highlight w:val="none"/>
        </w:rPr>
        <w:t xml:space="preserve"> 电话：</w:t>
      </w:r>
      <w:r>
        <w:rPr>
          <w:rFonts w:hint="eastAsia" w:ascii="宋体" w:hAnsi="宋体"/>
          <w:color w:val="auto"/>
          <w:sz w:val="24"/>
          <w:highlight w:val="none"/>
          <w:u w:val="single"/>
          <w:lang w:val="zh-CN"/>
        </w:rPr>
        <w:t>020</w:t>
      </w:r>
      <w:r>
        <w:rPr>
          <w:rFonts w:hint="eastAsia" w:ascii="宋体" w:hAnsi="宋体" w:eastAsia="宋体" w:cs="Times New Roman"/>
          <w:color w:val="auto"/>
          <w:sz w:val="24"/>
          <w:highlight w:val="none"/>
          <w:u w:val="single"/>
          <w:lang w:val="zh-CN" w:eastAsia="zh-CN"/>
        </w:rPr>
        <w:t>-84772033</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szCs w:val="24"/>
          <w:highlight w:val="none"/>
        </w:rPr>
        <w:t xml:space="preserve">邮  </w:t>
      </w:r>
      <w:r>
        <w:rPr>
          <w:rFonts w:hint="eastAsia" w:ascii="宋体" w:hAnsi="宋体"/>
          <w:color w:val="auto"/>
          <w:sz w:val="24"/>
          <w:szCs w:val="24"/>
          <w:highlight w:val="none"/>
        </w:rPr>
        <w:t xml:space="preserve"> </w:t>
      </w:r>
      <w:r>
        <w:rPr>
          <w:rFonts w:ascii="宋体" w:hAnsi="宋体"/>
          <w:color w:val="auto"/>
          <w:sz w:val="24"/>
          <w:szCs w:val="24"/>
          <w:highlight w:val="none"/>
        </w:rPr>
        <w:t>编：</w:t>
      </w:r>
      <w:r>
        <w:rPr>
          <w:rFonts w:hint="eastAsia" w:ascii="宋体" w:hAnsi="宋体"/>
          <w:color w:val="auto"/>
          <w:sz w:val="24"/>
          <w:szCs w:val="24"/>
          <w:highlight w:val="none"/>
          <w:u w:val="single"/>
        </w:rPr>
        <w:t>511400</w:t>
      </w:r>
    </w:p>
    <w:p>
      <w:pPr>
        <w:pStyle w:val="26"/>
        <w:ind w:left="0" w:leftChars="0" w:firstLine="0" w:firstLineChars="0"/>
        <w:rPr>
          <w:rFonts w:hint="eastAsia" w:ascii="宋体" w:hAnsi="宋体" w:eastAsia="宋体" w:cs="宋体"/>
          <w:color w:val="auto"/>
          <w:highlight w:val="none"/>
        </w:rPr>
      </w:pPr>
    </w:p>
    <w:p>
      <w:pPr>
        <w:shd w:val="clear" w:color="auto" w:fill="FFFFFF"/>
        <w:spacing w:line="36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异议受理部门：</w:t>
      </w:r>
      <w:r>
        <w:rPr>
          <w:rFonts w:hint="eastAsia" w:ascii="宋体" w:hAnsi="宋体" w:eastAsia="宋体" w:cs="宋体"/>
          <w:color w:val="auto"/>
          <w:kern w:val="0"/>
          <w:sz w:val="24"/>
          <w:szCs w:val="24"/>
          <w:highlight w:val="none"/>
          <w:u w:val="single"/>
          <w:lang w:eastAsia="zh-CN"/>
        </w:rPr>
        <w:t>广州市番禺区水务工程建管中心（广州市番禺区水旱灾害防御中心）</w:t>
      </w:r>
    </w:p>
    <w:p>
      <w:pPr>
        <w:widowControl/>
        <w:shd w:val="clear" w:color="auto" w:fill="FFFFFF"/>
        <w:spacing w:line="360" w:lineRule="auto"/>
        <w:ind w:firstLine="0" w:firstLineChars="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异议受理电话：</w:t>
      </w:r>
      <w:r>
        <w:rPr>
          <w:rFonts w:hint="eastAsia" w:ascii="宋体" w:hAnsi="宋体" w:eastAsia="宋体" w:cs="宋体"/>
          <w:color w:val="auto"/>
          <w:sz w:val="24"/>
          <w:szCs w:val="24"/>
          <w:highlight w:val="none"/>
          <w:u w:val="single"/>
        </w:rPr>
        <w:t>020-34818331</w:t>
      </w:r>
    </w:p>
    <w:p>
      <w:pPr>
        <w:widowControl/>
        <w:shd w:val="clear" w:color="auto" w:fill="FFFFFF"/>
        <w:spacing w:line="360" w:lineRule="auto"/>
        <w:ind w:firstLine="0" w:firstLineChars="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szCs w:val="24"/>
          <w:highlight w:val="none"/>
          <w:u w:val="single"/>
          <w:lang w:val="en-US" w:eastAsia="zh-CN"/>
        </w:rPr>
        <w:t>广州市番禺区市桥街环城东路20号首二层</w:t>
      </w:r>
    </w:p>
    <w:p>
      <w:pPr>
        <w:pStyle w:val="18"/>
        <w:rPr>
          <w:rFonts w:hint="eastAsia" w:ascii="宋体" w:hAnsi="宋体" w:eastAsia="宋体" w:cs="宋体"/>
          <w:color w:val="auto"/>
          <w:highlight w:val="none"/>
        </w:rPr>
      </w:pPr>
    </w:p>
    <w:p>
      <w:pPr>
        <w:topLinePunct/>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广州市番禺区建设工程招标管理办公室</w:t>
      </w:r>
    </w:p>
    <w:p>
      <w:pPr>
        <w:topLinePunct/>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监管电话：</w:t>
      </w:r>
      <w:r>
        <w:rPr>
          <w:rFonts w:hint="eastAsia" w:ascii="宋体" w:hAnsi="宋体" w:eastAsia="宋体" w:cs="宋体"/>
          <w:color w:val="auto"/>
          <w:kern w:val="0"/>
          <w:sz w:val="24"/>
          <w:szCs w:val="24"/>
          <w:highlight w:val="none"/>
          <w:u w:val="single"/>
        </w:rPr>
        <w:t>020-84892221</w:t>
      </w:r>
    </w:p>
    <w:p>
      <w:pPr>
        <w:topLinePunct/>
        <w:spacing w:line="360" w:lineRule="auto"/>
        <w:jc w:val="left"/>
        <w:rPr>
          <w:rFonts w:hint="eastAsia" w:ascii="宋体" w:hAnsi="宋体" w:eastAsia="宋体" w:cs="宋体"/>
          <w:b w:val="0"/>
          <w:bCs/>
          <w:color w:val="auto"/>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广州市番禺区景观大道7号2楼211室</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b w:val="0"/>
          <w:bCs/>
          <w:color w:val="auto"/>
          <w:sz w:val="24"/>
          <w:szCs w:val="24"/>
          <w:highlight w:val="none"/>
        </w:rPr>
        <w:t>邮   编：</w:t>
      </w:r>
      <w:r>
        <w:rPr>
          <w:rFonts w:hint="eastAsia" w:ascii="宋体" w:hAnsi="宋体" w:eastAsia="宋体" w:cs="宋体"/>
          <w:b w:val="0"/>
          <w:bCs/>
          <w:color w:val="auto"/>
          <w:sz w:val="24"/>
          <w:szCs w:val="24"/>
          <w:highlight w:val="none"/>
          <w:u w:val="single"/>
        </w:rPr>
        <w:t>511400</w:t>
      </w:r>
    </w:p>
    <w:p>
      <w:pPr>
        <w:topLinePunct/>
        <w:spacing w:line="360" w:lineRule="auto"/>
        <w:ind w:right="480" w:firstLine="2400" w:firstLineChars="1000"/>
        <w:jc w:val="right"/>
        <w:rPr>
          <w:rFonts w:hint="eastAsia" w:ascii="宋体" w:hAnsi="宋体" w:eastAsia="宋体" w:cs="宋体"/>
          <w:bCs/>
          <w:color w:val="auto"/>
          <w:sz w:val="24"/>
          <w:szCs w:val="24"/>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招标人（盖章）：广州市番禺区水务工程建管中心</w:t>
      </w:r>
    </w:p>
    <w:p>
      <w:pPr>
        <w:topLinePunct/>
        <w:spacing w:line="360" w:lineRule="auto"/>
        <w:ind w:right="480" w:firstLine="4080" w:firstLineChars="17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（广州市番禺区水旱灾害防御中心）</w:t>
      </w:r>
    </w:p>
    <w:p>
      <w:pPr>
        <w:topLinePunct/>
        <w:spacing w:line="360" w:lineRule="auto"/>
        <w:ind w:right="480" w:firstLine="1920" w:firstLineChars="800"/>
        <w:jc w:val="righ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招标代理机构（盖章）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广州中建城招标有限公司</w:t>
      </w:r>
    </w:p>
    <w:p>
      <w:pPr>
        <w:topLinePunct/>
        <w:spacing w:line="360" w:lineRule="auto"/>
        <w:ind w:right="480" w:firstLine="1920" w:firstLineChars="8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附件一：</w:t>
      </w:r>
    </w:p>
    <w:p>
      <w:pPr>
        <w:spacing w:line="360" w:lineRule="auto"/>
        <w:jc w:val="center"/>
        <w:rPr>
          <w:rFonts w:hint="eastAsia" w:ascii="宋体" w:hAnsi="宋体" w:eastAsia="宋体" w:cs="宋体"/>
          <w:b/>
          <w:color w:val="auto"/>
          <w:sz w:val="32"/>
          <w:szCs w:val="32"/>
          <w:highlight w:val="none"/>
        </w:rPr>
      </w:pPr>
      <w:bookmarkStart w:id="91" w:name="_Toc416358163"/>
      <w:bookmarkStart w:id="92" w:name="_Toc249845977"/>
      <w:bookmarkStart w:id="93" w:name="_Toc249846232"/>
      <w:bookmarkStart w:id="94" w:name="_Toc416357992"/>
      <w:bookmarkStart w:id="95" w:name="_Toc253143224"/>
      <w:bookmarkStart w:id="96" w:name="_Toc266881405"/>
      <w:bookmarkStart w:id="97" w:name="_Toc266093553"/>
      <w:bookmarkStart w:id="98" w:name="_Toc245024005"/>
      <w:r>
        <w:rPr>
          <w:rFonts w:hint="eastAsia" w:ascii="宋体" w:hAnsi="宋体" w:eastAsia="宋体" w:cs="宋体"/>
          <w:b/>
          <w:color w:val="auto"/>
          <w:kern w:val="0"/>
          <w:sz w:val="32"/>
          <w:szCs w:val="32"/>
          <w:highlight w:val="none"/>
        </w:rPr>
        <w:t>投标申请人</w:t>
      </w:r>
      <w:r>
        <w:rPr>
          <w:rFonts w:hint="eastAsia" w:ascii="宋体" w:hAnsi="宋体" w:eastAsia="宋体" w:cs="宋体"/>
          <w:b/>
          <w:color w:val="auto"/>
          <w:sz w:val="32"/>
          <w:szCs w:val="32"/>
          <w:highlight w:val="none"/>
        </w:rPr>
        <w:t>声明</w:t>
      </w:r>
      <w:bookmarkEnd w:id="91"/>
      <w:bookmarkEnd w:id="92"/>
      <w:bookmarkEnd w:id="93"/>
      <w:bookmarkEnd w:id="94"/>
      <w:bookmarkEnd w:id="95"/>
      <w:bookmarkEnd w:id="96"/>
      <w:bookmarkEnd w:id="97"/>
      <w:bookmarkEnd w:id="98"/>
    </w:p>
    <w:p>
      <w:pPr>
        <w:pStyle w:val="29"/>
        <w:spacing w:line="360" w:lineRule="auto"/>
        <w:ind w:firstLine="0"/>
        <w:rPr>
          <w:rFonts w:hint="eastAsia" w:ascii="宋体" w:hAnsi="宋体" w:eastAsia="宋体" w:cs="宋体"/>
          <w:color w:val="auto"/>
          <w:sz w:val="24"/>
          <w:szCs w:val="24"/>
          <w:highlight w:val="none"/>
          <w:u w:val="none"/>
          <w:shd w:val="clear" w:color="auto" w:fill="FFFFFF"/>
        </w:rPr>
      </w:pPr>
      <w:r>
        <w:rPr>
          <w:rFonts w:hint="eastAsia" w:ascii="宋体" w:hAnsi="宋体" w:eastAsia="宋体" w:cs="宋体"/>
          <w:color w:val="auto"/>
          <w:sz w:val="24"/>
          <w:szCs w:val="24"/>
          <w:highlight w:val="none"/>
          <w:shd w:val="clear" w:color="auto" w:fill="FFFFFF"/>
        </w:rPr>
        <w:t>广州市番禺区住房和城乡建设局</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广州市番禺区水务局</w:t>
      </w:r>
      <w:r>
        <w:rPr>
          <w:rFonts w:hint="eastAsia" w:ascii="宋体" w:hAnsi="宋体" w:eastAsia="宋体" w:cs="宋体"/>
          <w:i w:val="0"/>
          <w:caps w:val="0"/>
          <w:color w:val="auto"/>
          <w:spacing w:val="0"/>
          <w:sz w:val="24"/>
          <w:szCs w:val="24"/>
          <w:highlight w:val="none"/>
          <w:shd w:val="clear" w:color="auto" w:fill="FFFFFF"/>
          <w:lang w:val="en-US" w:eastAsia="zh-CN"/>
        </w:rPr>
        <w:t>、广州市番禺区水务工程建管中心（广州市番禺区水旱灾害防御中心）及</w:t>
      </w:r>
      <w:r>
        <w:rPr>
          <w:rFonts w:hint="eastAsia" w:ascii="宋体" w:hAnsi="宋体" w:eastAsia="宋体" w:cs="宋体"/>
          <w:i w:val="0"/>
          <w:caps w:val="0"/>
          <w:color w:val="auto"/>
          <w:spacing w:val="0"/>
          <w:sz w:val="24"/>
          <w:szCs w:val="24"/>
          <w:highlight w:val="none"/>
          <w:shd w:val="clear" w:color="auto" w:fill="FFFFFF"/>
        </w:rPr>
        <w:t>广州市番禺区建设工程招标管理办公室</w:t>
      </w:r>
      <w:r>
        <w:rPr>
          <w:rFonts w:hint="eastAsia" w:ascii="宋体" w:hAnsi="宋体" w:eastAsia="宋体" w:cs="宋体"/>
          <w:color w:val="auto"/>
          <w:sz w:val="24"/>
          <w:szCs w:val="24"/>
          <w:highlight w:val="none"/>
          <w:shd w:val="clear" w:color="auto" w:fill="FFFFFF"/>
        </w:rPr>
        <w:t>：</w:t>
      </w:r>
    </w:p>
    <w:p>
      <w:pPr>
        <w:pStyle w:val="2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项目投标工作，作出郑重声明：</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三、本公司不存在招标文件第二章投标人须知第1.4.3项所规定的任何一种情形。</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五、本公司承诺，中标后严格执行安全生产相关管理规定。</w:t>
      </w:r>
    </w:p>
    <w:p>
      <w:pPr>
        <w:pStyle w:val="2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六、本公司委派的本项目总监理工程师在本项目中标公示首日起至项目全部工程竣工验收完成期间，没有在同一时期内担任超过三个（含本项目）以上工程项目的总监理工程师职务。</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本公司违反上述承诺，或本声明陈述与事实不符，经查实，本公司愿意接受公开通报，愿意按照《广州市建筑市场信用管理办法》（穗建规字﹝20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﹞16号）的规定被记录为失信信息，承担由此带来的</w:t>
      </w:r>
      <w:r>
        <w:rPr>
          <w:rFonts w:hint="eastAsia" w:ascii="宋体" w:hAnsi="宋体" w:eastAsia="宋体" w:cs="宋体"/>
          <w:color w:val="auto"/>
          <w:kern w:val="0"/>
          <w:sz w:val="24"/>
          <w:szCs w:val="24"/>
          <w:highlight w:val="none"/>
          <w:lang w:val="en-US" w:eastAsia="zh-CN"/>
        </w:rPr>
        <w:t>法律</w:t>
      </w:r>
      <w:r>
        <w:rPr>
          <w:rFonts w:hint="eastAsia" w:ascii="宋体" w:hAnsi="宋体" w:eastAsia="宋体" w:cs="宋体"/>
          <w:color w:val="auto"/>
          <w:kern w:val="0"/>
          <w:sz w:val="24"/>
          <w:szCs w:val="24"/>
          <w:highlight w:val="none"/>
        </w:rPr>
        <w:t>后果。</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本声明陈述与事实不符，属于弄虚作假骗取中标，将依法接受监管部门的处罚</w:t>
      </w:r>
      <w:r>
        <w:rPr>
          <w:rFonts w:hint="eastAsia" w:ascii="宋体" w:hAnsi="宋体" w:eastAsia="宋体" w:cs="宋体"/>
          <w:color w:val="auto"/>
          <w:kern w:val="0"/>
          <w:sz w:val="24"/>
          <w:szCs w:val="24"/>
          <w:highlight w:val="none"/>
          <w:lang w:eastAsia="zh-CN"/>
        </w:rPr>
        <w:t>。</w:t>
      </w:r>
    </w:p>
    <w:p>
      <w:pPr>
        <w:pStyle w:val="2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napToGrid w:val="0"/>
        <w:spacing w:line="360" w:lineRule="auto"/>
        <w:ind w:firstLine="4320" w:firstLineChars="18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声明企业：            (企业公章)</w:t>
      </w:r>
    </w:p>
    <w:p>
      <w:pPr>
        <w:snapToGrid w:val="0"/>
        <w:spacing w:line="360" w:lineRule="auto"/>
        <w:ind w:firstLine="4320" w:firstLineChars="18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w:t>
      </w:r>
    </w:p>
    <w:p>
      <w:pPr>
        <w:snapToGrid w:val="0"/>
        <w:spacing w:line="360" w:lineRule="auto"/>
        <w:ind w:firstLine="4320" w:firstLineChars="18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总监理工程师签字：</w:t>
      </w:r>
    </w:p>
    <w:p>
      <w:pPr>
        <w:spacing w:line="360" w:lineRule="auto"/>
        <w:jc w:val="righ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年   月   日</w:t>
      </w:r>
    </w:p>
    <w:sectPr>
      <w:footerReference r:id="rId7" w:type="default"/>
      <w:pgSz w:w="11906" w:h="16838"/>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Fonts w:hint="eastAsia"/>
      </w:rPr>
      <w:t>一–2</w:t>
    </w:r>
    <w:r>
      <w:fldChar w:fldCharType="end"/>
    </w:r>
  </w:p>
  <w:p>
    <w:pPr>
      <w:pStyle w:val="13"/>
      <w:ind w:right="360" w:firstLine="360"/>
      <w:jc w:val="center"/>
    </w:pP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24CB"/>
    <w:multiLevelType w:val="multilevel"/>
    <w:tmpl w:val="5A0B24CB"/>
    <w:lvl w:ilvl="0" w:tentative="0">
      <w:start w:val="1"/>
      <w:numFmt w:val="decimal"/>
      <w:pStyle w:val="5"/>
      <w:lvlText w:val="1.%1"/>
      <w:lvlJc w:val="left"/>
      <w:pPr>
        <w:ind w:left="0" w:firstLine="0"/>
      </w:pPr>
      <w:rPr>
        <w:rFonts w:hint="eastAsia"/>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TYxMDM2YmIxN2YyMGYzMDMwNTdiODZkZDYzMDgifQ=="/>
  </w:docVars>
  <w:rsids>
    <w:rsidRoot w:val="6901280C"/>
    <w:rsid w:val="00017F30"/>
    <w:rsid w:val="0004387D"/>
    <w:rsid w:val="00095B01"/>
    <w:rsid w:val="000C1DD2"/>
    <w:rsid w:val="000C4960"/>
    <w:rsid w:val="000E1315"/>
    <w:rsid w:val="001022F2"/>
    <w:rsid w:val="00123934"/>
    <w:rsid w:val="001566C4"/>
    <w:rsid w:val="00285AED"/>
    <w:rsid w:val="002C1598"/>
    <w:rsid w:val="003224EE"/>
    <w:rsid w:val="00395F24"/>
    <w:rsid w:val="004008FB"/>
    <w:rsid w:val="0040239C"/>
    <w:rsid w:val="00423BE0"/>
    <w:rsid w:val="00424B03"/>
    <w:rsid w:val="0045596C"/>
    <w:rsid w:val="00476158"/>
    <w:rsid w:val="00532805"/>
    <w:rsid w:val="00623E39"/>
    <w:rsid w:val="00674473"/>
    <w:rsid w:val="006B578D"/>
    <w:rsid w:val="00781D74"/>
    <w:rsid w:val="007B3971"/>
    <w:rsid w:val="007C717F"/>
    <w:rsid w:val="007F0458"/>
    <w:rsid w:val="008154AE"/>
    <w:rsid w:val="00970BD3"/>
    <w:rsid w:val="00A13E22"/>
    <w:rsid w:val="00A24B79"/>
    <w:rsid w:val="00A43A63"/>
    <w:rsid w:val="00A478D8"/>
    <w:rsid w:val="00A758CA"/>
    <w:rsid w:val="00A858E8"/>
    <w:rsid w:val="00AD1921"/>
    <w:rsid w:val="00AD24F9"/>
    <w:rsid w:val="00B01177"/>
    <w:rsid w:val="00B36935"/>
    <w:rsid w:val="00BA0757"/>
    <w:rsid w:val="00BD05BA"/>
    <w:rsid w:val="00C41361"/>
    <w:rsid w:val="00C56B91"/>
    <w:rsid w:val="00E62B5F"/>
    <w:rsid w:val="00EC5C30"/>
    <w:rsid w:val="00F1622E"/>
    <w:rsid w:val="00F33B6B"/>
    <w:rsid w:val="00F37DDA"/>
    <w:rsid w:val="00F4188B"/>
    <w:rsid w:val="01967DCC"/>
    <w:rsid w:val="01EE19B6"/>
    <w:rsid w:val="02123CF8"/>
    <w:rsid w:val="02145195"/>
    <w:rsid w:val="0270686F"/>
    <w:rsid w:val="028875B4"/>
    <w:rsid w:val="02AA4D7F"/>
    <w:rsid w:val="02CB524D"/>
    <w:rsid w:val="02F34302"/>
    <w:rsid w:val="030D097E"/>
    <w:rsid w:val="030F6465"/>
    <w:rsid w:val="0313544C"/>
    <w:rsid w:val="03265180"/>
    <w:rsid w:val="037B371D"/>
    <w:rsid w:val="039344F4"/>
    <w:rsid w:val="043E4B3A"/>
    <w:rsid w:val="049C3F23"/>
    <w:rsid w:val="04A942BA"/>
    <w:rsid w:val="04FE5487"/>
    <w:rsid w:val="050B7D5A"/>
    <w:rsid w:val="05791CCE"/>
    <w:rsid w:val="062C51A3"/>
    <w:rsid w:val="068339E2"/>
    <w:rsid w:val="06C834BB"/>
    <w:rsid w:val="07391593"/>
    <w:rsid w:val="073F4A62"/>
    <w:rsid w:val="074107DA"/>
    <w:rsid w:val="080A5070"/>
    <w:rsid w:val="082C0DD0"/>
    <w:rsid w:val="085E2900"/>
    <w:rsid w:val="099E0166"/>
    <w:rsid w:val="09B01462"/>
    <w:rsid w:val="09B06CCE"/>
    <w:rsid w:val="09E455AF"/>
    <w:rsid w:val="0A314B36"/>
    <w:rsid w:val="0A326B00"/>
    <w:rsid w:val="0A6071C9"/>
    <w:rsid w:val="0ADA47D3"/>
    <w:rsid w:val="0ADB0F46"/>
    <w:rsid w:val="0AF63E9F"/>
    <w:rsid w:val="0B5B1127"/>
    <w:rsid w:val="0B766F7B"/>
    <w:rsid w:val="0BBE5E9C"/>
    <w:rsid w:val="0BDF05C2"/>
    <w:rsid w:val="0BE04A65"/>
    <w:rsid w:val="0C985340"/>
    <w:rsid w:val="0CC954FA"/>
    <w:rsid w:val="0D1D43E3"/>
    <w:rsid w:val="0D291461"/>
    <w:rsid w:val="0D554FDF"/>
    <w:rsid w:val="0D913B3D"/>
    <w:rsid w:val="0DEE0F90"/>
    <w:rsid w:val="0E136391"/>
    <w:rsid w:val="0E611573"/>
    <w:rsid w:val="0E792F4F"/>
    <w:rsid w:val="0E874DED"/>
    <w:rsid w:val="0EBE0962"/>
    <w:rsid w:val="0F072309"/>
    <w:rsid w:val="0F1B7B63"/>
    <w:rsid w:val="0F486AD6"/>
    <w:rsid w:val="0F9718DF"/>
    <w:rsid w:val="0FFC1742"/>
    <w:rsid w:val="106E29B8"/>
    <w:rsid w:val="10970189"/>
    <w:rsid w:val="10EC7A09"/>
    <w:rsid w:val="11667E72"/>
    <w:rsid w:val="11A36A6D"/>
    <w:rsid w:val="1261783E"/>
    <w:rsid w:val="12D70244"/>
    <w:rsid w:val="12E017EF"/>
    <w:rsid w:val="12E070F9"/>
    <w:rsid w:val="133D0E68"/>
    <w:rsid w:val="13893C35"/>
    <w:rsid w:val="138E4DA7"/>
    <w:rsid w:val="140C2170"/>
    <w:rsid w:val="14117786"/>
    <w:rsid w:val="14562D0C"/>
    <w:rsid w:val="147F0B94"/>
    <w:rsid w:val="14A423A8"/>
    <w:rsid w:val="15273705"/>
    <w:rsid w:val="15284D87"/>
    <w:rsid w:val="153F4462"/>
    <w:rsid w:val="161672D6"/>
    <w:rsid w:val="16ED01FA"/>
    <w:rsid w:val="16FC471D"/>
    <w:rsid w:val="173F07E6"/>
    <w:rsid w:val="176F6E28"/>
    <w:rsid w:val="1775032D"/>
    <w:rsid w:val="17A70B2D"/>
    <w:rsid w:val="17EA2EC3"/>
    <w:rsid w:val="180E295A"/>
    <w:rsid w:val="181E2472"/>
    <w:rsid w:val="184E71FB"/>
    <w:rsid w:val="18DD40DB"/>
    <w:rsid w:val="19185113"/>
    <w:rsid w:val="193E30C3"/>
    <w:rsid w:val="19697BA1"/>
    <w:rsid w:val="197467ED"/>
    <w:rsid w:val="19BB5EC2"/>
    <w:rsid w:val="19BE215E"/>
    <w:rsid w:val="19FB734D"/>
    <w:rsid w:val="1A0933D9"/>
    <w:rsid w:val="1AB217BB"/>
    <w:rsid w:val="1B686EE8"/>
    <w:rsid w:val="1C0E046A"/>
    <w:rsid w:val="1C3D28D9"/>
    <w:rsid w:val="1C69659F"/>
    <w:rsid w:val="1CDF0421"/>
    <w:rsid w:val="1D061E52"/>
    <w:rsid w:val="1D207A82"/>
    <w:rsid w:val="1D641F5B"/>
    <w:rsid w:val="1D7921BF"/>
    <w:rsid w:val="1DAF37F3"/>
    <w:rsid w:val="1DC93B3E"/>
    <w:rsid w:val="1DD378B6"/>
    <w:rsid w:val="1E4C1AE7"/>
    <w:rsid w:val="1F1B5FD6"/>
    <w:rsid w:val="1F5B4854"/>
    <w:rsid w:val="1F925C1F"/>
    <w:rsid w:val="2021417D"/>
    <w:rsid w:val="20541126"/>
    <w:rsid w:val="20C80847"/>
    <w:rsid w:val="20CA3197"/>
    <w:rsid w:val="20D83B05"/>
    <w:rsid w:val="20E029BA"/>
    <w:rsid w:val="213C416E"/>
    <w:rsid w:val="21546112"/>
    <w:rsid w:val="223B259E"/>
    <w:rsid w:val="229B4DEB"/>
    <w:rsid w:val="231D4983"/>
    <w:rsid w:val="23843AD1"/>
    <w:rsid w:val="242E1C8E"/>
    <w:rsid w:val="24D45113"/>
    <w:rsid w:val="259B679B"/>
    <w:rsid w:val="2601765A"/>
    <w:rsid w:val="26812923"/>
    <w:rsid w:val="269640B9"/>
    <w:rsid w:val="26B26BA7"/>
    <w:rsid w:val="26BA5CA1"/>
    <w:rsid w:val="26BB768E"/>
    <w:rsid w:val="26E8081A"/>
    <w:rsid w:val="27912C60"/>
    <w:rsid w:val="27F17526"/>
    <w:rsid w:val="27F35CF0"/>
    <w:rsid w:val="285D3E5C"/>
    <w:rsid w:val="291458F7"/>
    <w:rsid w:val="292E4C0A"/>
    <w:rsid w:val="2973261D"/>
    <w:rsid w:val="29733D56"/>
    <w:rsid w:val="299D3B3E"/>
    <w:rsid w:val="2A557F75"/>
    <w:rsid w:val="2A6B7798"/>
    <w:rsid w:val="2B434271"/>
    <w:rsid w:val="2B752C53"/>
    <w:rsid w:val="2B920D55"/>
    <w:rsid w:val="2BBC0CB9"/>
    <w:rsid w:val="2C4D0810"/>
    <w:rsid w:val="2C6E531E"/>
    <w:rsid w:val="2C8F754C"/>
    <w:rsid w:val="2CA60F5C"/>
    <w:rsid w:val="2CA64AB8"/>
    <w:rsid w:val="2CE101E6"/>
    <w:rsid w:val="2CF241A1"/>
    <w:rsid w:val="2D0B0DBF"/>
    <w:rsid w:val="2D1B36F8"/>
    <w:rsid w:val="2D32459D"/>
    <w:rsid w:val="2D4A18E7"/>
    <w:rsid w:val="2D8E212F"/>
    <w:rsid w:val="2DBC078B"/>
    <w:rsid w:val="2DBD030B"/>
    <w:rsid w:val="2E154547"/>
    <w:rsid w:val="2E573752"/>
    <w:rsid w:val="2E8E7EF9"/>
    <w:rsid w:val="2EBF619F"/>
    <w:rsid w:val="2F576973"/>
    <w:rsid w:val="2F896F93"/>
    <w:rsid w:val="2F915274"/>
    <w:rsid w:val="2FA838D8"/>
    <w:rsid w:val="308B6831"/>
    <w:rsid w:val="30A92DC8"/>
    <w:rsid w:val="30DD0DBB"/>
    <w:rsid w:val="311130EE"/>
    <w:rsid w:val="316E1CFD"/>
    <w:rsid w:val="31903F88"/>
    <w:rsid w:val="319800E0"/>
    <w:rsid w:val="31C47A6F"/>
    <w:rsid w:val="31E61505"/>
    <w:rsid w:val="320A5372"/>
    <w:rsid w:val="32517728"/>
    <w:rsid w:val="33357C1C"/>
    <w:rsid w:val="33802506"/>
    <w:rsid w:val="34142CB6"/>
    <w:rsid w:val="34572CE0"/>
    <w:rsid w:val="34E00D83"/>
    <w:rsid w:val="34E451DD"/>
    <w:rsid w:val="3595590F"/>
    <w:rsid w:val="35F32DB5"/>
    <w:rsid w:val="361C690A"/>
    <w:rsid w:val="361D1965"/>
    <w:rsid w:val="3643314B"/>
    <w:rsid w:val="365E6403"/>
    <w:rsid w:val="367B5207"/>
    <w:rsid w:val="36AD2EE7"/>
    <w:rsid w:val="3756532C"/>
    <w:rsid w:val="37593503"/>
    <w:rsid w:val="375C0B95"/>
    <w:rsid w:val="37624723"/>
    <w:rsid w:val="377F4883"/>
    <w:rsid w:val="38127B00"/>
    <w:rsid w:val="38F461CB"/>
    <w:rsid w:val="391306CB"/>
    <w:rsid w:val="392C69A0"/>
    <w:rsid w:val="395F0EEB"/>
    <w:rsid w:val="3A264768"/>
    <w:rsid w:val="3A2B6F44"/>
    <w:rsid w:val="3A2F07E2"/>
    <w:rsid w:val="3A663AD8"/>
    <w:rsid w:val="3AAD7959"/>
    <w:rsid w:val="3ABD2FD5"/>
    <w:rsid w:val="3B0A4DAB"/>
    <w:rsid w:val="3B1B0D67"/>
    <w:rsid w:val="3B2A3D28"/>
    <w:rsid w:val="3B506C62"/>
    <w:rsid w:val="3B5B1163"/>
    <w:rsid w:val="3C687CCA"/>
    <w:rsid w:val="3D197528"/>
    <w:rsid w:val="3D8A5D72"/>
    <w:rsid w:val="3DE23DBE"/>
    <w:rsid w:val="3DF53AF1"/>
    <w:rsid w:val="3DFA4C63"/>
    <w:rsid w:val="3DFC6C2D"/>
    <w:rsid w:val="3E18158D"/>
    <w:rsid w:val="3EEC38DD"/>
    <w:rsid w:val="3F1C50AD"/>
    <w:rsid w:val="3F3B023D"/>
    <w:rsid w:val="3F3E5024"/>
    <w:rsid w:val="3F481018"/>
    <w:rsid w:val="3F972D6E"/>
    <w:rsid w:val="3FB9189A"/>
    <w:rsid w:val="3FD54CF9"/>
    <w:rsid w:val="40073668"/>
    <w:rsid w:val="40A47108"/>
    <w:rsid w:val="40E2075F"/>
    <w:rsid w:val="40E63592"/>
    <w:rsid w:val="40F32DEA"/>
    <w:rsid w:val="41395AA3"/>
    <w:rsid w:val="41503A74"/>
    <w:rsid w:val="4153125A"/>
    <w:rsid w:val="41662610"/>
    <w:rsid w:val="4168282C"/>
    <w:rsid w:val="41A95077"/>
    <w:rsid w:val="41C21F3C"/>
    <w:rsid w:val="426B4382"/>
    <w:rsid w:val="42BC6231"/>
    <w:rsid w:val="42D474E2"/>
    <w:rsid w:val="430F11B1"/>
    <w:rsid w:val="4352109E"/>
    <w:rsid w:val="436332AB"/>
    <w:rsid w:val="43655275"/>
    <w:rsid w:val="43CB111B"/>
    <w:rsid w:val="43CD4BC8"/>
    <w:rsid w:val="44083C3F"/>
    <w:rsid w:val="45060392"/>
    <w:rsid w:val="452627E2"/>
    <w:rsid w:val="455530C7"/>
    <w:rsid w:val="459E5857"/>
    <w:rsid w:val="4622744D"/>
    <w:rsid w:val="46CB39D7"/>
    <w:rsid w:val="46E8792B"/>
    <w:rsid w:val="46F04E55"/>
    <w:rsid w:val="47F70466"/>
    <w:rsid w:val="48096036"/>
    <w:rsid w:val="48217291"/>
    <w:rsid w:val="484D342B"/>
    <w:rsid w:val="497F5A45"/>
    <w:rsid w:val="498A77E3"/>
    <w:rsid w:val="49A60395"/>
    <w:rsid w:val="49C9642B"/>
    <w:rsid w:val="4A04467A"/>
    <w:rsid w:val="4A2512BA"/>
    <w:rsid w:val="4A4612DE"/>
    <w:rsid w:val="4AC85117"/>
    <w:rsid w:val="4B1523CB"/>
    <w:rsid w:val="4B1F03FF"/>
    <w:rsid w:val="4B5046E1"/>
    <w:rsid w:val="4BDF36EB"/>
    <w:rsid w:val="4C0E37C7"/>
    <w:rsid w:val="4C471542"/>
    <w:rsid w:val="4C7327B1"/>
    <w:rsid w:val="4CAA019C"/>
    <w:rsid w:val="4CE3707C"/>
    <w:rsid w:val="4CFB04C3"/>
    <w:rsid w:val="4D364D95"/>
    <w:rsid w:val="4DBB5BDA"/>
    <w:rsid w:val="4E063304"/>
    <w:rsid w:val="4E355844"/>
    <w:rsid w:val="4E487C6D"/>
    <w:rsid w:val="4E8862BB"/>
    <w:rsid w:val="4E983EB9"/>
    <w:rsid w:val="4EC04F6B"/>
    <w:rsid w:val="4F852D78"/>
    <w:rsid w:val="4F9F1B0F"/>
    <w:rsid w:val="4FCB46B2"/>
    <w:rsid w:val="4FE15C83"/>
    <w:rsid w:val="4FED287A"/>
    <w:rsid w:val="504B75A0"/>
    <w:rsid w:val="50A62A29"/>
    <w:rsid w:val="50BD71BF"/>
    <w:rsid w:val="50CA2BBB"/>
    <w:rsid w:val="50CF6810"/>
    <w:rsid w:val="51D17DC3"/>
    <w:rsid w:val="523E6592"/>
    <w:rsid w:val="52486479"/>
    <w:rsid w:val="52666914"/>
    <w:rsid w:val="52AA4BAA"/>
    <w:rsid w:val="52D675F5"/>
    <w:rsid w:val="54291292"/>
    <w:rsid w:val="543640C4"/>
    <w:rsid w:val="54A560AE"/>
    <w:rsid w:val="54E87AB4"/>
    <w:rsid w:val="55266B59"/>
    <w:rsid w:val="555667CB"/>
    <w:rsid w:val="55DD06EB"/>
    <w:rsid w:val="5663506A"/>
    <w:rsid w:val="56A874FB"/>
    <w:rsid w:val="57821531"/>
    <w:rsid w:val="5814471C"/>
    <w:rsid w:val="581A7B11"/>
    <w:rsid w:val="58D95A00"/>
    <w:rsid w:val="59053B14"/>
    <w:rsid w:val="590B1FC3"/>
    <w:rsid w:val="5955323E"/>
    <w:rsid w:val="59710078"/>
    <w:rsid w:val="59C04B5B"/>
    <w:rsid w:val="59CB38B6"/>
    <w:rsid w:val="59F85A60"/>
    <w:rsid w:val="5A0422B2"/>
    <w:rsid w:val="5A4F6A05"/>
    <w:rsid w:val="5AB741B0"/>
    <w:rsid w:val="5B3360A7"/>
    <w:rsid w:val="5B9C6F02"/>
    <w:rsid w:val="5BA41919"/>
    <w:rsid w:val="5C6519EA"/>
    <w:rsid w:val="5CE648D9"/>
    <w:rsid w:val="5D2B6790"/>
    <w:rsid w:val="5DAB167E"/>
    <w:rsid w:val="5DE352BC"/>
    <w:rsid w:val="5DF802AE"/>
    <w:rsid w:val="5DFF2E17"/>
    <w:rsid w:val="5E783C56"/>
    <w:rsid w:val="5EA44A4C"/>
    <w:rsid w:val="5EB36A3D"/>
    <w:rsid w:val="5F0A53A0"/>
    <w:rsid w:val="5F91132B"/>
    <w:rsid w:val="601D2D07"/>
    <w:rsid w:val="60255718"/>
    <w:rsid w:val="60426BD0"/>
    <w:rsid w:val="61722BDF"/>
    <w:rsid w:val="617649B5"/>
    <w:rsid w:val="62E6059F"/>
    <w:rsid w:val="631F265B"/>
    <w:rsid w:val="63844E4C"/>
    <w:rsid w:val="63D336DD"/>
    <w:rsid w:val="641A755E"/>
    <w:rsid w:val="64AA6B34"/>
    <w:rsid w:val="64C179D9"/>
    <w:rsid w:val="657607C4"/>
    <w:rsid w:val="657F1D6E"/>
    <w:rsid w:val="65C854C3"/>
    <w:rsid w:val="65EC40F6"/>
    <w:rsid w:val="665F74AA"/>
    <w:rsid w:val="67035656"/>
    <w:rsid w:val="6718491D"/>
    <w:rsid w:val="6758427A"/>
    <w:rsid w:val="6828049B"/>
    <w:rsid w:val="684352D5"/>
    <w:rsid w:val="6866737A"/>
    <w:rsid w:val="68855018"/>
    <w:rsid w:val="68B43ADD"/>
    <w:rsid w:val="68CD4B9F"/>
    <w:rsid w:val="6901280C"/>
    <w:rsid w:val="69227369"/>
    <w:rsid w:val="695D23C7"/>
    <w:rsid w:val="699566D7"/>
    <w:rsid w:val="6A5A06B4"/>
    <w:rsid w:val="6A5E005E"/>
    <w:rsid w:val="6A607FD8"/>
    <w:rsid w:val="6C3C2767"/>
    <w:rsid w:val="6C927F0B"/>
    <w:rsid w:val="6CE8600F"/>
    <w:rsid w:val="6D394EF9"/>
    <w:rsid w:val="6D3C0CF7"/>
    <w:rsid w:val="6DC50FB6"/>
    <w:rsid w:val="6E761835"/>
    <w:rsid w:val="6E7A30D3"/>
    <w:rsid w:val="6EBC7B8F"/>
    <w:rsid w:val="6EC60E7A"/>
    <w:rsid w:val="6F101C89"/>
    <w:rsid w:val="6F2E2BC7"/>
    <w:rsid w:val="6F457B85"/>
    <w:rsid w:val="6F67214C"/>
    <w:rsid w:val="70052E70"/>
    <w:rsid w:val="707029DF"/>
    <w:rsid w:val="70F627F0"/>
    <w:rsid w:val="715822D7"/>
    <w:rsid w:val="716342F2"/>
    <w:rsid w:val="719E17CE"/>
    <w:rsid w:val="71BE3C1E"/>
    <w:rsid w:val="720A29C0"/>
    <w:rsid w:val="728654C5"/>
    <w:rsid w:val="72DA18AF"/>
    <w:rsid w:val="72F55F5D"/>
    <w:rsid w:val="73880CEB"/>
    <w:rsid w:val="738844E4"/>
    <w:rsid w:val="73D239B1"/>
    <w:rsid w:val="740D0C79"/>
    <w:rsid w:val="74A7099A"/>
    <w:rsid w:val="74EF4767"/>
    <w:rsid w:val="758D7B90"/>
    <w:rsid w:val="75A153E9"/>
    <w:rsid w:val="75CB690A"/>
    <w:rsid w:val="7630676D"/>
    <w:rsid w:val="7640532B"/>
    <w:rsid w:val="771F6F0D"/>
    <w:rsid w:val="77807DE0"/>
    <w:rsid w:val="77D543BA"/>
    <w:rsid w:val="78417EFC"/>
    <w:rsid w:val="79AE6327"/>
    <w:rsid w:val="7A1B5AA1"/>
    <w:rsid w:val="7AD24297"/>
    <w:rsid w:val="7AED1F14"/>
    <w:rsid w:val="7B034450"/>
    <w:rsid w:val="7B7909CD"/>
    <w:rsid w:val="7BAE2FAB"/>
    <w:rsid w:val="7C166D74"/>
    <w:rsid w:val="7C370855"/>
    <w:rsid w:val="7C427632"/>
    <w:rsid w:val="7C50152E"/>
    <w:rsid w:val="7CC55E61"/>
    <w:rsid w:val="7DD24CD9"/>
    <w:rsid w:val="7DFF67F8"/>
    <w:rsid w:val="7E3F2540"/>
    <w:rsid w:val="7E9F7C03"/>
    <w:rsid w:val="7F2C21C7"/>
    <w:rsid w:val="7F4C664F"/>
    <w:rsid w:val="7F620FEF"/>
    <w:rsid w:val="7FCB5E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numPr>
        <w:ilvl w:val="0"/>
        <w:numId w:val="1"/>
      </w:numPr>
      <w:outlineLvl w:val="3"/>
    </w:pPr>
    <w:rPr>
      <w:sz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6">
    <w:name w:val="Note Heading"/>
    <w:basedOn w:val="1"/>
    <w:next w:val="1"/>
    <w:qFormat/>
    <w:uiPriority w:val="0"/>
    <w:pPr>
      <w:snapToGrid w:val="0"/>
      <w:spacing w:line="320" w:lineRule="exact"/>
      <w:ind w:firstLine="413" w:firstLineChars="200"/>
    </w:pPr>
    <w:rPr>
      <w:rFonts w:ascii="宋体" w:hAnsi="宋体"/>
      <w:b/>
      <w:color w:val="000000"/>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1"/>
    <w:qFormat/>
    <w:uiPriority w:val="0"/>
    <w:pPr>
      <w:ind w:firstLine="570"/>
    </w:pPr>
    <w:rPr>
      <w:rFonts w:ascii="Times New Roman" w:hAnsi="Times New Roman"/>
      <w:sz w:val="28"/>
      <w:szCs w:val="20"/>
      <w:lang w:val="zh-CN"/>
    </w:rPr>
  </w:style>
  <w:style w:type="paragraph" w:styleId="11">
    <w:name w:val="envelope return"/>
    <w:basedOn w:val="1"/>
    <w:qFormat/>
    <w:uiPriority w:val="0"/>
    <w:pPr>
      <w:snapToGrid w:val="0"/>
    </w:pPr>
    <w:rPr>
      <w:rFonts w:ascii="Arial" w:hAnsi="Arial"/>
      <w:szCs w:val="24"/>
    </w:r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420" w:leftChars="200"/>
    </w:pPr>
  </w:style>
  <w:style w:type="paragraph" w:styleId="16">
    <w:name w:val="Normal (Web)"/>
    <w:basedOn w:val="1"/>
    <w:qFormat/>
    <w:uiPriority w:val="0"/>
    <w:pPr>
      <w:jc w:val="left"/>
    </w:pPr>
    <w:rPr>
      <w:rFonts w:ascii="微软雅黑" w:hAnsi="微软雅黑" w:eastAsia="微软雅黑"/>
      <w:kern w:val="0"/>
      <w:sz w:val="20"/>
      <w:szCs w:val="20"/>
    </w:rPr>
  </w:style>
  <w:style w:type="paragraph" w:styleId="17">
    <w:name w:val="Body Text First Indent"/>
    <w:basedOn w:val="9"/>
    <w:qFormat/>
    <w:uiPriority w:val="0"/>
    <w:pPr>
      <w:spacing w:line="312" w:lineRule="auto"/>
      <w:ind w:firstLine="420"/>
    </w:pPr>
    <w:rPr>
      <w:rFonts w:ascii="Times New Roman" w:hAnsi="Times New Roman"/>
      <w:szCs w:val="24"/>
    </w:rPr>
  </w:style>
  <w:style w:type="paragraph" w:styleId="18">
    <w:name w:val="Body Text First Indent 2"/>
    <w:basedOn w:val="10"/>
    <w:unhideWhenUsed/>
    <w:qFormat/>
    <w:uiPriority w:val="0"/>
    <w:pPr>
      <w:spacing w:after="120" w:line="256" w:lineRule="auto"/>
      <w:ind w:left="420" w:leftChars="200" w:firstLine="420" w:firstLineChars="200"/>
    </w:pPr>
    <w:rPr>
      <w:rFonts w:cs="Times New Roman"/>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样式 宋体 行距: 1.5 倍行距"/>
    <w:basedOn w:val="1"/>
    <w:qFormat/>
    <w:uiPriority w:val="0"/>
    <w:pPr>
      <w:jc w:val="center"/>
    </w:pPr>
    <w:rPr>
      <w:b/>
    </w:rPr>
  </w:style>
  <w:style w:type="character" w:customStyle="1" w:styleId="24">
    <w:name w:val="批注框文本 Char"/>
    <w:link w:val="12"/>
    <w:qFormat/>
    <w:uiPriority w:val="0"/>
    <w:rPr>
      <w:kern w:val="2"/>
      <w:sz w:val="18"/>
      <w:szCs w:val="18"/>
    </w:rPr>
  </w:style>
  <w:style w:type="paragraph" w:customStyle="1" w:styleId="2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缩进1"/>
    <w:basedOn w:val="27"/>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27">
    <w:name w:val="正文1"/>
    <w:basedOn w:val="1"/>
    <w:qFormat/>
    <w:uiPriority w:val="0"/>
    <w:pPr>
      <w:adjustRightInd w:val="0"/>
      <w:spacing w:line="240" w:lineRule="atLeast"/>
      <w:jc w:val="center"/>
      <w:textAlignment w:val="baseline"/>
    </w:pPr>
    <w:rPr>
      <w:rFonts w:ascii="Tahoma" w:hAnsi="Tahoma"/>
      <w:sz w:val="24"/>
    </w:rPr>
  </w:style>
  <w:style w:type="character" w:customStyle="1" w:styleId="28">
    <w:name w:val="NormalCharacter"/>
    <w:qFormat/>
    <w:uiPriority w:val="0"/>
    <w:rPr>
      <w:kern w:val="2"/>
      <w:sz w:val="21"/>
      <w:szCs w:val="22"/>
      <w:lang w:val="en-US" w:eastAsia="zh-CN" w:bidi="ar-SA"/>
    </w:rPr>
  </w:style>
  <w:style w:type="paragraph" w:customStyle="1" w:styleId="2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0">
    <w:name w:val="发文落款"/>
    <w:basedOn w:val="29"/>
    <w:qFormat/>
    <w:uiPriority w:val="0"/>
    <w:pPr>
      <w:ind w:left="4094" w:right="607" w:firstLine="0"/>
      <w:jc w:val="center"/>
    </w:p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2">
    <w:name w:val="List Paragraph"/>
    <w:basedOn w:val="1"/>
    <w:qFormat/>
    <w:uiPriority w:val="99"/>
    <w:pPr>
      <w:ind w:firstLine="420" w:firstLineChars="200"/>
    </w:pPr>
  </w:style>
  <w:style w:type="paragraph" w:customStyle="1" w:styleId="33">
    <w:name w:val="_Style 26"/>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eChat%20Files\wxid_narzfgpnigl222\FileStorage\File\2023-06\6.19&#25307;&#26631;&#20844;&#21578;-&#31532;&#19977;&#26041;&#26816;&#27979;&#65288;&#30058;&#31162;&#21306;&#21069;&#38155;&#20013;&#37096;&#27969;&#22495;&#31532;&#20108;&#25209;&#25490;&#27700;&#21333;&#20803;&#37197;&#22871;&#20844;&#20849;&#31649;&#32593;&#23436;&#21892;&#21450;&#25913;&#36896;&#24037;&#31243;&#65289;(2)(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6.19招标公告-第三方检测（番禺区前锋中部流域第二批排水单元配套公共管网完善及改造工程）(2)(1).wpt</Template>
  <Pages>11</Pages>
  <Words>6950</Words>
  <Characters>7657</Characters>
  <Lines>49</Lines>
  <Paragraphs>13</Paragraphs>
  <TotalTime>16</TotalTime>
  <ScaleCrop>false</ScaleCrop>
  <LinksUpToDate>false</LinksUpToDate>
  <CharactersWithSpaces>7960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2023-06-19T07:26:00Z</dcterms:created>
  <dc:creator>.</dc:creator>
  <cp:lastModifiedBy>COCO</cp:lastModifiedBy>
  <cp:lastPrinted>2023-09-21T07:45:00Z</cp:lastPrinted>
  <dcterms:modified xsi:type="dcterms:W3CDTF">2023-11-01T03:40:59Z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71492EFC55D243A6A59EF25C60D02753_13</vt:lpwstr>
  </property>
</Properties>
</file>