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right="10" w:rightChars="5"/>
        <w:jc w:val="center"/>
        <w:rPr>
          <w:rFonts w:ascii="宋体" w:hAnsi="宋体" w:cs="宋体"/>
          <w:color w:val="auto"/>
          <w:sz w:val="48"/>
          <w:szCs w:val="48"/>
          <w:highlight w:val="none"/>
        </w:rPr>
      </w:pPr>
    </w:p>
    <w:p>
      <w:pPr>
        <w:widowControl/>
        <w:snapToGrid w:val="0"/>
        <w:spacing w:line="360" w:lineRule="auto"/>
        <w:ind w:right="10" w:rightChars="5"/>
        <w:jc w:val="center"/>
        <w:rPr>
          <w:rFonts w:ascii="黑体" w:hAnsi="黑体" w:eastAsia="黑体" w:cs="宋体"/>
          <w:b/>
          <w:bCs/>
          <w:color w:val="auto"/>
          <w:sz w:val="44"/>
          <w:szCs w:val="44"/>
          <w:highlight w:val="none"/>
        </w:rPr>
      </w:pPr>
      <w:r>
        <w:rPr>
          <w:rFonts w:hint="eastAsia" w:ascii="黑体" w:hAnsi="黑体" w:eastAsia="黑体" w:cs="宋体"/>
          <w:b/>
          <w:bCs/>
          <w:color w:val="auto"/>
          <w:sz w:val="44"/>
          <w:szCs w:val="44"/>
          <w:highlight w:val="none"/>
        </w:rPr>
        <w:t>番禺电力科技园三期C、D、E、H栋</w:t>
      </w:r>
    </w:p>
    <w:p>
      <w:pPr>
        <w:widowControl/>
        <w:snapToGrid w:val="0"/>
        <w:spacing w:line="360" w:lineRule="auto"/>
        <w:ind w:right="10" w:rightChars="5"/>
        <w:jc w:val="center"/>
        <w:rPr>
          <w:rFonts w:ascii="黑体" w:hAnsi="黑体" w:eastAsia="黑体" w:cs="宋体"/>
          <w:b/>
          <w:bCs/>
          <w:color w:val="auto"/>
          <w:kern w:val="0"/>
          <w:sz w:val="44"/>
          <w:szCs w:val="44"/>
          <w:highlight w:val="none"/>
        </w:rPr>
      </w:pPr>
      <w:r>
        <w:rPr>
          <w:rFonts w:hint="eastAsia" w:ascii="黑体" w:hAnsi="黑体" w:eastAsia="黑体" w:cs="宋体"/>
          <w:b/>
          <w:bCs/>
          <w:color w:val="auto"/>
          <w:sz w:val="44"/>
          <w:szCs w:val="44"/>
          <w:highlight w:val="none"/>
        </w:rPr>
        <w:t>设计施工总承包</w:t>
      </w:r>
    </w:p>
    <w:p>
      <w:pPr>
        <w:widowControl/>
        <w:snapToGrid w:val="0"/>
        <w:spacing w:line="360" w:lineRule="auto"/>
        <w:ind w:right="10" w:rightChars="5"/>
        <w:jc w:val="center"/>
        <w:rPr>
          <w:rFonts w:ascii="黑体" w:hAnsi="黑体" w:eastAsia="黑体" w:cs="宋体"/>
          <w:b/>
          <w:bCs/>
          <w:color w:val="auto"/>
          <w:kern w:val="0"/>
          <w:sz w:val="44"/>
          <w:szCs w:val="44"/>
          <w:highlight w:val="none"/>
        </w:rPr>
      </w:pPr>
    </w:p>
    <w:p>
      <w:pPr>
        <w:spacing w:line="360" w:lineRule="auto"/>
        <w:jc w:val="center"/>
        <w:rPr>
          <w:rFonts w:ascii="黑体" w:hAnsi="黑体" w:eastAsia="黑体" w:cs="宋体"/>
          <w:color w:val="auto"/>
          <w:sz w:val="44"/>
          <w:szCs w:val="44"/>
          <w:highlight w:val="none"/>
        </w:rPr>
      </w:pPr>
    </w:p>
    <w:p>
      <w:pPr>
        <w:pStyle w:val="2"/>
        <w:rPr>
          <w:rFonts w:ascii="黑体" w:hAnsi="黑体" w:eastAsia="黑体" w:cs="宋体"/>
          <w:color w:val="auto"/>
          <w:sz w:val="44"/>
          <w:szCs w:val="44"/>
          <w:highlight w:val="none"/>
        </w:rPr>
      </w:pPr>
    </w:p>
    <w:p>
      <w:pPr>
        <w:pStyle w:val="3"/>
        <w:rPr>
          <w:color w:val="auto"/>
          <w:highlight w:val="none"/>
        </w:rPr>
      </w:pPr>
    </w:p>
    <w:p>
      <w:pPr>
        <w:spacing w:line="360" w:lineRule="auto"/>
        <w:jc w:val="center"/>
        <w:rPr>
          <w:rFonts w:ascii="黑体" w:hAnsi="黑体" w:eastAsia="黑体" w:cs="宋体"/>
          <w:color w:val="auto"/>
          <w:sz w:val="44"/>
          <w:szCs w:val="44"/>
          <w:highlight w:val="none"/>
        </w:rPr>
      </w:pPr>
    </w:p>
    <w:p>
      <w:pPr>
        <w:spacing w:line="360" w:lineRule="auto"/>
        <w:jc w:val="center"/>
        <w:rPr>
          <w:rFonts w:ascii="黑体" w:hAnsi="黑体" w:eastAsia="黑体" w:cs="宋体"/>
          <w:color w:val="auto"/>
          <w:sz w:val="44"/>
          <w:szCs w:val="44"/>
          <w:highlight w:val="none"/>
        </w:rPr>
      </w:pP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 标 公 告</w:t>
      </w:r>
    </w:p>
    <w:p>
      <w:pPr>
        <w:pStyle w:val="2"/>
        <w:rPr>
          <w:rFonts w:ascii="宋体" w:hAnsi="宋体" w:cs="宋体"/>
          <w:color w:val="auto"/>
          <w:highlight w:val="none"/>
        </w:rPr>
      </w:pPr>
    </w:p>
    <w:p>
      <w:pPr>
        <w:pStyle w:val="3"/>
        <w:rPr>
          <w:color w:val="auto"/>
          <w:highlight w:val="none"/>
        </w:rPr>
      </w:pPr>
    </w:p>
    <w:p>
      <w:pPr>
        <w:spacing w:line="360" w:lineRule="auto"/>
        <w:jc w:val="center"/>
        <w:rPr>
          <w:rFonts w:ascii="宋体" w:hAnsi="宋体" w:cs="宋体"/>
          <w:color w:val="auto"/>
          <w:highlight w:val="none"/>
        </w:rPr>
      </w:pPr>
    </w:p>
    <w:p>
      <w:pPr>
        <w:spacing w:line="360" w:lineRule="auto"/>
        <w:jc w:val="center"/>
        <w:rPr>
          <w:rFonts w:ascii="黑体" w:hAnsi="黑体" w:eastAsia="黑体" w:cs="宋体"/>
          <w:b/>
          <w:bCs/>
          <w:color w:val="auto"/>
          <w:sz w:val="28"/>
          <w:szCs w:val="28"/>
          <w:highlight w:val="none"/>
        </w:rPr>
      </w:pPr>
    </w:p>
    <w:p>
      <w:pPr>
        <w:spacing w:line="360" w:lineRule="auto"/>
        <w:jc w:val="center"/>
        <w:rPr>
          <w:rFonts w:eastAsia="黑体"/>
          <w:color w:val="auto"/>
          <w:highlight w:val="none"/>
        </w:rPr>
      </w:pPr>
      <w:r>
        <w:rPr>
          <w:rFonts w:hint="eastAsia" w:ascii="黑体" w:hAnsi="黑体" w:eastAsia="黑体" w:cs="宋体"/>
          <w:b/>
          <w:bCs/>
          <w:color w:val="auto"/>
          <w:sz w:val="28"/>
          <w:szCs w:val="28"/>
          <w:highlight w:val="none"/>
        </w:rPr>
        <w:t>招标人：</w:t>
      </w:r>
      <w:bookmarkStart w:id="0" w:name="_Hlk129942386"/>
      <w:bookmarkStart w:id="1" w:name="_Hlk129942672"/>
      <w:r>
        <w:rPr>
          <w:rFonts w:hint="eastAsia" w:ascii="黑体" w:hAnsi="黑体" w:eastAsia="黑体" w:cs="宋体"/>
          <w:b/>
          <w:bCs/>
          <w:color w:val="auto"/>
          <w:sz w:val="28"/>
          <w:szCs w:val="28"/>
          <w:highlight w:val="none"/>
        </w:rPr>
        <w:t>南方鼎元资产运营有限责任公司</w:t>
      </w:r>
      <w:bookmarkEnd w:id="0"/>
    </w:p>
    <w:p>
      <w:pPr>
        <w:spacing w:line="360" w:lineRule="auto"/>
        <w:jc w:val="center"/>
        <w:rPr>
          <w:rFonts w:ascii="黑体" w:hAnsi="黑体" w:eastAsia="黑体" w:cs="宋体"/>
          <w:b/>
          <w:color w:val="auto"/>
          <w:kern w:val="0"/>
          <w:sz w:val="28"/>
          <w:szCs w:val="28"/>
          <w:highlight w:val="none"/>
        </w:rPr>
      </w:pPr>
      <w:r>
        <w:rPr>
          <w:rFonts w:hint="eastAsia" w:ascii="黑体" w:hAnsi="黑体" w:eastAsia="黑体" w:cs="宋体"/>
          <w:b/>
          <w:bCs/>
          <w:color w:val="auto"/>
          <w:sz w:val="28"/>
          <w:szCs w:val="28"/>
          <w:highlight w:val="none"/>
        </w:rPr>
        <w:t>招标代理机构：</w:t>
      </w:r>
      <w:bookmarkStart w:id="2" w:name="_Hlk129942519"/>
      <w:r>
        <w:rPr>
          <w:rFonts w:hint="eastAsia" w:ascii="黑体" w:hAnsi="黑体" w:eastAsia="黑体" w:cs="宋体"/>
          <w:b/>
          <w:bCs/>
          <w:color w:val="auto"/>
          <w:sz w:val="28"/>
          <w:szCs w:val="28"/>
          <w:highlight w:val="none"/>
        </w:rPr>
        <w:t>南方电网供应链集团有限公司</w:t>
      </w:r>
      <w:bookmarkEnd w:id="1"/>
      <w:bookmarkEnd w:id="2"/>
    </w:p>
    <w:p>
      <w:pPr>
        <w:spacing w:line="360" w:lineRule="auto"/>
        <w:jc w:val="center"/>
        <w:rPr>
          <w:rFonts w:ascii="黑体" w:hAnsi="黑体" w:eastAsia="黑体" w:cs="宋体"/>
          <w:b/>
          <w:bCs/>
          <w:color w:val="auto"/>
          <w:sz w:val="28"/>
          <w:szCs w:val="28"/>
          <w:highlight w:val="none"/>
        </w:rPr>
      </w:pPr>
      <w:r>
        <w:rPr>
          <w:rFonts w:hint="eastAsia" w:ascii="黑体" w:hAnsi="黑体" w:eastAsia="黑体" w:cs="宋体"/>
          <w:b/>
          <w:bCs/>
          <w:color w:val="auto"/>
          <w:sz w:val="28"/>
          <w:szCs w:val="28"/>
          <w:highlight w:val="none"/>
        </w:rPr>
        <w:t>日期：2023年</w:t>
      </w:r>
      <w:r>
        <w:rPr>
          <w:rFonts w:hint="eastAsia" w:ascii="黑体" w:hAnsi="黑体" w:eastAsia="黑体" w:cs="宋体"/>
          <w:b/>
          <w:bCs/>
          <w:color w:val="auto"/>
          <w:sz w:val="28"/>
          <w:szCs w:val="28"/>
          <w:highlight w:val="none"/>
          <w:lang w:val="en-US" w:eastAsia="zh-CN"/>
        </w:rPr>
        <w:t>11</w:t>
      </w:r>
      <w:r>
        <w:rPr>
          <w:rFonts w:hint="eastAsia" w:ascii="黑体" w:hAnsi="黑体" w:eastAsia="黑体" w:cs="宋体"/>
          <w:b/>
          <w:bCs/>
          <w:color w:val="auto"/>
          <w:sz w:val="28"/>
          <w:szCs w:val="28"/>
          <w:highlight w:val="none"/>
        </w:rPr>
        <w:t>月</w:t>
      </w:r>
    </w:p>
    <w:p>
      <w:pPr>
        <w:pStyle w:val="12"/>
        <w:adjustRightInd w:val="0"/>
        <w:snapToGrid w:val="0"/>
        <w:spacing w:after="0" w:line="360" w:lineRule="auto"/>
        <w:jc w:val="center"/>
        <w:rPr>
          <w:rFonts w:ascii="宋体" w:hAnsi="宋体" w:cs="宋体"/>
          <w:b/>
          <w:bCs/>
          <w:color w:val="auto"/>
          <w:sz w:val="32"/>
          <w:szCs w:val="32"/>
          <w:highlight w:val="none"/>
        </w:rPr>
        <w:sectPr>
          <w:footerReference r:id="rId4" w:type="first"/>
          <w:footerReference r:id="rId3" w:type="even"/>
          <w:pgSz w:w="11906" w:h="16838"/>
          <w:pgMar w:top="1440" w:right="1274" w:bottom="1440" w:left="1800" w:header="851" w:footer="992" w:gutter="0"/>
          <w:pgNumType w:start="0"/>
          <w:cols w:space="720" w:num="1"/>
          <w:titlePg/>
          <w:docGrid w:type="lines" w:linePitch="312" w:charSpace="0"/>
        </w:sectPr>
      </w:pPr>
    </w:p>
    <w:p>
      <w:pPr>
        <w:pStyle w:val="12"/>
        <w:adjustRightInd w:val="0"/>
        <w:snapToGrid w:val="0"/>
        <w:spacing w:after="0" w:line="360" w:lineRule="auto"/>
        <w:jc w:val="center"/>
        <w:rPr>
          <w:rFonts w:ascii="宋体" w:hAnsi="宋体" w:cs="宋体"/>
          <w:b/>
          <w:color w:val="auto"/>
          <w:sz w:val="32"/>
          <w:szCs w:val="32"/>
          <w:highlight w:val="none"/>
        </w:rPr>
      </w:pPr>
      <w:r>
        <w:rPr>
          <w:rFonts w:hint="eastAsia" w:ascii="宋体" w:hAnsi="宋体" w:cs="宋体"/>
          <w:b/>
          <w:bCs/>
          <w:color w:val="auto"/>
          <w:sz w:val="32"/>
          <w:szCs w:val="32"/>
          <w:highlight w:val="none"/>
        </w:rPr>
        <w:t>番禺电力科技园三期C、D、E、H栋</w:t>
      </w:r>
      <w:r>
        <w:rPr>
          <w:rFonts w:hint="eastAsia" w:ascii="宋体" w:hAnsi="宋体" w:cs="宋体"/>
          <w:b/>
          <w:color w:val="auto"/>
          <w:sz w:val="32"/>
          <w:szCs w:val="32"/>
          <w:highlight w:val="none"/>
        </w:rPr>
        <w:t>设计施工总承包</w:t>
      </w:r>
    </w:p>
    <w:p>
      <w:pPr>
        <w:pStyle w:val="12"/>
        <w:adjustRightInd w:val="0"/>
        <w:snapToGrid w:val="0"/>
        <w:spacing w:after="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招标公告</w:t>
      </w:r>
    </w:p>
    <w:p>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根据广州市番禺区发展和改革局</w:t>
      </w:r>
      <w:r>
        <w:rPr>
          <w:rFonts w:hint="eastAsia" w:ascii="宋体" w:hAnsi="宋体" w:cs="宋体"/>
          <w:color w:val="auto"/>
          <w:kern w:val="0"/>
          <w:sz w:val="24"/>
          <w:szCs w:val="24"/>
          <w:highlight w:val="none"/>
          <w:u w:val="single"/>
        </w:rPr>
        <w:t>广东省企业投资项目备案证（项目代码：</w:t>
      </w:r>
      <w:r>
        <w:rPr>
          <w:rFonts w:ascii="宋体" w:hAnsi="宋体" w:cs="宋体"/>
          <w:color w:val="auto"/>
          <w:kern w:val="0"/>
          <w:sz w:val="26"/>
          <w:szCs w:val="26"/>
          <w:highlight w:val="none"/>
          <w:u w:val="single"/>
          <w:lang w:bidi="ar"/>
        </w:rPr>
        <w:t>2303-440113-04-01-771946</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rPr>
        <w:t>批准，</w:t>
      </w:r>
      <w:r>
        <w:rPr>
          <w:rFonts w:hint="eastAsia" w:ascii="宋体" w:hAnsi="宋体" w:cs="宋体"/>
          <w:color w:val="auto"/>
          <w:kern w:val="0"/>
          <w:sz w:val="24"/>
          <w:szCs w:val="24"/>
          <w:highlight w:val="none"/>
          <w:u w:val="single"/>
        </w:rPr>
        <w:t>南方鼎元资产运营有限责任公司</w:t>
      </w:r>
      <w:r>
        <w:rPr>
          <w:rFonts w:hint="eastAsia" w:ascii="宋体" w:hAnsi="宋体" w:cs="宋体"/>
          <w:color w:val="auto"/>
          <w:kern w:val="0"/>
          <w:sz w:val="24"/>
          <w:szCs w:val="24"/>
          <w:highlight w:val="none"/>
        </w:rPr>
        <w:t>现决定对</w:t>
      </w:r>
      <w:r>
        <w:rPr>
          <w:rFonts w:hint="eastAsia" w:ascii="宋体" w:hAnsi="宋体" w:cs="宋体"/>
          <w:color w:val="auto"/>
          <w:kern w:val="0"/>
          <w:sz w:val="24"/>
          <w:szCs w:val="24"/>
          <w:highlight w:val="none"/>
          <w:u w:val="single"/>
        </w:rPr>
        <w:t>番禺电力科技园三期C、D、E、H栋</w:t>
      </w:r>
      <w:r>
        <w:rPr>
          <w:rFonts w:hint="eastAsia" w:ascii="宋体" w:hAnsi="宋体" w:cs="宋体"/>
          <w:color w:val="auto"/>
          <w:sz w:val="24"/>
          <w:szCs w:val="24"/>
          <w:highlight w:val="none"/>
          <w:u w:val="single"/>
        </w:rPr>
        <w:t>设计施工总承包</w:t>
      </w:r>
      <w:r>
        <w:rPr>
          <w:rFonts w:hint="eastAsia" w:ascii="宋体" w:hAnsi="宋体" w:cs="宋体"/>
          <w:color w:val="auto"/>
          <w:kern w:val="0"/>
          <w:sz w:val="24"/>
          <w:szCs w:val="24"/>
          <w:highlight w:val="none"/>
        </w:rPr>
        <w:t>进行公开招标，选定承包人。</w:t>
      </w:r>
    </w:p>
    <w:p>
      <w:pPr>
        <w:spacing w:line="360" w:lineRule="auto"/>
        <w:ind w:firstLine="482" w:firstLineChars="200"/>
        <w:rPr>
          <w:color w:val="auto"/>
          <w:highlight w:val="none"/>
        </w:rPr>
      </w:pPr>
      <w:r>
        <w:rPr>
          <w:rFonts w:hint="eastAsia" w:ascii="宋体" w:hAnsi="宋体" w:cs="宋体"/>
          <w:b/>
          <w:color w:val="auto"/>
          <w:sz w:val="24"/>
          <w:highlight w:val="none"/>
        </w:rPr>
        <w:t>一、项目名称：</w:t>
      </w:r>
      <w:r>
        <w:rPr>
          <w:rFonts w:hint="eastAsia" w:ascii="宋体" w:hAnsi="宋体" w:cs="宋体"/>
          <w:color w:val="auto"/>
          <w:kern w:val="0"/>
          <w:sz w:val="24"/>
          <w:szCs w:val="24"/>
          <w:highlight w:val="none"/>
          <w:u w:val="single"/>
        </w:rPr>
        <w:t>番禺电力科技园三期C、D、E、H栋设计施工总承包</w:t>
      </w:r>
    </w:p>
    <w:p>
      <w:pPr>
        <w:pStyle w:val="2"/>
        <w:spacing w:before="0" w:after="0"/>
        <w:ind w:firstLine="482" w:firstLineChars="200"/>
        <w:rPr>
          <w:rFonts w:ascii="宋体" w:hAnsi="宋体" w:cs="宋体"/>
          <w:b w:val="0"/>
          <w:bCs/>
          <w:color w:val="auto"/>
          <w:kern w:val="2"/>
          <w:sz w:val="24"/>
          <w:szCs w:val="24"/>
          <w:highlight w:val="none"/>
          <w:u w:val="single"/>
        </w:rPr>
      </w:pPr>
      <w:r>
        <w:rPr>
          <w:rFonts w:hint="eastAsia" w:ascii="宋体" w:hAnsi="宋体" w:cs="宋体"/>
          <w:color w:val="auto"/>
          <w:kern w:val="2"/>
          <w:sz w:val="24"/>
          <w:szCs w:val="24"/>
          <w:highlight w:val="none"/>
        </w:rPr>
        <w:t>二、招标单位：</w:t>
      </w:r>
      <w:r>
        <w:rPr>
          <w:rFonts w:hint="eastAsia" w:ascii="宋体" w:hAnsi="宋体" w:cs="宋体"/>
          <w:b w:val="0"/>
          <w:bCs/>
          <w:color w:val="auto"/>
          <w:kern w:val="2"/>
          <w:sz w:val="24"/>
          <w:szCs w:val="24"/>
          <w:highlight w:val="none"/>
          <w:u w:val="single"/>
        </w:rPr>
        <w:t>南方鼎元资产运营有限责任公司</w:t>
      </w:r>
    </w:p>
    <w:p>
      <w:pPr>
        <w:widowControl/>
        <w:spacing w:line="360" w:lineRule="auto"/>
        <w:ind w:firstLine="960" w:firstLineChars="4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周工</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 xml:space="preserve">  联系电话：</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020-381219</w:t>
      </w:r>
      <w:r>
        <w:rPr>
          <w:rFonts w:hint="eastAsia" w:ascii="宋体" w:hAnsi="宋体" w:cs="宋体"/>
          <w:color w:val="auto"/>
          <w:kern w:val="0"/>
          <w:sz w:val="24"/>
          <w:szCs w:val="24"/>
          <w:highlight w:val="none"/>
          <w:u w:val="single"/>
          <w:lang w:val="en-US" w:eastAsia="zh-CN"/>
        </w:rPr>
        <w:t>34</w:t>
      </w:r>
      <w:r>
        <w:rPr>
          <w:rFonts w:hint="eastAsia" w:ascii="宋体" w:hAnsi="宋体" w:cs="宋体"/>
          <w:color w:val="auto"/>
          <w:kern w:val="0"/>
          <w:sz w:val="24"/>
          <w:szCs w:val="24"/>
          <w:highlight w:val="none"/>
          <w:u w:val="single"/>
        </w:rPr>
        <w:t xml:space="preserve"> </w:t>
      </w:r>
    </w:p>
    <w:p>
      <w:pPr>
        <w:spacing w:line="360" w:lineRule="auto"/>
        <w:ind w:firstLine="960" w:firstLineChars="4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联系地址：</w:t>
      </w:r>
      <w:r>
        <w:rPr>
          <w:rFonts w:hint="eastAsia" w:ascii="宋体" w:hAnsi="宋体" w:cs="宋体"/>
          <w:color w:val="auto"/>
          <w:kern w:val="0"/>
          <w:sz w:val="24"/>
          <w:szCs w:val="24"/>
          <w:highlight w:val="none"/>
          <w:u w:val="single"/>
        </w:rPr>
        <w:t>广州市天河区华穗路6号</w:t>
      </w:r>
    </w:p>
    <w:p>
      <w:pPr>
        <w:spacing w:line="360" w:lineRule="auto"/>
        <w:ind w:firstLine="960" w:firstLineChars="400"/>
        <w:jc w:val="left"/>
        <w:rPr>
          <w:color w:val="auto"/>
          <w:highlight w:val="non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南方电网供应链集团有限公司</w:t>
      </w:r>
    </w:p>
    <w:p>
      <w:pPr>
        <w:widowControl/>
        <w:spacing w:line="360" w:lineRule="auto"/>
        <w:ind w:firstLine="960" w:firstLineChars="400"/>
        <w:jc w:val="left"/>
        <w:rPr>
          <w:rFonts w:ascii="宋体" w:hAnsi="宋体"/>
          <w:color w:val="auto"/>
          <w:sz w:val="24"/>
          <w:highlight w:val="none"/>
          <w:u w:val="single"/>
        </w:rPr>
      </w:pPr>
      <w:r>
        <w:rPr>
          <w:rFonts w:hint="eastAsia" w:ascii="宋体" w:hAnsi="宋体" w:cs="宋体"/>
          <w:color w:val="auto"/>
          <w:kern w:val="0"/>
          <w:sz w:val="24"/>
          <w:szCs w:val="24"/>
          <w:highlight w:val="none"/>
        </w:rPr>
        <w:t>联系人：</w:t>
      </w:r>
      <w:r>
        <w:rPr>
          <w:rFonts w:hint="eastAsia" w:ascii="宋体" w:hAnsi="宋体"/>
          <w:color w:val="auto"/>
          <w:sz w:val="24"/>
          <w:highlight w:val="none"/>
          <w:u w:val="single"/>
        </w:rPr>
        <w:t xml:space="preserve">  张工   </w:t>
      </w:r>
      <w:r>
        <w:rPr>
          <w:rFonts w:ascii="宋体" w:hAnsi="宋体" w:cs="宋体"/>
          <w:color w:val="auto"/>
          <w:kern w:val="0"/>
          <w:sz w:val="24"/>
          <w:szCs w:val="24"/>
          <w:highlight w:val="none"/>
        </w:rPr>
        <w:t xml:space="preserve">    联系电话：</w:t>
      </w:r>
      <w:r>
        <w:rPr>
          <w:rFonts w:hint="eastAsia" w:ascii="宋体" w:hAnsi="宋体"/>
          <w:color w:val="auto"/>
          <w:sz w:val="24"/>
          <w:highlight w:val="none"/>
          <w:u w:val="single"/>
        </w:rPr>
        <w:t xml:space="preserve"> </w:t>
      </w:r>
      <w:r>
        <w:rPr>
          <w:rFonts w:ascii="宋体" w:hAnsi="宋体"/>
          <w:color w:val="auto"/>
          <w:sz w:val="24"/>
          <w:highlight w:val="none"/>
          <w:u w:val="single"/>
        </w:rPr>
        <w:t>020-38122371</w:t>
      </w:r>
      <w:r>
        <w:rPr>
          <w:rFonts w:hint="eastAsia" w:ascii="宋体" w:hAnsi="宋体"/>
          <w:color w:val="auto"/>
          <w:sz w:val="24"/>
          <w:highlight w:val="none"/>
          <w:u w:val="single"/>
        </w:rPr>
        <w:t xml:space="preserve"> </w:t>
      </w:r>
    </w:p>
    <w:p>
      <w:pPr>
        <w:pStyle w:val="21"/>
        <w:spacing w:line="360" w:lineRule="auto"/>
        <w:ind w:firstLine="960" w:firstLineChars="400"/>
        <w:jc w:val="both"/>
        <w:rPr>
          <w:rFonts w:ascii="宋体" w:hAnsi="宋体" w:cs="宋体"/>
          <w:b w:val="0"/>
          <w:color w:val="auto"/>
          <w:sz w:val="24"/>
          <w:szCs w:val="24"/>
          <w:highlight w:val="none"/>
          <w:u w:val="single"/>
        </w:rPr>
      </w:pPr>
      <w:r>
        <w:rPr>
          <w:rFonts w:hint="eastAsia" w:ascii="宋体" w:hAnsi="宋体" w:cs="宋体"/>
          <w:b w:val="0"/>
          <w:color w:val="auto"/>
          <w:sz w:val="24"/>
          <w:szCs w:val="24"/>
          <w:highlight w:val="none"/>
        </w:rPr>
        <w:t>联系地址：</w:t>
      </w:r>
      <w:r>
        <w:rPr>
          <w:rFonts w:hint="eastAsia" w:ascii="宋体" w:hAnsi="宋体" w:cs="宋体"/>
          <w:b w:val="0"/>
          <w:color w:val="auto"/>
          <w:sz w:val="24"/>
          <w:szCs w:val="24"/>
          <w:highlight w:val="none"/>
          <w:u w:val="single"/>
        </w:rPr>
        <w:t>广州市天河区天河路</w:t>
      </w:r>
      <w:r>
        <w:rPr>
          <w:rFonts w:ascii="宋体" w:hAnsi="宋体" w:cs="宋体"/>
          <w:b w:val="0"/>
          <w:color w:val="auto"/>
          <w:sz w:val="24"/>
          <w:szCs w:val="24"/>
          <w:highlight w:val="none"/>
          <w:u w:val="single"/>
        </w:rPr>
        <w:t>178号</w:t>
      </w:r>
    </w:p>
    <w:p>
      <w:pPr>
        <w:spacing w:line="360" w:lineRule="auto"/>
        <w:ind w:left="2638" w:leftChars="456" w:hanging="1680" w:hangingChars="700"/>
        <w:rPr>
          <w:rFonts w:ascii="宋体" w:hAnsi="宋体" w:cs="宋体"/>
          <w:color w:val="auto"/>
          <w:sz w:val="24"/>
          <w:szCs w:val="24"/>
          <w:highlight w:val="none"/>
          <w:u w:val="single"/>
        </w:rPr>
      </w:pPr>
      <w:r>
        <w:rPr>
          <w:rFonts w:hint="eastAsia" w:ascii="宋体" w:hAnsi="宋体" w:cs="宋体"/>
          <w:color w:val="auto"/>
          <w:sz w:val="24"/>
          <w:szCs w:val="24"/>
          <w:highlight w:val="none"/>
        </w:rPr>
        <w:t>招标监督机构：</w:t>
      </w:r>
      <w:r>
        <w:rPr>
          <w:rFonts w:hint="eastAsia" w:ascii="宋体" w:hAnsi="宋体" w:cs="宋体"/>
          <w:color w:val="auto"/>
          <w:sz w:val="24"/>
          <w:highlight w:val="none"/>
          <w:u w:val="single"/>
        </w:rPr>
        <w:t>广州市番禺区建设工程招标</w:t>
      </w:r>
      <w:r>
        <w:rPr>
          <w:rFonts w:hint="eastAsia" w:ascii="宋体" w:hAnsi="宋体" w:cs="宋体"/>
          <w:color w:val="auto"/>
          <w:sz w:val="24"/>
          <w:highlight w:val="none"/>
          <w:u w:val="single"/>
          <w:lang w:eastAsia="zh-CN"/>
        </w:rPr>
        <w:t>投标</w:t>
      </w:r>
      <w:r>
        <w:rPr>
          <w:rFonts w:hint="eastAsia" w:ascii="宋体" w:hAnsi="宋体" w:cs="宋体"/>
          <w:color w:val="auto"/>
          <w:sz w:val="24"/>
          <w:highlight w:val="none"/>
          <w:u w:val="single"/>
        </w:rPr>
        <w:t>管理办公室</w:t>
      </w:r>
    </w:p>
    <w:p>
      <w:pPr>
        <w:spacing w:line="360" w:lineRule="auto"/>
        <w:ind w:firstLine="960" w:firstLineChars="4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监督电话：</w:t>
      </w:r>
      <w:r>
        <w:rPr>
          <w:rFonts w:hint="eastAsia" w:ascii="宋体" w:hAnsi="宋体" w:cs="宋体"/>
          <w:color w:val="auto"/>
          <w:sz w:val="24"/>
          <w:highlight w:val="none"/>
          <w:u w:val="single"/>
        </w:rPr>
        <w:t>020-84892221</w:t>
      </w:r>
    </w:p>
    <w:p>
      <w:pPr>
        <w:pStyle w:val="21"/>
        <w:spacing w:line="360" w:lineRule="auto"/>
        <w:ind w:firstLine="960" w:firstLineChars="400"/>
        <w:jc w:val="both"/>
        <w:rPr>
          <w:rFonts w:ascii="宋体" w:hAnsi="宋体" w:cs="宋体"/>
          <w:b w:val="0"/>
          <w:color w:val="auto"/>
          <w:sz w:val="24"/>
          <w:szCs w:val="24"/>
          <w:highlight w:val="none"/>
          <w:u w:val="single"/>
        </w:rPr>
      </w:pPr>
      <w:r>
        <w:rPr>
          <w:rFonts w:hint="eastAsia" w:ascii="宋体" w:hAnsi="宋体" w:cs="宋体"/>
          <w:b w:val="0"/>
          <w:color w:val="auto"/>
          <w:sz w:val="24"/>
          <w:szCs w:val="24"/>
          <w:highlight w:val="none"/>
        </w:rPr>
        <w:t>联系地址：</w:t>
      </w:r>
      <w:r>
        <w:rPr>
          <w:rFonts w:hint="eastAsia" w:ascii="宋体" w:hAnsi="宋体" w:cs="宋体"/>
          <w:b w:val="0"/>
          <w:bCs/>
          <w:color w:val="auto"/>
          <w:sz w:val="24"/>
          <w:highlight w:val="none"/>
          <w:u w:val="single"/>
        </w:rPr>
        <w:t>番禺区沙头街景观大道南7号</w:t>
      </w:r>
    </w:p>
    <w:p>
      <w:pPr>
        <w:spacing w:line="360" w:lineRule="auto"/>
        <w:ind w:firstLine="482" w:firstLineChars="200"/>
        <w:rPr>
          <w:rFonts w:ascii="宋体" w:hAnsi="宋体" w:cs="宋体"/>
          <w:color w:val="auto"/>
          <w:sz w:val="24"/>
          <w:highlight w:val="none"/>
          <w:u w:val="single"/>
        </w:rPr>
      </w:pPr>
      <w:r>
        <w:rPr>
          <w:rFonts w:hint="eastAsia" w:ascii="宋体" w:hAnsi="宋体" w:cs="宋体"/>
          <w:b/>
          <w:color w:val="auto"/>
          <w:sz w:val="24"/>
          <w:szCs w:val="24"/>
          <w:highlight w:val="none"/>
        </w:rPr>
        <w:t>三、建设地点：</w:t>
      </w:r>
      <w:r>
        <w:rPr>
          <w:rFonts w:hint="eastAsia" w:ascii="宋体" w:hAnsi="宋体" w:cs="宋体"/>
          <w:color w:val="auto"/>
          <w:sz w:val="24"/>
          <w:szCs w:val="24"/>
          <w:highlight w:val="none"/>
          <w:u w:val="single"/>
        </w:rPr>
        <w:t>广州市番禺区中部东环街，东侧为信业悦都荟，南侧为东沙工业区，西侧为东星路，北侧为莲花大道</w:t>
      </w:r>
      <w:r>
        <w:rPr>
          <w:rFonts w:hint="eastAsia" w:ascii="宋体" w:hAnsi="宋体" w:eastAsia="宋体" w:cs="宋体"/>
          <w:color w:val="auto"/>
          <w:sz w:val="24"/>
          <w:szCs w:val="24"/>
          <w:highlight w:val="none"/>
          <w:u w:val="single"/>
          <w:lang w:val="en-US" w:eastAsia="zh-CN"/>
        </w:rPr>
        <w:t>，东北角紧邻佛莞</w:t>
      </w:r>
      <w:r>
        <w:rPr>
          <w:rFonts w:hint="eastAsia" w:ascii="宋体" w:hAnsi="宋体" w:cs="宋体"/>
          <w:color w:val="auto"/>
          <w:sz w:val="24"/>
          <w:szCs w:val="24"/>
          <w:highlight w:val="none"/>
          <w:u w:val="single"/>
        </w:rPr>
        <w:t>城际轨道隧道</w:t>
      </w:r>
      <w:r>
        <w:rPr>
          <w:rFonts w:hint="eastAsia" w:ascii="宋体" w:hAnsi="宋体" w:cs="宋体"/>
          <w:color w:val="auto"/>
          <w:sz w:val="24"/>
          <w:szCs w:val="24"/>
          <w:highlight w:val="none"/>
        </w:rPr>
        <w:t>。</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四、项目概况：</w:t>
      </w:r>
    </w:p>
    <w:p>
      <w:pPr>
        <w:adjustRightInd w:val="0"/>
        <w:snapToGrid w:val="0"/>
        <w:spacing w:line="360" w:lineRule="auto"/>
        <w:ind w:firstLine="480" w:firstLineChars="200"/>
        <w:outlineLvl w:val="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1、建设规模及内容：</w:t>
      </w:r>
      <w:r>
        <w:rPr>
          <w:rFonts w:hint="eastAsia" w:ascii="宋体" w:hAnsi="宋体" w:cs="宋体"/>
          <w:color w:val="auto"/>
          <w:sz w:val="24"/>
          <w:szCs w:val="24"/>
          <w:highlight w:val="none"/>
          <w:u w:val="single"/>
          <w:lang w:val="en-US" w:eastAsia="zh-CN"/>
        </w:rPr>
        <w:t>番禺电力科技园三期项目位于广州市番禺区，总用地面积约54233平方米。本期建设C、D、E、H栋，位于项目用地北侧场地，拟规划建设总建筑面积140396㎡，其中地上建筑面积112036㎡，主要建设4栋建筑，其中H栋为宿舍。其中，C栋建筑面积46982㎡，建筑高度80m，地上18层；D栋建筑面积22059㎡，建筑高度80m，地上18层；E栋建筑面积16184㎡，建筑高度19.9m，地上4层；H栋建筑面积26811㎡，建筑高度80m，地上23层。地下建筑面积28360平方米，为二层地下室。单体最大跨度15米，具体以规划批复为准</w:t>
      </w:r>
      <w:r>
        <w:rPr>
          <w:rFonts w:hint="eastAsia" w:ascii="宋体" w:hAnsi="宋体" w:cs="宋体"/>
          <w:color w:val="auto"/>
          <w:sz w:val="24"/>
          <w:szCs w:val="24"/>
          <w:highlight w:val="none"/>
          <w:u w:val="single"/>
          <w:lang w:eastAsia="zh-CN"/>
        </w:rPr>
        <w:t>。</w:t>
      </w:r>
    </w:p>
    <w:p>
      <w:pPr>
        <w:numPr>
          <w:ilvl w:val="-1"/>
          <w:numId w:val="0"/>
        </w:numPr>
        <w:spacing w:line="360" w:lineRule="auto"/>
        <w:ind w:firstLine="480" w:firstLineChars="200"/>
        <w:jc w:val="both"/>
        <w:outlineLvl w:val="9"/>
        <w:rPr>
          <w:rFonts w:ascii="Times New Roman" w:hAnsi="Times New Roman"/>
          <w:color w:val="auto"/>
          <w:sz w:val="24"/>
          <w:szCs w:val="24"/>
          <w:highlight w:val="none"/>
          <w:u w:val="single"/>
          <w:lang w:val="en-US" w:eastAsia="zh-CN"/>
        </w:rPr>
      </w:pPr>
      <w:r>
        <w:rPr>
          <w:rFonts w:ascii="宋体" w:hAnsi="宋体" w:cs="宋体"/>
          <w:color w:val="auto"/>
          <w:sz w:val="24"/>
          <w:highlight w:val="none"/>
        </w:rPr>
        <w:t>2</w:t>
      </w:r>
      <w:r>
        <w:rPr>
          <w:rFonts w:hint="eastAsia" w:ascii="宋体" w:hAnsi="宋体" w:cs="宋体"/>
          <w:color w:val="auto"/>
          <w:sz w:val="24"/>
          <w:highlight w:val="none"/>
        </w:rPr>
        <w:t>、</w:t>
      </w:r>
      <w:r>
        <w:rPr>
          <w:rFonts w:hint="eastAsia" w:ascii="宋体" w:hAnsi="宋体"/>
          <w:color w:val="auto"/>
          <w:sz w:val="24"/>
          <w:szCs w:val="24"/>
          <w:highlight w:val="none"/>
          <w:u w:val="single"/>
        </w:rPr>
        <w:t>计划工期</w:t>
      </w:r>
      <w:r>
        <w:rPr>
          <w:rFonts w:hint="eastAsia" w:ascii="宋体" w:hAnsi="宋体"/>
          <w:color w:val="auto"/>
          <w:sz w:val="24"/>
          <w:szCs w:val="24"/>
          <w:highlight w:val="none"/>
          <w:u w:val="single"/>
          <w:lang w:val="en-US" w:eastAsia="zh-CN"/>
        </w:rPr>
        <w:t>总日历天</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915</w:t>
      </w:r>
      <w:r>
        <w:rPr>
          <w:rFonts w:hint="eastAsia" w:ascii="宋体" w:hAnsi="宋体"/>
          <w:color w:val="auto"/>
          <w:sz w:val="24"/>
          <w:szCs w:val="24"/>
          <w:highlight w:val="none"/>
          <w:u w:val="single"/>
        </w:rPr>
        <w:t>日历天</w:t>
      </w:r>
      <w:r>
        <w:rPr>
          <w:rFonts w:hint="eastAsia" w:ascii="宋体" w:hAnsi="宋体"/>
          <w:color w:val="auto"/>
          <w:sz w:val="24"/>
          <w:szCs w:val="24"/>
          <w:highlight w:val="none"/>
          <w:u w:val="single"/>
          <w:lang w:eastAsia="zh-CN"/>
        </w:rPr>
        <w:t>。</w:t>
      </w:r>
      <w:r>
        <w:rPr>
          <w:rFonts w:ascii="宋体" w:hAnsi="宋体" w:eastAsia="宋体" w:cs="宋体"/>
          <w:sz w:val="24"/>
          <w:szCs w:val="24"/>
          <w:u w:val="single"/>
        </w:rPr>
        <w:t>开工时间以取得施工许可证后的开工令签发时间为准，以工期总日历天数为基准进行工期考核</w:t>
      </w:r>
      <w:r>
        <w:rPr>
          <w:rFonts w:ascii="宋体" w:hAnsi="宋体" w:eastAsia="宋体" w:cs="宋体"/>
          <w:sz w:val="24"/>
          <w:szCs w:val="24"/>
        </w:rPr>
        <w:t>。</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五、标段划分及各标段招标内容、规模：</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u w:val="single"/>
        </w:rPr>
        <w:t>本工程设一个标段</w:t>
      </w:r>
      <w:r>
        <w:rPr>
          <w:rFonts w:hint="eastAsia" w:ascii="宋体" w:hAnsi="宋体" w:cs="宋体"/>
          <w:color w:val="auto"/>
          <w:kern w:val="0"/>
          <w:sz w:val="24"/>
          <w:szCs w:val="24"/>
          <w:highlight w:val="none"/>
          <w:u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2、</w:t>
      </w:r>
      <w:bookmarkStart w:id="3" w:name="OLE_LINK1"/>
      <w:r>
        <w:rPr>
          <w:rFonts w:hint="eastAsia" w:ascii="宋体" w:hAnsi="宋体" w:cs="宋体"/>
          <w:color w:val="auto"/>
          <w:sz w:val="24"/>
          <w:szCs w:val="24"/>
          <w:highlight w:val="none"/>
        </w:rPr>
        <w:t>招标内容：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u w:val="single"/>
        </w:rPr>
        <w:t>番禺电力科技园三期C、D、E、H栋设计施工总承包，包括但不限于以下内容（具体内容详见招标文件及合同协议书）</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2.1</w:t>
      </w:r>
      <w:r>
        <w:rPr>
          <w:rFonts w:hint="eastAsia" w:ascii="宋体" w:hAnsi="宋体" w:cs="宋体"/>
          <w:color w:val="auto"/>
          <w:sz w:val="24"/>
          <w:szCs w:val="24"/>
          <w:highlight w:val="none"/>
        </w:rPr>
        <w:t>设计部分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u w:val="single"/>
        </w:rPr>
        <w:t>建筑方案优化调整及报建报批、初步设计、施工图设计、竣工图、概预算文件的编制；设计范围包括但不限于场平及基坑支护、建筑、结构（含钢结构）、给排水、电气、暖通、人防、消防、室内装修、BIM</w:t>
      </w:r>
      <w:r>
        <w:rPr>
          <w:rFonts w:hint="eastAsia" w:ascii="宋体" w:hAnsi="宋体"/>
          <w:color w:val="auto"/>
          <w:sz w:val="24"/>
          <w:highlight w:val="none"/>
          <w:u w:val="single"/>
          <w:lang w:eastAsia="zh-CN"/>
        </w:rPr>
        <w:t>设计</w:t>
      </w:r>
      <w:r>
        <w:rPr>
          <w:rFonts w:hint="eastAsia" w:ascii="宋体" w:hAnsi="宋体"/>
          <w:color w:val="auto"/>
          <w:sz w:val="24"/>
          <w:highlight w:val="none"/>
          <w:u w:val="single"/>
        </w:rPr>
        <w:t>、智能化系统、</w:t>
      </w:r>
      <w:r>
        <w:rPr>
          <w:rFonts w:hint="eastAsia" w:ascii="宋体" w:hAnsi="宋体"/>
          <w:color w:val="auto"/>
          <w:sz w:val="24"/>
          <w:highlight w:val="none"/>
          <w:u w:val="single"/>
          <w:lang w:val="en-US" w:eastAsia="zh-CN"/>
        </w:rPr>
        <w:t>智慧园区综合管理系统、</w:t>
      </w:r>
      <w:r>
        <w:rPr>
          <w:rFonts w:hint="eastAsia" w:ascii="宋体" w:hAnsi="宋体"/>
          <w:color w:val="auto"/>
          <w:sz w:val="24"/>
          <w:highlight w:val="none"/>
          <w:u w:val="single"/>
        </w:rPr>
        <w:t>室外工程（含接驳）、园林景观工程、绿建节能</w:t>
      </w:r>
      <w:r>
        <w:rPr>
          <w:rFonts w:hint="eastAsia" w:ascii="宋体" w:hAnsi="宋体"/>
          <w:color w:val="auto"/>
          <w:sz w:val="24"/>
          <w:highlight w:val="none"/>
          <w:u w:val="single"/>
          <w:lang w:val="en-US" w:eastAsia="zh-CN"/>
        </w:rPr>
        <w:t>（含近零碳建筑设计）</w:t>
      </w:r>
      <w:r>
        <w:rPr>
          <w:rFonts w:hint="eastAsia" w:ascii="宋体" w:hAnsi="宋体"/>
          <w:color w:val="auto"/>
          <w:sz w:val="24"/>
          <w:highlight w:val="none"/>
          <w:u w:val="single"/>
        </w:rPr>
        <w:t>、泛光照明、厨房工程、供电供水供气、通信</w:t>
      </w:r>
      <w:r>
        <w:rPr>
          <w:rFonts w:hint="eastAsia" w:ascii="宋体" w:hAnsi="宋体"/>
          <w:color w:val="auto"/>
          <w:sz w:val="24"/>
          <w:highlight w:val="none"/>
          <w:u w:val="single"/>
          <w:lang w:val="en-US" w:eastAsia="zh-CN"/>
        </w:rPr>
        <w:t>，以及邻近轨道侧建筑减震、降噪措施设计</w:t>
      </w:r>
      <w:r>
        <w:rPr>
          <w:rFonts w:hint="eastAsia" w:ascii="宋体" w:hAnsi="宋体"/>
          <w:color w:val="auto"/>
          <w:sz w:val="24"/>
          <w:highlight w:val="none"/>
          <w:u w:val="single"/>
        </w:rPr>
        <w:t>等；提供施工全过程设计工代驻场服务；完成设计报建报批；提交设计总结报告等</w:t>
      </w:r>
      <w:r>
        <w:rPr>
          <w:rFonts w:hint="eastAsia" w:ascii="宋体" w:hAnsi="宋体"/>
          <w:color w:val="auto"/>
          <w:sz w:val="24"/>
          <w:highlight w:val="none"/>
          <w:u w:val="single"/>
          <w:lang w:eastAsia="zh-CN"/>
        </w:rPr>
        <w:t>，具体</w:t>
      </w:r>
      <w:r>
        <w:rPr>
          <w:rFonts w:hint="eastAsia" w:ascii="宋体" w:hAnsi="宋体"/>
          <w:color w:val="auto"/>
          <w:sz w:val="24"/>
          <w:highlight w:val="none"/>
          <w:u w:val="single"/>
          <w:lang w:val="en-US" w:eastAsia="zh-CN"/>
        </w:rPr>
        <w:t>设计</w:t>
      </w:r>
      <w:r>
        <w:rPr>
          <w:rFonts w:hint="eastAsia" w:ascii="宋体" w:hAnsi="宋体"/>
          <w:color w:val="auto"/>
          <w:sz w:val="24"/>
          <w:highlight w:val="none"/>
          <w:u w:val="single"/>
          <w:lang w:eastAsia="zh-CN"/>
        </w:rPr>
        <w:t>范围以发包人需求书或可研报告为准</w:t>
      </w:r>
      <w:r>
        <w:rPr>
          <w:rFonts w:hint="eastAsia" w:ascii="宋体" w:hAnsi="宋体"/>
          <w:color w:val="auto"/>
          <w:sz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2.2</w:t>
      </w:r>
      <w:r>
        <w:rPr>
          <w:rFonts w:hint="eastAsia" w:ascii="宋体" w:hAnsi="宋体" w:cs="宋体"/>
          <w:color w:val="auto"/>
          <w:sz w:val="24"/>
          <w:szCs w:val="24"/>
          <w:highlight w:val="none"/>
        </w:rPr>
        <w:t>施工部分</w:t>
      </w:r>
    </w:p>
    <w:p>
      <w:pPr>
        <w:pStyle w:val="22"/>
        <w:snapToGrid w:val="0"/>
        <w:spacing w:line="360" w:lineRule="auto"/>
        <w:ind w:firstLine="480" w:firstLineChars="200"/>
        <w:rPr>
          <w:color w:val="auto"/>
          <w:sz w:val="24"/>
          <w:highlight w:val="none"/>
          <w:u w:val="single"/>
        </w:rPr>
      </w:pPr>
      <w:r>
        <w:rPr>
          <w:rFonts w:hint="eastAsia" w:ascii="宋体" w:hAnsi="宋体" w:cs="宋体"/>
          <w:color w:val="auto"/>
          <w:sz w:val="24"/>
          <w:szCs w:val="24"/>
          <w:highlight w:val="none"/>
          <w:u w:val="single"/>
        </w:rPr>
        <w:t>完成上述设计内容</w:t>
      </w:r>
      <w:r>
        <w:rPr>
          <w:rFonts w:hint="eastAsia" w:ascii="宋体" w:hAnsi="宋体" w:cs="宋体"/>
          <w:color w:val="auto"/>
          <w:sz w:val="24"/>
          <w:szCs w:val="24"/>
          <w:highlight w:val="none"/>
          <w:u w:val="single"/>
          <w:lang w:val="en-US" w:eastAsia="zh-CN"/>
        </w:rPr>
        <w:t>（除电梯外）</w:t>
      </w:r>
      <w:r>
        <w:rPr>
          <w:rFonts w:hint="eastAsia" w:ascii="宋体" w:hAnsi="宋体" w:cs="宋体"/>
          <w:color w:val="auto"/>
          <w:sz w:val="24"/>
          <w:szCs w:val="24"/>
          <w:highlight w:val="none"/>
          <w:u w:val="single"/>
        </w:rPr>
        <w:t>的施工、调试、验收，以及质保期服务，</w:t>
      </w:r>
      <w:r>
        <w:rPr>
          <w:rFonts w:hint="eastAsia" w:ascii="宋体" w:hAnsi="宋体" w:cs="宋体"/>
          <w:color w:val="auto"/>
          <w:sz w:val="24"/>
          <w:szCs w:val="24"/>
          <w:highlight w:val="none"/>
          <w:u w:val="single"/>
          <w:lang w:val="zh-CN" w:eastAsia="zh-CN"/>
        </w:rPr>
        <w:t>具体施工范围以施工图设计文件</w:t>
      </w:r>
      <w:r>
        <w:rPr>
          <w:rFonts w:hint="eastAsia" w:ascii="宋体" w:hAnsi="宋体" w:cs="宋体"/>
          <w:color w:val="auto"/>
          <w:sz w:val="24"/>
          <w:szCs w:val="24"/>
          <w:highlight w:val="none"/>
          <w:u w:val="single"/>
          <w:lang w:val="en-US" w:eastAsia="zh-CN"/>
        </w:rPr>
        <w:t>和合同约定</w:t>
      </w:r>
      <w:r>
        <w:rPr>
          <w:rFonts w:hint="eastAsia" w:ascii="宋体" w:hAnsi="宋体" w:cs="宋体"/>
          <w:color w:val="auto"/>
          <w:sz w:val="24"/>
          <w:szCs w:val="24"/>
          <w:highlight w:val="none"/>
          <w:u w:val="single"/>
          <w:lang w:val="zh-CN" w:eastAsia="zh-CN"/>
        </w:rPr>
        <w:t>为准</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2.3</w:t>
      </w:r>
      <w:r>
        <w:rPr>
          <w:rFonts w:hint="eastAsia" w:ascii="宋体" w:hAnsi="宋体" w:cs="宋体"/>
          <w:color w:val="auto"/>
          <w:sz w:val="24"/>
          <w:szCs w:val="24"/>
          <w:highlight w:val="none"/>
        </w:rPr>
        <w:t>设备材料采购部分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按照设计内容完成工程设备（除电梯外）、材料的采购、保管、安装、调试和验收，以及质保期服务</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2.4</w:t>
      </w:r>
      <w:r>
        <w:rPr>
          <w:rFonts w:hint="eastAsia" w:ascii="宋体" w:hAnsi="宋体" w:cs="宋体"/>
          <w:color w:val="auto"/>
          <w:sz w:val="24"/>
          <w:szCs w:val="24"/>
          <w:highlight w:val="none"/>
        </w:rPr>
        <w:t>其他</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工程保险</w:t>
      </w:r>
      <w:r>
        <w:rPr>
          <w:rFonts w:hint="eastAsia" w:ascii="宋体" w:hAnsi="宋体" w:cs="宋体"/>
          <w:color w:val="auto"/>
          <w:sz w:val="24"/>
          <w:highlight w:val="none"/>
          <w:u w:val="single"/>
          <w:lang w:eastAsia="zh-CN"/>
        </w:rPr>
        <w:t>、佛莞城际隧道安全评估等</w:t>
      </w:r>
      <w:r>
        <w:rPr>
          <w:rFonts w:hint="eastAsia" w:ascii="宋体" w:hAnsi="宋体" w:cs="宋体"/>
          <w:color w:val="auto"/>
          <w:sz w:val="24"/>
          <w:highlight w:val="none"/>
          <w:u w:val="single"/>
        </w:rPr>
        <w:t>，招标范围具体以合同为准</w:t>
      </w:r>
      <w:r>
        <w:rPr>
          <w:rFonts w:hint="eastAsia" w:ascii="宋体" w:hAnsi="宋体" w:eastAsia="宋体" w:cs="宋体"/>
          <w:color w:val="auto"/>
          <w:sz w:val="24"/>
          <w:highlight w:val="none"/>
          <w:lang w:eastAsia="zh-CN"/>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2.5</w:t>
      </w:r>
      <w:r>
        <w:rPr>
          <w:rFonts w:hint="eastAsia" w:ascii="宋体" w:hAnsi="宋体" w:cs="宋体"/>
          <w:color w:val="auto"/>
          <w:sz w:val="24"/>
          <w:szCs w:val="24"/>
          <w:highlight w:val="none"/>
        </w:rPr>
        <w:t>质量要求</w:t>
      </w:r>
    </w:p>
    <w:p>
      <w:pPr>
        <w:widowControl/>
        <w:adjustRightInd w:val="0"/>
        <w:snapToGrid w:val="0"/>
        <w:spacing w:line="500" w:lineRule="exact"/>
        <w:ind w:firstLine="600"/>
        <w:rPr>
          <w:rFonts w:ascii="宋体" w:hAnsi="宋体" w:cs="宋体"/>
          <w:color w:val="auto"/>
          <w:sz w:val="24"/>
          <w:szCs w:val="24"/>
          <w:highlight w:val="red"/>
        </w:rPr>
      </w:pPr>
      <w:r>
        <w:rPr>
          <w:rFonts w:hint="eastAsia" w:ascii="宋体" w:hAnsi="宋体" w:cs="宋体"/>
          <w:color w:val="auto"/>
          <w:sz w:val="24"/>
          <w:szCs w:val="24"/>
          <w:highlight w:val="none"/>
        </w:rPr>
        <w:t>工程质量目标：</w:t>
      </w:r>
      <w:bookmarkEnd w:id="3"/>
      <w:r>
        <w:rPr>
          <w:rFonts w:hint="eastAsia" w:ascii="宋体" w:hAnsi="宋体" w:cs="宋体"/>
          <w:color w:val="auto"/>
          <w:sz w:val="24"/>
          <w:szCs w:val="24"/>
          <w:highlight w:val="none"/>
          <w:u w:val="single"/>
          <w:lang w:eastAsia="zh-CN"/>
        </w:rPr>
        <w:t>满足</w:t>
      </w:r>
      <w:r>
        <w:rPr>
          <w:rFonts w:hint="eastAsia" w:ascii="宋体" w:hAnsi="宋体" w:cs="宋体"/>
          <w:color w:val="auto"/>
          <w:sz w:val="24"/>
          <w:szCs w:val="24"/>
          <w:highlight w:val="none"/>
          <w:u w:val="single"/>
          <w:lang w:val="en-US" w:eastAsia="zh-CN"/>
        </w:rPr>
        <w:t>国家施工验收</w:t>
      </w:r>
      <w:r>
        <w:rPr>
          <w:rFonts w:hint="eastAsia" w:ascii="宋体" w:hAnsi="宋体" w:cs="宋体"/>
          <w:color w:val="auto"/>
          <w:sz w:val="24"/>
          <w:szCs w:val="24"/>
          <w:highlight w:val="none"/>
          <w:u w:val="single"/>
          <w:lang w:eastAsia="zh-CN"/>
        </w:rPr>
        <w:t>规范要求，符合设计要求，</w:t>
      </w:r>
      <w:r>
        <w:rPr>
          <w:rFonts w:hint="eastAsia" w:ascii="宋体" w:hAnsi="宋体" w:cs="宋体"/>
          <w:color w:val="auto"/>
          <w:sz w:val="24"/>
          <w:szCs w:val="24"/>
          <w:highlight w:val="none"/>
          <w:u w:val="single"/>
          <w:lang w:val="en-US" w:eastAsia="zh-CN"/>
        </w:rPr>
        <w:t>工程</w:t>
      </w:r>
      <w:r>
        <w:rPr>
          <w:rFonts w:hint="eastAsia" w:ascii="宋体" w:hAnsi="宋体" w:cs="宋体"/>
          <w:color w:val="auto"/>
          <w:sz w:val="24"/>
          <w:szCs w:val="24"/>
          <w:highlight w:val="none"/>
          <w:u w:val="single"/>
          <w:lang w:eastAsia="zh-CN"/>
        </w:rPr>
        <w:t>质量合格，不发生工程质量事故事件，质量记录准确、齐全并归档及时，</w:t>
      </w:r>
      <w:r>
        <w:rPr>
          <w:rFonts w:hint="eastAsia" w:ascii="宋体" w:hAnsi="宋体" w:cs="宋体"/>
          <w:color w:val="auto"/>
          <w:sz w:val="24"/>
          <w:szCs w:val="24"/>
          <w:highlight w:val="none"/>
          <w:u w:val="single"/>
          <w:lang w:val="en-US" w:eastAsia="zh-CN"/>
        </w:rPr>
        <w:t>满足合同约定的质量目标和标准</w:t>
      </w:r>
      <w:r>
        <w:rPr>
          <w:rFonts w:hint="eastAsia" w:ascii="宋体" w:hAnsi="宋体" w:cs="宋体"/>
          <w:color w:val="auto"/>
          <w:sz w:val="24"/>
          <w:szCs w:val="24"/>
          <w:highlight w:val="none"/>
          <w:u w:val="none"/>
          <w:lang w:eastAsia="zh-CN"/>
        </w:rPr>
        <w:t>。</w:t>
      </w:r>
    </w:p>
    <w:p>
      <w:pPr>
        <w:spacing w:line="360" w:lineRule="auto"/>
        <w:ind w:firstLine="482" w:firstLineChars="200"/>
        <w:rPr>
          <w:rFonts w:ascii="宋体" w:hAnsi="宋体" w:cs="宋体"/>
          <w:b/>
          <w:bCs/>
          <w:color w:val="auto"/>
          <w:sz w:val="24"/>
          <w:szCs w:val="21"/>
          <w:highlight w:val="none"/>
        </w:rPr>
      </w:pPr>
      <w:r>
        <w:rPr>
          <w:rFonts w:hint="eastAsia" w:ascii="宋体" w:hAnsi="宋体" w:cs="宋体"/>
          <w:b/>
          <w:bCs/>
          <w:color w:val="auto"/>
          <w:sz w:val="24"/>
          <w:szCs w:val="21"/>
          <w:highlight w:val="none"/>
        </w:rPr>
        <w:t>六、资金来源：</w:t>
      </w:r>
      <w:r>
        <w:rPr>
          <w:rFonts w:hint="eastAsia" w:ascii="宋体" w:hAnsi="宋体" w:cs="宋体"/>
          <w:b w:val="0"/>
          <w:bCs w:val="0"/>
          <w:color w:val="auto"/>
          <w:sz w:val="24"/>
          <w:szCs w:val="21"/>
          <w:highlight w:val="none"/>
          <w:u w:val="single"/>
        </w:rPr>
        <w:t>自筹资金</w:t>
      </w:r>
      <w:r>
        <w:rPr>
          <w:rFonts w:hint="eastAsia" w:ascii="宋体" w:hAnsi="宋体" w:cs="宋体"/>
          <w:b w:val="0"/>
          <w:bCs w:val="0"/>
          <w:color w:val="auto"/>
          <w:sz w:val="24"/>
          <w:szCs w:val="21"/>
          <w:highlight w:val="none"/>
        </w:rPr>
        <w:t>。</w:t>
      </w:r>
    </w:p>
    <w:p>
      <w:pPr>
        <w:spacing w:line="360" w:lineRule="auto"/>
        <w:ind w:firstLine="482" w:firstLineChars="200"/>
        <w:rPr>
          <w:rFonts w:ascii="宋体" w:hAnsi="宋体" w:cs="宋体"/>
          <w:b/>
          <w:bCs/>
          <w:color w:val="auto"/>
          <w:sz w:val="24"/>
          <w:szCs w:val="21"/>
          <w:highlight w:val="none"/>
        </w:rPr>
      </w:pPr>
      <w:r>
        <w:rPr>
          <w:rFonts w:hint="eastAsia" w:ascii="宋体" w:hAnsi="宋体" w:cs="宋体"/>
          <w:b/>
          <w:bCs/>
          <w:color w:val="auto"/>
          <w:sz w:val="24"/>
          <w:szCs w:val="21"/>
          <w:highlight w:val="none"/>
        </w:rPr>
        <w:t>七、招标文件的获取</w:t>
      </w:r>
    </w:p>
    <w:p>
      <w:pPr>
        <w:widowControl w:val="0"/>
        <w:shd w:val="clear" w:color="auto" w:fill="FFFFFF"/>
        <w:snapToGrid w:val="0"/>
        <w:spacing w:line="360" w:lineRule="auto"/>
        <w:ind w:left="210" w:leftChars="100" w:firstLine="480" w:firstLineChars="200"/>
        <w:jc w:val="left"/>
        <w:rPr>
          <w:rFonts w:ascii="宋体" w:hAnsi="宋体" w:cs="宋体"/>
          <w:color w:val="auto"/>
          <w:sz w:val="24"/>
          <w:szCs w:val="21"/>
          <w:highlight w:val="none"/>
        </w:rPr>
      </w:pPr>
      <w:r>
        <w:rPr>
          <w:rFonts w:hint="eastAsia" w:ascii="宋体" w:hAnsi="宋体" w:cs="宋体"/>
          <w:color w:val="auto"/>
          <w:sz w:val="24"/>
          <w:szCs w:val="21"/>
          <w:highlight w:val="none"/>
        </w:rPr>
        <w:t>凡有意参加投标者，请于 2023年</w:t>
      </w:r>
      <w:r>
        <w:rPr>
          <w:rFonts w:hint="eastAsia" w:ascii="宋体" w:hAnsi="宋体" w:cs="宋体"/>
          <w:color w:val="auto"/>
          <w:sz w:val="24"/>
          <w:szCs w:val="21"/>
          <w:highlight w:val="none"/>
          <w:lang w:val="en-US" w:eastAsia="zh-CN"/>
        </w:rPr>
        <w:t>11</w:t>
      </w:r>
      <w:r>
        <w:rPr>
          <w:rFonts w:hint="eastAsia" w:ascii="宋体" w:hAnsi="宋体" w:cs="宋体"/>
          <w:color w:val="auto"/>
          <w:sz w:val="24"/>
          <w:szCs w:val="21"/>
          <w:highlight w:val="none"/>
        </w:rPr>
        <w:t>月</w:t>
      </w:r>
      <w:r>
        <w:rPr>
          <w:rFonts w:hint="eastAsia" w:ascii="宋体" w:hAnsi="宋体" w:cs="宋体"/>
          <w:color w:val="auto"/>
          <w:sz w:val="24"/>
          <w:szCs w:val="21"/>
          <w:highlight w:val="none"/>
          <w:lang w:val="en-US" w:eastAsia="zh-CN"/>
        </w:rPr>
        <w:t>02</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日</w:t>
      </w:r>
      <w:r>
        <w:rPr>
          <w:rFonts w:hint="eastAsia" w:ascii="宋体" w:hAnsi="宋体" w:cs="宋体"/>
          <w:color w:val="auto"/>
          <w:sz w:val="24"/>
          <w:szCs w:val="21"/>
          <w:highlight w:val="none"/>
          <w:lang w:val="en-US" w:eastAsia="zh-CN"/>
        </w:rPr>
        <w:t>14</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时</w:t>
      </w:r>
      <w:r>
        <w:rPr>
          <w:rFonts w:ascii="宋体" w:hAnsi="宋体" w:cs="宋体"/>
          <w:color w:val="auto"/>
          <w:sz w:val="24"/>
          <w:szCs w:val="21"/>
          <w:highlight w:val="none"/>
        </w:rPr>
        <w:t xml:space="preserve"> </w:t>
      </w:r>
      <w:r>
        <w:rPr>
          <w:rFonts w:hint="eastAsia" w:ascii="宋体" w:hAnsi="宋体" w:cs="宋体"/>
          <w:color w:val="auto"/>
          <w:sz w:val="24"/>
          <w:szCs w:val="21"/>
          <w:highlight w:val="none"/>
          <w:lang w:val="en-US" w:eastAsia="zh-CN"/>
        </w:rPr>
        <w:t>00</w:t>
      </w:r>
      <w:r>
        <w:rPr>
          <w:rFonts w:hint="eastAsia" w:ascii="宋体" w:hAnsi="宋体" w:cs="宋体"/>
          <w:color w:val="auto"/>
          <w:sz w:val="24"/>
          <w:szCs w:val="21"/>
          <w:highlight w:val="none"/>
        </w:rPr>
        <w:t>分至 2023年</w:t>
      </w:r>
      <w:r>
        <w:rPr>
          <w:rFonts w:ascii="宋体" w:hAnsi="宋体" w:cs="宋体"/>
          <w:color w:val="auto"/>
          <w:sz w:val="24"/>
          <w:szCs w:val="21"/>
          <w:highlight w:val="none"/>
        </w:rPr>
        <w:t xml:space="preserve"> </w:t>
      </w:r>
      <w:r>
        <w:rPr>
          <w:rFonts w:hint="eastAsia" w:ascii="宋体" w:hAnsi="宋体" w:cs="宋体"/>
          <w:color w:val="auto"/>
          <w:sz w:val="24"/>
          <w:szCs w:val="21"/>
          <w:highlight w:val="none"/>
          <w:lang w:val="en-US" w:eastAsia="zh-CN"/>
        </w:rPr>
        <w:t>11</w:t>
      </w:r>
      <w:r>
        <w:rPr>
          <w:rFonts w:hint="eastAsia" w:ascii="宋体" w:hAnsi="宋体" w:cs="宋体"/>
          <w:color w:val="auto"/>
          <w:sz w:val="24"/>
          <w:szCs w:val="21"/>
          <w:highlight w:val="none"/>
        </w:rPr>
        <w:t>月</w:t>
      </w:r>
      <w:r>
        <w:rPr>
          <w:rFonts w:hint="eastAsia" w:ascii="宋体" w:hAnsi="宋体" w:cs="宋体"/>
          <w:color w:val="auto"/>
          <w:sz w:val="24"/>
          <w:szCs w:val="21"/>
          <w:highlight w:val="none"/>
          <w:lang w:val="en-US" w:eastAsia="zh-CN"/>
        </w:rPr>
        <w:t>23</w:t>
      </w:r>
      <w:r>
        <w:rPr>
          <w:rFonts w:hint="eastAsia" w:ascii="宋体" w:hAnsi="宋体" w:cs="宋体"/>
          <w:color w:val="auto"/>
          <w:sz w:val="24"/>
          <w:szCs w:val="21"/>
          <w:highlight w:val="none"/>
        </w:rPr>
        <w:t>日</w:t>
      </w:r>
      <w:r>
        <w:rPr>
          <w:rFonts w:hint="eastAsia" w:ascii="宋体" w:hAnsi="宋体" w:cs="宋体"/>
          <w:color w:val="auto"/>
          <w:sz w:val="24"/>
          <w:szCs w:val="21"/>
          <w:highlight w:val="none"/>
          <w:lang w:val="en-US" w:eastAsia="zh-CN"/>
        </w:rPr>
        <w:t>09</w:t>
      </w:r>
      <w:r>
        <w:rPr>
          <w:rFonts w:hint="eastAsia" w:ascii="宋体" w:hAnsi="宋体" w:cs="宋体"/>
          <w:color w:val="auto"/>
          <w:sz w:val="24"/>
          <w:szCs w:val="21"/>
          <w:highlight w:val="none"/>
        </w:rPr>
        <w:t>时</w:t>
      </w:r>
      <w:r>
        <w:rPr>
          <w:rFonts w:hint="eastAsia" w:ascii="宋体" w:hAnsi="宋体" w:cs="宋体"/>
          <w:color w:val="auto"/>
          <w:sz w:val="24"/>
          <w:szCs w:val="21"/>
          <w:highlight w:val="none"/>
          <w:lang w:val="en-US" w:eastAsia="zh-CN"/>
        </w:rPr>
        <w:t>30</w:t>
      </w:r>
      <w:r>
        <w:rPr>
          <w:rFonts w:hint="eastAsia" w:ascii="宋体" w:hAnsi="宋体" w:cs="宋体"/>
          <w:color w:val="auto"/>
          <w:sz w:val="24"/>
          <w:szCs w:val="21"/>
          <w:highlight w:val="none"/>
        </w:rPr>
        <w:t>分（北京时间，下同）参加投标者登录广州交易集团有限公司（广州公共资源交易中心）网站（http://www.gzzb.gd.cn）（电子招标投标交易平台）下载电子招标文件。招标文件由投标人自行登录广州交易集团有限公司（广州公共资源交易中心）网站（http://www.gzzb.gd.cn）（电子招标投标交易平台）网站下载。招标文件一经在电子招标投标交易平台发布，视为送达给所有投标人。</w:t>
      </w:r>
    </w:p>
    <w:p>
      <w:pPr>
        <w:spacing w:line="360" w:lineRule="auto"/>
        <w:ind w:firstLine="482" w:firstLineChars="200"/>
        <w:rPr>
          <w:rFonts w:ascii="宋体" w:hAnsi="宋体" w:cs="宋体"/>
          <w:b/>
          <w:bCs/>
          <w:color w:val="auto"/>
          <w:sz w:val="24"/>
          <w:szCs w:val="21"/>
          <w:highlight w:val="none"/>
        </w:rPr>
      </w:pPr>
      <w:r>
        <w:rPr>
          <w:rFonts w:hint="eastAsia" w:ascii="宋体" w:hAnsi="宋体" w:cs="宋体"/>
          <w:b/>
          <w:bCs/>
          <w:color w:val="auto"/>
          <w:sz w:val="24"/>
          <w:szCs w:val="21"/>
          <w:highlight w:val="none"/>
        </w:rPr>
        <w:t>八、发布招标公告、投标文件递交、开标时间</w:t>
      </w:r>
    </w:p>
    <w:p>
      <w:pPr>
        <w:widowControl/>
        <w:shd w:val="clear" w:color="auto" w:fill="FFFFFF"/>
        <w:snapToGrid w:val="0"/>
        <w:spacing w:line="360" w:lineRule="auto"/>
        <w:ind w:firstLine="480" w:firstLineChars="200"/>
        <w:jc w:val="left"/>
        <w:rPr>
          <w:rFonts w:ascii="宋体" w:hAnsi="宋体" w:cs="宋体"/>
          <w:color w:val="auto"/>
          <w:sz w:val="24"/>
          <w:szCs w:val="21"/>
          <w:highlight w:val="none"/>
        </w:rPr>
      </w:pPr>
      <w:r>
        <w:rPr>
          <w:rFonts w:hint="eastAsia" w:ascii="宋体" w:hAnsi="宋体" w:cs="宋体"/>
          <w:color w:val="auto"/>
          <w:sz w:val="24"/>
          <w:szCs w:val="21"/>
          <w:highlight w:val="none"/>
        </w:rPr>
        <w:t>1</w:t>
      </w:r>
      <w:r>
        <w:rPr>
          <w:rFonts w:hint="eastAsia" w:ascii="宋体" w:hAnsi="宋体" w:cs="宋体"/>
          <w:color w:val="auto"/>
          <w:sz w:val="24"/>
          <w:szCs w:val="24"/>
          <w:highlight w:val="none"/>
        </w:rPr>
        <w:t>、</w:t>
      </w:r>
      <w:r>
        <w:rPr>
          <w:rFonts w:hint="eastAsia" w:ascii="宋体" w:hAnsi="宋体" w:cs="宋体"/>
          <w:color w:val="auto"/>
          <w:sz w:val="24"/>
          <w:szCs w:val="21"/>
          <w:highlight w:val="none"/>
        </w:rPr>
        <w:t>招标公告发布日期（含本日）：自 2023年</w:t>
      </w:r>
      <w:r>
        <w:rPr>
          <w:rFonts w:hint="eastAsia" w:ascii="宋体" w:hAnsi="宋体" w:cs="宋体"/>
          <w:color w:val="auto"/>
          <w:sz w:val="24"/>
          <w:szCs w:val="21"/>
          <w:highlight w:val="none"/>
          <w:lang w:val="en-US" w:eastAsia="zh-CN"/>
        </w:rPr>
        <w:t>11</w:t>
      </w:r>
      <w:r>
        <w:rPr>
          <w:rFonts w:hint="eastAsia" w:ascii="宋体" w:hAnsi="宋体" w:cs="宋体"/>
          <w:color w:val="auto"/>
          <w:sz w:val="24"/>
          <w:szCs w:val="21"/>
          <w:highlight w:val="none"/>
        </w:rPr>
        <w:t>月</w:t>
      </w:r>
      <w:r>
        <w:rPr>
          <w:rFonts w:hint="eastAsia" w:ascii="宋体" w:hAnsi="宋体" w:cs="宋体"/>
          <w:color w:val="auto"/>
          <w:sz w:val="24"/>
          <w:szCs w:val="21"/>
          <w:highlight w:val="none"/>
          <w:lang w:val="en-US" w:eastAsia="zh-CN"/>
        </w:rPr>
        <w:t>02</w:t>
      </w:r>
      <w:r>
        <w:rPr>
          <w:rFonts w:hint="eastAsia" w:ascii="宋体" w:hAnsi="宋体" w:cs="宋体"/>
          <w:color w:val="auto"/>
          <w:sz w:val="24"/>
          <w:szCs w:val="21"/>
          <w:highlight w:val="none"/>
        </w:rPr>
        <w:t>日</w:t>
      </w:r>
      <w:r>
        <w:rPr>
          <w:rFonts w:hint="eastAsia" w:ascii="宋体" w:hAnsi="宋体" w:cs="宋体"/>
          <w:color w:val="auto"/>
          <w:sz w:val="24"/>
          <w:szCs w:val="21"/>
          <w:highlight w:val="none"/>
          <w:lang w:val="en-US" w:eastAsia="zh-CN"/>
        </w:rPr>
        <w:t>14</w:t>
      </w:r>
      <w:r>
        <w:rPr>
          <w:rFonts w:hint="eastAsia" w:ascii="宋体" w:hAnsi="宋体" w:cs="宋体"/>
          <w:color w:val="auto"/>
          <w:sz w:val="24"/>
          <w:szCs w:val="21"/>
          <w:highlight w:val="none"/>
        </w:rPr>
        <w:t>时</w:t>
      </w:r>
      <w:r>
        <w:rPr>
          <w:rFonts w:hint="eastAsia" w:ascii="宋体" w:hAnsi="宋体" w:cs="宋体"/>
          <w:color w:val="auto"/>
          <w:sz w:val="24"/>
          <w:szCs w:val="21"/>
          <w:highlight w:val="none"/>
          <w:lang w:val="en-US" w:eastAsia="zh-CN"/>
        </w:rPr>
        <w:t>00</w:t>
      </w:r>
      <w:r>
        <w:rPr>
          <w:rFonts w:hint="eastAsia" w:ascii="宋体" w:hAnsi="宋体" w:cs="宋体"/>
          <w:color w:val="auto"/>
          <w:sz w:val="24"/>
          <w:szCs w:val="21"/>
          <w:highlight w:val="none"/>
        </w:rPr>
        <w:t>分至2023年</w:t>
      </w:r>
      <w:r>
        <w:rPr>
          <w:rFonts w:hint="eastAsia" w:ascii="宋体" w:hAnsi="宋体" w:cs="宋体"/>
          <w:color w:val="auto"/>
          <w:sz w:val="24"/>
          <w:szCs w:val="21"/>
          <w:highlight w:val="none"/>
          <w:lang w:val="en-US" w:eastAsia="zh-CN"/>
        </w:rPr>
        <w:t>11</w:t>
      </w:r>
      <w:r>
        <w:rPr>
          <w:rFonts w:hint="eastAsia" w:ascii="宋体" w:hAnsi="宋体" w:cs="宋体"/>
          <w:color w:val="auto"/>
          <w:sz w:val="24"/>
          <w:szCs w:val="21"/>
          <w:highlight w:val="none"/>
        </w:rPr>
        <w:t>月</w:t>
      </w:r>
      <w:r>
        <w:rPr>
          <w:rFonts w:hint="eastAsia" w:ascii="宋体" w:hAnsi="宋体" w:cs="宋体"/>
          <w:color w:val="auto"/>
          <w:sz w:val="24"/>
          <w:szCs w:val="21"/>
          <w:highlight w:val="none"/>
          <w:lang w:val="en-US" w:eastAsia="zh-CN"/>
        </w:rPr>
        <w:t>23</w:t>
      </w:r>
      <w:r>
        <w:rPr>
          <w:rFonts w:hint="eastAsia" w:ascii="宋体" w:hAnsi="宋体" w:cs="宋体"/>
          <w:color w:val="auto"/>
          <w:sz w:val="24"/>
          <w:szCs w:val="21"/>
          <w:highlight w:val="none"/>
        </w:rPr>
        <w:t>日</w:t>
      </w:r>
      <w:r>
        <w:rPr>
          <w:rFonts w:hint="eastAsia" w:ascii="宋体" w:hAnsi="宋体" w:cs="宋体"/>
          <w:color w:val="auto"/>
          <w:sz w:val="24"/>
          <w:szCs w:val="21"/>
          <w:highlight w:val="none"/>
          <w:lang w:val="en-US" w:eastAsia="zh-CN"/>
        </w:rPr>
        <w:t>09</w:t>
      </w:r>
      <w:r>
        <w:rPr>
          <w:rFonts w:hint="eastAsia" w:ascii="宋体" w:hAnsi="宋体" w:cs="宋体"/>
          <w:color w:val="auto"/>
          <w:sz w:val="24"/>
          <w:szCs w:val="21"/>
          <w:highlight w:val="none"/>
        </w:rPr>
        <w:t>时</w:t>
      </w:r>
      <w:r>
        <w:rPr>
          <w:rFonts w:hint="eastAsia" w:ascii="宋体" w:hAnsi="宋体" w:cs="宋体"/>
          <w:color w:val="auto"/>
          <w:sz w:val="24"/>
          <w:szCs w:val="21"/>
          <w:highlight w:val="none"/>
          <w:lang w:val="en-US" w:eastAsia="zh-CN"/>
        </w:rPr>
        <w:t>30</w:t>
      </w:r>
      <w:r>
        <w:rPr>
          <w:rFonts w:hint="eastAsia" w:ascii="宋体" w:hAnsi="宋体" w:cs="宋体"/>
          <w:color w:val="auto"/>
          <w:sz w:val="24"/>
          <w:szCs w:val="21"/>
          <w:highlight w:val="none"/>
        </w:rPr>
        <w:t>分。</w:t>
      </w:r>
    </w:p>
    <w:p>
      <w:pPr>
        <w:widowControl/>
        <w:shd w:val="clear" w:color="auto" w:fill="FFFFFF"/>
        <w:snapToGrid w:val="0"/>
        <w:spacing w:line="360" w:lineRule="auto"/>
        <w:ind w:firstLine="480" w:firstLineChars="200"/>
        <w:jc w:val="left"/>
        <w:rPr>
          <w:rFonts w:ascii="宋体" w:hAnsi="宋体" w:cs="宋体"/>
          <w:color w:val="auto"/>
          <w:sz w:val="24"/>
          <w:szCs w:val="21"/>
          <w:highlight w:val="none"/>
        </w:rPr>
      </w:pPr>
      <w:r>
        <w:rPr>
          <w:rFonts w:hint="eastAsia" w:ascii="宋体" w:hAnsi="宋体" w:cs="宋体"/>
          <w:color w:val="auto"/>
          <w:sz w:val="24"/>
          <w:szCs w:val="21"/>
          <w:highlight w:val="none"/>
        </w:rPr>
        <w:t>注：发布招标公告的时间为招标公告发出之日起至递交投标文件截止时间止。</w:t>
      </w:r>
    </w:p>
    <w:p>
      <w:pPr>
        <w:widowControl/>
        <w:shd w:val="clear" w:color="auto" w:fill="FFFFFF"/>
        <w:snapToGrid w:val="0"/>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2、投标文件递交的截止时间为 2023年</w:t>
      </w:r>
      <w:r>
        <w:rPr>
          <w:rFonts w:hint="eastAsia" w:ascii="宋体" w:hAnsi="宋体" w:cs="宋体"/>
          <w:color w:val="auto"/>
          <w:sz w:val="24"/>
          <w:szCs w:val="21"/>
          <w:highlight w:val="none"/>
          <w:lang w:val="en-US" w:eastAsia="zh-CN"/>
        </w:rPr>
        <w:t>11</w:t>
      </w:r>
      <w:r>
        <w:rPr>
          <w:rFonts w:hint="eastAsia" w:ascii="宋体" w:hAnsi="宋体" w:cs="宋体"/>
          <w:color w:val="auto"/>
          <w:sz w:val="24"/>
          <w:szCs w:val="21"/>
          <w:highlight w:val="none"/>
        </w:rPr>
        <w:t>月</w:t>
      </w:r>
      <w:r>
        <w:rPr>
          <w:rFonts w:hint="eastAsia" w:ascii="宋体" w:hAnsi="宋体" w:cs="宋体"/>
          <w:color w:val="auto"/>
          <w:sz w:val="24"/>
          <w:szCs w:val="21"/>
          <w:highlight w:val="none"/>
          <w:lang w:val="en-US" w:eastAsia="zh-CN"/>
        </w:rPr>
        <w:t>23</w:t>
      </w:r>
      <w:r>
        <w:rPr>
          <w:rFonts w:hint="eastAsia" w:ascii="宋体" w:hAnsi="宋体" w:cs="宋体"/>
          <w:color w:val="auto"/>
          <w:sz w:val="24"/>
          <w:szCs w:val="21"/>
          <w:highlight w:val="none"/>
        </w:rPr>
        <w:t>日</w:t>
      </w:r>
      <w:r>
        <w:rPr>
          <w:rFonts w:hint="eastAsia" w:ascii="宋体" w:hAnsi="宋体" w:cs="宋体"/>
          <w:color w:val="auto"/>
          <w:sz w:val="24"/>
          <w:szCs w:val="21"/>
          <w:highlight w:val="none"/>
          <w:lang w:val="en-US" w:eastAsia="zh-CN"/>
        </w:rPr>
        <w:t>09</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时</w:t>
      </w:r>
      <w:r>
        <w:rPr>
          <w:rFonts w:hint="eastAsia" w:ascii="宋体" w:hAnsi="宋体" w:cs="宋体"/>
          <w:color w:val="auto"/>
          <w:sz w:val="24"/>
          <w:szCs w:val="21"/>
          <w:highlight w:val="none"/>
          <w:lang w:val="en-US" w:eastAsia="zh-CN"/>
        </w:rPr>
        <w:t>30</w:t>
      </w:r>
      <w:r>
        <w:rPr>
          <w:rFonts w:hint="eastAsia" w:ascii="宋体" w:hAnsi="宋体" w:cs="宋体"/>
          <w:color w:val="auto"/>
          <w:sz w:val="24"/>
          <w:szCs w:val="21"/>
          <w:highlight w:val="none"/>
        </w:rPr>
        <w:t>分，投标人应在截止时间前通过广州交易集团有限公司（广州公共资源交易中心）交易平台网站递交电子投标文件。投标人应在递交投标文件截止</w:t>
      </w:r>
      <w:r>
        <w:rPr>
          <w:rFonts w:hint="eastAsia" w:ascii="宋体" w:hAnsi="宋体" w:cs="宋体"/>
          <w:color w:val="auto"/>
          <w:sz w:val="24"/>
          <w:szCs w:val="21"/>
          <w:highlight w:val="none"/>
          <w:lang w:val="en-US" w:eastAsia="zh-CN"/>
        </w:rPr>
        <w:t>时间</w:t>
      </w:r>
      <w:r>
        <w:rPr>
          <w:rFonts w:hint="eastAsia" w:ascii="宋体" w:hAnsi="宋体" w:cs="宋体"/>
          <w:color w:val="auto"/>
          <w:sz w:val="24"/>
          <w:szCs w:val="21"/>
          <w:highlight w:val="none"/>
        </w:rPr>
        <w:t>前，登陆广州交易集团有限公司（广州公共资源交易中心）交易平台网站办理网上投标登记手续。按照广州交易集团有限公司（广州公共资源交易中心）交易平台关于全流程电子化项目的相关指南进行操作，详见广州交易集团有限公司（广州公共资源交易中心）网站。投标人完成电子投标文件上传后，广州公共资源交易中心数字交易平台即时向投标人发出递交回执通知。递交时间以递交回执通知载明的传输时间为准。</w:t>
      </w:r>
    </w:p>
    <w:p>
      <w:pPr>
        <w:widowControl/>
        <w:shd w:val="clear" w:color="auto" w:fill="FFFFFF"/>
        <w:snapToGrid w:val="0"/>
        <w:spacing w:line="360" w:lineRule="auto"/>
        <w:ind w:firstLine="480" w:firstLineChars="200"/>
        <w:jc w:val="left"/>
        <w:rPr>
          <w:rFonts w:ascii="宋体" w:hAnsi="宋体" w:cs="宋体"/>
          <w:color w:val="auto"/>
          <w:sz w:val="24"/>
          <w:szCs w:val="21"/>
          <w:highlight w:val="none"/>
        </w:rPr>
      </w:pPr>
      <w:r>
        <w:rPr>
          <w:rFonts w:hint="eastAsia" w:ascii="宋体" w:hAnsi="宋体" w:cs="宋体"/>
          <w:color w:val="auto"/>
          <w:sz w:val="24"/>
          <w:szCs w:val="21"/>
          <w:highlight w:val="none"/>
        </w:rPr>
        <w:t>3、递交电子投标文件备用光盘（或u盘）时间：2023年</w:t>
      </w:r>
      <w:r>
        <w:rPr>
          <w:rFonts w:hint="eastAsia" w:ascii="宋体" w:hAnsi="宋体" w:cs="宋体"/>
          <w:color w:val="auto"/>
          <w:sz w:val="24"/>
          <w:szCs w:val="21"/>
          <w:highlight w:val="none"/>
          <w:lang w:val="en-US" w:eastAsia="zh-CN"/>
        </w:rPr>
        <w:t>11</w:t>
      </w:r>
      <w:r>
        <w:rPr>
          <w:rFonts w:hint="eastAsia" w:ascii="宋体" w:hAnsi="宋体" w:cs="宋体"/>
          <w:color w:val="auto"/>
          <w:sz w:val="24"/>
          <w:szCs w:val="21"/>
          <w:highlight w:val="none"/>
        </w:rPr>
        <w:t>月</w:t>
      </w:r>
      <w:r>
        <w:rPr>
          <w:rFonts w:hint="eastAsia" w:ascii="宋体" w:hAnsi="宋体" w:cs="宋体"/>
          <w:color w:val="auto"/>
          <w:sz w:val="24"/>
          <w:szCs w:val="21"/>
          <w:highlight w:val="none"/>
          <w:lang w:val="en-US" w:eastAsia="zh-CN"/>
        </w:rPr>
        <w:t>23</w:t>
      </w:r>
      <w:r>
        <w:rPr>
          <w:rFonts w:hint="eastAsia" w:ascii="宋体" w:hAnsi="宋体" w:cs="宋体"/>
          <w:color w:val="auto"/>
          <w:sz w:val="24"/>
          <w:szCs w:val="21"/>
          <w:highlight w:val="none"/>
        </w:rPr>
        <w:t>日</w:t>
      </w:r>
      <w:r>
        <w:rPr>
          <w:rFonts w:hint="eastAsia" w:ascii="宋体" w:hAnsi="宋体" w:cs="宋体"/>
          <w:color w:val="auto"/>
          <w:sz w:val="24"/>
          <w:szCs w:val="21"/>
          <w:highlight w:val="none"/>
          <w:lang w:val="en-US" w:eastAsia="zh-CN"/>
        </w:rPr>
        <w:t>09</w:t>
      </w:r>
      <w:r>
        <w:rPr>
          <w:rFonts w:hint="eastAsia" w:ascii="宋体" w:hAnsi="宋体" w:cs="宋体"/>
          <w:color w:val="auto"/>
          <w:sz w:val="24"/>
          <w:szCs w:val="21"/>
          <w:highlight w:val="none"/>
        </w:rPr>
        <w:t>时</w:t>
      </w:r>
      <w:r>
        <w:rPr>
          <w:rFonts w:hint="eastAsia" w:ascii="宋体" w:hAnsi="宋体" w:cs="宋体"/>
          <w:color w:val="auto"/>
          <w:sz w:val="24"/>
          <w:szCs w:val="21"/>
          <w:highlight w:val="none"/>
          <w:lang w:val="en-US" w:eastAsia="zh-CN"/>
        </w:rPr>
        <w:t>15</w:t>
      </w:r>
      <w:r>
        <w:rPr>
          <w:rFonts w:hint="eastAsia" w:ascii="宋体" w:hAnsi="宋体" w:cs="宋体"/>
          <w:color w:val="auto"/>
          <w:sz w:val="24"/>
          <w:szCs w:val="21"/>
          <w:highlight w:val="none"/>
        </w:rPr>
        <w:t>分至</w:t>
      </w:r>
      <w:r>
        <w:rPr>
          <w:rFonts w:hint="eastAsia" w:ascii="宋体" w:hAnsi="宋体" w:cs="宋体"/>
          <w:color w:val="auto"/>
          <w:sz w:val="24"/>
          <w:szCs w:val="21"/>
          <w:highlight w:val="none"/>
          <w:lang w:val="en-US" w:eastAsia="zh-CN"/>
        </w:rPr>
        <w:t>09</w:t>
      </w:r>
      <w:r>
        <w:rPr>
          <w:rFonts w:hint="eastAsia" w:ascii="宋体" w:hAnsi="宋体" w:cs="宋体"/>
          <w:color w:val="auto"/>
          <w:sz w:val="24"/>
          <w:szCs w:val="21"/>
          <w:highlight w:val="none"/>
        </w:rPr>
        <w:t>时</w:t>
      </w:r>
      <w:r>
        <w:rPr>
          <w:rFonts w:hint="eastAsia" w:ascii="宋体" w:hAnsi="宋体" w:cs="宋体"/>
          <w:color w:val="auto"/>
          <w:sz w:val="24"/>
          <w:szCs w:val="21"/>
          <w:highlight w:val="none"/>
          <w:lang w:val="en-US" w:eastAsia="zh-CN"/>
        </w:rPr>
        <w:t>30</w:t>
      </w:r>
      <w:r>
        <w:rPr>
          <w:rFonts w:hint="eastAsia" w:ascii="宋体" w:hAnsi="宋体" w:cs="宋体"/>
          <w:color w:val="auto"/>
          <w:sz w:val="24"/>
          <w:szCs w:val="21"/>
          <w:highlight w:val="none"/>
        </w:rPr>
        <w:t>分，递交地点广州交易集团有限公司（广州公共资源交易中心）（广州市天河区天润路333号）第  开标室。电子光盘（或u盘）需按规定封装。投标人在将数据刻录到电子光盘（或u盘）之后，投标前自行检查文件是否可以读取。</w:t>
      </w:r>
    </w:p>
    <w:p>
      <w:pPr>
        <w:widowControl/>
        <w:shd w:val="clear" w:color="auto" w:fill="FFFFFF"/>
        <w:snapToGrid w:val="0"/>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4、开标时间：2023年</w:t>
      </w:r>
      <w:r>
        <w:rPr>
          <w:rFonts w:hint="eastAsia" w:ascii="宋体" w:hAnsi="宋体" w:cs="宋体"/>
          <w:color w:val="auto"/>
          <w:sz w:val="24"/>
          <w:szCs w:val="21"/>
          <w:highlight w:val="none"/>
          <w:lang w:val="en-US" w:eastAsia="zh-CN"/>
        </w:rPr>
        <w:t>11</w:t>
      </w:r>
      <w:r>
        <w:rPr>
          <w:rFonts w:hint="eastAsia" w:ascii="宋体" w:hAnsi="宋体" w:cs="宋体"/>
          <w:color w:val="auto"/>
          <w:sz w:val="24"/>
          <w:szCs w:val="21"/>
          <w:highlight w:val="none"/>
        </w:rPr>
        <w:t>月</w:t>
      </w:r>
      <w:r>
        <w:rPr>
          <w:rFonts w:hint="eastAsia" w:ascii="宋体" w:hAnsi="宋体" w:cs="宋体"/>
          <w:color w:val="auto"/>
          <w:sz w:val="24"/>
          <w:szCs w:val="21"/>
          <w:highlight w:val="none"/>
          <w:lang w:val="en-US" w:eastAsia="zh-CN"/>
        </w:rPr>
        <w:t>23</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日</w:t>
      </w:r>
      <w:r>
        <w:rPr>
          <w:rFonts w:hint="eastAsia" w:ascii="宋体" w:hAnsi="宋体" w:cs="宋体"/>
          <w:color w:val="auto"/>
          <w:sz w:val="24"/>
          <w:szCs w:val="21"/>
          <w:highlight w:val="none"/>
          <w:lang w:val="en-US" w:eastAsia="zh-CN"/>
        </w:rPr>
        <w:t>09</w:t>
      </w:r>
      <w:r>
        <w:rPr>
          <w:rFonts w:hint="eastAsia" w:ascii="宋体" w:hAnsi="宋体" w:cs="宋体"/>
          <w:color w:val="auto"/>
          <w:sz w:val="24"/>
          <w:szCs w:val="21"/>
          <w:highlight w:val="none"/>
        </w:rPr>
        <w:t>时</w:t>
      </w:r>
      <w:r>
        <w:rPr>
          <w:rFonts w:hint="eastAsia" w:ascii="宋体" w:hAnsi="宋体" w:cs="宋体"/>
          <w:color w:val="auto"/>
          <w:sz w:val="24"/>
          <w:szCs w:val="21"/>
          <w:highlight w:val="none"/>
          <w:lang w:val="en-US" w:eastAsia="zh-CN"/>
        </w:rPr>
        <w:t>30</w:t>
      </w:r>
      <w:r>
        <w:rPr>
          <w:rFonts w:hint="eastAsia" w:ascii="宋体" w:hAnsi="宋体" w:cs="宋体"/>
          <w:color w:val="auto"/>
          <w:sz w:val="24"/>
          <w:szCs w:val="21"/>
          <w:highlight w:val="none"/>
        </w:rPr>
        <w:t>分（与投标截止时间为同一时间）。投标文件解密时间为2023年</w:t>
      </w:r>
      <w:r>
        <w:rPr>
          <w:rFonts w:hint="eastAsia" w:ascii="宋体" w:hAnsi="宋体" w:cs="宋体"/>
          <w:color w:val="auto"/>
          <w:sz w:val="24"/>
          <w:szCs w:val="21"/>
          <w:highlight w:val="none"/>
          <w:lang w:val="en-US" w:eastAsia="zh-CN"/>
        </w:rPr>
        <w:t>11</w:t>
      </w:r>
      <w:r>
        <w:rPr>
          <w:rFonts w:hint="eastAsia" w:ascii="宋体" w:hAnsi="宋体" w:cs="宋体"/>
          <w:color w:val="auto"/>
          <w:sz w:val="24"/>
          <w:szCs w:val="21"/>
          <w:highlight w:val="none"/>
        </w:rPr>
        <w:t>月</w:t>
      </w:r>
      <w:r>
        <w:rPr>
          <w:rFonts w:hint="eastAsia" w:ascii="宋体" w:hAnsi="宋体" w:cs="宋体"/>
          <w:color w:val="auto"/>
          <w:sz w:val="24"/>
          <w:szCs w:val="21"/>
          <w:highlight w:val="none"/>
          <w:lang w:val="en-US" w:eastAsia="zh-CN"/>
        </w:rPr>
        <w:t>23</w:t>
      </w:r>
      <w:r>
        <w:rPr>
          <w:rFonts w:hint="eastAsia" w:ascii="宋体" w:hAnsi="宋体" w:cs="宋体"/>
          <w:color w:val="auto"/>
          <w:sz w:val="24"/>
          <w:szCs w:val="21"/>
          <w:highlight w:val="none"/>
        </w:rPr>
        <w:t>日</w:t>
      </w:r>
      <w:r>
        <w:rPr>
          <w:rFonts w:hint="eastAsia" w:ascii="宋体" w:hAnsi="宋体" w:cs="宋体"/>
          <w:color w:val="auto"/>
          <w:sz w:val="24"/>
          <w:szCs w:val="21"/>
          <w:highlight w:val="none"/>
          <w:lang w:val="en-US" w:eastAsia="zh-CN"/>
        </w:rPr>
        <w:t>09</w:t>
      </w:r>
      <w:r>
        <w:rPr>
          <w:rFonts w:hint="eastAsia" w:ascii="宋体" w:hAnsi="宋体" w:cs="宋体"/>
          <w:color w:val="auto"/>
          <w:sz w:val="24"/>
          <w:szCs w:val="21"/>
          <w:highlight w:val="none"/>
        </w:rPr>
        <w:t>时</w:t>
      </w:r>
      <w:r>
        <w:rPr>
          <w:rFonts w:hint="eastAsia" w:ascii="宋体" w:hAnsi="宋体" w:cs="宋体"/>
          <w:color w:val="auto"/>
          <w:sz w:val="24"/>
          <w:szCs w:val="21"/>
          <w:highlight w:val="none"/>
          <w:lang w:val="en-US" w:eastAsia="zh-CN"/>
        </w:rPr>
        <w:t>30</w:t>
      </w:r>
      <w:r>
        <w:rPr>
          <w:rFonts w:hint="eastAsia" w:ascii="宋体" w:hAnsi="宋体" w:cs="宋体"/>
          <w:color w:val="auto"/>
          <w:sz w:val="24"/>
          <w:szCs w:val="21"/>
          <w:highlight w:val="none"/>
        </w:rPr>
        <w:t>分至2023年</w:t>
      </w:r>
      <w:r>
        <w:rPr>
          <w:rFonts w:hint="eastAsia" w:ascii="宋体" w:hAnsi="宋体" w:cs="宋体"/>
          <w:color w:val="auto"/>
          <w:sz w:val="24"/>
          <w:szCs w:val="21"/>
          <w:highlight w:val="none"/>
          <w:lang w:val="en-US" w:eastAsia="zh-CN"/>
        </w:rPr>
        <w:t>11</w:t>
      </w:r>
      <w:r>
        <w:rPr>
          <w:rFonts w:hint="eastAsia" w:ascii="宋体" w:hAnsi="宋体" w:cs="宋体"/>
          <w:color w:val="auto"/>
          <w:sz w:val="24"/>
          <w:szCs w:val="21"/>
          <w:highlight w:val="none"/>
        </w:rPr>
        <w:t>月</w:t>
      </w:r>
      <w:r>
        <w:rPr>
          <w:rFonts w:hint="eastAsia" w:ascii="宋体" w:hAnsi="宋体" w:cs="宋体"/>
          <w:color w:val="auto"/>
          <w:sz w:val="24"/>
          <w:szCs w:val="21"/>
          <w:highlight w:val="none"/>
          <w:lang w:val="en-US" w:eastAsia="zh-CN"/>
        </w:rPr>
        <w:t>23</w:t>
      </w:r>
      <w:r>
        <w:rPr>
          <w:rFonts w:hint="eastAsia" w:ascii="宋体" w:hAnsi="宋体" w:cs="宋体"/>
          <w:color w:val="auto"/>
          <w:sz w:val="24"/>
          <w:szCs w:val="21"/>
          <w:highlight w:val="none"/>
        </w:rPr>
        <w:t xml:space="preserve"> 日</w:t>
      </w:r>
      <w:r>
        <w:rPr>
          <w:rFonts w:hint="eastAsia" w:ascii="宋体" w:hAnsi="宋体" w:cs="宋体"/>
          <w:color w:val="auto"/>
          <w:sz w:val="24"/>
          <w:szCs w:val="21"/>
          <w:highlight w:val="none"/>
          <w:lang w:val="en-US" w:eastAsia="zh-CN"/>
        </w:rPr>
        <w:t>10</w:t>
      </w:r>
      <w:r>
        <w:rPr>
          <w:rFonts w:hint="eastAsia" w:ascii="宋体" w:hAnsi="宋体" w:cs="宋体"/>
          <w:color w:val="auto"/>
          <w:sz w:val="24"/>
          <w:szCs w:val="21"/>
          <w:highlight w:val="none"/>
        </w:rPr>
        <w:t>时</w:t>
      </w:r>
      <w:r>
        <w:rPr>
          <w:rFonts w:hint="eastAsia" w:ascii="宋体" w:hAnsi="宋体" w:cs="宋体"/>
          <w:color w:val="auto"/>
          <w:sz w:val="24"/>
          <w:szCs w:val="21"/>
          <w:highlight w:val="none"/>
          <w:lang w:val="en-US" w:eastAsia="zh-CN"/>
        </w:rPr>
        <w:t>00</w:t>
      </w:r>
      <w:r>
        <w:rPr>
          <w:rFonts w:hint="eastAsia" w:ascii="宋体" w:hAnsi="宋体" w:cs="宋体"/>
          <w:color w:val="auto"/>
          <w:sz w:val="24"/>
          <w:szCs w:val="21"/>
          <w:highlight w:val="none"/>
        </w:rPr>
        <w:t>分，投标人应在截止时间前按照交易平台关于全流程电子化项目的相关指南进行操作。</w:t>
      </w:r>
    </w:p>
    <w:p>
      <w:pPr>
        <w:widowControl/>
        <w:shd w:val="clear" w:color="auto" w:fill="FFFFFF"/>
        <w:snapToGrid w:val="0"/>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本招标项目采用电子开标，在交易平台上公开进行。邀请所有投标人准时在线参加开标。投标人参与电子开标的具体操作详见交易平台发布的相关操作指引。</w:t>
      </w:r>
    </w:p>
    <w:p>
      <w:pPr>
        <w:widowControl/>
        <w:shd w:val="clear" w:color="auto" w:fill="FFFFFF"/>
        <w:snapToGrid w:val="0"/>
        <w:spacing w:line="360" w:lineRule="auto"/>
        <w:ind w:firstLine="480" w:firstLineChars="200"/>
        <w:jc w:val="left"/>
        <w:rPr>
          <w:rFonts w:ascii="宋体" w:hAnsi="宋体" w:cs="宋体"/>
          <w:color w:val="auto"/>
          <w:sz w:val="24"/>
          <w:szCs w:val="21"/>
          <w:highlight w:val="none"/>
        </w:rPr>
      </w:pPr>
      <w:r>
        <w:rPr>
          <w:rFonts w:hint="eastAsia" w:ascii="宋体" w:hAnsi="宋体" w:cs="宋体"/>
          <w:color w:val="auto"/>
          <w:sz w:val="24"/>
          <w:szCs w:val="21"/>
          <w:highlight w:val="none"/>
        </w:rPr>
        <w:t>5、递交投标文件截止时间及开标时间是否有变化，请密切留意广州交易集团有限公司（广州公共资源交易中心）网站的相关信息。</w:t>
      </w:r>
    </w:p>
    <w:p>
      <w:pPr>
        <w:widowControl/>
        <w:shd w:val="clear" w:color="auto" w:fill="FFFFFF"/>
        <w:snapToGrid w:val="0"/>
        <w:spacing w:line="360" w:lineRule="auto"/>
        <w:ind w:firstLine="480" w:firstLineChars="200"/>
        <w:jc w:val="left"/>
        <w:rPr>
          <w:rFonts w:ascii="宋体" w:hAnsi="宋体" w:cs="宋体"/>
          <w:color w:val="auto"/>
          <w:sz w:val="24"/>
          <w:szCs w:val="21"/>
          <w:highlight w:val="none"/>
        </w:rPr>
      </w:pPr>
      <w:r>
        <w:rPr>
          <w:rFonts w:hint="eastAsia" w:ascii="宋体" w:hAnsi="宋体" w:cs="宋体"/>
          <w:color w:val="auto"/>
          <w:sz w:val="24"/>
          <w:szCs w:val="21"/>
          <w:highlight w:val="none"/>
        </w:rPr>
        <w:t>6、逾期送达的投标文件，交易平台将予以拒收。</w:t>
      </w:r>
    </w:p>
    <w:p>
      <w:pPr>
        <w:spacing w:line="360" w:lineRule="auto"/>
        <w:ind w:firstLine="482" w:firstLineChars="200"/>
        <w:rPr>
          <w:rFonts w:ascii="宋体" w:hAnsi="宋体" w:cs="宋体"/>
          <w:b/>
          <w:bCs/>
          <w:color w:val="auto"/>
          <w:sz w:val="24"/>
          <w:szCs w:val="21"/>
          <w:highlight w:val="none"/>
        </w:rPr>
      </w:pPr>
      <w:r>
        <w:rPr>
          <w:rFonts w:hint="eastAsia" w:ascii="宋体" w:hAnsi="宋体" w:cs="宋体"/>
          <w:b/>
          <w:bCs/>
          <w:color w:val="auto"/>
          <w:sz w:val="24"/>
          <w:szCs w:val="21"/>
          <w:highlight w:val="none"/>
        </w:rPr>
        <w:t>九、投标人合格条件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2、投标人（联合体各成员）均具有独立法人资格，按国家法律经营；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3、</w:t>
      </w:r>
      <w:r>
        <w:rPr>
          <w:rFonts w:hint="eastAsia" w:ascii="宋体" w:hAnsi="宋体" w:cs="宋体"/>
          <w:color w:val="auto"/>
          <w:sz w:val="24"/>
          <w:highlight w:val="none"/>
        </w:rPr>
        <w:t>投标人（联合体各成员）持有建设行政主管部门颁发的企业资质证书；</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4、投标人</w:t>
      </w:r>
      <w:r>
        <w:rPr>
          <w:rFonts w:hint="eastAsia" w:ascii="宋体" w:hAnsi="宋体"/>
          <w:color w:val="auto"/>
          <w:sz w:val="24"/>
          <w:szCs w:val="24"/>
          <w:highlight w:val="none"/>
        </w:rPr>
        <w:t>（若为联合体投标，由施工方提供）</w:t>
      </w:r>
      <w:r>
        <w:rPr>
          <w:rFonts w:hint="eastAsia" w:ascii="宋体" w:hAnsi="宋体" w:cs="宋体"/>
          <w:color w:val="auto"/>
          <w:sz w:val="24"/>
          <w:szCs w:val="24"/>
          <w:highlight w:val="none"/>
        </w:rPr>
        <w:t>持有建设行政主管部门颁发的安全生产许可证；</w:t>
      </w:r>
    </w:p>
    <w:p>
      <w:pPr>
        <w:pStyle w:val="23"/>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kern w:val="2"/>
          <w:sz w:val="24"/>
          <w:szCs w:val="24"/>
          <w:highlight w:val="none"/>
        </w:rPr>
        <w:t>投标人同时具有承接本工程所需的设计</w:t>
      </w:r>
      <w:r>
        <w:rPr>
          <w:rFonts w:hint="eastAsia" w:ascii="宋体" w:hAnsi="宋体" w:eastAsia="宋体" w:cs="宋体"/>
          <w:color w:val="auto"/>
          <w:sz w:val="24"/>
          <w:szCs w:val="24"/>
          <w:highlight w:val="none"/>
        </w:rPr>
        <w:t>类和施工</w:t>
      </w:r>
      <w:r>
        <w:rPr>
          <w:rFonts w:hint="eastAsia" w:ascii="宋体" w:hAnsi="宋体" w:eastAsia="宋体" w:cs="宋体"/>
          <w:color w:val="auto"/>
          <w:kern w:val="2"/>
          <w:sz w:val="24"/>
          <w:szCs w:val="24"/>
          <w:highlight w:val="none"/>
        </w:rPr>
        <w:t>类资质：</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5.1工程设计资质：</w:t>
      </w:r>
      <w:r>
        <w:rPr>
          <w:rFonts w:hint="eastAsia" w:ascii="宋体" w:hAnsi="宋体" w:cs="宋体"/>
          <w:color w:val="auto"/>
          <w:kern w:val="0"/>
          <w:sz w:val="24"/>
          <w:szCs w:val="24"/>
          <w:highlight w:val="none"/>
          <w:u w:val="single"/>
        </w:rPr>
        <w:t>工程设计综合甲级，或建筑行业设计甲级资质，或建筑行业（建筑工程）专业甲级资质，或建筑设计事务所资质</w:t>
      </w:r>
      <w:r>
        <w:rPr>
          <w:rFonts w:hint="eastAsia" w:ascii="宋体" w:hAnsi="宋体" w:cs="宋体"/>
          <w:color w:val="auto"/>
          <w:kern w:val="0"/>
          <w:sz w:val="24"/>
          <w:szCs w:val="24"/>
          <w:highlight w:val="none"/>
        </w:rPr>
        <w:t>；</w:t>
      </w:r>
    </w:p>
    <w:p>
      <w:pPr>
        <w:pStyle w:val="23"/>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香港企业独立参加投标的，须在广东省住房和城乡建设主管部门备案且备案的业务范围为</w:t>
      </w:r>
      <w:r>
        <w:rPr>
          <w:rFonts w:hint="eastAsia" w:ascii="宋体" w:hAnsi="宋体" w:eastAsia="宋体"/>
          <w:color w:val="auto"/>
          <w:sz w:val="24"/>
          <w:highlight w:val="none"/>
          <w:u w:val="single"/>
          <w:lang w:eastAsia="zh-CN"/>
        </w:rPr>
        <w:t>：</w:t>
      </w:r>
      <w:r>
        <w:rPr>
          <w:rFonts w:hint="eastAsia" w:ascii="宋体" w:hAnsi="宋体" w:eastAsia="宋体"/>
          <w:color w:val="auto"/>
          <w:sz w:val="24"/>
          <w:highlight w:val="none"/>
          <w:u w:val="single"/>
        </w:rPr>
        <w:t>满足本项目需要。外国或澳门、台湾的设计企业必须选择一家符合上述条件的企业进行合作设计。香港企业如不单独参加投标，也必须选择一家符合上述条件的企业进行合作设计。</w:t>
      </w:r>
    </w:p>
    <w:p>
      <w:pPr>
        <w:pStyle w:val="23"/>
        <w:spacing w:line="240" w:lineRule="auto"/>
        <w:ind w:firstLine="420" w:firstLineChars="200"/>
        <w:jc w:val="both"/>
        <w:rPr>
          <w:rFonts w:hint="eastAsia" w:ascii="宋体" w:hAnsi="宋体" w:eastAsia="宋体"/>
          <w:color w:val="auto"/>
          <w:sz w:val="21"/>
          <w:szCs w:val="20"/>
          <w:highlight w:val="none"/>
          <w:u w:val="none"/>
        </w:rPr>
      </w:pPr>
      <w:r>
        <w:rPr>
          <w:rFonts w:hint="eastAsia" w:ascii="宋体" w:hAnsi="宋体" w:eastAsia="宋体"/>
          <w:color w:val="auto"/>
          <w:sz w:val="21"/>
          <w:szCs w:val="16"/>
          <w:highlight w:val="none"/>
          <w:u w:val="none"/>
        </w:rPr>
        <w:t>注：1）国内投标人设计资质按照《建设工程勘察设计资质管理规定》（建设部令第160号）、《建设工程勘察设计资质管理规定实施意见》（建市[2007]202号）、《关于印发〈工程设计资质标准〉的通知》（建市[2007]86号）、《住房城乡建设部关于促进建筑工程设计事务所发展有关事项的通知》（建市〔2016〕261号）；2）香港企业参加投标的，须在广东省住房和城乡建设主管部门备案且备案的业务范围应符合本招标项目对工程设计资质的要求。3）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自2021年1月1日起，允许经备案且备案的业务范围满足招标文件要求的香港企业参加设计项目的投标，允许经备案且备案的业务范围满足招标文件要求的香港专业人士担任设计项目管理团队中的相应职务。满足前述内容的香港企业及香港专业人士参与本次投标的，应按招标文件要求提供满足评审的相关证明文件。</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5.2施工资质：</w:t>
      </w:r>
      <w:r>
        <w:rPr>
          <w:rFonts w:hint="eastAsia" w:ascii="宋体" w:hAnsi="宋体" w:cs="宋体"/>
          <w:color w:val="auto"/>
          <w:kern w:val="0"/>
          <w:sz w:val="24"/>
          <w:szCs w:val="24"/>
          <w:highlight w:val="none"/>
          <w:u w:val="single"/>
        </w:rPr>
        <w:t>建筑工程施工总承包贰级或以上资质</w:t>
      </w:r>
      <w:r>
        <w:rPr>
          <w:rFonts w:hint="eastAsia" w:ascii="宋体" w:hAnsi="宋体" w:cs="宋体"/>
          <w:color w:val="auto"/>
          <w:kern w:val="0"/>
          <w:sz w:val="24"/>
          <w:szCs w:val="24"/>
          <w:highlight w:val="none"/>
        </w:rPr>
        <w:t>；</w:t>
      </w:r>
    </w:p>
    <w:p>
      <w:pPr>
        <w:spacing w:line="240" w:lineRule="auto"/>
        <w:ind w:firstLine="420" w:firstLineChars="200"/>
        <w:rPr>
          <w:sz w:val="21"/>
          <w:szCs w:val="21"/>
        </w:rPr>
      </w:pPr>
      <w:r>
        <w:rPr>
          <w:rFonts w:hint="eastAsia" w:ascii="宋体" w:hAnsi="宋体" w:cs="宋体"/>
          <w:color w:val="auto"/>
          <w:kern w:val="0"/>
          <w:sz w:val="21"/>
          <w:szCs w:val="21"/>
          <w:highlight w:val="none"/>
        </w:rPr>
        <w:t>注：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23"/>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6、投标人拟担任本工程：</w:t>
      </w:r>
    </w:p>
    <w:p>
      <w:pPr>
        <w:pStyle w:val="23"/>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负责人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具有在本单位注册的建筑工程专业一级注册建造师执业资格</w:t>
      </w:r>
      <w:r>
        <w:rPr>
          <w:rFonts w:hint="eastAsia" w:ascii="宋体" w:hAnsi="宋体" w:eastAsia="宋体" w:cs="宋体"/>
          <w:color w:val="auto"/>
          <w:sz w:val="24"/>
          <w:szCs w:val="24"/>
          <w:highlight w:val="none"/>
          <w:u w:val="single"/>
          <w:lang w:val="en-US" w:eastAsia="zh-CN"/>
        </w:rPr>
        <w:t>或一级注册建筑师</w:t>
      </w:r>
      <w:r>
        <w:rPr>
          <w:rFonts w:hint="eastAsia" w:ascii="宋体" w:hAnsi="宋体" w:eastAsia="宋体" w:cs="宋体"/>
          <w:color w:val="auto"/>
          <w:sz w:val="24"/>
          <w:szCs w:val="24"/>
          <w:highlight w:val="none"/>
          <w:u w:val="single"/>
        </w:rPr>
        <w:t>执业资格</w:t>
      </w:r>
      <w:r>
        <w:rPr>
          <w:rFonts w:hint="eastAsia" w:ascii="宋体" w:hAnsi="宋体" w:eastAsia="宋体" w:cs="宋体"/>
          <w:color w:val="auto"/>
          <w:sz w:val="24"/>
          <w:szCs w:val="24"/>
          <w:highlight w:val="none"/>
        </w:rPr>
        <w:t>；</w:t>
      </w:r>
    </w:p>
    <w:p>
      <w:pPr>
        <w:pStyle w:val="23"/>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设计负责人：</w:t>
      </w:r>
      <w:r>
        <w:rPr>
          <w:rFonts w:hint="eastAsia" w:ascii="宋体" w:hAnsi="宋体" w:eastAsia="宋体" w:cs="宋体"/>
          <w:color w:val="auto"/>
          <w:sz w:val="24"/>
          <w:szCs w:val="24"/>
          <w:highlight w:val="none"/>
          <w:u w:val="single"/>
        </w:rPr>
        <w:t>须具有在本单位注册的一级注册建筑师执业资格</w:t>
      </w:r>
      <w:r>
        <w:rPr>
          <w:rFonts w:hint="eastAsia" w:ascii="宋体" w:hAnsi="宋体" w:eastAsia="宋体" w:cs="宋体"/>
          <w:color w:val="auto"/>
          <w:sz w:val="24"/>
          <w:szCs w:val="24"/>
          <w:highlight w:val="none"/>
        </w:rPr>
        <w:t>；</w:t>
      </w:r>
    </w:p>
    <w:p>
      <w:pPr>
        <w:pStyle w:val="2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香港企业独立参加投标的，须提供香港建筑师注册管理局注册的建筑师证书描扫件</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并提供在广东省住房和城乡建设主管部门备案证明描扫件。</w:t>
      </w:r>
    </w:p>
    <w:p>
      <w:pPr>
        <w:pStyle w:val="23"/>
        <w:spacing w:line="240" w:lineRule="auto"/>
        <w:ind w:firstLine="420" w:firstLineChars="200"/>
        <w:rPr>
          <w:rFonts w:ascii="宋体" w:hAnsi="宋体" w:eastAsia="宋体" w:cs="宋体"/>
          <w:color w:val="auto"/>
          <w:sz w:val="21"/>
          <w:szCs w:val="21"/>
          <w:highlight w:val="none"/>
        </w:rPr>
      </w:pPr>
      <w:r>
        <w:rPr>
          <w:rFonts w:hint="eastAsia" w:ascii="宋体" w:hAnsi="宋体" w:eastAsia="宋体"/>
          <w:color w:val="auto"/>
          <w:sz w:val="21"/>
          <w:szCs w:val="21"/>
          <w:highlight w:val="none"/>
        </w:rPr>
        <w:t>注：香港专业人士的备案业务范围依据《广东省住房和城乡建设厅关于印发香港工程建设咨询企业和专业人士在粤港澳大湾区内地城市开业执业试点管理暂行办法的通知》（粤建规范〔2020〕1号）确定。</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3施工负责人：</w:t>
      </w:r>
      <w:r>
        <w:rPr>
          <w:rFonts w:hint="eastAsia" w:ascii="宋体" w:hAnsi="宋体" w:eastAsia="宋体" w:cs="宋体"/>
          <w:color w:val="auto"/>
          <w:sz w:val="24"/>
          <w:szCs w:val="24"/>
          <w:highlight w:val="none"/>
          <w:u w:val="single"/>
        </w:rPr>
        <w:t>如项目</w:t>
      </w:r>
      <w:r>
        <w:rPr>
          <w:rFonts w:hint="eastAsia" w:ascii="宋体" w:hAnsi="宋体" w:eastAsia="宋体" w:cs="宋体"/>
          <w:color w:val="auto"/>
          <w:sz w:val="24"/>
          <w:szCs w:val="24"/>
          <w:highlight w:val="none"/>
          <w:u w:val="single"/>
          <w:lang w:eastAsia="zh-CN"/>
        </w:rPr>
        <w:t>负责人</w:t>
      </w:r>
      <w:r>
        <w:rPr>
          <w:rFonts w:hint="eastAsia" w:ascii="宋体" w:hAnsi="宋体" w:eastAsia="宋体" w:cs="宋体"/>
          <w:color w:val="auto"/>
          <w:sz w:val="24"/>
          <w:szCs w:val="24"/>
          <w:highlight w:val="none"/>
          <w:u w:val="single"/>
        </w:rPr>
        <w:t>不具备在本单位注册的建筑工程专业一级注册建造师执业资格，则施工负责人须具有在本单位注册的建筑工程专业一级注册建造师执业资格，持有项目负责人安全生产考核合格证（B类）或建筑施工企业项目负责人安全生产考核合格证书。且不得担任其他在施建设工程项目的项目经理或</w:t>
      </w:r>
      <w:r>
        <w:rPr>
          <w:rFonts w:hint="eastAsia" w:ascii="宋体" w:hAnsi="宋体" w:eastAsia="宋体" w:cs="宋体"/>
          <w:color w:val="auto"/>
          <w:sz w:val="24"/>
          <w:szCs w:val="24"/>
          <w:highlight w:val="none"/>
          <w:u w:val="single"/>
          <w:lang w:val="en-US" w:eastAsia="zh-CN"/>
        </w:rPr>
        <w:t>工程总承包</w:t>
      </w:r>
      <w:r>
        <w:rPr>
          <w:rFonts w:hint="eastAsia" w:ascii="宋体" w:hAnsi="宋体" w:eastAsia="宋体" w:cs="宋体"/>
          <w:color w:val="auto"/>
          <w:sz w:val="24"/>
          <w:szCs w:val="24"/>
          <w:highlight w:val="none"/>
          <w:u w:val="single"/>
        </w:rPr>
        <w:t>项目的施工负责人</w:t>
      </w:r>
      <w:r>
        <w:rPr>
          <w:rFonts w:hint="eastAsia" w:ascii="宋体" w:hAnsi="宋体" w:eastAsia="宋体" w:cs="宋体"/>
          <w:color w:val="auto"/>
          <w:sz w:val="24"/>
          <w:szCs w:val="24"/>
          <w:highlight w:val="none"/>
        </w:rPr>
        <w:t>。</w:t>
      </w:r>
    </w:p>
    <w:p>
      <w:pPr>
        <w:pStyle w:val="23"/>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建造师的专业及等级标准按《注册建造师执业管理办法（试行）》及《注册建造师执业工程规模标准（试行）》。根据《住房和城乡建设部办公厅关于取消建造师临时执业证书的通知》（建办市〔2019〕50号）和《广东省住房和城乡建设厅关于取消二级建造师临时执业证书的通知》（粤建市[2019]153号），取消建造师临时执业证书。</w:t>
      </w:r>
    </w:p>
    <w:p>
      <w:pPr>
        <w:pStyle w:val="23"/>
        <w:spacing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根据《广东省住房和城乡建设厅关于明确二级建造师注册执业有关问题的通知》（粤建市函〔2023〕469号），二级建造师应在考试取得执业资格的省、自治区、直辖市申请注册，二级注册建造师可随注册企业在全国范围内执业。投标人应提供有效的二级建造师执业资格证书。打印建造师电子证书后，应在个人签字处手写本人签名，未手写签字或与图像笔迹不一致的，该电子证书无效）。</w:t>
      </w: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负责人在任职期间不得担任专职安全员，项目专职安全员在任职期间也不得担任</w:t>
      </w: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负责人和专职安全员不为同一人。</w:t>
      </w:r>
    </w:p>
    <w:p>
      <w:pPr>
        <w:pStyle w:val="23"/>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、项目管理机构其他人员要求（如是联合体投标，指联合体的施工方提供）：</w:t>
      </w:r>
    </w:p>
    <w:p>
      <w:pPr>
        <w:pStyle w:val="23"/>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施工技术负责人：</w:t>
      </w:r>
      <w:r>
        <w:rPr>
          <w:rFonts w:hint="eastAsia" w:ascii="宋体" w:hAnsi="宋体" w:eastAsia="宋体" w:cs="宋体"/>
          <w:color w:val="auto"/>
          <w:sz w:val="24"/>
          <w:szCs w:val="24"/>
          <w:highlight w:val="none"/>
          <w:u w:val="single"/>
        </w:rPr>
        <w:t>1名，须具有建筑工程相关专业高级工程师或以上职称</w:t>
      </w:r>
      <w:r>
        <w:rPr>
          <w:rFonts w:hint="eastAsia" w:ascii="宋体" w:hAnsi="宋体" w:eastAsia="宋体" w:cs="宋体"/>
          <w:color w:val="auto"/>
          <w:sz w:val="24"/>
          <w:szCs w:val="24"/>
          <w:highlight w:val="none"/>
        </w:rPr>
        <w:t>；</w:t>
      </w:r>
    </w:p>
    <w:p>
      <w:pPr>
        <w:pStyle w:val="23"/>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专职安全员：</w:t>
      </w:r>
      <w:r>
        <w:rPr>
          <w:rFonts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rPr>
        <w:t>名，须具有在有效期内的安全生产考核合格证（C类），或建筑施工企业专职安全生产管理人员安全生产考核合格证书（C3）。施工负责人和安全员不为同一人</w:t>
      </w:r>
      <w:r>
        <w:rPr>
          <w:rFonts w:hint="eastAsia" w:ascii="宋体" w:hAnsi="宋体" w:eastAsia="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bookmarkStart w:id="4" w:name="_Toc266881397"/>
      <w:bookmarkStart w:id="5" w:name="_Toc253143216"/>
      <w:bookmarkStart w:id="6" w:name="_Toc245023997"/>
      <w:bookmarkStart w:id="7" w:name="_Toc249845968"/>
      <w:bookmarkStart w:id="8" w:name="_Toc249846223"/>
      <w:bookmarkStart w:id="9" w:name="_Toc266093545"/>
      <w:r>
        <w:rPr>
          <w:rFonts w:hint="eastAsia" w:ascii="宋体" w:hAnsi="宋体" w:cs="宋体"/>
          <w:color w:val="auto"/>
          <w:sz w:val="24"/>
          <w:szCs w:val="24"/>
          <w:highlight w:val="none"/>
        </w:rPr>
        <w:t>8、关于联合体投标</w:t>
      </w:r>
      <w:bookmarkEnd w:id="4"/>
      <w:bookmarkEnd w:id="5"/>
      <w:bookmarkEnd w:id="6"/>
      <w:bookmarkEnd w:id="7"/>
      <w:bookmarkEnd w:id="8"/>
      <w:bookmarkEnd w:id="9"/>
    </w:p>
    <w:p>
      <w:pPr>
        <w:shd w:val="clear" w:color="auto" w:fill="FFFFFF"/>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允许联合体投标，联合体成员由1家设计单位、1家施工单位组成，且应以施工单位为牵头方，并签订联合体协议书。联合体协议书应明确约定各方拟承担的工作和责任。(注：组成联合体承接按资质标准划分为同一类工程的投标人，在资格审查环节，其资质按联合体成员中最低者确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8.2投标人拟任本工程项目负责人、设计负责人、施工负责人</w:t>
      </w:r>
      <w:r>
        <w:rPr>
          <w:rFonts w:hint="eastAsia" w:ascii="宋体" w:hAnsi="宋体"/>
          <w:color w:val="auto"/>
          <w:sz w:val="24"/>
          <w:szCs w:val="24"/>
          <w:highlight w:val="none"/>
        </w:rPr>
        <w:t>及专职安全员</w:t>
      </w:r>
      <w:r>
        <w:rPr>
          <w:rFonts w:hint="eastAsia" w:ascii="宋体" w:hAnsi="宋体" w:cs="宋体"/>
          <w:color w:val="auto"/>
          <w:sz w:val="24"/>
          <w:szCs w:val="24"/>
          <w:highlight w:val="none"/>
        </w:rPr>
        <w:t>必须是联合体中对应分工成员的正式员工。</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8.3联合体的资格条件按联合体任务分工进行评审[</w:t>
      </w:r>
      <w:r>
        <w:rPr>
          <w:rFonts w:hint="eastAsia" w:ascii="宋体" w:hAnsi="宋体" w:cs="宋体"/>
          <w:color w:val="auto"/>
          <w:sz w:val="24"/>
          <w:szCs w:val="24"/>
          <w:highlight w:val="none"/>
          <w:u w:val="single"/>
        </w:rPr>
        <w:t>其中，施工资质、安全生产许可证以承接施工任务的成员为准，项目负责人、施工负责人、专职安全人员、施工技术负责人以承接施工任务的成员为准；工程设计资质及设计负责人以承接设计任务的成员为准]</w:t>
      </w:r>
      <w:r>
        <w:rPr>
          <w:rFonts w:hint="eastAsia" w:ascii="宋体" w:hAnsi="宋体" w:cs="宋体"/>
          <w:color w:val="auto"/>
          <w:sz w:val="24"/>
          <w:szCs w:val="24"/>
          <w:highlight w:val="none"/>
          <w:u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8.4联合体各方不得再以自己名义单独或加入其他联合体参加本项目的投标。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ascii="宋体" w:hAnsi="宋体" w:cs="宋体"/>
          <w:color w:val="auto"/>
          <w:sz w:val="24"/>
          <w:szCs w:val="24"/>
          <w:highlight w:val="none"/>
        </w:rPr>
        <w:t>.5</w:t>
      </w:r>
      <w:r>
        <w:rPr>
          <w:rFonts w:hint="eastAsia" w:ascii="宋体" w:hAnsi="宋体" w:cs="宋体"/>
          <w:color w:val="auto"/>
          <w:sz w:val="24"/>
          <w:szCs w:val="24"/>
          <w:highlight w:val="none"/>
        </w:rPr>
        <w:t>联合体牵头方作为本工程的总负责方，</w:t>
      </w:r>
      <w:r>
        <w:rPr>
          <w:rFonts w:hint="eastAsia" w:ascii="宋体" w:hAnsi="宋体" w:cs="宋体"/>
          <w:color w:val="auto"/>
          <w:sz w:val="24"/>
          <w:szCs w:val="24"/>
          <w:highlight w:val="none"/>
          <w:lang w:val="en-US" w:eastAsia="zh-CN"/>
        </w:rPr>
        <w:t>投标阶段</w:t>
      </w:r>
      <w:r>
        <w:rPr>
          <w:rFonts w:hint="eastAsia" w:ascii="宋体" w:hAnsi="宋体" w:cs="宋体"/>
          <w:color w:val="auto"/>
          <w:sz w:val="24"/>
          <w:szCs w:val="24"/>
          <w:highlight w:val="none"/>
        </w:rPr>
        <w:t>联合体与招标人之间的往来所有事宜（包括信函、担保等）均将通过牵头方传递。</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9、</w:t>
      </w:r>
      <w:bookmarkStart w:id="10" w:name="_Toc245023998"/>
      <w:bookmarkStart w:id="11" w:name="_Toc266881398"/>
      <w:bookmarkStart w:id="12" w:name="_Toc266093546"/>
      <w:bookmarkStart w:id="13" w:name="_Toc249845969"/>
      <w:bookmarkStart w:id="14" w:name="_Toc253143217"/>
      <w:bookmarkStart w:id="15" w:name="_Toc249846224"/>
      <w:r>
        <w:rPr>
          <w:rFonts w:hint="eastAsia" w:ascii="宋体" w:hAnsi="宋体" w:cs="宋体"/>
          <w:color w:val="auto"/>
          <w:sz w:val="24"/>
          <w:szCs w:val="24"/>
          <w:highlight w:val="none"/>
          <w:u w:val="single"/>
        </w:rPr>
        <w:t>资格审查前，投标人（含联合体各方）须在广州市住房和城乡建设局建立企业诚信档案，拟担任本工程项目负责人</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设计负责人、</w:t>
      </w:r>
      <w:r>
        <w:rPr>
          <w:rFonts w:hint="eastAsia" w:ascii="宋体" w:hAnsi="宋体" w:cs="宋体"/>
          <w:color w:val="auto"/>
          <w:sz w:val="24"/>
          <w:szCs w:val="24"/>
          <w:highlight w:val="none"/>
          <w:u w:val="single"/>
        </w:rPr>
        <w:t>施工负责人、专</w:t>
      </w:r>
      <w:r>
        <w:rPr>
          <w:rFonts w:hint="eastAsia" w:ascii="宋体" w:hAnsi="宋体"/>
          <w:color w:val="auto"/>
          <w:sz w:val="24"/>
          <w:szCs w:val="24"/>
          <w:highlight w:val="none"/>
          <w:u w:val="single"/>
        </w:rPr>
        <w:t>职安全员</w:t>
      </w:r>
      <w:r>
        <w:rPr>
          <w:rFonts w:hint="eastAsia" w:ascii="宋体" w:hAnsi="宋体" w:cs="宋体"/>
          <w:color w:val="auto"/>
          <w:sz w:val="24"/>
          <w:szCs w:val="24"/>
          <w:highlight w:val="none"/>
          <w:u w:val="single"/>
        </w:rPr>
        <w:t>须是本企业诚信档案中的在册人员</w:t>
      </w:r>
      <w:r>
        <w:rPr>
          <w:rFonts w:hint="eastAsia" w:ascii="宋体" w:hAnsi="宋体" w:cs="宋体"/>
          <w:color w:val="auto"/>
          <w:sz w:val="24"/>
          <w:szCs w:val="24"/>
          <w:highlight w:val="none"/>
          <w:u w:val="none"/>
        </w:rPr>
        <w:t>。</w:t>
      </w:r>
    </w:p>
    <w:p>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eastAsia="宋体" w:cs="宋体"/>
          <w:bCs w:val="0"/>
          <w:color w:val="auto"/>
          <w:kern w:val="2"/>
          <w:sz w:val="21"/>
          <w:szCs w:val="21"/>
          <w:highlight w:val="none"/>
        </w:rPr>
        <w:t>企业信用档案取自投标截止时间投标人在信用管理平台的信息，投标人可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广州市住建行业信用管理平台设计企业信息录入指引》 http://zfcj.gz.gov.cn/zwgk/zsdwxxgkzl/gzsjzyglfwzx/bszy/content/post_9116013.html。</w:t>
      </w:r>
    </w:p>
    <w:p>
      <w:pPr>
        <w:numPr>
          <w:ilvl w:val="0"/>
          <w:numId w:val="1"/>
        </w:numPr>
        <w:spacing w:line="360" w:lineRule="auto"/>
        <w:ind w:firstLine="480" w:firstLineChars="200"/>
        <w:rPr>
          <w:rFonts w:hint="eastAsia"/>
        </w:rPr>
      </w:pPr>
      <w:r>
        <w:rPr>
          <w:rFonts w:hint="eastAsia" w:ascii="宋体" w:hAnsi="宋体" w:cs="宋体"/>
          <w:color w:val="auto"/>
          <w:sz w:val="24"/>
          <w:highlight w:val="none"/>
        </w:rPr>
        <w:t>投标人（含联合体各方）未出现以下情形：与其它投标人（含联合体各方）的单位负责人为同一人或者存在控股、管理关系的（按投标人提供的《投标申请人声明》第八条内容进行评审）。</w:t>
      </w:r>
    </w:p>
    <w:p>
      <w:pPr>
        <w:numPr>
          <w:ilvl w:val="0"/>
          <w:numId w:val="1"/>
        </w:numPr>
        <w:spacing w:line="360" w:lineRule="auto"/>
        <w:ind w:firstLine="480" w:firstLineChars="200"/>
        <w:rPr>
          <w:rFonts w:hint="eastAsia"/>
        </w:rPr>
      </w:pPr>
      <w:r>
        <w:rPr>
          <w:rFonts w:hint="eastAsia" w:ascii="宋体" w:hAnsi="宋体" w:cs="宋体"/>
          <w:color w:val="auto"/>
          <w:sz w:val="24"/>
          <w:highlight w:val="none"/>
        </w:rPr>
        <w:t>未被列入拖欠农民工工资失信联合惩戒对象名单（投标人无需提供资料，按交易系统比对的结果进行评审）。</w:t>
      </w:r>
    </w:p>
    <w:p>
      <w:pPr>
        <w:numPr>
          <w:ilvl w:val="-1"/>
          <w:numId w:val="0"/>
        </w:numPr>
        <w:spacing w:line="240" w:lineRule="auto"/>
        <w:ind w:firstLine="440" w:firstLineChars="200"/>
        <w:rPr>
          <w:rFonts w:hint="eastAsia"/>
          <w:sz w:val="22"/>
          <w:szCs w:val="22"/>
        </w:rPr>
      </w:pPr>
      <w:r>
        <w:rPr>
          <w:rFonts w:hint="eastAsia" w:ascii="宋体" w:hAnsi="宋体" w:cs="宋体"/>
          <w:color w:val="auto"/>
          <w:sz w:val="22"/>
          <w:szCs w:val="22"/>
          <w:highlight w:val="none"/>
        </w:rPr>
        <w:t>注：①对于取自投标人在广州市住建行业信用管理平台内信息的，平台内记录的该部分信息将被视为投标人递交投标文件（资格审查资料）的一部分。评标委员会对该部分资料的审查以递交投标文件截止时间在广州市住建行业信用管理平台内的上传件为依据。若招标人延长递交投标文件截止时间，以延长递交投标文件截止时在广州市住建行业信用管理平台内的上传件为依据,且投标人应及时维护相关上传件，确保各项上传件的有效性。（诚信档案办理详见http://zfcj.gz.gov.cn/zwgk/zsdwxxgkzl/gzsjzyglfwzx/中企业办事指南）。</w:t>
      </w:r>
    </w:p>
    <w:p>
      <w:pPr>
        <w:numPr>
          <w:ilvl w:val="0"/>
          <w:numId w:val="0"/>
        </w:numPr>
        <w:spacing w:line="240" w:lineRule="auto"/>
        <w:ind w:firstLine="220" w:firstLineChars="100"/>
        <w:rPr>
          <w:rFonts w:hint="eastAsia"/>
          <w:sz w:val="22"/>
          <w:szCs w:val="22"/>
        </w:rPr>
      </w:pPr>
      <w:r>
        <w:rPr>
          <w:rFonts w:hint="eastAsia" w:ascii="宋体" w:hAnsi="宋体" w:cs="宋体"/>
          <w:color w:val="auto"/>
          <w:sz w:val="22"/>
          <w:szCs w:val="22"/>
          <w:highlight w:val="none"/>
        </w:rPr>
        <w:t>②未在招标公告第</w:t>
      </w:r>
      <w:r>
        <w:rPr>
          <w:rFonts w:hint="eastAsia" w:ascii="宋体" w:hAnsi="宋体" w:cs="宋体"/>
          <w:color w:val="auto"/>
          <w:sz w:val="22"/>
          <w:szCs w:val="22"/>
          <w:highlight w:val="none"/>
          <w:lang w:val="en-US" w:eastAsia="zh-CN"/>
        </w:rPr>
        <w:t>九</w:t>
      </w:r>
      <w:r>
        <w:rPr>
          <w:rFonts w:hint="eastAsia" w:ascii="宋体" w:hAnsi="宋体" w:cs="宋体"/>
          <w:color w:val="auto"/>
          <w:sz w:val="22"/>
          <w:szCs w:val="22"/>
          <w:highlight w:val="none"/>
        </w:rPr>
        <w:t>条单列的资审合格条件，不作为资审不合格的依据。</w:t>
      </w:r>
    </w:p>
    <w:p>
      <w:pPr>
        <w:spacing w:line="360" w:lineRule="auto"/>
        <w:ind w:firstLine="482" w:firstLineChars="200"/>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rPr>
        <w:t>十、</w:t>
      </w:r>
      <w:bookmarkEnd w:id="10"/>
      <w:bookmarkEnd w:id="11"/>
      <w:bookmarkEnd w:id="12"/>
      <w:bookmarkEnd w:id="13"/>
      <w:bookmarkEnd w:id="14"/>
      <w:bookmarkEnd w:id="15"/>
      <w:r>
        <w:rPr>
          <w:rFonts w:hint="eastAsia" w:ascii="宋体" w:hAnsi="宋体" w:cs="宋体"/>
          <w:b/>
          <w:color w:val="auto"/>
          <w:sz w:val="24"/>
          <w:szCs w:val="24"/>
          <w:highlight w:val="none"/>
          <w:shd w:val="clear" w:color="auto" w:fill="FFFFFF"/>
        </w:rPr>
        <w:t>资格审查方式</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shd w:val="clear" w:color="auto" w:fill="FFFFFF"/>
        </w:rPr>
        <w:t>本项目采用资格后审，由评标委员会负责对投标人的资格进行审查，</w:t>
      </w:r>
      <w:r>
        <w:rPr>
          <w:rFonts w:hint="eastAsia" w:ascii="宋体" w:hAnsi="宋体" w:cs="宋体"/>
          <w:color w:val="auto"/>
          <w:sz w:val="24"/>
          <w:szCs w:val="24"/>
          <w:highlight w:val="none"/>
        </w:rPr>
        <w:t>评标时只对通过资格审查的投标人进行下一阶段的评审。</w:t>
      </w:r>
      <w:r>
        <w:rPr>
          <w:rFonts w:hint="eastAsia" w:ascii="宋体" w:hAnsi="宋体" w:cs="宋体"/>
          <w:color w:val="auto"/>
          <w:sz w:val="24"/>
          <w:szCs w:val="24"/>
          <w:highlight w:val="none"/>
          <w:shd w:val="clear" w:color="auto" w:fill="FFFFFF"/>
        </w:rPr>
        <w:t>满足资格审查合格条件的投标人不足</w:t>
      </w:r>
      <w:r>
        <w:rPr>
          <w:rFonts w:hint="eastAsia" w:ascii="宋体" w:hAnsi="宋体" w:cs="宋体"/>
          <w:color w:val="auto"/>
          <w:sz w:val="24"/>
          <w:szCs w:val="24"/>
          <w:highlight w:val="none"/>
        </w:rPr>
        <w:t>3名时招标失败。招标人分析招标失败原因，修正招标方案，报有关管理部门核准后，重新组织招标。</w:t>
      </w:r>
    </w:p>
    <w:p>
      <w:pPr>
        <w:shd w:val="clear" w:color="auto" w:fill="FFFFFF"/>
        <w:spacing w:line="360" w:lineRule="auto"/>
        <w:ind w:firstLine="482" w:firstLineChars="200"/>
        <w:rPr>
          <w:rFonts w:ascii="宋体" w:hAnsi="宋体" w:cs="宋体"/>
          <w:b/>
          <w:color w:val="auto"/>
          <w:kern w:val="0"/>
          <w:szCs w:val="21"/>
          <w:highlight w:val="none"/>
        </w:rPr>
      </w:pPr>
      <w:r>
        <w:rPr>
          <w:rFonts w:hint="eastAsia" w:ascii="宋体" w:hAnsi="宋体" w:cs="宋体"/>
          <w:b/>
          <w:color w:val="auto"/>
          <w:kern w:val="0"/>
          <w:sz w:val="24"/>
          <w:szCs w:val="24"/>
          <w:highlight w:val="none"/>
        </w:rPr>
        <w:t>十一、</w:t>
      </w:r>
      <w:r>
        <w:rPr>
          <w:rFonts w:hint="eastAsia" w:ascii="宋体" w:hAnsi="宋体" w:cs="宋体"/>
          <w:b/>
          <w:color w:val="auto"/>
          <w:sz w:val="24"/>
          <w:szCs w:val="24"/>
          <w:highlight w:val="none"/>
          <w:shd w:val="clear" w:color="auto" w:fill="FFFFFF"/>
        </w:rPr>
        <w:t>资格审查结果及中标结果将在广州公共资源交易中心网站公示，公开接受投标人的监督。</w:t>
      </w:r>
    </w:p>
    <w:p>
      <w:pPr>
        <w:widowControl/>
        <w:shd w:val="clear" w:color="auto" w:fill="FFFFFF"/>
        <w:tabs>
          <w:tab w:val="left" w:pos="105"/>
        </w:tabs>
        <w:spacing w:line="360" w:lineRule="auto"/>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eastAsia="zh-CN"/>
        </w:rPr>
        <w:t>二</w:t>
      </w:r>
      <w:r>
        <w:rPr>
          <w:rFonts w:hint="eastAsia" w:ascii="宋体" w:hAnsi="宋体" w:cs="宋体"/>
          <w:b/>
          <w:color w:val="auto"/>
          <w:sz w:val="24"/>
          <w:szCs w:val="24"/>
          <w:highlight w:val="none"/>
        </w:rPr>
        <w:t>、费用</w:t>
      </w:r>
    </w:p>
    <w:p>
      <w:pPr>
        <w:widowControl w:val="0"/>
        <w:shd w:val="clear" w:color="auto" w:fill="FFFFFF"/>
        <w:adjustRightInd w:val="0"/>
        <w:snapToGrid w:val="0"/>
        <w:spacing w:line="360" w:lineRule="auto"/>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本项目</w:t>
      </w:r>
      <w:r>
        <w:rPr>
          <w:rFonts w:hint="eastAsia" w:ascii="宋体" w:hAnsi="宋体" w:cs="宋体"/>
          <w:color w:val="auto"/>
          <w:sz w:val="24"/>
          <w:szCs w:val="24"/>
          <w:highlight w:val="none"/>
        </w:rPr>
        <w:t>最高投标限价为：人民币</w:t>
      </w:r>
      <w:r>
        <w:rPr>
          <w:rFonts w:hint="eastAsia" w:ascii="宋体" w:hAnsi="宋体" w:cs="宋体"/>
          <w:color w:val="auto"/>
          <w:sz w:val="24"/>
          <w:szCs w:val="24"/>
          <w:highlight w:val="none"/>
          <w:u w:val="single"/>
        </w:rPr>
        <w:t xml:space="preserve">84,700.35 </w:t>
      </w:r>
      <w:r>
        <w:rPr>
          <w:rFonts w:hint="eastAsia" w:ascii="宋体" w:hAnsi="宋体" w:cs="宋体"/>
          <w:color w:val="auto"/>
          <w:sz w:val="24"/>
          <w:szCs w:val="24"/>
          <w:highlight w:val="none"/>
        </w:rPr>
        <w:t>万元，其中：建安工程费投标最高限价为</w:t>
      </w:r>
      <w:r>
        <w:rPr>
          <w:rFonts w:hint="eastAsia" w:ascii="宋体" w:hAnsi="宋体" w:cs="宋体"/>
          <w:color w:val="auto"/>
          <w:sz w:val="24"/>
          <w:szCs w:val="24"/>
          <w:highlight w:val="none"/>
          <w:u w:val="single"/>
        </w:rPr>
        <w:t xml:space="preserve">82,961.25 </w:t>
      </w:r>
      <w:r>
        <w:rPr>
          <w:rFonts w:hint="eastAsia" w:ascii="宋体" w:hAnsi="宋体" w:cs="宋体"/>
          <w:color w:val="auto"/>
          <w:sz w:val="24"/>
          <w:szCs w:val="24"/>
          <w:highlight w:val="none"/>
        </w:rPr>
        <w:t>万元</w:t>
      </w:r>
      <w:r>
        <w:rPr>
          <w:rFonts w:ascii="宋体" w:hAnsi="宋体" w:cs="宋体"/>
          <w:color w:val="auto"/>
          <w:sz w:val="24"/>
          <w:szCs w:val="24"/>
          <w:highlight w:val="none"/>
        </w:rPr>
        <w:t>；设计费投标最高限价为</w:t>
      </w:r>
      <w:r>
        <w:rPr>
          <w:rFonts w:hint="eastAsia" w:ascii="宋体" w:hAnsi="宋体" w:cs="宋体"/>
          <w:color w:val="auto"/>
          <w:sz w:val="24"/>
          <w:szCs w:val="24"/>
          <w:highlight w:val="none"/>
          <w:u w:val="single"/>
        </w:rPr>
        <w:t xml:space="preserve">1,509.02 </w:t>
      </w:r>
      <w:r>
        <w:rPr>
          <w:rFonts w:hint="eastAsia" w:ascii="宋体" w:hAnsi="宋体" w:cs="宋体"/>
          <w:color w:val="auto"/>
          <w:sz w:val="24"/>
          <w:szCs w:val="24"/>
          <w:highlight w:val="none"/>
        </w:rPr>
        <w:t>万元；</w:t>
      </w:r>
      <w:r>
        <w:rPr>
          <w:rFonts w:ascii="宋体" w:hAnsi="宋体" w:cs="宋体"/>
          <w:color w:val="auto"/>
          <w:sz w:val="24"/>
          <w:szCs w:val="24"/>
          <w:highlight w:val="none"/>
        </w:rPr>
        <w:t>其他费投标最高限价为</w:t>
      </w:r>
      <w:r>
        <w:rPr>
          <w:rFonts w:hint="eastAsia" w:ascii="宋体" w:hAnsi="宋体" w:cs="宋体"/>
          <w:color w:val="auto"/>
          <w:sz w:val="24"/>
          <w:szCs w:val="24"/>
          <w:highlight w:val="none"/>
          <w:u w:val="single"/>
        </w:rPr>
        <w:t xml:space="preserve">230.08 </w:t>
      </w:r>
      <w:r>
        <w:rPr>
          <w:rFonts w:hint="eastAsia" w:ascii="宋体" w:hAnsi="宋体" w:cs="宋体"/>
          <w:color w:val="auto"/>
          <w:sz w:val="24"/>
          <w:szCs w:val="24"/>
          <w:highlight w:val="none"/>
        </w:rPr>
        <w:t>万元。</w:t>
      </w:r>
    </w:p>
    <w:p>
      <w:pPr>
        <w:widowControl w:val="0"/>
        <w:shd w:val="clear" w:color="auto" w:fill="FFFFFF"/>
        <w:tabs>
          <w:tab w:val="left" w:pos="105"/>
        </w:tabs>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十</w:t>
      </w:r>
      <w:r>
        <w:rPr>
          <w:rFonts w:hint="eastAsia" w:ascii="宋体" w:hAnsi="宋体" w:cs="宋体"/>
          <w:b/>
          <w:bCs/>
          <w:color w:val="auto"/>
          <w:kern w:val="0"/>
          <w:sz w:val="24"/>
          <w:szCs w:val="24"/>
          <w:highlight w:val="none"/>
          <w:lang w:eastAsia="zh-CN"/>
        </w:rPr>
        <w:t>三</w:t>
      </w:r>
      <w:r>
        <w:rPr>
          <w:rFonts w:hint="eastAsia" w:ascii="宋体" w:hAnsi="宋体" w:cs="宋体"/>
          <w:b/>
          <w:bCs/>
          <w:color w:val="auto"/>
          <w:kern w:val="0"/>
          <w:sz w:val="24"/>
          <w:szCs w:val="24"/>
          <w:highlight w:val="none"/>
        </w:rPr>
        <w:t>、其他事项</w:t>
      </w:r>
    </w:p>
    <w:p>
      <w:pPr>
        <w:widowControl/>
        <w:shd w:val="clear" w:color="auto" w:fill="FFFFFF"/>
        <w:tabs>
          <w:tab w:val="left" w:pos="105"/>
        </w:tabs>
        <w:spacing w:line="360" w:lineRule="auto"/>
        <w:ind w:firstLine="480" w:firstLineChars="200"/>
        <w:jc w:val="left"/>
        <w:rPr>
          <w:rFonts w:hint="eastAsia" w:ascii="宋体" w:hAnsi="宋体" w:cs="Times New Roman"/>
          <w:color w:val="auto"/>
          <w:kern w:val="2"/>
          <w:sz w:val="24"/>
          <w:szCs w:val="24"/>
          <w:highlight w:val="none"/>
          <w:u w:val="single"/>
          <w:shd w:val="clear" w:color="auto" w:fill="FFFFFF"/>
        </w:rPr>
      </w:pPr>
      <w:r>
        <w:rPr>
          <w:rFonts w:hint="eastAsia" w:ascii="宋体" w:hAnsi="宋体" w:cs="宋体"/>
          <w:bCs/>
          <w:color w:val="auto"/>
          <w:kern w:val="0"/>
          <w:sz w:val="24"/>
          <w:szCs w:val="24"/>
          <w:highlight w:val="none"/>
        </w:rPr>
        <w:t>1</w:t>
      </w:r>
      <w:r>
        <w:rPr>
          <w:rFonts w:hint="eastAsia" w:ascii="宋体" w:hAnsi="宋体" w:cs="宋体"/>
          <w:color w:val="auto"/>
          <w:kern w:val="0"/>
          <w:sz w:val="24"/>
          <w:szCs w:val="24"/>
          <w:highlight w:val="none"/>
        </w:rPr>
        <w:t>、前期服务机构：</w:t>
      </w:r>
      <w:r>
        <w:rPr>
          <w:rFonts w:hint="eastAsia" w:ascii="宋体" w:hAnsi="宋体"/>
          <w:color w:val="auto"/>
          <w:sz w:val="24"/>
          <w:szCs w:val="24"/>
          <w:highlight w:val="none"/>
          <w:u w:val="single"/>
          <w:shd w:val="clear" w:color="auto" w:fill="FFFFFF"/>
        </w:rPr>
        <w:t>广东建筑艺术设计院有限公司</w:t>
      </w:r>
      <w:r>
        <w:rPr>
          <w:rFonts w:hint="eastAsia" w:ascii="宋体" w:hAnsi="宋体" w:cs="Times New Roman"/>
          <w:color w:val="auto"/>
          <w:sz w:val="24"/>
          <w:szCs w:val="24"/>
          <w:highlight w:val="none"/>
          <w:u w:val="single"/>
          <w:shd w:val="clear" w:color="auto" w:fill="FFFFFF"/>
        </w:rPr>
        <w:t>、</w:t>
      </w:r>
      <w:r>
        <w:rPr>
          <w:rFonts w:ascii="宋体" w:hAnsi="宋体" w:eastAsia="宋体" w:cs="Times New Roman"/>
          <w:color w:val="auto"/>
          <w:sz w:val="24"/>
          <w:szCs w:val="24"/>
          <w:highlight w:val="none"/>
          <w:u w:val="single"/>
          <w:shd w:val="clear" w:color="auto" w:fill="FFFFFF"/>
          <w:lang w:eastAsia="zh-TW"/>
        </w:rPr>
        <w:t>广东</w:t>
      </w:r>
      <w:r>
        <w:rPr>
          <w:rFonts w:hint="eastAsia" w:ascii="宋体" w:hAnsi="宋体" w:eastAsia="宋体" w:cs="Times New Roman"/>
          <w:color w:val="auto"/>
          <w:sz w:val="24"/>
          <w:szCs w:val="24"/>
          <w:highlight w:val="none"/>
          <w:u w:val="single"/>
          <w:shd w:val="clear" w:color="auto" w:fill="FFFFFF"/>
          <w:lang w:eastAsia="zh-TW"/>
        </w:rPr>
        <w:t>省建筑</w:t>
      </w:r>
      <w:r>
        <w:rPr>
          <w:rFonts w:ascii="宋体" w:hAnsi="宋体" w:eastAsia="宋体" w:cs="Times New Roman"/>
          <w:color w:val="auto"/>
          <w:sz w:val="24"/>
          <w:szCs w:val="24"/>
          <w:highlight w:val="none"/>
          <w:u w:val="single"/>
          <w:shd w:val="clear" w:color="auto" w:fill="FFFFFF"/>
          <w:lang w:eastAsia="zh-TW"/>
        </w:rPr>
        <w:t>设计</w:t>
      </w:r>
      <w:r>
        <w:rPr>
          <w:rFonts w:hint="eastAsia" w:ascii="宋体" w:hAnsi="宋体" w:eastAsia="宋体" w:cs="Times New Roman"/>
          <w:color w:val="auto"/>
          <w:sz w:val="24"/>
          <w:szCs w:val="24"/>
          <w:highlight w:val="none"/>
          <w:u w:val="single"/>
          <w:shd w:val="clear" w:color="auto" w:fill="FFFFFF"/>
          <w:lang w:eastAsia="zh-TW"/>
        </w:rPr>
        <w:t>研究院有限公司</w:t>
      </w:r>
      <w:r>
        <w:rPr>
          <w:rFonts w:hint="eastAsia" w:ascii="宋体" w:hAnsi="宋体" w:cs="Times New Roman"/>
          <w:color w:val="auto"/>
          <w:kern w:val="2"/>
          <w:sz w:val="24"/>
          <w:szCs w:val="24"/>
          <w:highlight w:val="none"/>
          <w:u w:val="none"/>
          <w:shd w:val="clear" w:color="auto" w:fill="FFFFFF"/>
        </w:rPr>
        <w:t>。</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highlight w:val="none"/>
          <w:lang w:val="en-US" w:eastAsia="zh-CN"/>
        </w:rPr>
      </w:pPr>
      <w:r>
        <w:rPr>
          <w:rFonts w:hint="eastAsia" w:ascii="宋体" w:hAnsi="宋体" w:eastAsia="宋体" w:cs="宋体"/>
          <w:color w:val="auto"/>
          <w:kern w:val="2"/>
          <w:sz w:val="24"/>
          <w:szCs w:val="24"/>
          <w:highlight w:val="none"/>
          <w:lang w:val="en-US" w:eastAsia="zh-CN" w:bidi="ar-SA"/>
        </w:rPr>
        <w:t>注：</w:t>
      </w:r>
      <w:r>
        <w:rPr>
          <w:rFonts w:hint="eastAsia" w:hAnsi="宋体" w:cs="宋体"/>
          <w:color w:val="auto"/>
          <w:kern w:val="2"/>
          <w:sz w:val="24"/>
          <w:szCs w:val="24"/>
          <w:highlight w:val="none"/>
          <w:lang w:val="en-US" w:eastAsia="zh-CN" w:bidi="ar-SA"/>
        </w:rPr>
        <w:t>如果有前期服务机构，应公开披露其名称，并将前期服务机构最终完成的工作成果（含电子文件）在发放招标文件的同时提供给所有投标人参考，否则前期参与的服务机构中标无效。</w:t>
      </w:r>
    </w:p>
    <w:p>
      <w:pPr>
        <w:widowControl/>
        <w:numPr>
          <w:ilvl w:val="0"/>
          <w:numId w:val="2"/>
        </w:numPr>
        <w:shd w:val="clear" w:color="auto" w:fill="FFFFFF"/>
        <w:tabs>
          <w:tab w:val="left" w:pos="105"/>
        </w:tabs>
        <w:spacing w:line="360" w:lineRule="auto"/>
        <w:ind w:firstLine="480" w:firstLineChars="200"/>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投标时是否需要提交设计模型：</w:t>
      </w:r>
      <w:r>
        <w:rPr>
          <w:rFonts w:hint="eastAsia" w:ascii="宋体" w:hAnsi="宋体" w:cs="宋体"/>
          <w:color w:val="auto"/>
          <w:kern w:val="0"/>
          <w:sz w:val="24"/>
          <w:szCs w:val="24"/>
          <w:highlight w:val="none"/>
          <w:u w:val="single"/>
        </w:rPr>
        <w:t>否</w:t>
      </w:r>
      <w:r>
        <w:rPr>
          <w:rFonts w:hint="eastAsia" w:ascii="宋体" w:hAnsi="宋体" w:cs="宋体"/>
          <w:color w:val="auto"/>
          <w:kern w:val="0"/>
          <w:sz w:val="24"/>
          <w:szCs w:val="24"/>
          <w:highlight w:val="none"/>
          <w:u w:val="none"/>
        </w:rPr>
        <w:t>。</w:t>
      </w:r>
    </w:p>
    <w:p>
      <w:pPr>
        <w:widowControl/>
        <w:numPr>
          <w:ilvl w:val="0"/>
          <w:numId w:val="2"/>
        </w:numPr>
        <w:shd w:val="clear" w:color="auto" w:fill="FFFFFF"/>
        <w:tabs>
          <w:tab w:val="left" w:pos="105"/>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投标人须保证其提供的登记资料及投标资料的真实性，招标人有权在招标的任何阶段进行调查和核实，一旦发现虚假，将上报建设管理部门及相关部门严肃查处</w:t>
      </w:r>
      <w:r>
        <w:rPr>
          <w:rFonts w:hint="eastAsia" w:ascii="宋体" w:hAnsi="宋体" w:cs="宋体"/>
          <w:color w:val="auto"/>
          <w:kern w:val="0"/>
          <w:sz w:val="24"/>
          <w:szCs w:val="24"/>
          <w:highlight w:val="none"/>
          <w:u w:val="none"/>
        </w:rPr>
        <w:t>。</w:t>
      </w:r>
    </w:p>
    <w:p>
      <w:pPr>
        <w:widowControl/>
        <w:shd w:val="clear" w:color="auto" w:fill="FFFFFF"/>
        <w:tabs>
          <w:tab w:val="left" w:pos="105"/>
        </w:tabs>
        <w:spacing w:line="360" w:lineRule="auto"/>
        <w:ind w:firstLine="480" w:firstLineChars="200"/>
        <w:jc w:val="left"/>
        <w:rPr>
          <w:rFonts w:ascii="宋体" w:hAnsi="宋体" w:cs="宋体"/>
          <w:color w:val="auto"/>
          <w:sz w:val="24"/>
          <w:szCs w:val="24"/>
          <w:highlight w:val="none"/>
          <w:u w:val="single"/>
          <w:shd w:val="clear" w:color="auto" w:fill="FFFFFF"/>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u w:val="single"/>
          <w:shd w:val="clear" w:color="auto" w:fill="FFFFFF"/>
        </w:rPr>
        <w:t>参加投标之前，投标人应查询企业信用档案</w:t>
      </w:r>
      <w:r>
        <w:rPr>
          <w:rFonts w:hint="eastAsia" w:ascii="宋体" w:hAnsi="宋体" w:cs="宋体"/>
          <w:color w:val="auto"/>
          <w:sz w:val="24"/>
          <w:szCs w:val="24"/>
          <w:highlight w:val="none"/>
          <w:u w:val="single"/>
          <w:shd w:val="clear" w:color="auto" w:fill="FFFFFF"/>
          <w:lang w:val="en-US" w:eastAsia="zh-CN"/>
        </w:rPr>
        <w:t>中</w:t>
      </w:r>
      <w:r>
        <w:rPr>
          <w:rFonts w:hint="eastAsia" w:ascii="宋体" w:hAnsi="宋体" w:cs="宋体"/>
          <w:color w:val="auto"/>
          <w:sz w:val="24"/>
          <w:szCs w:val="24"/>
          <w:highlight w:val="none"/>
          <w:u w:val="single"/>
          <w:shd w:val="clear" w:color="auto" w:fill="FFFFFF"/>
        </w:rPr>
        <w:t>拟报项目负责人（</w:t>
      </w:r>
      <w:r>
        <w:rPr>
          <w:rFonts w:hint="eastAsia" w:ascii="宋体" w:hAnsi="宋体" w:cs="宋体"/>
          <w:color w:val="auto"/>
          <w:sz w:val="24"/>
          <w:szCs w:val="24"/>
          <w:highlight w:val="none"/>
          <w:u w:val="single"/>
          <w:shd w:val="clear" w:color="auto" w:fill="FFFFFF"/>
          <w:lang w:val="en-US" w:eastAsia="zh-CN"/>
        </w:rPr>
        <w:t>可</w:t>
      </w:r>
      <w:r>
        <w:rPr>
          <w:rFonts w:hint="eastAsia" w:ascii="宋体" w:hAnsi="宋体" w:cs="宋体"/>
          <w:color w:val="auto"/>
          <w:sz w:val="24"/>
          <w:szCs w:val="24"/>
          <w:highlight w:val="none"/>
          <w:u w:val="single"/>
          <w:shd w:val="clear" w:color="auto" w:fill="FFFFFF"/>
        </w:rPr>
        <w:t>兼任施工负责人）、专职安全员</w:t>
      </w:r>
      <w:r>
        <w:rPr>
          <w:rFonts w:hint="eastAsia" w:ascii="宋体" w:hAnsi="宋体" w:cs="宋体"/>
          <w:color w:val="auto"/>
          <w:sz w:val="24"/>
          <w:szCs w:val="24"/>
          <w:highlight w:val="none"/>
          <w:u w:val="single"/>
          <w:shd w:val="clear" w:color="auto" w:fill="FFFFFF"/>
          <w:lang w:val="en-US" w:eastAsia="zh-CN"/>
        </w:rPr>
        <w:t>等</w:t>
      </w:r>
      <w:r>
        <w:rPr>
          <w:rFonts w:hint="eastAsia" w:ascii="宋体" w:hAnsi="宋体" w:cs="宋体"/>
          <w:color w:val="auto"/>
          <w:sz w:val="24"/>
          <w:szCs w:val="24"/>
          <w:highlight w:val="none"/>
          <w:u w:val="single"/>
          <w:shd w:val="clear" w:color="auto" w:fill="FFFFFF"/>
        </w:rPr>
        <w:t>的使用状态，以免出现企业信用档案</w:t>
      </w:r>
      <w:r>
        <w:rPr>
          <w:rFonts w:hint="eastAsia" w:ascii="宋体" w:hAnsi="宋体" w:cs="宋体"/>
          <w:color w:val="auto"/>
          <w:sz w:val="24"/>
          <w:szCs w:val="24"/>
          <w:highlight w:val="none"/>
          <w:u w:val="single"/>
          <w:shd w:val="clear" w:color="auto" w:fill="FFFFFF"/>
          <w:lang w:val="en-US" w:eastAsia="zh-CN"/>
        </w:rPr>
        <w:t>中</w:t>
      </w:r>
      <w:r>
        <w:rPr>
          <w:rFonts w:hint="eastAsia" w:ascii="宋体" w:hAnsi="宋体" w:cs="宋体"/>
          <w:color w:val="auto"/>
          <w:sz w:val="24"/>
          <w:szCs w:val="24"/>
          <w:highlight w:val="none"/>
          <w:u w:val="single"/>
          <w:shd w:val="clear" w:color="auto" w:fill="FFFFFF"/>
        </w:rPr>
        <w:t>拟报项目负责人（</w:t>
      </w:r>
      <w:r>
        <w:rPr>
          <w:rFonts w:hint="eastAsia" w:ascii="宋体" w:hAnsi="宋体" w:cs="宋体"/>
          <w:color w:val="auto"/>
          <w:sz w:val="24"/>
          <w:szCs w:val="24"/>
          <w:highlight w:val="none"/>
          <w:u w:val="single"/>
          <w:shd w:val="clear" w:color="auto" w:fill="FFFFFF"/>
          <w:lang w:val="en-US" w:eastAsia="zh-CN"/>
        </w:rPr>
        <w:t>可</w:t>
      </w:r>
      <w:r>
        <w:rPr>
          <w:rFonts w:hint="eastAsia" w:ascii="宋体" w:hAnsi="宋体" w:cs="宋体"/>
          <w:color w:val="auto"/>
          <w:sz w:val="24"/>
          <w:szCs w:val="24"/>
          <w:highlight w:val="none"/>
          <w:u w:val="single"/>
          <w:shd w:val="clear" w:color="auto" w:fill="FFFFFF"/>
        </w:rPr>
        <w:t>兼任施工负责人）、专职安全员</w:t>
      </w:r>
      <w:r>
        <w:rPr>
          <w:rFonts w:hint="eastAsia" w:ascii="宋体" w:hAnsi="宋体" w:cs="宋体"/>
          <w:color w:val="auto"/>
          <w:sz w:val="24"/>
          <w:szCs w:val="24"/>
          <w:highlight w:val="none"/>
          <w:u w:val="single"/>
          <w:shd w:val="clear" w:color="auto" w:fill="FFFFFF"/>
          <w:lang w:val="en-US" w:eastAsia="zh-CN"/>
        </w:rPr>
        <w:t>等</w:t>
      </w:r>
      <w:r>
        <w:rPr>
          <w:rFonts w:hint="eastAsia" w:ascii="宋体" w:hAnsi="宋体" w:cs="宋体"/>
          <w:color w:val="auto"/>
          <w:sz w:val="24"/>
          <w:szCs w:val="24"/>
          <w:highlight w:val="none"/>
          <w:u w:val="single"/>
          <w:shd w:val="clear" w:color="auto" w:fill="FFFFFF"/>
        </w:rPr>
        <w:t>不能被使用的情况。上述情况有可能导致投标信息无法录入广州公共资源交易中心交易服务系统。如出现上述情况，投标人有可能失去投标机会，因其可能所引起的一切后果由投标人自行承担</w:t>
      </w:r>
      <w:r>
        <w:rPr>
          <w:rFonts w:hint="eastAsia" w:ascii="宋体" w:hAnsi="宋体" w:cs="宋体"/>
          <w:color w:val="auto"/>
          <w:sz w:val="24"/>
          <w:szCs w:val="24"/>
          <w:highlight w:val="none"/>
          <w:u w:val="none"/>
          <w:shd w:val="clear" w:color="auto" w:fill="FFFFFF"/>
        </w:rPr>
        <w:t>。</w:t>
      </w:r>
    </w:p>
    <w:p>
      <w:pPr>
        <w:pStyle w:val="21"/>
        <w:spacing w:line="360" w:lineRule="auto"/>
        <w:ind w:firstLine="435"/>
        <w:jc w:val="both"/>
        <w:rPr>
          <w:rFonts w:ascii="宋体" w:hAnsi="宋体" w:cs="宋体"/>
          <w:b w:val="0"/>
          <w:color w:val="auto"/>
          <w:sz w:val="24"/>
          <w:szCs w:val="24"/>
          <w:highlight w:val="none"/>
          <w:u w:val="single"/>
          <w:shd w:val="clear" w:color="auto" w:fill="FFFFFF"/>
        </w:rPr>
      </w:pPr>
      <w:r>
        <w:rPr>
          <w:rFonts w:hint="eastAsia" w:ascii="宋体" w:hAnsi="宋体" w:cs="宋体"/>
          <w:b w:val="0"/>
          <w:color w:val="auto"/>
          <w:sz w:val="24"/>
          <w:szCs w:val="24"/>
          <w:highlight w:val="none"/>
          <w:u w:val="single"/>
          <w:shd w:val="clear" w:color="auto" w:fill="FFFFFF"/>
          <w:lang w:val="en-US" w:eastAsia="zh-CN"/>
        </w:rPr>
        <w:t>5</w:t>
      </w:r>
      <w:r>
        <w:rPr>
          <w:rFonts w:hint="eastAsia" w:ascii="宋体" w:hAnsi="宋体" w:cs="宋体"/>
          <w:b w:val="0"/>
          <w:color w:val="auto"/>
          <w:sz w:val="24"/>
          <w:szCs w:val="24"/>
          <w:highlight w:val="none"/>
          <w:u w:val="single"/>
          <w:shd w:val="clear" w:color="auto" w:fill="FFFFFF"/>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b w:val="0"/>
          <w:color w:val="auto"/>
          <w:sz w:val="24"/>
          <w:szCs w:val="24"/>
          <w:highlight w:val="none"/>
          <w:u w:val="none"/>
          <w:shd w:val="clear" w:color="auto" w:fill="FFFFFF"/>
        </w:rPr>
        <w:t>。</w:t>
      </w:r>
    </w:p>
    <w:p>
      <w:pPr>
        <w:widowControl/>
        <w:shd w:val="clear" w:color="auto" w:fill="FFFFFF"/>
        <w:spacing w:line="360" w:lineRule="auto"/>
        <w:ind w:firstLine="482" w:firstLineChars="200"/>
        <w:jc w:val="left"/>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rPr>
        <w:t>十</w:t>
      </w:r>
      <w:r>
        <w:rPr>
          <w:rFonts w:hint="eastAsia" w:ascii="宋体" w:hAnsi="宋体" w:cs="宋体"/>
          <w:b/>
          <w:color w:val="auto"/>
          <w:kern w:val="0"/>
          <w:sz w:val="24"/>
          <w:szCs w:val="24"/>
          <w:highlight w:val="none"/>
          <w:lang w:eastAsia="zh-CN"/>
        </w:rPr>
        <w:t>四</w:t>
      </w:r>
      <w:r>
        <w:rPr>
          <w:rFonts w:hint="eastAsia" w:ascii="宋体" w:hAnsi="宋体" w:cs="宋体"/>
          <w:b/>
          <w:color w:val="auto"/>
          <w:kern w:val="0"/>
          <w:sz w:val="24"/>
          <w:szCs w:val="24"/>
          <w:highlight w:val="none"/>
        </w:rPr>
        <w:t>、潜在投标人或利害关系人对本招标公告及招标内容有异议的，向招标人书面提出</w:t>
      </w:r>
      <w:r>
        <w:rPr>
          <w:rFonts w:hint="eastAsia" w:ascii="宋体" w:hAnsi="宋体" w:cs="宋体"/>
          <w:b/>
          <w:color w:val="auto"/>
          <w:kern w:val="0"/>
          <w:sz w:val="24"/>
          <w:szCs w:val="24"/>
          <w:highlight w:val="none"/>
          <w:lang w:eastAsia="zh-CN"/>
        </w:rPr>
        <w:t>：</w:t>
      </w:r>
    </w:p>
    <w:p>
      <w:pPr>
        <w:widowControl/>
        <w:shd w:val="clear" w:color="auto" w:fill="FFFFFF"/>
        <w:spacing w:line="360" w:lineRule="auto"/>
        <w:ind w:firstLine="480" w:firstLineChars="2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异议受理部门：</w:t>
      </w:r>
      <w:r>
        <w:rPr>
          <w:rFonts w:hint="eastAsia" w:ascii="宋体" w:hAnsi="宋体" w:cs="宋体"/>
          <w:color w:val="auto"/>
          <w:kern w:val="0"/>
          <w:sz w:val="24"/>
          <w:szCs w:val="24"/>
          <w:highlight w:val="none"/>
          <w:u w:val="single"/>
        </w:rPr>
        <w:t>南方鼎元资产运营有限责任公司</w:t>
      </w:r>
    </w:p>
    <w:p>
      <w:pPr>
        <w:widowControl/>
        <w:shd w:val="clear" w:color="auto" w:fill="FFFFFF"/>
        <w:spacing w:line="360" w:lineRule="auto"/>
        <w:ind w:firstLine="480" w:firstLineChars="2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异议受理电话：</w:t>
      </w:r>
      <w:r>
        <w:rPr>
          <w:rFonts w:hint="eastAsia" w:ascii="宋体" w:hAnsi="宋体" w:cs="宋体"/>
          <w:color w:val="auto"/>
          <w:kern w:val="0"/>
          <w:sz w:val="24"/>
          <w:szCs w:val="24"/>
          <w:highlight w:val="none"/>
          <w:u w:val="single"/>
        </w:rPr>
        <w:t>0</w:t>
      </w:r>
      <w:r>
        <w:rPr>
          <w:rFonts w:ascii="宋体" w:hAnsi="宋体" w:cs="宋体"/>
          <w:color w:val="auto"/>
          <w:kern w:val="0"/>
          <w:sz w:val="24"/>
          <w:szCs w:val="24"/>
          <w:highlight w:val="none"/>
          <w:u w:val="single"/>
        </w:rPr>
        <w:t>20-38121924</w:t>
      </w:r>
    </w:p>
    <w:p>
      <w:pPr>
        <w:widowControl/>
        <w:shd w:val="clear" w:color="auto" w:fill="FFFFFF"/>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广州市天河区</w:t>
      </w:r>
      <w:r>
        <w:rPr>
          <w:rFonts w:hint="eastAsia" w:ascii="宋体" w:hAnsi="宋体" w:cs="宋体"/>
          <w:color w:val="auto"/>
          <w:kern w:val="0"/>
          <w:sz w:val="24"/>
          <w:szCs w:val="24"/>
          <w:highlight w:val="none"/>
          <w:u w:val="single"/>
          <w:lang w:eastAsia="zh-CN"/>
        </w:rPr>
        <w:t>华穗路</w:t>
      </w:r>
      <w:r>
        <w:rPr>
          <w:rFonts w:hint="eastAsia" w:ascii="宋体" w:hAnsi="宋体" w:cs="宋体"/>
          <w:color w:val="auto"/>
          <w:kern w:val="0"/>
          <w:sz w:val="24"/>
          <w:szCs w:val="24"/>
          <w:highlight w:val="none"/>
          <w:u w:val="single"/>
          <w:lang w:val="en-US" w:eastAsia="zh-CN"/>
        </w:rPr>
        <w:t>6号</w:t>
      </w:r>
    </w:p>
    <w:p>
      <w:pPr>
        <w:widowControl/>
        <w:shd w:val="clear" w:color="auto" w:fill="FFFFFF"/>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r>
        <w:rPr>
          <w:rFonts w:hint="eastAsia" w:ascii="宋体" w:hAnsi="宋体" w:cs="宋体"/>
          <w:color w:val="auto"/>
          <w:sz w:val="24"/>
          <w:szCs w:val="24"/>
          <w:highlight w:val="none"/>
          <w:u w:val="none"/>
        </w:rPr>
        <w:t>。</w:t>
      </w:r>
    </w:p>
    <w:p>
      <w:pPr>
        <w:widowControl w:val="0"/>
        <w:shd w:val="clear" w:color="auto" w:fill="FFFFFF"/>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十</w:t>
      </w:r>
      <w:r>
        <w:rPr>
          <w:rFonts w:hint="eastAsia" w:ascii="宋体" w:hAnsi="宋体" w:cs="宋体"/>
          <w:b/>
          <w:color w:val="auto"/>
          <w:kern w:val="0"/>
          <w:sz w:val="24"/>
          <w:szCs w:val="24"/>
          <w:highlight w:val="none"/>
          <w:lang w:eastAsia="zh-CN"/>
        </w:rPr>
        <w:t>五</w:t>
      </w:r>
      <w:r>
        <w:rPr>
          <w:rFonts w:hint="eastAsia" w:ascii="宋体" w:hAnsi="宋体" w:cs="宋体"/>
          <w:b/>
          <w:color w:val="auto"/>
          <w:kern w:val="0"/>
          <w:sz w:val="24"/>
          <w:szCs w:val="24"/>
          <w:highlight w:val="none"/>
        </w:rPr>
        <w:t>、本公告在广州交易集团有限公司（广州公共资源交易中心）网站、中国招标投标公共服务平台（网址：</w:t>
      </w:r>
      <w:r>
        <w:rPr>
          <w:rFonts w:ascii="宋体" w:hAnsi="宋体" w:cs="宋体"/>
          <w:b/>
          <w:color w:val="auto"/>
          <w:kern w:val="0"/>
          <w:sz w:val="24"/>
          <w:szCs w:val="24"/>
          <w:highlight w:val="none"/>
        </w:rPr>
        <w:t>http://www.cebpubservice.com/）和广东省招标投标监管网（网址：</w:t>
      </w:r>
      <w:r>
        <w:rPr>
          <w:color w:val="auto"/>
          <w:highlight w:val="none"/>
        </w:rPr>
        <w:fldChar w:fldCharType="begin"/>
      </w:r>
      <w:r>
        <w:rPr>
          <w:color w:val="auto"/>
          <w:highlight w:val="none"/>
        </w:rPr>
        <w:instrText xml:space="preserve"> HYPERLINK "http://www.gdzbtb.gov.cn/）等媒体同时发布，本公告的修改、补充，在广州公共资源交易网发布。" </w:instrText>
      </w:r>
      <w:r>
        <w:rPr>
          <w:color w:val="auto"/>
          <w:highlight w:val="none"/>
        </w:rPr>
        <w:fldChar w:fldCharType="separate"/>
      </w:r>
      <w:r>
        <w:rPr>
          <w:rStyle w:val="19"/>
          <w:rFonts w:ascii="宋体" w:hAnsi="宋体" w:cs="宋体"/>
          <w:b/>
          <w:color w:val="auto"/>
          <w:kern w:val="0"/>
          <w:sz w:val="24"/>
          <w:szCs w:val="24"/>
          <w:highlight w:val="none"/>
        </w:rPr>
        <w:t>http://www.gdzbtb.gov.cn/）</w:t>
      </w:r>
      <w:r>
        <w:rPr>
          <w:rStyle w:val="19"/>
          <w:rFonts w:hint="eastAsia" w:ascii="宋体" w:hAnsi="宋体" w:cs="宋体"/>
          <w:b/>
          <w:color w:val="auto"/>
          <w:kern w:val="0"/>
          <w:sz w:val="24"/>
          <w:szCs w:val="24"/>
          <w:highlight w:val="none"/>
        </w:rPr>
        <w:t>、南方电网供应链统一服务平台（http://www.bidding.csg.cn/）</w:t>
      </w:r>
      <w:r>
        <w:rPr>
          <w:rStyle w:val="19"/>
          <w:rFonts w:ascii="宋体" w:hAnsi="宋体" w:cs="宋体"/>
          <w:b/>
          <w:color w:val="auto"/>
          <w:kern w:val="0"/>
          <w:sz w:val="24"/>
          <w:szCs w:val="24"/>
          <w:highlight w:val="none"/>
        </w:rPr>
        <w:t>等媒体同时发布，本公告的修改、补充，在广州公共资源交易网发布。</w:t>
      </w:r>
      <w:r>
        <w:rPr>
          <w:rStyle w:val="19"/>
          <w:rFonts w:ascii="宋体" w:hAnsi="宋体" w:cs="宋体"/>
          <w:b/>
          <w:color w:val="auto"/>
          <w:kern w:val="0"/>
          <w:sz w:val="24"/>
          <w:szCs w:val="24"/>
          <w:highlight w:val="none"/>
        </w:rPr>
        <w:fldChar w:fldCharType="end"/>
      </w:r>
    </w:p>
    <w:p>
      <w:pPr>
        <w:widowControl/>
        <w:shd w:val="clear" w:color="auto" w:fill="FFFFFF"/>
        <w:spacing w:line="360" w:lineRule="auto"/>
        <w:ind w:firstLine="482"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w:t>
      </w:r>
      <w:r>
        <w:rPr>
          <w:rFonts w:hint="eastAsia" w:ascii="宋体" w:hAnsi="宋体" w:cs="宋体"/>
          <w:b/>
          <w:color w:val="auto"/>
          <w:kern w:val="0"/>
          <w:sz w:val="24"/>
          <w:szCs w:val="24"/>
          <w:highlight w:val="none"/>
          <w:lang w:eastAsia="zh-CN"/>
        </w:rPr>
        <w:t>六</w:t>
      </w:r>
      <w:r>
        <w:rPr>
          <w:rFonts w:hint="eastAsia" w:ascii="宋体" w:hAnsi="宋体" w:cs="宋体"/>
          <w:b/>
          <w:color w:val="auto"/>
          <w:kern w:val="0"/>
          <w:sz w:val="24"/>
          <w:szCs w:val="24"/>
          <w:highlight w:val="none"/>
        </w:rPr>
        <w:t>、本项目为电子评标，投标文件全部采用电子文档，投标人按招标文件要求提交投标文件。</w:t>
      </w:r>
    </w:p>
    <w:p>
      <w:pPr>
        <w:pStyle w:val="5"/>
        <w:keepNext w:val="0"/>
        <w:keepLines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cs="宋体"/>
          <w:b/>
          <w:color w:val="auto"/>
          <w:kern w:val="0"/>
          <w:sz w:val="24"/>
          <w:szCs w:val="24"/>
          <w:highlight w:val="none"/>
          <w:lang w:eastAsia="zh-CN"/>
        </w:rPr>
        <w:t>十七、</w:t>
      </w:r>
      <w:r>
        <w:rPr>
          <w:rFonts w:hint="eastAsia" w:ascii="宋体" w:hAnsi="宋体" w:eastAsia="宋体" w:cs="宋体"/>
          <w:color w:val="auto"/>
          <w:sz w:val="24"/>
          <w:szCs w:val="24"/>
          <w:highlight w:val="none"/>
        </w:rPr>
        <w:t>特别提示</w:t>
      </w:r>
    </w:p>
    <w:p>
      <w:pPr>
        <w:widowControl/>
        <w:shd w:val="clear" w:color="auto" w:fill="FFFFFF"/>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特别提示：投标人在本项目招标人的工程项目中存在下列行为的，将被拒绝一定时期内参与招标人后续工程投标。（注：拒绝投标时限由招标人视严重程度确定，最低</w:t>
      </w:r>
      <w:r>
        <w:rPr>
          <w:rFonts w:hint="eastAsia" w:ascii="宋体" w:hAnsi="宋体" w:cs="宋体"/>
          <w:b w:val="0"/>
          <w:bCs/>
          <w:color w:val="auto"/>
          <w:kern w:val="0"/>
          <w:sz w:val="24"/>
          <w:szCs w:val="24"/>
          <w:highlight w:val="none"/>
          <w:lang w:val="en-US" w:eastAsia="zh-CN"/>
        </w:rPr>
        <w:t>六</w:t>
      </w:r>
      <w:r>
        <w:rPr>
          <w:rFonts w:hint="eastAsia" w:ascii="宋体" w:hAnsi="宋体" w:eastAsia="宋体" w:cs="宋体"/>
          <w:b w:val="0"/>
          <w:bCs/>
          <w:color w:val="auto"/>
          <w:kern w:val="0"/>
          <w:sz w:val="24"/>
          <w:szCs w:val="24"/>
          <w:highlight w:val="none"/>
        </w:rPr>
        <w:t>个月起，自招标人发出通知之日起计）：</w:t>
      </w:r>
    </w:p>
    <w:p>
      <w:pPr>
        <w:widowControl/>
        <w:shd w:val="clear" w:color="auto" w:fill="FFFFFF"/>
        <w:spacing w:line="360" w:lineRule="auto"/>
        <w:ind w:firstLine="480" w:firstLineChars="200"/>
        <w:jc w:val="left"/>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1.将中标工程转包或者违法分包的</w:t>
      </w:r>
      <w:r>
        <w:rPr>
          <w:rFonts w:hint="eastAsia" w:ascii="宋体" w:hAnsi="宋体" w:cs="宋体"/>
          <w:b w:val="0"/>
          <w:bCs/>
          <w:color w:val="auto"/>
          <w:kern w:val="0"/>
          <w:sz w:val="24"/>
          <w:szCs w:val="24"/>
          <w:highlight w:val="none"/>
          <w:lang w:eastAsia="zh-CN"/>
        </w:rPr>
        <w:t>；</w:t>
      </w:r>
    </w:p>
    <w:p>
      <w:pPr>
        <w:widowControl/>
        <w:shd w:val="clear" w:color="auto" w:fill="FFFFFF"/>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2.在中标工程中不执行质量、安全生产相关规定的，造成质量或安全事故的；</w:t>
      </w:r>
    </w:p>
    <w:p>
      <w:pPr>
        <w:widowControl/>
        <w:shd w:val="clear" w:color="auto" w:fill="FFFFFF"/>
        <w:spacing w:line="360" w:lineRule="auto"/>
        <w:ind w:firstLine="480" w:firstLineChars="200"/>
        <w:jc w:val="left"/>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3.存在围标或串标情形的</w:t>
      </w:r>
      <w:r>
        <w:rPr>
          <w:rFonts w:hint="eastAsia" w:ascii="宋体" w:hAnsi="宋体" w:cs="宋体"/>
          <w:b w:val="0"/>
          <w:bCs/>
          <w:color w:val="auto"/>
          <w:kern w:val="0"/>
          <w:sz w:val="24"/>
          <w:szCs w:val="24"/>
          <w:highlight w:val="none"/>
          <w:lang w:eastAsia="zh-CN"/>
        </w:rPr>
        <w:t>；</w:t>
      </w:r>
    </w:p>
    <w:p>
      <w:pPr>
        <w:widowControl/>
        <w:shd w:val="clear" w:color="auto" w:fill="FFFFFF"/>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（4）在投标文件中提供虚假材料的；</w:t>
      </w:r>
    </w:p>
    <w:p>
      <w:pPr>
        <w:widowControl/>
        <w:shd w:val="clear" w:color="auto" w:fill="FFFFFF"/>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（5）存在行贿情形的</w:t>
      </w:r>
      <w:r>
        <w:rPr>
          <w:rFonts w:hint="eastAsia" w:ascii="宋体" w:hAnsi="宋体" w:cs="宋体"/>
          <w:b w:val="0"/>
          <w:bCs/>
          <w:color w:val="auto"/>
          <w:kern w:val="0"/>
          <w:sz w:val="24"/>
          <w:szCs w:val="24"/>
          <w:highlight w:val="none"/>
          <w:lang w:eastAsia="zh-CN"/>
        </w:rPr>
        <w:t>；</w:t>
      </w:r>
    </w:p>
    <w:p>
      <w:pPr>
        <w:widowControl/>
        <w:shd w:val="clear" w:color="auto" w:fill="FFFFFF"/>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（6）拖欠农民工工资的；</w:t>
      </w:r>
    </w:p>
    <w:p>
      <w:pPr>
        <w:widowControl/>
        <w:shd w:val="clear" w:color="auto" w:fill="FFFFFF"/>
        <w:spacing w:line="360" w:lineRule="auto"/>
        <w:ind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（7）未按照国家、省、市有关建筑施工实名制管理和工人工资支付分账管理的规定执行，被行政监管部门处罚的</w:t>
      </w:r>
      <w:r>
        <w:rPr>
          <w:rFonts w:hint="eastAsia" w:ascii="宋体" w:hAnsi="宋体" w:cs="宋体"/>
          <w:b w:val="0"/>
          <w:bCs/>
          <w:color w:val="auto"/>
          <w:kern w:val="0"/>
          <w:sz w:val="24"/>
          <w:szCs w:val="24"/>
          <w:highlight w:val="none"/>
          <w:lang w:eastAsia="zh-CN"/>
        </w:rPr>
        <w:t>；</w:t>
      </w:r>
    </w:p>
    <w:p>
      <w:pPr>
        <w:spacing w:line="360" w:lineRule="auto"/>
        <w:ind w:right="42" w:rightChars="20" w:firstLine="480" w:firstLineChars="200"/>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（8）中标人在项目实施过程中选取的专业分包单位或劳务企业或劳务班组长与投标时不一致的（如有）</w:t>
      </w:r>
      <w:r>
        <w:rPr>
          <w:rFonts w:hint="eastAsia" w:ascii="宋体" w:hAnsi="宋体" w:cs="宋体"/>
          <w:b w:val="0"/>
          <w:bCs/>
          <w:color w:val="auto"/>
          <w:kern w:val="0"/>
          <w:sz w:val="24"/>
          <w:szCs w:val="24"/>
          <w:highlight w:val="none"/>
          <w:lang w:eastAsia="zh-CN"/>
        </w:rPr>
        <w:t>。</w:t>
      </w:r>
    </w:p>
    <w:p>
      <w:pPr>
        <w:spacing w:line="360" w:lineRule="auto"/>
        <w:ind w:right="42" w:rightChars="20" w:firstLine="480" w:firstLineChars="200"/>
        <w:jc w:val="left"/>
        <w:rPr>
          <w:rFonts w:hint="eastAsia" w:ascii="宋体" w:hAnsi="宋体" w:eastAsia="宋体" w:cs="宋体"/>
          <w:b w:val="0"/>
          <w:bCs/>
          <w:color w:val="auto"/>
          <w:kern w:val="0"/>
          <w:sz w:val="24"/>
          <w:szCs w:val="24"/>
          <w:highlight w:val="none"/>
        </w:rPr>
      </w:pPr>
    </w:p>
    <w:p>
      <w:pPr>
        <w:spacing w:line="360" w:lineRule="auto"/>
        <w:ind w:right="42" w:rightChars="20" w:firstLine="480" w:firstLineChars="200"/>
        <w:jc w:val="left"/>
        <w:rPr>
          <w:rFonts w:hint="eastAsia" w:ascii="宋体" w:hAnsi="宋体" w:eastAsia="宋体" w:cs="宋体"/>
          <w:b w:val="0"/>
          <w:bCs/>
          <w:color w:val="auto"/>
          <w:kern w:val="0"/>
          <w:sz w:val="24"/>
          <w:szCs w:val="24"/>
          <w:highlight w:val="none"/>
        </w:rPr>
      </w:pPr>
    </w:p>
    <w:p>
      <w:pPr>
        <w:spacing w:line="360" w:lineRule="auto"/>
        <w:ind w:left="5040" w:leftChars="1600" w:right="42" w:rightChars="20" w:hanging="1680" w:hangingChars="700"/>
        <w:jc w:val="left"/>
        <w:rPr>
          <w:rFonts w:hint="eastAsia" w:ascii="宋体" w:hAnsi="宋体"/>
          <w:color w:val="auto"/>
          <w:sz w:val="24"/>
          <w:highlight w:val="none"/>
        </w:rPr>
      </w:pPr>
      <w:r>
        <w:rPr>
          <w:rFonts w:hint="eastAsia" w:ascii="宋体" w:hAnsi="宋体"/>
          <w:color w:val="auto"/>
          <w:sz w:val="24"/>
          <w:highlight w:val="none"/>
        </w:rPr>
        <w:t>招</w:t>
      </w:r>
      <w:r>
        <w:rPr>
          <w:rFonts w:ascii="宋体" w:hAnsi="宋体"/>
          <w:color w:val="auto"/>
          <w:sz w:val="24"/>
          <w:highlight w:val="none"/>
        </w:rPr>
        <w:t xml:space="preserve">   </w:t>
      </w:r>
      <w:r>
        <w:rPr>
          <w:rFonts w:hint="eastAsia" w:ascii="宋体" w:hAnsi="宋体"/>
          <w:color w:val="auto"/>
          <w:sz w:val="24"/>
          <w:highlight w:val="none"/>
        </w:rPr>
        <w:t>标</w:t>
      </w:r>
      <w:r>
        <w:rPr>
          <w:rFonts w:ascii="宋体" w:hAnsi="宋体"/>
          <w:color w:val="auto"/>
          <w:sz w:val="24"/>
          <w:highlight w:val="none"/>
        </w:rPr>
        <w:t xml:space="preserve">   </w:t>
      </w:r>
      <w:r>
        <w:rPr>
          <w:rFonts w:hint="eastAsia" w:ascii="宋体" w:hAnsi="宋体"/>
          <w:color w:val="auto"/>
          <w:sz w:val="24"/>
          <w:highlight w:val="none"/>
        </w:rPr>
        <w:t>人：南方鼎元资产运营有限责任公司</w:t>
      </w:r>
    </w:p>
    <w:p>
      <w:pPr>
        <w:spacing w:line="360" w:lineRule="auto"/>
        <w:ind w:left="5040" w:leftChars="1600" w:right="42" w:rightChars="20" w:hanging="1680" w:hangingChars="700"/>
        <w:jc w:val="left"/>
        <w:rPr>
          <w:rFonts w:ascii="宋体" w:hAnsi="宋体"/>
          <w:color w:val="auto"/>
          <w:sz w:val="24"/>
          <w:highlight w:val="none"/>
        </w:rPr>
      </w:pPr>
      <w:r>
        <w:rPr>
          <w:rFonts w:hint="eastAsia" w:ascii="宋体" w:hAnsi="宋体"/>
          <w:color w:val="auto"/>
          <w:sz w:val="24"/>
          <w:highlight w:val="none"/>
        </w:rPr>
        <w:t>招标代理机构：南方电网供应链集团有限公司</w:t>
      </w:r>
    </w:p>
    <w:p>
      <w:pPr>
        <w:snapToGrid w:val="0"/>
        <w:spacing w:line="360" w:lineRule="auto"/>
        <w:ind w:right="97" w:rightChars="46" w:firstLine="3360" w:firstLineChars="1400"/>
        <w:jc w:val="left"/>
        <w:rPr>
          <w:rFonts w:ascii="宋体" w:hAnsi="宋体"/>
          <w:color w:val="auto"/>
          <w:sz w:val="24"/>
          <w:highlight w:val="none"/>
        </w:rPr>
        <w:sectPr>
          <w:footerReference r:id="rId6" w:type="first"/>
          <w:footerReference r:id="rId5" w:type="default"/>
          <w:pgSz w:w="11906" w:h="16838"/>
          <w:pgMar w:top="1440" w:right="1274" w:bottom="1440" w:left="1800" w:header="851" w:footer="992" w:gutter="0"/>
          <w:pgNumType w:start="1"/>
          <w:cols w:space="720" w:num="1"/>
          <w:docGrid w:type="lines" w:linePitch="312" w:charSpace="0"/>
        </w:sectPr>
      </w:pP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 xml:space="preserve"> 202</w:t>
      </w:r>
      <w:r>
        <w:rPr>
          <w:rFonts w:hint="eastAsia" w:ascii="宋体" w:hAnsi="宋体"/>
          <w:color w:val="auto"/>
          <w:sz w:val="24"/>
          <w:highlight w:val="none"/>
        </w:rPr>
        <w:t>3</w:t>
      </w:r>
      <w:r>
        <w:rPr>
          <w:rFonts w:ascii="宋体" w:hAnsi="宋体"/>
          <w:color w:val="auto"/>
          <w:sz w:val="24"/>
          <w:highlight w:val="none"/>
        </w:rPr>
        <w:t>年</w:t>
      </w:r>
      <w:r>
        <w:rPr>
          <w:rFonts w:hint="eastAsia" w:ascii="宋体" w:hAnsi="宋体"/>
          <w:color w:val="auto"/>
          <w:sz w:val="24"/>
          <w:highlight w:val="none"/>
          <w:lang w:val="en-US" w:eastAsia="zh-CN"/>
        </w:rPr>
        <w:t>11</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p>
    <w:p>
      <w:pPr>
        <w:spacing w:line="360" w:lineRule="auto"/>
        <w:rPr>
          <w:rFonts w:ascii="宋体" w:hAnsi="宋体" w:cs="宋体"/>
          <w:b/>
          <w:color w:val="auto"/>
          <w:sz w:val="44"/>
          <w:highlight w:val="none"/>
        </w:rPr>
      </w:pPr>
      <w:r>
        <w:rPr>
          <w:rFonts w:hint="eastAsia" w:ascii="宋体" w:hAnsi="宋体" w:cs="宋体"/>
          <w:color w:val="auto"/>
          <w:sz w:val="24"/>
          <w:highlight w:val="none"/>
        </w:rPr>
        <w:t>附件一：</w:t>
      </w:r>
    </w:p>
    <w:p>
      <w:pPr>
        <w:pStyle w:val="23"/>
        <w:ind w:firstLine="0"/>
        <w:jc w:val="center"/>
        <w:rPr>
          <w:rFonts w:ascii="宋体" w:hAnsi="宋体" w:eastAsia="宋体" w:cs="宋体"/>
          <w:color w:val="auto"/>
          <w:sz w:val="48"/>
          <w:szCs w:val="48"/>
          <w:highlight w:val="none"/>
        </w:rPr>
      </w:pPr>
      <w:r>
        <w:rPr>
          <w:rFonts w:hint="eastAsia" w:ascii="宋体" w:hAnsi="宋体" w:eastAsia="宋体" w:cs="宋体"/>
          <w:b/>
          <w:color w:val="auto"/>
          <w:sz w:val="48"/>
          <w:szCs w:val="48"/>
          <w:highlight w:val="none"/>
        </w:rPr>
        <w:t>投标人声明</w:t>
      </w:r>
    </w:p>
    <w:p>
      <w:pPr>
        <w:pStyle w:val="23"/>
        <w:ind w:firstLine="0"/>
        <w:jc w:val="center"/>
        <w:rPr>
          <w:rFonts w:ascii="宋体" w:hAnsi="宋体" w:eastAsia="宋体" w:cs="宋体"/>
          <w:color w:val="auto"/>
          <w:sz w:val="21"/>
          <w:szCs w:val="21"/>
          <w:highlight w:val="none"/>
        </w:rPr>
      </w:pPr>
    </w:p>
    <w:p>
      <w:pPr>
        <w:pStyle w:val="23"/>
        <w:ind w:firstLine="0"/>
        <w:rPr>
          <w:rFonts w:hint="eastAsia" w:ascii="宋体" w:hAnsi="宋体" w:eastAsia="宋体" w:cs="宋体"/>
          <w:color w:val="auto"/>
          <w:sz w:val="24"/>
          <w:szCs w:val="24"/>
        </w:rPr>
      </w:pPr>
      <w:r>
        <w:rPr>
          <w:rFonts w:hint="eastAsia" w:ascii="宋体" w:hAnsi="宋体" w:eastAsia="宋体" w:cs="宋体"/>
          <w:color w:val="auto"/>
          <w:sz w:val="24"/>
          <w:szCs w:val="24"/>
          <w:u w:val="single"/>
        </w:rPr>
        <w:t>广州市番禺区建设工程招标投标管理办公室</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南方鼎元资产运营有限责任公司</w:t>
      </w:r>
      <w:r>
        <w:rPr>
          <w:rFonts w:hint="eastAsia" w:ascii="宋体" w:hAnsi="宋体" w:eastAsia="宋体" w:cs="宋体"/>
          <w:color w:val="auto"/>
          <w:sz w:val="24"/>
          <w:szCs w:val="24"/>
        </w:rPr>
        <w:t>：</w:t>
      </w:r>
    </w:p>
    <w:p>
      <w:pPr>
        <w:pStyle w:val="23"/>
        <w:rPr>
          <w:rFonts w:ascii="宋体" w:hAnsi="宋体" w:eastAsia="宋体" w:cs="宋体"/>
          <w:color w:val="auto"/>
          <w:sz w:val="24"/>
          <w:szCs w:val="24"/>
        </w:rPr>
      </w:pPr>
      <w:r>
        <w:rPr>
          <w:rFonts w:hint="eastAsia" w:ascii="宋体" w:hAnsi="宋体" w:eastAsia="宋体" w:cs="宋体"/>
          <w:color w:val="auto"/>
          <w:sz w:val="24"/>
          <w:szCs w:val="24"/>
        </w:rPr>
        <w:t>本公司就参加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投标工作，作出郑重声明：</w:t>
      </w:r>
    </w:p>
    <w:p>
      <w:pPr>
        <w:pStyle w:val="23"/>
        <w:rPr>
          <w:rFonts w:ascii="宋体" w:hAnsi="宋体" w:eastAsia="宋体" w:cs="宋体"/>
          <w:color w:val="auto"/>
          <w:sz w:val="24"/>
          <w:szCs w:val="24"/>
        </w:rPr>
      </w:pPr>
      <w:r>
        <w:rPr>
          <w:rFonts w:hint="eastAsia" w:ascii="宋体" w:hAnsi="宋体" w:eastAsia="宋体" w:cs="宋体"/>
          <w:color w:val="auto"/>
          <w:sz w:val="24"/>
          <w:szCs w:val="24"/>
        </w:rPr>
        <w:t>一、我方保证投标文件及其后提供的一切材料都是真实的。如我方成为本项目中标候选人，我方同意并授权招标人将我方投标文件商务部分文件的所有内容（包括人员、业绩、奖项等资料）进行公开。</w:t>
      </w:r>
    </w:p>
    <w:p>
      <w:pPr>
        <w:pStyle w:val="23"/>
        <w:rPr>
          <w:rFonts w:ascii="宋体" w:hAnsi="宋体" w:eastAsia="宋体" w:cs="宋体"/>
          <w:color w:val="auto"/>
          <w:sz w:val="24"/>
          <w:szCs w:val="24"/>
        </w:rPr>
      </w:pPr>
      <w:r>
        <w:rPr>
          <w:rFonts w:hint="eastAsia" w:ascii="宋体" w:hAnsi="宋体" w:eastAsia="宋体" w:cs="宋体"/>
          <w:color w:val="auto"/>
          <w:sz w:val="24"/>
          <w:szCs w:val="24"/>
        </w:rPr>
        <w:t>二、我方保证在本项目投标中不与其他单位围标、串标，不出让投标资格，不向招标人或评标委员会成员行贿。</w:t>
      </w:r>
    </w:p>
    <w:p>
      <w:pPr>
        <w:pStyle w:val="23"/>
        <w:rPr>
          <w:rFonts w:ascii="宋体" w:hAnsi="宋体" w:eastAsia="宋体" w:cs="宋体"/>
          <w:color w:val="auto"/>
          <w:sz w:val="24"/>
          <w:szCs w:val="24"/>
        </w:rPr>
      </w:pPr>
      <w:r>
        <w:rPr>
          <w:rFonts w:hint="eastAsia" w:ascii="宋体" w:hAnsi="宋体" w:eastAsia="宋体" w:cs="宋体"/>
          <w:color w:val="auto"/>
          <w:sz w:val="24"/>
          <w:szCs w:val="24"/>
        </w:rPr>
        <w:t>三、本公司不存在下列情形之一：</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（一）为招标人不具有独立法人资格的附属机构（单位）；</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（二）为本标段前期准备提供设计或咨询服务或者与本项目设计人或提供咨询服务的机构存在附属关系的；</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（三）为本标段监理人或者与本标段监理人存在隶属关系或者其他利害关系；</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（四）为本标段的代建人；</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（五）为本标段提供招标代理服务的；</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（六）与本标段的监理人或代建人或招标代理机构同为一个法定代表人的；</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（七）与本标段的监理人或代建人或招标代理机构互相控股或参股的；</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（八）与本标段的监理人或代建人或招标代理机构相互任职或工作的；</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（九）与本标段的检测机构有隶属关系或者其他利害关系；</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（十）与招标人存在利害关系且可能影响招标公正性； </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（十二）被责令停产停业、暂扣或者吊销许可证、暂扣或者吊销执照的（本项事实应当以根据《中华人民共和国行政处罚法》依法作出并已经生效的行政处罚决定为认定依据。）；</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（十三）进入清算程序，或被宣布破产，或其他丧失履约能力的情形；</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3"/>
        <w:rPr>
          <w:rFonts w:hint="eastAsia" w:ascii="宋体" w:hAnsi="宋体" w:eastAsia="宋体" w:cs="宋体"/>
          <w:color w:val="auto"/>
          <w:sz w:val="24"/>
          <w:szCs w:val="24"/>
        </w:rPr>
      </w:pPr>
      <w:r>
        <w:rPr>
          <w:rFonts w:hint="eastAsia" w:ascii="宋体" w:hAnsi="宋体" w:eastAsia="宋体" w:cs="宋体"/>
          <w:color w:val="auto"/>
          <w:sz w:val="24"/>
          <w:szCs w:val="24"/>
        </w:rPr>
        <w:t>（十五）法律法规规定的其他情形。</w:t>
      </w:r>
    </w:p>
    <w:p>
      <w:pPr>
        <w:pStyle w:val="23"/>
        <w:rPr>
          <w:rFonts w:ascii="宋体" w:hAnsi="宋体" w:eastAsia="宋体" w:cs="宋体"/>
          <w:color w:val="auto"/>
          <w:sz w:val="24"/>
          <w:szCs w:val="24"/>
        </w:rPr>
      </w:pPr>
      <w:r>
        <w:rPr>
          <w:rFonts w:hint="eastAsia" w:ascii="宋体" w:hAnsi="宋体" w:eastAsia="宋体" w:cs="宋体"/>
          <w:color w:val="auto"/>
          <w:sz w:val="24"/>
          <w:szCs w:val="24"/>
        </w:rPr>
        <w:t>四、本公司保证：本项目拟派的项目负责人没有在其他在建项目中任施工单位项目负责人或者在工程总承包项目中任项目负责人，本项目拟派的施工负责人和专职安全员没有在其他在建项目中任职。</w:t>
      </w:r>
    </w:p>
    <w:p>
      <w:pPr>
        <w:pStyle w:val="23"/>
        <w:rPr>
          <w:rFonts w:ascii="宋体" w:hAnsi="宋体" w:eastAsia="宋体" w:cs="宋体"/>
          <w:color w:val="auto"/>
          <w:sz w:val="24"/>
          <w:szCs w:val="24"/>
        </w:rPr>
      </w:pPr>
      <w:r>
        <w:rPr>
          <w:rFonts w:hint="eastAsia" w:ascii="宋体" w:hAnsi="宋体" w:eastAsia="宋体" w:cs="宋体"/>
          <w:color w:val="auto"/>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3"/>
        <w:rPr>
          <w:rFonts w:ascii="宋体" w:hAnsi="宋体" w:eastAsia="宋体" w:cs="宋体"/>
          <w:color w:val="auto"/>
          <w:sz w:val="24"/>
          <w:szCs w:val="24"/>
        </w:rPr>
      </w:pPr>
      <w:r>
        <w:rPr>
          <w:rFonts w:hint="eastAsia" w:ascii="宋体" w:hAnsi="宋体" w:eastAsia="宋体" w:cs="宋体"/>
          <w:color w:val="auto"/>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3"/>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七、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3"/>
        <w:rPr>
          <w:rFonts w:ascii="宋体" w:hAnsi="宋体" w:eastAsia="宋体" w:cs="宋体"/>
          <w:color w:val="auto"/>
          <w:sz w:val="24"/>
          <w:szCs w:val="24"/>
        </w:rPr>
      </w:pPr>
      <w:r>
        <w:rPr>
          <w:rFonts w:hint="eastAsia" w:ascii="宋体" w:hAnsi="宋体" w:eastAsia="宋体" w:cs="宋体"/>
          <w:color w:val="auto"/>
          <w:sz w:val="24"/>
          <w:szCs w:val="24"/>
        </w:rPr>
        <w:t>八、与本公司单位负责人为同一人或者与本公司存在控股、管理关系的其他单位包括：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。（注：本条由投标人如实填写，如有，应列出全部满足招标公告资质要求的相关单位的名称；如无，则填写“无”。）</w:t>
      </w:r>
    </w:p>
    <w:p>
      <w:pPr>
        <w:pStyle w:val="23"/>
        <w:rPr>
          <w:rFonts w:ascii="宋体" w:hAnsi="宋体" w:eastAsia="宋体" w:cs="宋体"/>
          <w:color w:val="auto"/>
          <w:sz w:val="24"/>
          <w:szCs w:val="24"/>
        </w:rPr>
      </w:pPr>
      <w:r>
        <w:rPr>
          <w:rFonts w:hint="eastAsia" w:ascii="宋体" w:hAnsi="宋体" w:eastAsia="宋体" w:cs="宋体"/>
          <w:color w:val="auto"/>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3"/>
        <w:jc w:val="left"/>
        <w:rPr>
          <w:rFonts w:ascii="宋体" w:hAnsi="宋体" w:eastAsia="宋体" w:cs="宋体"/>
          <w:color w:val="auto"/>
          <w:sz w:val="24"/>
          <w:szCs w:val="24"/>
        </w:rPr>
      </w:pPr>
      <w:r>
        <w:rPr>
          <w:rFonts w:hint="eastAsia" w:ascii="宋体" w:hAnsi="宋体" w:eastAsia="宋体" w:cs="宋体"/>
          <w:color w:val="auto"/>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3"/>
        <w:jc w:val="left"/>
        <w:rPr>
          <w:rFonts w:ascii="宋体" w:hAnsi="宋体" w:eastAsia="宋体" w:cs="宋体"/>
          <w:color w:val="auto"/>
          <w:sz w:val="24"/>
          <w:szCs w:val="24"/>
        </w:rPr>
      </w:pPr>
      <w:r>
        <w:rPr>
          <w:rFonts w:hint="eastAsia" w:ascii="宋体" w:hAnsi="宋体" w:eastAsia="宋体" w:cs="宋体"/>
          <w:color w:val="auto"/>
          <w:sz w:val="24"/>
          <w:szCs w:val="24"/>
        </w:rPr>
        <w:t>十一、本公司违反上述保证，或本声明陈述与事实不符，一经查实将按相关规定进行信用记录。本公司对失信行为产生的一切后果已知悉。其中，本声明陈述与事</w:t>
      </w:r>
      <w:bookmarkStart w:id="33" w:name="_GoBack"/>
      <w:bookmarkEnd w:id="33"/>
      <w:r>
        <w:rPr>
          <w:rFonts w:hint="eastAsia" w:ascii="宋体" w:hAnsi="宋体" w:eastAsia="宋体" w:cs="宋体"/>
          <w:color w:val="auto"/>
          <w:sz w:val="24"/>
          <w:szCs w:val="24"/>
        </w:rPr>
        <w:t>实不符，属于弄虚作假骗取中标，将依法接受监管部门的处罚。</w:t>
      </w:r>
    </w:p>
    <w:p>
      <w:pPr>
        <w:pStyle w:val="23"/>
        <w:jc w:val="left"/>
        <w:rPr>
          <w:rFonts w:ascii="宋体" w:hAnsi="宋体" w:eastAsia="宋体" w:cs="宋体"/>
          <w:color w:val="auto"/>
          <w:sz w:val="24"/>
          <w:szCs w:val="24"/>
        </w:rPr>
      </w:pPr>
    </w:p>
    <w:p>
      <w:pPr>
        <w:pStyle w:val="23"/>
        <w:rPr>
          <w:rFonts w:ascii="宋体" w:hAnsi="宋体" w:eastAsia="宋体" w:cs="宋体"/>
          <w:color w:val="auto"/>
          <w:sz w:val="24"/>
          <w:szCs w:val="24"/>
        </w:rPr>
      </w:pPr>
      <w:r>
        <w:rPr>
          <w:rFonts w:hint="eastAsia" w:ascii="宋体" w:hAnsi="宋体" w:eastAsia="宋体" w:cs="宋体"/>
          <w:color w:val="auto"/>
          <w:sz w:val="24"/>
          <w:szCs w:val="24"/>
        </w:rPr>
        <w:t>特此声明。</w:t>
      </w:r>
    </w:p>
    <w:p>
      <w:pPr>
        <w:pStyle w:val="24"/>
        <w:ind w:left="846" w:leftChars="299" w:right="2719" w:rightChars="1295" w:hanging="218" w:hangingChars="91"/>
        <w:rPr>
          <w:rFonts w:ascii="宋体" w:hAnsi="宋体" w:eastAsia="宋体" w:cs="宋体"/>
          <w:color w:val="auto"/>
          <w:sz w:val="24"/>
          <w:szCs w:val="24"/>
        </w:rPr>
      </w:pPr>
      <w:r>
        <w:rPr>
          <w:rFonts w:hint="eastAsia" w:ascii="宋体" w:hAnsi="宋体" w:eastAsia="宋体" w:cs="宋体"/>
          <w:color w:val="auto"/>
          <w:sz w:val="24"/>
          <w:szCs w:val="24"/>
        </w:rPr>
        <w:t xml:space="preserve">                    </w:t>
      </w:r>
      <w:bookmarkStart w:id="16" w:name="_Hlk69808931"/>
      <w:r>
        <w:rPr>
          <w:rFonts w:hint="eastAsia" w:ascii="宋体" w:hAnsi="宋体" w:eastAsia="宋体" w:cs="宋体"/>
          <w:color w:val="auto"/>
          <w:sz w:val="24"/>
          <w:szCs w:val="24"/>
        </w:rPr>
        <w:t>声明企业（</w:t>
      </w:r>
      <w:bookmarkStart w:id="17" w:name="_Hlk72334097"/>
      <w:r>
        <w:rPr>
          <w:rFonts w:hint="eastAsia" w:ascii="宋体" w:hAnsi="宋体" w:eastAsia="宋体" w:cs="宋体"/>
          <w:color w:val="auto"/>
          <w:sz w:val="24"/>
          <w:szCs w:val="24"/>
        </w:rPr>
        <w:t>联合体全体成员</w:t>
      </w:r>
      <w:bookmarkEnd w:id="17"/>
      <w:r>
        <w:rPr>
          <w:rFonts w:hint="eastAsia" w:ascii="宋体" w:hAnsi="宋体" w:eastAsia="宋体" w:cs="宋体"/>
          <w:color w:val="auto"/>
          <w:sz w:val="24"/>
          <w:szCs w:val="24"/>
        </w:rPr>
        <w:t>）</w:t>
      </w:r>
      <w:bookmarkEnd w:id="16"/>
      <w:r>
        <w:rPr>
          <w:rFonts w:hint="eastAsia" w:ascii="宋体" w:hAnsi="宋体" w:eastAsia="宋体" w:cs="宋体"/>
          <w:color w:val="auto"/>
          <w:sz w:val="24"/>
          <w:szCs w:val="24"/>
        </w:rPr>
        <w:t>：</w:t>
      </w:r>
    </w:p>
    <w:p>
      <w:pPr>
        <w:pStyle w:val="23"/>
        <w:ind w:left="846" w:leftChars="299" w:right="2719" w:rightChars="1295" w:hanging="218" w:hangingChars="91"/>
        <w:jc w:val="center"/>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法定代表人签字：</w:t>
      </w:r>
    </w:p>
    <w:p>
      <w:pPr>
        <w:pStyle w:val="23"/>
        <w:ind w:left="657" w:leftChars="313" w:firstLine="3612" w:firstLineChars="1505"/>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项目负责人签字</w:t>
      </w:r>
      <w:r>
        <w:rPr>
          <w:rFonts w:hint="eastAsia" w:ascii="宋体" w:hAnsi="宋体" w:eastAsia="宋体" w:cs="宋体"/>
          <w:color w:val="auto"/>
          <w:sz w:val="24"/>
          <w:szCs w:val="24"/>
          <w:lang w:eastAsia="zh-CN"/>
        </w:rPr>
        <w:t>：</w:t>
      </w:r>
    </w:p>
    <w:p>
      <w:pPr>
        <w:pStyle w:val="23"/>
        <w:ind w:left="657" w:leftChars="313" w:right="2719" w:rightChars="1295" w:firstLine="3120" w:firstLineChars="1300"/>
        <w:rPr>
          <w:rFonts w:ascii="宋体" w:hAnsi="宋体" w:eastAsia="宋体" w:cs="宋体"/>
          <w:color w:val="auto"/>
          <w:sz w:val="24"/>
          <w:szCs w:val="24"/>
        </w:rPr>
      </w:pPr>
      <w:r>
        <w:rPr>
          <w:rFonts w:hint="eastAsia" w:ascii="宋体" w:hAnsi="宋体" w:eastAsia="宋体" w:cs="宋体"/>
          <w:color w:val="auto"/>
          <w:sz w:val="24"/>
          <w:szCs w:val="24"/>
        </w:rPr>
        <w:t>施工技术负责人签字：</w:t>
      </w:r>
    </w:p>
    <w:p>
      <w:pPr>
        <w:pStyle w:val="23"/>
        <w:ind w:right="879" w:firstLine="2160" w:firstLineChars="900"/>
        <w:jc w:val="right"/>
        <w:rPr>
          <w:rFonts w:ascii="宋体" w:hAnsi="宋体" w:eastAsia="宋体" w:cs="宋体"/>
          <w:color w:val="auto"/>
          <w:sz w:val="24"/>
          <w:szCs w:val="24"/>
        </w:rPr>
      </w:pPr>
      <w:r>
        <w:rPr>
          <w:rFonts w:hint="eastAsia" w:ascii="宋体" w:hAnsi="宋体" w:eastAsia="宋体" w:cs="宋体"/>
          <w:color w:val="auto"/>
          <w:sz w:val="24"/>
          <w:szCs w:val="24"/>
        </w:rPr>
        <w:t>年   月   日</w:t>
      </w:r>
    </w:p>
    <w:p>
      <w:pPr>
        <w:spacing w:line="360" w:lineRule="auto"/>
        <w:rPr>
          <w:rFonts w:hint="eastAsia" w:ascii="宋体" w:hAnsi="宋体" w:cs="宋体"/>
          <w:kern w:val="0"/>
          <w:sz w:val="24"/>
        </w:rPr>
      </w:pPr>
      <w:r>
        <w:rPr>
          <w:rFonts w:hint="eastAsia" w:ascii="宋体" w:hAnsi="宋体" w:cs="宋体"/>
          <w:sz w:val="24"/>
        </w:rPr>
        <w:t xml:space="preserve">                                                       </w:t>
      </w:r>
      <w:r>
        <w:rPr>
          <w:rFonts w:hint="eastAsia" w:ascii="宋体" w:hAnsi="宋体" w:cs="宋体"/>
          <w:kern w:val="0"/>
          <w:sz w:val="24"/>
        </w:rPr>
        <w:t>（企业公章）</w:t>
      </w:r>
    </w:p>
    <w:p>
      <w:pPr>
        <w:spacing w:line="360" w:lineRule="auto"/>
        <w:rPr>
          <w:rFonts w:hint="eastAsia" w:ascii="宋体" w:hAnsi="宋体" w:cs="宋体"/>
          <w:b/>
          <w:kern w:val="0"/>
          <w:sz w:val="24"/>
        </w:rPr>
      </w:pPr>
      <w:r>
        <w:rPr>
          <w:rFonts w:hint="eastAsia" w:ascii="宋体" w:hAnsi="宋体" w:cs="宋体"/>
          <w:b/>
          <w:kern w:val="0"/>
          <w:sz w:val="24"/>
        </w:rPr>
        <w:t>注：</w:t>
      </w:r>
      <w:r>
        <w:rPr>
          <w:rFonts w:hint="eastAsia" w:ascii="宋体" w:hAnsi="宋体" w:eastAsia="宋体" w:cs="宋体"/>
          <w:b/>
          <w:kern w:val="0"/>
          <w:sz w:val="24"/>
          <w:highlight w:val="none"/>
        </w:rPr>
        <w:t>投标人（或联合体牵头方）的法定代表人、项目负责人和技术负责人须在本声明上签字。</w:t>
      </w:r>
      <w:r>
        <w:rPr>
          <w:rFonts w:hint="eastAsia" w:ascii="宋体" w:hAnsi="宋体" w:eastAsia="宋体" w:cs="宋体"/>
          <w:b/>
          <w:kern w:val="0"/>
          <w:sz w:val="24"/>
        </w:rPr>
        <w:t>若为联合体，声明企业包含联合体各单位，由联合体</w:t>
      </w:r>
      <w:r>
        <w:rPr>
          <w:rFonts w:hint="eastAsia" w:ascii="宋体" w:hAnsi="宋体" w:eastAsia="宋体" w:cs="宋体"/>
          <w:b/>
          <w:kern w:val="0"/>
          <w:sz w:val="24"/>
          <w:highlight w:val="none"/>
        </w:rPr>
        <w:t>牵头方</w:t>
      </w:r>
      <w:r>
        <w:rPr>
          <w:rFonts w:hint="eastAsia" w:ascii="宋体" w:hAnsi="宋体" w:eastAsia="宋体" w:cs="宋体"/>
          <w:b/>
          <w:kern w:val="0"/>
          <w:sz w:val="24"/>
        </w:rPr>
        <w:t>盖章即可。</w:t>
      </w:r>
    </w:p>
    <w:p>
      <w:pPr>
        <w:snapToGrid w:val="0"/>
        <w:spacing w:line="360" w:lineRule="auto"/>
        <w:ind w:firstLine="480" w:firstLineChars="200"/>
        <w:rPr>
          <w:rFonts w:hint="eastAsia" w:ascii="宋体" w:hAnsi="宋体" w:cs="宋体"/>
          <w:sz w:val="24"/>
          <w:szCs w:val="22"/>
        </w:rPr>
        <w:sectPr>
          <w:pgSz w:w="11906" w:h="16838"/>
          <w:pgMar w:top="1440" w:right="1274" w:bottom="1440" w:left="1800" w:header="851" w:footer="992" w:gutter="0"/>
          <w:cols w:space="720" w:num="1"/>
          <w:docGrid w:type="lines" w:linePitch="312" w:charSpace="0"/>
        </w:sectPr>
      </w:pPr>
    </w:p>
    <w:p>
      <w:pPr>
        <w:spacing w:line="360" w:lineRule="auto"/>
        <w:rPr>
          <w:rFonts w:ascii="宋体" w:hAnsi="宋体" w:cs="宋体"/>
          <w:color w:val="auto"/>
          <w:highlight w:val="none"/>
        </w:rPr>
      </w:pPr>
      <w:r>
        <w:rPr>
          <w:rFonts w:hint="eastAsia" w:ascii="宋体" w:hAnsi="宋体" w:cs="宋体"/>
          <w:color w:val="auto"/>
          <w:sz w:val="24"/>
          <w:highlight w:val="none"/>
        </w:rPr>
        <w:t>附件二：</w:t>
      </w:r>
    </w:p>
    <w:p>
      <w:pPr>
        <w:pStyle w:val="23"/>
        <w:spacing w:line="240" w:lineRule="auto"/>
        <w:ind w:right="-46" w:firstLine="0"/>
        <w:jc w:val="center"/>
        <w:rPr>
          <w:rFonts w:hint="eastAsia" w:ascii="宋体" w:eastAsia="宋体"/>
          <w:b/>
          <w:color w:val="auto"/>
          <w:highlight w:val="none"/>
        </w:rPr>
      </w:pPr>
      <w:bookmarkStart w:id="18" w:name="_Toc247527833"/>
      <w:bookmarkStart w:id="19" w:name="_Toc247514285"/>
      <w:bookmarkStart w:id="20" w:name="_Toc152045793"/>
      <w:bookmarkStart w:id="21" w:name="_Toc19622"/>
      <w:bookmarkStart w:id="22" w:name="_Toc51288284"/>
      <w:bookmarkStart w:id="23" w:name="_Toc13186"/>
      <w:bookmarkStart w:id="24" w:name="_Toc27824"/>
      <w:bookmarkStart w:id="25" w:name="_Toc3302"/>
      <w:bookmarkStart w:id="26" w:name="_Toc22643"/>
      <w:bookmarkStart w:id="27" w:name="_Toc152042582"/>
      <w:bookmarkStart w:id="28" w:name="_Toc7372"/>
      <w:bookmarkStart w:id="29" w:name="_Toc11037"/>
      <w:bookmarkStart w:id="30" w:name="_Toc22062"/>
      <w:bookmarkStart w:id="31" w:name="_Toc17406"/>
      <w:bookmarkStart w:id="32" w:name="_Toc19270"/>
      <w:r>
        <w:rPr>
          <w:rFonts w:hint="eastAsia" w:ascii="宋体" w:eastAsia="宋体"/>
          <w:b/>
          <w:color w:val="auto"/>
          <w:highlight w:val="none"/>
        </w:rPr>
        <w:t>联合体投标协议书</w:t>
      </w:r>
    </w:p>
    <w:p>
      <w:pPr>
        <w:spacing w:line="400" w:lineRule="exact"/>
        <w:jc w:val="center"/>
        <w:rPr>
          <w:rFonts w:hint="eastAsia" w:ascii="宋体"/>
          <w:szCs w:val="21"/>
          <w:highlight w:val="none"/>
        </w:rPr>
      </w:pPr>
    </w:p>
    <w:p>
      <w:pPr>
        <w:topLinePunct/>
        <w:spacing w:line="400" w:lineRule="exact"/>
        <w:ind w:firstLine="420" w:firstLineChars="200"/>
        <w:rPr>
          <w:rFonts w:hint="eastAsia"/>
          <w:szCs w:val="21"/>
        </w:rPr>
      </w:pPr>
      <w:r>
        <w:rPr>
          <w:szCs w:val="21"/>
          <w:u w:val="single"/>
        </w:rPr>
        <w:t xml:space="preserve">   </w:t>
      </w:r>
      <w:r>
        <w:rPr>
          <w:rFonts w:hint="eastAsia"/>
          <w:szCs w:val="21"/>
          <w:u w:val="single"/>
          <w:lang w:val="en-US" w:eastAsia="zh-CN"/>
        </w:rPr>
        <w:t xml:space="preserve">       </w:t>
      </w:r>
      <w:r>
        <w:rPr>
          <w:rFonts w:hint="eastAsia"/>
          <w:szCs w:val="21"/>
          <w:u w:val="none"/>
        </w:rPr>
        <w:t>（</w:t>
      </w:r>
      <w:r>
        <w:rPr>
          <w:rFonts w:hint="eastAsia"/>
          <w:szCs w:val="21"/>
          <w:u w:val="none"/>
          <w:lang w:val="en-US" w:eastAsia="zh-CN"/>
        </w:rPr>
        <w:t>联合体牵头方、成员方单位</w:t>
      </w:r>
      <w:r>
        <w:rPr>
          <w:rFonts w:hint="eastAsia"/>
          <w:szCs w:val="21"/>
          <w:u w:val="none"/>
        </w:rPr>
        <w:t>名称）</w:t>
      </w:r>
      <w:r>
        <w:rPr>
          <w:rFonts w:hint="eastAsia"/>
          <w:szCs w:val="21"/>
        </w:rPr>
        <w:t>自愿组成联合体，共同参加</w:t>
      </w:r>
      <w:r>
        <w:rPr>
          <w:szCs w:val="21"/>
          <w:u w:val="single"/>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szCs w:val="21"/>
          <w:u w:val="single"/>
        </w:rPr>
        <w:t xml:space="preserve"> </w:t>
      </w:r>
      <w:r>
        <w:rPr>
          <w:rFonts w:hint="eastAsia"/>
          <w:szCs w:val="21"/>
        </w:rPr>
        <w:t>（项目名称投标。我方授权委托本协议牵头人代表联合体各成员参加投标、签署投标资料、提交投标文件，负责整个合同实施阶段的协调工作。若中标，联合体各成员向招标人承担连带责任。现就联合体投标事宜订立如下协议。</w:t>
      </w:r>
    </w:p>
    <w:p>
      <w:pPr>
        <w:topLinePunct/>
        <w:spacing w:line="400" w:lineRule="exact"/>
        <w:ind w:firstLine="420" w:firstLineChars="200"/>
        <w:rPr>
          <w:szCs w:val="21"/>
        </w:rPr>
      </w:pPr>
      <w:r>
        <w:rPr>
          <w:szCs w:val="21"/>
        </w:rPr>
        <w:t>1</w:t>
      </w:r>
      <w:r>
        <w:rPr>
          <w:rFonts w:hint="eastAsia"/>
          <w:szCs w:val="21"/>
        </w:rPr>
        <w:t>、</w:t>
      </w:r>
      <w:r>
        <w:rPr>
          <w:szCs w:val="21"/>
          <w:u w:val="single"/>
        </w:rPr>
        <w:t xml:space="preserve">     </w:t>
      </w:r>
      <w:r>
        <w:rPr>
          <w:rFonts w:hint="eastAsia"/>
          <w:szCs w:val="21"/>
          <w:u w:val="single"/>
          <w:lang w:val="en-US" w:eastAsia="zh-CN"/>
        </w:rPr>
        <w:t xml:space="preserve">                   </w:t>
      </w:r>
      <w:r>
        <w:rPr>
          <w:szCs w:val="21"/>
          <w:u w:val="single"/>
        </w:rPr>
        <w:t xml:space="preserve">  </w:t>
      </w:r>
      <w:r>
        <w:rPr>
          <w:rFonts w:hint="eastAsia"/>
          <w:szCs w:val="21"/>
        </w:rPr>
        <w:t>（</w:t>
      </w:r>
      <w:r>
        <w:rPr>
          <w:rFonts w:hint="eastAsia"/>
          <w:szCs w:val="21"/>
          <w:lang w:val="en-US" w:eastAsia="zh-CN"/>
        </w:rPr>
        <w:t>牵头方</w:t>
      </w:r>
      <w:r>
        <w:rPr>
          <w:rFonts w:hint="eastAsia"/>
          <w:szCs w:val="21"/>
        </w:rPr>
        <w:t>单位名称）为联合体</w:t>
      </w:r>
      <w:r>
        <w:rPr>
          <w:rFonts w:hint="eastAsia"/>
          <w:szCs w:val="21"/>
          <w:lang w:eastAsia="zh-CN"/>
        </w:rPr>
        <w:t>牵头方</w:t>
      </w:r>
      <w:r>
        <w:rPr>
          <w:rFonts w:hint="eastAsia"/>
          <w:szCs w:val="21"/>
        </w:rPr>
        <w:t>。</w:t>
      </w:r>
    </w:p>
    <w:p>
      <w:pPr>
        <w:topLinePunct/>
        <w:spacing w:line="400" w:lineRule="exact"/>
        <w:ind w:firstLine="420" w:firstLineChars="200"/>
        <w:rPr>
          <w:szCs w:val="21"/>
        </w:rPr>
      </w:pPr>
      <w:r>
        <w:rPr>
          <w:szCs w:val="21"/>
        </w:rPr>
        <w:t>2</w:t>
      </w:r>
      <w:r>
        <w:rPr>
          <w:rFonts w:hint="eastAsia"/>
          <w:szCs w:val="21"/>
        </w:rPr>
        <w:t>、联合体</w:t>
      </w:r>
      <w:r>
        <w:rPr>
          <w:rFonts w:hint="eastAsia"/>
          <w:szCs w:val="21"/>
          <w:lang w:eastAsia="zh-CN"/>
        </w:rPr>
        <w:t>牵头方</w:t>
      </w:r>
      <w:r>
        <w:rPr>
          <w:rFonts w:hint="eastAsia"/>
          <w:szCs w:val="21"/>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00" w:lineRule="exact"/>
        <w:ind w:firstLine="420" w:firstLineChars="200"/>
        <w:rPr>
          <w:rFonts w:hint="eastAsia"/>
          <w:szCs w:val="21"/>
        </w:rPr>
      </w:pPr>
      <w:r>
        <w:rPr>
          <w:szCs w:val="21"/>
        </w:rPr>
        <w:t>3</w:t>
      </w:r>
      <w:r>
        <w:rPr>
          <w:rFonts w:hint="eastAsia"/>
          <w:szCs w:val="21"/>
        </w:rPr>
        <w:t>、联合体将严格按照招标文件的各项要求，递交投标文件，履行合同，并对外承担相应责任。联合体</w:t>
      </w:r>
      <w:r>
        <w:rPr>
          <w:rFonts w:hint="eastAsia"/>
          <w:szCs w:val="21"/>
          <w:lang w:eastAsia="zh-CN"/>
        </w:rPr>
        <w:t>牵头方</w:t>
      </w:r>
      <w:r>
        <w:rPr>
          <w:rFonts w:hint="eastAsia"/>
          <w:szCs w:val="21"/>
        </w:rPr>
        <w:t>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spacing w:line="400" w:lineRule="exact"/>
        <w:ind w:firstLine="420" w:firstLineChars="200"/>
        <w:rPr>
          <w:rFonts w:ascii="宋体" w:hAnsi="宋体" w:cs="宋体"/>
          <w:sz w:val="18"/>
          <w:szCs w:val="18"/>
        </w:rPr>
      </w:pPr>
      <w:r>
        <w:rPr>
          <w:szCs w:val="21"/>
        </w:rPr>
        <w:t>4</w:t>
      </w:r>
      <w:r>
        <w:rPr>
          <w:rFonts w:hint="eastAsia"/>
          <w:szCs w:val="21"/>
        </w:rPr>
        <w:t>、联合体各成员单位内部的职责分工如下：</w:t>
      </w:r>
    </w:p>
    <w:p>
      <w:pPr>
        <w:topLinePunct/>
        <w:spacing w:line="400" w:lineRule="exact"/>
        <w:ind w:firstLine="360" w:firstLineChars="200"/>
        <w:rPr>
          <w:szCs w:val="21"/>
        </w:rPr>
      </w:pPr>
      <w:r>
        <w:rPr>
          <w:rFonts w:hint="eastAsia" w:ascii="宋体" w:hAnsi="宋体" w:cs="宋体"/>
          <w:sz w:val="18"/>
          <w:szCs w:val="18"/>
          <w:lang w:eastAsia="zh-CN"/>
        </w:rPr>
        <w:t>（</w:t>
      </w:r>
      <w:r>
        <w:rPr>
          <w:rFonts w:hint="eastAsia" w:ascii="宋体" w:hAnsi="宋体" w:cs="宋体"/>
          <w:sz w:val="18"/>
          <w:szCs w:val="18"/>
          <w:lang w:val="en-US" w:eastAsia="zh-CN"/>
        </w:rPr>
        <w:t>1</w:t>
      </w:r>
      <w:r>
        <w:rPr>
          <w:rFonts w:hint="eastAsia" w:ascii="宋体" w:hAnsi="宋体" w:cs="宋体"/>
          <w:sz w:val="18"/>
          <w:szCs w:val="18"/>
          <w:lang w:eastAsia="zh-CN"/>
        </w:rPr>
        <w:t>）</w:t>
      </w:r>
      <w:r>
        <w:rPr>
          <w:rFonts w:ascii="宋体" w:hAnsi="宋体" w:cs="宋体"/>
          <w:sz w:val="18"/>
          <w:szCs w:val="18"/>
          <w:u w:val="single"/>
        </w:rPr>
        <w:t xml:space="preserve">             </w:t>
      </w:r>
      <w:r>
        <w:rPr>
          <w:rFonts w:hint="eastAsia" w:ascii="宋体" w:hAnsi="宋体" w:cs="宋体"/>
          <w:sz w:val="18"/>
          <w:szCs w:val="18"/>
        </w:rPr>
        <w:t>（</w:t>
      </w:r>
      <w:r>
        <w:rPr>
          <w:rFonts w:hint="eastAsia"/>
          <w:szCs w:val="21"/>
        </w:rPr>
        <w:t>施工方单位名称）：作为联合体的</w:t>
      </w:r>
      <w:r>
        <w:rPr>
          <w:rFonts w:hint="eastAsia"/>
          <w:szCs w:val="21"/>
          <w:lang w:eastAsia="zh-CN"/>
        </w:rPr>
        <w:t>牵头方</w:t>
      </w:r>
      <w:r>
        <w:rPr>
          <w:rFonts w:hint="eastAsia"/>
          <w:szCs w:val="21"/>
        </w:rPr>
        <w:t>除负责本工程的施工外，还应负责设计</w:t>
      </w:r>
      <w:r>
        <w:rPr>
          <w:rFonts w:hint="eastAsia"/>
          <w:szCs w:val="21"/>
          <w:lang w:eastAsia="zh-CN"/>
        </w:rPr>
        <w:t>、</w:t>
      </w:r>
      <w:r>
        <w:rPr>
          <w:rFonts w:hint="eastAsia"/>
          <w:szCs w:val="21"/>
        </w:rPr>
        <w:t>施工总承包管理的职责。联合体其他相关方违约时，</w:t>
      </w:r>
      <w:r>
        <w:rPr>
          <w:rFonts w:hint="eastAsia"/>
          <w:szCs w:val="21"/>
          <w:lang w:eastAsia="zh-CN"/>
        </w:rPr>
        <w:t>牵头方</w:t>
      </w:r>
      <w:r>
        <w:rPr>
          <w:rFonts w:hint="eastAsia"/>
          <w:szCs w:val="21"/>
        </w:rPr>
        <w:t>应承担连带责任，具体按合同要求。</w:t>
      </w:r>
    </w:p>
    <w:p>
      <w:pPr>
        <w:topLinePunct/>
        <w:spacing w:line="400" w:lineRule="exact"/>
        <w:ind w:firstLine="360" w:firstLineChars="200"/>
        <w:rPr>
          <w:szCs w:val="21"/>
        </w:rPr>
      </w:pPr>
      <w:r>
        <w:rPr>
          <w:rFonts w:hint="eastAsia" w:ascii="宋体" w:hAnsi="宋体" w:cs="宋体"/>
          <w:sz w:val="18"/>
          <w:szCs w:val="18"/>
          <w:lang w:eastAsia="zh-CN"/>
        </w:rPr>
        <w:t>（</w:t>
      </w:r>
      <w:r>
        <w:rPr>
          <w:rFonts w:hint="eastAsia" w:ascii="宋体" w:hAnsi="宋体" w:cs="宋体"/>
          <w:sz w:val="18"/>
          <w:szCs w:val="18"/>
          <w:lang w:val="en-US" w:eastAsia="zh-CN"/>
        </w:rPr>
        <w:t>2</w:t>
      </w:r>
      <w:r>
        <w:rPr>
          <w:rFonts w:hint="eastAsia" w:ascii="宋体" w:hAnsi="宋体" w:cs="宋体"/>
          <w:sz w:val="18"/>
          <w:szCs w:val="18"/>
          <w:lang w:eastAsia="zh-CN"/>
        </w:rPr>
        <w:t>）</w:t>
      </w:r>
      <w:r>
        <w:rPr>
          <w:rFonts w:ascii="宋体" w:hAnsi="宋体" w:cs="宋体"/>
          <w:sz w:val="18"/>
          <w:szCs w:val="18"/>
          <w:u w:val="single"/>
        </w:rPr>
        <w:t xml:space="preserve">             </w:t>
      </w:r>
      <w:r>
        <w:rPr>
          <w:rFonts w:hint="eastAsia" w:ascii="宋体" w:hAnsi="宋体" w:cs="宋体"/>
          <w:sz w:val="18"/>
          <w:szCs w:val="18"/>
        </w:rPr>
        <w:t>（</w:t>
      </w:r>
      <w:r>
        <w:rPr>
          <w:rFonts w:hint="eastAsia"/>
          <w:szCs w:val="21"/>
        </w:rPr>
        <w:t>设计方单位名称）：主要负责本工程的设计、设计优化等工作，具体按合同要求。</w:t>
      </w:r>
    </w:p>
    <w:p>
      <w:pPr>
        <w:topLinePunct/>
        <w:spacing w:line="400" w:lineRule="exact"/>
        <w:ind w:firstLine="420" w:firstLineChars="200"/>
        <w:rPr>
          <w:rFonts w:ascii="宋体" w:hAnsi="宋体"/>
          <w:szCs w:val="21"/>
        </w:rPr>
      </w:pPr>
      <w:r>
        <w:rPr>
          <w:szCs w:val="21"/>
        </w:rPr>
        <w:t>5</w:t>
      </w:r>
      <w:r>
        <w:rPr>
          <w:rFonts w:hint="eastAsia"/>
          <w:szCs w:val="21"/>
        </w:rPr>
        <w:t>、本协议书自签署之日起生效，合同履行完毕后自动失效。</w:t>
      </w:r>
    </w:p>
    <w:p>
      <w:pPr>
        <w:topLinePunct/>
        <w:spacing w:line="400" w:lineRule="exact"/>
        <w:ind w:firstLine="420" w:firstLineChars="200"/>
        <w:rPr>
          <w:rFonts w:ascii="宋体" w:hAnsi="宋体"/>
          <w:szCs w:val="21"/>
        </w:rPr>
      </w:pPr>
      <w:r>
        <w:rPr>
          <w:rFonts w:hint="eastAsia" w:ascii="宋体" w:hAnsi="宋体"/>
          <w:szCs w:val="21"/>
        </w:rPr>
        <w:t>注：本协议书由委托代理人签字的，应附法定代表人签字的授权委托书。</w:t>
      </w:r>
    </w:p>
    <w:p>
      <w:pPr>
        <w:topLinePunct/>
        <w:spacing w:line="240" w:lineRule="auto"/>
        <w:ind w:firstLine="718" w:firstLineChars="342"/>
        <w:rPr>
          <w:rFonts w:ascii="宋体" w:hAnsi="宋体"/>
          <w:szCs w:val="21"/>
        </w:rPr>
      </w:pPr>
    </w:p>
    <w:p>
      <w:pPr>
        <w:topLinePunct/>
        <w:spacing w:line="240" w:lineRule="auto"/>
        <w:ind w:firstLine="718" w:firstLineChars="342"/>
        <w:rPr>
          <w:rFonts w:ascii="宋体" w:hAnsi="宋体"/>
          <w:szCs w:val="21"/>
        </w:rPr>
      </w:pPr>
    </w:p>
    <w:p>
      <w:pPr>
        <w:topLinePunct/>
        <w:spacing w:line="400" w:lineRule="exact"/>
        <w:ind w:firstLine="718" w:firstLineChars="342"/>
        <w:rPr>
          <w:rFonts w:ascii="宋体" w:hAnsi="宋体"/>
          <w:szCs w:val="21"/>
        </w:rPr>
      </w:pPr>
      <w:r>
        <w:rPr>
          <w:rFonts w:hint="eastAsia" w:ascii="宋体" w:hAnsi="宋体"/>
          <w:szCs w:val="21"/>
          <w:lang w:eastAsia="zh-CN"/>
        </w:rPr>
        <w:t>牵头方</w:t>
      </w:r>
      <w:r>
        <w:rPr>
          <w:rFonts w:hint="eastAsia" w:ascii="宋体" w:hAnsi="宋体"/>
          <w:szCs w:val="21"/>
        </w:rPr>
        <w:t>名称：</w:t>
      </w:r>
      <w:r>
        <w:rPr>
          <w:rFonts w:ascii="宋体" w:hAnsi="宋体"/>
          <w:szCs w:val="21"/>
          <w:u w:val="single"/>
        </w:rPr>
        <w:t xml:space="preserve">                                 </w:t>
      </w:r>
      <w:r>
        <w:rPr>
          <w:rFonts w:hint="eastAsia" w:ascii="宋体" w:hAnsi="宋体"/>
          <w:szCs w:val="21"/>
        </w:rPr>
        <w:t>（盖</w:t>
      </w:r>
      <w:r>
        <w:rPr>
          <w:rFonts w:hint="eastAsia" w:ascii="宋体" w:hAnsi="宋体"/>
          <w:szCs w:val="21"/>
          <w:lang w:val="en-US" w:eastAsia="zh-CN"/>
        </w:rPr>
        <w:t>公</w:t>
      </w:r>
      <w:r>
        <w:rPr>
          <w:rFonts w:hint="eastAsia" w:ascii="宋体" w:hAnsi="宋体"/>
          <w:szCs w:val="21"/>
        </w:rPr>
        <w:t>章）</w:t>
      </w:r>
    </w:p>
    <w:p>
      <w:pPr>
        <w:topLinePunct/>
        <w:spacing w:line="400" w:lineRule="exact"/>
        <w:ind w:firstLine="718" w:firstLineChars="342"/>
        <w:rPr>
          <w:rFonts w:hint="eastAsia" w:ascii="宋体" w:hAns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w:t>
      </w:r>
      <w:r>
        <w:rPr>
          <w:rFonts w:hint="eastAsia" w:ascii="宋体" w:hAnsi="宋体"/>
        </w:rPr>
        <w:t>签字或盖章</w:t>
      </w:r>
      <w:r>
        <w:rPr>
          <w:rFonts w:hint="eastAsia" w:ascii="宋体" w:hAnsi="宋体"/>
          <w:szCs w:val="21"/>
        </w:rPr>
        <w:t>）</w:t>
      </w:r>
    </w:p>
    <w:p>
      <w:pPr>
        <w:topLinePunct/>
        <w:spacing w:line="240" w:lineRule="auto"/>
        <w:ind w:firstLine="0" w:firstLineChars="0"/>
        <w:rPr>
          <w:rFonts w:hint="eastAsia" w:ascii="宋体" w:hAnsi="宋体"/>
          <w:szCs w:val="21"/>
        </w:rPr>
      </w:pPr>
    </w:p>
    <w:p>
      <w:pPr>
        <w:topLinePunct/>
        <w:spacing w:line="400" w:lineRule="exact"/>
        <w:ind w:firstLine="718" w:firstLineChars="342"/>
        <w:rPr>
          <w:rFonts w:ascii="宋体" w:hAnsi="宋体"/>
          <w:szCs w:val="21"/>
        </w:rPr>
      </w:pPr>
      <w:r>
        <w:rPr>
          <w:rFonts w:hint="eastAsia" w:ascii="宋体" w:hAnsi="宋体"/>
          <w:szCs w:val="21"/>
        </w:rPr>
        <w:t>成员</w:t>
      </w:r>
      <w:r>
        <w:rPr>
          <w:rFonts w:hint="eastAsia" w:ascii="宋体" w:hAnsi="宋体"/>
          <w:szCs w:val="21"/>
          <w:lang w:val="en-US" w:eastAsia="zh-CN"/>
        </w:rPr>
        <w:t>方</w:t>
      </w:r>
      <w:r>
        <w:rPr>
          <w:rFonts w:hint="eastAsia" w:ascii="宋体" w:hAnsi="宋体"/>
          <w:szCs w:val="21"/>
        </w:rPr>
        <w:t>名称：</w:t>
      </w:r>
      <w:r>
        <w:rPr>
          <w:rFonts w:ascii="宋体" w:hAnsi="宋体"/>
          <w:szCs w:val="21"/>
          <w:u w:val="single"/>
        </w:rPr>
        <w:t xml:space="preserve">                                 </w:t>
      </w:r>
      <w:r>
        <w:rPr>
          <w:rFonts w:hint="eastAsia" w:ascii="宋体" w:hAnsi="宋体"/>
          <w:szCs w:val="21"/>
        </w:rPr>
        <w:t>（盖</w:t>
      </w:r>
      <w:r>
        <w:rPr>
          <w:rFonts w:hint="eastAsia" w:ascii="宋体" w:hAnsi="宋体"/>
          <w:szCs w:val="21"/>
          <w:lang w:val="en-US" w:eastAsia="zh-CN"/>
        </w:rPr>
        <w:t>公</w:t>
      </w:r>
      <w:r>
        <w:rPr>
          <w:rFonts w:hint="eastAsia" w:ascii="宋体" w:hAnsi="宋体"/>
          <w:szCs w:val="21"/>
        </w:rPr>
        <w:t>章）</w:t>
      </w:r>
    </w:p>
    <w:p>
      <w:pPr>
        <w:topLinePunct/>
        <w:spacing w:line="400" w:lineRule="exact"/>
        <w:ind w:firstLine="718" w:firstLineChars="342"/>
        <w:rPr>
          <w:rFonts w:hint="eastAsia" w:ascii="宋体" w:hAns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w:t>
      </w:r>
      <w:r>
        <w:rPr>
          <w:rFonts w:hint="eastAsia" w:ascii="宋体" w:hAnsi="宋体"/>
        </w:rPr>
        <w:t>签字或盖章</w:t>
      </w:r>
      <w:r>
        <w:rPr>
          <w:rFonts w:hint="eastAsia" w:ascii="宋体" w:hAnsi="宋体"/>
          <w:szCs w:val="21"/>
        </w:rPr>
        <w:t>）</w:t>
      </w:r>
    </w:p>
    <w:p>
      <w:pPr>
        <w:topLinePunct/>
        <w:spacing w:line="400" w:lineRule="exact"/>
        <w:ind w:firstLine="718" w:firstLineChars="342"/>
        <w:rPr>
          <w:rFonts w:hint="eastAsia" w:ascii="宋体" w:hAnsi="宋体"/>
          <w:szCs w:val="21"/>
          <w:lang w:val="en-US" w:eastAsia="zh-CN"/>
        </w:rPr>
      </w:pPr>
    </w:p>
    <w:p>
      <w:pPr>
        <w:topLinePunct/>
        <w:spacing w:line="400" w:lineRule="exact"/>
        <w:ind w:firstLine="718" w:firstLineChars="342"/>
        <w:rPr>
          <w:rFonts w:hint="eastAsia" w:ascii="宋体" w:hAnsi="宋体"/>
          <w:szCs w:val="21"/>
          <w:u w:val="single"/>
          <w:lang w:val="en-US" w:eastAsia="zh-CN"/>
        </w:rPr>
      </w:pPr>
      <w:r>
        <w:rPr>
          <w:rFonts w:hint="eastAsia" w:ascii="宋体" w:hAnsi="宋体"/>
          <w:szCs w:val="21"/>
          <w:lang w:val="en-US" w:eastAsia="zh-CN"/>
        </w:rPr>
        <w:t>签署时间：</w:t>
      </w:r>
      <w:r>
        <w:rPr>
          <w:rFonts w:hint="eastAsia" w:ascii="宋体" w:hAnsi="宋体"/>
          <w:szCs w:val="21"/>
          <w:u w:val="single"/>
          <w:lang w:val="en-US" w:eastAsia="zh-CN"/>
        </w:rPr>
        <w:t xml:space="preserve">                          </w:t>
      </w:r>
    </w:p>
    <w:p>
      <w:pPr>
        <w:topLinePunct/>
        <w:spacing w:line="240" w:lineRule="auto"/>
        <w:ind w:firstLine="718" w:firstLineChars="342"/>
        <w:rPr>
          <w:rFonts w:hint="eastAsia" w:ascii="宋体" w:hAnsi="宋体"/>
          <w:szCs w:val="21"/>
          <w:u w:val="single"/>
          <w:lang w:val="en-US" w:eastAsia="zh-CN"/>
        </w:rPr>
      </w:pPr>
    </w:p>
    <w:p>
      <w:pPr>
        <w:topLinePunct/>
        <w:spacing w:line="240" w:lineRule="auto"/>
        <w:ind w:firstLine="718" w:firstLineChars="342"/>
        <w:rPr>
          <w:rFonts w:hint="eastAsia" w:ascii="宋体" w:hAnsi="宋体"/>
          <w:szCs w:val="21"/>
          <w:u w:val="single"/>
          <w:lang w:val="en-US" w:eastAsia="zh-CN"/>
        </w:rPr>
      </w:pP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Pr>
        <w:widowControl/>
        <w:jc w:val="left"/>
        <w:rPr>
          <w:color w:val="auto"/>
          <w:highlight w:val="none"/>
        </w:rPr>
      </w:pPr>
      <w:r>
        <w:rPr>
          <w:rFonts w:hint="eastAsia" w:ascii="宋体" w:hAnsi="宋体" w:cs="宋体"/>
          <w:b/>
          <w:color w:val="auto"/>
          <w:szCs w:val="21"/>
          <w:highlight w:val="none"/>
        </w:rPr>
        <w:t>注：单独投标的，无需提交本联合体投标协议书。</w:t>
      </w:r>
    </w:p>
    <w:sectPr>
      <w:pgSz w:w="11906" w:h="16838"/>
      <w:pgMar w:top="1440" w:right="1274"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8"/>
                            </w:rPr>
                          </w:pPr>
                          <w:r>
                            <w:fldChar w:fldCharType="begin"/>
                          </w:r>
                          <w:r>
                            <w:rPr>
                              <w:rStyle w:val="18"/>
                            </w:rPr>
                            <w:instrText xml:space="preserve">PAGE  </w:instrText>
                          </w:r>
                          <w:r>
                            <w:fldChar w:fldCharType="separate"/>
                          </w:r>
                          <w:r>
                            <w:rPr>
                              <w:rStyle w:val="18"/>
                            </w:rPr>
                            <w:t>4</w:t>
                          </w:r>
                          <w:r>
                            <w:fldChar w:fldCharType="end"/>
                          </w:r>
                        </w:p>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IZKpRaYBAAA/AwAADgAAAAAA&#10;AAABACAAAAAeAQAAZHJzL2Uyb0RvYy54bWxQSwUGAAAAAAYABgBZAQAANgUAAAAA&#10;">
              <v:fill on="f" focussize="0,0"/>
              <v:stroke on="f"/>
              <v:imagedata o:title=""/>
              <o:lock v:ext="edit" aspectratio="f"/>
              <v:textbox inset="0mm,0mm,0mm,0mm" style="mso-fit-shape-to-text:t;">
                <w:txbxContent>
                  <w:p>
                    <w:pPr>
                      <w:pStyle w:val="10"/>
                      <w:rPr>
                        <w:rStyle w:val="18"/>
                      </w:rPr>
                    </w:pPr>
                    <w:r>
                      <w:fldChar w:fldCharType="begin"/>
                    </w:r>
                    <w:r>
                      <w:rPr>
                        <w:rStyle w:val="18"/>
                      </w:rPr>
                      <w:instrText xml:space="preserve">PAGE  </w:instrText>
                    </w:r>
                    <w:r>
                      <w:fldChar w:fldCharType="separate"/>
                    </w:r>
                    <w:r>
                      <w:rPr>
                        <w:rStyle w:val="18"/>
                      </w:rPr>
                      <w:t>4</w:t>
                    </w:r>
                    <w: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16</w:t>
                    </w:r>
                    <w:r>
                      <w:fldChar w:fldCharType="end"/>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46813A"/>
    <w:multiLevelType w:val="singleLevel"/>
    <w:tmpl w:val="D746813A"/>
    <w:lvl w:ilvl="0" w:tentative="0">
      <w:start w:val="2"/>
      <w:numFmt w:val="decimal"/>
      <w:suff w:val="nothing"/>
      <w:lvlText w:val="%1、"/>
      <w:lvlJc w:val="left"/>
    </w:lvl>
  </w:abstractNum>
  <w:abstractNum w:abstractNumId="1">
    <w:nsid w:val="26D9C7CC"/>
    <w:multiLevelType w:val="singleLevel"/>
    <w:tmpl w:val="26D9C7CC"/>
    <w:lvl w:ilvl="0" w:tentative="0">
      <w:start w:val="10"/>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OWU3MWU4ZDQ0YjIyMDFkMWFiZDIwMThiMzQ1NmYifQ=="/>
  </w:docVars>
  <w:rsids>
    <w:rsidRoot w:val="45493DB9"/>
    <w:rsid w:val="00010B2D"/>
    <w:rsid w:val="00023ADF"/>
    <w:rsid w:val="000427F9"/>
    <w:rsid w:val="000563D0"/>
    <w:rsid w:val="000A4D9D"/>
    <w:rsid w:val="000C57CD"/>
    <w:rsid w:val="00115511"/>
    <w:rsid w:val="001169B5"/>
    <w:rsid w:val="0012725C"/>
    <w:rsid w:val="00132E73"/>
    <w:rsid w:val="00144348"/>
    <w:rsid w:val="001455A3"/>
    <w:rsid w:val="0014747A"/>
    <w:rsid w:val="00161626"/>
    <w:rsid w:val="001759BE"/>
    <w:rsid w:val="001826C3"/>
    <w:rsid w:val="00196D3F"/>
    <w:rsid w:val="00196F3B"/>
    <w:rsid w:val="001A1584"/>
    <w:rsid w:val="001B2602"/>
    <w:rsid w:val="001C7D87"/>
    <w:rsid w:val="001D78AC"/>
    <w:rsid w:val="001E413A"/>
    <w:rsid w:val="002071BA"/>
    <w:rsid w:val="002107D6"/>
    <w:rsid w:val="00210D4B"/>
    <w:rsid w:val="00213D6F"/>
    <w:rsid w:val="00214375"/>
    <w:rsid w:val="00221420"/>
    <w:rsid w:val="00224139"/>
    <w:rsid w:val="00241B8A"/>
    <w:rsid w:val="0024441B"/>
    <w:rsid w:val="00250245"/>
    <w:rsid w:val="00252E4A"/>
    <w:rsid w:val="0027645C"/>
    <w:rsid w:val="002B1F3A"/>
    <w:rsid w:val="002C6F6D"/>
    <w:rsid w:val="002D7C26"/>
    <w:rsid w:val="002F2CAE"/>
    <w:rsid w:val="00333A3D"/>
    <w:rsid w:val="00371716"/>
    <w:rsid w:val="003914A2"/>
    <w:rsid w:val="003C2864"/>
    <w:rsid w:val="003D673D"/>
    <w:rsid w:val="003E418E"/>
    <w:rsid w:val="00403558"/>
    <w:rsid w:val="004036BF"/>
    <w:rsid w:val="00403932"/>
    <w:rsid w:val="00431ABE"/>
    <w:rsid w:val="00443952"/>
    <w:rsid w:val="004558B8"/>
    <w:rsid w:val="004641F2"/>
    <w:rsid w:val="00473A05"/>
    <w:rsid w:val="004E120E"/>
    <w:rsid w:val="004F1222"/>
    <w:rsid w:val="0050002C"/>
    <w:rsid w:val="005336D8"/>
    <w:rsid w:val="0056726B"/>
    <w:rsid w:val="005772CA"/>
    <w:rsid w:val="005812D8"/>
    <w:rsid w:val="005B77CD"/>
    <w:rsid w:val="005C1F8E"/>
    <w:rsid w:val="005F38D0"/>
    <w:rsid w:val="00610240"/>
    <w:rsid w:val="00612953"/>
    <w:rsid w:val="00612BDD"/>
    <w:rsid w:val="00617C4E"/>
    <w:rsid w:val="00621971"/>
    <w:rsid w:val="0065514F"/>
    <w:rsid w:val="00662F6A"/>
    <w:rsid w:val="0067311F"/>
    <w:rsid w:val="00680BB2"/>
    <w:rsid w:val="00691EAD"/>
    <w:rsid w:val="006B5C19"/>
    <w:rsid w:val="006E148D"/>
    <w:rsid w:val="006E3D69"/>
    <w:rsid w:val="006F5A62"/>
    <w:rsid w:val="00724965"/>
    <w:rsid w:val="00730191"/>
    <w:rsid w:val="00735DE3"/>
    <w:rsid w:val="00767753"/>
    <w:rsid w:val="00790F4D"/>
    <w:rsid w:val="007A5D46"/>
    <w:rsid w:val="007B4C4C"/>
    <w:rsid w:val="007D27AF"/>
    <w:rsid w:val="007D76CD"/>
    <w:rsid w:val="00802A47"/>
    <w:rsid w:val="008140AD"/>
    <w:rsid w:val="008141AE"/>
    <w:rsid w:val="008260E3"/>
    <w:rsid w:val="00833465"/>
    <w:rsid w:val="0085465D"/>
    <w:rsid w:val="008A2DE9"/>
    <w:rsid w:val="008C0734"/>
    <w:rsid w:val="008C1C36"/>
    <w:rsid w:val="008C74DF"/>
    <w:rsid w:val="00902EA8"/>
    <w:rsid w:val="009612FD"/>
    <w:rsid w:val="00962338"/>
    <w:rsid w:val="009838D0"/>
    <w:rsid w:val="00991B3F"/>
    <w:rsid w:val="00991EF3"/>
    <w:rsid w:val="00992283"/>
    <w:rsid w:val="00996360"/>
    <w:rsid w:val="009977A1"/>
    <w:rsid w:val="009B3565"/>
    <w:rsid w:val="009D1C72"/>
    <w:rsid w:val="009F1538"/>
    <w:rsid w:val="00A026F9"/>
    <w:rsid w:val="00A06E55"/>
    <w:rsid w:val="00A24267"/>
    <w:rsid w:val="00A24DB7"/>
    <w:rsid w:val="00A50B2B"/>
    <w:rsid w:val="00A65EF1"/>
    <w:rsid w:val="00A86D99"/>
    <w:rsid w:val="00A95F87"/>
    <w:rsid w:val="00AA089F"/>
    <w:rsid w:val="00AA1875"/>
    <w:rsid w:val="00AB58F8"/>
    <w:rsid w:val="00AC71E2"/>
    <w:rsid w:val="00AF528D"/>
    <w:rsid w:val="00B11E96"/>
    <w:rsid w:val="00B124D4"/>
    <w:rsid w:val="00B2200C"/>
    <w:rsid w:val="00B234D8"/>
    <w:rsid w:val="00B34DDE"/>
    <w:rsid w:val="00B42C3A"/>
    <w:rsid w:val="00BE50D7"/>
    <w:rsid w:val="00BE553A"/>
    <w:rsid w:val="00C02E18"/>
    <w:rsid w:val="00C17285"/>
    <w:rsid w:val="00C27A6D"/>
    <w:rsid w:val="00C35EDF"/>
    <w:rsid w:val="00C40CD5"/>
    <w:rsid w:val="00C6126F"/>
    <w:rsid w:val="00C654A3"/>
    <w:rsid w:val="00C902F1"/>
    <w:rsid w:val="00CC0050"/>
    <w:rsid w:val="00CE116F"/>
    <w:rsid w:val="00CE17E9"/>
    <w:rsid w:val="00D05307"/>
    <w:rsid w:val="00D12D55"/>
    <w:rsid w:val="00D46470"/>
    <w:rsid w:val="00D5336F"/>
    <w:rsid w:val="00D74871"/>
    <w:rsid w:val="00E06FD1"/>
    <w:rsid w:val="00E6035F"/>
    <w:rsid w:val="00E812C5"/>
    <w:rsid w:val="00E8225A"/>
    <w:rsid w:val="00E90E3E"/>
    <w:rsid w:val="00E933BC"/>
    <w:rsid w:val="00EB5426"/>
    <w:rsid w:val="00F476F9"/>
    <w:rsid w:val="00F7483F"/>
    <w:rsid w:val="00F97A82"/>
    <w:rsid w:val="00FA4A9F"/>
    <w:rsid w:val="00FE1493"/>
    <w:rsid w:val="01167F74"/>
    <w:rsid w:val="01340197"/>
    <w:rsid w:val="013C605B"/>
    <w:rsid w:val="014C3788"/>
    <w:rsid w:val="014D062E"/>
    <w:rsid w:val="0162495F"/>
    <w:rsid w:val="016E03EF"/>
    <w:rsid w:val="01822E14"/>
    <w:rsid w:val="01886984"/>
    <w:rsid w:val="01981D75"/>
    <w:rsid w:val="019F2647"/>
    <w:rsid w:val="01A237B3"/>
    <w:rsid w:val="01A57D2D"/>
    <w:rsid w:val="01B136D6"/>
    <w:rsid w:val="01B46197"/>
    <w:rsid w:val="01BE3D4C"/>
    <w:rsid w:val="01C12AFC"/>
    <w:rsid w:val="01DB7E1E"/>
    <w:rsid w:val="020B791C"/>
    <w:rsid w:val="020F0965"/>
    <w:rsid w:val="021726A6"/>
    <w:rsid w:val="02370D4C"/>
    <w:rsid w:val="023B3DBF"/>
    <w:rsid w:val="02463F39"/>
    <w:rsid w:val="025912E7"/>
    <w:rsid w:val="027B4BF2"/>
    <w:rsid w:val="029001D9"/>
    <w:rsid w:val="029C3031"/>
    <w:rsid w:val="02BC2ABD"/>
    <w:rsid w:val="02D121DD"/>
    <w:rsid w:val="02D47542"/>
    <w:rsid w:val="02DB6DE6"/>
    <w:rsid w:val="030626A5"/>
    <w:rsid w:val="03131180"/>
    <w:rsid w:val="032A4288"/>
    <w:rsid w:val="03373DC1"/>
    <w:rsid w:val="03523F90"/>
    <w:rsid w:val="03836F6C"/>
    <w:rsid w:val="03F44082"/>
    <w:rsid w:val="04096660"/>
    <w:rsid w:val="041C000C"/>
    <w:rsid w:val="041E46F2"/>
    <w:rsid w:val="042A7221"/>
    <w:rsid w:val="04367461"/>
    <w:rsid w:val="044E2C2F"/>
    <w:rsid w:val="045E583C"/>
    <w:rsid w:val="045F313F"/>
    <w:rsid w:val="04665DD0"/>
    <w:rsid w:val="047A7293"/>
    <w:rsid w:val="0481365B"/>
    <w:rsid w:val="04820261"/>
    <w:rsid w:val="04852E8E"/>
    <w:rsid w:val="048A65FB"/>
    <w:rsid w:val="049E10E0"/>
    <w:rsid w:val="04B41C7B"/>
    <w:rsid w:val="04EE4E58"/>
    <w:rsid w:val="04EF742D"/>
    <w:rsid w:val="05011497"/>
    <w:rsid w:val="05030633"/>
    <w:rsid w:val="05153B2D"/>
    <w:rsid w:val="051D226E"/>
    <w:rsid w:val="052F5F13"/>
    <w:rsid w:val="05453ECE"/>
    <w:rsid w:val="05780F3C"/>
    <w:rsid w:val="05782D6D"/>
    <w:rsid w:val="058408EA"/>
    <w:rsid w:val="058C240E"/>
    <w:rsid w:val="059B3B05"/>
    <w:rsid w:val="05A77BE7"/>
    <w:rsid w:val="05C31323"/>
    <w:rsid w:val="05F674F3"/>
    <w:rsid w:val="0612787D"/>
    <w:rsid w:val="063116EA"/>
    <w:rsid w:val="0633677D"/>
    <w:rsid w:val="06397EBC"/>
    <w:rsid w:val="063E41C0"/>
    <w:rsid w:val="064F00E0"/>
    <w:rsid w:val="068E18DC"/>
    <w:rsid w:val="069B5A49"/>
    <w:rsid w:val="06A567AF"/>
    <w:rsid w:val="06A81BE6"/>
    <w:rsid w:val="06C701B0"/>
    <w:rsid w:val="06E679CD"/>
    <w:rsid w:val="06E844AA"/>
    <w:rsid w:val="07071673"/>
    <w:rsid w:val="07150733"/>
    <w:rsid w:val="0723558C"/>
    <w:rsid w:val="07286FF6"/>
    <w:rsid w:val="074B5027"/>
    <w:rsid w:val="074D49CC"/>
    <w:rsid w:val="07951BDF"/>
    <w:rsid w:val="07952099"/>
    <w:rsid w:val="07A271AB"/>
    <w:rsid w:val="07B91CAA"/>
    <w:rsid w:val="07C850AF"/>
    <w:rsid w:val="081909F4"/>
    <w:rsid w:val="081D1B64"/>
    <w:rsid w:val="081F722C"/>
    <w:rsid w:val="08204E3E"/>
    <w:rsid w:val="083B7B85"/>
    <w:rsid w:val="08440B08"/>
    <w:rsid w:val="08483AF9"/>
    <w:rsid w:val="087C7C2C"/>
    <w:rsid w:val="08974B1A"/>
    <w:rsid w:val="08A27038"/>
    <w:rsid w:val="08AE027C"/>
    <w:rsid w:val="08C065E3"/>
    <w:rsid w:val="091F299A"/>
    <w:rsid w:val="092237E3"/>
    <w:rsid w:val="092D37F0"/>
    <w:rsid w:val="092E11D0"/>
    <w:rsid w:val="094B5112"/>
    <w:rsid w:val="094C15B9"/>
    <w:rsid w:val="095C3B53"/>
    <w:rsid w:val="096020CB"/>
    <w:rsid w:val="09A15898"/>
    <w:rsid w:val="09A504ED"/>
    <w:rsid w:val="09AF2D73"/>
    <w:rsid w:val="09D4668E"/>
    <w:rsid w:val="09E50C82"/>
    <w:rsid w:val="09FF2469"/>
    <w:rsid w:val="0A223489"/>
    <w:rsid w:val="0A223A72"/>
    <w:rsid w:val="0A453B6F"/>
    <w:rsid w:val="0A5129E9"/>
    <w:rsid w:val="0A627076"/>
    <w:rsid w:val="0A633A8C"/>
    <w:rsid w:val="0A66245C"/>
    <w:rsid w:val="0A6814E4"/>
    <w:rsid w:val="0A8C16EE"/>
    <w:rsid w:val="0A950AA0"/>
    <w:rsid w:val="0ACE4EF8"/>
    <w:rsid w:val="0AE24250"/>
    <w:rsid w:val="0AEB6889"/>
    <w:rsid w:val="0B084141"/>
    <w:rsid w:val="0B183BA7"/>
    <w:rsid w:val="0B1C06D0"/>
    <w:rsid w:val="0B297DFF"/>
    <w:rsid w:val="0B3452F8"/>
    <w:rsid w:val="0B3D1DBC"/>
    <w:rsid w:val="0B3F3CA3"/>
    <w:rsid w:val="0B466A70"/>
    <w:rsid w:val="0B5A50AF"/>
    <w:rsid w:val="0B625274"/>
    <w:rsid w:val="0B783709"/>
    <w:rsid w:val="0B926C96"/>
    <w:rsid w:val="0BA27E94"/>
    <w:rsid w:val="0BA5337E"/>
    <w:rsid w:val="0BB26F9B"/>
    <w:rsid w:val="0BD07338"/>
    <w:rsid w:val="0C1F269F"/>
    <w:rsid w:val="0C386DE0"/>
    <w:rsid w:val="0C7405CB"/>
    <w:rsid w:val="0C8B54B0"/>
    <w:rsid w:val="0C9B296F"/>
    <w:rsid w:val="0CAB6A1D"/>
    <w:rsid w:val="0CBD1691"/>
    <w:rsid w:val="0CC0267A"/>
    <w:rsid w:val="0CF3652A"/>
    <w:rsid w:val="0CF9328F"/>
    <w:rsid w:val="0D0D78F7"/>
    <w:rsid w:val="0D1811FB"/>
    <w:rsid w:val="0D266413"/>
    <w:rsid w:val="0D592072"/>
    <w:rsid w:val="0D684C88"/>
    <w:rsid w:val="0D877819"/>
    <w:rsid w:val="0D9467C8"/>
    <w:rsid w:val="0DA671DA"/>
    <w:rsid w:val="0DC715F2"/>
    <w:rsid w:val="0DDA1403"/>
    <w:rsid w:val="0DE71D34"/>
    <w:rsid w:val="0DF11199"/>
    <w:rsid w:val="0DF17667"/>
    <w:rsid w:val="0DF960F1"/>
    <w:rsid w:val="0E402E72"/>
    <w:rsid w:val="0E66214F"/>
    <w:rsid w:val="0E7B56C6"/>
    <w:rsid w:val="0E86071B"/>
    <w:rsid w:val="0E8A5B99"/>
    <w:rsid w:val="0EA145DE"/>
    <w:rsid w:val="0EA23A80"/>
    <w:rsid w:val="0EB5042C"/>
    <w:rsid w:val="0EB751F5"/>
    <w:rsid w:val="0EBD0492"/>
    <w:rsid w:val="0EBF4ED3"/>
    <w:rsid w:val="0ECB1F6E"/>
    <w:rsid w:val="0ED777C4"/>
    <w:rsid w:val="0EF75766"/>
    <w:rsid w:val="0F3242CB"/>
    <w:rsid w:val="0F331F68"/>
    <w:rsid w:val="0F393D96"/>
    <w:rsid w:val="0F60485D"/>
    <w:rsid w:val="0F7634EB"/>
    <w:rsid w:val="0F9B2E48"/>
    <w:rsid w:val="0FF8330A"/>
    <w:rsid w:val="0FFF1DC2"/>
    <w:rsid w:val="101C71D9"/>
    <w:rsid w:val="109E3C7B"/>
    <w:rsid w:val="10DD4902"/>
    <w:rsid w:val="10F42492"/>
    <w:rsid w:val="10F87514"/>
    <w:rsid w:val="10FE3261"/>
    <w:rsid w:val="11023AC3"/>
    <w:rsid w:val="111A3EB1"/>
    <w:rsid w:val="111C23C7"/>
    <w:rsid w:val="113821B4"/>
    <w:rsid w:val="11411825"/>
    <w:rsid w:val="114C04A7"/>
    <w:rsid w:val="11586A5D"/>
    <w:rsid w:val="11622A5B"/>
    <w:rsid w:val="11702B1E"/>
    <w:rsid w:val="117716A8"/>
    <w:rsid w:val="118E2BD4"/>
    <w:rsid w:val="11D93BE2"/>
    <w:rsid w:val="11DF6B82"/>
    <w:rsid w:val="11EB4913"/>
    <w:rsid w:val="12061085"/>
    <w:rsid w:val="120850FF"/>
    <w:rsid w:val="12256B13"/>
    <w:rsid w:val="122A6AB5"/>
    <w:rsid w:val="123064F4"/>
    <w:rsid w:val="12377909"/>
    <w:rsid w:val="123E7C33"/>
    <w:rsid w:val="12800282"/>
    <w:rsid w:val="128F085E"/>
    <w:rsid w:val="12B60756"/>
    <w:rsid w:val="12C4096B"/>
    <w:rsid w:val="12DC5680"/>
    <w:rsid w:val="12DD3F25"/>
    <w:rsid w:val="12EF7F06"/>
    <w:rsid w:val="13143753"/>
    <w:rsid w:val="13280236"/>
    <w:rsid w:val="13350CDA"/>
    <w:rsid w:val="13566ADB"/>
    <w:rsid w:val="13807524"/>
    <w:rsid w:val="139240E2"/>
    <w:rsid w:val="13996C0D"/>
    <w:rsid w:val="13A230C1"/>
    <w:rsid w:val="13AF553D"/>
    <w:rsid w:val="13B63F5C"/>
    <w:rsid w:val="13EE0278"/>
    <w:rsid w:val="13F400DA"/>
    <w:rsid w:val="14042B51"/>
    <w:rsid w:val="14205CAE"/>
    <w:rsid w:val="147F526F"/>
    <w:rsid w:val="14833203"/>
    <w:rsid w:val="14854C10"/>
    <w:rsid w:val="14867822"/>
    <w:rsid w:val="149A6F28"/>
    <w:rsid w:val="14A276E4"/>
    <w:rsid w:val="14F846E3"/>
    <w:rsid w:val="150A27B0"/>
    <w:rsid w:val="150F5B14"/>
    <w:rsid w:val="151A50EE"/>
    <w:rsid w:val="1528044F"/>
    <w:rsid w:val="15287418"/>
    <w:rsid w:val="152E1B7E"/>
    <w:rsid w:val="153124C8"/>
    <w:rsid w:val="15B774CB"/>
    <w:rsid w:val="160104DE"/>
    <w:rsid w:val="161349D1"/>
    <w:rsid w:val="163218A2"/>
    <w:rsid w:val="16322481"/>
    <w:rsid w:val="1639751A"/>
    <w:rsid w:val="16606F18"/>
    <w:rsid w:val="166D61C5"/>
    <w:rsid w:val="16866FD3"/>
    <w:rsid w:val="16921FAA"/>
    <w:rsid w:val="169D4FF8"/>
    <w:rsid w:val="16B57114"/>
    <w:rsid w:val="16DE1C3E"/>
    <w:rsid w:val="16EC6C97"/>
    <w:rsid w:val="16F3737E"/>
    <w:rsid w:val="17326B8E"/>
    <w:rsid w:val="17690877"/>
    <w:rsid w:val="17753D99"/>
    <w:rsid w:val="17862C73"/>
    <w:rsid w:val="17A21428"/>
    <w:rsid w:val="17CD2BFB"/>
    <w:rsid w:val="17E9511C"/>
    <w:rsid w:val="17F72B32"/>
    <w:rsid w:val="17FB5C91"/>
    <w:rsid w:val="182D55F4"/>
    <w:rsid w:val="182E53B2"/>
    <w:rsid w:val="183D2E2B"/>
    <w:rsid w:val="18432CBF"/>
    <w:rsid w:val="184A125A"/>
    <w:rsid w:val="186A6B94"/>
    <w:rsid w:val="186C6573"/>
    <w:rsid w:val="18B13099"/>
    <w:rsid w:val="18CD3E18"/>
    <w:rsid w:val="18D56C13"/>
    <w:rsid w:val="18D6461E"/>
    <w:rsid w:val="18FE4112"/>
    <w:rsid w:val="190F7E3E"/>
    <w:rsid w:val="19372DA1"/>
    <w:rsid w:val="194333A1"/>
    <w:rsid w:val="19B12C42"/>
    <w:rsid w:val="19B60EE4"/>
    <w:rsid w:val="19B71186"/>
    <w:rsid w:val="19E91B36"/>
    <w:rsid w:val="1A1406E0"/>
    <w:rsid w:val="1A1B1470"/>
    <w:rsid w:val="1A3D4689"/>
    <w:rsid w:val="1A44100E"/>
    <w:rsid w:val="1A630E91"/>
    <w:rsid w:val="1A686A08"/>
    <w:rsid w:val="1A6F407F"/>
    <w:rsid w:val="1A7856EA"/>
    <w:rsid w:val="1A79735F"/>
    <w:rsid w:val="1A7B4399"/>
    <w:rsid w:val="1A7C7D73"/>
    <w:rsid w:val="1AAE3067"/>
    <w:rsid w:val="1AAE4FD5"/>
    <w:rsid w:val="1AB53E04"/>
    <w:rsid w:val="1ABC1149"/>
    <w:rsid w:val="1AC64EF0"/>
    <w:rsid w:val="1ADF05DE"/>
    <w:rsid w:val="1AE252A4"/>
    <w:rsid w:val="1AED1286"/>
    <w:rsid w:val="1AEE3195"/>
    <w:rsid w:val="1B2F4EE2"/>
    <w:rsid w:val="1B3B6D2E"/>
    <w:rsid w:val="1B4913EA"/>
    <w:rsid w:val="1B4B606C"/>
    <w:rsid w:val="1B653379"/>
    <w:rsid w:val="1B6C2676"/>
    <w:rsid w:val="1B804595"/>
    <w:rsid w:val="1B8C5B5C"/>
    <w:rsid w:val="1B925771"/>
    <w:rsid w:val="1BBF3551"/>
    <w:rsid w:val="1BC30FFF"/>
    <w:rsid w:val="1BD52F0F"/>
    <w:rsid w:val="1BDF6C23"/>
    <w:rsid w:val="1BE152C2"/>
    <w:rsid w:val="1BF92F42"/>
    <w:rsid w:val="1C112F87"/>
    <w:rsid w:val="1C4E04DF"/>
    <w:rsid w:val="1C536520"/>
    <w:rsid w:val="1C7230B8"/>
    <w:rsid w:val="1C841157"/>
    <w:rsid w:val="1C851404"/>
    <w:rsid w:val="1C863240"/>
    <w:rsid w:val="1C957C86"/>
    <w:rsid w:val="1CAF75F4"/>
    <w:rsid w:val="1CB06509"/>
    <w:rsid w:val="1CBF6340"/>
    <w:rsid w:val="1CD1316B"/>
    <w:rsid w:val="1CE1557A"/>
    <w:rsid w:val="1CE16656"/>
    <w:rsid w:val="1CF43278"/>
    <w:rsid w:val="1CF65A5C"/>
    <w:rsid w:val="1CF65DAF"/>
    <w:rsid w:val="1D17468F"/>
    <w:rsid w:val="1D325BC0"/>
    <w:rsid w:val="1D567000"/>
    <w:rsid w:val="1D704AC9"/>
    <w:rsid w:val="1D892576"/>
    <w:rsid w:val="1D8E4C1A"/>
    <w:rsid w:val="1D921003"/>
    <w:rsid w:val="1DAF5199"/>
    <w:rsid w:val="1DE21138"/>
    <w:rsid w:val="1DF41D84"/>
    <w:rsid w:val="1E0C6F7A"/>
    <w:rsid w:val="1E445F76"/>
    <w:rsid w:val="1E466973"/>
    <w:rsid w:val="1E52251A"/>
    <w:rsid w:val="1E8874F4"/>
    <w:rsid w:val="1E897094"/>
    <w:rsid w:val="1E9331C0"/>
    <w:rsid w:val="1E9B4225"/>
    <w:rsid w:val="1EA03462"/>
    <w:rsid w:val="1EC76284"/>
    <w:rsid w:val="1ED1171B"/>
    <w:rsid w:val="1EF0361A"/>
    <w:rsid w:val="1F007F35"/>
    <w:rsid w:val="1F2A0140"/>
    <w:rsid w:val="1F2B14FB"/>
    <w:rsid w:val="1F2F5038"/>
    <w:rsid w:val="1F4C6D47"/>
    <w:rsid w:val="1F7E313E"/>
    <w:rsid w:val="1F847FFA"/>
    <w:rsid w:val="1FAD6828"/>
    <w:rsid w:val="1FB45441"/>
    <w:rsid w:val="1FBD00B0"/>
    <w:rsid w:val="1FD1467D"/>
    <w:rsid w:val="1FEF7077"/>
    <w:rsid w:val="1FF02ECD"/>
    <w:rsid w:val="2024432D"/>
    <w:rsid w:val="204306E8"/>
    <w:rsid w:val="209A53F6"/>
    <w:rsid w:val="20A24E3B"/>
    <w:rsid w:val="20B95F27"/>
    <w:rsid w:val="20DC71A1"/>
    <w:rsid w:val="210455DD"/>
    <w:rsid w:val="21126E5D"/>
    <w:rsid w:val="211556BF"/>
    <w:rsid w:val="213204E2"/>
    <w:rsid w:val="215E1C60"/>
    <w:rsid w:val="216C1E9F"/>
    <w:rsid w:val="217418BA"/>
    <w:rsid w:val="217C6321"/>
    <w:rsid w:val="2190783A"/>
    <w:rsid w:val="21A866E5"/>
    <w:rsid w:val="21BE6D1D"/>
    <w:rsid w:val="21E0617A"/>
    <w:rsid w:val="21E95287"/>
    <w:rsid w:val="21F4632C"/>
    <w:rsid w:val="22217E78"/>
    <w:rsid w:val="222460C9"/>
    <w:rsid w:val="22A45B46"/>
    <w:rsid w:val="22B422A5"/>
    <w:rsid w:val="22E91ADD"/>
    <w:rsid w:val="22EC1B29"/>
    <w:rsid w:val="23096F41"/>
    <w:rsid w:val="230C22B3"/>
    <w:rsid w:val="23292BC1"/>
    <w:rsid w:val="232D1EB5"/>
    <w:rsid w:val="233A6B18"/>
    <w:rsid w:val="234936C3"/>
    <w:rsid w:val="234F0BA6"/>
    <w:rsid w:val="23502C26"/>
    <w:rsid w:val="23552E34"/>
    <w:rsid w:val="236C0BBF"/>
    <w:rsid w:val="239D71D7"/>
    <w:rsid w:val="23A0423D"/>
    <w:rsid w:val="23B063F0"/>
    <w:rsid w:val="23B67D54"/>
    <w:rsid w:val="23BA2094"/>
    <w:rsid w:val="23D723AC"/>
    <w:rsid w:val="23F62673"/>
    <w:rsid w:val="240F0184"/>
    <w:rsid w:val="242F4D04"/>
    <w:rsid w:val="243134E9"/>
    <w:rsid w:val="24485F15"/>
    <w:rsid w:val="24543AEB"/>
    <w:rsid w:val="245B5C6A"/>
    <w:rsid w:val="245D061D"/>
    <w:rsid w:val="2465105A"/>
    <w:rsid w:val="246B6564"/>
    <w:rsid w:val="248B67B5"/>
    <w:rsid w:val="24AA5D5D"/>
    <w:rsid w:val="24C60A00"/>
    <w:rsid w:val="24F92498"/>
    <w:rsid w:val="24FD0AC5"/>
    <w:rsid w:val="250F3A8F"/>
    <w:rsid w:val="2532563B"/>
    <w:rsid w:val="25374521"/>
    <w:rsid w:val="256D0427"/>
    <w:rsid w:val="25764333"/>
    <w:rsid w:val="25A3016F"/>
    <w:rsid w:val="25CF52D6"/>
    <w:rsid w:val="25E378E1"/>
    <w:rsid w:val="25FD1296"/>
    <w:rsid w:val="25FE71F4"/>
    <w:rsid w:val="26175CD3"/>
    <w:rsid w:val="26675203"/>
    <w:rsid w:val="2672586F"/>
    <w:rsid w:val="26744D75"/>
    <w:rsid w:val="267A4175"/>
    <w:rsid w:val="267D7FE1"/>
    <w:rsid w:val="267E55F5"/>
    <w:rsid w:val="26900CDA"/>
    <w:rsid w:val="26CF2AC2"/>
    <w:rsid w:val="26D8133A"/>
    <w:rsid w:val="26DD5B58"/>
    <w:rsid w:val="26E645DD"/>
    <w:rsid w:val="26E97EB3"/>
    <w:rsid w:val="2700198C"/>
    <w:rsid w:val="27020E12"/>
    <w:rsid w:val="27044D3E"/>
    <w:rsid w:val="270809F6"/>
    <w:rsid w:val="271C58AF"/>
    <w:rsid w:val="272C1147"/>
    <w:rsid w:val="272F35BC"/>
    <w:rsid w:val="274A1B8C"/>
    <w:rsid w:val="277F7CCD"/>
    <w:rsid w:val="278E6D65"/>
    <w:rsid w:val="27A6573A"/>
    <w:rsid w:val="27B646FE"/>
    <w:rsid w:val="27BE09FF"/>
    <w:rsid w:val="27C15AAC"/>
    <w:rsid w:val="27C707BA"/>
    <w:rsid w:val="27CC4319"/>
    <w:rsid w:val="27D440A1"/>
    <w:rsid w:val="27EC7051"/>
    <w:rsid w:val="27FA67FB"/>
    <w:rsid w:val="2800315C"/>
    <w:rsid w:val="28070DF5"/>
    <w:rsid w:val="281428E4"/>
    <w:rsid w:val="282F03DC"/>
    <w:rsid w:val="28320E33"/>
    <w:rsid w:val="28376353"/>
    <w:rsid w:val="283F72D7"/>
    <w:rsid w:val="284E48F2"/>
    <w:rsid w:val="28596941"/>
    <w:rsid w:val="28596B62"/>
    <w:rsid w:val="28875375"/>
    <w:rsid w:val="28982AEB"/>
    <w:rsid w:val="289B187D"/>
    <w:rsid w:val="28BD4B4C"/>
    <w:rsid w:val="28E37A40"/>
    <w:rsid w:val="29182B3A"/>
    <w:rsid w:val="292F1BDA"/>
    <w:rsid w:val="293243EE"/>
    <w:rsid w:val="29A27333"/>
    <w:rsid w:val="29C707F2"/>
    <w:rsid w:val="29F34F91"/>
    <w:rsid w:val="29FC3137"/>
    <w:rsid w:val="29FD4AC0"/>
    <w:rsid w:val="2A1A1B36"/>
    <w:rsid w:val="2A23076F"/>
    <w:rsid w:val="2A236C64"/>
    <w:rsid w:val="2A493532"/>
    <w:rsid w:val="2A4C6138"/>
    <w:rsid w:val="2A5C0AC3"/>
    <w:rsid w:val="2A612347"/>
    <w:rsid w:val="2A81729A"/>
    <w:rsid w:val="2AD25B50"/>
    <w:rsid w:val="2AD431F8"/>
    <w:rsid w:val="2AE124AE"/>
    <w:rsid w:val="2AEC1D4A"/>
    <w:rsid w:val="2B1B42F3"/>
    <w:rsid w:val="2B2F2F0C"/>
    <w:rsid w:val="2B364039"/>
    <w:rsid w:val="2B541FDB"/>
    <w:rsid w:val="2B675895"/>
    <w:rsid w:val="2B7C1A9D"/>
    <w:rsid w:val="2B8532CE"/>
    <w:rsid w:val="2B8762F8"/>
    <w:rsid w:val="2B8D2AFD"/>
    <w:rsid w:val="2B914EE1"/>
    <w:rsid w:val="2BBC702A"/>
    <w:rsid w:val="2BE06B9A"/>
    <w:rsid w:val="2BF56C1F"/>
    <w:rsid w:val="2C0E49C0"/>
    <w:rsid w:val="2C0F4BFA"/>
    <w:rsid w:val="2C3E5153"/>
    <w:rsid w:val="2C44664B"/>
    <w:rsid w:val="2C675F81"/>
    <w:rsid w:val="2C7F3035"/>
    <w:rsid w:val="2C8D7E2E"/>
    <w:rsid w:val="2C9B4416"/>
    <w:rsid w:val="2CAC3397"/>
    <w:rsid w:val="2D2B615A"/>
    <w:rsid w:val="2D3D3D21"/>
    <w:rsid w:val="2D3D5CCE"/>
    <w:rsid w:val="2D52779C"/>
    <w:rsid w:val="2D562C6B"/>
    <w:rsid w:val="2D5F1689"/>
    <w:rsid w:val="2D665CCA"/>
    <w:rsid w:val="2D6B4C8E"/>
    <w:rsid w:val="2D6B53FC"/>
    <w:rsid w:val="2D6F2C2C"/>
    <w:rsid w:val="2D7C4FCC"/>
    <w:rsid w:val="2D88499F"/>
    <w:rsid w:val="2D896E41"/>
    <w:rsid w:val="2DE53F37"/>
    <w:rsid w:val="2E0D57CD"/>
    <w:rsid w:val="2E1A4185"/>
    <w:rsid w:val="2E376679"/>
    <w:rsid w:val="2E621442"/>
    <w:rsid w:val="2E6E6008"/>
    <w:rsid w:val="2E7A5508"/>
    <w:rsid w:val="2E8A160B"/>
    <w:rsid w:val="2E941501"/>
    <w:rsid w:val="2E9F5C09"/>
    <w:rsid w:val="2ECC1D06"/>
    <w:rsid w:val="2EEA46E8"/>
    <w:rsid w:val="2EEE0998"/>
    <w:rsid w:val="2EFA675A"/>
    <w:rsid w:val="2F1F280F"/>
    <w:rsid w:val="2F257B47"/>
    <w:rsid w:val="2F290765"/>
    <w:rsid w:val="2F3D3AA3"/>
    <w:rsid w:val="2F43428E"/>
    <w:rsid w:val="2F474458"/>
    <w:rsid w:val="2F4D5651"/>
    <w:rsid w:val="2F5B3CC3"/>
    <w:rsid w:val="2F671D9F"/>
    <w:rsid w:val="2F757A2B"/>
    <w:rsid w:val="2F8A78B5"/>
    <w:rsid w:val="2F9B0DA9"/>
    <w:rsid w:val="2F9C111C"/>
    <w:rsid w:val="2FC4244C"/>
    <w:rsid w:val="2FF43942"/>
    <w:rsid w:val="2FF4452D"/>
    <w:rsid w:val="3004251C"/>
    <w:rsid w:val="30696A96"/>
    <w:rsid w:val="306C531C"/>
    <w:rsid w:val="307D0EA8"/>
    <w:rsid w:val="30832490"/>
    <w:rsid w:val="30943544"/>
    <w:rsid w:val="30A02C7B"/>
    <w:rsid w:val="30DC4B72"/>
    <w:rsid w:val="30E57A33"/>
    <w:rsid w:val="310E7FA9"/>
    <w:rsid w:val="31210EE0"/>
    <w:rsid w:val="313645D8"/>
    <w:rsid w:val="315F3A0E"/>
    <w:rsid w:val="31A72578"/>
    <w:rsid w:val="31BE19AD"/>
    <w:rsid w:val="31C55E80"/>
    <w:rsid w:val="31C84453"/>
    <w:rsid w:val="31CA0FC7"/>
    <w:rsid w:val="326006D0"/>
    <w:rsid w:val="326F0453"/>
    <w:rsid w:val="327F1F6A"/>
    <w:rsid w:val="32872A5D"/>
    <w:rsid w:val="329070F2"/>
    <w:rsid w:val="3291726F"/>
    <w:rsid w:val="32941936"/>
    <w:rsid w:val="32982120"/>
    <w:rsid w:val="32CB3431"/>
    <w:rsid w:val="32E27AD7"/>
    <w:rsid w:val="32E30A70"/>
    <w:rsid w:val="32EB3F23"/>
    <w:rsid w:val="330A2F86"/>
    <w:rsid w:val="332C677E"/>
    <w:rsid w:val="33354106"/>
    <w:rsid w:val="337F0C9F"/>
    <w:rsid w:val="338C759F"/>
    <w:rsid w:val="338F5F8D"/>
    <w:rsid w:val="33B066F9"/>
    <w:rsid w:val="33B17595"/>
    <w:rsid w:val="33E05662"/>
    <w:rsid w:val="33E2735D"/>
    <w:rsid w:val="33E32B79"/>
    <w:rsid w:val="342A57FF"/>
    <w:rsid w:val="344D5E11"/>
    <w:rsid w:val="34551B37"/>
    <w:rsid w:val="34664301"/>
    <w:rsid w:val="34903EA3"/>
    <w:rsid w:val="34917855"/>
    <w:rsid w:val="349B0EF3"/>
    <w:rsid w:val="34B55CA6"/>
    <w:rsid w:val="34ED7801"/>
    <w:rsid w:val="34FE5494"/>
    <w:rsid w:val="350F70B4"/>
    <w:rsid w:val="35171C49"/>
    <w:rsid w:val="35206C61"/>
    <w:rsid w:val="357B5CF0"/>
    <w:rsid w:val="35931A8A"/>
    <w:rsid w:val="359E2632"/>
    <w:rsid w:val="35E71342"/>
    <w:rsid w:val="35EC3E4E"/>
    <w:rsid w:val="35F755A5"/>
    <w:rsid w:val="361F7EA9"/>
    <w:rsid w:val="364F3127"/>
    <w:rsid w:val="36514EBD"/>
    <w:rsid w:val="36625915"/>
    <w:rsid w:val="36927072"/>
    <w:rsid w:val="36967FF7"/>
    <w:rsid w:val="369D7370"/>
    <w:rsid w:val="36B00407"/>
    <w:rsid w:val="36EB4446"/>
    <w:rsid w:val="37117174"/>
    <w:rsid w:val="37134BE7"/>
    <w:rsid w:val="37166A47"/>
    <w:rsid w:val="37280613"/>
    <w:rsid w:val="37345D98"/>
    <w:rsid w:val="37446FA8"/>
    <w:rsid w:val="374D5D5B"/>
    <w:rsid w:val="375249C2"/>
    <w:rsid w:val="376A3E0A"/>
    <w:rsid w:val="37927CC9"/>
    <w:rsid w:val="37B60F20"/>
    <w:rsid w:val="37D64ED6"/>
    <w:rsid w:val="37D84234"/>
    <w:rsid w:val="380C66E4"/>
    <w:rsid w:val="38430361"/>
    <w:rsid w:val="385227E0"/>
    <w:rsid w:val="385800E0"/>
    <w:rsid w:val="388B2DE7"/>
    <w:rsid w:val="3897754E"/>
    <w:rsid w:val="38B44E93"/>
    <w:rsid w:val="39162A18"/>
    <w:rsid w:val="392E4D77"/>
    <w:rsid w:val="393A4475"/>
    <w:rsid w:val="39440D5F"/>
    <w:rsid w:val="397C3B05"/>
    <w:rsid w:val="399E3F19"/>
    <w:rsid w:val="39A02522"/>
    <w:rsid w:val="39A50B82"/>
    <w:rsid w:val="39C07CF6"/>
    <w:rsid w:val="39CF5F4D"/>
    <w:rsid w:val="39DE113B"/>
    <w:rsid w:val="39E43900"/>
    <w:rsid w:val="39E75B5D"/>
    <w:rsid w:val="39F76941"/>
    <w:rsid w:val="3A0E755A"/>
    <w:rsid w:val="3A1A62D6"/>
    <w:rsid w:val="3A204DE0"/>
    <w:rsid w:val="3A8A76BB"/>
    <w:rsid w:val="3A8D181B"/>
    <w:rsid w:val="3AA37EB2"/>
    <w:rsid w:val="3AA7501D"/>
    <w:rsid w:val="3ABA5D08"/>
    <w:rsid w:val="3B0E3861"/>
    <w:rsid w:val="3B1C2293"/>
    <w:rsid w:val="3B6E5820"/>
    <w:rsid w:val="3B7854D5"/>
    <w:rsid w:val="3B793324"/>
    <w:rsid w:val="3B8D7186"/>
    <w:rsid w:val="3B906299"/>
    <w:rsid w:val="3BBE2730"/>
    <w:rsid w:val="3BC2454A"/>
    <w:rsid w:val="3BD66893"/>
    <w:rsid w:val="3BE87602"/>
    <w:rsid w:val="3C0237D5"/>
    <w:rsid w:val="3C1B7694"/>
    <w:rsid w:val="3C1C6B89"/>
    <w:rsid w:val="3C2F2DE3"/>
    <w:rsid w:val="3C460209"/>
    <w:rsid w:val="3C4B571D"/>
    <w:rsid w:val="3C7C456A"/>
    <w:rsid w:val="3CA14FF3"/>
    <w:rsid w:val="3CBC6229"/>
    <w:rsid w:val="3CCF7C44"/>
    <w:rsid w:val="3CF04A01"/>
    <w:rsid w:val="3CF53B3A"/>
    <w:rsid w:val="3CF60D92"/>
    <w:rsid w:val="3D1C520B"/>
    <w:rsid w:val="3D3C40C4"/>
    <w:rsid w:val="3D4E1C2D"/>
    <w:rsid w:val="3D61093E"/>
    <w:rsid w:val="3D730890"/>
    <w:rsid w:val="3D8B1687"/>
    <w:rsid w:val="3D917ED7"/>
    <w:rsid w:val="3D951485"/>
    <w:rsid w:val="3D9C0A84"/>
    <w:rsid w:val="3DC15E03"/>
    <w:rsid w:val="3DCE6601"/>
    <w:rsid w:val="3DEB6D59"/>
    <w:rsid w:val="3E006A7A"/>
    <w:rsid w:val="3E096784"/>
    <w:rsid w:val="3E16496C"/>
    <w:rsid w:val="3E170D15"/>
    <w:rsid w:val="3E395CCF"/>
    <w:rsid w:val="3E3A798B"/>
    <w:rsid w:val="3E54401D"/>
    <w:rsid w:val="3E554192"/>
    <w:rsid w:val="3E59345B"/>
    <w:rsid w:val="3E687DD9"/>
    <w:rsid w:val="3E895BAB"/>
    <w:rsid w:val="3E9A6963"/>
    <w:rsid w:val="3EB87136"/>
    <w:rsid w:val="3EC0599D"/>
    <w:rsid w:val="3EE507CF"/>
    <w:rsid w:val="3EF5425F"/>
    <w:rsid w:val="3EFF7583"/>
    <w:rsid w:val="3F15029A"/>
    <w:rsid w:val="3F1844FE"/>
    <w:rsid w:val="3F2B7DB9"/>
    <w:rsid w:val="3F327DDF"/>
    <w:rsid w:val="3F3D6612"/>
    <w:rsid w:val="3F4A72DF"/>
    <w:rsid w:val="3F605CB5"/>
    <w:rsid w:val="3F6A6BBC"/>
    <w:rsid w:val="3F815049"/>
    <w:rsid w:val="3F8A5115"/>
    <w:rsid w:val="3F941F50"/>
    <w:rsid w:val="3FA028D8"/>
    <w:rsid w:val="3FA714B0"/>
    <w:rsid w:val="3FD93E61"/>
    <w:rsid w:val="402B2140"/>
    <w:rsid w:val="403F0F48"/>
    <w:rsid w:val="405F0092"/>
    <w:rsid w:val="409F747B"/>
    <w:rsid w:val="40A06E71"/>
    <w:rsid w:val="40A56DE9"/>
    <w:rsid w:val="40B25AD8"/>
    <w:rsid w:val="40C7448C"/>
    <w:rsid w:val="40CD2A00"/>
    <w:rsid w:val="40D40727"/>
    <w:rsid w:val="40D777E7"/>
    <w:rsid w:val="41222D9D"/>
    <w:rsid w:val="414B3ACC"/>
    <w:rsid w:val="414D4326"/>
    <w:rsid w:val="414F149F"/>
    <w:rsid w:val="41600CBE"/>
    <w:rsid w:val="416255D3"/>
    <w:rsid w:val="418C1171"/>
    <w:rsid w:val="418E26FB"/>
    <w:rsid w:val="41AF7765"/>
    <w:rsid w:val="41C512B6"/>
    <w:rsid w:val="421217CA"/>
    <w:rsid w:val="42247289"/>
    <w:rsid w:val="42385E71"/>
    <w:rsid w:val="423C1770"/>
    <w:rsid w:val="423C4B0F"/>
    <w:rsid w:val="424D1AE0"/>
    <w:rsid w:val="42BF41BC"/>
    <w:rsid w:val="42E30DA9"/>
    <w:rsid w:val="42F31434"/>
    <w:rsid w:val="430D413F"/>
    <w:rsid w:val="430D68BB"/>
    <w:rsid w:val="4319397D"/>
    <w:rsid w:val="431F19C9"/>
    <w:rsid w:val="434F5A51"/>
    <w:rsid w:val="43510614"/>
    <w:rsid w:val="4356070F"/>
    <w:rsid w:val="436A3D5A"/>
    <w:rsid w:val="436F2C22"/>
    <w:rsid w:val="437816B7"/>
    <w:rsid w:val="439A3BFC"/>
    <w:rsid w:val="43B72ECE"/>
    <w:rsid w:val="43DF46F7"/>
    <w:rsid w:val="44063131"/>
    <w:rsid w:val="440949C0"/>
    <w:rsid w:val="44104935"/>
    <w:rsid w:val="441D5EDF"/>
    <w:rsid w:val="443956DA"/>
    <w:rsid w:val="44467C78"/>
    <w:rsid w:val="44587044"/>
    <w:rsid w:val="445D5170"/>
    <w:rsid w:val="44623934"/>
    <w:rsid w:val="44752CD8"/>
    <w:rsid w:val="44B378C6"/>
    <w:rsid w:val="44BA6F57"/>
    <w:rsid w:val="44D733A2"/>
    <w:rsid w:val="450C5C53"/>
    <w:rsid w:val="450E2F4E"/>
    <w:rsid w:val="451216BE"/>
    <w:rsid w:val="451B77FA"/>
    <w:rsid w:val="45214F6C"/>
    <w:rsid w:val="45336857"/>
    <w:rsid w:val="45354730"/>
    <w:rsid w:val="45493DB9"/>
    <w:rsid w:val="455C1DD0"/>
    <w:rsid w:val="456050FD"/>
    <w:rsid w:val="45612537"/>
    <w:rsid w:val="45622A1D"/>
    <w:rsid w:val="456C2E86"/>
    <w:rsid w:val="457C0F75"/>
    <w:rsid w:val="45913C2F"/>
    <w:rsid w:val="45A55C0F"/>
    <w:rsid w:val="45B443FB"/>
    <w:rsid w:val="45D02386"/>
    <w:rsid w:val="45F71F2E"/>
    <w:rsid w:val="46024C74"/>
    <w:rsid w:val="46027C10"/>
    <w:rsid w:val="46047DA7"/>
    <w:rsid w:val="466C6349"/>
    <w:rsid w:val="467E6EF1"/>
    <w:rsid w:val="469E5C06"/>
    <w:rsid w:val="46A111A7"/>
    <w:rsid w:val="46A34273"/>
    <w:rsid w:val="46A570C1"/>
    <w:rsid w:val="46B1139D"/>
    <w:rsid w:val="46BC589A"/>
    <w:rsid w:val="471804A5"/>
    <w:rsid w:val="474811DE"/>
    <w:rsid w:val="47844342"/>
    <w:rsid w:val="479E13CE"/>
    <w:rsid w:val="47B13DE9"/>
    <w:rsid w:val="47B45788"/>
    <w:rsid w:val="47B90116"/>
    <w:rsid w:val="47C575E8"/>
    <w:rsid w:val="47D42AEB"/>
    <w:rsid w:val="47D76022"/>
    <w:rsid w:val="47E77C79"/>
    <w:rsid w:val="48034260"/>
    <w:rsid w:val="48190DBF"/>
    <w:rsid w:val="482867CC"/>
    <w:rsid w:val="48334861"/>
    <w:rsid w:val="483E21C1"/>
    <w:rsid w:val="487506E3"/>
    <w:rsid w:val="48917FD3"/>
    <w:rsid w:val="48C1710A"/>
    <w:rsid w:val="48C17137"/>
    <w:rsid w:val="48C33BEF"/>
    <w:rsid w:val="48CA2356"/>
    <w:rsid w:val="48CB6EF9"/>
    <w:rsid w:val="48D87842"/>
    <w:rsid w:val="48E6549C"/>
    <w:rsid w:val="48FD155A"/>
    <w:rsid w:val="490201F2"/>
    <w:rsid w:val="49066772"/>
    <w:rsid w:val="490D0326"/>
    <w:rsid w:val="49786785"/>
    <w:rsid w:val="497D68AD"/>
    <w:rsid w:val="49935948"/>
    <w:rsid w:val="49BF2111"/>
    <w:rsid w:val="49E70A57"/>
    <w:rsid w:val="49FA2C34"/>
    <w:rsid w:val="4A014684"/>
    <w:rsid w:val="4A083A74"/>
    <w:rsid w:val="4A0A5FA4"/>
    <w:rsid w:val="4A100EEF"/>
    <w:rsid w:val="4A173957"/>
    <w:rsid w:val="4A290658"/>
    <w:rsid w:val="4A2E5BDE"/>
    <w:rsid w:val="4A48531A"/>
    <w:rsid w:val="4A4A3BF4"/>
    <w:rsid w:val="4A906429"/>
    <w:rsid w:val="4AAD3820"/>
    <w:rsid w:val="4AB557EB"/>
    <w:rsid w:val="4AD36FA7"/>
    <w:rsid w:val="4ADD6B1A"/>
    <w:rsid w:val="4AFC5824"/>
    <w:rsid w:val="4B020916"/>
    <w:rsid w:val="4B082FC8"/>
    <w:rsid w:val="4B24136F"/>
    <w:rsid w:val="4B3210F4"/>
    <w:rsid w:val="4B3713B0"/>
    <w:rsid w:val="4B4017C5"/>
    <w:rsid w:val="4B560262"/>
    <w:rsid w:val="4B654E5F"/>
    <w:rsid w:val="4B6E2200"/>
    <w:rsid w:val="4B8B06C6"/>
    <w:rsid w:val="4B8B4051"/>
    <w:rsid w:val="4B93100E"/>
    <w:rsid w:val="4B957000"/>
    <w:rsid w:val="4BCF4B3C"/>
    <w:rsid w:val="4BD31909"/>
    <w:rsid w:val="4BE21E48"/>
    <w:rsid w:val="4BE66599"/>
    <w:rsid w:val="4BF82EF0"/>
    <w:rsid w:val="4C227AD7"/>
    <w:rsid w:val="4C53043B"/>
    <w:rsid w:val="4C5E735D"/>
    <w:rsid w:val="4C8A4FE6"/>
    <w:rsid w:val="4C9008D9"/>
    <w:rsid w:val="4C9A4AFE"/>
    <w:rsid w:val="4CC43155"/>
    <w:rsid w:val="4CDC5DC4"/>
    <w:rsid w:val="4D062D92"/>
    <w:rsid w:val="4D1C12F2"/>
    <w:rsid w:val="4D250765"/>
    <w:rsid w:val="4D253A49"/>
    <w:rsid w:val="4D32112C"/>
    <w:rsid w:val="4D3A74D8"/>
    <w:rsid w:val="4D42050A"/>
    <w:rsid w:val="4D4F2B95"/>
    <w:rsid w:val="4D594475"/>
    <w:rsid w:val="4D6C130B"/>
    <w:rsid w:val="4D700A9E"/>
    <w:rsid w:val="4D705FF6"/>
    <w:rsid w:val="4D766114"/>
    <w:rsid w:val="4D924D02"/>
    <w:rsid w:val="4DA16833"/>
    <w:rsid w:val="4DA95DB0"/>
    <w:rsid w:val="4DD87683"/>
    <w:rsid w:val="4DD917D5"/>
    <w:rsid w:val="4E270643"/>
    <w:rsid w:val="4E4A7541"/>
    <w:rsid w:val="4E5D20E3"/>
    <w:rsid w:val="4E8049EC"/>
    <w:rsid w:val="4E940B6B"/>
    <w:rsid w:val="4EA823BC"/>
    <w:rsid w:val="4ED74930"/>
    <w:rsid w:val="4F0572B2"/>
    <w:rsid w:val="4F09496E"/>
    <w:rsid w:val="4F20528D"/>
    <w:rsid w:val="4F22696C"/>
    <w:rsid w:val="4F3229A6"/>
    <w:rsid w:val="4F4B5E76"/>
    <w:rsid w:val="4F8F66C7"/>
    <w:rsid w:val="4F957F8C"/>
    <w:rsid w:val="4FA03AD8"/>
    <w:rsid w:val="4FAA6A4A"/>
    <w:rsid w:val="4FAB1C1F"/>
    <w:rsid w:val="4FB446F1"/>
    <w:rsid w:val="4FD6618E"/>
    <w:rsid w:val="501269C2"/>
    <w:rsid w:val="50414444"/>
    <w:rsid w:val="504E5324"/>
    <w:rsid w:val="50632CFF"/>
    <w:rsid w:val="506957D9"/>
    <w:rsid w:val="508F3BE6"/>
    <w:rsid w:val="50986117"/>
    <w:rsid w:val="509E0B10"/>
    <w:rsid w:val="50A13071"/>
    <w:rsid w:val="50B510DD"/>
    <w:rsid w:val="50FE33B4"/>
    <w:rsid w:val="513609B2"/>
    <w:rsid w:val="516743C0"/>
    <w:rsid w:val="517720D2"/>
    <w:rsid w:val="517B5475"/>
    <w:rsid w:val="5185338E"/>
    <w:rsid w:val="51864EB2"/>
    <w:rsid w:val="51A83198"/>
    <w:rsid w:val="51AC1924"/>
    <w:rsid w:val="51C51422"/>
    <w:rsid w:val="52011ED0"/>
    <w:rsid w:val="52076F7E"/>
    <w:rsid w:val="521A595D"/>
    <w:rsid w:val="52274748"/>
    <w:rsid w:val="52315F8D"/>
    <w:rsid w:val="52797037"/>
    <w:rsid w:val="529479FE"/>
    <w:rsid w:val="52A001EE"/>
    <w:rsid w:val="52DA1AFA"/>
    <w:rsid w:val="52DF46EC"/>
    <w:rsid w:val="52DF5A7A"/>
    <w:rsid w:val="53033000"/>
    <w:rsid w:val="531757D9"/>
    <w:rsid w:val="53667075"/>
    <w:rsid w:val="53683D4A"/>
    <w:rsid w:val="53766E18"/>
    <w:rsid w:val="53776635"/>
    <w:rsid w:val="5388525E"/>
    <w:rsid w:val="53890063"/>
    <w:rsid w:val="53A72F62"/>
    <w:rsid w:val="53AB18A6"/>
    <w:rsid w:val="53B777FC"/>
    <w:rsid w:val="53D5002F"/>
    <w:rsid w:val="53EE4285"/>
    <w:rsid w:val="540E1C8C"/>
    <w:rsid w:val="54440CBB"/>
    <w:rsid w:val="54566DF1"/>
    <w:rsid w:val="546D2314"/>
    <w:rsid w:val="548353D3"/>
    <w:rsid w:val="54A36A45"/>
    <w:rsid w:val="54A9405F"/>
    <w:rsid w:val="54D93F34"/>
    <w:rsid w:val="54E36F2F"/>
    <w:rsid w:val="54F64E57"/>
    <w:rsid w:val="5511762A"/>
    <w:rsid w:val="551D109D"/>
    <w:rsid w:val="55234D95"/>
    <w:rsid w:val="5526676E"/>
    <w:rsid w:val="5531048D"/>
    <w:rsid w:val="553714AE"/>
    <w:rsid w:val="55482901"/>
    <w:rsid w:val="557767FC"/>
    <w:rsid w:val="55967292"/>
    <w:rsid w:val="55BB05D4"/>
    <w:rsid w:val="55C37D24"/>
    <w:rsid w:val="55C57469"/>
    <w:rsid w:val="55CA1FA8"/>
    <w:rsid w:val="55DE5A5B"/>
    <w:rsid w:val="55E62ABB"/>
    <w:rsid w:val="55E86EEB"/>
    <w:rsid w:val="55F80AE4"/>
    <w:rsid w:val="561518EA"/>
    <w:rsid w:val="561D3DFC"/>
    <w:rsid w:val="56382DCB"/>
    <w:rsid w:val="56581722"/>
    <w:rsid w:val="56B17AF5"/>
    <w:rsid w:val="56C3306E"/>
    <w:rsid w:val="56D33BC7"/>
    <w:rsid w:val="56EC4B96"/>
    <w:rsid w:val="56EE1BC1"/>
    <w:rsid w:val="56F84889"/>
    <w:rsid w:val="56F870EB"/>
    <w:rsid w:val="570559FF"/>
    <w:rsid w:val="572F5A73"/>
    <w:rsid w:val="57527A3A"/>
    <w:rsid w:val="576850F4"/>
    <w:rsid w:val="577F150C"/>
    <w:rsid w:val="5788782A"/>
    <w:rsid w:val="57897383"/>
    <w:rsid w:val="578F7931"/>
    <w:rsid w:val="57971EE9"/>
    <w:rsid w:val="57B50005"/>
    <w:rsid w:val="57E8346D"/>
    <w:rsid w:val="57F56CF6"/>
    <w:rsid w:val="58012AE8"/>
    <w:rsid w:val="58092BD5"/>
    <w:rsid w:val="588D69BB"/>
    <w:rsid w:val="58926648"/>
    <w:rsid w:val="58941BB9"/>
    <w:rsid w:val="589930C5"/>
    <w:rsid w:val="58CF4BB1"/>
    <w:rsid w:val="58D973B1"/>
    <w:rsid w:val="590426CC"/>
    <w:rsid w:val="590F7FED"/>
    <w:rsid w:val="59194D6D"/>
    <w:rsid w:val="591A4D5E"/>
    <w:rsid w:val="592A738A"/>
    <w:rsid w:val="593564E7"/>
    <w:rsid w:val="59553908"/>
    <w:rsid w:val="595B0074"/>
    <w:rsid w:val="59677C71"/>
    <w:rsid w:val="5981456B"/>
    <w:rsid w:val="598F0E51"/>
    <w:rsid w:val="599A4243"/>
    <w:rsid w:val="59A93FEA"/>
    <w:rsid w:val="59E03D46"/>
    <w:rsid w:val="59E072EB"/>
    <w:rsid w:val="59F0739B"/>
    <w:rsid w:val="59F13CA6"/>
    <w:rsid w:val="5A077EBE"/>
    <w:rsid w:val="5A0B4569"/>
    <w:rsid w:val="5A186214"/>
    <w:rsid w:val="5A4226A0"/>
    <w:rsid w:val="5A5672AA"/>
    <w:rsid w:val="5A5C085D"/>
    <w:rsid w:val="5AA05D21"/>
    <w:rsid w:val="5AA32484"/>
    <w:rsid w:val="5AA9404C"/>
    <w:rsid w:val="5AC06592"/>
    <w:rsid w:val="5ACD7441"/>
    <w:rsid w:val="5AD50EEB"/>
    <w:rsid w:val="5AFA4C5A"/>
    <w:rsid w:val="5B0A3925"/>
    <w:rsid w:val="5B0D52C4"/>
    <w:rsid w:val="5B1F6A99"/>
    <w:rsid w:val="5B42256F"/>
    <w:rsid w:val="5B565C18"/>
    <w:rsid w:val="5B8C07A0"/>
    <w:rsid w:val="5BAE44D2"/>
    <w:rsid w:val="5BDA57BE"/>
    <w:rsid w:val="5BE15635"/>
    <w:rsid w:val="5BEA66DE"/>
    <w:rsid w:val="5C097CE5"/>
    <w:rsid w:val="5C3B25CF"/>
    <w:rsid w:val="5C8A4425"/>
    <w:rsid w:val="5CD319BF"/>
    <w:rsid w:val="5CEB25CB"/>
    <w:rsid w:val="5D001D7C"/>
    <w:rsid w:val="5D266B93"/>
    <w:rsid w:val="5D3E3729"/>
    <w:rsid w:val="5D3F156C"/>
    <w:rsid w:val="5D406CFF"/>
    <w:rsid w:val="5D6149C8"/>
    <w:rsid w:val="5D8309C9"/>
    <w:rsid w:val="5D8C20A1"/>
    <w:rsid w:val="5DA57D5B"/>
    <w:rsid w:val="5DBA0A23"/>
    <w:rsid w:val="5DBD5D0D"/>
    <w:rsid w:val="5DF1538D"/>
    <w:rsid w:val="5DF93E70"/>
    <w:rsid w:val="5DFA1EDE"/>
    <w:rsid w:val="5E127EC7"/>
    <w:rsid w:val="5E14786C"/>
    <w:rsid w:val="5E323EC3"/>
    <w:rsid w:val="5E340C25"/>
    <w:rsid w:val="5E437FDA"/>
    <w:rsid w:val="5E45497D"/>
    <w:rsid w:val="5E5C1408"/>
    <w:rsid w:val="5E5D32E2"/>
    <w:rsid w:val="5E6A6E13"/>
    <w:rsid w:val="5E7167ED"/>
    <w:rsid w:val="5EB87818"/>
    <w:rsid w:val="5F1F2630"/>
    <w:rsid w:val="5F2F0C88"/>
    <w:rsid w:val="5F3E7D17"/>
    <w:rsid w:val="5F4B42DC"/>
    <w:rsid w:val="5F4E6120"/>
    <w:rsid w:val="5F5E69C0"/>
    <w:rsid w:val="5F730CC2"/>
    <w:rsid w:val="5F784CF6"/>
    <w:rsid w:val="5F912758"/>
    <w:rsid w:val="5FD451B0"/>
    <w:rsid w:val="5FD96E66"/>
    <w:rsid w:val="5FDB0B82"/>
    <w:rsid w:val="5FF64663"/>
    <w:rsid w:val="60297899"/>
    <w:rsid w:val="604A45DA"/>
    <w:rsid w:val="60A31AEB"/>
    <w:rsid w:val="60AC32F1"/>
    <w:rsid w:val="60AE36FC"/>
    <w:rsid w:val="60BA21B7"/>
    <w:rsid w:val="60C6488C"/>
    <w:rsid w:val="60D7751F"/>
    <w:rsid w:val="610C53A9"/>
    <w:rsid w:val="611A2517"/>
    <w:rsid w:val="61287A78"/>
    <w:rsid w:val="61291DE3"/>
    <w:rsid w:val="615F6E02"/>
    <w:rsid w:val="61700F6B"/>
    <w:rsid w:val="6199381A"/>
    <w:rsid w:val="619D2C5F"/>
    <w:rsid w:val="61CE0D47"/>
    <w:rsid w:val="61DD0823"/>
    <w:rsid w:val="61F14EE1"/>
    <w:rsid w:val="62185B77"/>
    <w:rsid w:val="62A936DF"/>
    <w:rsid w:val="62AC4DD6"/>
    <w:rsid w:val="62D77646"/>
    <w:rsid w:val="62DE0AB7"/>
    <w:rsid w:val="62FA229D"/>
    <w:rsid w:val="63081012"/>
    <w:rsid w:val="63185BBC"/>
    <w:rsid w:val="6323283B"/>
    <w:rsid w:val="6327081B"/>
    <w:rsid w:val="63594655"/>
    <w:rsid w:val="63702039"/>
    <w:rsid w:val="637E57B9"/>
    <w:rsid w:val="637E7C0D"/>
    <w:rsid w:val="638459A2"/>
    <w:rsid w:val="63891D93"/>
    <w:rsid w:val="638C7AB4"/>
    <w:rsid w:val="63C61FC4"/>
    <w:rsid w:val="63CD512B"/>
    <w:rsid w:val="63DF5EE7"/>
    <w:rsid w:val="63EE10FD"/>
    <w:rsid w:val="63F3451F"/>
    <w:rsid w:val="63F82F3E"/>
    <w:rsid w:val="64045AC7"/>
    <w:rsid w:val="64113A22"/>
    <w:rsid w:val="64120CE8"/>
    <w:rsid w:val="644322E8"/>
    <w:rsid w:val="64451CE4"/>
    <w:rsid w:val="644C2B30"/>
    <w:rsid w:val="645449E8"/>
    <w:rsid w:val="64766D6A"/>
    <w:rsid w:val="647B0221"/>
    <w:rsid w:val="647C3EFD"/>
    <w:rsid w:val="64C46083"/>
    <w:rsid w:val="64C629D2"/>
    <w:rsid w:val="64C649F0"/>
    <w:rsid w:val="64D950F4"/>
    <w:rsid w:val="64F23D6B"/>
    <w:rsid w:val="64F2791A"/>
    <w:rsid w:val="64FF50EB"/>
    <w:rsid w:val="650F60F9"/>
    <w:rsid w:val="65331DD3"/>
    <w:rsid w:val="653F1087"/>
    <w:rsid w:val="654511D0"/>
    <w:rsid w:val="654D1272"/>
    <w:rsid w:val="6563219E"/>
    <w:rsid w:val="65785C8F"/>
    <w:rsid w:val="65795807"/>
    <w:rsid w:val="658440CB"/>
    <w:rsid w:val="659C22D2"/>
    <w:rsid w:val="65A91A3C"/>
    <w:rsid w:val="65BB0178"/>
    <w:rsid w:val="65BE642F"/>
    <w:rsid w:val="65BF5534"/>
    <w:rsid w:val="65F65300"/>
    <w:rsid w:val="660E2BA1"/>
    <w:rsid w:val="6625794A"/>
    <w:rsid w:val="664915F9"/>
    <w:rsid w:val="6659245D"/>
    <w:rsid w:val="665C21CA"/>
    <w:rsid w:val="66844C78"/>
    <w:rsid w:val="669A1453"/>
    <w:rsid w:val="66AA4F0C"/>
    <w:rsid w:val="66EF7C61"/>
    <w:rsid w:val="66FB0787"/>
    <w:rsid w:val="66FC0B0A"/>
    <w:rsid w:val="672031D2"/>
    <w:rsid w:val="674C01C3"/>
    <w:rsid w:val="67742F97"/>
    <w:rsid w:val="677E54C9"/>
    <w:rsid w:val="67835998"/>
    <w:rsid w:val="678D6DA4"/>
    <w:rsid w:val="67A95247"/>
    <w:rsid w:val="67C70748"/>
    <w:rsid w:val="67D2619D"/>
    <w:rsid w:val="67DB7238"/>
    <w:rsid w:val="67DF2D84"/>
    <w:rsid w:val="67E40EFD"/>
    <w:rsid w:val="68312936"/>
    <w:rsid w:val="684B76C9"/>
    <w:rsid w:val="686B37D1"/>
    <w:rsid w:val="689462B3"/>
    <w:rsid w:val="68C34103"/>
    <w:rsid w:val="68FB70DA"/>
    <w:rsid w:val="6903638D"/>
    <w:rsid w:val="690C574F"/>
    <w:rsid w:val="69176EC0"/>
    <w:rsid w:val="691E6051"/>
    <w:rsid w:val="69396851"/>
    <w:rsid w:val="693B4731"/>
    <w:rsid w:val="693E3789"/>
    <w:rsid w:val="69450F44"/>
    <w:rsid w:val="6945624A"/>
    <w:rsid w:val="694A7BCA"/>
    <w:rsid w:val="69882600"/>
    <w:rsid w:val="6995651A"/>
    <w:rsid w:val="69AB50B7"/>
    <w:rsid w:val="69AC2EFA"/>
    <w:rsid w:val="69AC6425"/>
    <w:rsid w:val="69B96666"/>
    <w:rsid w:val="69C9053B"/>
    <w:rsid w:val="69D01399"/>
    <w:rsid w:val="69D2092D"/>
    <w:rsid w:val="69E101AC"/>
    <w:rsid w:val="69E13ACD"/>
    <w:rsid w:val="69F7538B"/>
    <w:rsid w:val="6A2E0077"/>
    <w:rsid w:val="6A8226F2"/>
    <w:rsid w:val="6A8725FA"/>
    <w:rsid w:val="6A895F72"/>
    <w:rsid w:val="6A94359A"/>
    <w:rsid w:val="6A9F4216"/>
    <w:rsid w:val="6AAE27AE"/>
    <w:rsid w:val="6AB719DD"/>
    <w:rsid w:val="6AC25D5B"/>
    <w:rsid w:val="6AD130A6"/>
    <w:rsid w:val="6AE2172A"/>
    <w:rsid w:val="6B023154"/>
    <w:rsid w:val="6B0E77D1"/>
    <w:rsid w:val="6B1F01BD"/>
    <w:rsid w:val="6B1F10B7"/>
    <w:rsid w:val="6B614560"/>
    <w:rsid w:val="6B62617A"/>
    <w:rsid w:val="6B776FCF"/>
    <w:rsid w:val="6B9441E2"/>
    <w:rsid w:val="6BC26B2D"/>
    <w:rsid w:val="6C1D0587"/>
    <w:rsid w:val="6C2B14A9"/>
    <w:rsid w:val="6C643B3C"/>
    <w:rsid w:val="6C6C3F06"/>
    <w:rsid w:val="6C6D5580"/>
    <w:rsid w:val="6C803BC5"/>
    <w:rsid w:val="6C97673D"/>
    <w:rsid w:val="6CAE0884"/>
    <w:rsid w:val="6CB57314"/>
    <w:rsid w:val="6CD477A4"/>
    <w:rsid w:val="6CFA5737"/>
    <w:rsid w:val="6CFE1F25"/>
    <w:rsid w:val="6D0479C2"/>
    <w:rsid w:val="6D065787"/>
    <w:rsid w:val="6D2331E8"/>
    <w:rsid w:val="6D336527"/>
    <w:rsid w:val="6D524C3B"/>
    <w:rsid w:val="6D6D7EE1"/>
    <w:rsid w:val="6D774357"/>
    <w:rsid w:val="6D9F41C2"/>
    <w:rsid w:val="6DB51701"/>
    <w:rsid w:val="6DB91A5C"/>
    <w:rsid w:val="6DBD22F5"/>
    <w:rsid w:val="6DC31DF1"/>
    <w:rsid w:val="6DD25C7C"/>
    <w:rsid w:val="6DD77F97"/>
    <w:rsid w:val="6DDF3BB2"/>
    <w:rsid w:val="6DF04359"/>
    <w:rsid w:val="6E1C0908"/>
    <w:rsid w:val="6E1F656A"/>
    <w:rsid w:val="6E3A2E0B"/>
    <w:rsid w:val="6E3C5900"/>
    <w:rsid w:val="6E4748D7"/>
    <w:rsid w:val="6E707A7D"/>
    <w:rsid w:val="6E8522C5"/>
    <w:rsid w:val="6E92584A"/>
    <w:rsid w:val="6EAA3F40"/>
    <w:rsid w:val="6EBE4404"/>
    <w:rsid w:val="6EE75CED"/>
    <w:rsid w:val="6EF80A79"/>
    <w:rsid w:val="6F210DF3"/>
    <w:rsid w:val="6F267F7B"/>
    <w:rsid w:val="6F436159"/>
    <w:rsid w:val="6F570950"/>
    <w:rsid w:val="6F5D1F4F"/>
    <w:rsid w:val="6F6E7E31"/>
    <w:rsid w:val="6F7672A0"/>
    <w:rsid w:val="6F815D45"/>
    <w:rsid w:val="6F8B31B2"/>
    <w:rsid w:val="6FCA26EF"/>
    <w:rsid w:val="6FCC2D26"/>
    <w:rsid w:val="6FD45FC5"/>
    <w:rsid w:val="6FFD2631"/>
    <w:rsid w:val="70124217"/>
    <w:rsid w:val="70661C4E"/>
    <w:rsid w:val="70663FFB"/>
    <w:rsid w:val="7074186F"/>
    <w:rsid w:val="707E7BE9"/>
    <w:rsid w:val="708425F7"/>
    <w:rsid w:val="708E2CA3"/>
    <w:rsid w:val="70AB63C3"/>
    <w:rsid w:val="70B12F43"/>
    <w:rsid w:val="70B52AE8"/>
    <w:rsid w:val="70D52BBF"/>
    <w:rsid w:val="70E76BA4"/>
    <w:rsid w:val="70F75BDA"/>
    <w:rsid w:val="7116419C"/>
    <w:rsid w:val="71264651"/>
    <w:rsid w:val="712C6FF7"/>
    <w:rsid w:val="712E50BB"/>
    <w:rsid w:val="714E6DA6"/>
    <w:rsid w:val="71693581"/>
    <w:rsid w:val="717E67F0"/>
    <w:rsid w:val="718C220E"/>
    <w:rsid w:val="719F7042"/>
    <w:rsid w:val="71A35D60"/>
    <w:rsid w:val="71AB4A8C"/>
    <w:rsid w:val="71AF77BF"/>
    <w:rsid w:val="71B520EA"/>
    <w:rsid w:val="71C309DF"/>
    <w:rsid w:val="71C76791"/>
    <w:rsid w:val="71FC50A2"/>
    <w:rsid w:val="71FE33E4"/>
    <w:rsid w:val="720972DA"/>
    <w:rsid w:val="720B1635"/>
    <w:rsid w:val="720F49A3"/>
    <w:rsid w:val="722276D4"/>
    <w:rsid w:val="723A56A3"/>
    <w:rsid w:val="724F14FB"/>
    <w:rsid w:val="726934E1"/>
    <w:rsid w:val="72875DBC"/>
    <w:rsid w:val="72993B4F"/>
    <w:rsid w:val="729C3901"/>
    <w:rsid w:val="72BF2138"/>
    <w:rsid w:val="72C915DA"/>
    <w:rsid w:val="72D42A40"/>
    <w:rsid w:val="72DA5EBD"/>
    <w:rsid w:val="72DF3D5B"/>
    <w:rsid w:val="73044170"/>
    <w:rsid w:val="731A4D61"/>
    <w:rsid w:val="731C3439"/>
    <w:rsid w:val="7346090E"/>
    <w:rsid w:val="73596658"/>
    <w:rsid w:val="739643AC"/>
    <w:rsid w:val="739939EE"/>
    <w:rsid w:val="73A43EB1"/>
    <w:rsid w:val="73AD18F3"/>
    <w:rsid w:val="73C325B0"/>
    <w:rsid w:val="73C96C80"/>
    <w:rsid w:val="73DF0FCA"/>
    <w:rsid w:val="73F11A19"/>
    <w:rsid w:val="73F81A49"/>
    <w:rsid w:val="742C622A"/>
    <w:rsid w:val="743256D8"/>
    <w:rsid w:val="744454E1"/>
    <w:rsid w:val="7468485F"/>
    <w:rsid w:val="746D1C4E"/>
    <w:rsid w:val="74AE385C"/>
    <w:rsid w:val="74B4645F"/>
    <w:rsid w:val="74CD20AE"/>
    <w:rsid w:val="74D52BA5"/>
    <w:rsid w:val="74E21573"/>
    <w:rsid w:val="75114E3F"/>
    <w:rsid w:val="75474995"/>
    <w:rsid w:val="755E64E6"/>
    <w:rsid w:val="75651522"/>
    <w:rsid w:val="75857D98"/>
    <w:rsid w:val="758705A4"/>
    <w:rsid w:val="75901A84"/>
    <w:rsid w:val="75BF0695"/>
    <w:rsid w:val="75CA7828"/>
    <w:rsid w:val="75E52093"/>
    <w:rsid w:val="75E526EA"/>
    <w:rsid w:val="75E6777A"/>
    <w:rsid w:val="75EA754A"/>
    <w:rsid w:val="76230E18"/>
    <w:rsid w:val="76343EEA"/>
    <w:rsid w:val="7652177C"/>
    <w:rsid w:val="76793BA6"/>
    <w:rsid w:val="7687657F"/>
    <w:rsid w:val="76A96A36"/>
    <w:rsid w:val="76AC1B56"/>
    <w:rsid w:val="76D700C3"/>
    <w:rsid w:val="76DE6BDE"/>
    <w:rsid w:val="76F94302"/>
    <w:rsid w:val="77077FD8"/>
    <w:rsid w:val="774732C9"/>
    <w:rsid w:val="77653909"/>
    <w:rsid w:val="77B167E3"/>
    <w:rsid w:val="77BC6C48"/>
    <w:rsid w:val="77C03856"/>
    <w:rsid w:val="77CB5BEF"/>
    <w:rsid w:val="77D20B03"/>
    <w:rsid w:val="77D2259A"/>
    <w:rsid w:val="77E14434"/>
    <w:rsid w:val="781800EC"/>
    <w:rsid w:val="782132B8"/>
    <w:rsid w:val="782770D8"/>
    <w:rsid w:val="783A1FE5"/>
    <w:rsid w:val="785901BE"/>
    <w:rsid w:val="785A7D7E"/>
    <w:rsid w:val="786434F8"/>
    <w:rsid w:val="786F28A8"/>
    <w:rsid w:val="78712577"/>
    <w:rsid w:val="787A22FB"/>
    <w:rsid w:val="78804286"/>
    <w:rsid w:val="788A5D88"/>
    <w:rsid w:val="78956DCB"/>
    <w:rsid w:val="78A3374C"/>
    <w:rsid w:val="78C576B5"/>
    <w:rsid w:val="78C60C49"/>
    <w:rsid w:val="78D6106A"/>
    <w:rsid w:val="78EE40C3"/>
    <w:rsid w:val="78F43FA9"/>
    <w:rsid w:val="78F64ED0"/>
    <w:rsid w:val="78F80E6B"/>
    <w:rsid w:val="791C2ADF"/>
    <w:rsid w:val="79255A3E"/>
    <w:rsid w:val="792D0ACF"/>
    <w:rsid w:val="792F5AFD"/>
    <w:rsid w:val="796B4A29"/>
    <w:rsid w:val="79857902"/>
    <w:rsid w:val="79A27AC6"/>
    <w:rsid w:val="79BD55F7"/>
    <w:rsid w:val="79CA0D43"/>
    <w:rsid w:val="79CB1A26"/>
    <w:rsid w:val="79CC1F37"/>
    <w:rsid w:val="7A3E540F"/>
    <w:rsid w:val="7A6B422C"/>
    <w:rsid w:val="7A7C3EF3"/>
    <w:rsid w:val="7AA04EF0"/>
    <w:rsid w:val="7AAD64FD"/>
    <w:rsid w:val="7AC46586"/>
    <w:rsid w:val="7ADF5D27"/>
    <w:rsid w:val="7AF453F4"/>
    <w:rsid w:val="7B0A0985"/>
    <w:rsid w:val="7B21143F"/>
    <w:rsid w:val="7B212D92"/>
    <w:rsid w:val="7B424458"/>
    <w:rsid w:val="7B610E4E"/>
    <w:rsid w:val="7B624E78"/>
    <w:rsid w:val="7B753D19"/>
    <w:rsid w:val="7B7672FB"/>
    <w:rsid w:val="7B8F6F8B"/>
    <w:rsid w:val="7B992189"/>
    <w:rsid w:val="7BBA3E18"/>
    <w:rsid w:val="7BBD3E50"/>
    <w:rsid w:val="7BDE37F2"/>
    <w:rsid w:val="7BF37D6F"/>
    <w:rsid w:val="7BF51F8A"/>
    <w:rsid w:val="7C1762F3"/>
    <w:rsid w:val="7C3C5581"/>
    <w:rsid w:val="7C6D0359"/>
    <w:rsid w:val="7C7E16EB"/>
    <w:rsid w:val="7CAF5F3C"/>
    <w:rsid w:val="7CB536C0"/>
    <w:rsid w:val="7CBC6FAC"/>
    <w:rsid w:val="7CEC32E9"/>
    <w:rsid w:val="7D0774AE"/>
    <w:rsid w:val="7D0B7E2D"/>
    <w:rsid w:val="7D0D6A3F"/>
    <w:rsid w:val="7D2466D3"/>
    <w:rsid w:val="7D316308"/>
    <w:rsid w:val="7D357F29"/>
    <w:rsid w:val="7D3F4198"/>
    <w:rsid w:val="7D4630C7"/>
    <w:rsid w:val="7D467FDA"/>
    <w:rsid w:val="7D6077A0"/>
    <w:rsid w:val="7D7B6360"/>
    <w:rsid w:val="7DA60492"/>
    <w:rsid w:val="7DD85587"/>
    <w:rsid w:val="7E053FDB"/>
    <w:rsid w:val="7E610B2B"/>
    <w:rsid w:val="7E7A2864"/>
    <w:rsid w:val="7E7E0216"/>
    <w:rsid w:val="7EAA54B1"/>
    <w:rsid w:val="7EAF042D"/>
    <w:rsid w:val="7ECF69C2"/>
    <w:rsid w:val="7EDB3A48"/>
    <w:rsid w:val="7EE23323"/>
    <w:rsid w:val="7EF50250"/>
    <w:rsid w:val="7F1808E4"/>
    <w:rsid w:val="7F1C6FE7"/>
    <w:rsid w:val="7F2D6186"/>
    <w:rsid w:val="7F3D7DA0"/>
    <w:rsid w:val="7F505FA3"/>
    <w:rsid w:val="7F6B0448"/>
    <w:rsid w:val="7F6D0375"/>
    <w:rsid w:val="7F6E2986"/>
    <w:rsid w:val="7F7A1B55"/>
    <w:rsid w:val="7F7D4162"/>
    <w:rsid w:val="7F835EBB"/>
    <w:rsid w:val="7FB87FF3"/>
    <w:rsid w:val="7FC005E6"/>
    <w:rsid w:val="7FC9085F"/>
    <w:rsid w:val="7FD51BD1"/>
    <w:rsid w:val="7FFA5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3"/>
    <w:next w:val="3"/>
    <w:unhideWhenUsed/>
    <w:qFormat/>
    <w:uiPriority w:val="99"/>
    <w:pPr>
      <w:spacing w:after="120"/>
      <w:jc w:val="both"/>
    </w:pPr>
  </w:style>
  <w:style w:type="paragraph" w:styleId="3">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6">
    <w:name w:val="annotation text"/>
    <w:basedOn w:val="1"/>
    <w:link w:val="26"/>
    <w:qFormat/>
    <w:uiPriority w:val="0"/>
    <w:pPr>
      <w:jc w:val="left"/>
    </w:pPr>
  </w:style>
  <w:style w:type="paragraph" w:styleId="7">
    <w:name w:val="Body Text Indent"/>
    <w:basedOn w:val="1"/>
    <w:qFormat/>
    <w:uiPriority w:val="0"/>
    <w:pPr>
      <w:spacing w:after="120"/>
      <w:ind w:left="420" w:leftChars="200"/>
    </w:pPr>
  </w:style>
  <w:style w:type="paragraph" w:styleId="8">
    <w:name w:val="Plain Text"/>
    <w:basedOn w:val="1"/>
    <w:link w:val="31"/>
    <w:qFormat/>
    <w:uiPriority w:val="0"/>
    <w:rPr>
      <w:rFonts w:ascii="宋体" w:hAnsi="Courier New" w:cstheme="minorBidi"/>
      <w:szCs w:val="20"/>
    </w:rPr>
  </w:style>
  <w:style w:type="paragraph" w:styleId="9">
    <w:name w:val="Balloon Text"/>
    <w:basedOn w:val="1"/>
    <w:link w:val="25"/>
    <w:qFormat/>
    <w:uiPriority w:val="0"/>
    <w:rPr>
      <w:sz w:val="18"/>
      <w:szCs w:val="18"/>
    </w:rPr>
  </w:style>
  <w:style w:type="paragraph" w:styleId="10">
    <w:name w:val="footer"/>
    <w:basedOn w:val="1"/>
    <w:qFormat/>
    <w:uiPriority w:val="99"/>
    <w:pPr>
      <w:tabs>
        <w:tab w:val="center" w:pos="4153"/>
        <w:tab w:val="right" w:pos="8306"/>
      </w:tabs>
      <w:snapToGrid w:val="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after="120" w:line="480" w:lineRule="auto"/>
    </w:pPr>
    <w:rPr>
      <w:kern w:val="0"/>
      <w:sz w:val="20"/>
      <w:szCs w:val="24"/>
    </w:rPr>
  </w:style>
  <w:style w:type="paragraph" w:styleId="13">
    <w:name w:val="annotation subject"/>
    <w:basedOn w:val="6"/>
    <w:next w:val="6"/>
    <w:link w:val="27"/>
    <w:qFormat/>
    <w:uiPriority w:val="0"/>
    <w:rPr>
      <w:b/>
      <w:bCs/>
    </w:rPr>
  </w:style>
  <w:style w:type="paragraph" w:styleId="14">
    <w:name w:val="Body Text First Indent"/>
    <w:basedOn w:val="1"/>
    <w:qFormat/>
    <w:uiPriority w:val="0"/>
    <w:pPr>
      <w:spacing w:line="312" w:lineRule="auto"/>
      <w:ind w:firstLine="420"/>
    </w:pPr>
    <w:rPr>
      <w:kern w:val="0"/>
      <w:sz w:val="20"/>
      <w:szCs w:val="24"/>
    </w:rPr>
  </w:style>
  <w:style w:type="paragraph" w:styleId="15">
    <w:name w:val="Body Text First Indent 2"/>
    <w:basedOn w:val="7"/>
    <w:unhideWhenUsed/>
    <w:qFormat/>
    <w:uiPriority w:val="0"/>
    <w:pPr>
      <w:ind w:firstLine="420" w:firstLineChars="200"/>
    </w:pPr>
  </w:style>
  <w:style w:type="character" w:styleId="18">
    <w:name w:val="page number"/>
    <w:qFormat/>
    <w:uiPriority w:val="0"/>
    <w:rPr>
      <w:rFonts w:ascii="Times New Roman" w:hAnsi="Times New Roman" w:eastAsia="宋体" w:cs="Times New Roman"/>
    </w:rPr>
  </w:style>
  <w:style w:type="character" w:styleId="19">
    <w:name w:val="Hyperlink"/>
    <w:qFormat/>
    <w:uiPriority w:val="0"/>
    <w:rPr>
      <w:rFonts w:ascii="Times New Roman" w:hAnsi="Times New Roman" w:eastAsia="宋体" w:cs="Times New Roman"/>
      <w:color w:val="000000"/>
      <w:u w:val="none"/>
    </w:rPr>
  </w:style>
  <w:style w:type="character" w:styleId="20">
    <w:name w:val="annotation reference"/>
    <w:qFormat/>
    <w:uiPriority w:val="0"/>
    <w:rPr>
      <w:rFonts w:ascii="Times New Roman" w:hAnsi="Times New Roman" w:eastAsia="宋体" w:cs="Times New Roman"/>
      <w:sz w:val="21"/>
      <w:szCs w:val="21"/>
    </w:rPr>
  </w:style>
  <w:style w:type="paragraph" w:customStyle="1" w:styleId="21">
    <w:name w:val="样式 宋体 行距: 1.5 倍行距"/>
    <w:basedOn w:val="1"/>
    <w:qFormat/>
    <w:uiPriority w:val="0"/>
    <w:pPr>
      <w:jc w:val="center"/>
    </w:pPr>
    <w:rPr>
      <w:b/>
    </w:rPr>
  </w:style>
  <w:style w:type="paragraph" w:customStyle="1" w:styleId="22">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
    <w:name w:val="发文落款"/>
    <w:basedOn w:val="23"/>
    <w:qFormat/>
    <w:uiPriority w:val="0"/>
    <w:pPr>
      <w:ind w:left="4094" w:right="607" w:firstLine="0"/>
      <w:jc w:val="center"/>
    </w:pPr>
    <w:rPr>
      <w:rFonts w:ascii="Times New Roman" w:hAnsi="Times New Roman" w:eastAsia="宋体"/>
    </w:rPr>
  </w:style>
  <w:style w:type="character" w:customStyle="1" w:styleId="25">
    <w:name w:val="批注框文本 字符"/>
    <w:basedOn w:val="17"/>
    <w:link w:val="9"/>
    <w:qFormat/>
    <w:uiPriority w:val="0"/>
    <w:rPr>
      <w:rFonts w:ascii="Times New Roman" w:hAnsi="Times New Roman" w:eastAsia="宋体" w:cs="Times New Roman"/>
      <w:kern w:val="2"/>
      <w:sz w:val="18"/>
      <w:szCs w:val="18"/>
    </w:rPr>
  </w:style>
  <w:style w:type="character" w:customStyle="1" w:styleId="26">
    <w:name w:val="批注文字 字符"/>
    <w:basedOn w:val="17"/>
    <w:link w:val="6"/>
    <w:qFormat/>
    <w:uiPriority w:val="0"/>
    <w:rPr>
      <w:rFonts w:ascii="Times New Roman" w:hAnsi="Times New Roman" w:eastAsia="宋体" w:cs="Times New Roman"/>
      <w:kern w:val="2"/>
      <w:sz w:val="21"/>
      <w:szCs w:val="22"/>
    </w:rPr>
  </w:style>
  <w:style w:type="character" w:customStyle="1" w:styleId="27">
    <w:name w:val="批注主题 字符"/>
    <w:basedOn w:val="26"/>
    <w:link w:val="13"/>
    <w:qFormat/>
    <w:uiPriority w:val="0"/>
    <w:rPr>
      <w:rFonts w:ascii="Times New Roman" w:hAnsi="Times New Roman" w:eastAsia="宋体" w:cs="Times New Roman"/>
      <w:b/>
      <w:bCs/>
      <w:kern w:val="2"/>
      <w:sz w:val="21"/>
      <w:szCs w:val="22"/>
    </w:rPr>
  </w:style>
  <w:style w:type="paragraph" w:customStyle="1" w:styleId="28">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9">
    <w:name w:val="标题 1 字符"/>
    <w:basedOn w:val="17"/>
    <w:link w:val="4"/>
    <w:qFormat/>
    <w:uiPriority w:val="0"/>
    <w:rPr>
      <w:rFonts w:ascii="Times New Roman" w:hAnsi="Times New Roman" w:eastAsia="宋体" w:cs="Times New Roman"/>
      <w:b/>
      <w:bCs/>
      <w:kern w:val="44"/>
      <w:sz w:val="44"/>
      <w:szCs w:val="44"/>
    </w:rPr>
  </w:style>
  <w:style w:type="character" w:customStyle="1" w:styleId="30">
    <w:name w:val="标题 2 字符"/>
    <w:basedOn w:val="17"/>
    <w:link w:val="5"/>
    <w:semiHidden/>
    <w:qFormat/>
    <w:uiPriority w:val="0"/>
    <w:rPr>
      <w:rFonts w:asciiTheme="majorHAnsi" w:hAnsiTheme="majorHAnsi" w:eastAsiaTheme="majorEastAsia" w:cstheme="majorBidi"/>
      <w:b/>
      <w:bCs/>
      <w:kern w:val="2"/>
      <w:sz w:val="32"/>
      <w:szCs w:val="32"/>
    </w:rPr>
  </w:style>
  <w:style w:type="character" w:customStyle="1" w:styleId="31">
    <w:name w:val="纯文本 字符1"/>
    <w:link w:val="8"/>
    <w:qFormat/>
    <w:uiPriority w:val="0"/>
    <w:rPr>
      <w:rFonts w:ascii="宋体" w:hAnsi="Courier New" w:eastAsia="宋体"/>
      <w:kern w:val="2"/>
      <w:sz w:val="21"/>
    </w:rPr>
  </w:style>
  <w:style w:type="character" w:customStyle="1" w:styleId="32">
    <w:name w:val="纯文本 字符"/>
    <w:basedOn w:val="17"/>
    <w:qFormat/>
    <w:uiPriority w:val="0"/>
    <w:rPr>
      <w:rFonts w:hAnsi="Courier New" w:cs="Courier New" w:asciiTheme="minorEastAsia"/>
      <w:kern w:val="2"/>
      <w:sz w:val="21"/>
      <w:szCs w:val="22"/>
    </w:rPr>
  </w:style>
  <w:style w:type="paragraph" w:customStyle="1" w:styleId="33">
    <w:name w:val="修订2"/>
    <w:hidden/>
    <w:semiHidden/>
    <w:qFormat/>
    <w:uiPriority w:val="99"/>
    <w:rPr>
      <w:rFonts w:ascii="Times New Roman" w:hAnsi="Times New Roman" w:eastAsia="宋体" w:cs="Times New Roman"/>
      <w:kern w:val="2"/>
      <w:sz w:val="21"/>
      <w:szCs w:val="22"/>
      <w:lang w:val="en-US" w:eastAsia="zh-CN" w:bidi="ar-SA"/>
    </w:rPr>
  </w:style>
  <w:style w:type="character" w:customStyle="1" w:styleId="34">
    <w:name w:val="16"/>
    <w:basedOn w:val="17"/>
    <w:qFormat/>
    <w:uiPriority w:val="0"/>
    <w:rPr>
      <w:rFonts w:hint="default" w:ascii="Times New Roman" w:hAnsi="Times New Roman" w:cs="Times New Roman"/>
      <w:sz w:val="18"/>
      <w:szCs w:val="18"/>
    </w:rPr>
  </w:style>
  <w:style w:type="character" w:customStyle="1" w:styleId="35">
    <w:name w:val="10"/>
    <w:basedOn w:val="17"/>
    <w:qFormat/>
    <w:uiPriority w:val="0"/>
    <w:rPr>
      <w:rFonts w:hint="default" w:ascii="Times New Roman" w:hAnsi="Times New Roman" w:cs="Times New Roman"/>
    </w:rPr>
  </w:style>
  <w:style w:type="character" w:customStyle="1" w:styleId="36">
    <w:name w:val="15"/>
    <w:basedOn w:val="17"/>
    <w:qFormat/>
    <w:uiPriority w:val="0"/>
    <w:rPr>
      <w:rFonts w:hint="default" w:ascii="Times New Roman" w:hAnsi="Times New Roman" w:cs="Times New Roman"/>
      <w:sz w:val="18"/>
      <w:szCs w:val="18"/>
    </w:rPr>
  </w:style>
  <w:style w:type="character" w:customStyle="1" w:styleId="37">
    <w:name w:val="17"/>
    <w:basedOn w:val="17"/>
    <w:qFormat/>
    <w:uiPriority w:val="0"/>
    <w:rPr>
      <w:rFonts w:hint="default" w:ascii="Times New Roman" w:hAnsi="Times New Roman" w:cs="Times New Roman"/>
      <w:color w:val="0000FF"/>
      <w:u w:val="single"/>
    </w:rPr>
  </w:style>
  <w:style w:type="paragraph" w:customStyle="1" w:styleId="38">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39">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E0A03-1E90-4ECE-98FA-24CF56481A02}">
  <ds:schemaRefs/>
</ds:datastoreItem>
</file>

<file path=docProps/app.xml><?xml version="1.0" encoding="utf-8"?>
<Properties xmlns="http://schemas.openxmlformats.org/officeDocument/2006/extended-properties" xmlns:vt="http://schemas.openxmlformats.org/officeDocument/2006/docPropsVTypes">
  <Template>Normal</Template>
  <Pages>18</Pages>
  <Words>2013</Words>
  <Characters>11476</Characters>
  <Lines>95</Lines>
  <Paragraphs>26</Paragraphs>
  <TotalTime>23</TotalTime>
  <ScaleCrop>false</ScaleCrop>
  <LinksUpToDate>false</LinksUpToDate>
  <CharactersWithSpaces>13463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2021-12-24T07:48:00Z</dcterms:created>
  <dc:creator>wangax</dc:creator>
  <cp:lastModifiedBy>nfdwadministrator_09</cp:lastModifiedBy>
  <dcterms:modified xsi:type="dcterms:W3CDTF">2023-11-02T02:16:07Z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07855E4506C3442D9061EF21A8C08D75</vt:lpwstr>
  </property>
</Properties>
</file>